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bookmarkStart w:id="0" w:name="_GoBack"/>
      <w:bookmarkEnd w:id="0"/>
      <w:r w:rsidRPr="00835EA3">
        <w:rPr>
          <w:rFonts w:ascii="Palatino Linotype" w:eastAsia="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Metepec, Estado de México; </w:t>
      </w:r>
      <w:r w:rsidR="00072383" w:rsidRPr="00835EA3">
        <w:rPr>
          <w:rFonts w:ascii="Palatino Linotype" w:eastAsia="Palatino Linotype" w:hAnsi="Palatino Linotype" w:cs="Palatino Linotype"/>
          <w:b/>
          <w:color w:val="000000" w:themeColor="text1"/>
        </w:rPr>
        <w:t>de fecha veintisiete (27) de agosto de dos mil veinticinco.</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C3D36"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b/>
          <w:color w:val="000000" w:themeColor="text1"/>
          <w:lang w:val="es-ES_tradnl"/>
        </w:rPr>
        <w:t>VISTO</w:t>
      </w:r>
      <w:r w:rsidRPr="00835EA3">
        <w:rPr>
          <w:rFonts w:ascii="Palatino Linotype" w:eastAsia="Palatino Linotype" w:hAnsi="Palatino Linotype" w:cs="Palatino Linotype"/>
          <w:color w:val="000000" w:themeColor="text1"/>
          <w:lang w:val="es-ES_tradnl"/>
        </w:rPr>
        <w:t xml:space="preserve"> l</w:t>
      </w:r>
      <w:r w:rsidR="00072383" w:rsidRPr="00835EA3">
        <w:rPr>
          <w:rFonts w:ascii="Palatino Linotype" w:eastAsia="Palatino Linotype" w:hAnsi="Palatino Linotype" w:cs="Palatino Linotype"/>
          <w:color w:val="000000" w:themeColor="text1"/>
          <w:lang w:val="es-ES_tradnl"/>
        </w:rPr>
        <w:t>os</w:t>
      </w:r>
      <w:r w:rsidRPr="00835EA3">
        <w:rPr>
          <w:rFonts w:ascii="Palatino Linotype" w:eastAsia="Palatino Linotype" w:hAnsi="Palatino Linotype" w:cs="Palatino Linotype"/>
          <w:color w:val="000000" w:themeColor="text1"/>
          <w:lang w:val="es-ES_tradnl"/>
        </w:rPr>
        <w:t xml:space="preserve"> expediente</w:t>
      </w:r>
      <w:r w:rsidR="00072383"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electrónico</w:t>
      </w:r>
      <w:r w:rsidR="00072383"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formado</w:t>
      </w:r>
      <w:r w:rsidR="00072383"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con motivo</w:t>
      </w:r>
      <w:r w:rsidR="00072383"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de</w:t>
      </w:r>
      <w:r w:rsidR="002E5208" w:rsidRPr="00835EA3">
        <w:rPr>
          <w:rFonts w:ascii="Palatino Linotype" w:eastAsia="Palatino Linotype" w:hAnsi="Palatino Linotype" w:cs="Palatino Linotype"/>
          <w:color w:val="000000" w:themeColor="text1"/>
          <w:lang w:val="es-ES_tradnl"/>
        </w:rPr>
        <w:t xml:space="preserve"> </w:t>
      </w:r>
      <w:r w:rsidRPr="00835EA3">
        <w:rPr>
          <w:rFonts w:ascii="Palatino Linotype" w:eastAsia="Palatino Linotype" w:hAnsi="Palatino Linotype" w:cs="Palatino Linotype"/>
          <w:color w:val="000000" w:themeColor="text1"/>
          <w:lang w:val="es-ES_tradnl"/>
        </w:rPr>
        <w:t>l</w:t>
      </w:r>
      <w:r w:rsidR="002E5208" w:rsidRPr="00835EA3">
        <w:rPr>
          <w:rFonts w:ascii="Palatino Linotype" w:eastAsia="Palatino Linotype" w:hAnsi="Palatino Linotype" w:cs="Palatino Linotype"/>
          <w:color w:val="000000" w:themeColor="text1"/>
          <w:lang w:val="es-ES_tradnl"/>
        </w:rPr>
        <w:t>os</w:t>
      </w:r>
      <w:r w:rsidRPr="00835EA3">
        <w:rPr>
          <w:rFonts w:ascii="Palatino Linotype" w:eastAsia="Palatino Linotype" w:hAnsi="Palatino Linotype" w:cs="Palatino Linotype"/>
          <w:color w:val="000000" w:themeColor="text1"/>
          <w:lang w:val="es-ES_tradnl"/>
        </w:rPr>
        <w:t xml:space="preserve"> recurso</w:t>
      </w:r>
      <w:r w:rsidR="002E5208"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de revisión </w:t>
      </w:r>
      <w:r w:rsidR="00BC3D36" w:rsidRPr="00835EA3">
        <w:rPr>
          <w:rFonts w:ascii="Palatino Linotype" w:eastAsia="Palatino Linotype" w:hAnsi="Palatino Linotype" w:cs="Palatino Linotype"/>
          <w:b/>
          <w:color w:val="000000" w:themeColor="text1"/>
          <w:lang w:val="es-ES_tradnl"/>
        </w:rPr>
        <w:t>07618</w:t>
      </w:r>
      <w:r w:rsidRPr="00835EA3">
        <w:rPr>
          <w:rFonts w:ascii="Palatino Linotype" w:eastAsia="Palatino Linotype" w:hAnsi="Palatino Linotype" w:cs="Palatino Linotype"/>
          <w:b/>
          <w:color w:val="000000" w:themeColor="text1"/>
          <w:lang w:val="es-ES_tradnl"/>
        </w:rPr>
        <w:t>/INFOEM/IP/RR/202</w:t>
      </w:r>
      <w:r w:rsidR="00072383" w:rsidRPr="00835EA3">
        <w:rPr>
          <w:rFonts w:ascii="Palatino Linotype" w:eastAsia="Palatino Linotype" w:hAnsi="Palatino Linotype" w:cs="Palatino Linotype"/>
          <w:b/>
          <w:color w:val="000000" w:themeColor="text1"/>
          <w:lang w:val="es-ES_tradnl"/>
        </w:rPr>
        <w:t>5</w:t>
      </w:r>
      <w:r w:rsidRPr="00835EA3">
        <w:rPr>
          <w:rFonts w:ascii="Palatino Linotype" w:eastAsia="Palatino Linotype" w:hAnsi="Palatino Linotype" w:cs="Palatino Linotype"/>
          <w:b/>
          <w:color w:val="000000" w:themeColor="text1"/>
          <w:lang w:val="es-ES_tradnl"/>
        </w:rPr>
        <w:t xml:space="preserve"> y 07619/INFOEM/IP/RR/2025, </w:t>
      </w:r>
      <w:r w:rsidRPr="00835EA3">
        <w:rPr>
          <w:rFonts w:ascii="Palatino Linotype" w:eastAsia="Palatino Linotype" w:hAnsi="Palatino Linotype" w:cs="Palatino Linotype"/>
          <w:color w:val="000000" w:themeColor="text1"/>
          <w:lang w:val="es-ES_tradnl"/>
        </w:rPr>
        <w:t>promovido</w:t>
      </w:r>
      <w:r w:rsidR="002E5208"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por</w:t>
      </w:r>
      <w:r w:rsidRPr="00835EA3">
        <w:rPr>
          <w:rFonts w:ascii="Palatino Linotype" w:eastAsia="Palatino Linotype" w:hAnsi="Palatino Linotype" w:cs="Palatino Linotype"/>
          <w:b/>
          <w:color w:val="000000" w:themeColor="text1"/>
          <w:lang w:val="es-ES_tradnl"/>
        </w:rPr>
        <w:t xml:space="preserve"> </w:t>
      </w:r>
      <w:r w:rsidR="00415822">
        <w:rPr>
          <w:rFonts w:ascii="Palatino Linotype" w:eastAsia="Palatino Linotype" w:hAnsi="Palatino Linotype" w:cs="Palatino Linotype"/>
          <w:b/>
          <w:bCs/>
          <w:color w:val="000000" w:themeColor="text1"/>
        </w:rPr>
        <w:t>XXXX</w:t>
      </w:r>
      <w:r w:rsidRPr="00835EA3">
        <w:rPr>
          <w:rFonts w:ascii="Palatino Linotype" w:eastAsia="Palatino Linotype" w:hAnsi="Palatino Linotype" w:cs="Palatino Linotype"/>
          <w:color w:val="000000" w:themeColor="text1"/>
          <w:lang w:val="es-ES_tradnl"/>
        </w:rPr>
        <w:t xml:space="preserve">, a quien en lo sucesivo se le identificará como </w:t>
      </w:r>
      <w:r w:rsidRPr="00835EA3">
        <w:rPr>
          <w:rFonts w:ascii="Palatino Linotype" w:eastAsia="Palatino Linotype" w:hAnsi="Palatino Linotype" w:cs="Palatino Linotype"/>
          <w:b/>
          <w:color w:val="000000" w:themeColor="text1"/>
          <w:lang w:val="es-ES_tradnl"/>
        </w:rPr>
        <w:t>L</w:t>
      </w:r>
      <w:r w:rsidR="00072383" w:rsidRPr="00835EA3">
        <w:rPr>
          <w:rFonts w:ascii="Palatino Linotype" w:eastAsia="Palatino Linotype" w:hAnsi="Palatino Linotype" w:cs="Palatino Linotype"/>
          <w:b/>
          <w:color w:val="000000" w:themeColor="text1"/>
          <w:lang w:val="es-ES_tradnl"/>
        </w:rPr>
        <w:t>A</w:t>
      </w:r>
      <w:r w:rsidRPr="00835EA3">
        <w:rPr>
          <w:rFonts w:ascii="Palatino Linotype" w:eastAsia="Palatino Linotype" w:hAnsi="Palatino Linotype" w:cs="Palatino Linotype"/>
          <w:b/>
          <w:color w:val="000000" w:themeColor="text1"/>
          <w:lang w:val="es-ES_tradnl"/>
        </w:rPr>
        <w:t xml:space="preserve"> RECURRENTE</w:t>
      </w:r>
      <w:r w:rsidRPr="00835EA3">
        <w:rPr>
          <w:rFonts w:ascii="Palatino Linotype" w:eastAsia="Palatino Linotype" w:hAnsi="Palatino Linotype" w:cs="Palatino Linotype"/>
          <w:color w:val="000000" w:themeColor="text1"/>
          <w:lang w:val="es-ES_tradnl"/>
        </w:rPr>
        <w:t>, en contra de la</w:t>
      </w:r>
      <w:r w:rsidR="002E5208"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falta</w:t>
      </w:r>
      <w:r w:rsidR="002E5208"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de respuesta</w:t>
      </w:r>
      <w:r w:rsidR="002E5208"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del </w:t>
      </w:r>
      <w:r w:rsidRPr="00835EA3">
        <w:rPr>
          <w:rFonts w:ascii="Palatino Linotype" w:eastAsia="Palatino Linotype" w:hAnsi="Palatino Linotype" w:cs="Palatino Linotype"/>
          <w:b/>
          <w:color w:val="000000" w:themeColor="text1"/>
          <w:lang w:val="es-ES_tradnl"/>
        </w:rPr>
        <w:t xml:space="preserve">Ayuntamiento de Ecatepec de Morelos, </w:t>
      </w:r>
      <w:r w:rsidRPr="00835EA3">
        <w:rPr>
          <w:rFonts w:ascii="Palatino Linotype" w:eastAsia="Palatino Linotype" w:hAnsi="Palatino Linotype" w:cs="Palatino Linotype"/>
          <w:color w:val="000000" w:themeColor="text1"/>
          <w:lang w:val="es-ES_tradnl"/>
        </w:rPr>
        <w:t>en adelante el</w:t>
      </w:r>
      <w:r w:rsidRPr="00835EA3">
        <w:rPr>
          <w:rFonts w:ascii="Palatino Linotype" w:eastAsia="Palatino Linotype" w:hAnsi="Palatino Linotype" w:cs="Palatino Linotype"/>
          <w:b/>
          <w:color w:val="000000" w:themeColor="text1"/>
          <w:lang w:val="es-ES_tradnl"/>
        </w:rPr>
        <w:t xml:space="preserve"> SUJETO OBLIGADO</w:t>
      </w:r>
      <w:r w:rsidRPr="00835EA3">
        <w:rPr>
          <w:rFonts w:ascii="Palatino Linotype" w:eastAsia="Palatino Linotype" w:hAnsi="Palatino Linotype" w:cs="Palatino Linotype"/>
          <w:color w:val="000000" w:themeColor="text1"/>
          <w:lang w:val="es-ES_tradnl"/>
        </w:rPr>
        <w:t>, se procede a dictar la presente resolución, con base en los siguientes:</w:t>
      </w:r>
    </w:p>
    <w:p w:rsidR="00BC3D36" w:rsidRPr="00835EA3" w:rsidRDefault="00BC3D36"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spacing w:line="360" w:lineRule="auto"/>
        <w:jc w:val="center"/>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b/>
          <w:color w:val="000000" w:themeColor="text1"/>
          <w:lang w:val="es-ES_tradnl"/>
        </w:rPr>
        <w:t>A N T E C E D E N T E S</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El día</w:t>
      </w:r>
      <w:r w:rsidRPr="00835EA3">
        <w:rPr>
          <w:rFonts w:ascii="Palatino Linotype" w:eastAsia="Palatino Linotype" w:hAnsi="Palatino Linotype" w:cs="Palatino Linotype"/>
          <w:b/>
          <w:color w:val="000000" w:themeColor="text1"/>
          <w:lang w:val="es-ES_tradnl"/>
        </w:rPr>
        <w:t xml:space="preserve"> </w:t>
      </w:r>
      <w:r w:rsidR="00BC3D36" w:rsidRPr="00835EA3">
        <w:rPr>
          <w:rFonts w:ascii="Palatino Linotype" w:eastAsia="Palatino Linotype" w:hAnsi="Palatino Linotype" w:cs="Palatino Linotype"/>
          <w:b/>
          <w:color w:val="000000" w:themeColor="text1"/>
          <w:lang w:val="es-ES_tradnl"/>
        </w:rPr>
        <w:t>veintitrés de mayo de dos mil veinticinco</w:t>
      </w:r>
      <w:r w:rsidRPr="00835EA3">
        <w:rPr>
          <w:rFonts w:ascii="Palatino Linotype" w:eastAsia="Palatino Linotype" w:hAnsi="Palatino Linotype" w:cs="Palatino Linotype"/>
          <w:b/>
          <w:color w:val="000000" w:themeColor="text1"/>
          <w:lang w:val="es-ES_tradnl"/>
        </w:rPr>
        <w:t xml:space="preserve">, </w:t>
      </w:r>
      <w:r w:rsidRPr="00835EA3">
        <w:rPr>
          <w:rFonts w:ascii="Palatino Linotype" w:eastAsia="Palatino Linotype" w:hAnsi="Palatino Linotype" w:cs="Palatino Linotype"/>
          <w:color w:val="000000" w:themeColor="text1"/>
          <w:lang w:val="es-ES_tradnl"/>
        </w:rPr>
        <w:t xml:space="preserve">se presentó ante el </w:t>
      </w:r>
      <w:r w:rsidRPr="00835EA3">
        <w:rPr>
          <w:rFonts w:ascii="Palatino Linotype" w:eastAsia="Palatino Linotype" w:hAnsi="Palatino Linotype" w:cs="Palatino Linotype"/>
          <w:b/>
          <w:color w:val="000000" w:themeColor="text1"/>
          <w:lang w:val="es-ES_tradnl"/>
        </w:rPr>
        <w:t>SUJETO OBLIGADO</w:t>
      </w:r>
      <w:r w:rsidRPr="00835EA3">
        <w:rPr>
          <w:rFonts w:ascii="Palatino Linotype" w:eastAsia="Palatino Linotype" w:hAnsi="Palatino Linotype" w:cs="Palatino Linotype"/>
          <w:color w:val="000000" w:themeColor="text1"/>
          <w:lang w:val="es-ES_tradnl"/>
        </w:rPr>
        <w:t xml:space="preserve"> vía SAIMEX, la</w:t>
      </w:r>
      <w:r w:rsidR="00BC3D36"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solicitud</w:t>
      </w:r>
      <w:r w:rsidR="00BC3D36" w:rsidRPr="00835EA3">
        <w:rPr>
          <w:rFonts w:ascii="Palatino Linotype" w:eastAsia="Palatino Linotype" w:hAnsi="Palatino Linotype" w:cs="Palatino Linotype"/>
          <w:color w:val="000000" w:themeColor="text1"/>
          <w:lang w:val="es-ES_tradnl"/>
        </w:rPr>
        <w:t>es</w:t>
      </w:r>
      <w:r w:rsidRPr="00835EA3">
        <w:rPr>
          <w:rFonts w:ascii="Palatino Linotype" w:eastAsia="Palatino Linotype" w:hAnsi="Palatino Linotype" w:cs="Palatino Linotype"/>
          <w:color w:val="000000" w:themeColor="text1"/>
          <w:lang w:val="es-ES_tradnl"/>
        </w:rPr>
        <w:t xml:space="preserve"> de información pública</w:t>
      </w:r>
      <w:r w:rsidR="00BC3D36"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registrada</w:t>
      </w:r>
      <w:r w:rsidR="00BC3D36"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con el número</w:t>
      </w:r>
      <w:r w:rsidRPr="00835EA3">
        <w:rPr>
          <w:rFonts w:ascii="Palatino Linotype" w:eastAsia="Palatino Linotype" w:hAnsi="Palatino Linotype" w:cs="Palatino Linotype"/>
          <w:b/>
          <w:color w:val="000000" w:themeColor="text1"/>
          <w:lang w:val="es-ES_tradnl"/>
        </w:rPr>
        <w:t xml:space="preserve"> </w:t>
      </w:r>
      <w:r w:rsidR="00BC3D36" w:rsidRPr="00835EA3">
        <w:rPr>
          <w:rFonts w:ascii="Palatino Linotype" w:eastAsia="Palatino Linotype" w:hAnsi="Palatino Linotype" w:cs="Palatino Linotype"/>
          <w:b/>
          <w:bCs/>
          <w:color w:val="000000" w:themeColor="text1"/>
        </w:rPr>
        <w:t>00456/ECATEPEC/IP/2025 y 00455/ECATEPEC/IP/2025</w:t>
      </w:r>
      <w:r w:rsidRPr="00835EA3">
        <w:rPr>
          <w:rFonts w:ascii="Palatino Linotype" w:eastAsia="Palatino Linotype" w:hAnsi="Palatino Linotype" w:cs="Palatino Linotype"/>
          <w:b/>
          <w:color w:val="000000" w:themeColor="text1"/>
          <w:lang w:val="es-ES_tradnl"/>
        </w:rPr>
        <w:t xml:space="preserve">; </w:t>
      </w:r>
      <w:r w:rsidRPr="00835EA3">
        <w:rPr>
          <w:rFonts w:ascii="Palatino Linotype" w:eastAsia="Palatino Linotype" w:hAnsi="Palatino Linotype" w:cs="Palatino Linotype"/>
          <w:color w:val="000000" w:themeColor="text1"/>
          <w:lang w:val="es-ES_tradnl"/>
        </w:rPr>
        <w:t>en la</w:t>
      </w:r>
      <w:r w:rsidR="002E5208"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que se solicitó la siguiente información:</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tbl>
      <w:tblPr>
        <w:tblStyle w:val="Tablaconcuadrcula"/>
        <w:tblW w:w="9634" w:type="dxa"/>
        <w:tblLook w:val="04A0" w:firstRow="1" w:lastRow="0" w:firstColumn="1" w:lastColumn="0" w:noHBand="0" w:noVBand="1"/>
      </w:tblPr>
      <w:tblGrid>
        <w:gridCol w:w="4389"/>
        <w:gridCol w:w="5245"/>
      </w:tblGrid>
      <w:tr w:rsidR="004533D3" w:rsidRPr="00835EA3" w:rsidTr="00DE46FA">
        <w:tc>
          <w:tcPr>
            <w:tcW w:w="4389" w:type="dxa"/>
          </w:tcPr>
          <w:p w:rsidR="00BC3D36" w:rsidRPr="00DE46FA" w:rsidRDefault="00BC3D36" w:rsidP="00DE46FA">
            <w:pPr>
              <w:jc w:val="center"/>
              <w:rPr>
                <w:rFonts w:ascii="Palatino Linotype" w:eastAsia="Palatino Linotype" w:hAnsi="Palatino Linotype" w:cs="Palatino Linotype"/>
                <w:b/>
                <w:i/>
                <w:color w:val="000000" w:themeColor="text1"/>
                <w:lang w:val="es-ES_tradnl"/>
              </w:rPr>
            </w:pPr>
            <w:r w:rsidRPr="00DE46FA">
              <w:rPr>
                <w:rFonts w:ascii="Palatino Linotype" w:eastAsia="Palatino Linotype" w:hAnsi="Palatino Linotype" w:cs="Palatino Linotype"/>
                <w:b/>
                <w:i/>
                <w:color w:val="000000" w:themeColor="text1"/>
                <w:lang w:val="es-ES_tradnl"/>
              </w:rPr>
              <w:t>Solicitud de información</w:t>
            </w:r>
          </w:p>
        </w:tc>
        <w:tc>
          <w:tcPr>
            <w:tcW w:w="5245" w:type="dxa"/>
          </w:tcPr>
          <w:p w:rsidR="00BC3D36" w:rsidRPr="00DE46FA" w:rsidRDefault="00BC3D36" w:rsidP="00DE46FA">
            <w:pPr>
              <w:jc w:val="center"/>
              <w:rPr>
                <w:rFonts w:ascii="Palatino Linotype" w:eastAsia="Palatino Linotype" w:hAnsi="Palatino Linotype" w:cs="Palatino Linotype"/>
                <w:b/>
                <w:i/>
                <w:color w:val="000000" w:themeColor="text1"/>
                <w:lang w:val="es-ES_tradnl"/>
              </w:rPr>
            </w:pPr>
            <w:r w:rsidRPr="00DE46FA">
              <w:rPr>
                <w:rFonts w:ascii="Palatino Linotype" w:eastAsia="Palatino Linotype" w:hAnsi="Palatino Linotype" w:cs="Palatino Linotype"/>
                <w:b/>
                <w:i/>
                <w:color w:val="000000" w:themeColor="text1"/>
                <w:lang w:val="es-ES_tradnl"/>
              </w:rPr>
              <w:t>Información solicitada</w:t>
            </w:r>
          </w:p>
        </w:tc>
      </w:tr>
      <w:tr w:rsidR="004533D3" w:rsidRPr="00835EA3" w:rsidTr="00DE46FA">
        <w:tc>
          <w:tcPr>
            <w:tcW w:w="4389" w:type="dxa"/>
          </w:tcPr>
          <w:p w:rsidR="00BC3D36" w:rsidRPr="00835EA3" w:rsidRDefault="00BC3D36"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bCs/>
                <w:i/>
                <w:color w:val="000000" w:themeColor="text1"/>
              </w:rPr>
              <w:t>00456/ECATEPEC/IP/2025</w:t>
            </w:r>
          </w:p>
        </w:tc>
        <w:tc>
          <w:tcPr>
            <w:tcW w:w="5245" w:type="dxa"/>
          </w:tcPr>
          <w:p w:rsidR="00BC3D36" w:rsidRPr="00835EA3" w:rsidRDefault="00BC3D36"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 xml:space="preserve">“BUENAS TARDES SOLICITO DE LA MANERA MÁS ATENTA SEA SOLVENTADA LA PRESENTE SOLICITUD DE INFORMACIÓN, PUESTO QUE ES IMPORTANTE SABER CÓMO CIUDADANOS EN QUE SE GASTA EL DINERO DE LOS HABITANTES DE ECATEPEC DE MORELOS Y MÁS CUANDO SUPUESTAMENTE LA </w:t>
            </w:r>
            <w:r w:rsidRPr="00835EA3">
              <w:rPr>
                <w:rFonts w:ascii="Palatino Linotype" w:eastAsia="Palatino Linotype" w:hAnsi="Palatino Linotype" w:cs="Palatino Linotype"/>
                <w:i/>
                <w:color w:val="000000" w:themeColor="text1"/>
                <w:lang w:val="es-ES_tradnl"/>
              </w:rPr>
              <w:lastRenderedPageBreak/>
              <w:t xml:space="preserve">PRESIDENTA ACTUAL SE OSTENTA DE SER INTACHABLE, CERO BISNERA E INCORRUPTIBLE. SOLICITO EL CONTRATO, CONVENIO DE COLABORACIÓN Y/O SIMILAR Y EL PROCEDIMIENTO ADQUISITIVO Y/O EL PROCEDIMIENTO ADMINISTRATIVO QUE SE ESTÁ LLEVANDO A CABO CON CORAZÓN URBANO A.C Y CON EL C. AKRAM DANIEL CASTILLO CÁRDENAS COMO APODERADO LEGAL DE ESTA ASOCIACIÓN, CON EL H. AYUNTAMIENTO DE ECATEPEC DE MORELOS, REPRESENTADO POR LA LIC. AZUCENA CISNEROS COSS COMO PRESIDENTE CONSTITUCIONAL DE ECATEPEC DE MORELOS Y EL LIC. FAUSTINO DE LA CRUZ PÉREZ, SECRETARIO DEL H. AYUNTAMIENTO. ASÍ MISMO SOLICITO LAS ESPECIFICACIONES TÉCNICAS DE LA PINTA DE FACHADAS EN LA ZONA CONOCIDA COMO SAN JUAN ALCAHUACAN. LOGÍSTICA Y PLANEACIÓN DE DICHO PROGRAMA. MARCA DE LOS MATERIALES A UTILIZAR FACTURAS DE PAGO A LA ASOCIACIÓN CIVIL, AL APODERADO LEGAL Y AL PROVEEDOR DE PINTURA. ESTIMACIÓN DE RENDIMIENTO X LITRO DE PINTURA. SOLICITO SABER SI EXISTIRÁN MÁS POLÍGONOS Y/O PUNTOS QUE SERÁN PINTADOS POR LA AC EN COMENTO O POR SU APODERADO LEGAL SOLICITO LA CONTESTACIÓN DE LA DIRECCIÓN DE ADMINISTRACIÓN Y DE LA PRESIDENTA MUNICIPAL, (NO DE SUS ASESORES, NI SECRETARIOS, NI TRANSPARENCIA, </w:t>
            </w:r>
            <w:r w:rsidRPr="00835EA3">
              <w:rPr>
                <w:rFonts w:ascii="Palatino Linotype" w:eastAsia="Palatino Linotype" w:hAnsi="Palatino Linotype" w:cs="Palatino Linotype"/>
                <w:i/>
                <w:color w:val="000000" w:themeColor="text1"/>
                <w:lang w:val="es-ES_tradnl"/>
              </w:rPr>
              <w:lastRenderedPageBreak/>
              <w:t>SOLICITO ESTE FIRMADO POR LA PRESIDENTA)”</w:t>
            </w:r>
          </w:p>
        </w:tc>
      </w:tr>
      <w:tr w:rsidR="00BC3D36" w:rsidRPr="00835EA3" w:rsidTr="00DE46FA">
        <w:tc>
          <w:tcPr>
            <w:tcW w:w="4389" w:type="dxa"/>
          </w:tcPr>
          <w:p w:rsidR="00BC3D36" w:rsidRPr="00835EA3" w:rsidRDefault="00BC3D36"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bCs/>
                <w:i/>
                <w:color w:val="000000" w:themeColor="text1"/>
              </w:rPr>
              <w:lastRenderedPageBreak/>
              <w:t>00455/ECATEPEC/IP/2025</w:t>
            </w:r>
          </w:p>
        </w:tc>
        <w:tc>
          <w:tcPr>
            <w:tcW w:w="5245" w:type="dxa"/>
          </w:tcPr>
          <w:p w:rsidR="00BC3D36" w:rsidRPr="00835EA3" w:rsidRDefault="00BC3D36"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 xml:space="preserve">“BUENAS TARDES SOLICITO DE LA MANERA MÁS ATENTA SEA SOLVENTADA LA PRESENTE SOLICITUD DE INFORMACIÓN, PUESTO QUE ES IMPORTANTE SABER CÓMO CIUDADANOS EN QUE SE GASTA EL DINERO DE LOS HABITANTES DE ECATEPEC DE MORELOS Y MÁS CUANDO SUPUESTAMENTE LA PRESIDENTA ACTUAL SE OSTENTA DE SER INTACHABLE, CERO BISNERA E INCORRUPTIBLE. SOLICITO EL CONTRATO, CONVENIO DE COLABORACIÓN Y/O SIMILAR Y EL PROCEDIMIENTO ADQUISITIVO Y/O EL PROCEDIMIENTO ADMINISTRATIVO QUE SE ESTÁ LLEVANDO A CABO CON CORAZÓN URBANO A.C Y CON EL C. AKRAM DANIEL CASTILLO CÁRDENAS COMO APODERADO LEGAL DE ESTA ASOCIACIÓN, CON EL H. AYUNTAMIENTO DE ECATEPEC DE MORELOS, REPRESENTADO POR LA LIC. AZUCENA CISNEROS COSS COMO PRESIDENTE CONSTITUCIONAL DE ECATEPEC DE MORELOS Y EL LIC. FAUSTINO DE LA CRUZ PÉREZ, SECRETARIO DEL H. AYUNTAMIENTO. ASÍ MISMO SOLICITO LAS ESPECIFICACIONES TÉCNICAS DE LA PINTA DE FACHADAS EN LA ZONA CONOCIDA COMO SAN JUAN ALCAHUACAN. LOGÍSTICA Y PLANEACIÓN DE DICHO PROGRAMA. MARCA DE LOS MATERIALES A UTILIZAR FACTURAS DE PAGO A LA ASOCIACIÓN CIVIL, AL APODERADO LEGAL </w:t>
            </w:r>
            <w:r w:rsidRPr="00835EA3">
              <w:rPr>
                <w:rFonts w:ascii="Palatino Linotype" w:eastAsia="Palatino Linotype" w:hAnsi="Palatino Linotype" w:cs="Palatino Linotype"/>
                <w:i/>
                <w:color w:val="000000" w:themeColor="text1"/>
                <w:lang w:val="es-ES_tradnl"/>
              </w:rPr>
              <w:lastRenderedPageBreak/>
              <w:t>Y AL PROVEEDOR DE PINTURA. ESTIMACIÓN DE RENDIMIENTO X LITRO DE PINTURA. SOLICITO LA CONTESTACIÓN DE LA DIRECCIÓN DE ADMINISTRACIÓN Y DE LA PRESIDENTA MUNICIPAL, (NO DE SUS ASESORES, NI SECRETARIOS, NI TRANSPARENCIA, SOLICITO ESTE FIRMADO POR LA PRESIDENTA)”</w:t>
            </w:r>
          </w:p>
        </w:tc>
      </w:tr>
    </w:tbl>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DE46FA">
      <w:pPr>
        <w:pStyle w:val="Prrafodelista"/>
        <w:numPr>
          <w:ilvl w:val="0"/>
          <w:numId w:val="35"/>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Se eligió como modalidad de entrega de la información: A través del </w:t>
      </w:r>
      <w:r w:rsidRPr="00835EA3">
        <w:rPr>
          <w:rFonts w:ascii="Palatino Linotype" w:eastAsia="Palatino Linotype" w:hAnsi="Palatino Linotype" w:cs="Palatino Linotype"/>
          <w:b/>
          <w:color w:val="000000" w:themeColor="text1"/>
          <w:lang w:val="es-ES_tradnl"/>
        </w:rPr>
        <w:t>SAIMEX.</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rPr>
        <w:t>Como</w:t>
      </w:r>
      <w:r w:rsidRPr="00835EA3">
        <w:rPr>
          <w:rFonts w:ascii="Palatino Linotype" w:eastAsia="Palatino Linotype" w:hAnsi="Palatino Linotype" w:cs="Palatino Linotype"/>
          <w:color w:val="000000" w:themeColor="text1"/>
          <w:lang w:val="es-ES_tradnl"/>
        </w:rPr>
        <w:t xml:space="preserve"> se observa de</w:t>
      </w:r>
      <w:r w:rsidR="00441D23" w:rsidRPr="00835EA3">
        <w:rPr>
          <w:rFonts w:ascii="Palatino Linotype" w:eastAsia="Palatino Linotype" w:hAnsi="Palatino Linotype" w:cs="Palatino Linotype"/>
          <w:color w:val="000000" w:themeColor="text1"/>
          <w:lang w:val="es-ES_tradnl"/>
        </w:rPr>
        <w:t xml:space="preserve"> </w:t>
      </w:r>
      <w:r w:rsidRPr="00835EA3">
        <w:rPr>
          <w:rFonts w:ascii="Palatino Linotype" w:eastAsia="Palatino Linotype" w:hAnsi="Palatino Linotype" w:cs="Palatino Linotype"/>
          <w:color w:val="000000" w:themeColor="text1"/>
          <w:lang w:val="es-ES_tradnl"/>
        </w:rPr>
        <w:t>l</w:t>
      </w:r>
      <w:r w:rsidR="00441D23" w:rsidRPr="00835EA3">
        <w:rPr>
          <w:rFonts w:ascii="Palatino Linotype" w:eastAsia="Palatino Linotype" w:hAnsi="Palatino Linotype" w:cs="Palatino Linotype"/>
          <w:color w:val="000000" w:themeColor="text1"/>
          <w:lang w:val="es-ES_tradnl"/>
        </w:rPr>
        <w:t>os</w:t>
      </w:r>
      <w:r w:rsidRPr="00835EA3">
        <w:rPr>
          <w:rFonts w:ascii="Palatino Linotype" w:eastAsia="Palatino Linotype" w:hAnsi="Palatino Linotype" w:cs="Palatino Linotype"/>
          <w:color w:val="000000" w:themeColor="text1"/>
          <w:lang w:val="es-ES_tradnl"/>
        </w:rPr>
        <w:t xml:space="preserve"> tablero</w:t>
      </w:r>
      <w:r w:rsidR="00441D23" w:rsidRPr="00835EA3">
        <w:rPr>
          <w:rFonts w:ascii="Palatino Linotype" w:eastAsia="Palatino Linotype" w:hAnsi="Palatino Linotype" w:cs="Palatino Linotype"/>
          <w:color w:val="000000" w:themeColor="text1"/>
          <w:lang w:val="es-ES_tradnl"/>
        </w:rPr>
        <w:t>s</w:t>
      </w:r>
      <w:r w:rsidRPr="00835EA3">
        <w:rPr>
          <w:rFonts w:ascii="Palatino Linotype" w:eastAsia="Palatino Linotype" w:hAnsi="Palatino Linotype" w:cs="Palatino Linotype"/>
          <w:color w:val="000000" w:themeColor="text1"/>
          <w:lang w:val="es-ES_tradnl"/>
        </w:rPr>
        <w:t xml:space="preserve"> del Sistema de Acceso a la Información el </w:t>
      </w:r>
      <w:r w:rsidRPr="00835EA3">
        <w:rPr>
          <w:rFonts w:ascii="Palatino Linotype" w:eastAsia="Palatino Linotype" w:hAnsi="Palatino Linotype" w:cs="Palatino Linotype"/>
          <w:b/>
          <w:color w:val="000000" w:themeColor="text1"/>
          <w:lang w:val="es-ES_tradnl"/>
        </w:rPr>
        <w:t>SUJETO OBLIGADO fue omiso en rendir respuesta</w:t>
      </w:r>
      <w:r w:rsidR="00441D23" w:rsidRPr="00835EA3">
        <w:rPr>
          <w:rFonts w:ascii="Palatino Linotype" w:eastAsia="Palatino Linotype" w:hAnsi="Palatino Linotype" w:cs="Palatino Linotype"/>
          <w:b/>
          <w:color w:val="000000" w:themeColor="text1"/>
          <w:lang w:val="es-ES_tradnl"/>
        </w:rPr>
        <w:t>s</w:t>
      </w:r>
      <w:r w:rsidRPr="00835EA3">
        <w:rPr>
          <w:rFonts w:ascii="Palatino Linotype" w:eastAsia="Palatino Linotype" w:hAnsi="Palatino Linotype" w:cs="Palatino Linotype"/>
          <w:b/>
          <w:color w:val="000000" w:themeColor="text1"/>
          <w:lang w:val="es-ES_tradnl"/>
        </w:rPr>
        <w:t xml:space="preserve"> a la</w:t>
      </w:r>
      <w:r w:rsidR="00441D23" w:rsidRPr="00835EA3">
        <w:rPr>
          <w:rFonts w:ascii="Palatino Linotype" w:eastAsia="Palatino Linotype" w:hAnsi="Palatino Linotype" w:cs="Palatino Linotype"/>
          <w:b/>
          <w:color w:val="000000" w:themeColor="text1"/>
          <w:lang w:val="es-ES_tradnl"/>
        </w:rPr>
        <w:t>s</w:t>
      </w:r>
      <w:r w:rsidRPr="00835EA3">
        <w:rPr>
          <w:rFonts w:ascii="Palatino Linotype" w:eastAsia="Palatino Linotype" w:hAnsi="Palatino Linotype" w:cs="Palatino Linotype"/>
          <w:b/>
          <w:color w:val="000000" w:themeColor="text1"/>
          <w:lang w:val="es-ES_tradnl"/>
        </w:rPr>
        <w:t xml:space="preserve"> solicitud</w:t>
      </w:r>
      <w:r w:rsidR="00441D23" w:rsidRPr="00835EA3">
        <w:rPr>
          <w:rFonts w:ascii="Palatino Linotype" w:eastAsia="Palatino Linotype" w:hAnsi="Palatino Linotype" w:cs="Palatino Linotype"/>
          <w:b/>
          <w:color w:val="000000" w:themeColor="text1"/>
          <w:lang w:val="es-ES_tradnl"/>
        </w:rPr>
        <w:t>es</w:t>
      </w:r>
      <w:r w:rsidRPr="00835EA3">
        <w:rPr>
          <w:rFonts w:ascii="Palatino Linotype" w:eastAsia="Palatino Linotype" w:hAnsi="Palatino Linotype" w:cs="Palatino Linotype"/>
          <w:b/>
          <w:color w:val="000000" w:themeColor="text1"/>
          <w:lang w:val="es-ES_tradnl"/>
        </w:rPr>
        <w:t xml:space="preserve"> de información </w:t>
      </w:r>
      <w:r w:rsidR="00441D23" w:rsidRPr="00835EA3">
        <w:rPr>
          <w:rFonts w:ascii="Palatino Linotype" w:eastAsia="Palatino Linotype" w:hAnsi="Palatino Linotype" w:cs="Palatino Linotype"/>
          <w:b/>
          <w:bCs/>
          <w:color w:val="000000" w:themeColor="text1"/>
        </w:rPr>
        <w:t>00456/ECATEPEC/IP/2025 y 00455/ECATEPEC/IP/2025</w:t>
      </w:r>
      <w:r w:rsidRPr="00835EA3">
        <w:rPr>
          <w:rFonts w:ascii="Palatino Linotype" w:eastAsia="Palatino Linotype" w:hAnsi="Palatino Linotype" w:cs="Palatino Linotype"/>
          <w:color w:val="000000" w:themeColor="text1"/>
          <w:lang w:val="es-ES_tradnl"/>
        </w:rPr>
        <w:t xml:space="preserve">. </w:t>
      </w:r>
    </w:p>
    <w:p w:rsidR="00B97067" w:rsidRPr="00835EA3" w:rsidRDefault="00B97067" w:rsidP="004533D3">
      <w:pPr>
        <w:spacing w:line="360" w:lineRule="auto"/>
        <w:jc w:val="both"/>
        <w:rPr>
          <w:rFonts w:ascii="Palatino Linotype" w:eastAsia="Palatino Linotype" w:hAnsi="Palatino Linotype" w:cs="Palatino Linotype"/>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bookmarkStart w:id="1" w:name="_heading=h.30j0zll" w:colFirst="0" w:colLast="0"/>
      <w:bookmarkEnd w:id="1"/>
      <w:r w:rsidRPr="00835EA3">
        <w:rPr>
          <w:rFonts w:ascii="Palatino Linotype" w:eastAsia="Palatino Linotype" w:hAnsi="Palatino Linotype" w:cs="Palatino Linotype"/>
          <w:color w:val="000000" w:themeColor="text1"/>
          <w:lang w:val="es-ES_tradnl"/>
        </w:rPr>
        <w:t xml:space="preserve">De lo anterior, ante la falta de respuesta del </w:t>
      </w:r>
      <w:r w:rsidRPr="00835EA3">
        <w:rPr>
          <w:rFonts w:ascii="Palatino Linotype" w:eastAsia="Palatino Linotype" w:hAnsi="Palatino Linotype" w:cs="Palatino Linotype"/>
          <w:b/>
          <w:color w:val="000000" w:themeColor="text1"/>
          <w:lang w:val="es-ES_tradnl"/>
        </w:rPr>
        <w:t xml:space="preserve">SUJETO OBLIGADO </w:t>
      </w:r>
      <w:r w:rsidRPr="00835EA3">
        <w:rPr>
          <w:rFonts w:ascii="Palatino Linotype" w:eastAsia="Palatino Linotype" w:hAnsi="Palatino Linotype" w:cs="Palatino Linotype"/>
          <w:color w:val="000000" w:themeColor="text1"/>
          <w:lang w:val="es-ES_tradnl"/>
        </w:rPr>
        <w:t xml:space="preserve">el entonces </w:t>
      </w:r>
      <w:r w:rsidRPr="00835EA3">
        <w:rPr>
          <w:rFonts w:ascii="Palatino Linotype" w:eastAsia="Palatino Linotype" w:hAnsi="Palatino Linotype" w:cs="Palatino Linotype"/>
          <w:b/>
          <w:color w:val="000000" w:themeColor="text1"/>
          <w:lang w:val="es-ES_tradnl"/>
        </w:rPr>
        <w:t xml:space="preserve">SOLICITANTE </w:t>
      </w:r>
      <w:r w:rsidRPr="00835EA3">
        <w:rPr>
          <w:rFonts w:ascii="Palatino Linotype" w:eastAsia="Palatino Linotype" w:hAnsi="Palatino Linotype" w:cs="Palatino Linotype"/>
          <w:color w:val="000000" w:themeColor="text1"/>
          <w:lang w:val="es-ES_tradnl"/>
        </w:rPr>
        <w:t>interpuso el recurso de revisión, y, señaló como:</w:t>
      </w:r>
    </w:p>
    <w:p w:rsidR="00441D23" w:rsidRPr="00835EA3" w:rsidRDefault="00441D23" w:rsidP="004533D3">
      <w:pPr>
        <w:pStyle w:val="Prrafodelista"/>
        <w:ind w:left="0"/>
        <w:rPr>
          <w:rFonts w:ascii="Palatino Linotype" w:eastAsia="Palatino Linotype" w:hAnsi="Palatino Linotype" w:cs="Palatino Linotype"/>
          <w:color w:val="000000" w:themeColor="text1"/>
          <w:lang w:val="es-ES_tradnl"/>
        </w:rPr>
      </w:pPr>
    </w:p>
    <w:tbl>
      <w:tblPr>
        <w:tblStyle w:val="Tablaconcuadrcula"/>
        <w:tblW w:w="9634" w:type="dxa"/>
        <w:tblLook w:val="04A0" w:firstRow="1" w:lastRow="0" w:firstColumn="1" w:lastColumn="0" w:noHBand="0" w:noVBand="1"/>
      </w:tblPr>
      <w:tblGrid>
        <w:gridCol w:w="4389"/>
        <w:gridCol w:w="5245"/>
      </w:tblGrid>
      <w:tr w:rsidR="004533D3" w:rsidRPr="00835EA3" w:rsidTr="00DE46FA">
        <w:tc>
          <w:tcPr>
            <w:tcW w:w="4389" w:type="dxa"/>
          </w:tcPr>
          <w:p w:rsidR="00441D23" w:rsidRPr="00835EA3" w:rsidRDefault="00441D23" w:rsidP="00DE46FA">
            <w:pPr>
              <w:jc w:val="center"/>
              <w:rPr>
                <w:rFonts w:ascii="Palatino Linotype" w:eastAsia="Palatino Linotype" w:hAnsi="Palatino Linotype" w:cs="Palatino Linotype"/>
                <w:b/>
                <w:i/>
                <w:color w:val="000000" w:themeColor="text1"/>
                <w:lang w:val="es-ES_tradnl"/>
              </w:rPr>
            </w:pPr>
            <w:r w:rsidRPr="00835EA3">
              <w:rPr>
                <w:rFonts w:ascii="Palatino Linotype" w:eastAsia="Palatino Linotype" w:hAnsi="Palatino Linotype" w:cs="Palatino Linotype"/>
                <w:b/>
                <w:i/>
                <w:color w:val="000000" w:themeColor="text1"/>
                <w:lang w:val="es-ES_tradnl"/>
              </w:rPr>
              <w:t>Recurso de revisión</w:t>
            </w:r>
          </w:p>
        </w:tc>
        <w:tc>
          <w:tcPr>
            <w:tcW w:w="5245" w:type="dxa"/>
          </w:tcPr>
          <w:p w:rsidR="00441D23" w:rsidRPr="00835EA3" w:rsidRDefault="00441D23" w:rsidP="00DE46FA">
            <w:pPr>
              <w:jc w:val="center"/>
              <w:rPr>
                <w:rFonts w:ascii="Palatino Linotype" w:eastAsia="Palatino Linotype" w:hAnsi="Palatino Linotype" w:cs="Palatino Linotype"/>
                <w:b/>
                <w:i/>
                <w:color w:val="000000" w:themeColor="text1"/>
                <w:lang w:val="es-ES_tradnl"/>
              </w:rPr>
            </w:pPr>
            <w:r w:rsidRPr="00835EA3">
              <w:rPr>
                <w:rFonts w:ascii="Palatino Linotype" w:eastAsia="Palatino Linotype" w:hAnsi="Palatino Linotype" w:cs="Palatino Linotype"/>
                <w:b/>
                <w:i/>
                <w:color w:val="000000" w:themeColor="text1"/>
                <w:lang w:val="es-ES_tradnl"/>
              </w:rPr>
              <w:t>Acto impugnado o Razones o Motivos de  Inconformidad</w:t>
            </w:r>
          </w:p>
        </w:tc>
      </w:tr>
      <w:tr w:rsidR="004533D3" w:rsidRPr="00835EA3" w:rsidTr="00DE46FA">
        <w:tc>
          <w:tcPr>
            <w:tcW w:w="4389" w:type="dxa"/>
          </w:tcPr>
          <w:p w:rsidR="00441D23" w:rsidRPr="00835EA3" w:rsidRDefault="00441D23"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rPr>
              <w:t>07618/INFOEM/IP/RR/2025</w:t>
            </w:r>
          </w:p>
        </w:tc>
        <w:tc>
          <w:tcPr>
            <w:tcW w:w="5245" w:type="dxa"/>
          </w:tcPr>
          <w:p w:rsidR="00441D23" w:rsidRPr="00835EA3" w:rsidRDefault="00441D23"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Acto impugnado: </w:t>
            </w: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i/>
                <w:color w:val="000000" w:themeColor="text1"/>
              </w:rPr>
              <w:t>no han dado una contestación a lo solicitado, y reque todos los puntos sean respondidos por las autoridades mencionadas en la petición”</w:t>
            </w:r>
          </w:p>
          <w:p w:rsidR="00441D23" w:rsidRPr="00835EA3" w:rsidRDefault="00441D23"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Razones o Motivos de  Inconformidad: </w:t>
            </w: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i/>
                <w:color w:val="000000" w:themeColor="text1"/>
              </w:rPr>
              <w:t>no han dado una contestación a lo solicitado, y reque todos los puntos sean respondidos por las autoridades mencionadas en la petición”</w:t>
            </w:r>
          </w:p>
        </w:tc>
      </w:tr>
      <w:tr w:rsidR="00441D23" w:rsidRPr="00835EA3" w:rsidTr="00DE46FA">
        <w:tc>
          <w:tcPr>
            <w:tcW w:w="4389" w:type="dxa"/>
          </w:tcPr>
          <w:p w:rsidR="00441D23" w:rsidRPr="00835EA3" w:rsidRDefault="00441D23"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rPr>
              <w:t>07619/INFOEM/IP/RR/2025</w:t>
            </w:r>
          </w:p>
        </w:tc>
        <w:tc>
          <w:tcPr>
            <w:tcW w:w="5245" w:type="dxa"/>
          </w:tcPr>
          <w:p w:rsidR="00441D23" w:rsidRPr="00835EA3" w:rsidRDefault="00441D23"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Acto impugnado: </w:t>
            </w: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i/>
                <w:color w:val="000000" w:themeColor="text1"/>
              </w:rPr>
              <w:t xml:space="preserve">no han dado una contestación a lo solicitado, y reque todos los puntos sean </w:t>
            </w:r>
            <w:r w:rsidRPr="00835EA3">
              <w:rPr>
                <w:rFonts w:ascii="Palatino Linotype" w:eastAsia="Palatino Linotype" w:hAnsi="Palatino Linotype" w:cs="Palatino Linotype"/>
                <w:i/>
                <w:color w:val="000000" w:themeColor="text1"/>
              </w:rPr>
              <w:lastRenderedPageBreak/>
              <w:t>respondidos por las autoridades mencionadas en la petición”</w:t>
            </w:r>
          </w:p>
          <w:p w:rsidR="00441D23" w:rsidRPr="00835EA3" w:rsidRDefault="00441D23"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Razones o Motivos de  Inconformidad: </w:t>
            </w: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i/>
                <w:color w:val="000000" w:themeColor="text1"/>
              </w:rPr>
              <w:t>no han dado una contestación a lo solicitado, y reque todos los puntos sean respondidos por las autoridades mencionadas en la petición”</w:t>
            </w:r>
          </w:p>
        </w:tc>
      </w:tr>
    </w:tbl>
    <w:p w:rsidR="00441D23" w:rsidRPr="00835EA3" w:rsidRDefault="00441D23"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Consecutivamente, con fundamento en lo dispuesto por el artículo 185 fracción I de la Ley de Transparencia y Acceso a la Información Pública del Estado de México y Municipios, los recursos de referencia, fueron turnados </w:t>
      </w:r>
      <w:r w:rsidRPr="00835EA3">
        <w:rPr>
          <w:rFonts w:ascii="Palatino Linotype" w:eastAsia="Palatino Linotype" w:hAnsi="Palatino Linotype" w:cs="Palatino Linotype"/>
          <w:b/>
          <w:color w:val="000000" w:themeColor="text1"/>
        </w:rPr>
        <w:t>a</w:t>
      </w:r>
      <w:r w:rsidR="00441D23" w:rsidRPr="00835EA3">
        <w:rPr>
          <w:rFonts w:ascii="Palatino Linotype" w:eastAsia="Palatino Linotype" w:hAnsi="Palatino Linotype" w:cs="Palatino Linotype"/>
          <w:b/>
          <w:color w:val="000000" w:themeColor="text1"/>
        </w:rPr>
        <w:t xml:space="preserve"> </w:t>
      </w:r>
      <w:r w:rsidRPr="00835EA3">
        <w:rPr>
          <w:rFonts w:ascii="Palatino Linotype" w:eastAsia="Palatino Linotype" w:hAnsi="Palatino Linotype" w:cs="Palatino Linotype"/>
          <w:b/>
          <w:color w:val="000000" w:themeColor="text1"/>
        </w:rPr>
        <w:t>l</w:t>
      </w:r>
      <w:r w:rsidR="00441D23" w:rsidRPr="00835EA3">
        <w:rPr>
          <w:rFonts w:ascii="Palatino Linotype" w:eastAsia="Palatino Linotype" w:hAnsi="Palatino Linotype" w:cs="Palatino Linotype"/>
          <w:b/>
          <w:color w:val="000000" w:themeColor="text1"/>
        </w:rPr>
        <w:t>as</w:t>
      </w:r>
      <w:r w:rsidRPr="00835EA3">
        <w:rPr>
          <w:rFonts w:ascii="Palatino Linotype" w:eastAsia="Palatino Linotype" w:hAnsi="Palatino Linotype" w:cs="Palatino Linotype"/>
          <w:b/>
          <w:color w:val="000000" w:themeColor="text1"/>
        </w:rPr>
        <w:t xml:space="preserve"> Comisionadas</w:t>
      </w:r>
      <w:r w:rsidR="00441D23" w:rsidRPr="00835EA3">
        <w:rPr>
          <w:rFonts w:ascii="Palatino Linotype" w:eastAsia="Palatino Linotype" w:hAnsi="Palatino Linotype" w:cs="Palatino Linotype"/>
          <w:b/>
          <w:color w:val="000000" w:themeColor="text1"/>
        </w:rPr>
        <w:t xml:space="preserve"> María del Rosario Mejía Ayala </w:t>
      </w:r>
      <w:r w:rsidRPr="00835EA3">
        <w:rPr>
          <w:rFonts w:ascii="Palatino Linotype" w:eastAsia="Palatino Linotype" w:hAnsi="Palatino Linotype" w:cs="Palatino Linotype"/>
          <w:b/>
          <w:color w:val="000000" w:themeColor="text1"/>
        </w:rPr>
        <w:t>y Guadalupe Ramírez Peña</w:t>
      </w:r>
      <w:r w:rsidR="00DE46FA">
        <w:rPr>
          <w:rFonts w:ascii="Palatino Linotype" w:eastAsia="Palatino Linotype" w:hAnsi="Palatino Linotype" w:cs="Palatino Linotype"/>
          <w:color w:val="000000" w:themeColor="text1"/>
        </w:rPr>
        <w:t>, respectivamente</w:t>
      </w:r>
      <w:r w:rsidRPr="00835EA3">
        <w:rPr>
          <w:rFonts w:ascii="Palatino Linotype" w:eastAsia="Palatino Linotype" w:hAnsi="Palatino Linotype" w:cs="Palatino Linotype"/>
          <w:color w:val="000000" w:themeColor="text1"/>
        </w:rPr>
        <w:t xml:space="preserve"> para su análisis. </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DE46FA"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Las Comisionada</w:t>
      </w:r>
      <w:r w:rsidR="00B97067" w:rsidRPr="00835EA3">
        <w:rPr>
          <w:rFonts w:ascii="Palatino Linotype" w:eastAsia="Palatino Linotype" w:hAnsi="Palatino Linotype" w:cs="Palatino Linotype"/>
          <w:color w:val="000000" w:themeColor="text1"/>
        </w:rPr>
        <w:t xml:space="preserve">s Ponentes de origen con fundamento en lo dispuesto por el artículo 185 fracción II de la ley de la materia, a través de los </w:t>
      </w:r>
      <w:r w:rsidR="00B97067" w:rsidRPr="00835EA3">
        <w:rPr>
          <w:rFonts w:ascii="Palatino Linotype" w:eastAsia="Palatino Linotype" w:hAnsi="Palatino Linotype" w:cs="Palatino Linotype"/>
          <w:b/>
          <w:color w:val="000000" w:themeColor="text1"/>
        </w:rPr>
        <w:t xml:space="preserve">acuerdos de admisión </w:t>
      </w:r>
      <w:r w:rsidR="00B97067" w:rsidRPr="00835EA3">
        <w:rPr>
          <w:rFonts w:ascii="Palatino Linotype" w:eastAsia="Palatino Linotype" w:hAnsi="Palatino Linotype" w:cs="Palatino Linotype"/>
          <w:color w:val="000000" w:themeColor="text1"/>
        </w:rPr>
        <w:t xml:space="preserve">de fecha </w:t>
      </w:r>
      <w:r w:rsidR="00B97067" w:rsidRPr="00835EA3">
        <w:rPr>
          <w:rFonts w:ascii="Palatino Linotype" w:eastAsia="Palatino Linotype" w:hAnsi="Palatino Linotype" w:cs="Palatino Linotype"/>
          <w:b/>
          <w:color w:val="000000" w:themeColor="text1"/>
        </w:rPr>
        <w:t>once, catorce, quince y dieciséis de julio de dos mil veinticinco</w:t>
      </w:r>
      <w:r w:rsidR="00B97067" w:rsidRPr="00835EA3">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al caso concreto, de esta forma para que el </w:t>
      </w:r>
      <w:r w:rsidR="00B97067" w:rsidRPr="00835EA3">
        <w:rPr>
          <w:rFonts w:ascii="Palatino Linotype" w:eastAsia="Palatino Linotype" w:hAnsi="Palatino Linotype" w:cs="Palatino Linotype"/>
          <w:b/>
          <w:color w:val="000000" w:themeColor="text1"/>
        </w:rPr>
        <w:t xml:space="preserve">SUJETO OBLIGADO </w:t>
      </w:r>
      <w:r w:rsidR="00B97067" w:rsidRPr="00835EA3">
        <w:rPr>
          <w:rFonts w:ascii="Palatino Linotype" w:eastAsia="Palatino Linotype" w:hAnsi="Palatino Linotype" w:cs="Palatino Linotype"/>
          <w:color w:val="000000" w:themeColor="text1"/>
        </w:rPr>
        <w:t>presentará el Informe Justificado procedente.</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Posteriormente el Pleno de este Órgano Autónomo, </w:t>
      </w:r>
      <w:r w:rsidRPr="00835EA3">
        <w:rPr>
          <w:rFonts w:ascii="Palatino Linotype" w:eastAsia="Palatino Linotype" w:hAnsi="Palatino Linotype" w:cs="Palatino Linotype"/>
          <w:b/>
          <w:color w:val="000000" w:themeColor="text1"/>
        </w:rPr>
        <w:t xml:space="preserve">mediante acuerdo </w:t>
      </w:r>
      <w:r w:rsidR="00441D23" w:rsidRPr="00835EA3">
        <w:rPr>
          <w:rFonts w:ascii="Palatino Linotype" w:eastAsia="Palatino Linotype" w:hAnsi="Palatino Linotype" w:cs="Palatino Linotype"/>
          <w:b/>
          <w:color w:val="000000" w:themeColor="text1"/>
        </w:rPr>
        <w:t xml:space="preserve">tres de julio de dos </w:t>
      </w:r>
      <w:r w:rsidRPr="00835EA3">
        <w:rPr>
          <w:rFonts w:ascii="Palatino Linotype" w:eastAsia="Palatino Linotype" w:hAnsi="Palatino Linotype" w:cs="Palatino Linotype"/>
          <w:b/>
          <w:color w:val="000000" w:themeColor="text1"/>
        </w:rPr>
        <w:t>de dos mil veinticinco</w:t>
      </w:r>
      <w:r w:rsidRPr="00835EA3">
        <w:rPr>
          <w:rFonts w:ascii="Palatino Linotype" w:eastAsia="Palatino Linotype" w:hAnsi="Palatino Linotype" w:cs="Palatino Linotype"/>
          <w:color w:val="000000" w:themeColor="text1"/>
        </w:rPr>
        <w:t xml:space="preserve">; se ordenó la acumulación de los recursos de revisión de mérito, a efecto de que la Ponencia de la </w:t>
      </w:r>
      <w:r w:rsidRPr="00835EA3">
        <w:rPr>
          <w:rFonts w:ascii="Palatino Linotype" w:eastAsia="Palatino Linotype" w:hAnsi="Palatino Linotype" w:cs="Palatino Linotype"/>
          <w:b/>
          <w:color w:val="000000" w:themeColor="text1"/>
        </w:rPr>
        <w:t xml:space="preserve">Comisionada María del Rosario Mejía Ayala </w:t>
      </w:r>
      <w:r w:rsidRPr="00835EA3">
        <w:rPr>
          <w:rFonts w:ascii="Palatino Linotype" w:eastAsia="Palatino Linotype" w:hAnsi="Palatino Linotype" w:cs="Palatino Linotype"/>
          <w:color w:val="000000" w:themeColor="text1"/>
        </w:rPr>
        <w:t xml:space="preserve">formulará y presentara el proyecto de resolución correspondiente, de conformidad con el numeral ONCE incisos b) y c) de los Lineamientos para la Recepción, Trámite y Resolución </w:t>
      </w:r>
      <w:r w:rsidRPr="00835EA3">
        <w:rPr>
          <w:rFonts w:ascii="Palatino Linotype" w:eastAsia="Palatino Linotype" w:hAnsi="Palatino Linotype" w:cs="Palatino Linotype"/>
          <w:color w:val="000000" w:themeColor="text1"/>
        </w:rPr>
        <w:lastRenderedPageBreak/>
        <w:t>de las Solicitudes de Acceso a la Información Pública, así como de los Recursos de Revisión que deberán observar los Sujetos Obligados por la Ley de Transparencia Estatal</w:t>
      </w:r>
      <w:r w:rsidRPr="00835EA3">
        <w:rPr>
          <w:rFonts w:ascii="Palatino Linotype" w:eastAsia="Palatino Linotype" w:hAnsi="Palatino Linotype" w:cs="Palatino Linotype"/>
          <w:i/>
          <w:color w:val="000000" w:themeColor="text1"/>
          <w:vertAlign w:val="superscript"/>
        </w:rPr>
        <w:footnoteReference w:id="1"/>
      </w:r>
      <w:r w:rsidRPr="00835EA3">
        <w:rPr>
          <w:rFonts w:ascii="Palatino Linotype" w:eastAsia="Palatino Linotype" w:hAnsi="Palatino Linotype" w:cs="Palatino Linotype"/>
          <w:color w:val="000000" w:themeColor="text1"/>
        </w:rPr>
        <w:t>, que señala:</w:t>
      </w:r>
    </w:p>
    <w:p w:rsidR="00B97067" w:rsidRPr="00835EA3" w:rsidRDefault="00B97067" w:rsidP="004533D3">
      <w:pPr>
        <w:tabs>
          <w:tab w:val="left" w:pos="0"/>
          <w:tab w:val="left" w:pos="1134"/>
          <w:tab w:val="left" w:pos="7938"/>
        </w:tabs>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“ONCE.</w:t>
      </w:r>
      <w:r w:rsidRPr="00835EA3">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B97067" w:rsidRPr="00835EA3" w:rsidRDefault="00B97067" w:rsidP="004533D3">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r w:rsidRPr="00835EA3">
        <w:rPr>
          <w:rFonts w:ascii="Palatino Linotype" w:eastAsia="Palatino Linotype" w:hAnsi="Palatino Linotype" w:cs="Palatino Linotype"/>
          <w:i/>
          <w:color w:val="000000" w:themeColor="text1"/>
        </w:rPr>
        <w:tab/>
      </w:r>
    </w:p>
    <w:p w:rsidR="00B97067" w:rsidRPr="00835EA3" w:rsidRDefault="00B97067" w:rsidP="004533D3">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b) Las partes o los actos impugnados sean iguales</w:t>
      </w:r>
    </w:p>
    <w:p w:rsidR="00B97067" w:rsidRPr="00835EA3" w:rsidRDefault="00B97067" w:rsidP="004533D3">
      <w:pPr>
        <w:tabs>
          <w:tab w:val="left" w:pos="0"/>
          <w:tab w:val="left" w:pos="7938"/>
        </w:tabs>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c) Cuando se trate del mismo solicitante, el mismo SUJETO OBLIGADO, aunque se trate de solicitudes diversas;</w:t>
      </w:r>
    </w:p>
    <w:p w:rsidR="00B97067" w:rsidRPr="00835EA3" w:rsidRDefault="00B97067" w:rsidP="004533D3">
      <w:pPr>
        <w:tabs>
          <w:tab w:val="left" w:pos="0"/>
          <w:tab w:val="left" w:pos="426"/>
          <w:tab w:val="left" w:pos="7938"/>
        </w:tabs>
        <w:ind w:firstLine="567"/>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p>
    <w:p w:rsidR="00B97067" w:rsidRPr="00835EA3" w:rsidRDefault="00B97067" w:rsidP="004533D3">
      <w:pPr>
        <w:tabs>
          <w:tab w:val="left" w:pos="0"/>
          <w:tab w:val="left" w:pos="426"/>
        </w:tabs>
        <w:ind w:firstLine="567"/>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(Énfasis añadido)</w:t>
      </w:r>
    </w:p>
    <w:p w:rsidR="00B97067" w:rsidRDefault="00B97067" w:rsidP="004533D3">
      <w:pPr>
        <w:tabs>
          <w:tab w:val="left" w:pos="0"/>
          <w:tab w:val="left" w:pos="426"/>
        </w:tabs>
        <w:ind w:firstLine="567"/>
        <w:jc w:val="both"/>
        <w:rPr>
          <w:rFonts w:ascii="Palatino Linotype" w:eastAsia="Palatino Linotype" w:hAnsi="Palatino Linotype" w:cs="Palatino Linotype"/>
          <w:color w:val="000000" w:themeColor="text1"/>
        </w:rPr>
      </w:pPr>
    </w:p>
    <w:p w:rsidR="00DE46FA" w:rsidRPr="00835EA3" w:rsidRDefault="00DE46FA" w:rsidP="004533D3">
      <w:pPr>
        <w:tabs>
          <w:tab w:val="left" w:pos="0"/>
          <w:tab w:val="left" w:pos="426"/>
        </w:tabs>
        <w:ind w:firstLine="567"/>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97067" w:rsidRPr="00835EA3" w:rsidRDefault="00B97067"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Código de Procedimientos Administrativos del Estado de México.</w:t>
      </w:r>
    </w:p>
    <w:p w:rsidR="00B97067" w:rsidRPr="00835EA3" w:rsidRDefault="00B9706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“Artículo 18.-</w:t>
      </w:r>
      <w:r w:rsidRPr="00835EA3">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97067" w:rsidRPr="00835EA3" w:rsidRDefault="00B97067"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Ley de Transparencia y Acceso a la Información Pública del Estado de México y Municipios</w:t>
      </w:r>
    </w:p>
    <w:p w:rsidR="00B97067" w:rsidRPr="00835EA3" w:rsidRDefault="00B9706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“Artículo 195.</w:t>
      </w:r>
      <w:r w:rsidRPr="00835EA3">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B97067" w:rsidRPr="00835EA3" w:rsidRDefault="00B9706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lastRenderedPageBreak/>
        <w:t>(Énfasis añadido)</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94587F"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De lo anterior, el</w:t>
      </w:r>
      <w:r w:rsidR="0094587F" w:rsidRPr="00835EA3">
        <w:rPr>
          <w:rFonts w:ascii="Palatino Linotype" w:eastAsia="Palatino Linotype" w:hAnsi="Palatino Linotype" w:cs="Palatino Linotype"/>
          <w:color w:val="000000" w:themeColor="text1"/>
          <w:lang w:val="es-ES_tradnl"/>
        </w:rPr>
        <w:t xml:space="preserve"> </w:t>
      </w:r>
      <w:r w:rsidR="0094587F" w:rsidRPr="00835EA3">
        <w:rPr>
          <w:rFonts w:ascii="Palatino Linotype" w:eastAsia="Palatino Linotype" w:hAnsi="Palatino Linotype" w:cs="Palatino Linotype"/>
          <w:b/>
          <w:color w:val="000000" w:themeColor="text1"/>
          <w:lang w:val="es-ES_tradnl"/>
        </w:rPr>
        <w:t xml:space="preserve">cuatro de julio de dos mil veinticinco, </w:t>
      </w:r>
      <w:r w:rsidR="0094587F" w:rsidRPr="00835EA3">
        <w:rPr>
          <w:rFonts w:ascii="Palatino Linotype" w:eastAsia="Palatino Linotype" w:hAnsi="Palatino Linotype" w:cs="Palatino Linotype"/>
          <w:color w:val="000000" w:themeColor="text1"/>
          <w:lang w:val="es-ES_tradnl"/>
        </w:rPr>
        <w:t xml:space="preserve">el </w:t>
      </w:r>
      <w:r w:rsidRPr="00835EA3">
        <w:rPr>
          <w:rFonts w:ascii="Palatino Linotype" w:eastAsia="Palatino Linotype" w:hAnsi="Palatino Linotype" w:cs="Palatino Linotype"/>
          <w:color w:val="000000" w:themeColor="text1"/>
          <w:lang w:val="es-ES_tradnl"/>
        </w:rPr>
        <w:t xml:space="preserve"> </w:t>
      </w:r>
      <w:r w:rsidRPr="00835EA3">
        <w:rPr>
          <w:rFonts w:ascii="Palatino Linotype" w:eastAsia="Palatino Linotype" w:hAnsi="Palatino Linotype" w:cs="Palatino Linotype"/>
          <w:b/>
          <w:color w:val="000000" w:themeColor="text1"/>
          <w:lang w:val="es-ES_tradnl"/>
        </w:rPr>
        <w:t>SUJETO OBLIGAD</w:t>
      </w:r>
      <w:r w:rsidRPr="00835EA3">
        <w:rPr>
          <w:rFonts w:ascii="Palatino Linotype" w:eastAsia="Palatino Linotype" w:hAnsi="Palatino Linotype" w:cs="Palatino Linotype"/>
          <w:color w:val="000000" w:themeColor="text1"/>
          <w:lang w:val="es-ES_tradnl"/>
        </w:rPr>
        <w:t xml:space="preserve">O </w:t>
      </w:r>
      <w:r w:rsidR="0094587F" w:rsidRPr="00835EA3">
        <w:rPr>
          <w:rFonts w:ascii="Palatino Linotype" w:eastAsia="Palatino Linotype" w:hAnsi="Palatino Linotype" w:cs="Palatino Linotype"/>
          <w:color w:val="000000" w:themeColor="text1"/>
          <w:lang w:val="es-ES_tradnl"/>
        </w:rPr>
        <w:t>entrego una carpeta zip, cuyo contenido grosso modo es el siguiente.</w:t>
      </w:r>
    </w:p>
    <w:p w:rsidR="00B97067" w:rsidRPr="00835EA3" w:rsidRDefault="00B97067" w:rsidP="004533D3">
      <w:pPr>
        <w:spacing w:line="360" w:lineRule="auto"/>
        <w:jc w:val="both"/>
        <w:rPr>
          <w:rFonts w:ascii="Palatino Linotype" w:eastAsia="Palatino Linotype" w:hAnsi="Palatino Linotype" w:cs="Palatino Linotype"/>
          <w:b/>
          <w:i/>
          <w:color w:val="000000" w:themeColor="text1"/>
          <w:lang w:val="es-ES_tradnl"/>
        </w:rPr>
      </w:pPr>
    </w:p>
    <w:p w:rsidR="00B97067" w:rsidRPr="00835EA3" w:rsidRDefault="0094587F" w:rsidP="004533D3">
      <w:pPr>
        <w:jc w:val="both"/>
        <w:rPr>
          <w:rFonts w:ascii="Palatino Linotype" w:eastAsia="Palatino Linotype" w:hAnsi="Palatino Linotype" w:cs="Palatino Linotype"/>
          <w:b/>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ANEXOS DE RESPUESTA.zip: </w:t>
      </w:r>
    </w:p>
    <w:p w:rsidR="006E1CC5" w:rsidRPr="00835EA3" w:rsidRDefault="006E1CC5" w:rsidP="004533D3">
      <w:pPr>
        <w:jc w:val="both"/>
        <w:rPr>
          <w:rFonts w:ascii="Palatino Linotype" w:eastAsia="Palatino Linotype" w:hAnsi="Palatino Linotype" w:cs="Palatino Linotype"/>
          <w:i/>
          <w:color w:val="000000" w:themeColor="text1"/>
          <w:lang w:val="es-ES_tradnl"/>
        </w:rPr>
      </w:pPr>
    </w:p>
    <w:p w:rsidR="006E1CC5" w:rsidRPr="00835EA3" w:rsidRDefault="006E1CC5"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Beneficiarios.pdf: </w:t>
      </w:r>
      <w:r w:rsidRPr="00835EA3">
        <w:rPr>
          <w:rFonts w:ascii="Palatino Linotype" w:eastAsia="Palatino Linotype" w:hAnsi="Palatino Linotype" w:cs="Palatino Linotype"/>
          <w:i/>
          <w:color w:val="000000" w:themeColor="text1"/>
          <w:lang w:val="es-ES_tradnl"/>
        </w:rPr>
        <w:t xml:space="preserve">lista que contiene el padrón de beneficiarios de la pinta en San Juan Alcahuacan, de la cual se puede deducir, la división del plan de trabajo por semana uno y semana dos, en la cual se puede observar la colonia, la calle, la unidad de medida, la cantidad de pintura y el color. </w:t>
      </w:r>
    </w:p>
    <w:p w:rsidR="006E1CC5" w:rsidRPr="00835EA3" w:rsidRDefault="006E1CC5"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factura.pdf:</w:t>
      </w:r>
      <w:r w:rsidR="00283DF6" w:rsidRPr="00835EA3">
        <w:rPr>
          <w:rFonts w:ascii="Palatino Linotype" w:eastAsia="Palatino Linotype" w:hAnsi="Palatino Linotype" w:cs="Palatino Linotype"/>
          <w:i/>
          <w:color w:val="000000" w:themeColor="text1"/>
          <w:lang w:val="es-ES_tradnl"/>
        </w:rPr>
        <w:t xml:space="preserve"> factura pagada a Corazón Urbana, expedida en el mes de marzo de dos mil veinticinco por la cantidad de $292,500.00, derivada del convenio de colaboración institucional. </w:t>
      </w:r>
    </w:p>
    <w:p w:rsidR="006E1CC5" w:rsidRPr="00835EA3" w:rsidRDefault="006E1CC5"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información técnica.pdf:</w:t>
      </w:r>
      <w:r w:rsidR="00C41D78" w:rsidRPr="00835EA3">
        <w:rPr>
          <w:rFonts w:ascii="Palatino Linotype" w:eastAsia="Palatino Linotype" w:hAnsi="Palatino Linotype" w:cs="Palatino Linotype"/>
          <w:i/>
          <w:color w:val="000000" w:themeColor="text1"/>
          <w:lang w:val="es-ES_tradnl"/>
        </w:rPr>
        <w:t xml:space="preserve"> documento que remite el </w:t>
      </w:r>
      <w:r w:rsidR="00C41D78" w:rsidRPr="00835EA3">
        <w:rPr>
          <w:rFonts w:ascii="Palatino Linotype" w:eastAsia="Palatino Linotype" w:hAnsi="Palatino Linotype" w:cs="Palatino Linotype"/>
          <w:b/>
          <w:i/>
          <w:color w:val="000000" w:themeColor="text1"/>
          <w:lang w:val="es-ES_tradnl"/>
        </w:rPr>
        <w:t xml:space="preserve">SUJETO OBLIGADO </w:t>
      </w:r>
      <w:r w:rsidR="00C41D78" w:rsidRPr="00835EA3">
        <w:rPr>
          <w:rFonts w:ascii="Palatino Linotype" w:eastAsia="Palatino Linotype" w:hAnsi="Palatino Linotype" w:cs="Palatino Linotype"/>
          <w:i/>
          <w:color w:val="000000" w:themeColor="text1"/>
          <w:lang w:val="es-ES_tradnl"/>
        </w:rPr>
        <w:t xml:space="preserve">en el cual se observa que la Asociación Civil Corazón Urbano, informa que se utilizará el suministro de pintura y de sellador, informando el costo de mercado, lo que pagara el Ayuntamiento y la aportación de Corazón Urbano, así como la mano de obra, suministro de brochas, rodillos, felpas y extensiones, equipo de andamios, de aspersión. </w:t>
      </w:r>
    </w:p>
    <w:p w:rsidR="006E1CC5" w:rsidRPr="00835EA3" w:rsidRDefault="006E1CC5"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Metodología de intervención NIDO.pdf:</w:t>
      </w:r>
      <w:r w:rsidR="00C41D78" w:rsidRPr="00835EA3">
        <w:rPr>
          <w:rFonts w:ascii="Palatino Linotype" w:eastAsia="Palatino Linotype" w:hAnsi="Palatino Linotype" w:cs="Palatino Linotype"/>
          <w:b/>
          <w:i/>
          <w:color w:val="000000" w:themeColor="text1"/>
          <w:lang w:val="es-ES_tradnl"/>
        </w:rPr>
        <w:t xml:space="preserve"> </w:t>
      </w:r>
      <w:r w:rsidR="00C41D78" w:rsidRPr="00835EA3">
        <w:rPr>
          <w:rFonts w:ascii="Palatino Linotype" w:eastAsia="Palatino Linotype" w:hAnsi="Palatino Linotype" w:cs="Palatino Linotype"/>
          <w:i/>
          <w:color w:val="000000" w:themeColor="text1"/>
          <w:lang w:val="es-ES_tradnl"/>
        </w:rPr>
        <w:t xml:space="preserve">documento que contiene la metodología que se desarrollará, en el que se informa el costo de la pintura, el polígono a pintar, la población beneficiada y la cuadrilla de pintores.  </w:t>
      </w:r>
    </w:p>
    <w:p w:rsidR="0094587F" w:rsidRPr="00835EA3" w:rsidRDefault="0094587F" w:rsidP="004533D3">
      <w:pPr>
        <w:spacing w:line="360" w:lineRule="auto"/>
        <w:jc w:val="both"/>
        <w:rPr>
          <w:rFonts w:ascii="Palatino Linotype" w:eastAsia="Palatino Linotype" w:hAnsi="Palatino Linotype" w:cs="Palatino Linotype"/>
          <w:b/>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color w:val="000000" w:themeColor="text1"/>
          <w:lang w:val="es-ES_tradnl"/>
        </w:rPr>
        <w:t xml:space="preserve">Por su parte el </w:t>
      </w:r>
      <w:r w:rsidRPr="00835EA3">
        <w:rPr>
          <w:rFonts w:ascii="Palatino Linotype" w:eastAsia="Palatino Linotype" w:hAnsi="Palatino Linotype" w:cs="Palatino Linotype"/>
          <w:b/>
          <w:color w:val="000000" w:themeColor="text1"/>
          <w:lang w:val="es-ES_tradnl"/>
        </w:rPr>
        <w:t xml:space="preserve">RECURRENTE </w:t>
      </w:r>
      <w:r w:rsidRPr="00835EA3">
        <w:rPr>
          <w:rFonts w:ascii="Palatino Linotype" w:eastAsia="Palatino Linotype" w:hAnsi="Palatino Linotype" w:cs="Palatino Linotype"/>
          <w:color w:val="000000" w:themeColor="text1"/>
          <w:lang w:val="es-ES_tradnl"/>
        </w:rPr>
        <w:t>dejo de realizar manifestacion</w:t>
      </w:r>
      <w:r w:rsidR="0085635A" w:rsidRPr="00835EA3">
        <w:rPr>
          <w:rFonts w:ascii="Palatino Linotype" w:eastAsia="Palatino Linotype" w:hAnsi="Palatino Linotype" w:cs="Palatino Linotype"/>
          <w:color w:val="000000" w:themeColor="text1"/>
          <w:lang w:val="es-ES_tradnl"/>
        </w:rPr>
        <w:t>es que a su derecho conviniera para cada recurso de revisión</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color w:val="000000" w:themeColor="text1"/>
          <w:lang w:val="es-ES_tradnl"/>
        </w:rPr>
        <w:t xml:space="preserve">En fecha </w:t>
      </w:r>
      <w:r w:rsidR="0085635A" w:rsidRPr="00835EA3">
        <w:rPr>
          <w:rFonts w:ascii="Palatino Linotype" w:eastAsia="Palatino Linotype" w:hAnsi="Palatino Linotype" w:cs="Palatino Linotype"/>
          <w:b/>
          <w:color w:val="000000" w:themeColor="text1"/>
          <w:lang w:val="es-ES_tradnl"/>
        </w:rPr>
        <w:t xml:space="preserve">diecinueve de agosto </w:t>
      </w:r>
      <w:r w:rsidRPr="00835EA3">
        <w:rPr>
          <w:rFonts w:ascii="Palatino Linotype" w:eastAsia="Palatino Linotype" w:hAnsi="Palatino Linotype" w:cs="Palatino Linotype"/>
          <w:b/>
          <w:color w:val="000000" w:themeColor="text1"/>
          <w:lang w:val="es-ES_tradnl"/>
        </w:rPr>
        <w:t>de dos mil veinticinco</w:t>
      </w:r>
      <w:r w:rsidRPr="00835EA3">
        <w:rPr>
          <w:rFonts w:ascii="Palatino Linotype" w:eastAsia="Palatino Linotype" w:hAnsi="Palatino Linotype" w:cs="Palatino Linotype"/>
          <w:color w:val="000000" w:themeColor="text1"/>
          <w:lang w:val="es-ES_tradnl"/>
        </w:rPr>
        <w:t>, se amplió el término para resolver; al respecto es menester realizar las siguientes precisiones.</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color w:val="000000" w:themeColor="text1"/>
        </w:rPr>
        <w:lastRenderedPageBreak/>
        <w:t>Seguidamente</w:t>
      </w:r>
      <w:r w:rsidRPr="00835EA3">
        <w:rPr>
          <w:rFonts w:ascii="Palatino Linotype" w:eastAsia="Palatino Linotype" w:hAnsi="Palatino Linotype" w:cs="Palatino Linotype"/>
          <w:color w:val="000000" w:themeColor="text1"/>
          <w:lang w:val="es-ES_tradnl"/>
        </w:rPr>
        <w:t xml:space="preserve">, mediante acuerdo de fecha </w:t>
      </w:r>
      <w:r w:rsidR="0085635A" w:rsidRPr="00835EA3">
        <w:rPr>
          <w:rFonts w:ascii="Palatino Linotype" w:eastAsia="Palatino Linotype" w:hAnsi="Palatino Linotype" w:cs="Palatino Linotype"/>
          <w:b/>
          <w:color w:val="000000" w:themeColor="text1"/>
          <w:lang w:val="es-ES_tradnl"/>
        </w:rPr>
        <w:t>veinticinco de agosto</w:t>
      </w:r>
      <w:r w:rsidRPr="00835EA3">
        <w:rPr>
          <w:rFonts w:ascii="Palatino Linotype" w:eastAsia="Palatino Linotype" w:hAnsi="Palatino Linotype" w:cs="Palatino Linotype"/>
          <w:b/>
          <w:color w:val="000000" w:themeColor="text1"/>
          <w:lang w:val="es-ES_tradnl"/>
        </w:rPr>
        <w:t xml:space="preserve"> de dos mil veinticinco, </w:t>
      </w:r>
      <w:r w:rsidRPr="00835EA3">
        <w:rPr>
          <w:rFonts w:ascii="Palatino Linotype" w:eastAsia="Palatino Linotype" w:hAnsi="Palatino Linotype" w:cs="Palatino Linotype"/>
          <w:color w:val="000000" w:themeColor="text1"/>
          <w:lang w:val="es-ES_tradnl"/>
        </w:rPr>
        <w:t xml:space="preserve"> se decretó el cierre de instrucción, por lo que no ha</w:t>
      </w:r>
      <w:r w:rsidR="002E5208" w:rsidRPr="00835EA3">
        <w:rPr>
          <w:rFonts w:ascii="Palatino Linotype" w:eastAsia="Palatino Linotype" w:hAnsi="Palatino Linotype" w:cs="Palatino Linotype"/>
          <w:color w:val="000000" w:themeColor="text1"/>
          <w:lang w:val="es-ES_tradnl"/>
        </w:rPr>
        <w:t>biendo más que hacer constar, y</w:t>
      </w:r>
    </w:p>
    <w:p w:rsidR="00B97067" w:rsidRPr="00835EA3" w:rsidRDefault="00B97067" w:rsidP="004533D3">
      <w:pPr>
        <w:spacing w:line="360" w:lineRule="auto"/>
        <w:jc w:val="both"/>
        <w:rPr>
          <w:rFonts w:ascii="Palatino Linotype" w:eastAsia="Palatino Linotype" w:hAnsi="Palatino Linotype" w:cs="Palatino Linotype"/>
          <w:b/>
          <w:color w:val="000000" w:themeColor="text1"/>
          <w:lang w:val="es-ES_tradnl"/>
        </w:rPr>
      </w:pPr>
    </w:p>
    <w:p w:rsidR="00B97067" w:rsidRPr="00835EA3" w:rsidRDefault="00B97067" w:rsidP="004533D3">
      <w:pPr>
        <w:spacing w:line="360" w:lineRule="auto"/>
        <w:jc w:val="center"/>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b/>
          <w:color w:val="000000" w:themeColor="text1"/>
          <w:lang w:val="es-ES_tradnl"/>
        </w:rPr>
        <w:t>C O N S I D E R A N D O</w:t>
      </w:r>
    </w:p>
    <w:p w:rsidR="00B97067" w:rsidRPr="00835EA3" w:rsidRDefault="00B97067" w:rsidP="004533D3">
      <w:pPr>
        <w:spacing w:line="360" w:lineRule="auto"/>
        <w:jc w:val="both"/>
        <w:rPr>
          <w:rFonts w:ascii="Palatino Linotype" w:eastAsia="Palatino Linotype" w:hAnsi="Palatino Linotype" w:cs="Palatino Linotype"/>
          <w:b/>
          <w:color w:val="000000" w:themeColor="text1"/>
          <w:lang w:val="es-ES_tradnl"/>
        </w:rPr>
      </w:pPr>
    </w:p>
    <w:p w:rsidR="00B97067" w:rsidRPr="00835EA3" w:rsidRDefault="00B97067" w:rsidP="004533D3">
      <w:pPr>
        <w:spacing w:line="360" w:lineRule="auto"/>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b/>
          <w:color w:val="000000" w:themeColor="text1"/>
          <w:lang w:val="es-ES_tradnl"/>
        </w:rPr>
        <w:t>PRIMERO. De la competencia</w:t>
      </w:r>
    </w:p>
    <w:p w:rsidR="00B97067" w:rsidRPr="00835EA3" w:rsidRDefault="00346A19"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el artículo 5, </w:t>
      </w:r>
      <w:r w:rsidRPr="00835EA3">
        <w:rPr>
          <w:rFonts w:ascii="Palatino Linotype" w:eastAsia="Palatino Linotype" w:hAnsi="Palatino Linotype" w:cs="Palatino Linotype"/>
          <w:color w:val="000000" w:themeColor="text1"/>
        </w:rPr>
        <w:t>párrafos</w:t>
      </w:r>
      <w:r w:rsidRPr="00835EA3">
        <w:rPr>
          <w:rFonts w:ascii="Palatino Linotype" w:eastAsia="Palatino Linotype" w:hAnsi="Palatino Linotype" w:cs="Palatino Linotype"/>
          <w:color w:val="000000" w:themeColor="text1"/>
          <w:lang w:val="es-ES_tradnl"/>
        </w:rPr>
        <w:t xml:space="preserve">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B97067" w:rsidRPr="00835EA3">
        <w:rPr>
          <w:rFonts w:ascii="Palatino Linotype" w:eastAsia="Palatino Linotype" w:hAnsi="Palatino Linotype" w:cs="Palatino Linotype"/>
          <w:color w:val="000000" w:themeColor="text1"/>
          <w:lang w:val="es-ES_tradnl"/>
        </w:rPr>
        <w:t>.</w:t>
      </w:r>
    </w:p>
    <w:p w:rsidR="00B97067" w:rsidRPr="00835EA3" w:rsidRDefault="00B97067" w:rsidP="004533D3">
      <w:pPr>
        <w:spacing w:line="360" w:lineRule="auto"/>
        <w:jc w:val="both"/>
        <w:rPr>
          <w:rFonts w:ascii="Palatino Linotype" w:eastAsia="Palatino Linotype" w:hAnsi="Palatino Linotype" w:cs="Palatino Linotype"/>
          <w:b/>
          <w:color w:val="000000" w:themeColor="text1"/>
          <w:lang w:val="es-ES_tradnl"/>
        </w:rPr>
      </w:pPr>
    </w:p>
    <w:p w:rsidR="00B97067" w:rsidRPr="00835EA3" w:rsidRDefault="00B97067" w:rsidP="004533D3">
      <w:pPr>
        <w:spacing w:line="360" w:lineRule="auto"/>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b/>
          <w:color w:val="000000" w:themeColor="text1"/>
          <w:lang w:val="es-ES_tradnl"/>
        </w:rPr>
        <w:t>SEGUNDO. De la oportunidad y procedencia.</w:t>
      </w: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Es </w:t>
      </w:r>
      <w:r w:rsidRPr="00835EA3">
        <w:rPr>
          <w:rFonts w:ascii="Palatino Linotype" w:eastAsia="Palatino Linotype" w:hAnsi="Palatino Linotype" w:cs="Palatino Linotype"/>
          <w:color w:val="000000" w:themeColor="text1"/>
        </w:rPr>
        <w:t>de</w:t>
      </w:r>
      <w:r w:rsidRPr="00835EA3">
        <w:rPr>
          <w:rFonts w:ascii="Palatino Linotype" w:eastAsia="Palatino Linotype" w:hAnsi="Palatino Linotype" w:cs="Palatino Linotype"/>
          <w:color w:val="000000" w:themeColor="text1"/>
          <w:lang w:val="es-ES_tradnl"/>
        </w:rPr>
        <w:t xml:space="preserve"> precisar, que la Ley de Transparencia y Acceso a la Información Pública del Estado de México y Municipios, en el artículo 178 describe la procedencia del recurso de revisión, asimismo señala que el plazo del </w:t>
      </w:r>
      <w:r w:rsidRPr="00835EA3">
        <w:rPr>
          <w:rFonts w:ascii="Palatino Linotype" w:eastAsia="Palatino Linotype" w:hAnsi="Palatino Linotype" w:cs="Palatino Linotype"/>
          <w:b/>
          <w:color w:val="000000" w:themeColor="text1"/>
          <w:lang w:val="es-ES_tradnl"/>
        </w:rPr>
        <w:t>SUJETO OBLIGADO</w:t>
      </w:r>
      <w:r w:rsidRPr="00835EA3">
        <w:rPr>
          <w:rFonts w:ascii="Palatino Linotype" w:eastAsia="Palatino Linotype" w:hAnsi="Palatino Linotype" w:cs="Palatino Linotype"/>
          <w:color w:val="000000" w:themeColor="text1"/>
          <w:lang w:val="es-ES_tradnl"/>
        </w:rPr>
        <w:t xml:space="preserve"> para entregar la respuesta a una solicitud de información pública, es de quince días hábiles posteriores a la presentación de ésta; por lo que, transcurrido este término, cuando no entregue la respuesta </w:t>
      </w:r>
      <w:r w:rsidRPr="00835EA3">
        <w:rPr>
          <w:rFonts w:ascii="Palatino Linotype" w:eastAsia="Palatino Linotype" w:hAnsi="Palatino Linotype" w:cs="Palatino Linotype"/>
          <w:color w:val="000000" w:themeColor="text1"/>
          <w:lang w:val="es-ES_tradnl"/>
        </w:rPr>
        <w:lastRenderedPageBreak/>
        <w:t xml:space="preserve">a la solicitud dentro del plazo previsto en la Ley, la solicitud se entenderá negada y el solicitante podrá interponer el recurso de revisión previsto en el ordenamiento en cita.  </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Por ende, se constituye la figura jurídica de la </w:t>
      </w:r>
      <w:r w:rsidRPr="00835EA3">
        <w:rPr>
          <w:rFonts w:ascii="Palatino Linotype" w:eastAsia="Palatino Linotype" w:hAnsi="Palatino Linotype" w:cs="Palatino Linotype"/>
          <w:i/>
          <w:color w:val="000000" w:themeColor="text1"/>
          <w:lang w:val="es-ES_tradnl"/>
        </w:rPr>
        <w:t>negativa ficta</w:t>
      </w:r>
      <w:r w:rsidRPr="00835EA3">
        <w:rPr>
          <w:rFonts w:ascii="Palatino Linotype" w:eastAsia="Palatino Linotype" w:hAnsi="Palatino Linotype" w:cs="Palatino Linotype"/>
          <w:color w:val="000000" w:themeColor="text1"/>
          <w:lang w:val="es-ES_tradnl"/>
        </w:rPr>
        <w:t xml:space="preserve">, cuya esencia es atribuir un </w:t>
      </w:r>
      <w:r w:rsidRPr="00835EA3">
        <w:rPr>
          <w:rFonts w:ascii="Palatino Linotype" w:eastAsia="Palatino Linotype" w:hAnsi="Palatino Linotype" w:cs="Palatino Linotype"/>
          <w:color w:val="000000" w:themeColor="text1"/>
        </w:rPr>
        <w:t>efecto</w:t>
      </w:r>
      <w:r w:rsidRPr="00835EA3">
        <w:rPr>
          <w:rFonts w:ascii="Palatino Linotype" w:eastAsia="Palatino Linotype" w:hAnsi="Palatino Linotype" w:cs="Palatino Linotype"/>
          <w:color w:val="000000" w:themeColor="text1"/>
          <w:lang w:val="es-ES_tradnl"/>
        </w:rPr>
        <w:t xml:space="preserve"> negativo al silencio de la autoridad administrativa frente a las instancias y solicitudes que hagan los particulares, lo cual encuentra sustento en lo que establece el artículo </w:t>
      </w:r>
      <w:r w:rsidRPr="00835EA3">
        <w:rPr>
          <w:rFonts w:ascii="Palatino Linotype" w:eastAsia="Palatino Linotype" w:hAnsi="Palatino Linotype" w:cs="Palatino Linotype"/>
          <w:b/>
          <w:color w:val="000000" w:themeColor="text1"/>
          <w:lang w:val="es-ES_tradnl"/>
        </w:rPr>
        <w:t>178</w:t>
      </w:r>
      <w:r w:rsidRPr="00835EA3">
        <w:rPr>
          <w:rFonts w:ascii="Palatino Linotype" w:eastAsia="Palatino Linotype" w:hAnsi="Palatino Linotype" w:cs="Palatino Linotype"/>
          <w:color w:val="000000" w:themeColor="text1"/>
          <w:lang w:val="es-ES_tradnl"/>
        </w:rPr>
        <w:t xml:space="preserve"> segundo párrafo de </w:t>
      </w:r>
      <w:r w:rsidRPr="00835EA3">
        <w:rPr>
          <w:rFonts w:ascii="Palatino Linotype" w:eastAsia="Palatino Linotype" w:hAnsi="Palatino Linotype" w:cs="Palatino Linotype"/>
          <w:b/>
          <w:color w:val="000000" w:themeColor="text1"/>
          <w:lang w:val="es-ES_tradnl"/>
        </w:rPr>
        <w:t>Ley de Transparencia y Acceso a la Información Pública del Estado de México y Municipios</w:t>
      </w:r>
      <w:r w:rsidRPr="00835EA3">
        <w:rPr>
          <w:rFonts w:ascii="Palatino Linotype" w:eastAsia="Palatino Linotype" w:hAnsi="Palatino Linotype" w:cs="Palatino Linotype"/>
          <w:color w:val="000000" w:themeColor="text1"/>
          <w:lang w:val="es-ES_tradnl"/>
        </w:rPr>
        <w:t xml:space="preserve">, que dispone; ante la falta de respuesta del </w:t>
      </w:r>
      <w:r w:rsidRPr="00835EA3">
        <w:rPr>
          <w:rFonts w:ascii="Palatino Linotype" w:eastAsia="Palatino Linotype" w:hAnsi="Palatino Linotype" w:cs="Palatino Linotype"/>
          <w:b/>
          <w:color w:val="000000" w:themeColor="text1"/>
          <w:lang w:val="es-ES_tradnl"/>
        </w:rPr>
        <w:t>SUJETO OBLIGADO,</w:t>
      </w:r>
      <w:r w:rsidRPr="00835EA3">
        <w:rPr>
          <w:rFonts w:ascii="Palatino Linotype" w:eastAsia="Palatino Linotype" w:hAnsi="Palatino Linotype" w:cs="Palatino Linotype"/>
          <w:color w:val="000000" w:themeColor="text1"/>
          <w:lang w:val="es-ES_tradnl"/>
        </w:rPr>
        <w:t xml:space="preserve"> dentro de los plazos establecidos en esta Ley, a una solicitud de acceso a la información pública, el recurso </w:t>
      </w:r>
      <w:r w:rsidRPr="00835EA3">
        <w:rPr>
          <w:rFonts w:ascii="Palatino Linotype" w:eastAsia="Palatino Linotype" w:hAnsi="Palatino Linotype" w:cs="Palatino Linotype"/>
          <w:b/>
          <w:color w:val="000000" w:themeColor="text1"/>
          <w:lang w:val="es-ES_tradnl"/>
        </w:rPr>
        <w:t xml:space="preserve">podrá ser interpuesto en cualquier momento. </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Por lo que, tratándose de la </w:t>
      </w:r>
      <w:r w:rsidRPr="00835EA3">
        <w:rPr>
          <w:rFonts w:ascii="Palatino Linotype" w:eastAsia="Palatino Linotype" w:hAnsi="Palatino Linotype" w:cs="Palatino Linotype"/>
          <w:i/>
          <w:color w:val="000000" w:themeColor="text1"/>
          <w:lang w:val="es-ES_tradnl"/>
        </w:rPr>
        <w:t>negativa ficta</w:t>
      </w:r>
      <w:r w:rsidRPr="00835EA3">
        <w:rPr>
          <w:rFonts w:ascii="Palatino Linotype" w:eastAsia="Palatino Linotype" w:hAnsi="Palatino Linotype" w:cs="Palatino Linotype"/>
          <w:color w:val="000000" w:themeColor="text1"/>
          <w:lang w:val="es-ES_tradnl"/>
        </w:rPr>
        <w:t xml:space="preserve"> no existe respuesta que se haga del </w:t>
      </w:r>
      <w:r w:rsidRPr="00835EA3">
        <w:rPr>
          <w:rFonts w:ascii="Palatino Linotype" w:eastAsia="Palatino Linotype" w:hAnsi="Palatino Linotype" w:cs="Palatino Linotype"/>
          <w:color w:val="000000" w:themeColor="text1"/>
        </w:rPr>
        <w:t>conocimiento</w:t>
      </w:r>
      <w:r w:rsidRPr="00835EA3">
        <w:rPr>
          <w:rFonts w:ascii="Palatino Linotype" w:eastAsia="Palatino Linotype" w:hAnsi="Palatino Linotype" w:cs="Palatino Linotype"/>
          <w:color w:val="000000" w:themeColor="text1"/>
          <w:lang w:val="es-ES_tradnl"/>
        </w:rPr>
        <w:t xml:space="preserve">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5EA3">
        <w:rPr>
          <w:rFonts w:ascii="Palatino Linotype" w:eastAsia="Palatino Linotype" w:hAnsi="Palatino Linotype" w:cs="Palatino Linotype"/>
          <w:i/>
          <w:color w:val="000000" w:themeColor="text1"/>
          <w:lang w:val="es-ES_tradnl"/>
        </w:rPr>
        <w:t>negativa ficta</w:t>
      </w:r>
      <w:r w:rsidRPr="00835EA3">
        <w:rPr>
          <w:rFonts w:ascii="Palatino Linotype" w:eastAsia="Palatino Linotype" w:hAnsi="Palatino Linotype" w:cs="Palatino Linotype"/>
          <w:color w:val="000000" w:themeColor="text1"/>
          <w:lang w:val="es-ES_tradnl"/>
        </w:rPr>
        <w:t>, que señala:</w:t>
      </w:r>
    </w:p>
    <w:p w:rsidR="00B97067" w:rsidRPr="00835EA3" w:rsidRDefault="00B97067" w:rsidP="004533D3">
      <w:pPr>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b/>
          <w:color w:val="000000" w:themeColor="text1"/>
          <w:lang w:val="es-ES_tradnl"/>
        </w:rPr>
        <w:t>Criterio 0001-15</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NEGATIVA FICTA. PLAZO PARA INTERPONER EL RECURSO DE REVISIÓN TRATÁNDOSE DE.</w:t>
      </w:r>
      <w:r w:rsidRPr="00835EA3">
        <w:rPr>
          <w:rFonts w:ascii="Palatino Linotype" w:eastAsia="Palatino Linotype" w:hAnsi="Palatino Linotype" w:cs="Palatino Linotype"/>
          <w:i/>
          <w:color w:val="000000" w:themeColor="text1"/>
          <w:lang w:val="es-ES_tradnl"/>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835EA3">
        <w:rPr>
          <w:rFonts w:ascii="Palatino Linotype" w:eastAsia="Palatino Linotype" w:hAnsi="Palatino Linotype" w:cs="Palatino Linotype"/>
          <w:i/>
          <w:color w:val="000000" w:themeColor="text1"/>
          <w:lang w:val="es-ES_tradnl"/>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97067" w:rsidRPr="00835EA3" w:rsidRDefault="00B97067" w:rsidP="004533D3">
      <w:pPr>
        <w:spacing w:line="360" w:lineRule="auto"/>
        <w:jc w:val="both"/>
        <w:rPr>
          <w:rFonts w:ascii="Palatino Linotype" w:eastAsia="Palatino Linotype" w:hAnsi="Palatino Linotype" w:cs="Palatino Linotype"/>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Lo anterior, se explica porque la </w:t>
      </w:r>
      <w:r w:rsidRPr="00835EA3">
        <w:rPr>
          <w:rFonts w:ascii="Palatino Linotype" w:eastAsia="Palatino Linotype" w:hAnsi="Palatino Linotype" w:cs="Palatino Linotype"/>
          <w:b/>
          <w:color w:val="000000" w:themeColor="text1"/>
          <w:u w:val="single"/>
          <w:lang w:val="es-ES_tradnl"/>
        </w:rPr>
        <w:t>posible ausencia</w:t>
      </w:r>
      <w:r w:rsidRPr="00835EA3">
        <w:rPr>
          <w:rFonts w:ascii="Palatino Linotype" w:eastAsia="Palatino Linotype" w:hAnsi="Palatino Linotype" w:cs="Palatino Linotype"/>
          <w:color w:val="000000" w:themeColor="text1"/>
          <w:lang w:val="es-ES_tradnl"/>
        </w:rPr>
        <w:t xml:space="preserve"> de una respuesta en la solicitud constituye </w:t>
      </w:r>
      <w:r w:rsidRPr="00835EA3">
        <w:rPr>
          <w:rFonts w:ascii="Palatino Linotype" w:eastAsia="Palatino Linotype" w:hAnsi="Palatino Linotype" w:cs="Palatino Linotype"/>
          <w:color w:val="000000" w:themeColor="text1"/>
        </w:rPr>
        <w:t>un</w:t>
      </w:r>
      <w:r w:rsidRPr="00835EA3">
        <w:rPr>
          <w:rFonts w:ascii="Palatino Linotype" w:eastAsia="Palatino Linotype" w:hAnsi="Palatino Linotype" w:cs="Palatino Linotype"/>
          <w:color w:val="000000" w:themeColor="text1"/>
          <w:lang w:val="es-ES_tradnl"/>
        </w:rPr>
        <w:t xml:space="preserve"> acto que vulnera el derecho de manera continua y actualizable cada día en tanto, no se emita la respuesta a la que esté impuesto el </w:t>
      </w:r>
      <w:r w:rsidRPr="00835EA3">
        <w:rPr>
          <w:rFonts w:ascii="Palatino Linotype" w:eastAsia="Palatino Linotype" w:hAnsi="Palatino Linotype" w:cs="Palatino Linotype"/>
          <w:b/>
          <w:color w:val="000000" w:themeColor="text1"/>
          <w:lang w:val="es-ES_tradnl"/>
        </w:rPr>
        <w:t>SUJETO OBLIGADO</w:t>
      </w:r>
      <w:r w:rsidRPr="00835EA3">
        <w:rPr>
          <w:rFonts w:ascii="Palatino Linotype" w:eastAsia="Palatino Linotype" w:hAnsi="Palatino Linotype" w:cs="Palatino Linotype"/>
          <w:color w:val="000000" w:themeColor="text1"/>
          <w:lang w:val="es-ES_tradnl"/>
        </w:rPr>
        <w:t>.</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Por otro </w:t>
      </w:r>
      <w:r w:rsidRPr="00835EA3">
        <w:rPr>
          <w:rFonts w:ascii="Palatino Linotype" w:eastAsia="Palatino Linotype" w:hAnsi="Palatino Linotype" w:cs="Palatino Linotype"/>
          <w:color w:val="000000" w:themeColor="text1"/>
        </w:rPr>
        <w:t>lado</w:t>
      </w:r>
      <w:r w:rsidRPr="00835EA3">
        <w:rPr>
          <w:rFonts w:ascii="Palatino Linotype" w:eastAsia="Palatino Linotype" w:hAnsi="Palatino Linotype" w:cs="Palatino Linotype"/>
          <w:color w:val="000000" w:themeColor="text1"/>
          <w:lang w:val="es-ES_tradnl"/>
        </w:rPr>
        <w:t>,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b/>
          <w:i/>
          <w:color w:val="000000" w:themeColor="text1"/>
          <w:lang w:val="es-ES_tradnl"/>
        </w:rPr>
        <w:t>Las solicitudes anónimas</w:t>
      </w:r>
      <w:r w:rsidRPr="00835EA3">
        <w:rPr>
          <w:rFonts w:ascii="Palatino Linotype" w:eastAsia="Palatino Linotype" w:hAnsi="Palatino Linotype" w:cs="Palatino Linotype"/>
          <w:i/>
          <w:color w:val="000000" w:themeColor="text1"/>
          <w:lang w:val="es-ES_tradnl"/>
        </w:rPr>
        <w:t xml:space="preserve">, con nombre incompleto o seudónimo </w:t>
      </w:r>
      <w:r w:rsidRPr="00835EA3">
        <w:rPr>
          <w:rFonts w:ascii="Palatino Linotype" w:eastAsia="Palatino Linotype" w:hAnsi="Palatino Linotype" w:cs="Palatino Linotype"/>
          <w:b/>
          <w:i/>
          <w:color w:val="000000" w:themeColor="text1"/>
          <w:lang w:val="es-ES_tradnl"/>
        </w:rPr>
        <w:t>serán procedentes para su trámite por parte del sujeto obligado ante quien se presente</w:t>
      </w:r>
      <w:r w:rsidRPr="00835EA3">
        <w:rPr>
          <w:rFonts w:ascii="Palatino Linotype" w:eastAsia="Palatino Linotype" w:hAnsi="Palatino Linotype" w:cs="Palatino Linotype"/>
          <w:i/>
          <w:color w:val="000000" w:themeColor="text1"/>
          <w:lang w:val="es-ES_tradnl"/>
        </w:rPr>
        <w:t>. No podrá requerirse información adicional con motivo del nombre proporcionado por el solicitante."</w:t>
      </w:r>
    </w:p>
    <w:p w:rsidR="00B97067" w:rsidRPr="00835EA3" w:rsidRDefault="00B97067" w:rsidP="004533D3">
      <w:pPr>
        <w:spacing w:line="360" w:lineRule="auto"/>
        <w:jc w:val="both"/>
        <w:rPr>
          <w:rFonts w:ascii="Palatino Linotype" w:eastAsia="Palatino Linotype" w:hAnsi="Palatino Linotype" w:cs="Palatino Linotype"/>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rPr>
        <w:t>Robusteciendo</w:t>
      </w:r>
      <w:r w:rsidRPr="00835EA3">
        <w:rPr>
          <w:rFonts w:ascii="Palatino Linotype" w:eastAsia="Palatino Linotype" w:hAnsi="Palatino Linotype" w:cs="Palatino Linotype"/>
          <w:color w:val="000000" w:themeColor="text1"/>
          <w:lang w:val="es-ES_tradnl"/>
        </w:rPr>
        <w:t xml:space="preserve"> lo anterior se encuentra lo dispuesto en el artículo 6, Apartado A, fracciones III de la Constitución Política de los Estados Unidos Mexicanos que establece:</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b/>
          <w:i/>
          <w:color w:val="000000" w:themeColor="text1"/>
          <w:lang w:val="es-ES_tradnl"/>
        </w:rPr>
        <w:t>Artículo 6.-</w:t>
      </w:r>
      <w:r w:rsidRPr="00835EA3">
        <w:rPr>
          <w:rFonts w:ascii="Palatino Linotype" w:eastAsia="Palatino Linotype" w:hAnsi="Palatino Linotype" w:cs="Palatino Linotype"/>
          <w:i/>
          <w:color w:val="000000" w:themeColor="text1"/>
          <w:lang w:val="es-ES_tradnl"/>
        </w:rPr>
        <w:t xml:space="preserve"> La manifestación de las ideas no será objeto de ninguna inquisición judicial o administrativa, sino en el caso de que ataque a la moral, la vida privada o los derechos de terceros, </w:t>
      </w:r>
      <w:r w:rsidRPr="00835EA3">
        <w:rPr>
          <w:rFonts w:ascii="Palatino Linotype" w:eastAsia="Palatino Linotype" w:hAnsi="Palatino Linotype" w:cs="Palatino Linotype"/>
          <w:i/>
          <w:color w:val="000000" w:themeColor="text1"/>
          <w:lang w:val="es-ES_tradnl"/>
        </w:rPr>
        <w:lastRenderedPageBreak/>
        <w:t>provoque algún delito, o perturbe el orden público; el derecho de réplica será ejercido en los términos dispuestos por la ley. El derecho a la información será garantizado por el Estado.</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Para efectos de lo dispuesto en el presente artículo se observará lo siguiente:</w:t>
      </w:r>
    </w:p>
    <w:p w:rsidR="00B97067" w:rsidRPr="00835EA3" w:rsidRDefault="00B97067" w:rsidP="004533D3">
      <w:pPr>
        <w:jc w:val="both"/>
        <w:rPr>
          <w:rFonts w:ascii="Palatino Linotype" w:eastAsia="Palatino Linotype" w:hAnsi="Palatino Linotype" w:cs="Palatino Linotype"/>
          <w:i/>
          <w:color w:val="000000" w:themeColor="text1"/>
          <w:lang w:val="es-ES_tradnl"/>
        </w:rPr>
      </w:pP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A. Para el ejercicio del derecho de acceso a la información, la Federación, los Estados y el Distrito Federal, en el ámbito de sus respectivas competencias, se regirán por los siguientes principios y bases:</w:t>
      </w:r>
    </w:p>
    <w:p w:rsidR="00B97067" w:rsidRPr="00835EA3" w:rsidRDefault="00B97067" w:rsidP="004533D3">
      <w:pPr>
        <w:jc w:val="both"/>
        <w:rPr>
          <w:rFonts w:ascii="Palatino Linotype" w:eastAsia="Palatino Linotype" w:hAnsi="Palatino Linotype" w:cs="Palatino Linotype"/>
          <w:i/>
          <w:color w:val="000000" w:themeColor="text1"/>
          <w:lang w:val="es-ES_tradnl"/>
        </w:rPr>
      </w:pP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 xml:space="preserve">III. Toda persona, sin necesidad de acreditar interés alguno o justificar su utilización, tendrá acceso gratuito a la información pública, a sus datos personales o a la rectificación de éstos.” </w:t>
      </w:r>
      <w:r w:rsidRPr="00835EA3">
        <w:rPr>
          <w:rFonts w:ascii="Palatino Linotype" w:eastAsia="Palatino Linotype" w:hAnsi="Palatino Linotype" w:cs="Palatino Linotype"/>
          <w:color w:val="000000" w:themeColor="text1"/>
          <w:lang w:val="es-ES_tradnl"/>
        </w:rPr>
        <w:t>(Sic)</w:t>
      </w:r>
    </w:p>
    <w:p w:rsidR="00B97067" w:rsidRPr="00835EA3" w:rsidRDefault="00B97067" w:rsidP="004533D3">
      <w:pPr>
        <w:spacing w:line="360" w:lineRule="auto"/>
        <w:jc w:val="both"/>
        <w:rPr>
          <w:rFonts w:ascii="Palatino Linotype" w:eastAsia="Palatino Linotype" w:hAnsi="Palatino Linotype" w:cs="Palatino Linotype"/>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Así </w:t>
      </w:r>
      <w:r w:rsidRPr="00835EA3">
        <w:rPr>
          <w:rFonts w:ascii="Palatino Linotype" w:eastAsia="Palatino Linotype" w:hAnsi="Palatino Linotype" w:cs="Palatino Linotype"/>
          <w:color w:val="000000" w:themeColor="text1"/>
        </w:rPr>
        <w:t>como</w:t>
      </w:r>
      <w:r w:rsidRPr="00835EA3">
        <w:rPr>
          <w:rFonts w:ascii="Palatino Linotype" w:eastAsia="Palatino Linotype" w:hAnsi="Palatino Linotype" w:cs="Palatino Linotype"/>
          <w:color w:val="000000" w:themeColor="text1"/>
          <w:lang w:val="es-ES_tradnl"/>
        </w:rPr>
        <w:t xml:space="preserve"> el artículo 5 fracción III, párrafo vigésimo noveno, trigésimo y trigésimo primero, de la Constitución Política del Estado Libre y Soberano de México, que determina lo siguiente:</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b/>
          <w:i/>
          <w:color w:val="000000" w:themeColor="text1"/>
          <w:lang w:val="es-ES_tradnl"/>
        </w:rPr>
        <w:t>Artículo 5.-</w:t>
      </w:r>
      <w:r w:rsidRPr="00835EA3">
        <w:rPr>
          <w:rFonts w:ascii="Palatino Linotype" w:eastAsia="Palatino Linotype" w:hAnsi="Palatino Linotype" w:cs="Palatino Linotype"/>
          <w:i/>
          <w:color w:val="000000" w:themeColor="text1"/>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Toda persona en el Estado de México, tiene derecho al libre acceso a la información plural y oportuna, así como a buscar recibir y difundir información e ideas de toda índole por cualquier medio de expresión.</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El derecho a la información será garantizado por el Estado. La ley establecerá las previsiones que permitan asegurar la protección, el respeto y la difusión de este derecho.</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III. Toda persona, sin necesidad de acreditar interés alguno o justificar su utilización, tendrá acceso gratuito a la información pública, a sus datos personales o a la rectificación de éstos;</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35EA3">
        <w:rPr>
          <w:rFonts w:ascii="Palatino Linotype" w:eastAsia="Palatino Linotype" w:hAnsi="Palatino Linotype" w:cs="Palatino Linotype"/>
          <w:color w:val="000000" w:themeColor="text1"/>
          <w:lang w:val="es-ES_tradnl"/>
        </w:rPr>
        <w:t>(Sic)</w:t>
      </w:r>
    </w:p>
    <w:p w:rsidR="00B97067" w:rsidRPr="00835EA3" w:rsidRDefault="00B97067" w:rsidP="004533D3">
      <w:pPr>
        <w:jc w:val="both"/>
        <w:rPr>
          <w:rFonts w:ascii="Palatino Linotype" w:eastAsia="Palatino Linotype" w:hAnsi="Palatino Linotype" w:cs="Palatino Linotype"/>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Por otra parte, del contenido del artículo 1 de la Constitución Política de los Estados Unidos </w:t>
      </w:r>
      <w:r w:rsidRPr="00835EA3">
        <w:rPr>
          <w:rFonts w:ascii="Palatino Linotype" w:eastAsia="Palatino Linotype" w:hAnsi="Palatino Linotype" w:cs="Palatino Linotype"/>
          <w:color w:val="000000" w:themeColor="text1"/>
        </w:rPr>
        <w:t>mexicanos</w:t>
      </w:r>
      <w:r w:rsidRPr="00835EA3">
        <w:rPr>
          <w:rFonts w:ascii="Palatino Linotype" w:eastAsia="Palatino Linotype" w:hAnsi="Palatino Linotype" w:cs="Palatino Linotype"/>
          <w:color w:val="000000" w:themeColor="text1"/>
          <w:lang w:val="es-ES_tradnl"/>
        </w:rPr>
        <w:t>, se destaca lo siguiente:</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w:t>
      </w:r>
      <w:r w:rsidRPr="00835EA3">
        <w:rPr>
          <w:rFonts w:ascii="Palatino Linotype" w:eastAsia="Palatino Linotype" w:hAnsi="Palatino Linotype" w:cs="Palatino Linotype"/>
          <w:b/>
          <w:i/>
          <w:color w:val="000000" w:themeColor="text1"/>
          <w:lang w:val="es-ES_tradnl"/>
        </w:rPr>
        <w:t>Artículo 1</w:t>
      </w:r>
      <w:r w:rsidRPr="00835EA3">
        <w:rPr>
          <w:rFonts w:ascii="Palatino Linotype" w:eastAsia="Palatino Linotype" w:hAnsi="Palatino Linotype" w:cs="Palatino Linotype"/>
          <w:i/>
          <w:color w:val="000000" w:themeColor="text1"/>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Las normas relativas a los derechos humanos se interpretarán de conformidad con esta Constitución y con los tratados internacionales de la materia favoreciendo en todo tiempo a las personas la protección más amplia.</w:t>
      </w:r>
    </w:p>
    <w:p w:rsidR="00B97067" w:rsidRPr="00835EA3" w:rsidRDefault="00B97067"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97067" w:rsidRPr="00835EA3" w:rsidRDefault="00B97067" w:rsidP="004533D3">
      <w:pPr>
        <w:spacing w:line="360" w:lineRule="auto"/>
        <w:jc w:val="both"/>
        <w:rPr>
          <w:rFonts w:ascii="Palatino Linotype" w:eastAsia="Palatino Linotype" w:hAnsi="Palatino Linotype" w:cs="Palatino Linotype"/>
          <w:i/>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t xml:space="preserve">Esto es, que el derecho humano de acceso a la información pública, se aprecia que toda persona, sin necesidad de acreditar interés alguno o justificar su interposición, deberá tener acceso a la información pública, es decir, dicho </w:t>
      </w:r>
      <w:r w:rsidRPr="00835EA3">
        <w:rPr>
          <w:rFonts w:ascii="Palatino Linotype" w:eastAsia="Palatino Linotype" w:hAnsi="Palatino Linotype" w:cs="Palatino Linotype"/>
          <w:i/>
          <w:color w:val="000000" w:themeColor="text1"/>
          <w:lang w:val="es-ES_tradnl"/>
        </w:rPr>
        <w:t>derecho fundamental exime a quien lo ejerce</w:t>
      </w:r>
      <w:r w:rsidRPr="00835EA3">
        <w:rPr>
          <w:rFonts w:ascii="Palatino Linotype" w:eastAsia="Palatino Linotype" w:hAnsi="Palatino Linotype" w:cs="Palatino Linotype"/>
          <w:color w:val="000000" w:themeColor="text1"/>
          <w:lang w:val="es-ES_tradn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rPr>
      </w:pPr>
      <w:r w:rsidRPr="00835EA3">
        <w:rPr>
          <w:rFonts w:ascii="Palatino Linotype" w:eastAsia="Palatino Linotype" w:hAnsi="Palatino Linotype" w:cs="Palatino Linotype"/>
          <w:color w:val="000000" w:themeColor="text1"/>
          <w:lang w:val="es-ES_tradnl"/>
        </w:rPr>
        <w:lastRenderedPageBreak/>
        <w:t xml:space="preserve">En consecuencia, dado lo expuesto y fundado con anterioridad, se estima que el requisito relativo al nombre del </w:t>
      </w:r>
      <w:r w:rsidRPr="00835EA3">
        <w:rPr>
          <w:rFonts w:ascii="Palatino Linotype" w:eastAsia="Palatino Linotype" w:hAnsi="Palatino Linotype" w:cs="Palatino Linotype"/>
          <w:b/>
          <w:color w:val="000000" w:themeColor="text1"/>
          <w:lang w:val="es-ES_tradnl"/>
        </w:rPr>
        <w:t>RECURRENTE</w:t>
      </w:r>
      <w:r w:rsidRPr="00835EA3">
        <w:rPr>
          <w:rFonts w:ascii="Palatino Linotype" w:eastAsia="Palatino Linotype" w:hAnsi="Palatino Linotype" w:cs="Palatino Linotype"/>
          <w:color w:val="000000" w:themeColor="text1"/>
          <w:lang w:val="es-ES_tradn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97067" w:rsidRPr="00835EA3" w:rsidRDefault="00B97067" w:rsidP="004533D3">
      <w:pPr>
        <w:spacing w:line="360" w:lineRule="auto"/>
        <w:jc w:val="both"/>
        <w:rPr>
          <w:rFonts w:ascii="Palatino Linotype" w:eastAsia="Palatino Linotype" w:hAnsi="Palatino Linotype" w:cs="Palatino Linotype"/>
          <w:color w:val="000000" w:themeColor="text1"/>
          <w:lang w:val="es-ES_tradnl"/>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b/>
          <w:color w:val="000000" w:themeColor="text1"/>
          <w:lang w:val="es-ES_tradnl"/>
        </w:rPr>
      </w:pPr>
      <w:r w:rsidRPr="00835EA3">
        <w:rPr>
          <w:rFonts w:ascii="Palatino Linotype" w:eastAsia="Palatino Linotype" w:hAnsi="Palatino Linotype" w:cs="Palatino Linotype"/>
          <w:color w:val="000000" w:themeColor="text1"/>
          <w:lang w:val="es-ES_tradnl"/>
        </w:rPr>
        <w:t xml:space="preserve">Expuesto </w:t>
      </w:r>
      <w:r w:rsidRPr="00835EA3">
        <w:rPr>
          <w:rFonts w:ascii="Palatino Linotype" w:eastAsia="Palatino Linotype" w:hAnsi="Palatino Linotype" w:cs="Palatino Linotype"/>
          <w:color w:val="000000" w:themeColor="text1"/>
        </w:rPr>
        <w:t>lo</w:t>
      </w:r>
      <w:r w:rsidRPr="00835EA3">
        <w:rPr>
          <w:rFonts w:ascii="Palatino Linotype" w:eastAsia="Palatino Linotype" w:hAnsi="Palatino Linotype" w:cs="Palatino Linotype"/>
          <w:color w:val="000000" w:themeColor="text1"/>
          <w:lang w:val="es-ES_tradnl"/>
        </w:rPr>
        <w:t xml:space="preserve">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keepNext/>
        <w:keepLines/>
        <w:spacing w:line="360" w:lineRule="auto"/>
        <w:rPr>
          <w:rFonts w:ascii="Palatino Linotype" w:eastAsia="Palatino Linotype" w:hAnsi="Palatino Linotype" w:cs="Palatino Linotype"/>
          <w:b/>
          <w:color w:val="000000" w:themeColor="text1"/>
        </w:rPr>
      </w:pPr>
      <w:bookmarkStart w:id="2" w:name="_heading=h.4d34og8" w:colFirst="0" w:colLast="0"/>
      <w:bookmarkEnd w:id="2"/>
      <w:r w:rsidRPr="00835EA3">
        <w:rPr>
          <w:rFonts w:ascii="Palatino Linotype" w:eastAsia="Palatino Linotype" w:hAnsi="Palatino Linotype" w:cs="Palatino Linotype"/>
          <w:b/>
          <w:color w:val="000000" w:themeColor="text1"/>
        </w:rPr>
        <w:t xml:space="preserve">TERCERO. Del planteamiento de la </w:t>
      </w:r>
      <w:r w:rsidRPr="00835EA3">
        <w:rPr>
          <w:rFonts w:ascii="Palatino Linotype" w:eastAsia="Palatino Linotype" w:hAnsi="Palatino Linotype" w:cs="Palatino Linotype"/>
          <w:b/>
          <w:i/>
          <w:color w:val="000000" w:themeColor="text1"/>
        </w:rPr>
        <w:t>Litis</w:t>
      </w:r>
      <w:r w:rsidRPr="00835EA3">
        <w:rPr>
          <w:rFonts w:ascii="Palatino Linotype" w:eastAsia="Palatino Linotype" w:hAnsi="Palatino Linotype" w:cs="Palatino Linotype"/>
          <w:b/>
          <w:color w:val="000000" w:themeColor="text1"/>
        </w:rPr>
        <w:t>.</w:t>
      </w: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tbl>
      <w:tblPr>
        <w:tblStyle w:val="Tablaconcuadrcula"/>
        <w:tblW w:w="9634" w:type="dxa"/>
        <w:tblLook w:val="04A0" w:firstRow="1" w:lastRow="0" w:firstColumn="1" w:lastColumn="0" w:noHBand="0" w:noVBand="1"/>
      </w:tblPr>
      <w:tblGrid>
        <w:gridCol w:w="4389"/>
        <w:gridCol w:w="5245"/>
      </w:tblGrid>
      <w:tr w:rsidR="004533D3" w:rsidRPr="00835EA3" w:rsidTr="00DE46FA">
        <w:tc>
          <w:tcPr>
            <w:tcW w:w="4389" w:type="dxa"/>
          </w:tcPr>
          <w:p w:rsidR="00B97067" w:rsidRPr="00DE46FA" w:rsidRDefault="00B97067" w:rsidP="00DE46FA">
            <w:pPr>
              <w:jc w:val="center"/>
              <w:rPr>
                <w:rFonts w:ascii="Palatino Linotype" w:eastAsia="Palatino Linotype" w:hAnsi="Palatino Linotype" w:cs="Palatino Linotype"/>
                <w:b/>
                <w:i/>
                <w:color w:val="000000" w:themeColor="text1"/>
              </w:rPr>
            </w:pPr>
            <w:r w:rsidRPr="00DE46FA">
              <w:rPr>
                <w:rFonts w:ascii="Palatino Linotype" w:eastAsia="Palatino Linotype" w:hAnsi="Palatino Linotype" w:cs="Palatino Linotype"/>
                <w:b/>
                <w:i/>
                <w:color w:val="000000" w:themeColor="text1"/>
              </w:rPr>
              <w:t>Solicitud de información</w:t>
            </w:r>
          </w:p>
        </w:tc>
        <w:tc>
          <w:tcPr>
            <w:tcW w:w="5245" w:type="dxa"/>
          </w:tcPr>
          <w:p w:rsidR="00B97067" w:rsidRPr="00DE46FA" w:rsidRDefault="00B97067" w:rsidP="00DE46FA">
            <w:pPr>
              <w:jc w:val="center"/>
              <w:rPr>
                <w:rFonts w:ascii="Palatino Linotype" w:eastAsia="Palatino Linotype" w:hAnsi="Palatino Linotype" w:cs="Palatino Linotype"/>
                <w:b/>
                <w:i/>
                <w:color w:val="000000" w:themeColor="text1"/>
              </w:rPr>
            </w:pPr>
            <w:r w:rsidRPr="00DE46FA">
              <w:rPr>
                <w:rFonts w:ascii="Palatino Linotype" w:eastAsia="Palatino Linotype" w:hAnsi="Palatino Linotype" w:cs="Palatino Linotype"/>
                <w:b/>
                <w:i/>
                <w:color w:val="000000" w:themeColor="text1"/>
              </w:rPr>
              <w:t>Información solicitada</w:t>
            </w:r>
          </w:p>
        </w:tc>
      </w:tr>
      <w:tr w:rsidR="004533D3" w:rsidRPr="00835EA3" w:rsidTr="00DE46FA">
        <w:tc>
          <w:tcPr>
            <w:tcW w:w="4389" w:type="dxa"/>
          </w:tcPr>
          <w:p w:rsidR="00B97067" w:rsidRPr="00835EA3" w:rsidRDefault="00E127D9"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bCs/>
                <w:i/>
                <w:color w:val="000000" w:themeColor="text1"/>
              </w:rPr>
              <w:t>00456/ECATEPEC/IP/2025</w:t>
            </w:r>
          </w:p>
          <w:p w:rsidR="00B97067" w:rsidRPr="00835EA3" w:rsidRDefault="00B97067" w:rsidP="004533D3">
            <w:pPr>
              <w:jc w:val="both"/>
              <w:rPr>
                <w:rFonts w:ascii="Palatino Linotype" w:eastAsia="Palatino Linotype" w:hAnsi="Palatino Linotype" w:cs="Palatino Linotype"/>
                <w:i/>
                <w:color w:val="000000" w:themeColor="text1"/>
              </w:rPr>
            </w:pPr>
          </w:p>
        </w:tc>
        <w:tc>
          <w:tcPr>
            <w:tcW w:w="5245" w:type="dxa"/>
          </w:tcPr>
          <w:p w:rsidR="00277E9B" w:rsidRPr="00835EA3" w:rsidRDefault="00DE46FA" w:rsidP="004533D3">
            <w:pPr>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1.</w:t>
            </w:r>
            <w:r w:rsidR="00277E9B" w:rsidRPr="00835EA3">
              <w:rPr>
                <w:rFonts w:ascii="Palatino Linotype" w:eastAsia="Palatino Linotype" w:hAnsi="Palatino Linotype" w:cs="Palatino Linotype"/>
                <w:i/>
                <w:color w:val="000000" w:themeColor="text1"/>
              </w:rPr>
              <w:t xml:space="preserve"> El contrato, convenio de colaboración y/o similar y el procedimiento adquisitivo y/o el procedimiento </w:t>
            </w:r>
            <w:r w:rsidR="00277E9B" w:rsidRPr="00835EA3">
              <w:rPr>
                <w:rFonts w:ascii="Palatino Linotype" w:eastAsia="Palatino Linotype" w:hAnsi="Palatino Linotype" w:cs="Palatino Linotype"/>
                <w:i/>
                <w:color w:val="000000" w:themeColor="text1"/>
              </w:rPr>
              <w:lastRenderedPageBreak/>
              <w:t xml:space="preserve">administrativo que se está llevando a cabo con Corazón Urbano A.C </w:t>
            </w:r>
          </w:p>
          <w:p w:rsidR="008C3F97" w:rsidRPr="00835EA3" w:rsidRDefault="00277E9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2.- Especificaciones técnicas de la pinta de fachadas en la zona conocida como San Juan Alcahuacan. </w:t>
            </w:r>
          </w:p>
          <w:p w:rsidR="00277E9B"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3.- </w:t>
            </w:r>
            <w:r w:rsidR="00277E9B" w:rsidRPr="00835EA3">
              <w:rPr>
                <w:rFonts w:ascii="Palatino Linotype" w:eastAsia="Palatino Linotype" w:hAnsi="Palatino Linotype" w:cs="Palatino Linotype"/>
                <w:i/>
                <w:color w:val="000000" w:themeColor="text1"/>
              </w:rPr>
              <w:t>Logística y Planeación de dicho programa.</w:t>
            </w:r>
          </w:p>
          <w:p w:rsidR="00277E9B"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4</w:t>
            </w:r>
            <w:r w:rsidR="00277E9B" w:rsidRPr="00835EA3">
              <w:rPr>
                <w:rFonts w:ascii="Palatino Linotype" w:eastAsia="Palatino Linotype" w:hAnsi="Palatino Linotype" w:cs="Palatino Linotype"/>
                <w:i/>
                <w:color w:val="000000" w:themeColor="text1"/>
              </w:rPr>
              <w:t xml:space="preserve">.- Marca de los materiales a utilizar </w:t>
            </w:r>
          </w:p>
          <w:p w:rsidR="00277E9B"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5</w:t>
            </w:r>
            <w:r w:rsidR="00277E9B" w:rsidRPr="00835EA3">
              <w:rPr>
                <w:rFonts w:ascii="Palatino Linotype" w:eastAsia="Palatino Linotype" w:hAnsi="Palatino Linotype" w:cs="Palatino Linotype"/>
                <w:i/>
                <w:color w:val="000000" w:themeColor="text1"/>
              </w:rPr>
              <w:t xml:space="preserve">.- Facturas de pago a la Asociación Civil, al apoderado legal y al proveedor de pintura. </w:t>
            </w:r>
          </w:p>
          <w:p w:rsidR="00277E9B"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6</w:t>
            </w:r>
            <w:r w:rsidR="00277E9B" w:rsidRPr="00835EA3">
              <w:rPr>
                <w:rFonts w:ascii="Palatino Linotype" w:eastAsia="Palatino Linotype" w:hAnsi="Palatino Linotype" w:cs="Palatino Linotype"/>
                <w:i/>
                <w:color w:val="000000" w:themeColor="text1"/>
              </w:rPr>
              <w:t xml:space="preserve">.- Estimación de rendimiento x litro de pintura. </w:t>
            </w:r>
          </w:p>
          <w:p w:rsidR="00B9706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7</w:t>
            </w:r>
            <w:r w:rsidR="00277E9B" w:rsidRPr="00835EA3">
              <w:rPr>
                <w:rFonts w:ascii="Palatino Linotype" w:eastAsia="Palatino Linotype" w:hAnsi="Palatino Linotype" w:cs="Palatino Linotype"/>
                <w:i/>
                <w:color w:val="000000" w:themeColor="text1"/>
              </w:rPr>
              <w:t xml:space="preserve">.- Saber si existirán más polígonos y/o puntos que serán pintados por la Asociación  Civil  </w:t>
            </w:r>
          </w:p>
        </w:tc>
      </w:tr>
      <w:tr w:rsidR="00B97067" w:rsidRPr="00835EA3" w:rsidTr="00DE46FA">
        <w:tc>
          <w:tcPr>
            <w:tcW w:w="4389" w:type="dxa"/>
          </w:tcPr>
          <w:p w:rsidR="00B97067" w:rsidRPr="00835EA3" w:rsidRDefault="00E127D9"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lastRenderedPageBreak/>
              <w:t>00455/ECATEPEC/IP/2025</w:t>
            </w:r>
          </w:p>
          <w:p w:rsidR="00B97067" w:rsidRPr="00835EA3" w:rsidRDefault="00B97067" w:rsidP="004533D3">
            <w:pPr>
              <w:jc w:val="both"/>
              <w:rPr>
                <w:rFonts w:ascii="Palatino Linotype" w:eastAsia="Palatino Linotype" w:hAnsi="Palatino Linotype" w:cs="Palatino Linotype"/>
                <w:i/>
                <w:color w:val="000000" w:themeColor="text1"/>
              </w:rPr>
            </w:pPr>
          </w:p>
        </w:tc>
        <w:tc>
          <w:tcPr>
            <w:tcW w:w="5245" w:type="dxa"/>
          </w:tcPr>
          <w:p w:rsidR="008C3F9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1.- </w:t>
            </w:r>
            <w:r w:rsidR="00277E9B" w:rsidRPr="00835EA3">
              <w:rPr>
                <w:rFonts w:ascii="Palatino Linotype" w:eastAsia="Palatino Linotype" w:hAnsi="Palatino Linotype" w:cs="Palatino Linotype"/>
                <w:i/>
                <w:color w:val="000000" w:themeColor="text1"/>
              </w:rPr>
              <w:t>Contrato, convenio de colaboración y/o similar y el procedimiento adquisitivo y/o el procedimiento administrativo q</w:t>
            </w:r>
            <w:r w:rsidRPr="00835EA3">
              <w:rPr>
                <w:rFonts w:ascii="Palatino Linotype" w:eastAsia="Palatino Linotype" w:hAnsi="Palatino Linotype" w:cs="Palatino Linotype"/>
                <w:i/>
                <w:color w:val="000000" w:themeColor="text1"/>
              </w:rPr>
              <w:t>ue se está llevando a cabo con Corazón U</w:t>
            </w:r>
            <w:r w:rsidR="00277E9B" w:rsidRPr="00835EA3">
              <w:rPr>
                <w:rFonts w:ascii="Palatino Linotype" w:eastAsia="Palatino Linotype" w:hAnsi="Palatino Linotype" w:cs="Palatino Linotype"/>
                <w:i/>
                <w:color w:val="000000" w:themeColor="text1"/>
              </w:rPr>
              <w:t xml:space="preserve">rbano </w:t>
            </w:r>
          </w:p>
          <w:p w:rsidR="008C3F9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2.- </w:t>
            </w:r>
            <w:r w:rsidR="00277E9B" w:rsidRPr="00835EA3">
              <w:rPr>
                <w:rFonts w:ascii="Palatino Linotype" w:eastAsia="Palatino Linotype" w:hAnsi="Palatino Linotype" w:cs="Palatino Linotype"/>
                <w:i/>
                <w:color w:val="000000" w:themeColor="text1"/>
              </w:rPr>
              <w:t>especificaciones técnicas de la pinta de fac</w:t>
            </w:r>
            <w:r w:rsidRPr="00835EA3">
              <w:rPr>
                <w:rFonts w:ascii="Palatino Linotype" w:eastAsia="Palatino Linotype" w:hAnsi="Palatino Linotype" w:cs="Palatino Linotype"/>
                <w:i/>
                <w:color w:val="000000" w:themeColor="text1"/>
              </w:rPr>
              <w:t>hadas en la zona conocida como San Juan A</w:t>
            </w:r>
            <w:r w:rsidR="00277E9B" w:rsidRPr="00835EA3">
              <w:rPr>
                <w:rFonts w:ascii="Palatino Linotype" w:eastAsia="Palatino Linotype" w:hAnsi="Palatino Linotype" w:cs="Palatino Linotype"/>
                <w:i/>
                <w:color w:val="000000" w:themeColor="text1"/>
              </w:rPr>
              <w:t xml:space="preserve">lcahuacan. </w:t>
            </w:r>
          </w:p>
          <w:p w:rsidR="008C3F9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3.- Logística</w:t>
            </w:r>
            <w:r w:rsidR="00277E9B" w:rsidRPr="00835EA3">
              <w:rPr>
                <w:rFonts w:ascii="Palatino Linotype" w:eastAsia="Palatino Linotype" w:hAnsi="Palatino Linotype" w:cs="Palatino Linotype"/>
                <w:i/>
                <w:color w:val="000000" w:themeColor="text1"/>
              </w:rPr>
              <w:t xml:space="preserve"> y planeación de dicho programa. </w:t>
            </w:r>
          </w:p>
          <w:p w:rsidR="008C3F9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4.- </w:t>
            </w:r>
            <w:r w:rsidR="00277E9B" w:rsidRPr="00835EA3">
              <w:rPr>
                <w:rFonts w:ascii="Palatino Linotype" w:eastAsia="Palatino Linotype" w:hAnsi="Palatino Linotype" w:cs="Palatino Linotype"/>
                <w:i/>
                <w:color w:val="000000" w:themeColor="text1"/>
              </w:rPr>
              <w:t>marca de los materiales a utilizar</w:t>
            </w:r>
          </w:p>
          <w:p w:rsidR="008C3F9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5.- Facturas</w:t>
            </w:r>
            <w:r w:rsidR="00277E9B" w:rsidRPr="00835EA3">
              <w:rPr>
                <w:rFonts w:ascii="Palatino Linotype" w:eastAsia="Palatino Linotype" w:hAnsi="Palatino Linotype" w:cs="Palatino Linotype"/>
                <w:i/>
                <w:color w:val="000000" w:themeColor="text1"/>
              </w:rPr>
              <w:t xml:space="preserve"> de pago a la asociación civil, al apoderado legal y al proveedor de pintura. </w:t>
            </w:r>
          </w:p>
          <w:p w:rsidR="008C3F97" w:rsidRPr="00835EA3" w:rsidRDefault="008C3F9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6.- Estimación</w:t>
            </w:r>
            <w:r w:rsidR="00277E9B" w:rsidRPr="00835EA3">
              <w:rPr>
                <w:rFonts w:ascii="Palatino Linotype" w:eastAsia="Palatino Linotype" w:hAnsi="Palatino Linotype" w:cs="Palatino Linotype"/>
                <w:i/>
                <w:color w:val="000000" w:themeColor="text1"/>
              </w:rPr>
              <w:t xml:space="preserve"> de rendimiento x litro de pintura.</w:t>
            </w:r>
          </w:p>
          <w:p w:rsidR="00B97067" w:rsidRPr="00835EA3" w:rsidRDefault="00277E9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 </w:t>
            </w:r>
          </w:p>
        </w:tc>
      </w:tr>
    </w:tbl>
    <w:p w:rsidR="00B97067" w:rsidRDefault="00B97067" w:rsidP="004533D3">
      <w:pPr>
        <w:pStyle w:val="Prrafodelista"/>
        <w:spacing w:line="360" w:lineRule="auto"/>
        <w:ind w:left="0"/>
        <w:jc w:val="both"/>
        <w:rPr>
          <w:rFonts w:ascii="Palatino Linotype" w:eastAsia="Palatino Linotype" w:hAnsi="Palatino Linotype" w:cs="Palatino Linotype"/>
          <w:b/>
          <w:i/>
          <w:color w:val="000000" w:themeColor="text1"/>
        </w:rPr>
      </w:pPr>
    </w:p>
    <w:p w:rsidR="00DE46FA" w:rsidRPr="00835EA3" w:rsidRDefault="00DE46FA" w:rsidP="004533D3">
      <w:pPr>
        <w:pStyle w:val="Prrafodelista"/>
        <w:spacing w:line="360" w:lineRule="auto"/>
        <w:ind w:left="0"/>
        <w:jc w:val="both"/>
        <w:rPr>
          <w:rFonts w:ascii="Palatino Linotype" w:eastAsia="Palatino Linotype" w:hAnsi="Palatino Linotype" w:cs="Palatino Linotype"/>
          <w:b/>
          <w:i/>
          <w:color w:val="000000" w:themeColor="text1"/>
        </w:rPr>
      </w:pPr>
    </w:p>
    <w:p w:rsidR="00BF75C7" w:rsidRPr="00835EA3" w:rsidRDefault="00BF75C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Como se analizó en el apartado de antecedentes, el </w:t>
      </w:r>
      <w:r w:rsidRPr="00835EA3">
        <w:rPr>
          <w:rFonts w:ascii="Palatino Linotype" w:eastAsia="Palatino Linotype" w:hAnsi="Palatino Linotype" w:cs="Palatino Linotype"/>
          <w:b/>
          <w:color w:val="000000" w:themeColor="text1"/>
        </w:rPr>
        <w:t xml:space="preserve">SUJETO OBLIGADO </w:t>
      </w:r>
      <w:r w:rsidRPr="00835EA3">
        <w:rPr>
          <w:rFonts w:ascii="Palatino Linotype" w:eastAsia="Palatino Linotype" w:hAnsi="Palatino Linotype" w:cs="Palatino Linotype"/>
          <w:color w:val="000000" w:themeColor="text1"/>
        </w:rPr>
        <w:t xml:space="preserve">fue omiso en rendir respuesta inicial a las solicitudes de información </w:t>
      </w:r>
      <w:r w:rsidRPr="00835EA3">
        <w:rPr>
          <w:rFonts w:ascii="Palatino Linotype" w:eastAsia="Palatino Linotype" w:hAnsi="Palatino Linotype" w:cs="Palatino Linotype"/>
          <w:b/>
          <w:bCs/>
          <w:color w:val="000000" w:themeColor="text1"/>
        </w:rPr>
        <w:t>00456/ECATEPEC/IP/2025 y 00455/ECATEPEC/IP/2025.</w:t>
      </w:r>
    </w:p>
    <w:p w:rsidR="00B97067" w:rsidRPr="00835EA3" w:rsidRDefault="00B97067" w:rsidP="004533D3">
      <w:pPr>
        <w:tabs>
          <w:tab w:val="left" w:pos="1225"/>
        </w:tabs>
        <w:spacing w:line="360" w:lineRule="auto"/>
        <w:jc w:val="both"/>
        <w:rPr>
          <w:rFonts w:ascii="Palatino Linotype" w:eastAsia="Palatino Linotype" w:hAnsi="Palatino Linotype" w:cs="Palatino Linotype"/>
          <w:b/>
          <w:i/>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En dichas condiciones, la </w:t>
      </w:r>
      <w:r w:rsidRPr="00835EA3">
        <w:rPr>
          <w:rFonts w:ascii="Palatino Linotype" w:eastAsia="Palatino Linotype" w:hAnsi="Palatino Linotype" w:cs="Palatino Linotype"/>
          <w:i/>
          <w:color w:val="000000" w:themeColor="text1"/>
        </w:rPr>
        <w:t>Litis</w:t>
      </w:r>
      <w:r w:rsidRPr="00835EA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835EA3">
        <w:rPr>
          <w:rFonts w:ascii="Palatino Linotype" w:eastAsia="Palatino Linotype" w:hAnsi="Palatino Linotype" w:cs="Palatino Linotype"/>
          <w:b/>
          <w:color w:val="000000" w:themeColor="text1"/>
        </w:rPr>
        <w:t>fracción V</w:t>
      </w:r>
      <w:r w:rsidR="00CF506C" w:rsidRPr="00835EA3">
        <w:rPr>
          <w:rFonts w:ascii="Palatino Linotype" w:eastAsia="Palatino Linotype" w:hAnsi="Palatino Linotype" w:cs="Palatino Linotype"/>
          <w:b/>
          <w:color w:val="000000" w:themeColor="text1"/>
        </w:rPr>
        <w:t xml:space="preserve">II </w:t>
      </w:r>
      <w:r w:rsidRPr="00835EA3">
        <w:rPr>
          <w:rFonts w:ascii="Palatino Linotype" w:eastAsia="Palatino Linotype" w:hAnsi="Palatino Linotype" w:cs="Palatino Linotype"/>
          <w:color w:val="000000" w:themeColor="text1"/>
        </w:rPr>
        <w:t xml:space="preserve">de la </w:t>
      </w:r>
      <w:r w:rsidRPr="00835EA3">
        <w:rPr>
          <w:rFonts w:ascii="Palatino Linotype" w:eastAsia="Palatino Linotype" w:hAnsi="Palatino Linotype" w:cs="Palatino Linotype"/>
          <w:color w:val="000000" w:themeColor="text1"/>
        </w:rPr>
        <w:lastRenderedPageBreak/>
        <w:t>Ley</w:t>
      </w:r>
      <w:r w:rsidRPr="00835EA3">
        <w:rPr>
          <w:rFonts w:ascii="Palatino Linotype" w:eastAsia="Palatino Linotype" w:hAnsi="Palatino Linotype" w:cs="Palatino Linotype"/>
          <w:b/>
          <w:color w:val="000000" w:themeColor="text1"/>
        </w:rPr>
        <w:t xml:space="preserve"> de Transparencia y Acceso a la Información Pública del Estado de </w:t>
      </w:r>
      <w:r w:rsidRPr="00835EA3">
        <w:rPr>
          <w:rFonts w:ascii="Palatino Linotype" w:eastAsia="Palatino Linotype" w:hAnsi="Palatino Linotype" w:cs="Palatino Linotype"/>
          <w:color w:val="000000" w:themeColor="text1"/>
        </w:rPr>
        <w:t>México</w:t>
      </w:r>
      <w:r w:rsidRPr="00835EA3">
        <w:rPr>
          <w:rFonts w:ascii="Palatino Linotype" w:eastAsia="Palatino Linotype" w:hAnsi="Palatino Linotype" w:cs="Palatino Linotype"/>
          <w:b/>
          <w:color w:val="000000" w:themeColor="text1"/>
        </w:rPr>
        <w:t xml:space="preserve"> y Municipios</w:t>
      </w:r>
      <w:r w:rsidRPr="00835EA3">
        <w:rPr>
          <w:rFonts w:ascii="Palatino Linotype" w:eastAsia="Palatino Linotype" w:hAnsi="Palatino Linotype" w:cs="Palatino Linotype"/>
          <w:color w:val="000000" w:themeColor="text1"/>
        </w:rPr>
        <w:t>; fracción qu</w:t>
      </w:r>
      <w:r w:rsidR="00CF506C" w:rsidRPr="00835EA3">
        <w:rPr>
          <w:rFonts w:ascii="Palatino Linotype" w:eastAsia="Palatino Linotype" w:hAnsi="Palatino Linotype" w:cs="Palatino Linotype"/>
          <w:color w:val="000000" w:themeColor="text1"/>
        </w:rPr>
        <w:t>e determina la falta de respuesta a una solicitud de información</w:t>
      </w:r>
      <w:r w:rsidRPr="00835EA3">
        <w:rPr>
          <w:rFonts w:ascii="Palatino Linotype" w:eastAsia="Palatino Linotype" w:hAnsi="Palatino Linotype" w:cs="Palatino Linotype"/>
          <w:color w:val="000000" w:themeColor="text1"/>
        </w:rPr>
        <w:t xml:space="preserve">; contexto del cual se dolió </w:t>
      </w:r>
      <w:r w:rsidRPr="00835EA3">
        <w:rPr>
          <w:rFonts w:ascii="Palatino Linotype" w:eastAsia="Palatino Linotype" w:hAnsi="Palatino Linotype" w:cs="Palatino Linotype"/>
          <w:b/>
          <w:color w:val="000000" w:themeColor="text1"/>
        </w:rPr>
        <w:t xml:space="preserve">EL RECURRENTE </w:t>
      </w:r>
      <w:r w:rsidRPr="00835EA3">
        <w:rPr>
          <w:rFonts w:ascii="Palatino Linotype" w:eastAsia="Palatino Linotype" w:hAnsi="Palatino Linotype" w:cs="Palatino Linotype"/>
          <w:color w:val="000000" w:themeColor="text1"/>
        </w:rPr>
        <w:t>al momento de interponer su</w:t>
      </w:r>
      <w:r w:rsidR="00CF506C" w:rsidRPr="00835EA3">
        <w:rPr>
          <w:rFonts w:ascii="Palatino Linotype" w:eastAsia="Palatino Linotype" w:hAnsi="Palatino Linotype" w:cs="Palatino Linotype"/>
          <w:color w:val="000000" w:themeColor="text1"/>
        </w:rPr>
        <w:t>s inconformidades.</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 modo tal que los recursos de revisión se abocaran en determinar si el </w:t>
      </w:r>
      <w:r w:rsidRPr="00835EA3">
        <w:rPr>
          <w:rFonts w:ascii="Palatino Linotype" w:eastAsia="Palatino Linotype" w:hAnsi="Palatino Linotype" w:cs="Palatino Linotype"/>
          <w:b/>
          <w:color w:val="000000" w:themeColor="text1"/>
        </w:rPr>
        <w:t>SUJETO OBLIGADO</w:t>
      </w:r>
      <w:r w:rsidRPr="00835EA3">
        <w:rPr>
          <w:rFonts w:ascii="Palatino Linotype" w:eastAsia="Palatino Linotype" w:hAnsi="Palatino Linotype" w:cs="Palatino Linotype"/>
          <w:color w:val="000000" w:themeColor="text1"/>
        </w:rPr>
        <w:t xml:space="preserve"> con sus respuestas ciertamente actualiza la causal de procedencia</w:t>
      </w:r>
      <w:r w:rsidRPr="00835EA3">
        <w:rPr>
          <w:rFonts w:ascii="Palatino Linotype" w:eastAsia="Palatino Linotype" w:hAnsi="Palatino Linotype" w:cs="Palatino Linotype"/>
          <w:b/>
          <w:color w:val="000000" w:themeColor="text1"/>
        </w:rPr>
        <w:t xml:space="preserve"> </w:t>
      </w:r>
      <w:r w:rsidRPr="00835EA3">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97067" w:rsidRPr="00835EA3" w:rsidRDefault="00B97067" w:rsidP="004533D3">
      <w:pPr>
        <w:spacing w:line="360" w:lineRule="auto"/>
        <w:rPr>
          <w:rFonts w:ascii="Palatino Linotype" w:eastAsia="Palatino Linotype" w:hAnsi="Palatino Linotype" w:cs="Palatino Linotype"/>
          <w:color w:val="000000" w:themeColor="text1"/>
        </w:rPr>
      </w:pPr>
    </w:p>
    <w:p w:rsidR="00B97067" w:rsidRPr="00835EA3" w:rsidRDefault="00B97067" w:rsidP="004533D3">
      <w:pPr>
        <w:keepNext/>
        <w:keepLines/>
        <w:spacing w:line="360" w:lineRule="auto"/>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t>CUARTO. Del estudio y resolución del asunto</w:t>
      </w:r>
    </w:p>
    <w:p w:rsidR="00B97067" w:rsidRPr="00835EA3" w:rsidRDefault="00B97067" w:rsidP="00DE46FA">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3" w:name="_heading=h.2s8eyo1" w:colFirst="0" w:colLast="0"/>
      <w:bookmarkEnd w:id="3"/>
      <w:r w:rsidRPr="00835EA3">
        <w:rPr>
          <w:rFonts w:ascii="Palatino Linotype" w:eastAsia="Palatino Linotype" w:hAnsi="Palatino Linotype" w:cs="Palatino Linotype"/>
          <w:b/>
          <w:color w:val="000000" w:themeColor="text1"/>
        </w:rPr>
        <w:t>Del derecho de acceso a la información.</w:t>
      </w:r>
    </w:p>
    <w:p w:rsidR="00B97067" w:rsidRPr="00835EA3" w:rsidRDefault="00B97067" w:rsidP="004533D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 xml:space="preserve">Definiendo el Derecho de Acceso a la Información Pública como: </w:t>
      </w:r>
      <w:r w:rsidRPr="00835EA3">
        <w:rPr>
          <w:rFonts w:ascii="Palatino Linotype" w:eastAsia="Palatino Linotype" w:hAnsi="Palatino Linotype" w:cs="Palatino Linotype"/>
          <w:i/>
          <w:color w:val="000000" w:themeColor="text1"/>
        </w:rPr>
        <w:t>La igualdad de oportunidades para recibir, buscar e impartir información</w:t>
      </w:r>
      <w:r w:rsidRPr="00835EA3">
        <w:rPr>
          <w:rFonts w:ascii="Palatino Linotype" w:eastAsia="Palatino Linotype" w:hAnsi="Palatino Linotype" w:cs="Palatino Linotype"/>
          <w:i/>
          <w:color w:val="000000" w:themeColor="text1"/>
          <w:vertAlign w:val="superscript"/>
        </w:rPr>
        <w:footnoteReference w:id="2"/>
      </w:r>
      <w:r w:rsidRPr="00835EA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5EA3">
        <w:rPr>
          <w:rFonts w:ascii="Palatino Linotype" w:eastAsia="Palatino Linotype" w:hAnsi="Palatino Linotype" w:cs="Palatino Linotype"/>
          <w:i/>
          <w:color w:val="000000" w:themeColor="text1"/>
          <w:vertAlign w:val="superscript"/>
        </w:rPr>
        <w:footnoteReference w:id="3"/>
      </w:r>
      <w:r w:rsidRPr="00835EA3">
        <w:rPr>
          <w:rFonts w:ascii="Palatino Linotype" w:eastAsia="Palatino Linotype" w:hAnsi="Palatino Linotype" w:cs="Palatino Linotype"/>
          <w:color w:val="000000" w:themeColor="text1"/>
        </w:rPr>
        <w:t>que se constituye como una herramienta fundamental para ejercer</w:t>
      </w:r>
      <w:r w:rsidRPr="00835EA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35EA3">
        <w:rPr>
          <w:rFonts w:ascii="Palatino Linotype" w:eastAsia="Palatino Linotype" w:hAnsi="Palatino Linotype" w:cs="Palatino Linotype"/>
          <w:i/>
          <w:color w:val="000000" w:themeColor="text1"/>
          <w:vertAlign w:val="superscript"/>
        </w:rPr>
        <w:footnoteReference w:id="4"/>
      </w:r>
      <w:r w:rsidRPr="00835EA3">
        <w:rPr>
          <w:rFonts w:ascii="Palatino Linotype" w:eastAsia="Palatino Linotype" w:hAnsi="Palatino Linotype" w:cs="Palatino Linotype"/>
          <w:color w:val="000000" w:themeColor="text1"/>
        </w:rPr>
        <w:t>fomentando</w:t>
      </w:r>
      <w:r w:rsidRPr="00835EA3">
        <w:rPr>
          <w:rFonts w:ascii="Palatino Linotype" w:eastAsia="Palatino Linotype" w:hAnsi="Palatino Linotype" w:cs="Palatino Linotype"/>
          <w:i/>
          <w:color w:val="000000" w:themeColor="text1"/>
        </w:rPr>
        <w:t xml:space="preserve"> la transparencia de las actividades estatales y </w:t>
      </w:r>
      <w:r w:rsidRPr="00835EA3">
        <w:rPr>
          <w:rFonts w:ascii="Palatino Linotype" w:eastAsia="Palatino Linotype" w:hAnsi="Palatino Linotype" w:cs="Palatino Linotype"/>
          <w:color w:val="000000" w:themeColor="text1"/>
        </w:rPr>
        <w:t>promoviendo</w:t>
      </w:r>
      <w:r w:rsidRPr="00835EA3">
        <w:rPr>
          <w:rFonts w:ascii="Palatino Linotype" w:eastAsia="Palatino Linotype" w:hAnsi="Palatino Linotype" w:cs="Palatino Linotype"/>
          <w:i/>
          <w:color w:val="000000" w:themeColor="text1"/>
        </w:rPr>
        <w:t xml:space="preserve"> la responsabilidad de los funcionarios sobre su gestión pública,</w:t>
      </w:r>
      <w:r w:rsidRPr="00835EA3">
        <w:rPr>
          <w:rFonts w:ascii="Palatino Linotype" w:eastAsia="Palatino Linotype" w:hAnsi="Palatino Linotype" w:cs="Palatino Linotype"/>
          <w:i/>
          <w:color w:val="000000" w:themeColor="text1"/>
          <w:vertAlign w:val="superscript"/>
        </w:rPr>
        <w:footnoteReference w:id="5"/>
      </w:r>
      <w:r w:rsidRPr="00835EA3">
        <w:rPr>
          <w:rFonts w:ascii="Palatino Linotype" w:eastAsia="Palatino Linotype" w:hAnsi="Palatino Linotype" w:cs="Palatino Linotype"/>
          <w:color w:val="000000" w:themeColor="text1"/>
        </w:rPr>
        <w:t>que permite</w:t>
      </w:r>
      <w:r w:rsidRPr="00835EA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B97067" w:rsidRPr="00835EA3" w:rsidRDefault="00B9706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r w:rsidRPr="00835EA3">
        <w:rPr>
          <w:rFonts w:ascii="Palatino Linotype" w:eastAsia="Palatino Linotype" w:hAnsi="Palatino Linotype" w:cs="Palatino Linotype"/>
          <w:b/>
          <w:i/>
          <w:color w:val="000000" w:themeColor="text1"/>
        </w:rPr>
        <w:t>Artículo 1.-</w:t>
      </w:r>
      <w:r w:rsidRPr="00835EA3">
        <w:rPr>
          <w:rFonts w:ascii="Palatino Linotype" w:eastAsia="Palatino Linotype" w:hAnsi="Palatino Linotype" w:cs="Palatino Linotype"/>
          <w:i/>
          <w:color w:val="000000" w:themeColor="text1"/>
        </w:rPr>
        <w:t xml:space="preserve"> </w:t>
      </w:r>
    </w:p>
    <w:p w:rsidR="00B97067" w:rsidRPr="00835EA3" w:rsidRDefault="00B9706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p>
    <w:p w:rsidR="00B97067" w:rsidRPr="00835EA3" w:rsidRDefault="00B9706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Todas las</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97067" w:rsidRPr="00835EA3" w:rsidRDefault="00B97067" w:rsidP="004533D3">
      <w:pPr>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i/>
          <w:color w:val="000000" w:themeColor="text1"/>
        </w:rPr>
        <w:lastRenderedPageBreak/>
        <w:t>(…)</w:t>
      </w:r>
      <w:r w:rsidRPr="00835EA3">
        <w:rPr>
          <w:rFonts w:ascii="Palatino Linotype" w:eastAsia="Palatino Linotype" w:hAnsi="Palatino Linotype" w:cs="Palatino Linotype"/>
          <w:color w:val="000000" w:themeColor="text1"/>
        </w:rPr>
        <w:t>”.</w:t>
      </w:r>
    </w:p>
    <w:p w:rsidR="00B97067" w:rsidRPr="00835EA3" w:rsidRDefault="00B97067" w:rsidP="004533D3">
      <w:pPr>
        <w:jc w:val="both"/>
        <w:rPr>
          <w:rFonts w:ascii="Palatino Linotype" w:eastAsia="Palatino Linotype" w:hAnsi="Palatino Linotype" w:cs="Palatino Linotype"/>
          <w:b/>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97067" w:rsidRPr="00835EA3" w:rsidRDefault="00B97067" w:rsidP="004533D3">
      <w:pPr>
        <w:tabs>
          <w:tab w:val="left" w:pos="7938"/>
        </w:tabs>
        <w:spacing w:after="240"/>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Constitución Política de los Estados Unidos Mexicanos</w:t>
      </w:r>
    </w:p>
    <w:p w:rsidR="00B97067" w:rsidRPr="00835EA3" w:rsidRDefault="00B97067" w:rsidP="004533D3">
      <w:pPr>
        <w:tabs>
          <w:tab w:val="left" w:pos="7938"/>
        </w:tabs>
        <w:spacing w:before="240" w:after="240"/>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“Artículo 6.</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Para efectos de lo dispuesto en el presente artículo se observará lo siguiente:</w:t>
      </w:r>
    </w:p>
    <w:p w:rsidR="00B97067" w:rsidRPr="00835EA3" w:rsidRDefault="00B97067" w:rsidP="004533D3">
      <w:pPr>
        <w:tabs>
          <w:tab w:val="left" w:pos="7938"/>
        </w:tabs>
        <w:spacing w:before="240" w:after="240"/>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A</w:t>
      </w: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rPr>
        <w:t>Para el ejercicio del derecho de acceso a la información</w:t>
      </w:r>
      <w:r w:rsidRPr="00835EA3">
        <w:rPr>
          <w:rFonts w:ascii="Palatino Linotype" w:eastAsia="Palatino Linotype" w:hAnsi="Palatino Linotype" w:cs="Palatino Linotype"/>
          <w:i/>
          <w:color w:val="000000" w:themeColor="text1"/>
        </w:rPr>
        <w:t xml:space="preserve">, la Federación y </w:t>
      </w:r>
      <w:r w:rsidRPr="00835EA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I. Toda la información en posesión de cualquier</w:t>
      </w: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rPr>
        <w:t>autoridad</w:t>
      </w:r>
      <w:r w:rsidRPr="00835EA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35EA3">
        <w:rPr>
          <w:rFonts w:ascii="Palatino Linotype" w:eastAsia="Palatino Linotype" w:hAnsi="Palatino Linotype" w:cs="Palatino Linotype"/>
          <w:b/>
          <w:i/>
          <w:color w:val="000000" w:themeColor="text1"/>
        </w:rPr>
        <w:t>municipal</w:t>
      </w: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rPr>
        <w:t>es pública</w:t>
      </w:r>
      <w:r w:rsidRPr="00835EA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35EA3">
        <w:rPr>
          <w:rFonts w:ascii="Palatino Linotype" w:eastAsia="Palatino Linotype" w:hAnsi="Palatino Linotype" w:cs="Palatino Linotype"/>
          <w:b/>
          <w:i/>
          <w:color w:val="000000" w:themeColor="text1"/>
        </w:rPr>
        <w:t xml:space="preserve">En la interpretación de este derecho deberá prevalecer el principio de máxima publicidad. Los sujetos obligados deberán documentar todo acto que derive del ejercicio de </w:t>
      </w:r>
      <w:r w:rsidRPr="00835EA3">
        <w:rPr>
          <w:rFonts w:ascii="Palatino Linotype" w:eastAsia="Palatino Linotype" w:hAnsi="Palatino Linotype" w:cs="Palatino Linotype"/>
          <w:b/>
          <w:i/>
          <w:color w:val="000000" w:themeColor="text1"/>
        </w:rPr>
        <w:lastRenderedPageBreak/>
        <w:t>sus facultades, competencias o funciones</w:t>
      </w:r>
      <w:r w:rsidRPr="00835EA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B97067" w:rsidRPr="00835EA3" w:rsidRDefault="00B97067" w:rsidP="004533D3">
      <w:pPr>
        <w:tabs>
          <w:tab w:val="left" w:pos="567"/>
          <w:tab w:val="left" w:pos="7938"/>
        </w:tabs>
        <w:spacing w:before="240"/>
        <w:jc w:val="both"/>
        <w:rPr>
          <w:rFonts w:ascii="Palatino Linotype" w:eastAsia="Palatino Linotype" w:hAnsi="Palatino Linotype" w:cs="Palatino Linotype"/>
          <w:b/>
          <w:i/>
          <w:color w:val="000000" w:themeColor="text1"/>
        </w:rPr>
      </w:pPr>
    </w:p>
    <w:p w:rsidR="00B97067" w:rsidRPr="00835EA3" w:rsidRDefault="00B97067" w:rsidP="004533D3">
      <w:pPr>
        <w:tabs>
          <w:tab w:val="left" w:pos="7938"/>
        </w:tabs>
        <w:spacing w:after="240"/>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Constitución Política del Estado Libre y Soberano de México</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“Artículo 5</w:t>
      </w:r>
      <w:r w:rsidRPr="00835EA3">
        <w:rPr>
          <w:rFonts w:ascii="Palatino Linotype" w:eastAsia="Palatino Linotype" w:hAnsi="Palatino Linotype" w:cs="Palatino Linotype"/>
          <w:i/>
          <w:color w:val="000000" w:themeColor="text1"/>
        </w:rPr>
        <w:t xml:space="preserve">.- </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35EA3">
        <w:rPr>
          <w:rFonts w:ascii="Palatino Linotype" w:eastAsia="Palatino Linotype" w:hAnsi="Palatino Linotype" w:cs="Palatino Linotype"/>
          <w:i/>
          <w:color w:val="000000" w:themeColor="text1"/>
        </w:rPr>
        <w:t>.</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Este derecho se regirá por los principios y bases siguientes</w:t>
      </w:r>
      <w:r w:rsidRPr="00835EA3">
        <w:rPr>
          <w:rFonts w:ascii="Palatino Linotype" w:eastAsia="Palatino Linotype" w:hAnsi="Palatino Linotype" w:cs="Palatino Linotype"/>
          <w:i/>
          <w:color w:val="000000" w:themeColor="text1"/>
        </w:rPr>
        <w:t>:</w:t>
      </w:r>
    </w:p>
    <w:p w:rsidR="00B97067" w:rsidRPr="00835EA3" w:rsidRDefault="00B97067" w:rsidP="004533D3">
      <w:pPr>
        <w:tabs>
          <w:tab w:val="left" w:pos="7938"/>
        </w:tabs>
        <w:spacing w:before="240" w:after="24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I. Toda la información en posesión de cualquier autoridad, entidad, órgano y organismos de los</w:t>
      </w:r>
      <w:r w:rsidRPr="00835EA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35EA3">
        <w:rPr>
          <w:rFonts w:ascii="Palatino Linotype" w:eastAsia="Palatino Linotype" w:hAnsi="Palatino Linotype" w:cs="Palatino Linotype"/>
          <w:b/>
          <w:i/>
          <w:color w:val="000000" w:themeColor="text1"/>
        </w:rPr>
        <w:t>municipales</w:t>
      </w:r>
      <w:r w:rsidRPr="00835EA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35EA3">
        <w:rPr>
          <w:rFonts w:ascii="Palatino Linotype" w:eastAsia="Palatino Linotype" w:hAnsi="Palatino Linotype" w:cs="Palatino Linotype"/>
          <w:b/>
          <w:i/>
          <w:color w:val="000000" w:themeColor="text1"/>
        </w:rPr>
        <w:t>es pública</w:t>
      </w:r>
      <w:r w:rsidRPr="00835EA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35EA3">
        <w:rPr>
          <w:rFonts w:ascii="Palatino Linotype" w:eastAsia="Palatino Linotype" w:hAnsi="Palatino Linotype" w:cs="Palatino Linotype"/>
          <w:b/>
          <w:i/>
          <w:color w:val="000000" w:themeColor="text1"/>
        </w:rPr>
        <w:t>En la interpretación de este derecho deberá prevalecer el principio de máxima publicidad</w:t>
      </w: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35EA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B97067" w:rsidRPr="00835EA3" w:rsidRDefault="00B97067" w:rsidP="004533D3">
      <w:pPr>
        <w:tabs>
          <w:tab w:val="left" w:pos="567"/>
        </w:tabs>
        <w:spacing w:before="240" w:after="240"/>
        <w:jc w:val="both"/>
        <w:rPr>
          <w:rFonts w:ascii="Palatino Linotype" w:eastAsia="Palatino Linotype" w:hAnsi="Palatino Linotype" w:cs="Palatino Linotype"/>
          <w:b/>
          <w:i/>
          <w:color w:val="000000" w:themeColor="text1"/>
        </w:rPr>
      </w:pPr>
    </w:p>
    <w:p w:rsidR="00B97067" w:rsidRPr="00835EA3" w:rsidRDefault="00B97067" w:rsidP="004533D3">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35EA3">
        <w:rPr>
          <w:rFonts w:ascii="Palatino Linotype" w:eastAsia="Palatino Linotype" w:hAnsi="Palatino Linotype" w:cs="Palatino Linotype"/>
          <w:i/>
          <w:color w:val="000000" w:themeColor="text1"/>
        </w:rPr>
        <w:t xml:space="preserve">por los principios de simplicidad, rapidez gratuidad del procedimiento, auxilio y orientación a los </w:t>
      </w:r>
      <w:r w:rsidRPr="00835EA3">
        <w:rPr>
          <w:rFonts w:ascii="Palatino Linotype" w:eastAsia="Palatino Linotype" w:hAnsi="Palatino Linotype" w:cs="Palatino Linotype"/>
          <w:i/>
          <w:color w:val="000000" w:themeColor="text1"/>
        </w:rPr>
        <w:lastRenderedPageBreak/>
        <w:t>particulares</w:t>
      </w:r>
      <w:r w:rsidRPr="00835EA3">
        <w:rPr>
          <w:rFonts w:ascii="Palatino Linotype" w:eastAsia="Palatino Linotype" w:hAnsi="Palatino Linotype" w:cs="Palatino Linotype"/>
          <w:color w:val="000000" w:themeColor="text1"/>
        </w:rPr>
        <w:t>, contemplando el derecho de las personas con discapacidad y hablantes de lengua indígena.</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35EA3">
        <w:rPr>
          <w:rFonts w:ascii="Palatino Linotype" w:eastAsia="Palatino Linotype" w:hAnsi="Palatino Linotype" w:cs="Palatino Linotype"/>
          <w:i/>
          <w:color w:val="000000" w:themeColor="text1"/>
        </w:rPr>
        <w:t>solicitudes de acceso a la información</w:t>
      </w:r>
      <w:r w:rsidRPr="00835EA3">
        <w:rPr>
          <w:rFonts w:ascii="Palatino Linotype" w:eastAsia="Palatino Linotype" w:hAnsi="Palatino Linotype" w:cs="Palatino Linotype"/>
          <w:color w:val="000000" w:themeColor="text1"/>
        </w:rPr>
        <w:t>.</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4" w:name="_heading=h.17dp8vu" w:colFirst="0" w:colLast="0"/>
      <w:bookmarkEnd w:id="4"/>
      <w:r w:rsidRPr="00835EA3">
        <w:rPr>
          <w:rFonts w:ascii="Palatino Linotype" w:eastAsia="Palatino Linotype" w:hAnsi="Palatino Linotype" w:cs="Palatino Linotype"/>
          <w:color w:val="000000" w:themeColor="text1"/>
        </w:rPr>
        <w:t xml:space="preserve">Así entonces, se procede analizar, en primer lugar, si el </w:t>
      </w:r>
      <w:r w:rsidRPr="00835EA3">
        <w:rPr>
          <w:rFonts w:ascii="Palatino Linotype" w:eastAsia="Palatino Linotype" w:hAnsi="Palatino Linotype" w:cs="Palatino Linotype"/>
          <w:b/>
          <w:color w:val="000000" w:themeColor="text1"/>
        </w:rPr>
        <w:t>SUJETO OBLIGADO</w:t>
      </w:r>
      <w:r w:rsidRPr="00835EA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keepNext/>
        <w:keepLines/>
        <w:spacing w:after="240" w:line="360" w:lineRule="auto"/>
        <w:rPr>
          <w:rFonts w:ascii="Palatino Linotype" w:eastAsia="Palatino Linotype" w:hAnsi="Palatino Linotype" w:cs="Palatino Linotype"/>
          <w:b/>
          <w:color w:val="000000" w:themeColor="text1"/>
        </w:rPr>
      </w:pPr>
      <w:bookmarkStart w:id="5" w:name="_heading=h.3rdcrjn" w:colFirst="0" w:colLast="0"/>
      <w:bookmarkEnd w:id="5"/>
      <w:r w:rsidRPr="00835EA3">
        <w:rPr>
          <w:rFonts w:ascii="Palatino Linotype" w:eastAsia="Palatino Linotype" w:hAnsi="Palatino Linotype" w:cs="Palatino Linotype"/>
          <w:b/>
          <w:color w:val="000000" w:themeColor="text1"/>
        </w:rPr>
        <w:t>II. De la información solicitada y la respuesta del SUJETO OBLIGADO</w:t>
      </w: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Ahora bien,</w:t>
      </w:r>
      <w:r w:rsidR="007A7BFB" w:rsidRPr="00835EA3">
        <w:rPr>
          <w:rFonts w:ascii="Palatino Linotype" w:eastAsia="Palatino Linotype" w:hAnsi="Palatino Linotype" w:cs="Palatino Linotype"/>
          <w:color w:val="000000" w:themeColor="text1"/>
        </w:rPr>
        <w:t xml:space="preserve"> se debe de señalar si con la información entregada en la etapa de manifestaciones se colmó el derecho de acceso a la información del </w:t>
      </w:r>
      <w:r w:rsidR="007A7BFB" w:rsidRPr="00835EA3">
        <w:rPr>
          <w:rFonts w:ascii="Palatino Linotype" w:eastAsia="Palatino Linotype" w:hAnsi="Palatino Linotype" w:cs="Palatino Linotype"/>
          <w:b/>
          <w:color w:val="000000" w:themeColor="text1"/>
        </w:rPr>
        <w:t>RECURRENTE</w:t>
      </w:r>
      <w:r w:rsidR="007A7BFB" w:rsidRPr="00835EA3">
        <w:rPr>
          <w:rFonts w:ascii="Palatino Linotype" w:eastAsia="Palatino Linotype" w:hAnsi="Palatino Linotype" w:cs="Palatino Linotype"/>
          <w:color w:val="000000" w:themeColor="text1"/>
        </w:rPr>
        <w:t xml:space="preserve">, situación que se analiza en el siguiente cuadro. </w:t>
      </w:r>
    </w:p>
    <w:p w:rsidR="007A7BFB" w:rsidRPr="00835EA3" w:rsidRDefault="007A7BFB" w:rsidP="004533D3">
      <w:pPr>
        <w:spacing w:line="360" w:lineRule="auto"/>
        <w:jc w:val="both"/>
        <w:rPr>
          <w:rFonts w:ascii="Palatino Linotype" w:eastAsia="Palatino Linotype" w:hAnsi="Palatino Linotype" w:cs="Palatino Linotype"/>
          <w:color w:val="000000" w:themeColor="text1"/>
        </w:rPr>
      </w:pPr>
    </w:p>
    <w:tbl>
      <w:tblPr>
        <w:tblStyle w:val="Tablaconcuadrcula"/>
        <w:tblW w:w="8505" w:type="dxa"/>
        <w:jc w:val="center"/>
        <w:tblLook w:val="04A0" w:firstRow="1" w:lastRow="0" w:firstColumn="1" w:lastColumn="0" w:noHBand="0" w:noVBand="1"/>
      </w:tblPr>
      <w:tblGrid>
        <w:gridCol w:w="2275"/>
        <w:gridCol w:w="2071"/>
        <w:gridCol w:w="2142"/>
        <w:gridCol w:w="2017"/>
      </w:tblGrid>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Información solicitada</w:t>
            </w:r>
          </w:p>
        </w:tc>
        <w:tc>
          <w:tcPr>
            <w:tcW w:w="2071" w:type="dxa"/>
          </w:tcPr>
          <w:p w:rsidR="007A7BFB" w:rsidRPr="00835EA3" w:rsidRDefault="007A7BF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Respuesta Inicial</w:t>
            </w:r>
          </w:p>
        </w:tc>
        <w:tc>
          <w:tcPr>
            <w:tcW w:w="2142" w:type="dxa"/>
          </w:tcPr>
          <w:p w:rsidR="007A7BFB" w:rsidRPr="00835EA3" w:rsidRDefault="007A7BF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Informe Justificado</w:t>
            </w:r>
          </w:p>
        </w:tc>
        <w:tc>
          <w:tcPr>
            <w:tcW w:w="2017" w:type="dxa"/>
          </w:tcPr>
          <w:p w:rsidR="007A7BFB" w:rsidRPr="00835EA3" w:rsidRDefault="007A7BF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Colma</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1.- El contrato, convenio de colaboración y/o similar y el procedimiento adquisitivo y/o el procedimiento </w:t>
            </w:r>
            <w:r w:rsidRPr="00835EA3">
              <w:rPr>
                <w:rFonts w:ascii="Palatino Linotype" w:eastAsia="Palatino Linotype" w:hAnsi="Palatino Linotype" w:cs="Palatino Linotype"/>
                <w:i/>
                <w:color w:val="000000" w:themeColor="text1"/>
              </w:rPr>
              <w:lastRenderedPageBreak/>
              <w:t xml:space="preserve">administrativo que se está llevando a cabo con Corazón Urbano A.C </w:t>
            </w:r>
          </w:p>
          <w:p w:rsidR="007A7BFB" w:rsidRPr="00835EA3" w:rsidRDefault="007A7BFB" w:rsidP="004533D3">
            <w:pPr>
              <w:jc w:val="both"/>
              <w:rPr>
                <w:rFonts w:ascii="Palatino Linotype" w:eastAsia="Palatino Linotype" w:hAnsi="Palatino Linotype" w:cs="Palatino Linotype"/>
                <w:i/>
                <w:color w:val="000000" w:themeColor="text1"/>
              </w:rPr>
            </w:pP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lastRenderedPageBreak/>
              <w:t>No hubo respuesta</w:t>
            </w:r>
          </w:p>
        </w:tc>
        <w:tc>
          <w:tcPr>
            <w:tcW w:w="2142"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se remite</w:t>
            </w:r>
          </w:p>
        </w:tc>
        <w:tc>
          <w:tcPr>
            <w:tcW w:w="2017"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No colma, toda vez que el documento del convenio y del procedimiento adquisitivo no se hace </w:t>
            </w:r>
            <w:r w:rsidR="002A111F" w:rsidRPr="00835EA3">
              <w:rPr>
                <w:rFonts w:ascii="Palatino Linotype" w:eastAsia="Palatino Linotype" w:hAnsi="Palatino Linotype" w:cs="Palatino Linotype"/>
                <w:i/>
                <w:color w:val="000000" w:themeColor="text1"/>
              </w:rPr>
              <w:t xml:space="preserve">entrega. </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2.- Especificaciones técnicas de la pinta de fachadas en la zona conocida como San Juan Alcahuacan</w:t>
            </w: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142" w:type="dxa"/>
          </w:tcPr>
          <w:p w:rsidR="002A111F" w:rsidRPr="00835EA3" w:rsidRDefault="002A111F"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información técnica.pdf:</w:t>
            </w:r>
            <w:r w:rsidRPr="00835EA3">
              <w:rPr>
                <w:rFonts w:ascii="Palatino Linotype" w:eastAsia="Palatino Linotype" w:hAnsi="Palatino Linotype" w:cs="Palatino Linotype"/>
                <w:i/>
                <w:color w:val="000000" w:themeColor="text1"/>
                <w:lang w:val="es-ES_tradnl"/>
              </w:rPr>
              <w:t xml:space="preserve"> documento que remite el </w:t>
            </w:r>
            <w:r w:rsidRPr="00835EA3">
              <w:rPr>
                <w:rFonts w:ascii="Palatino Linotype" w:eastAsia="Palatino Linotype" w:hAnsi="Palatino Linotype" w:cs="Palatino Linotype"/>
                <w:b/>
                <w:i/>
                <w:color w:val="000000" w:themeColor="text1"/>
                <w:lang w:val="es-ES_tradnl"/>
              </w:rPr>
              <w:t xml:space="preserve">SUJETO OBLIGADO </w:t>
            </w:r>
            <w:r w:rsidRPr="00835EA3">
              <w:rPr>
                <w:rFonts w:ascii="Palatino Linotype" w:eastAsia="Palatino Linotype" w:hAnsi="Palatino Linotype" w:cs="Palatino Linotype"/>
                <w:i/>
                <w:color w:val="000000" w:themeColor="text1"/>
                <w:lang w:val="es-ES_tradnl"/>
              </w:rPr>
              <w:t xml:space="preserve">en el cual se observa que la Asociación Civil Corazón Urbano, informa que se utilizará el suministro de pintura y de sellador, informando el costo de mercado, lo que pagara el Ayuntamiento y la aportación de Corazón Urbano, así como la mano de obra, suministro de brochas, rodillos, felpas y extensiones, equipo de andamios, de aspersión. </w:t>
            </w:r>
          </w:p>
          <w:p w:rsidR="007A7BFB" w:rsidRPr="00835EA3" w:rsidRDefault="007A7BFB" w:rsidP="004533D3">
            <w:pPr>
              <w:jc w:val="both"/>
              <w:rPr>
                <w:rFonts w:ascii="Palatino Linotype" w:eastAsia="Palatino Linotype" w:hAnsi="Palatino Linotype" w:cs="Palatino Linotype"/>
                <w:i/>
                <w:color w:val="000000" w:themeColor="text1"/>
              </w:rPr>
            </w:pPr>
          </w:p>
        </w:tc>
        <w:tc>
          <w:tcPr>
            <w:tcW w:w="2017" w:type="dxa"/>
          </w:tcPr>
          <w:p w:rsidR="007A7BFB" w:rsidRPr="00835EA3" w:rsidRDefault="002A111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Si colma, toda vez que el documento contiene información sobre la pinta de las fachadas, como lo es la técnica y los materiales a utilizar. </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3.- Logística y Planeación de dicho programa</w:t>
            </w: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142" w:type="dxa"/>
          </w:tcPr>
          <w:p w:rsidR="002A111F" w:rsidRPr="00835EA3" w:rsidRDefault="002A111F"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Beneficiarios.pdf: </w:t>
            </w:r>
            <w:r w:rsidRPr="00835EA3">
              <w:rPr>
                <w:rFonts w:ascii="Palatino Linotype" w:eastAsia="Palatino Linotype" w:hAnsi="Palatino Linotype" w:cs="Palatino Linotype"/>
                <w:i/>
                <w:color w:val="000000" w:themeColor="text1"/>
                <w:lang w:val="es-ES_tradnl"/>
              </w:rPr>
              <w:t xml:space="preserve">lista que contiene el padrón de beneficiarios de la </w:t>
            </w:r>
            <w:r w:rsidRPr="00835EA3">
              <w:rPr>
                <w:rFonts w:ascii="Palatino Linotype" w:eastAsia="Palatino Linotype" w:hAnsi="Palatino Linotype" w:cs="Palatino Linotype"/>
                <w:i/>
                <w:color w:val="000000" w:themeColor="text1"/>
                <w:lang w:val="es-ES_tradnl"/>
              </w:rPr>
              <w:lastRenderedPageBreak/>
              <w:t xml:space="preserve">pinta en San Juan Alcahuacan, de la cual se puede deducir, la división del plan de trabajo por semana uno y semana dos, en la cual se puede observar la colonia, la calle, la unidad de medida, la cantidad de pintura y el color. </w:t>
            </w:r>
          </w:p>
          <w:p w:rsidR="002A111F" w:rsidRPr="00835EA3" w:rsidRDefault="002A111F"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b/>
                <w:i/>
                <w:color w:val="000000" w:themeColor="text1"/>
                <w:lang w:val="es-ES_tradnl"/>
              </w:rPr>
              <w:t xml:space="preserve">Metodología de intervención NIDO.pdf: </w:t>
            </w:r>
            <w:r w:rsidRPr="00835EA3">
              <w:rPr>
                <w:rFonts w:ascii="Palatino Linotype" w:eastAsia="Palatino Linotype" w:hAnsi="Palatino Linotype" w:cs="Palatino Linotype"/>
                <w:i/>
                <w:color w:val="000000" w:themeColor="text1"/>
                <w:lang w:val="es-ES_tradnl"/>
              </w:rPr>
              <w:t xml:space="preserve">documento que contiene la metodología que se desarrollará, en el que se informa el costo de la pintura, el polígono a pintar, la población beneficiada y la cuadrilla de pintores.  </w:t>
            </w:r>
          </w:p>
          <w:p w:rsidR="007A7BFB" w:rsidRPr="00835EA3" w:rsidRDefault="007A7BFB" w:rsidP="004533D3">
            <w:pPr>
              <w:jc w:val="both"/>
              <w:rPr>
                <w:rFonts w:ascii="Palatino Linotype" w:eastAsia="Palatino Linotype" w:hAnsi="Palatino Linotype" w:cs="Palatino Linotype"/>
                <w:i/>
                <w:color w:val="000000" w:themeColor="text1"/>
              </w:rPr>
            </w:pPr>
          </w:p>
        </w:tc>
        <w:tc>
          <w:tcPr>
            <w:tcW w:w="2017" w:type="dxa"/>
          </w:tcPr>
          <w:p w:rsidR="002A111F" w:rsidRPr="00835EA3" w:rsidRDefault="002A111F" w:rsidP="004533D3">
            <w:pPr>
              <w:jc w:val="both"/>
              <w:rPr>
                <w:rFonts w:ascii="Palatino Linotype" w:eastAsia="Palatino Linotype" w:hAnsi="Palatino Linotype" w:cs="Palatino Linotype"/>
                <w:i/>
                <w:color w:val="000000" w:themeColor="text1"/>
                <w:lang w:val="es-ES_tradnl"/>
              </w:rPr>
            </w:pPr>
            <w:r w:rsidRPr="00835EA3">
              <w:rPr>
                <w:rFonts w:ascii="Palatino Linotype" w:eastAsia="Palatino Linotype" w:hAnsi="Palatino Linotype" w:cs="Palatino Linotype"/>
                <w:i/>
                <w:color w:val="000000" w:themeColor="text1"/>
              </w:rPr>
              <w:lastRenderedPageBreak/>
              <w:t xml:space="preserve">Si colma, toda vez que de la tabla de beneficiarios se observa que la </w:t>
            </w:r>
            <w:r w:rsidRPr="00835EA3">
              <w:rPr>
                <w:rFonts w:ascii="Palatino Linotype" w:eastAsia="Palatino Linotype" w:hAnsi="Palatino Linotype" w:cs="Palatino Linotype"/>
                <w:i/>
                <w:color w:val="000000" w:themeColor="text1"/>
              </w:rPr>
              <w:lastRenderedPageBreak/>
              <w:t xml:space="preserve">pinta se realizará por semanas, en las que se establece la colonia, </w:t>
            </w:r>
            <w:r w:rsidRPr="00835EA3">
              <w:rPr>
                <w:rFonts w:ascii="Palatino Linotype" w:eastAsia="Palatino Linotype" w:hAnsi="Palatino Linotype" w:cs="Palatino Linotype"/>
                <w:i/>
                <w:color w:val="000000" w:themeColor="text1"/>
                <w:lang w:val="es-ES_tradnl"/>
              </w:rPr>
              <w:t xml:space="preserve">en la cual se puede observar la colonia, la calle, la unidad de medida, la cantidad de pintura, así como en el segundo documento se informa el costo de la pintura, el polígono a pintar, la población beneficiada y la cuadrilla de pintores.  </w:t>
            </w:r>
          </w:p>
          <w:p w:rsidR="007A7BFB" w:rsidRPr="00835EA3" w:rsidRDefault="002A111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Por lo que, los dos archivos juntos colman la planeación que es semanal y la planeación que contiene la metodología. </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lastRenderedPageBreak/>
              <w:t xml:space="preserve">4.- Marca de los materiales a utilizar </w:t>
            </w:r>
          </w:p>
          <w:p w:rsidR="007A7BFB" w:rsidRPr="00835EA3" w:rsidRDefault="007A7BFB" w:rsidP="004533D3">
            <w:pPr>
              <w:jc w:val="both"/>
              <w:rPr>
                <w:rFonts w:ascii="Palatino Linotype" w:eastAsia="Palatino Linotype" w:hAnsi="Palatino Linotype" w:cs="Palatino Linotype"/>
                <w:i/>
                <w:color w:val="000000" w:themeColor="text1"/>
              </w:rPr>
            </w:pP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142"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017"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No colma, toda vez que la misma puede ser especificada en el convenio o facturas. </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lastRenderedPageBreak/>
              <w:t>5.- Facturas de pago a la Asociación Civil, al apoderado legal y al proveedor de pintura.</w:t>
            </w: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142"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factura.pdf:</w:t>
            </w:r>
            <w:r w:rsidRPr="00835EA3">
              <w:rPr>
                <w:rFonts w:ascii="Palatino Linotype" w:eastAsia="Palatino Linotype" w:hAnsi="Palatino Linotype" w:cs="Palatino Linotype"/>
                <w:i/>
                <w:color w:val="000000" w:themeColor="text1"/>
              </w:rPr>
              <w:t xml:space="preserve"> factura pagada a Corazón Urbana, expedida en el mes de marzo de dos mil veinticinco por la cantidad de $292,500.00, derivada del convenio de colaboración institucional.</w:t>
            </w:r>
          </w:p>
        </w:tc>
        <w:tc>
          <w:tcPr>
            <w:tcW w:w="2017"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Colma parcialmente, toda vez que solo se hace entrega de los pagado a la Asociación Civil, sin embargo no se hace referencia a la compra de pinturas. </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6.- Estimación de rendimiento x litro de pintura. </w:t>
            </w:r>
          </w:p>
          <w:p w:rsidR="007A7BFB" w:rsidRPr="00835EA3" w:rsidRDefault="007A7BFB" w:rsidP="004533D3">
            <w:pPr>
              <w:jc w:val="both"/>
              <w:rPr>
                <w:rFonts w:ascii="Palatino Linotype" w:eastAsia="Palatino Linotype" w:hAnsi="Palatino Linotype" w:cs="Palatino Linotype"/>
                <w:i/>
                <w:color w:val="000000" w:themeColor="text1"/>
              </w:rPr>
            </w:pP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142"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017"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colma, sin embargo se ordena con salvedad, al no existir obligación de hacer estimación litro por litro</w:t>
            </w:r>
          </w:p>
        </w:tc>
      </w:tr>
      <w:tr w:rsidR="004533D3" w:rsidRPr="00835EA3" w:rsidTr="00DE46FA">
        <w:trPr>
          <w:jc w:val="center"/>
        </w:trPr>
        <w:tc>
          <w:tcPr>
            <w:tcW w:w="2275"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7.- Saber si existirán más polígonos y/o puntos que serán pintados por la Asociación  Civil  </w:t>
            </w:r>
          </w:p>
          <w:p w:rsidR="007A7BFB" w:rsidRPr="00835EA3" w:rsidRDefault="007A7BFB" w:rsidP="004533D3">
            <w:pPr>
              <w:jc w:val="both"/>
              <w:rPr>
                <w:rFonts w:ascii="Palatino Linotype" w:eastAsia="Palatino Linotype" w:hAnsi="Palatino Linotype" w:cs="Palatino Linotype"/>
                <w:i/>
                <w:color w:val="000000" w:themeColor="text1"/>
              </w:rPr>
            </w:pPr>
          </w:p>
        </w:tc>
        <w:tc>
          <w:tcPr>
            <w:tcW w:w="2071" w:type="dxa"/>
          </w:tcPr>
          <w:p w:rsidR="007A7BFB" w:rsidRPr="00835EA3" w:rsidRDefault="007A7BF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142" w:type="dxa"/>
          </w:tcPr>
          <w:p w:rsidR="007A7BFB" w:rsidRPr="00835EA3" w:rsidRDefault="00B5797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No hubo respuesta</w:t>
            </w:r>
          </w:p>
        </w:tc>
        <w:tc>
          <w:tcPr>
            <w:tcW w:w="2017" w:type="dxa"/>
          </w:tcPr>
          <w:p w:rsidR="007A7BFB" w:rsidRPr="00835EA3" w:rsidRDefault="00094307"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Se tiene como derecho de petición, toda vez que lo que se busca es un pronunciamiento del </w:t>
            </w:r>
            <w:r w:rsidRPr="00835EA3">
              <w:rPr>
                <w:rFonts w:ascii="Palatino Linotype" w:eastAsia="Palatino Linotype" w:hAnsi="Palatino Linotype" w:cs="Palatino Linotype"/>
                <w:b/>
                <w:i/>
                <w:color w:val="000000" w:themeColor="text1"/>
              </w:rPr>
              <w:t xml:space="preserve">SUJETO OBLIGADO </w:t>
            </w:r>
            <w:r w:rsidRPr="00835EA3">
              <w:rPr>
                <w:rFonts w:ascii="Palatino Linotype" w:eastAsia="Palatino Linotype" w:hAnsi="Palatino Linotype" w:cs="Palatino Linotype"/>
                <w:i/>
                <w:color w:val="000000" w:themeColor="text1"/>
              </w:rPr>
              <w:t>en sentido afirmativo negativo, mismo que no se colma con la entrega de información</w:t>
            </w:r>
          </w:p>
        </w:tc>
      </w:tr>
    </w:tbl>
    <w:p w:rsidR="00B97067" w:rsidRPr="00835EA3" w:rsidRDefault="00B97067" w:rsidP="004533D3">
      <w:pPr>
        <w:jc w:val="both"/>
        <w:rPr>
          <w:rFonts w:ascii="Palatino Linotype" w:eastAsia="Palatino Linotype" w:hAnsi="Palatino Linotype" w:cs="Palatino Linotype"/>
          <w:i/>
          <w:color w:val="000000" w:themeColor="text1"/>
        </w:rPr>
      </w:pPr>
    </w:p>
    <w:p w:rsidR="009E7ADC" w:rsidRPr="00835EA3" w:rsidRDefault="009E7AD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De lo anterior, se tiene que el derecho de acceso a la información de</w:t>
      </w:r>
      <w:r w:rsidR="00DA1C63"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color w:val="000000" w:themeColor="text1"/>
        </w:rPr>
        <w:t>l</w:t>
      </w:r>
      <w:r w:rsidR="00DA1C63" w:rsidRPr="00835EA3">
        <w:rPr>
          <w:rFonts w:ascii="Palatino Linotype" w:eastAsia="Palatino Linotype" w:hAnsi="Palatino Linotype" w:cs="Palatino Linotype"/>
          <w:color w:val="000000" w:themeColor="text1"/>
        </w:rPr>
        <w:t>a</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b/>
          <w:color w:val="000000" w:themeColor="text1"/>
        </w:rPr>
        <w:t xml:space="preserve">RECURRETE </w:t>
      </w:r>
      <w:r w:rsidRPr="00835EA3">
        <w:rPr>
          <w:rFonts w:ascii="Palatino Linotype" w:eastAsia="Palatino Linotype" w:hAnsi="Palatino Linotype" w:cs="Palatino Linotype"/>
          <w:color w:val="000000" w:themeColor="text1"/>
        </w:rPr>
        <w:t xml:space="preserve">será colmado parcialmente al momento de poner a la vista la información remitida en la etapa de manifestaciones de los recursos de revisión, de acuerdo con el siguiente </w:t>
      </w:r>
      <w:r w:rsidR="00550C64" w:rsidRPr="00835EA3">
        <w:rPr>
          <w:rFonts w:ascii="Palatino Linotype" w:eastAsia="Palatino Linotype" w:hAnsi="Palatino Linotype" w:cs="Palatino Linotype"/>
          <w:color w:val="000000" w:themeColor="text1"/>
        </w:rPr>
        <w:t>análisis</w:t>
      </w:r>
      <w:r w:rsidRPr="00835EA3">
        <w:rPr>
          <w:rFonts w:ascii="Palatino Linotype" w:eastAsia="Palatino Linotype" w:hAnsi="Palatino Linotype" w:cs="Palatino Linotype"/>
          <w:color w:val="000000" w:themeColor="text1"/>
        </w:rPr>
        <w:t xml:space="preserve">. </w:t>
      </w:r>
    </w:p>
    <w:p w:rsidR="009E7ADC" w:rsidRPr="00835EA3" w:rsidRDefault="009E7ADC" w:rsidP="004533D3">
      <w:pPr>
        <w:spacing w:line="360" w:lineRule="auto"/>
        <w:jc w:val="both"/>
        <w:rPr>
          <w:rFonts w:ascii="Palatino Linotype" w:eastAsia="Palatino Linotype" w:hAnsi="Palatino Linotype" w:cs="Palatino Linotype"/>
          <w:color w:val="000000" w:themeColor="text1"/>
        </w:rPr>
      </w:pPr>
    </w:p>
    <w:p w:rsidR="009E7ADC" w:rsidRPr="00835EA3" w:rsidRDefault="009E7AD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En esa línea, se debe de referir que de la información enviada no se puede advertir el área que dio atención a la misma, situación por la cual se refiere a los servidores públicos habilitados que por sus funciones pueden tener la información solicitada y las</w:t>
      </w:r>
      <w:r w:rsidR="00DA1C63" w:rsidRPr="00835EA3">
        <w:rPr>
          <w:rFonts w:ascii="Palatino Linotype" w:eastAsia="Palatino Linotype" w:hAnsi="Palatino Linotype" w:cs="Palatino Linotype"/>
          <w:color w:val="000000" w:themeColor="text1"/>
        </w:rPr>
        <w:t xml:space="preserve"> razones por las cuales aunque </w:t>
      </w:r>
      <w:r w:rsidRPr="00835EA3">
        <w:rPr>
          <w:rFonts w:ascii="Palatino Linotype" w:eastAsia="Palatino Linotype" w:hAnsi="Palatino Linotype" w:cs="Palatino Linotype"/>
          <w:color w:val="000000" w:themeColor="text1"/>
        </w:rPr>
        <w:t>l</w:t>
      </w:r>
      <w:r w:rsidR="00DA1C63" w:rsidRPr="00835EA3">
        <w:rPr>
          <w:rFonts w:ascii="Palatino Linotype" w:eastAsia="Palatino Linotype" w:hAnsi="Palatino Linotype" w:cs="Palatino Linotype"/>
          <w:color w:val="000000" w:themeColor="text1"/>
        </w:rPr>
        <w:t>a</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b/>
          <w:color w:val="000000" w:themeColor="text1"/>
        </w:rPr>
        <w:t xml:space="preserve">RECURRENTE </w:t>
      </w:r>
      <w:r w:rsidRPr="00835EA3">
        <w:rPr>
          <w:rFonts w:ascii="Palatino Linotype" w:eastAsia="Palatino Linotype" w:hAnsi="Palatino Linotype" w:cs="Palatino Linotype"/>
          <w:color w:val="000000" w:themeColor="text1"/>
        </w:rPr>
        <w:t>solicite que la entrega de información se firmada por el Presidente Municipal no pudiera ser así</w:t>
      </w:r>
      <w:r w:rsidR="00874EE9" w:rsidRPr="00835EA3">
        <w:rPr>
          <w:rFonts w:ascii="Palatino Linotype" w:eastAsia="Palatino Linotype" w:hAnsi="Palatino Linotype" w:cs="Palatino Linotype"/>
          <w:color w:val="000000" w:themeColor="text1"/>
        </w:rPr>
        <w:t xml:space="preserve">. </w:t>
      </w:r>
    </w:p>
    <w:p w:rsidR="009E7ADC" w:rsidRPr="00835EA3" w:rsidRDefault="009E7ADC" w:rsidP="004533D3">
      <w:pPr>
        <w:pStyle w:val="Prrafodelista"/>
        <w:ind w:left="0"/>
        <w:rPr>
          <w:rFonts w:ascii="Palatino Linotype" w:eastAsia="Palatino Linotype" w:hAnsi="Palatino Linotype" w:cs="Palatino Linotype"/>
          <w:color w:val="000000" w:themeColor="text1"/>
        </w:rPr>
      </w:pPr>
    </w:p>
    <w:p w:rsidR="009E7ADC" w:rsidRPr="00835EA3" w:rsidRDefault="00874EE9"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En ese sentido, se determina que el Ayuntamiento de Ecatepec de Morelos, </w:t>
      </w:r>
      <w:r w:rsidR="00E165AB" w:rsidRPr="00835EA3">
        <w:rPr>
          <w:rFonts w:ascii="Palatino Linotype" w:eastAsia="Palatino Linotype" w:hAnsi="Palatino Linotype" w:cs="Palatino Linotype"/>
          <w:color w:val="000000" w:themeColor="text1"/>
        </w:rPr>
        <w:t xml:space="preserve">tiene la siguiente estructura orgánica de conformidad con el artículo 44 del Bando Municipal. </w:t>
      </w:r>
    </w:p>
    <w:p w:rsidR="00E165AB" w:rsidRPr="00835EA3" w:rsidRDefault="00E165AB" w:rsidP="004533D3">
      <w:pPr>
        <w:pStyle w:val="Prrafodelista"/>
        <w:ind w:left="0"/>
        <w:jc w:val="both"/>
        <w:rPr>
          <w:rFonts w:ascii="Palatino Linotype" w:hAnsi="Palatino Linotype"/>
          <w:i/>
          <w:color w:val="000000" w:themeColor="text1"/>
        </w:rPr>
      </w:pPr>
      <w:r w:rsidRPr="00835EA3">
        <w:rPr>
          <w:rFonts w:ascii="Palatino Linotype" w:eastAsia="Palatino Linotype" w:hAnsi="Palatino Linotype" w:cs="Palatino Linotype"/>
          <w:b/>
          <w:i/>
          <w:color w:val="000000" w:themeColor="text1"/>
        </w:rPr>
        <w:t>Artículo 44</w:t>
      </w:r>
      <w:r w:rsidRPr="00835EA3">
        <w:rPr>
          <w:rFonts w:ascii="Palatino Linotype" w:eastAsia="Palatino Linotype" w:hAnsi="Palatino Linotype" w:cs="Palatino Linotype"/>
          <w:i/>
          <w:color w:val="000000" w:themeColor="text1"/>
        </w:rPr>
        <w:t>. Para el ejercicio de sus atribuciones, tanto el H. Ayuntamiento como la Presidenta Municipal, se auxiliarán de las siguientes dependencias que estarán subordinadas a esta última:</w:t>
      </w:r>
      <w:r w:rsidRPr="00835EA3">
        <w:rPr>
          <w:rFonts w:ascii="Palatino Linotype" w:hAnsi="Palatino Linotype"/>
          <w:i/>
          <w:color w:val="000000" w:themeColor="text1"/>
        </w:rPr>
        <w:t xml:space="preserve"> </w:t>
      </w:r>
    </w:p>
    <w:p w:rsidR="00E165AB" w:rsidRPr="00835EA3" w:rsidRDefault="00E165AB" w:rsidP="004533D3">
      <w:pPr>
        <w:pStyle w:val="Prrafodelista"/>
        <w:numPr>
          <w:ilvl w:val="0"/>
          <w:numId w:val="36"/>
        </w:numPr>
        <w:ind w:left="0" w:firstLine="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Secretaría del Ayuntamiento;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II. Tesorería Municipal</w:t>
      </w:r>
      <w:r w:rsidRPr="00835EA3">
        <w:rPr>
          <w:rFonts w:ascii="Palatino Linotype" w:eastAsia="Palatino Linotype" w:hAnsi="Palatino Linotype" w:cs="Palatino Linotype"/>
          <w:i/>
          <w:color w:val="000000" w:themeColor="text1"/>
        </w:rPr>
        <w:t xml:space="preserve">;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III. Contraloría Municipal;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IV. Las Direcciones de: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a. Administración</w:t>
      </w:r>
      <w:r w:rsidRPr="00835EA3">
        <w:rPr>
          <w:rFonts w:ascii="Palatino Linotype" w:eastAsia="Palatino Linotype" w:hAnsi="Palatino Linotype" w:cs="Palatino Linotype"/>
          <w:i/>
          <w:color w:val="000000" w:themeColor="text1"/>
        </w:rPr>
        <w:t xml:space="preserve">;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b. Bienestar;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c. Comunicación Social;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d. Desarrollo Económico;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e. Desarrollo Urbano;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f. Medio Ambiente y Ecología;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g. Obras Públicas;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h. Diversidad Sexual;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i. Educación;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j. Gobierno;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k. Instituto Municipal de las Mujeres e Igualdad de Género;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lastRenderedPageBreak/>
        <w:t xml:space="preserve">l. Consejería Jurídica;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m. Mercados, Tianguis y Vía Pública;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n. Movilidad Urbana;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o. Protección Civil y Bomberos;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p. Servicios Públicos; </w:t>
      </w:r>
    </w:p>
    <w:p w:rsidR="00E165AB"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q. General de Seguridad Ciudadana y Tránsito Municipal; y</w:t>
      </w:r>
    </w:p>
    <w:p w:rsidR="009E7ADC" w:rsidRPr="00835EA3" w:rsidRDefault="00E165AB" w:rsidP="004533D3">
      <w:pPr>
        <w:pStyle w:val="Prrafodelista"/>
        <w:ind w:left="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 r. Salud.</w:t>
      </w:r>
    </w:p>
    <w:p w:rsidR="00E165AB" w:rsidRPr="00835EA3" w:rsidRDefault="00E165AB" w:rsidP="004533D3">
      <w:pPr>
        <w:pStyle w:val="Prrafodelista"/>
        <w:ind w:left="0"/>
        <w:rPr>
          <w:rFonts w:ascii="Palatino Linotype" w:eastAsia="Palatino Linotype" w:hAnsi="Palatino Linotype" w:cs="Palatino Linotype"/>
          <w:color w:val="000000" w:themeColor="text1"/>
        </w:rPr>
      </w:pPr>
    </w:p>
    <w:p w:rsidR="00E165AB" w:rsidRPr="00835EA3" w:rsidRDefault="00E165AB"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Del artículo, citado se colige que el Ayuntamiento de Ecatepec de Morelos, cuenta en su estructura con el área de la Tesorería Municipal y la Dirección de Administración, quienes de acuerdo con los artículo 47 y 50 del Bando Municipal tienen las siguientes funciones. </w:t>
      </w:r>
    </w:p>
    <w:tbl>
      <w:tblPr>
        <w:tblStyle w:val="Tablaconcuadrcula"/>
        <w:tblW w:w="9635" w:type="dxa"/>
        <w:tblLook w:val="04A0" w:firstRow="1" w:lastRow="0" w:firstColumn="1" w:lastColumn="0" w:noHBand="0" w:noVBand="1"/>
      </w:tblPr>
      <w:tblGrid>
        <w:gridCol w:w="4673"/>
        <w:gridCol w:w="4962"/>
      </w:tblGrid>
      <w:tr w:rsidR="00E165AB" w:rsidRPr="00835EA3" w:rsidTr="00DE46FA">
        <w:tc>
          <w:tcPr>
            <w:tcW w:w="4673" w:type="dxa"/>
          </w:tcPr>
          <w:p w:rsidR="00E165AB" w:rsidRPr="00835EA3" w:rsidRDefault="00E165A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Tesorería Municipal</w:t>
            </w:r>
          </w:p>
          <w:p w:rsidR="00E165AB" w:rsidRPr="00835EA3" w:rsidRDefault="00E165AB"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Artículo 47.</w:t>
            </w:r>
            <w:r w:rsidRPr="00835EA3">
              <w:rPr>
                <w:rFonts w:ascii="Palatino Linotype" w:eastAsia="Palatino Linotype" w:hAnsi="Palatino Linotype" w:cs="Palatino Linotype"/>
                <w:i/>
                <w:color w:val="000000" w:themeColor="text1"/>
              </w:rPr>
              <w:t xml:space="preserve"> La Tesorería Municipal es la dependencia encargada de la recaudación de los ingresos municipales y la administración de la Hacienda Pública Municipal, responsable de realizar y verificar las erogaciones y funciones requeridas por el H. Ayuntamiento, la Presidenta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 Asimismo, deberá implementar las medidas y mecanismos previamente aprobados </w:t>
            </w:r>
            <w:r w:rsidRPr="00835EA3">
              <w:rPr>
                <w:rFonts w:ascii="Palatino Linotype" w:eastAsia="Palatino Linotype" w:hAnsi="Palatino Linotype" w:cs="Palatino Linotype"/>
                <w:i/>
                <w:color w:val="000000" w:themeColor="text1"/>
              </w:rPr>
              <w:lastRenderedPageBreak/>
              <w:t xml:space="preserve">por el H. Ayuntamiento, tendientes a difundir los pagos de las diversas contribuciones en términos de la Ley de Ingresos de los Municipios del Estado de México para el Ejercicio Fiscal 2025 entre la población, ampliar la base de contribuyentes y estimular el pago oportuno. La Tesorería Municipal, a fin de cumplir su objetivo, iniciará los contribuyentes que se encuentren en rezago de sus contribuciones. La Tesorería Municipal revisará, vigilará y analizará los ingresos y egresos de la Administración Pública Municipal, con la finalidad de incrementar y acreditar la recaudación municipal, informando al Órgano de Control Interno sobre cualquier irregularidad para transparentar una sana cuenta hacendaria. Habilitará al personal registrado por la Dirección de Mercados, Tianguis y Vía Pública ante la Contraloría Municipal, para llevar a cabo la recaudación del pago de derechos de mercados públicos municipales, tianguis y vía pública. Dicha recaudación deberá ser ingresada en tiempo y forma en las cajas de la Tesorería Municipal. Coadyuvará con la Dirección de Mercados, Tianguis y Vía Pública para implementar y vigilar las medidas de seguridad contenidas en los recibos para la recaudación en vía pública, en los formatos para las cédulas de Empadronamiento para ejercer Actividades Comerciales en Mercados Públicos Municipales y permisos para tianguis ordinarios y extraordinarios, a fin de evitar el uso de documentos apócrifos que puedan </w:t>
            </w:r>
            <w:r w:rsidRPr="00835EA3">
              <w:rPr>
                <w:rFonts w:ascii="Palatino Linotype" w:eastAsia="Palatino Linotype" w:hAnsi="Palatino Linotype" w:cs="Palatino Linotype"/>
                <w:i/>
                <w:color w:val="000000" w:themeColor="text1"/>
              </w:rPr>
              <w:lastRenderedPageBreak/>
              <w:t>causar detrimento a la Hacienda Pública Municipal. Además, tendrá la atribución de integrar, conservar y mantener actualizado el padrón catastral municipal, estando autorizada para constatar la veracidad de los datos declarados en las manifestaciones realizadas por los propietarios o poseedores de inmuebles y, de ser detectadas diferencias, podrá requerir que proporcionen los datos, documentos e informes, así como la realización de los estudios técnicos catastrales que sean necesarios.</w:t>
            </w:r>
          </w:p>
        </w:tc>
        <w:tc>
          <w:tcPr>
            <w:tcW w:w="4962" w:type="dxa"/>
          </w:tcPr>
          <w:p w:rsidR="00E165AB" w:rsidRPr="00835EA3" w:rsidRDefault="00E165A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lastRenderedPageBreak/>
              <w:t xml:space="preserve">Dirección de Administración </w:t>
            </w:r>
          </w:p>
          <w:p w:rsidR="00E165AB" w:rsidRPr="00835EA3" w:rsidRDefault="00E165AB"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 xml:space="preserve">Artículo 50. </w:t>
            </w:r>
            <w:r w:rsidRPr="00835EA3">
              <w:rPr>
                <w:rFonts w:ascii="Palatino Linotype" w:eastAsia="Palatino Linotype" w:hAnsi="Palatino Linotype" w:cs="Palatino Linotype"/>
                <w:i/>
                <w:color w:val="000000" w:themeColor="text1"/>
              </w:rPr>
              <w:t>La Dirección de Administración proveerá los recursos humanos, materiales y servicios a las diversas áreas que conforman la Administración Pública Municipal y asignará a estas, previa autorización de la Presidenta Municipal Constitucional, el personal capacitado que requiera para el cumplimiento de sus atribuciones, llevando el registro del mismo. También calculará el monto de los salarios, establecerá programas de capacitación, atenderá las relaciones laborales en coordinación con la Consejería Jurídica; asimismo, llevará a cabo los procedimientos de adquisiciones de bienes y servicios y, en general, cumplirá con todas las atribuciones que le otorguen las disposiciones legales que regulen sus actividades.</w:t>
            </w:r>
          </w:p>
        </w:tc>
      </w:tr>
    </w:tbl>
    <w:p w:rsidR="00E165AB" w:rsidRPr="00835EA3" w:rsidRDefault="00E165AB" w:rsidP="004533D3">
      <w:pPr>
        <w:spacing w:line="360" w:lineRule="auto"/>
        <w:jc w:val="both"/>
        <w:rPr>
          <w:rFonts w:ascii="Palatino Linotype" w:eastAsia="Palatino Linotype" w:hAnsi="Palatino Linotype" w:cs="Palatino Linotype"/>
          <w:color w:val="000000" w:themeColor="text1"/>
        </w:rPr>
      </w:pPr>
    </w:p>
    <w:p w:rsidR="00B800E6" w:rsidRPr="00835EA3" w:rsidRDefault="00B800E6"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 lo anterior, se colige que </w:t>
      </w:r>
      <w:r w:rsidR="00362770" w:rsidRPr="00835EA3">
        <w:rPr>
          <w:rFonts w:ascii="Palatino Linotype" w:eastAsia="Palatino Linotype" w:hAnsi="Palatino Linotype" w:cs="Palatino Linotype"/>
          <w:color w:val="000000" w:themeColor="text1"/>
        </w:rPr>
        <w:t xml:space="preserve">el área de la Tesorería Municipal, </w:t>
      </w:r>
      <w:r w:rsidR="003871EB" w:rsidRPr="00835EA3">
        <w:rPr>
          <w:rFonts w:ascii="Palatino Linotype" w:eastAsia="Palatino Linotype" w:hAnsi="Palatino Linotype" w:cs="Palatino Linotype"/>
          <w:color w:val="000000" w:themeColor="text1"/>
        </w:rPr>
        <w:t xml:space="preserve">es el área responsable de realizar y verificar las erogaciones, en este caso la generación de facturas por la compra de pinturas para la pinta de las fachadas. </w:t>
      </w:r>
    </w:p>
    <w:p w:rsidR="003871EB" w:rsidRPr="00835EA3" w:rsidRDefault="003871EB" w:rsidP="004533D3">
      <w:pPr>
        <w:spacing w:line="360" w:lineRule="auto"/>
        <w:jc w:val="both"/>
        <w:rPr>
          <w:rFonts w:ascii="Palatino Linotype" w:eastAsia="Palatino Linotype" w:hAnsi="Palatino Linotype" w:cs="Palatino Linotype"/>
          <w:color w:val="000000" w:themeColor="text1"/>
        </w:rPr>
      </w:pPr>
    </w:p>
    <w:p w:rsidR="003871EB" w:rsidRPr="00835EA3" w:rsidRDefault="003871EB"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Por cuanto hace a la Dirección de Administración, se tiene que dentro de sus funciones está el llevar a cabo los procedimientos de adquisiciones de bienes y servicios, en este caso la firma de los convenios, mismo que se tiene la existencia, toda vez que en la factura remita por el </w:t>
      </w:r>
      <w:r w:rsidRPr="00835EA3">
        <w:rPr>
          <w:rFonts w:ascii="Palatino Linotype" w:eastAsia="Palatino Linotype" w:hAnsi="Palatino Linotype" w:cs="Palatino Linotype"/>
          <w:b/>
          <w:color w:val="000000" w:themeColor="text1"/>
        </w:rPr>
        <w:t xml:space="preserve">SUJETO OBLIGADO </w:t>
      </w:r>
      <w:r w:rsidRPr="00835EA3">
        <w:rPr>
          <w:rFonts w:ascii="Palatino Linotype" w:eastAsia="Palatino Linotype" w:hAnsi="Palatino Linotype" w:cs="Palatino Linotype"/>
          <w:color w:val="000000" w:themeColor="text1"/>
        </w:rPr>
        <w:t>se observa un pago a la Asociación Civil Corazón Urbano, tal y como se muestra en la siguiente captura de pantalla.</w:t>
      </w:r>
    </w:p>
    <w:p w:rsidR="003871EB" w:rsidRPr="00835EA3" w:rsidRDefault="003871EB" w:rsidP="004533D3">
      <w:pPr>
        <w:pStyle w:val="Prrafodelista"/>
        <w:ind w:left="0"/>
        <w:rPr>
          <w:rFonts w:ascii="Palatino Linotype" w:eastAsia="Palatino Linotype" w:hAnsi="Palatino Linotype" w:cs="Palatino Linotype"/>
          <w:color w:val="000000" w:themeColor="text1"/>
        </w:rPr>
      </w:pPr>
    </w:p>
    <w:p w:rsidR="003871EB" w:rsidRPr="00835EA3" w:rsidRDefault="003871EB" w:rsidP="004533D3">
      <w:pPr>
        <w:spacing w:line="360" w:lineRule="auto"/>
        <w:jc w:val="center"/>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noProof/>
          <w:color w:val="000000" w:themeColor="text1"/>
        </w:rPr>
        <w:lastRenderedPageBreak/>
        <w:drawing>
          <wp:inline distT="0" distB="0" distL="0" distR="0" wp14:anchorId="087F77EB" wp14:editId="2723D04A">
            <wp:extent cx="3325091" cy="2340692"/>
            <wp:effectExtent l="152400" t="152400" r="370840"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5091" cy="2340692"/>
                    </a:xfrm>
                    <a:prstGeom prst="rect">
                      <a:avLst/>
                    </a:prstGeom>
                    <a:ln>
                      <a:noFill/>
                    </a:ln>
                    <a:effectLst>
                      <a:outerShdw blurRad="292100" dist="139700" dir="2700000" algn="tl" rotWithShape="0">
                        <a:srgbClr val="333333">
                          <a:alpha val="65000"/>
                        </a:srgbClr>
                      </a:outerShdw>
                    </a:effectLst>
                  </pic:spPr>
                </pic:pic>
              </a:graphicData>
            </a:graphic>
          </wp:inline>
        </w:drawing>
      </w:r>
    </w:p>
    <w:p w:rsidR="003871EB" w:rsidRPr="00835EA3" w:rsidRDefault="003871EB"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 lo anterior, se tiene que al no tener certeza de las áreas que dieron respuesta en la etapa de manifestaciones de las solicitudes de información es que no se puede establecer si se realizó la búsqueda exhaustiva y razonable en las áreas habilitadas del </w:t>
      </w:r>
      <w:r w:rsidRPr="00835EA3">
        <w:rPr>
          <w:rFonts w:ascii="Palatino Linotype" w:eastAsia="Palatino Linotype" w:hAnsi="Palatino Linotype" w:cs="Palatino Linotype"/>
          <w:b/>
          <w:color w:val="000000" w:themeColor="text1"/>
        </w:rPr>
        <w:t xml:space="preserve">SUJETO OBLIGADO, </w:t>
      </w:r>
      <w:r w:rsidRPr="00835EA3">
        <w:rPr>
          <w:rFonts w:ascii="Palatino Linotype" w:eastAsia="Palatino Linotype" w:hAnsi="Palatino Linotype" w:cs="Palatino Linotype"/>
          <w:color w:val="000000" w:themeColor="text1"/>
        </w:rPr>
        <w:t>siendo la Tesorería Municipal y la Dirección de Administración, por lo que, al momento de orden</w:t>
      </w:r>
      <w:r w:rsidR="00FA5748" w:rsidRPr="00835EA3">
        <w:rPr>
          <w:rFonts w:ascii="Palatino Linotype" w:eastAsia="Palatino Linotype" w:hAnsi="Palatino Linotype" w:cs="Palatino Linotype"/>
          <w:color w:val="000000" w:themeColor="text1"/>
        </w:rPr>
        <w:t xml:space="preserve">ar la información faltante se hará con una nueva búsqueda exhaustiva  y razonable. </w:t>
      </w:r>
    </w:p>
    <w:p w:rsidR="00FA5748" w:rsidRPr="00835EA3" w:rsidRDefault="00FA5748" w:rsidP="004533D3">
      <w:pPr>
        <w:spacing w:line="360" w:lineRule="auto"/>
        <w:jc w:val="both"/>
        <w:rPr>
          <w:rFonts w:ascii="Palatino Linotype" w:eastAsia="Palatino Linotype" w:hAnsi="Palatino Linotype" w:cs="Palatino Linotype"/>
          <w:color w:val="000000" w:themeColor="text1"/>
        </w:rPr>
      </w:pPr>
    </w:p>
    <w:p w:rsidR="00FA5748" w:rsidRPr="00835EA3" w:rsidRDefault="00FA5748"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Ahora bien, como las solicitudes de información consisten en procesos adquisitivos que tienen relación con otorgar un servicio por terceros, en este caso la Asociación Civil Corazón Urbano, es que se hace el siguiente </w:t>
      </w:r>
      <w:r w:rsidR="00072383" w:rsidRPr="00835EA3">
        <w:rPr>
          <w:rFonts w:ascii="Palatino Linotype" w:eastAsia="Palatino Linotype" w:hAnsi="Palatino Linotype" w:cs="Palatino Linotype"/>
          <w:color w:val="000000" w:themeColor="text1"/>
        </w:rPr>
        <w:t>análisis</w:t>
      </w:r>
      <w:r w:rsidRPr="00835EA3">
        <w:rPr>
          <w:rFonts w:ascii="Palatino Linotype" w:eastAsia="Palatino Linotype" w:hAnsi="Palatino Linotype" w:cs="Palatino Linotype"/>
          <w:color w:val="000000" w:themeColor="text1"/>
        </w:rPr>
        <w:t xml:space="preserve">. </w:t>
      </w:r>
    </w:p>
    <w:p w:rsidR="001747BF" w:rsidRPr="00835EA3" w:rsidRDefault="001747BF" w:rsidP="004533D3">
      <w:pPr>
        <w:pStyle w:val="Prrafodelista"/>
        <w:ind w:left="0"/>
        <w:rPr>
          <w:rFonts w:ascii="Palatino Linotype" w:eastAsia="Palatino Linotype" w:hAnsi="Palatino Linotype" w:cs="Palatino Linotype"/>
          <w:color w:val="000000" w:themeColor="text1"/>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En ese contexto, de conformidad con lo que establecen los artículos 26 y 27 de la Ley de Contratación Pública del Estado de México y Municipios, las adquisiciones, </w:t>
      </w:r>
      <w:r w:rsidRPr="00835EA3">
        <w:rPr>
          <w:rFonts w:ascii="Palatino Linotype" w:eastAsia="Palatino Linotype" w:hAnsi="Palatino Linotype" w:cs="Palatino Linotype"/>
          <w:color w:val="000000" w:themeColor="text1"/>
          <w:lang w:val="es-ES_tradnl" w:eastAsia="es-ES"/>
        </w:rPr>
        <w:lastRenderedPageBreak/>
        <w:t xml:space="preserve">arrendamientos y servicios se adjudicarán a través de licitaciones públicas, adjudicaciones directas e invitaciones restringidas, como se observa a continuación: </w:t>
      </w:r>
    </w:p>
    <w:p w:rsidR="001747BF" w:rsidRPr="00835EA3" w:rsidRDefault="001747BF" w:rsidP="004533D3">
      <w:pPr>
        <w:jc w:val="center"/>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“LEY DE CONTRATACIÓN PÚBLICA DEL ESTADO DE MÉXICO Y MUNICIPIO</w:t>
      </w:r>
    </w:p>
    <w:p w:rsidR="001747BF" w:rsidRPr="00835EA3" w:rsidRDefault="001747BF" w:rsidP="004533D3">
      <w:pPr>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26.-</w:t>
      </w:r>
      <w:r w:rsidRPr="00835EA3">
        <w:rPr>
          <w:rFonts w:ascii="Palatino Linotype" w:eastAsia="Palatino Linotype" w:hAnsi="Palatino Linotype" w:cs="Palatino Linotype"/>
          <w:i/>
          <w:color w:val="000000" w:themeColor="text1"/>
          <w:lang w:val="es-ES_tradnl" w:eastAsia="es-ES"/>
        </w:rPr>
        <w:t xml:space="preserve"> Las adquisiciones, arrendamientos y servicios se adjudicarán a través de licitaciones públicas, mediante convocatoria pública. </w:t>
      </w:r>
    </w:p>
    <w:p w:rsidR="001747BF" w:rsidRPr="00835EA3" w:rsidRDefault="001747BF" w:rsidP="004533D3">
      <w:pPr>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27.-</w:t>
      </w:r>
      <w:r w:rsidRPr="00835EA3">
        <w:rPr>
          <w:rFonts w:ascii="Palatino Linotype" w:eastAsia="Palatino Linotype" w:hAnsi="Palatino Linotype" w:cs="Palatino Linotype"/>
          <w:i/>
          <w:color w:val="000000" w:themeColor="text1"/>
          <w:lang w:val="es-ES_tradnl" w:eastAsia="es-ES"/>
        </w:rPr>
        <w:t xml:space="preserve"> La Secretaría, las entidades, los tribunales administrativos y los ayuntamientos podrán adjudicar adquisiciones, arrendamientos y servicios, mediante las excepciones al procedimiento de licitación que a continuación se señalan: </w:t>
      </w:r>
    </w:p>
    <w:p w:rsidR="001747BF" w:rsidRPr="00835EA3" w:rsidRDefault="001747BF" w:rsidP="004533D3">
      <w:pPr>
        <w:numPr>
          <w:ilvl w:val="0"/>
          <w:numId w:val="37"/>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Invitación restringida.</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 II. Adjudicación directa.”</w:t>
      </w:r>
    </w:p>
    <w:p w:rsidR="001747BF" w:rsidRDefault="001747BF" w:rsidP="004533D3">
      <w:pPr>
        <w:jc w:val="both"/>
        <w:rPr>
          <w:rFonts w:ascii="Palatino Linotype" w:eastAsia="Palatino Linotype" w:hAnsi="Palatino Linotype" w:cs="Palatino Linotype"/>
          <w:i/>
          <w:color w:val="000000" w:themeColor="text1"/>
          <w:lang w:val="es-ES_tradnl" w:eastAsia="es-ES"/>
        </w:rPr>
      </w:pPr>
    </w:p>
    <w:p w:rsidR="00DE46FA" w:rsidRPr="00835EA3" w:rsidRDefault="00DE46FA" w:rsidP="004533D3">
      <w:pPr>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Respecto al procedimiento de </w:t>
      </w:r>
      <w:r w:rsidRPr="00835EA3">
        <w:rPr>
          <w:rFonts w:ascii="Palatino Linotype" w:eastAsia="Palatino Linotype" w:hAnsi="Palatino Linotype" w:cs="Palatino Linotype"/>
          <w:b/>
          <w:i/>
          <w:color w:val="000000" w:themeColor="text1"/>
          <w:u w:val="single"/>
          <w:lang w:val="es-ES_tradnl" w:eastAsia="es-ES"/>
        </w:rPr>
        <w:t>licitación pública</w:t>
      </w:r>
      <w:r w:rsidRPr="00835EA3">
        <w:rPr>
          <w:rFonts w:ascii="Palatino Linotype" w:eastAsia="Palatino Linotype" w:hAnsi="Palatino Linotype" w:cs="Palatino Linotype"/>
          <w:color w:val="000000" w:themeColor="text1"/>
          <w:lang w:val="es-ES_tradnl" w:eastAsia="es-ES"/>
        </w:rPr>
        <w:t xml:space="preserve">, es de mencionar que de acuerdo con el Banco Interamericano de Desarrollo, la licitación es un procedimiento formal y competitivo de adquisiciones, mediante el cual se solicitan, reciben y evalúan ofertas para la adquisición de </w:t>
      </w:r>
      <w:r w:rsidRPr="00835EA3">
        <w:rPr>
          <w:rFonts w:ascii="Palatino Linotype" w:eastAsia="Palatino Linotype" w:hAnsi="Palatino Linotype" w:cs="Palatino Linotype"/>
          <w:b/>
          <w:i/>
          <w:color w:val="000000" w:themeColor="text1"/>
          <w:u w:val="single"/>
          <w:lang w:val="es-ES_tradnl" w:eastAsia="es-ES"/>
        </w:rPr>
        <w:t>bienes</w:t>
      </w:r>
      <w:r w:rsidRPr="00835EA3">
        <w:rPr>
          <w:rFonts w:ascii="Palatino Linotype" w:eastAsia="Palatino Linotype" w:hAnsi="Palatino Linotype" w:cs="Palatino Linotype"/>
          <w:color w:val="000000" w:themeColor="text1"/>
          <w:lang w:val="es-ES_tradnl" w:eastAsia="es-ES"/>
        </w:rPr>
        <w:t xml:space="preserve">, </w:t>
      </w:r>
      <w:r w:rsidRPr="00835EA3">
        <w:rPr>
          <w:rFonts w:ascii="Palatino Linotype" w:eastAsia="Palatino Linotype" w:hAnsi="Palatino Linotype" w:cs="Palatino Linotype"/>
          <w:b/>
          <w:i/>
          <w:color w:val="000000" w:themeColor="text1"/>
          <w:u w:val="single"/>
          <w:lang w:val="es-ES_tradnl" w:eastAsia="es-ES"/>
        </w:rPr>
        <w:t>obras o servicios</w:t>
      </w:r>
      <w:r w:rsidRPr="00835EA3">
        <w:rPr>
          <w:rFonts w:ascii="Palatino Linotype" w:eastAsia="Palatino Linotype" w:hAnsi="Palatino Linotype" w:cs="Palatino Linotype"/>
          <w:color w:val="000000" w:themeColor="text1"/>
          <w:lang w:val="es-ES_tradnl" w:eastAsia="es-ES"/>
        </w:rPr>
        <w:t xml:space="preserve"> y se adjudica el contrato correspondiente al licitador que ofrezca la propuesta más ventajosa. (Desarrollo, 1995)</w:t>
      </w:r>
    </w:p>
    <w:p w:rsidR="00DA1C63" w:rsidRPr="00835EA3" w:rsidRDefault="00DA1C63" w:rsidP="00DA1C63">
      <w:pPr>
        <w:spacing w:line="360" w:lineRule="auto"/>
        <w:jc w:val="both"/>
        <w:rPr>
          <w:rFonts w:ascii="Palatino Linotype" w:eastAsia="Palatino Linotype" w:hAnsi="Palatino Linotype" w:cs="Palatino Linotype"/>
          <w:color w:val="000000" w:themeColor="text1"/>
          <w:lang w:val="es-ES_tradnl" w:eastAsia="es-ES"/>
        </w:rPr>
      </w:pPr>
    </w:p>
    <w:p w:rsidR="001747BF" w:rsidRPr="00835EA3" w:rsidRDefault="00DA1C63"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 En ese sentido, toda vez que </w:t>
      </w:r>
      <w:r w:rsidR="001747BF" w:rsidRPr="00835EA3">
        <w:rPr>
          <w:rFonts w:ascii="Palatino Linotype" w:eastAsia="Palatino Linotype" w:hAnsi="Palatino Linotype" w:cs="Palatino Linotype"/>
          <w:color w:val="000000" w:themeColor="text1"/>
          <w:lang w:val="es-ES_tradnl" w:eastAsia="es-ES"/>
        </w:rPr>
        <w:t>l</w:t>
      </w:r>
      <w:r w:rsidRPr="00835EA3">
        <w:rPr>
          <w:rFonts w:ascii="Palatino Linotype" w:eastAsia="Palatino Linotype" w:hAnsi="Palatino Linotype" w:cs="Palatino Linotype"/>
          <w:color w:val="000000" w:themeColor="text1"/>
          <w:lang w:val="es-ES_tradnl" w:eastAsia="es-ES"/>
        </w:rPr>
        <w:t>a</w:t>
      </w:r>
      <w:r w:rsidR="001747BF" w:rsidRPr="00835EA3">
        <w:rPr>
          <w:rFonts w:ascii="Palatino Linotype" w:eastAsia="Palatino Linotype" w:hAnsi="Palatino Linotype" w:cs="Palatino Linotype"/>
          <w:color w:val="000000" w:themeColor="text1"/>
          <w:lang w:val="es-ES_tradnl" w:eastAsia="es-ES"/>
        </w:rPr>
        <w:t xml:space="preserve"> </w:t>
      </w:r>
      <w:r w:rsidR="001747BF" w:rsidRPr="00835EA3">
        <w:rPr>
          <w:rFonts w:ascii="Palatino Linotype" w:eastAsia="Palatino Linotype" w:hAnsi="Palatino Linotype" w:cs="Palatino Linotype"/>
          <w:b/>
          <w:color w:val="000000" w:themeColor="text1"/>
          <w:lang w:val="es-ES_tradnl" w:eastAsia="es-ES"/>
        </w:rPr>
        <w:t xml:space="preserve">RECURRENTE </w:t>
      </w:r>
      <w:r w:rsidR="001747BF" w:rsidRPr="00835EA3">
        <w:rPr>
          <w:rFonts w:ascii="Palatino Linotype" w:eastAsia="Palatino Linotype" w:hAnsi="Palatino Linotype" w:cs="Palatino Linotype"/>
          <w:color w:val="000000" w:themeColor="text1"/>
          <w:lang w:val="es-ES_tradnl" w:eastAsia="es-ES"/>
        </w:rPr>
        <w:t xml:space="preserve">solicita los contratos o convenios del procedimiento de adjudicación directa, invitación restringida o licitación pública, estos pueden encontrarse de manera enunciativa más no limitativa en el expediente aperturado por la adquisición </w:t>
      </w:r>
      <w:r w:rsidR="006155AF" w:rsidRPr="00835EA3">
        <w:rPr>
          <w:rFonts w:ascii="Palatino Linotype" w:eastAsia="Palatino Linotype" w:hAnsi="Palatino Linotype" w:cs="Palatino Linotype"/>
          <w:color w:val="000000" w:themeColor="text1"/>
          <w:lang w:val="es-ES_tradnl" w:eastAsia="es-ES"/>
        </w:rPr>
        <w:t>del servicio de la pinta de fachada</w:t>
      </w:r>
      <w:r w:rsidR="001747BF" w:rsidRPr="00835EA3">
        <w:rPr>
          <w:rFonts w:ascii="Palatino Linotype" w:eastAsia="Palatino Linotype" w:hAnsi="Palatino Linotype" w:cs="Palatino Linotype"/>
          <w:color w:val="000000" w:themeColor="text1"/>
          <w:lang w:val="es-ES_tradnl" w:eastAsia="es-ES"/>
        </w:rPr>
        <w:t xml:space="preserve">, situación por la cual es aplicable el siguiente estudio.  </w:t>
      </w:r>
    </w:p>
    <w:p w:rsidR="001747BF" w:rsidRPr="00835EA3" w:rsidRDefault="001747BF" w:rsidP="004533D3">
      <w:pPr>
        <w:pBdr>
          <w:top w:val="nil"/>
          <w:left w:val="nil"/>
          <w:bottom w:val="nil"/>
          <w:right w:val="nil"/>
          <w:between w:val="nil"/>
        </w:pBdr>
        <w:rPr>
          <w:rFonts w:ascii="Palatino Linotype" w:eastAsia="Palatino Linotype" w:hAnsi="Palatino Linotype" w:cs="Palatino Linotype"/>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El artículo 23 de la Ley de Contratación Pública del Estado de México y Municipios, establece que los Comités de Adquisiciones y Servicios, tendrán las siguientes funciones.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lastRenderedPageBreak/>
        <w:t xml:space="preserve">Artículo 23.- Los comités de adquisiciones y de servicios tendrán las funciones siguientes: </w:t>
      </w:r>
    </w:p>
    <w:p w:rsidR="001747BF" w:rsidRPr="00835EA3" w:rsidRDefault="001747BF" w:rsidP="004533D3">
      <w:pPr>
        <w:numPr>
          <w:ilvl w:val="0"/>
          <w:numId w:val="3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Dictaminar sobre la procedencia de los casos de excepción al procedimiento de licitación pública.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II. Participar en los procedimientos de licitación, invitación restringida y adjudicación directa, hasta dejarlos en estado de dictar el fallo correspondiente, incluidos los que tengan que desahogarse bajo la modalidad de subasta inversa.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III. Emitir los dictámenes de adjudicación.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IV. Las demás que establezca el reglamento de esta Ley.</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En esa línea de estudio, el artículo 35 de la Ley de Contratación Pública del Estado de México y Municipios, establece que el procedimiento que sigue la licitación pública es el siguiente.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35.-</w:t>
      </w:r>
      <w:r w:rsidRPr="00835EA3">
        <w:rPr>
          <w:rFonts w:ascii="Palatino Linotype" w:eastAsia="Palatino Linotype" w:hAnsi="Palatino Linotype" w:cs="Palatino Linotype"/>
          <w:i/>
          <w:color w:val="000000" w:themeColor="text1"/>
          <w:lang w:val="es-ES_tradnl" w:eastAsia="es-ES"/>
        </w:rPr>
        <w:t xml:space="preserve"> En los procedimientos de licitación pública se observará lo siguiente: </w:t>
      </w:r>
    </w:p>
    <w:p w:rsidR="001747BF" w:rsidRPr="00835EA3" w:rsidRDefault="001747BF" w:rsidP="004533D3">
      <w:pPr>
        <w:numPr>
          <w:ilvl w:val="0"/>
          <w:numId w:val="39"/>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El acto de presentación y apertura de propuestas se llevará a cabo por el servidor público que designe la convocante, conforme al procedimiento que se establezca en el reglamento de esta Ley.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II. El comité de adquisiciones y servicios evaluará y analizará las propuestas técnicas y económicas presentadas por los licitantes en el ámbito de las respectivas competencias de sus integrantes, y emitirá el dictamen de adjudicación.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IV. Las convocantes podrán modificar los plazos y términos establecidos en la convocatoria o en las bases de licitación, hasta cinco días hábiles anteriores a la fecha de la celebración del acto de presentación y apertura de propuestas.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V. Las modificaciones no podrán limitar el número de licitantes, sustituir o variar sustancialmente los bienes o servicios convocados originalmente, ni adicionar otros distintos.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 Las modificaciones a la convocatoria o a las bases se harán del conocimiento de los interesados hasta tres días hábiles antes de la fecha señalada para el acto de presentación y apertura de propuestas.</w:t>
      </w:r>
      <w:r w:rsidRPr="00835EA3">
        <w:rPr>
          <w:rFonts w:ascii="Palatino Linotype" w:eastAsia="Calibri" w:hAnsi="Palatino Linotype" w:cstheme="minorBidi"/>
          <w:i/>
          <w:color w:val="000000" w:themeColor="text1"/>
          <w:lang w:val="es-ES_tradnl" w:eastAsia="es-ES"/>
        </w:rPr>
        <w:t xml:space="preserve">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VII. Se emitirá el fallo dentro de los 15 días hábiles siguientes a la publicación de la convocatoria.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VIII. Los licitantes se podrán registrar hasta el día y la hora fijados para el acto de presentación y apertura de propuestas.</w:t>
      </w:r>
    </w:p>
    <w:p w:rsidR="001747BF" w:rsidRPr="00835EA3" w:rsidRDefault="001747BF" w:rsidP="004533D3">
      <w:pPr>
        <w:pBdr>
          <w:top w:val="nil"/>
          <w:left w:val="nil"/>
          <w:bottom w:val="nil"/>
          <w:right w:val="nil"/>
          <w:between w:val="nil"/>
        </w:pBdr>
        <w:spacing w:line="360" w:lineRule="auto"/>
        <w:rPr>
          <w:rFonts w:ascii="Palatino Linotype" w:eastAsia="Palatino Linotype" w:hAnsi="Palatino Linotype" w:cs="Palatino Linotype"/>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lastRenderedPageBreak/>
        <w:t xml:space="preserve">Seguidamente el artículo 39 de la Ley de Contratación Pública del Estado de México y Municipios, regula que cada uno de los actos del procedimiento adquisitivo se levantará el acta respectiva, la cual será firmada por los participantes.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Siguiendo esa línea de estudio, la Ley de Contratación Pública del Estado de México y Municipios, establece que las licitaciones podrán ser la siguiente manera. </w:t>
      </w:r>
    </w:p>
    <w:p w:rsidR="001747BF" w:rsidRPr="00835EA3" w:rsidRDefault="001747BF" w:rsidP="004533D3">
      <w:pPr>
        <w:tabs>
          <w:tab w:val="left" w:pos="284"/>
        </w:tabs>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29.-</w:t>
      </w:r>
      <w:r w:rsidRPr="00835EA3">
        <w:rPr>
          <w:rFonts w:ascii="Palatino Linotype" w:eastAsia="Palatino Linotype" w:hAnsi="Palatino Linotype" w:cs="Palatino Linotype"/>
          <w:i/>
          <w:color w:val="000000" w:themeColor="text1"/>
          <w:lang w:val="es-ES_tradnl" w:eastAsia="es-ES"/>
        </w:rPr>
        <w:t xml:space="preserve"> En el procedimiento de licitación pública deberán establecerse los mismos requisitos y condiciones para todos los licitantes. Todo licitante que satisfaga los requisitos de la convocatoria y de las bases de la licitación tendrá derecho a presentar su propuesta. Las entidades, los tribunales administrativos y </w:t>
      </w:r>
      <w:r w:rsidRPr="00835EA3">
        <w:rPr>
          <w:rFonts w:ascii="Palatino Linotype" w:eastAsia="Palatino Linotype" w:hAnsi="Palatino Linotype" w:cs="Palatino Linotype"/>
          <w:b/>
          <w:i/>
          <w:color w:val="000000" w:themeColor="text1"/>
          <w:lang w:val="es-ES_tradnl" w:eastAsia="es-ES"/>
        </w:rPr>
        <w:t>los ayuntamientos proporcionarán a los interesados igual acceso a la información relacionada con la licitación, a fin de evitar favorecer a algún participante.</w:t>
      </w:r>
    </w:p>
    <w:p w:rsidR="001747BF" w:rsidRPr="00835EA3" w:rsidRDefault="001747BF" w:rsidP="004533D3">
      <w:pPr>
        <w:tabs>
          <w:tab w:val="left" w:pos="284"/>
        </w:tabs>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Artículo 30.- </w:t>
      </w:r>
      <w:r w:rsidRPr="00835EA3">
        <w:rPr>
          <w:rFonts w:ascii="Palatino Linotype" w:eastAsia="Palatino Linotype" w:hAnsi="Palatino Linotype" w:cs="Palatino Linotype"/>
          <w:b/>
          <w:i/>
          <w:color w:val="000000" w:themeColor="text1"/>
          <w:lang w:val="es-ES_tradnl" w:eastAsia="es-ES"/>
        </w:rPr>
        <w:t xml:space="preserve">Las licitaciones públicas podrán ser: </w:t>
      </w:r>
    </w:p>
    <w:p w:rsidR="001747BF" w:rsidRPr="00835EA3" w:rsidRDefault="001747BF" w:rsidP="00DE46FA">
      <w:pPr>
        <w:numPr>
          <w:ilvl w:val="0"/>
          <w:numId w:val="41"/>
        </w:numPr>
        <w:pBdr>
          <w:top w:val="nil"/>
          <w:left w:val="nil"/>
          <w:bottom w:val="nil"/>
          <w:right w:val="nil"/>
          <w:between w:val="nil"/>
        </w:pBdr>
        <w:tabs>
          <w:tab w:val="left" w:pos="284"/>
        </w:tabs>
        <w:ind w:left="0" w:firstLine="0"/>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Nacionales, cuando únicamente puedan participar personas de nacionalidad mexicana. </w:t>
      </w:r>
    </w:p>
    <w:p w:rsidR="001747BF" w:rsidRPr="00835EA3" w:rsidRDefault="001747BF" w:rsidP="00DE46FA">
      <w:pPr>
        <w:numPr>
          <w:ilvl w:val="0"/>
          <w:numId w:val="41"/>
        </w:numPr>
        <w:pBdr>
          <w:top w:val="nil"/>
          <w:left w:val="nil"/>
          <w:bottom w:val="nil"/>
          <w:right w:val="nil"/>
          <w:between w:val="nil"/>
        </w:pBdr>
        <w:tabs>
          <w:tab w:val="left" w:pos="284"/>
        </w:tabs>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Internacionales, cuando puedan participar tanto personas de nacionalidad mexicana como extranjera.</w:t>
      </w:r>
    </w:p>
    <w:p w:rsidR="001747BF" w:rsidRPr="00835EA3" w:rsidRDefault="001747BF" w:rsidP="004533D3">
      <w:pPr>
        <w:pBdr>
          <w:top w:val="nil"/>
          <w:left w:val="nil"/>
          <w:bottom w:val="nil"/>
          <w:right w:val="nil"/>
          <w:between w:val="nil"/>
        </w:pBdr>
        <w:tabs>
          <w:tab w:val="left" w:pos="284"/>
        </w:tabs>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En ese sentido, por cuanto hace a las licitaciones de Adjudicación Directa la Ley de Contratación Pública del Estado de México y Municipios, regula lo siguiente, </w:t>
      </w:r>
    </w:p>
    <w:p w:rsidR="001747BF" w:rsidRPr="00835EA3" w:rsidRDefault="001747BF" w:rsidP="004533D3">
      <w:pPr>
        <w:spacing w:line="276" w:lineRule="auto"/>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 Artículo 48.-</w:t>
      </w:r>
      <w:r w:rsidRPr="00835EA3">
        <w:rPr>
          <w:rFonts w:ascii="Palatino Linotype" w:eastAsia="Palatino Linotype" w:hAnsi="Palatino Linotype" w:cs="Palatino Linotype"/>
          <w:i/>
          <w:color w:val="000000" w:themeColor="text1"/>
          <w:lang w:val="es-ES_tradnl" w:eastAsia="es-ES"/>
        </w:rPr>
        <w:t xml:space="preserve"> La Oficialía Mayor, las entidades, los tribunales administrativos </w:t>
      </w:r>
      <w:r w:rsidRPr="00835EA3">
        <w:rPr>
          <w:rFonts w:ascii="Palatino Linotype" w:eastAsia="Palatino Linotype" w:hAnsi="Palatino Linotype" w:cs="Palatino Linotype"/>
          <w:b/>
          <w:i/>
          <w:color w:val="000000" w:themeColor="text1"/>
          <w:lang w:val="es-ES_tradnl" w:eastAsia="es-ES"/>
        </w:rPr>
        <w:t xml:space="preserve">y los ayuntamientos podrán adquirir bienes, arrendar bienes muebles e inmuebles y contratar servicios, mediante adjudicación directa, cuando: </w:t>
      </w:r>
    </w:p>
    <w:p w:rsidR="001747BF" w:rsidRPr="00835EA3" w:rsidRDefault="001747BF" w:rsidP="004533D3">
      <w:pPr>
        <w:numPr>
          <w:ilvl w:val="1"/>
          <w:numId w:val="40"/>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La adquisición o el servicio sólo puedan realizarse con una determinada persona, por tratarse de obras de arte, titularidad de patentes, registros, marcas específicas, derechos de autor u otros derechos exclusivos.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lastRenderedPageBreak/>
        <w:t xml:space="preserve">III. Se trate de servicios que requieran de experiencia, técnicas o equipos especiales, o se trate de la adquisición de bienes usados o de características especiales que solamente puedan ser prestados o suministrados por una sola persona.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V. Existan circunstancias que puedan provocar pérdidas o costos adicionales importantes al erario.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VI. Pueda comprometerse información de naturaleza confidencial para el Estado o municipios, por razones de seguridad pública.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VII. Existan circunstancias extraordinarias o imprevisibles derivadas de riesgo o desastre. En este supuesto, la adquisición, arrendamiento y servicio deberá limitarse a lo estrictamente necesario para enfrentar tal eventualidad.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VIII. Se hubiere rescindido un contrato, por causas imputables al proveedor o que la persona que habiendo resultado ganadora en una licitación, no concurra a la suscripción del contrato dentro del plazo establecido en esta Ley. En estos supuestos, la Oficialía Mayor,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IX. Se hubiere declarado desierto un procedimiento de invitación restringida.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 Cuando se aseguren condiciones financieras que permitan al Estado o a los municipios cumplir con la obligación de pago de manera diferida, sin que ello implique un costo financiero adicional o que habiéndolo, sea inferior al del mercado, o</w:t>
      </w:r>
      <w:r w:rsidRPr="00835EA3">
        <w:rPr>
          <w:rFonts w:ascii="Palatino Linotype" w:eastAsia="Calibri" w:hAnsi="Palatino Linotype" w:cstheme="minorBidi"/>
          <w:i/>
          <w:color w:val="000000" w:themeColor="text1"/>
          <w:lang w:val="es-ES_tradnl" w:eastAsia="es-ES"/>
        </w:rPr>
        <w:t xml:space="preserve"> </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lastRenderedPageBreak/>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1747BF" w:rsidRPr="00835EA3" w:rsidRDefault="001747BF" w:rsidP="004533D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Por cuanto hace a la invitación restringida, la Ley de Contratación Pública del Estado de México y Municipios, considera y regula lo siguiente. </w:t>
      </w:r>
    </w:p>
    <w:p w:rsidR="001747BF" w:rsidRPr="00835EA3" w:rsidRDefault="001747BF" w:rsidP="004533D3">
      <w:pPr>
        <w:pBdr>
          <w:top w:val="nil"/>
          <w:left w:val="nil"/>
          <w:bottom w:val="nil"/>
          <w:right w:val="nil"/>
          <w:between w:val="nil"/>
        </w:pBdr>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b/>
          <w:bCs/>
          <w:i/>
          <w:iCs/>
          <w:color w:val="000000" w:themeColor="text1"/>
          <w:lang w:val="es-ES_tradnl" w:eastAsia="es-ES"/>
        </w:rPr>
        <w:t>Artículo 44.-</w:t>
      </w:r>
      <w:r w:rsidRPr="00835EA3">
        <w:rPr>
          <w:rFonts w:ascii="Palatino Linotype" w:eastAsia="Palatino Linotype" w:hAnsi="Palatino Linotype" w:cs="Palatino Linotype"/>
          <w:i/>
          <w:iCs/>
          <w:color w:val="000000" w:themeColor="text1"/>
          <w:lang w:val="es-ES_tradnl" w:eastAsia="es-ES"/>
        </w:rPr>
        <w:t xml:space="preserve"> La Oficialía Mayor, las entidades, los tribunales administrativos y </w:t>
      </w:r>
      <w:r w:rsidRPr="00835EA3">
        <w:rPr>
          <w:rFonts w:ascii="Palatino Linotype" w:eastAsia="Palatino Linotype" w:hAnsi="Palatino Linotype" w:cs="Palatino Linotype"/>
          <w:b/>
          <w:i/>
          <w:iCs/>
          <w:color w:val="000000" w:themeColor="text1"/>
          <w:lang w:val="es-ES_tradnl" w:eastAsia="es-ES"/>
        </w:rPr>
        <w:t>los ayuntamientos</w:t>
      </w:r>
      <w:r w:rsidRPr="00835EA3">
        <w:rPr>
          <w:rFonts w:ascii="Palatino Linotype" w:eastAsia="Palatino Linotype" w:hAnsi="Palatino Linotype" w:cs="Palatino Linotype"/>
          <w:i/>
          <w:iCs/>
          <w:color w:val="000000" w:themeColor="text1"/>
          <w:lang w:val="es-ES_tradnl" w:eastAsia="es-ES"/>
        </w:rPr>
        <w:t xml:space="preserve"> podrán adquirir y contratar servicios mediante invitación restringida, cuando: </w:t>
      </w:r>
    </w:p>
    <w:p w:rsidR="001747BF" w:rsidRPr="00835EA3" w:rsidRDefault="001747BF" w:rsidP="004533D3">
      <w:pPr>
        <w:numPr>
          <w:ilvl w:val="0"/>
          <w:numId w:val="42"/>
        </w:numPr>
        <w:pBdr>
          <w:top w:val="nil"/>
          <w:left w:val="nil"/>
          <w:bottom w:val="nil"/>
          <w:right w:val="nil"/>
          <w:between w:val="nil"/>
        </w:pBdr>
        <w:ind w:left="0" w:firstLine="0"/>
        <w:contextualSpacing/>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i/>
          <w:iCs/>
          <w:color w:val="000000" w:themeColor="text1"/>
          <w:lang w:val="es-ES_tradnl" w:eastAsia="es-ES"/>
        </w:rPr>
        <w:t xml:space="preserve">Se hubiere declarado desierto un procedimiento de licitación, o </w:t>
      </w:r>
    </w:p>
    <w:p w:rsidR="001747BF" w:rsidRPr="00835EA3" w:rsidRDefault="001747BF" w:rsidP="004533D3">
      <w:pPr>
        <w:pBdr>
          <w:top w:val="nil"/>
          <w:left w:val="nil"/>
          <w:bottom w:val="nil"/>
          <w:right w:val="nil"/>
          <w:between w:val="nil"/>
        </w:pBdr>
        <w:contextualSpacing/>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i/>
          <w:iCs/>
          <w:color w:val="000000" w:themeColor="text1"/>
          <w:lang w:val="es-ES_tradnl" w:eastAsia="es-ES"/>
        </w:rPr>
        <w:t xml:space="preserve">II. El importe de la operación no exceda de los montos establecidos por el Presupuesto de Egresos del Gobierno del Estado de México del ejercicio correspondiente. </w:t>
      </w:r>
    </w:p>
    <w:p w:rsidR="001747BF" w:rsidRPr="00835EA3" w:rsidRDefault="001747BF" w:rsidP="004533D3">
      <w:pPr>
        <w:pBdr>
          <w:top w:val="nil"/>
          <w:left w:val="nil"/>
          <w:bottom w:val="nil"/>
          <w:right w:val="nil"/>
          <w:between w:val="nil"/>
        </w:pBdr>
        <w:contextualSpacing/>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i/>
          <w:iCs/>
          <w:color w:val="000000" w:themeColor="text1"/>
          <w:lang w:val="es-ES_tradnl" w:eastAsia="es-ES"/>
        </w:rPr>
        <w:t xml:space="preserve">La Oficialía Mayor,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1747BF" w:rsidRPr="00835EA3" w:rsidRDefault="001747BF" w:rsidP="004533D3">
      <w:pPr>
        <w:pBdr>
          <w:top w:val="nil"/>
          <w:left w:val="nil"/>
          <w:bottom w:val="nil"/>
          <w:right w:val="nil"/>
          <w:between w:val="nil"/>
        </w:pBdr>
        <w:contextualSpacing/>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i/>
          <w:iCs/>
          <w:color w:val="000000" w:themeColor="text1"/>
          <w:lang w:val="es-ES_tradnl" w:eastAsia="es-ES"/>
        </w:rPr>
        <w:t xml:space="preserve">En la invitación deberá especificarse si en el proceso de asignación aplicará la modalidad de subasta inversa. </w:t>
      </w:r>
    </w:p>
    <w:p w:rsidR="001747BF" w:rsidRPr="00835EA3" w:rsidRDefault="001747BF" w:rsidP="004533D3">
      <w:pPr>
        <w:pBdr>
          <w:top w:val="nil"/>
          <w:left w:val="nil"/>
          <w:bottom w:val="nil"/>
          <w:right w:val="nil"/>
          <w:between w:val="nil"/>
        </w:pBdr>
        <w:contextualSpacing/>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b/>
          <w:bCs/>
          <w:i/>
          <w:iCs/>
          <w:color w:val="000000" w:themeColor="text1"/>
          <w:lang w:val="es-ES_tradnl" w:eastAsia="es-ES"/>
        </w:rPr>
        <w:t>Artículo 45.-</w:t>
      </w:r>
      <w:r w:rsidRPr="00835EA3">
        <w:rPr>
          <w:rFonts w:ascii="Palatino Linotype" w:eastAsia="Palatino Linotype" w:hAnsi="Palatino Linotype" w:cs="Palatino Linotype"/>
          <w:i/>
          <w:iCs/>
          <w:color w:val="000000" w:themeColor="text1"/>
          <w:lang w:val="es-ES_tradnl" w:eastAsia="es-ES"/>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rsidR="001747BF" w:rsidRPr="00835EA3" w:rsidRDefault="001747BF" w:rsidP="004533D3">
      <w:pPr>
        <w:pBdr>
          <w:top w:val="nil"/>
          <w:left w:val="nil"/>
          <w:bottom w:val="nil"/>
          <w:right w:val="nil"/>
          <w:between w:val="nil"/>
        </w:pBdr>
        <w:contextualSpacing/>
        <w:jc w:val="both"/>
        <w:rPr>
          <w:rFonts w:ascii="Palatino Linotype" w:eastAsia="Palatino Linotype" w:hAnsi="Palatino Linotype" w:cs="Palatino Linotype"/>
          <w:b/>
          <w:bCs/>
          <w:i/>
          <w:iCs/>
          <w:color w:val="000000" w:themeColor="text1"/>
          <w:lang w:val="es-ES_tradnl" w:eastAsia="es-ES"/>
        </w:rPr>
      </w:pPr>
      <w:r w:rsidRPr="00835EA3">
        <w:rPr>
          <w:rFonts w:ascii="Palatino Linotype" w:eastAsia="Palatino Linotype" w:hAnsi="Palatino Linotype" w:cs="Palatino Linotype"/>
          <w:b/>
          <w:bCs/>
          <w:i/>
          <w:iCs/>
          <w:color w:val="000000" w:themeColor="text1"/>
          <w:lang w:val="es-ES_tradnl" w:eastAsia="es-ES"/>
        </w:rPr>
        <w:t>Artículo 46.-</w:t>
      </w:r>
      <w:r w:rsidRPr="00835EA3">
        <w:rPr>
          <w:rFonts w:ascii="Palatino Linotype" w:eastAsia="Palatino Linotype" w:hAnsi="Palatino Linotype" w:cs="Palatino Linotype"/>
          <w:i/>
          <w:iCs/>
          <w:color w:val="000000" w:themeColor="text1"/>
          <w:lang w:val="es-ES_tradnl" w:eastAsia="es-ES"/>
        </w:rPr>
        <w:t xml:space="preserve"> </w:t>
      </w:r>
      <w:r w:rsidRPr="00835EA3">
        <w:rPr>
          <w:rFonts w:ascii="Palatino Linotype" w:eastAsia="Palatino Linotype" w:hAnsi="Palatino Linotype" w:cs="Palatino Linotype"/>
          <w:b/>
          <w:bCs/>
          <w:i/>
          <w:iCs/>
          <w:color w:val="000000" w:themeColor="text1"/>
          <w:lang w:val="es-ES_tradnl" w:eastAsia="es-ES"/>
        </w:rPr>
        <w:t xml:space="preserve">El procedimiento de invitación restringida se desarrollará en los términos de la licitación pública, a excepción de la publicación de la convocatoria. </w:t>
      </w:r>
    </w:p>
    <w:p w:rsidR="001747BF" w:rsidRPr="00835EA3" w:rsidRDefault="001747BF" w:rsidP="004533D3">
      <w:pPr>
        <w:pBdr>
          <w:top w:val="nil"/>
          <w:left w:val="nil"/>
          <w:bottom w:val="nil"/>
          <w:right w:val="nil"/>
          <w:between w:val="nil"/>
        </w:pBdr>
        <w:contextualSpacing/>
        <w:jc w:val="both"/>
        <w:rPr>
          <w:rFonts w:ascii="Palatino Linotype" w:eastAsia="Palatino Linotype" w:hAnsi="Palatino Linotype" w:cs="Palatino Linotype"/>
          <w:i/>
          <w:iCs/>
          <w:color w:val="000000" w:themeColor="text1"/>
          <w:lang w:val="es-ES_tradnl" w:eastAsia="es-ES"/>
        </w:rPr>
      </w:pPr>
      <w:r w:rsidRPr="00835EA3">
        <w:rPr>
          <w:rFonts w:ascii="Palatino Linotype" w:eastAsia="Palatino Linotype" w:hAnsi="Palatino Linotype" w:cs="Palatino Linotype"/>
          <w:b/>
          <w:bCs/>
          <w:i/>
          <w:iCs/>
          <w:color w:val="000000" w:themeColor="text1"/>
          <w:lang w:val="es-ES_tradnl" w:eastAsia="es-ES"/>
        </w:rPr>
        <w:t>Artículo 47.-</w:t>
      </w:r>
      <w:r w:rsidRPr="00835EA3">
        <w:rPr>
          <w:rFonts w:ascii="Palatino Linotype" w:eastAsia="Palatino Linotype" w:hAnsi="Palatino Linotype" w:cs="Palatino Linotype"/>
          <w:i/>
          <w:iCs/>
          <w:color w:val="000000" w:themeColor="text1"/>
          <w:lang w:val="es-ES_tradnl" w:eastAsia="es-ES"/>
        </w:rPr>
        <w:t xml:space="preserve"> El procedimiento de invitación restringida se declarará desierto, cuando no se presente propuesta alguna que cumpla con los requisitos establecidos en las bases.</w:t>
      </w:r>
    </w:p>
    <w:p w:rsidR="001747BF" w:rsidRPr="00835EA3" w:rsidRDefault="001747BF" w:rsidP="004533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De lo anteriormente expuesto, se establece que el Ayuntamiento de Ecatepec de Morelos tiene la facultad de adquirir </w:t>
      </w:r>
      <w:r w:rsidR="006155AF" w:rsidRPr="00835EA3">
        <w:rPr>
          <w:rFonts w:ascii="Palatino Linotype" w:eastAsia="Palatino Linotype" w:hAnsi="Palatino Linotype" w:cs="Palatino Linotype"/>
          <w:color w:val="000000" w:themeColor="text1"/>
          <w:lang w:val="es-ES_tradnl" w:eastAsia="es-ES"/>
        </w:rPr>
        <w:t>servicios</w:t>
      </w:r>
      <w:r w:rsidRPr="00835EA3">
        <w:rPr>
          <w:rFonts w:ascii="Palatino Linotype" w:eastAsia="Palatino Linotype" w:hAnsi="Palatino Linotype" w:cs="Palatino Linotype"/>
          <w:color w:val="000000" w:themeColor="text1"/>
          <w:lang w:val="es-ES_tradnl" w:eastAsia="es-ES"/>
        </w:rPr>
        <w:t xml:space="preserve"> por medio de licitaciones públicas, adjudicaciones directas e invitaciones restringidas. </w:t>
      </w:r>
    </w:p>
    <w:p w:rsidR="001747BF" w:rsidRPr="00835EA3" w:rsidRDefault="001747BF" w:rsidP="004533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rsidR="006155A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lastRenderedPageBreak/>
        <w:t xml:space="preserve">En ese sentido, se determina </w:t>
      </w:r>
      <w:r w:rsidR="006155AF" w:rsidRPr="00835EA3">
        <w:rPr>
          <w:rFonts w:ascii="Palatino Linotype" w:eastAsia="Palatino Linotype" w:hAnsi="Palatino Linotype" w:cs="Palatino Linotype"/>
          <w:color w:val="000000" w:themeColor="text1"/>
          <w:lang w:val="es-ES_tradnl" w:eastAsia="es-ES"/>
        </w:rPr>
        <w:t xml:space="preserve"> la existencia de un convenio firmado por parte del Ayuntamiento de Ecatepec de Morelos y la Asociación Civil Corazón Urbano tal y como se precisó en párrafos anteriores en la factura remitida por el </w:t>
      </w:r>
      <w:r w:rsidR="006155AF" w:rsidRPr="00835EA3">
        <w:rPr>
          <w:rFonts w:ascii="Palatino Linotype" w:eastAsia="Palatino Linotype" w:hAnsi="Palatino Linotype" w:cs="Palatino Linotype"/>
          <w:b/>
          <w:color w:val="000000" w:themeColor="text1"/>
          <w:u w:val="single"/>
          <w:lang w:val="es-ES_tradnl" w:eastAsia="es-ES"/>
        </w:rPr>
        <w:t xml:space="preserve">SUJETO OBLIGADO. </w:t>
      </w:r>
    </w:p>
    <w:p w:rsidR="006155AF" w:rsidRPr="00835EA3" w:rsidRDefault="006155AF" w:rsidP="004533D3">
      <w:pPr>
        <w:pStyle w:val="Prrafodelista"/>
        <w:ind w:left="0"/>
        <w:rPr>
          <w:rFonts w:ascii="Palatino Linotype" w:eastAsia="Palatino Linotype" w:hAnsi="Palatino Linotype" w:cs="Palatino Linotype"/>
          <w:b/>
          <w:color w:val="000000" w:themeColor="text1"/>
          <w:u w:val="single"/>
          <w:lang w:val="es-ES_tradnl" w:eastAsia="es-ES"/>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En esa línea, se colige que al haber un convenio firmado también existió la realización de un procedimiento adquisitivo por el servicio de la pinta de las fachadas, por lo que se determina que el </w:t>
      </w:r>
      <w:r w:rsidRPr="00835EA3">
        <w:rPr>
          <w:rFonts w:ascii="Palatino Linotype" w:eastAsia="Palatino Linotype" w:hAnsi="Palatino Linotype" w:cs="Palatino Linotype"/>
          <w:b/>
          <w:color w:val="000000" w:themeColor="text1"/>
          <w:lang w:val="es-ES_tradnl" w:eastAsia="es-ES"/>
        </w:rPr>
        <w:t xml:space="preserve">SUJETO OBLIGADO </w:t>
      </w:r>
      <w:r w:rsidRPr="00835EA3">
        <w:rPr>
          <w:rFonts w:ascii="Palatino Linotype" w:eastAsia="Palatino Linotype" w:hAnsi="Palatino Linotype" w:cs="Palatino Linotype"/>
          <w:color w:val="000000" w:themeColor="text1"/>
          <w:lang w:val="es-ES_tradnl" w:eastAsia="es-ES"/>
        </w:rPr>
        <w:t>para colmar el derecho de acceso a la información deberá de remitir el convenio firmado entre el Ayuntamiento y la Asociación Civil, así los documentos que formaron parte del proceso adquisitivo.</w:t>
      </w:r>
    </w:p>
    <w:p w:rsidR="001747BF" w:rsidRPr="00835EA3" w:rsidRDefault="001747BF" w:rsidP="004533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835EA3">
        <w:rPr>
          <w:rFonts w:ascii="Palatino Linotype" w:eastAsia="Palatino Linotype" w:hAnsi="Palatino Linotype" w:cs="Palatino Linotype"/>
          <w:color w:val="000000" w:themeColor="text1"/>
        </w:rPr>
        <w:t>Ahora</w:t>
      </w:r>
      <w:r w:rsidRPr="00835EA3">
        <w:rPr>
          <w:rFonts w:ascii="Palatino Linotype" w:eastAsia="Palatino Linotype" w:hAnsi="Palatino Linotype" w:cs="Palatino Linotype"/>
          <w:color w:val="000000" w:themeColor="text1"/>
          <w:lang w:val="es-ES_tradnl" w:eastAsia="es-ES"/>
        </w:rPr>
        <w:t xml:space="preserve"> bien, respecto de </w:t>
      </w:r>
      <w:r w:rsidR="0088312F" w:rsidRPr="00835EA3">
        <w:rPr>
          <w:rFonts w:ascii="Palatino Linotype" w:eastAsia="Palatino Linotype" w:hAnsi="Palatino Linotype" w:cs="Palatino Linotype"/>
          <w:color w:val="000000" w:themeColor="text1"/>
          <w:lang w:val="es-ES_tradnl" w:eastAsia="es-ES"/>
        </w:rPr>
        <w:t xml:space="preserve">al </w:t>
      </w:r>
      <w:r w:rsidRPr="00835EA3">
        <w:rPr>
          <w:rFonts w:ascii="Palatino Linotype" w:eastAsia="Palatino Linotype" w:hAnsi="Palatino Linotype" w:cs="Palatino Linotype"/>
          <w:color w:val="000000" w:themeColor="text1"/>
          <w:lang w:val="es-ES_tradnl" w:eastAsia="es-ES"/>
        </w:rPr>
        <w:t xml:space="preserve"> </w:t>
      </w:r>
      <w:r w:rsidR="0088312F" w:rsidRPr="00835EA3">
        <w:rPr>
          <w:rFonts w:ascii="Palatino Linotype" w:eastAsia="Palatino Linotype" w:hAnsi="Palatino Linotype" w:cs="Palatino Linotype"/>
          <w:b/>
          <w:bCs/>
          <w:color w:val="000000" w:themeColor="text1"/>
          <w:lang w:val="es-ES_tradnl" w:eastAsia="es-ES"/>
        </w:rPr>
        <w:t>convenio</w:t>
      </w:r>
      <w:r w:rsidRPr="00835EA3">
        <w:rPr>
          <w:rFonts w:ascii="Palatino Linotype" w:eastAsia="Palatino Linotype" w:hAnsi="Palatino Linotype" w:cs="Palatino Linotype"/>
          <w:b/>
          <w:bCs/>
          <w:color w:val="000000" w:themeColor="text1"/>
          <w:lang w:val="es-ES_tradnl" w:eastAsia="es-ES"/>
        </w:rPr>
        <w:t xml:space="preserve"> </w:t>
      </w:r>
      <w:r w:rsidRPr="00835EA3">
        <w:rPr>
          <w:rFonts w:ascii="Palatino Linotype" w:eastAsia="Palatino Linotype" w:hAnsi="Palatino Linotype" w:cs="Palatino Linotype"/>
          <w:color w:val="000000" w:themeColor="text1"/>
          <w:lang w:val="es-ES_tradnl" w:eastAsia="es-ES"/>
        </w:rPr>
        <w:t>se tiene que, es un acto jurídico bilateral que se constituye por el acuerdo de voluntades de dos o más personas y que produce ciertas consecuencias jurídicas (creación o transmisión de derechos y obligaciones), debido al reconocimiento de una norma de derecho.</w:t>
      </w:r>
    </w:p>
    <w:p w:rsidR="001747BF" w:rsidRPr="00835EA3" w:rsidRDefault="001747BF" w:rsidP="004533D3">
      <w:pPr>
        <w:spacing w:line="360" w:lineRule="auto"/>
        <w:jc w:val="both"/>
        <w:rPr>
          <w:rFonts w:ascii="Palatino Linotype" w:eastAsia="Palatino Linotype" w:hAnsi="Palatino Linotype" w:cs="Palatino Linotype"/>
          <w:color w:val="000000" w:themeColor="text1"/>
          <w:lang w:val="es-ES_tradnl" w:eastAsia="es-ES"/>
        </w:rPr>
      </w:pPr>
    </w:p>
    <w:p w:rsidR="001747BF" w:rsidRPr="00835EA3" w:rsidRDefault="001747BF" w:rsidP="004533D3">
      <w:pPr>
        <w:numPr>
          <w:ilvl w:val="0"/>
          <w:numId w:val="3"/>
        </w:numPr>
        <w:spacing w:line="360" w:lineRule="auto"/>
        <w:ind w:left="0" w:firstLine="0"/>
        <w:jc w:val="both"/>
        <w:rPr>
          <w:rFonts w:ascii="Palatino Linotype" w:eastAsia="Calibri" w:hAnsi="Palatino Linotype" w:cstheme="minorBid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De manera complementaria, conviene precisar que de acuerdo a la naturaleza de la información solicitada se concluye que ésta es de interés general y de alcance público, robustece lo anterior los artículos 24, fracción XII y 92, fracción XIX de la Ley de Transparencia y Acceso a la Información Pública del Estado de México y Municipios, porciones normativas que disponen a la literalidad lo siguiente: </w:t>
      </w:r>
    </w:p>
    <w:p w:rsidR="001747BF" w:rsidRPr="00835EA3" w:rsidRDefault="001747BF" w:rsidP="004533D3">
      <w:pPr>
        <w:spacing w:before="240" w:after="160" w:line="360" w:lineRule="auto"/>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 “Artículo 24. </w:t>
      </w:r>
      <w:r w:rsidRPr="00835EA3">
        <w:rPr>
          <w:rFonts w:ascii="Palatino Linotype" w:eastAsia="Palatino Linotype" w:hAnsi="Palatino Linotype" w:cs="Palatino Linotype"/>
          <w:i/>
          <w:color w:val="000000" w:themeColor="text1"/>
          <w:lang w:val="es-ES_tradnl" w:eastAsia="es-ES"/>
        </w:rPr>
        <w:t>Para el cumplimiento de los objetivos de esta Ley, los sujetos obligados deberán cumplir con las siguientes obligaciones, según corresponda, de acuerdo a su naturaleza:</w:t>
      </w:r>
    </w:p>
    <w:p w:rsidR="001747BF" w:rsidRPr="00835EA3" w:rsidRDefault="001747BF" w:rsidP="004533D3">
      <w:pPr>
        <w:spacing w:before="240" w:after="160" w:line="360" w:lineRule="auto"/>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lastRenderedPageBreak/>
        <w:t xml:space="preserve">XII. </w:t>
      </w:r>
      <w:r w:rsidRPr="00835EA3">
        <w:rPr>
          <w:rFonts w:ascii="Palatino Linotype" w:eastAsia="Palatino Linotype" w:hAnsi="Palatino Linotype" w:cs="Palatino Linotype"/>
          <w:b/>
          <w:i/>
          <w:color w:val="000000" w:themeColor="text1"/>
          <w:u w:val="single"/>
          <w:lang w:val="es-ES_tradnl" w:eastAsia="es-ES"/>
        </w:rPr>
        <w:t>Publicar y mantener actualizada la información relativa a las obligaciones generales de transparencia</w:t>
      </w:r>
      <w:r w:rsidRPr="00835EA3">
        <w:rPr>
          <w:rFonts w:ascii="Palatino Linotype" w:eastAsia="Palatino Linotype" w:hAnsi="Palatino Linotype" w:cs="Palatino Linotype"/>
          <w:i/>
          <w:color w:val="000000" w:themeColor="text1"/>
          <w:lang w:val="es-ES_tradnl" w:eastAsia="es-ES"/>
        </w:rPr>
        <w:t xml:space="preserve"> previstas en la presente Ley o determinadas así por el Instituto, y en general aquella que sea de interés público;</w:t>
      </w:r>
    </w:p>
    <w:p w:rsidR="001747BF" w:rsidRPr="00835EA3" w:rsidRDefault="001747BF" w:rsidP="004533D3">
      <w:pPr>
        <w:spacing w:before="240" w:after="160"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Artículo 92. </w:t>
      </w:r>
      <w:r w:rsidRPr="00835EA3">
        <w:rPr>
          <w:rFonts w:ascii="Palatino Linotype" w:eastAsia="Palatino Linotype" w:hAnsi="Palatino Linotype" w:cs="Palatino Linotype"/>
          <w:i/>
          <w:color w:val="000000" w:themeColor="text1"/>
          <w:lang w:val="es-ES_tradnl"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1747BF" w:rsidRPr="00835EA3" w:rsidRDefault="001747BF" w:rsidP="004533D3">
      <w:pPr>
        <w:spacing w:before="240" w:after="160"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w:t>
      </w:r>
      <w:r w:rsidRPr="00835EA3">
        <w:rPr>
          <w:rFonts w:ascii="Palatino Linotype" w:eastAsia="Palatino Linotype" w:hAnsi="Palatino Linotype" w:cs="Palatino Linotype"/>
          <w:i/>
          <w:color w:val="000000" w:themeColor="text1"/>
          <w:lang w:val="es-ES_tradnl" w:eastAsia="es-ES"/>
        </w:rPr>
        <w:t>)</w:t>
      </w:r>
    </w:p>
    <w:p w:rsidR="001747BF" w:rsidRPr="00835EA3" w:rsidRDefault="001747BF" w:rsidP="004533D3">
      <w:pPr>
        <w:spacing w:before="160" w:line="360" w:lineRule="auto"/>
        <w:jc w:val="both"/>
        <w:rPr>
          <w:rFonts w:ascii="Palatino Linotype" w:eastAsia="Palatino Linotype" w:hAnsi="Palatino Linotype" w:cs="Palatino Linotype"/>
          <w:b/>
          <w:i/>
          <w:color w:val="000000" w:themeColor="text1"/>
          <w:u w:val="single"/>
          <w:lang w:val="es-ES_tradnl" w:eastAsia="es-ES"/>
        </w:rPr>
      </w:pPr>
      <w:r w:rsidRPr="00835EA3">
        <w:rPr>
          <w:rFonts w:ascii="Palatino Linotype" w:eastAsia="Palatino Linotype" w:hAnsi="Palatino Linotype" w:cs="Palatino Linotype"/>
          <w:b/>
          <w:i/>
          <w:color w:val="000000" w:themeColor="text1"/>
          <w:u w:val="single"/>
          <w:lang w:val="es-ES_tradnl" w:eastAsia="es-ES"/>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1747BF" w:rsidRPr="00835EA3" w:rsidRDefault="001747BF" w:rsidP="004533D3">
      <w:pPr>
        <w:spacing w:line="360" w:lineRule="auto"/>
        <w:jc w:val="both"/>
        <w:rPr>
          <w:rFonts w:ascii="Palatino Linotype" w:eastAsia="Palatino Linotype" w:hAnsi="Palatino Linotype" w:cs="Palatino Linotype"/>
          <w:b/>
          <w:i/>
          <w:color w:val="000000" w:themeColor="text1"/>
          <w:u w:val="single"/>
          <w:lang w:val="es-ES_tradnl" w:eastAsia="es-ES"/>
        </w:rPr>
      </w:pPr>
    </w:p>
    <w:p w:rsidR="001747BF" w:rsidRPr="00835EA3" w:rsidRDefault="001747BF" w:rsidP="004533D3">
      <w:pPr>
        <w:spacing w:line="360" w:lineRule="auto"/>
        <w:jc w:val="both"/>
        <w:rPr>
          <w:rFonts w:ascii="Palatino Linotype" w:eastAsia="Palatino Linotype" w:hAnsi="Palatino Linotype" w:cs="Palatino Linotype"/>
          <w:b/>
          <w:i/>
          <w:color w:val="000000" w:themeColor="text1"/>
          <w:u w:val="single"/>
          <w:lang w:val="es-ES_tradnl" w:eastAsia="es-ES"/>
        </w:rPr>
      </w:pPr>
      <w:r w:rsidRPr="00835EA3">
        <w:rPr>
          <w:rFonts w:ascii="Palatino Linotype" w:eastAsia="Palatino Linotype" w:hAnsi="Palatino Linotype" w:cs="Palatino Linotype"/>
          <w:b/>
          <w:i/>
          <w:color w:val="000000" w:themeColor="text1"/>
          <w:u w:val="single"/>
          <w:lang w:val="es-ES_tradnl" w:eastAsia="es-ES"/>
        </w:rPr>
        <w:t xml:space="preserve">a) De licitaciones públicas o procedimientos de invitación restringida: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1) La convocatoria o invitación emitida, así como los fundamentos legales aplicados para llevarla a cabo;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2) Los nombres de los participantes o invitados;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3) El nombre del ganador y las razones que lo justifican;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4) El área solicitante y la responsable de su ejecución;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5) Las convocatorias e invitaciones emitidas;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6) Los dictámenes y fallo de adjudicación; </w:t>
      </w:r>
    </w:p>
    <w:p w:rsidR="001747BF" w:rsidRPr="00835EA3" w:rsidRDefault="001747BF" w:rsidP="004533D3">
      <w:pPr>
        <w:spacing w:line="360" w:lineRule="auto"/>
        <w:jc w:val="both"/>
        <w:rPr>
          <w:rFonts w:ascii="Palatino Linotype" w:eastAsia="Palatino Linotype" w:hAnsi="Palatino Linotype" w:cs="Palatino Linotype"/>
          <w:b/>
          <w:bCs/>
          <w:i/>
          <w:color w:val="000000" w:themeColor="text1"/>
          <w:u w:val="single"/>
          <w:lang w:val="es-ES_tradnl" w:eastAsia="es-ES"/>
        </w:rPr>
      </w:pPr>
      <w:r w:rsidRPr="00835EA3">
        <w:rPr>
          <w:rFonts w:ascii="Palatino Linotype" w:eastAsia="Palatino Linotype" w:hAnsi="Palatino Linotype" w:cs="Palatino Linotype"/>
          <w:b/>
          <w:bCs/>
          <w:i/>
          <w:color w:val="000000" w:themeColor="text1"/>
          <w:lang w:val="es-ES_tradnl" w:eastAsia="es-ES"/>
        </w:rPr>
        <w:t xml:space="preserve">7) </w:t>
      </w:r>
      <w:r w:rsidRPr="00835EA3">
        <w:rPr>
          <w:rFonts w:ascii="Palatino Linotype" w:eastAsia="Palatino Linotype" w:hAnsi="Palatino Linotype" w:cs="Palatino Linotype"/>
          <w:b/>
          <w:bCs/>
          <w:i/>
          <w:color w:val="000000" w:themeColor="text1"/>
          <w:u w:val="single"/>
          <w:lang w:val="es-ES_tradnl" w:eastAsia="es-ES"/>
        </w:rPr>
        <w:t xml:space="preserve">El contrato y, en su caso, sus anexos;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lastRenderedPageBreak/>
        <w:t xml:space="preserve">8) Los mecanismos de vigilancia y supervisión, incluyendo en su caso, los estudios de impacto urbano y ambiental, según corresponda;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9) La partida presupuestal, de conformidad con el clasificador por objeto del gasto, en el caso de ser aplicable;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10) Origen de los recursos especificando si son federales, estatales o municipales, así como el tipo de fondo de participación o aportación respectiva; </w:t>
      </w:r>
    </w:p>
    <w:p w:rsidR="001747BF" w:rsidRPr="00835EA3" w:rsidRDefault="001747BF" w:rsidP="004533D3">
      <w:pPr>
        <w:spacing w:line="360" w:lineRule="auto"/>
        <w:jc w:val="both"/>
        <w:rPr>
          <w:rFonts w:ascii="Palatino Linotype" w:eastAsia="Palatino Linotype" w:hAnsi="Palatino Linotype" w:cs="Palatino Linotype"/>
          <w:b/>
          <w:bCs/>
          <w:i/>
          <w:color w:val="000000" w:themeColor="text1"/>
          <w:lang w:val="es-ES_tradnl" w:eastAsia="es-ES"/>
        </w:rPr>
      </w:pPr>
      <w:r w:rsidRPr="00835EA3">
        <w:rPr>
          <w:rFonts w:ascii="Palatino Linotype" w:eastAsia="Palatino Linotype" w:hAnsi="Palatino Linotype" w:cs="Palatino Linotype"/>
          <w:b/>
          <w:bCs/>
          <w:i/>
          <w:color w:val="000000" w:themeColor="text1"/>
          <w:lang w:val="es-ES_tradnl" w:eastAsia="es-ES"/>
        </w:rPr>
        <w:t>11) Los convenios modificatorios que, en su caso, sean firmados, precisando el objeto y la fecha de celebración;</w:t>
      </w:r>
    </w:p>
    <w:p w:rsidR="001747BF" w:rsidRPr="00835EA3" w:rsidRDefault="001747BF" w:rsidP="004533D3">
      <w:pPr>
        <w:spacing w:line="360" w:lineRule="auto"/>
        <w:jc w:val="both"/>
        <w:rPr>
          <w:rFonts w:ascii="Palatino Linotype" w:eastAsia="Palatino Linotype" w:hAnsi="Palatino Linotype" w:cs="Palatino Linotype"/>
          <w:i/>
          <w:color w:val="000000" w:themeColor="text1"/>
          <w:u w:val="single"/>
          <w:lang w:val="es-ES_tradnl" w:eastAsia="es-ES"/>
        </w:rPr>
      </w:pPr>
      <w:r w:rsidRPr="00835EA3">
        <w:rPr>
          <w:rFonts w:ascii="Palatino Linotype" w:eastAsia="Palatino Linotype" w:hAnsi="Palatino Linotype" w:cs="Palatino Linotype"/>
          <w:i/>
          <w:color w:val="000000" w:themeColor="text1"/>
          <w:u w:val="single"/>
          <w:lang w:val="es-ES_tradnl" w:eastAsia="es-ES"/>
        </w:rPr>
        <w:t xml:space="preserve">12) Los informes de avance físico y financiero sobre las obras o servicios contratados;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u w:val="single"/>
          <w:lang w:val="es-ES_tradnl" w:eastAsia="es-ES"/>
        </w:rPr>
      </w:pPr>
      <w:r w:rsidRPr="00835EA3">
        <w:rPr>
          <w:rFonts w:ascii="Palatino Linotype" w:eastAsia="Palatino Linotype" w:hAnsi="Palatino Linotype" w:cs="Palatino Linotype"/>
          <w:i/>
          <w:color w:val="000000" w:themeColor="text1"/>
          <w:u w:val="single"/>
          <w:lang w:val="es-ES_tradnl" w:eastAsia="es-ES"/>
        </w:rPr>
        <w:t xml:space="preserve">13) El convenio de terminación; y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14) El finiquito. </w:t>
      </w:r>
    </w:p>
    <w:p w:rsidR="001747BF" w:rsidRPr="00835EA3" w:rsidRDefault="001747BF" w:rsidP="004533D3">
      <w:pPr>
        <w:spacing w:line="360" w:lineRule="auto"/>
        <w:jc w:val="both"/>
        <w:rPr>
          <w:rFonts w:ascii="Palatino Linotype" w:eastAsia="Palatino Linotype" w:hAnsi="Palatino Linotype" w:cs="Palatino Linotype"/>
          <w:b/>
          <w:i/>
          <w:color w:val="000000" w:themeColor="text1"/>
          <w:u w:val="single"/>
          <w:lang w:val="es-ES_tradnl" w:eastAsia="es-ES"/>
        </w:rPr>
      </w:pPr>
      <w:r w:rsidRPr="00835EA3">
        <w:rPr>
          <w:rFonts w:ascii="Palatino Linotype" w:eastAsia="Palatino Linotype" w:hAnsi="Palatino Linotype" w:cs="Palatino Linotype"/>
          <w:b/>
          <w:i/>
          <w:color w:val="000000" w:themeColor="text1"/>
          <w:u w:val="single"/>
          <w:lang w:val="es-ES_tradnl" w:eastAsia="es-ES"/>
        </w:rPr>
        <w:t xml:space="preserve">b) De las adjudicaciones directas: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1) La propuesta enviada por el participante;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2) Los motivos y fundamentos legales aplicados para llevarla a cabo;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3) La autorización del ejercicio de la opción;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4) En su caso, las cotizaciones consideradas, especificando los nombres de los proveedores y sus montos;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5) El nombre de la persona física o jurídica colectiva adjudicada;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6) La unidad administrativa solicitante y la responsable de su ejecución;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7) El número, fecha, el monto del contrato y el plazo de entrega o de ejecución de los servicios u obra;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8) Los mecanismos de vigilancia y supervisión, incluyendo, en su caso, los estudios de impacto urbano y ambiental, según corresponda;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u w:val="single"/>
          <w:lang w:val="es-ES_tradnl" w:eastAsia="es-ES"/>
        </w:rPr>
      </w:pPr>
      <w:r w:rsidRPr="00835EA3">
        <w:rPr>
          <w:rFonts w:ascii="Palatino Linotype" w:eastAsia="Palatino Linotype" w:hAnsi="Palatino Linotype" w:cs="Palatino Linotype"/>
          <w:i/>
          <w:color w:val="000000" w:themeColor="text1"/>
          <w:u w:val="single"/>
          <w:lang w:val="es-ES_tradnl" w:eastAsia="es-ES"/>
        </w:rPr>
        <w:t xml:space="preserve">9) Los informes de avance sobre las obras o servicios contratados;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u w:val="single"/>
          <w:lang w:val="es-ES_tradnl" w:eastAsia="es-ES"/>
        </w:rPr>
      </w:pPr>
      <w:r w:rsidRPr="00835EA3">
        <w:rPr>
          <w:rFonts w:ascii="Palatino Linotype" w:eastAsia="Palatino Linotype" w:hAnsi="Palatino Linotype" w:cs="Palatino Linotype"/>
          <w:i/>
          <w:color w:val="000000" w:themeColor="text1"/>
          <w:u w:val="single"/>
          <w:lang w:val="es-ES_tradnl" w:eastAsia="es-ES"/>
        </w:rPr>
        <w:lastRenderedPageBreak/>
        <w:t xml:space="preserve">10) El convenio de terminación; y </w:t>
      </w:r>
    </w:p>
    <w:p w:rsidR="001747BF" w:rsidRPr="00835EA3" w:rsidRDefault="001747BF" w:rsidP="004533D3">
      <w:pPr>
        <w:spacing w:line="360" w:lineRule="auto"/>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11) El finiquito.</w:t>
      </w:r>
    </w:p>
    <w:p w:rsidR="001747BF" w:rsidRPr="00835EA3" w:rsidRDefault="001747BF" w:rsidP="004533D3">
      <w:pPr>
        <w:spacing w:line="360" w:lineRule="auto"/>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 xml:space="preserve">(…)” </w:t>
      </w:r>
      <w:r w:rsidRPr="00835EA3">
        <w:rPr>
          <w:rFonts w:ascii="Palatino Linotype" w:eastAsia="Palatino Linotype" w:hAnsi="Palatino Linotype" w:cs="Palatino Linotype"/>
          <w:b/>
          <w:i/>
          <w:color w:val="000000" w:themeColor="text1"/>
          <w:lang w:val="es-ES_tradnl" w:eastAsia="es-ES"/>
        </w:rPr>
        <w:t>[Sic]</w:t>
      </w:r>
    </w:p>
    <w:p w:rsidR="001747BF" w:rsidRPr="00835EA3" w:rsidRDefault="001747BF" w:rsidP="004533D3">
      <w:pPr>
        <w:spacing w:line="360" w:lineRule="auto"/>
        <w:jc w:val="both"/>
        <w:rPr>
          <w:rFonts w:ascii="Palatino Linotype" w:eastAsia="Palatino Linotype" w:hAnsi="Palatino Linotype" w:cs="Palatino Linotype"/>
          <w:color w:val="000000" w:themeColor="text1"/>
        </w:rPr>
      </w:pPr>
    </w:p>
    <w:p w:rsidR="00FA5748" w:rsidRPr="00835EA3" w:rsidRDefault="00FA5748" w:rsidP="004533D3">
      <w:pPr>
        <w:pStyle w:val="Prrafodelista"/>
        <w:ind w:left="0"/>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color w:val="000000" w:themeColor="text1"/>
        </w:rPr>
        <w:t xml:space="preserve">Ahora bien, se debe de precisar que del </w:t>
      </w:r>
      <w:r w:rsidR="0088312F" w:rsidRPr="00835EA3">
        <w:rPr>
          <w:rFonts w:ascii="Palatino Linotype" w:eastAsia="Palatino Linotype" w:hAnsi="Palatino Linotype" w:cs="Palatino Linotype"/>
          <w:b/>
          <w:color w:val="000000" w:themeColor="text1"/>
        </w:rPr>
        <w:t>convenio</w:t>
      </w:r>
      <w:r w:rsidRPr="00835EA3">
        <w:rPr>
          <w:rFonts w:ascii="Palatino Linotype" w:eastAsia="Palatino Linotype" w:hAnsi="Palatino Linotype" w:cs="Palatino Linotype"/>
          <w:color w:val="000000" w:themeColor="text1"/>
        </w:rPr>
        <w:t xml:space="preserve">, pueden obrar datos personales susceptibles de clasificarse como lo son, la clave de elector, teléfono particular, correo electrónico personal Clave Única de Registro de Población (CURP), número de pasaporte, cuenta bancaria del proveedor, banco y sucursal del proveedor, clave interbancaria del proveedor, es así que, por lo que hace </w:t>
      </w:r>
      <w:r w:rsidRPr="00835EA3">
        <w:rPr>
          <w:rFonts w:ascii="Palatino Linotype" w:eastAsia="Palatino Linotype" w:hAnsi="Palatino Linotype" w:cs="Palatino Linotype"/>
          <w:b/>
          <w:color w:val="000000" w:themeColor="text1"/>
        </w:rPr>
        <w:t xml:space="preserve">al nombre del servidor público, nombre, denominación o razón social del proveedor, nombre del apoderado o representante legal, domicilio fiscal, teléfono empresarial o institucional, firmas, y RFC se consideran datos personales públicos. </w:t>
      </w:r>
    </w:p>
    <w:p w:rsidR="006155AF" w:rsidRPr="00835EA3" w:rsidRDefault="006155AF" w:rsidP="004533D3">
      <w:pPr>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Cobra sustento lo anterior, con el criterio 01/19 reiterado vigente del INAI, que refiere lo siguiente:</w:t>
      </w:r>
    </w:p>
    <w:p w:rsidR="006155AF" w:rsidRPr="00835EA3" w:rsidRDefault="006155A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Datos de identificación del representante o apoderado legal.</w:t>
      </w: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rPr>
        <w:t xml:space="preserve">Naturaleza jurídica. </w:t>
      </w:r>
      <w:r w:rsidRPr="00835EA3">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6155AF" w:rsidRPr="00835EA3" w:rsidRDefault="006155AF" w:rsidP="004533D3">
      <w:pPr>
        <w:jc w:val="both"/>
        <w:rPr>
          <w:rFonts w:ascii="Palatino Linotype" w:eastAsia="Palatino Linotype" w:hAnsi="Palatino Linotype" w:cs="Palatino Linotype"/>
          <w:i/>
          <w:color w:val="000000" w:themeColor="text1"/>
        </w:rPr>
      </w:pPr>
    </w:p>
    <w:p w:rsidR="006155AF" w:rsidRPr="00835EA3" w:rsidRDefault="006155AF"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Precedentes:</w:t>
      </w:r>
    </w:p>
    <w:p w:rsidR="006155AF" w:rsidRPr="00835EA3" w:rsidRDefault="006155A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6155AF" w:rsidRPr="00835EA3" w:rsidRDefault="006155AF"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i/>
          <w:color w:val="000000" w:themeColor="text1"/>
        </w:rPr>
        <w:lastRenderedPageBreak/>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6155AF" w:rsidRPr="00835EA3" w:rsidRDefault="006155AF" w:rsidP="004533D3">
      <w:pPr>
        <w:tabs>
          <w:tab w:val="left" w:pos="7371"/>
        </w:tabs>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6155AF" w:rsidRPr="00835EA3" w:rsidRDefault="006155AF" w:rsidP="004533D3">
      <w:pPr>
        <w:jc w:val="both"/>
        <w:rPr>
          <w:rFonts w:ascii="Palatino Linotype" w:eastAsia="Arial" w:hAnsi="Palatino Linotype" w:cs="Arial"/>
          <w:i/>
          <w:color w:val="000000" w:themeColor="text1"/>
        </w:rPr>
      </w:pPr>
    </w:p>
    <w:p w:rsidR="006155AF" w:rsidRPr="00835EA3" w:rsidRDefault="006155AF" w:rsidP="004533D3">
      <w:pPr>
        <w:pBdr>
          <w:top w:val="nil"/>
          <w:left w:val="nil"/>
          <w:bottom w:val="nil"/>
          <w:right w:val="nil"/>
          <w:between w:val="nil"/>
        </w:pBdr>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Ahora bien, de la información que se ordene se debe de mencionar que puede contener datos personales  de los cuales de manera enunciativa más no limitativa pudieran ser los siguientes.</w:t>
      </w:r>
    </w:p>
    <w:p w:rsidR="006155AF" w:rsidRPr="00835EA3" w:rsidRDefault="006155AF" w:rsidP="004533D3">
      <w:pPr>
        <w:pBdr>
          <w:top w:val="nil"/>
          <w:left w:val="nil"/>
          <w:bottom w:val="nil"/>
          <w:right w:val="nil"/>
          <w:between w:val="nil"/>
        </w:pBdr>
        <w:rPr>
          <w:rFonts w:ascii="Palatino Linotype" w:eastAsia="Palatino Linotype" w:hAnsi="Palatino Linotype" w:cs="Palatino Linotype"/>
          <w:color w:val="000000" w:themeColor="text1"/>
        </w:rPr>
      </w:pP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b/>
          <w:color w:val="000000" w:themeColor="text1"/>
        </w:rPr>
        <w:t>Registro Federal de Contribuyentes</w:t>
      </w:r>
      <w:r w:rsidRPr="00835EA3">
        <w:rPr>
          <w:rFonts w:ascii="Palatino Linotype" w:eastAsia="Palatino Linotype" w:hAnsi="Palatino Linotype" w:cs="Palatino Linotype"/>
          <w:color w:val="000000" w:themeColor="text1"/>
        </w:rPr>
        <w:t xml:space="preserve"> (RFC)</w:t>
      </w: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6155AF" w:rsidRPr="00835EA3" w:rsidRDefault="006155A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w:t>
      </w:r>
      <w:r w:rsidRPr="00835EA3">
        <w:rPr>
          <w:rFonts w:ascii="Palatino Linotype" w:eastAsia="Palatino Linotype" w:hAnsi="Palatino Linotype" w:cs="Palatino Linotype"/>
          <w:b/>
          <w:i/>
          <w:color w:val="000000" w:themeColor="text1"/>
        </w:rPr>
        <w:t>Registro Federal de Contribuyentes (RFC) de personas físicas</w:t>
      </w:r>
      <w:r w:rsidRPr="00835EA3">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6155AF" w:rsidRPr="00835EA3" w:rsidRDefault="006155AF" w:rsidP="004533D3">
      <w:pPr>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835EA3">
        <w:rPr>
          <w:rFonts w:ascii="Palatino Linotype" w:eastAsia="Palatino Linotype" w:hAnsi="Palatino Linotype" w:cs="Palatino Linotype"/>
          <w:color w:val="000000" w:themeColor="text1"/>
        </w:rPr>
        <w:lastRenderedPageBreak/>
        <w:t>confidencial al actualizar el supuesto normativo del artículo 143, fracción I de la Ley de Transparencia y Acceso a la Información Pública del Estado de México y Municipios.</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spacing w:line="360" w:lineRule="auto"/>
        <w:jc w:val="both"/>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t>Clave única de Registro de Población –CURP-</w:t>
      </w: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hAnsi="Palatino Linotype"/>
          <w:color w:val="000000" w:themeColor="text1"/>
        </w:rPr>
        <w:t>El</w:t>
      </w:r>
      <w:r w:rsidRPr="00835EA3">
        <w:rPr>
          <w:rFonts w:ascii="Palatino Linotype" w:eastAsia="Palatino Linotype" w:hAnsi="Palatino Linotype" w:cs="Palatino Linotype"/>
          <w:color w:val="000000" w:themeColor="text1"/>
        </w:rPr>
        <w:t xml:space="preserve"> artículo 85 de la Ley General de Población, prevé que corresponde a la Secretaría de Gobernación el registro y acreditación de la identidad de todas las personas residentes en el país y de los nacionales que residan en el extranjero.</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6155AF" w:rsidRPr="00835EA3" w:rsidRDefault="006155AF" w:rsidP="004533D3">
      <w:pPr>
        <w:spacing w:line="360" w:lineRule="auto"/>
        <w:jc w:val="both"/>
        <w:rPr>
          <w:rFonts w:ascii="Palatino Linotype" w:eastAsia="Palatino Linotype" w:hAnsi="Palatino Linotype" w:cs="Palatino Linotype"/>
          <w:b/>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9">
        <w:r w:rsidRPr="00835EA3">
          <w:rPr>
            <w:rFonts w:ascii="Palatino Linotype" w:eastAsia="Palatino Linotype" w:hAnsi="Palatino Linotype" w:cs="Palatino Linotype"/>
            <w:color w:val="000000" w:themeColor="text1"/>
            <w:u w:val="single"/>
          </w:rPr>
          <w:t>https://consultas.curp.gob.mx/CurpSP/html/informacionecurpPS.html</w:t>
        </w:r>
      </w:hyperlink>
      <w:r w:rsidRPr="00835EA3">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35EA3">
        <w:rPr>
          <w:rFonts w:ascii="Palatino Linotype" w:eastAsia="Palatino Linotype" w:hAnsi="Palatino Linotype" w:cs="Palatino Linotype"/>
          <w:b/>
          <w:color w:val="000000" w:themeColor="text1"/>
        </w:rPr>
        <w:t xml:space="preserve">se generan a partir de los datos contenidos en el documento probatorio de la identidad </w:t>
      </w:r>
      <w:r w:rsidRPr="00835EA3">
        <w:rPr>
          <w:rFonts w:ascii="Palatino Linotype" w:eastAsia="Palatino Linotype" w:hAnsi="Palatino Linotype" w:cs="Palatino Linotype"/>
          <w:b/>
          <w:color w:val="000000" w:themeColor="text1"/>
        </w:rPr>
        <w:lastRenderedPageBreak/>
        <w:t xml:space="preserve">del interesado </w:t>
      </w:r>
      <w:r w:rsidRPr="00835EA3">
        <w:rPr>
          <w:rFonts w:ascii="Palatino Linotype" w:eastAsia="Palatino Linotype" w:hAnsi="Palatino Linotype" w:cs="Palatino Linotype"/>
          <w:color w:val="000000" w:themeColor="text1"/>
        </w:rPr>
        <w:t>(acta de nacimiento, carta de naturalización o documento migratorio) de la siguiente forma:</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 • El primero y segundo apellidos, así como al nombre de pila.</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 • La fecha de nacimiento.</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 • El sexo.</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 • La entidad federativa de nacimiento.</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Resulta aplicable en la especie, como argumento orientador, el Criterio 3/10, emitido por el INAI.</w:t>
      </w:r>
    </w:p>
    <w:p w:rsidR="006155AF" w:rsidRPr="00835EA3" w:rsidRDefault="006155AF"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 xml:space="preserve">Clave Única de Registro de Población (CURP) es un dato personal confidencial. </w:t>
      </w:r>
      <w:r w:rsidRPr="00835EA3">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w:t>
      </w:r>
      <w:r w:rsidRPr="00835EA3">
        <w:rPr>
          <w:rFonts w:ascii="Palatino Linotype" w:eastAsia="Palatino Linotype" w:hAnsi="Palatino Linotype" w:cs="Palatino Linotype"/>
          <w:i/>
          <w:color w:val="000000" w:themeColor="text1"/>
        </w:rPr>
        <w:lastRenderedPageBreak/>
        <w:t xml:space="preserve">plenamente del resto de los habitantes, por lo que es de carácter confidencial, en términos de lo dispuesto en el artículos anteriormente señalados. </w:t>
      </w:r>
    </w:p>
    <w:p w:rsidR="006155AF" w:rsidRPr="00835EA3" w:rsidRDefault="006155AF" w:rsidP="004533D3">
      <w:pPr>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hAnsi="Palatino Linotype"/>
          <w:color w:val="000000" w:themeColor="text1"/>
        </w:rPr>
        <w:t>De</w:t>
      </w:r>
      <w:r w:rsidRPr="00835EA3">
        <w:rPr>
          <w:rFonts w:ascii="Palatino Linotype" w:eastAsia="Palatino Linotype" w:hAnsi="Palatino Linotype" w:cs="Palatino Linotype"/>
          <w:color w:val="000000" w:themeColor="text1"/>
        </w:rPr>
        <w:t xml:space="preserve"> acuerdo con lo anterior, la clave CURP, es un dato personal confidencial, en términos del artículo 143, fracción I, de la Ley de Transparencia y Acceso a la Información Pública del Estado de México y Municipios.</w:t>
      </w:r>
    </w:p>
    <w:p w:rsidR="006155AF" w:rsidRPr="00835EA3" w:rsidRDefault="006155AF" w:rsidP="004533D3">
      <w:pPr>
        <w:rPr>
          <w:rFonts w:ascii="Palatino Linotype" w:eastAsia="Palatino Linotype" w:hAnsi="Palatino Linotype" w:cs="Palatino Linotype"/>
          <w:color w:val="000000" w:themeColor="text1"/>
        </w:rPr>
      </w:pPr>
    </w:p>
    <w:p w:rsidR="006155AF" w:rsidRPr="00835EA3" w:rsidRDefault="006155AF" w:rsidP="004533D3">
      <w:pPr>
        <w:spacing w:line="360" w:lineRule="auto"/>
        <w:jc w:val="both"/>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t>Domicilio de particulares</w:t>
      </w: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hAnsi="Palatino Linotype"/>
          <w:color w:val="000000" w:themeColor="text1"/>
        </w:rPr>
        <w:t>Ahora</w:t>
      </w:r>
      <w:r w:rsidRPr="00835EA3">
        <w:rPr>
          <w:rFonts w:ascii="Palatino Linotype" w:eastAsia="Palatino Linotype" w:hAnsi="Palatino Linotype" w:cs="Palatino Linotype"/>
          <w:color w:val="000000" w:themeColor="text1"/>
        </w:rPr>
        <w:t xml:space="preserve">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835EA3">
        <w:rPr>
          <w:rFonts w:ascii="Palatino Linotype" w:eastAsia="Palatino Linotype" w:hAnsi="Palatino Linotype" w:cs="Palatino Linotype"/>
          <w:b/>
          <w:color w:val="000000" w:themeColor="text1"/>
        </w:rPr>
        <w:t>el domicilio particular</w:t>
      </w:r>
      <w:r w:rsidRPr="00835EA3">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6155AF" w:rsidRPr="00835EA3" w:rsidRDefault="006155AF" w:rsidP="004533D3">
      <w:pPr>
        <w:pBdr>
          <w:top w:val="nil"/>
          <w:left w:val="nil"/>
          <w:bottom w:val="nil"/>
          <w:right w:val="nil"/>
          <w:between w:val="nil"/>
        </w:pBdr>
        <w:rPr>
          <w:rFonts w:ascii="Palatino Linotype" w:eastAsia="Palatino Linotype" w:hAnsi="Palatino Linotype" w:cs="Palatino Linotype"/>
          <w:color w:val="000000" w:themeColor="text1"/>
        </w:rPr>
      </w:pP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b/>
          <w:color w:val="000000" w:themeColor="text1"/>
        </w:rPr>
        <w:t>Teléfono y celular particular.</w:t>
      </w: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6155AF" w:rsidRPr="00835EA3" w:rsidRDefault="006155AF" w:rsidP="004533D3">
      <w:pPr>
        <w:spacing w:line="360" w:lineRule="auto"/>
        <w:jc w:val="both"/>
        <w:rPr>
          <w:rFonts w:ascii="Palatino Linotype" w:eastAsia="Palatino Linotype" w:hAnsi="Palatino Linotype" w:cs="Palatino Linotype"/>
          <w:color w:val="000000" w:themeColor="text1"/>
        </w:rPr>
      </w:pPr>
    </w:p>
    <w:p w:rsidR="006155AF" w:rsidRPr="00835EA3" w:rsidRDefault="006155A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En tales consideraciones, si se localizan dichos datos personales en la información entregada, esta es susceptible de ser clasificada como confidencial, con fundamento en el artículo 143, fracción I de la Ley de Transparencia y Acceso a la Información Pública.</w:t>
      </w:r>
    </w:p>
    <w:p w:rsidR="00E9165C" w:rsidRPr="00835EA3" w:rsidRDefault="00E9165C" w:rsidP="004533D3">
      <w:pPr>
        <w:pStyle w:val="Prrafodelista"/>
        <w:ind w:left="0"/>
        <w:rPr>
          <w:rFonts w:ascii="Palatino Linotype" w:eastAsia="Palatino Linotype" w:hAnsi="Palatino Linotype" w:cs="Palatino Linotype"/>
          <w:color w:val="000000" w:themeColor="text1"/>
        </w:rPr>
      </w:pPr>
    </w:p>
    <w:p w:rsidR="00E9165C" w:rsidRPr="00835EA3" w:rsidRDefault="00E9165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Ahora bien, por cuanto hace a la marca del material de la pintura y la factura del proveedor, se debe de determinar que de la respuesta brindada por el </w:t>
      </w:r>
      <w:r w:rsidRPr="00835EA3">
        <w:rPr>
          <w:rFonts w:ascii="Palatino Linotype" w:eastAsia="Palatino Linotype" w:hAnsi="Palatino Linotype" w:cs="Palatino Linotype"/>
          <w:b/>
          <w:color w:val="000000" w:themeColor="text1"/>
        </w:rPr>
        <w:t xml:space="preserve">SUJETO OBLIGADO </w:t>
      </w:r>
      <w:r w:rsidRPr="00835EA3">
        <w:rPr>
          <w:rFonts w:ascii="Palatino Linotype" w:eastAsia="Palatino Linotype" w:hAnsi="Palatino Linotype" w:cs="Palatino Linotype"/>
          <w:color w:val="000000" w:themeColor="text1"/>
        </w:rPr>
        <w:t xml:space="preserve">si se realizó la compra de pintura, tal y como se muestra a continuación. </w:t>
      </w:r>
    </w:p>
    <w:p w:rsidR="00E9165C" w:rsidRPr="00835EA3" w:rsidRDefault="00E9165C" w:rsidP="004533D3">
      <w:pPr>
        <w:pStyle w:val="Prrafodelista"/>
        <w:ind w:left="0"/>
        <w:rPr>
          <w:rFonts w:ascii="Palatino Linotype" w:eastAsia="Palatino Linotype" w:hAnsi="Palatino Linotype" w:cs="Palatino Linotype"/>
          <w:color w:val="000000" w:themeColor="text1"/>
        </w:rPr>
      </w:pPr>
    </w:p>
    <w:p w:rsidR="00E9165C" w:rsidRPr="00835EA3" w:rsidRDefault="00E9165C" w:rsidP="004533D3">
      <w:pPr>
        <w:spacing w:line="360" w:lineRule="auto"/>
        <w:jc w:val="center"/>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noProof/>
          <w:color w:val="000000" w:themeColor="text1"/>
        </w:rPr>
        <w:drawing>
          <wp:inline distT="0" distB="0" distL="0" distR="0" wp14:anchorId="187C1C92" wp14:editId="2098C150">
            <wp:extent cx="2731324" cy="1413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69288" cy="1433324"/>
                    </a:xfrm>
                    <a:prstGeom prst="rect">
                      <a:avLst/>
                    </a:prstGeom>
                  </pic:spPr>
                </pic:pic>
              </a:graphicData>
            </a:graphic>
          </wp:inline>
        </w:drawing>
      </w:r>
    </w:p>
    <w:p w:rsidR="001747BF" w:rsidRPr="00835EA3" w:rsidRDefault="001747BF" w:rsidP="004533D3">
      <w:pPr>
        <w:spacing w:line="360" w:lineRule="auto"/>
        <w:jc w:val="both"/>
        <w:rPr>
          <w:rFonts w:ascii="Palatino Linotype" w:eastAsia="Palatino Linotype" w:hAnsi="Palatino Linotype" w:cs="Palatino Linotype"/>
          <w:i/>
          <w:color w:val="000000" w:themeColor="text1"/>
        </w:rPr>
      </w:pPr>
    </w:p>
    <w:p w:rsidR="00E9165C" w:rsidRPr="00835EA3" w:rsidRDefault="00E9165C" w:rsidP="004533D3">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color w:val="000000" w:themeColor="text1"/>
        </w:rPr>
        <w:t xml:space="preserve">En esa línea, se colige que en los archivos del </w:t>
      </w:r>
      <w:r w:rsidRPr="00835EA3">
        <w:rPr>
          <w:rFonts w:ascii="Palatino Linotype" w:eastAsia="Palatino Linotype" w:hAnsi="Palatino Linotype" w:cs="Palatino Linotype"/>
          <w:b/>
          <w:color w:val="000000" w:themeColor="text1"/>
        </w:rPr>
        <w:t xml:space="preserve">SUJETO OBLIGADO </w:t>
      </w:r>
      <w:r w:rsidRPr="00835EA3">
        <w:rPr>
          <w:rFonts w:ascii="Palatino Linotype" w:eastAsia="Palatino Linotype" w:hAnsi="Palatino Linotype" w:cs="Palatino Linotype"/>
          <w:color w:val="000000" w:themeColor="text1"/>
        </w:rPr>
        <w:t xml:space="preserve">si debe de existir el documento de la generación de la factura por la compra de la pintura que sirvió para la pinta de las fachadas, por lo que, también se mostrara la marca del material adquirido. </w:t>
      </w:r>
    </w:p>
    <w:p w:rsidR="00E9165C" w:rsidRPr="00835EA3" w:rsidRDefault="00E9165C" w:rsidP="004533D3">
      <w:pPr>
        <w:spacing w:line="360" w:lineRule="auto"/>
        <w:jc w:val="both"/>
        <w:rPr>
          <w:rFonts w:ascii="Palatino Linotype" w:eastAsia="Palatino Linotype" w:hAnsi="Palatino Linotype" w:cs="Palatino Linotype"/>
          <w:i/>
          <w:color w:val="000000" w:themeColor="text1"/>
        </w:rPr>
      </w:pPr>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eastAsia="Palatino Linotype" w:hAnsi="Palatino Linotype" w:cs="Palatino Linotype"/>
          <w:color w:val="000000" w:themeColor="text1"/>
        </w:rPr>
        <w:t xml:space="preserve">Ahora bien, de las </w:t>
      </w:r>
      <w:r w:rsidRPr="00835EA3">
        <w:rPr>
          <w:rFonts w:ascii="Palatino Linotype" w:eastAsia="Palatino Linotype" w:hAnsi="Palatino Linotype" w:cs="Palatino Linotype"/>
          <w:b/>
          <w:color w:val="000000" w:themeColor="text1"/>
        </w:rPr>
        <w:t>facturas</w:t>
      </w:r>
      <w:r w:rsidRPr="00835EA3">
        <w:rPr>
          <w:rFonts w:ascii="Palatino Linotype" w:eastAsia="Palatino Linotype" w:hAnsi="Palatino Linotype" w:cs="Palatino Linotype"/>
          <w:color w:val="000000" w:themeColor="text1"/>
        </w:rPr>
        <w:t xml:space="preserve"> resulta oportuno traer a contexto, la información publicada por la Secretaría de Hacienda y Crédito Público, referente al Servicio de Administración Tributaria (SAT), en donde se advierte los requisitos que deben reunir las facturas emitidas, consultable en la dirección electrónica </w:t>
      </w:r>
      <w:hyperlink r:id="rId11">
        <w:r w:rsidRPr="00835EA3">
          <w:rPr>
            <w:rFonts w:ascii="Palatino Linotype" w:eastAsia="Palatino Linotype" w:hAnsi="Palatino Linotype" w:cs="Palatino Linotype"/>
            <w:color w:val="000000" w:themeColor="text1"/>
          </w:rPr>
          <w:t>http://omawww.sat.gob.mx/ /Paginas/solicita_requisitos.htm</w:t>
        </w:r>
      </w:hyperlink>
      <w:r w:rsidRPr="00835EA3">
        <w:rPr>
          <w:rFonts w:ascii="Palatino Linotype" w:eastAsia="Palatino Linotype" w:hAnsi="Palatino Linotype" w:cs="Palatino Linotype"/>
          <w:color w:val="000000" w:themeColor="text1"/>
        </w:rPr>
        <w:t>, de conformidad con lo siguiente:</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Requisitos que deben reunir las facturas que recibas</w:t>
      </w:r>
      <w:r w:rsidRPr="00835EA3">
        <w:rPr>
          <w:rFonts w:ascii="Palatino Linotype" w:eastAsia="Palatino Linotype" w:hAnsi="Palatino Linotype" w:cs="Palatino Linotype"/>
          <w:i/>
          <w:color w:val="000000" w:themeColor="text1"/>
        </w:rPr>
        <w:t>:</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lastRenderedPageBreak/>
        <w:t xml:space="preserve">  </w:t>
      </w:r>
      <w:r w:rsidRPr="00835EA3">
        <w:rPr>
          <w:rFonts w:ascii="Palatino Linotype" w:eastAsia="Palatino Linotype" w:hAnsi="Palatino Linotype" w:cs="Palatino Linotype"/>
          <w:b/>
          <w:i/>
          <w:color w:val="000000" w:themeColor="text1"/>
          <w:u w:val="single"/>
        </w:rPr>
        <w:t>Clave del Registro Federal de Contribuyentes de quien los expida</w:t>
      </w:r>
      <w:r w:rsidRPr="00835EA3">
        <w:rPr>
          <w:rFonts w:ascii="Palatino Linotype" w:eastAsia="Palatino Linotype" w:hAnsi="Palatino Linotype" w:cs="Palatino Linotype"/>
          <w:i/>
          <w:color w:val="000000" w:themeColor="text1"/>
        </w:rPr>
        <w:t>.</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Régimen Fiscal en que tributen conforme a la Ley del ISR.</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Sí se tiene más de un local o establecimiento, se deberá señalar el domicilio del local o establecimiento en el que se expidan las Facturas.</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Contener el número de folio asignado por el SAT y el sello digital del SAT.</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u w:val="single"/>
        </w:rPr>
        <w:t>Sello digital del contribuyente que lo expide</w:t>
      </w:r>
      <w:r w:rsidRPr="00835EA3">
        <w:rPr>
          <w:rFonts w:ascii="Palatino Linotype" w:eastAsia="Palatino Linotype" w:hAnsi="Palatino Linotype" w:cs="Palatino Linotype"/>
          <w:i/>
          <w:color w:val="000000" w:themeColor="text1"/>
        </w:rPr>
        <w:t>.</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Lugar y fecha de expedición.</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Clave del Registro Federal de Contribuyentes de la persona a favor de quien se expida.</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Cantidad, unidad de medida y clase de los bienes, mercancías o descripción del servicio o del uso o goce que amparen.</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Valor unitario consignado en número.</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Importe total señalado en número o en letra.</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Señalamiento expreso cuando la prestación se pague en una sola exhibición o en parcialidades.</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Cuando proceda, se indicará el monto de los impuestos trasladados, desglosados por tasa de impuesto y, en su caso, el monto de los impuestos retenidos.</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Forma en que se realizó el pago (efectivo, transferencia electrónica de fondos, cheque nominativos o tarjeta de débito, de crédito, de servicio o la denominada monedero electrónico que autorice el Servicio de Administración Tributaria).</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  Número y fecha del documento aduanero, tratándose de ventas de primera mano de mercancías de importación.</w:t>
      </w:r>
    </w:p>
    <w:p w:rsidR="00E9165C" w:rsidRPr="00835EA3" w:rsidRDefault="00E9165C" w:rsidP="004533D3">
      <w:pPr>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br/>
      </w:r>
      <w:r w:rsidRPr="00835EA3">
        <w:rPr>
          <w:rFonts w:ascii="Palatino Linotype" w:eastAsia="Palatino Linotype" w:hAnsi="Palatino Linotype" w:cs="Palatino Linotype"/>
          <w:b/>
          <w:i/>
          <w:color w:val="000000" w:themeColor="text1"/>
        </w:rPr>
        <w:t>Además, debe contener los siguientes datos:</w:t>
      </w:r>
      <w:r w:rsidRPr="00835EA3">
        <w:rPr>
          <w:rFonts w:ascii="Palatino Linotype" w:eastAsia="Palatino Linotype" w:hAnsi="Palatino Linotype" w:cs="Palatino Linotype"/>
          <w:b/>
          <w:i/>
          <w:color w:val="000000" w:themeColor="text1"/>
        </w:rPr>
        <w:br/>
        <w:t>a) Fecha y hora de certificación.</w:t>
      </w:r>
      <w:r w:rsidRPr="00835EA3">
        <w:rPr>
          <w:rFonts w:ascii="Palatino Linotype" w:eastAsia="Palatino Linotype" w:hAnsi="Palatino Linotype" w:cs="Palatino Linotype"/>
          <w:b/>
          <w:i/>
          <w:color w:val="000000" w:themeColor="text1"/>
        </w:rPr>
        <w:br/>
        <w:t>b) Número de serie del certificado digital del SAT con el que se realizó el sellado</w:t>
      </w:r>
      <w:r w:rsidRPr="00835EA3">
        <w:rPr>
          <w:rFonts w:ascii="Palatino Linotype" w:eastAsia="Palatino Linotype" w:hAnsi="Palatino Linotype" w:cs="Palatino Linotype"/>
          <w:i/>
          <w:color w:val="000000" w:themeColor="text1"/>
        </w:rPr>
        <w:t>.</w:t>
      </w:r>
    </w:p>
    <w:p w:rsidR="00E9165C" w:rsidRDefault="00E9165C" w:rsidP="004533D3">
      <w:pPr>
        <w:rPr>
          <w:rFonts w:ascii="Palatino Linotype" w:eastAsia="Palatino Linotype" w:hAnsi="Palatino Linotype" w:cs="Palatino Linotype"/>
          <w:color w:val="000000" w:themeColor="text1"/>
        </w:rPr>
      </w:pPr>
    </w:p>
    <w:p w:rsidR="00415822" w:rsidRPr="00835EA3" w:rsidRDefault="00415822" w:rsidP="004533D3">
      <w:pPr>
        <w:rPr>
          <w:rFonts w:ascii="Palatino Linotype" w:eastAsia="Palatino Linotype" w:hAnsi="Palatino Linotype" w:cs="Palatino Linotype"/>
          <w:color w:val="000000" w:themeColor="text1"/>
        </w:rPr>
      </w:pPr>
    </w:p>
    <w:p w:rsidR="00E9165C" w:rsidRPr="00415822" w:rsidRDefault="00E9165C"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eastAsia="Palatino Linotype" w:hAnsi="Palatino Linotype" w:cs="Palatino Linotype"/>
          <w:color w:val="000000" w:themeColor="text1"/>
        </w:rPr>
        <w:t xml:space="preserve">En esa </w:t>
      </w:r>
      <w:r w:rsidR="00550C64" w:rsidRPr="00835EA3">
        <w:rPr>
          <w:rFonts w:ascii="Palatino Linotype" w:eastAsia="Palatino Linotype" w:hAnsi="Palatino Linotype" w:cs="Palatino Linotype"/>
          <w:color w:val="000000" w:themeColor="text1"/>
        </w:rPr>
        <w:t>línea</w:t>
      </w:r>
      <w:r w:rsidRPr="00835EA3">
        <w:rPr>
          <w:rFonts w:ascii="Palatino Linotype" w:eastAsia="Palatino Linotype" w:hAnsi="Palatino Linotype" w:cs="Palatino Linotype"/>
          <w:color w:val="000000" w:themeColor="text1"/>
        </w:rPr>
        <w:t xml:space="preserve">, se debe de referir que de los datos de las facturas pueden obrar datos personales susceptibles de clasificarse como lo son, la clave de elector, </w:t>
      </w:r>
      <w:r w:rsidRPr="00835EA3">
        <w:rPr>
          <w:rFonts w:ascii="Palatino Linotype" w:eastAsia="Palatino Linotype" w:hAnsi="Palatino Linotype" w:cs="Palatino Linotype"/>
          <w:b/>
          <w:color w:val="000000" w:themeColor="text1"/>
        </w:rPr>
        <w:t>número de pasaporte</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b/>
          <w:color w:val="000000" w:themeColor="text1"/>
        </w:rPr>
        <w:t>cuenta bancaria del proveedor</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b/>
          <w:color w:val="000000" w:themeColor="text1"/>
        </w:rPr>
        <w:t>banco y sucursal del proveedor</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b/>
          <w:color w:val="000000" w:themeColor="text1"/>
        </w:rPr>
        <w:t>clave interbancaria del proveedor</w:t>
      </w:r>
      <w:r w:rsidRPr="00835EA3">
        <w:rPr>
          <w:rFonts w:ascii="Palatino Linotype" w:eastAsia="Palatino Linotype" w:hAnsi="Palatino Linotype" w:cs="Palatino Linotype"/>
          <w:color w:val="000000" w:themeColor="text1"/>
        </w:rPr>
        <w:t xml:space="preserve">, es así que, por lo que hace al nombre del servidor público, nombre, denominación o razón social del proveedor, nombre del apoderado o representante </w:t>
      </w:r>
      <w:r w:rsidRPr="00835EA3">
        <w:rPr>
          <w:rFonts w:ascii="Palatino Linotype" w:eastAsia="Palatino Linotype" w:hAnsi="Palatino Linotype" w:cs="Palatino Linotype"/>
          <w:color w:val="000000" w:themeColor="text1"/>
        </w:rPr>
        <w:lastRenderedPageBreak/>
        <w:t xml:space="preserve">legal, domicilio fiscal, </w:t>
      </w:r>
      <w:r w:rsidRPr="00835EA3">
        <w:rPr>
          <w:rFonts w:ascii="Palatino Linotype" w:eastAsia="Palatino Linotype" w:hAnsi="Palatino Linotype" w:cs="Palatino Linotype"/>
          <w:b/>
          <w:color w:val="000000" w:themeColor="text1"/>
        </w:rPr>
        <w:t>teléfono empresarial o institucional,</w:t>
      </w:r>
      <w:r w:rsidRPr="00835EA3">
        <w:rPr>
          <w:rFonts w:ascii="Palatino Linotype" w:eastAsia="Palatino Linotype" w:hAnsi="Palatino Linotype" w:cs="Palatino Linotype"/>
          <w:color w:val="000000" w:themeColor="text1"/>
        </w:rPr>
        <w:t xml:space="preserve"> firmas, y RFC se consideran datos personales públicos. </w:t>
      </w:r>
    </w:p>
    <w:p w:rsidR="00415822" w:rsidRPr="00835EA3" w:rsidRDefault="00415822" w:rsidP="00415822">
      <w:pPr>
        <w:spacing w:line="360" w:lineRule="auto"/>
        <w:jc w:val="both"/>
        <w:rPr>
          <w:rFonts w:ascii="Palatino Linotype" w:hAnsi="Palatino Linotype"/>
          <w:color w:val="000000" w:themeColor="text1"/>
        </w:rPr>
      </w:pPr>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eastAsia="Palatino Linotype" w:hAnsi="Palatino Linotype" w:cs="Palatino Linotype"/>
          <w:color w:val="000000" w:themeColor="text1"/>
        </w:rPr>
        <w:t>Cobra sustento lo anterior, con el criterio 01/19 reiterado vigente del INAI, que refiere lo siguiente:</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b/>
          <w:i/>
          <w:color w:val="000000" w:themeColor="text1"/>
        </w:rPr>
        <w:t>Datos de identificación del representante o apoderado legal.</w:t>
      </w:r>
      <w:r w:rsidRPr="00835EA3">
        <w:rPr>
          <w:rFonts w:ascii="Palatino Linotype" w:eastAsia="Palatino Linotype" w:hAnsi="Palatino Linotype" w:cs="Palatino Linotype"/>
          <w:i/>
          <w:color w:val="000000" w:themeColor="text1"/>
        </w:rPr>
        <w:t xml:space="preserve"> </w:t>
      </w:r>
      <w:r w:rsidRPr="00835EA3">
        <w:rPr>
          <w:rFonts w:ascii="Palatino Linotype" w:eastAsia="Palatino Linotype" w:hAnsi="Palatino Linotype" w:cs="Palatino Linotype"/>
          <w:b/>
          <w:i/>
          <w:color w:val="000000" w:themeColor="text1"/>
        </w:rPr>
        <w:t xml:space="preserve">Naturaleza jurídica. </w:t>
      </w:r>
      <w:r w:rsidRPr="00835EA3">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E9165C" w:rsidRPr="00835EA3" w:rsidRDefault="00E9165C" w:rsidP="004533D3">
      <w:pPr>
        <w:jc w:val="both"/>
        <w:rPr>
          <w:rFonts w:ascii="Palatino Linotype" w:eastAsia="Palatino Linotype" w:hAnsi="Palatino Linotype" w:cs="Palatino Linotype"/>
          <w:i/>
          <w:color w:val="000000" w:themeColor="text1"/>
        </w:rPr>
      </w:pPr>
    </w:p>
    <w:p w:rsidR="00E9165C" w:rsidRPr="00835EA3" w:rsidRDefault="00E9165C"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Precedentes:</w:t>
      </w:r>
    </w:p>
    <w:p w:rsidR="00E9165C" w:rsidRPr="00835EA3" w:rsidRDefault="00E9165C" w:rsidP="004533D3">
      <w:pPr>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rsidR="00E9165C" w:rsidRPr="00835EA3" w:rsidRDefault="00E9165C"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i/>
          <w:color w:val="000000" w:themeColor="text1"/>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rsidR="00E9165C" w:rsidRPr="00835EA3" w:rsidRDefault="00E9165C" w:rsidP="004533D3">
      <w:pPr>
        <w:tabs>
          <w:tab w:val="left" w:pos="7371"/>
        </w:tabs>
        <w:jc w:val="both"/>
        <w:rPr>
          <w:rFonts w:ascii="Palatino Linotype" w:eastAsia="Palatino Linotype" w:hAnsi="Palatino Linotype" w:cs="Palatino Linotype"/>
          <w:i/>
          <w:color w:val="000000" w:themeColor="text1"/>
        </w:rPr>
      </w:pPr>
      <w:r w:rsidRPr="00835EA3">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rsidR="00E9165C" w:rsidRPr="00835EA3" w:rsidRDefault="00E9165C" w:rsidP="004533D3">
      <w:pPr>
        <w:tabs>
          <w:tab w:val="left" w:pos="7371"/>
        </w:tabs>
        <w:jc w:val="both"/>
        <w:rPr>
          <w:rFonts w:ascii="Palatino Linotype" w:eastAsia="Palatino Linotype" w:hAnsi="Palatino Linotype" w:cs="Palatino Linotype"/>
          <w:i/>
          <w:color w:val="000000" w:themeColor="text1"/>
        </w:rPr>
      </w:pPr>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eastAsia="Palatino Linotype" w:hAnsi="Palatino Linotype" w:cs="Palatino Linotype"/>
          <w:color w:val="000000" w:themeColor="text1"/>
        </w:rPr>
        <w:t xml:space="preserve">Del Folio fiscal, Número de serie CSD del emisor, Sello digital del contribuyente emisor, Número de serie del CSD del SAT, Sello digital del SA y Cadena original de complemento de certificación digital SAT. </w:t>
      </w:r>
    </w:p>
    <w:p w:rsidR="00E9165C" w:rsidRPr="00835EA3" w:rsidRDefault="00E9165C" w:rsidP="004533D3">
      <w:pPr>
        <w:spacing w:line="360" w:lineRule="auto"/>
        <w:jc w:val="both"/>
        <w:rPr>
          <w:rFonts w:ascii="Palatino Linotype" w:eastAsia="Palatino Linotype" w:hAnsi="Palatino Linotype" w:cs="Palatino Linotype"/>
          <w:b/>
          <w:i/>
          <w:color w:val="000000" w:themeColor="text1"/>
          <w:u w:val="single"/>
        </w:rPr>
      </w:pPr>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6" w:name="_heading=h.2z9jwqn7dp2n" w:colFirst="0" w:colLast="0"/>
      <w:bookmarkEnd w:id="6"/>
      <w:r w:rsidRPr="00835EA3">
        <w:rPr>
          <w:rFonts w:ascii="Palatino Linotype" w:eastAsia="Palatino Linotype" w:hAnsi="Palatino Linotype" w:cs="Palatino Linotype"/>
          <w:color w:val="000000" w:themeColor="text1"/>
        </w:rPr>
        <w:t xml:space="preserve">De conformidad con la regla 2.7.1.7 de Resolución Miscelánea Fiscal para 2019, para los efectos del artículo 29 segundo párrafo fracción V del Código Fiscal de la Federación, las </w:t>
      </w:r>
      <w:r w:rsidRPr="00835EA3">
        <w:rPr>
          <w:rFonts w:ascii="Palatino Linotype" w:eastAsia="Palatino Linotype" w:hAnsi="Palatino Linotype" w:cs="Palatino Linotype"/>
          <w:color w:val="000000" w:themeColor="text1"/>
        </w:rPr>
        <w:lastRenderedPageBreak/>
        <w:t xml:space="preserve">representaciones impresas del Comprobante Fiscal Digital por Internet o CFDI, deben cumplir con los requisitos señalados en el artículo 29-A del Código Fiscal de la Federación, y contener lo siguiente: </w:t>
      </w:r>
    </w:p>
    <w:p w:rsidR="00E9165C" w:rsidRPr="00835EA3" w:rsidRDefault="00E9165C" w:rsidP="004533D3">
      <w:pPr>
        <w:jc w:val="both"/>
        <w:rPr>
          <w:rFonts w:ascii="Palatino Linotype" w:eastAsia="Palatino Linotype" w:hAnsi="Palatino Linotype" w:cs="Palatino Linotype"/>
          <w:i/>
          <w:color w:val="000000" w:themeColor="text1"/>
        </w:rPr>
      </w:pPr>
      <w:bookmarkStart w:id="7" w:name="_heading=h.jn7wityzmbc9" w:colFirst="0" w:colLast="0"/>
      <w:bookmarkEnd w:id="7"/>
      <w:r w:rsidRPr="00835EA3">
        <w:rPr>
          <w:rFonts w:ascii="Palatino Linotype" w:eastAsia="Palatino Linotype" w:hAnsi="Palatino Linotype" w:cs="Palatino Linotype"/>
          <w:i/>
          <w:color w:val="000000" w:themeColor="text1"/>
        </w:rPr>
        <w:t>“I. Código de barras generado conforme a la especificación técnica que se establece en el rubro I.D del Anexo 20 o el número de folio fiscal del comprobante.</w:t>
      </w:r>
    </w:p>
    <w:p w:rsidR="00E9165C" w:rsidRPr="00835EA3" w:rsidRDefault="00E9165C" w:rsidP="004533D3">
      <w:pPr>
        <w:jc w:val="both"/>
        <w:rPr>
          <w:rFonts w:ascii="Palatino Linotype" w:eastAsia="Palatino Linotype" w:hAnsi="Palatino Linotype" w:cs="Palatino Linotype"/>
          <w:i/>
          <w:color w:val="000000" w:themeColor="text1"/>
        </w:rPr>
      </w:pPr>
      <w:bookmarkStart w:id="8" w:name="_heading=h.t35j6so4838j" w:colFirst="0" w:colLast="0"/>
      <w:bookmarkEnd w:id="8"/>
      <w:r w:rsidRPr="00835EA3">
        <w:rPr>
          <w:rFonts w:ascii="Palatino Linotype" w:eastAsia="Palatino Linotype" w:hAnsi="Palatino Linotype" w:cs="Palatino Linotype"/>
          <w:i/>
          <w:color w:val="000000" w:themeColor="text1"/>
        </w:rPr>
        <w:t xml:space="preserve">II. Número de serie del CSD del emisor y del SAT, que establecen los rubros I.A y III.B del Anexo 20. </w:t>
      </w:r>
    </w:p>
    <w:p w:rsidR="00E9165C" w:rsidRPr="00835EA3" w:rsidRDefault="00E9165C" w:rsidP="004533D3">
      <w:pPr>
        <w:jc w:val="both"/>
        <w:rPr>
          <w:rFonts w:ascii="Palatino Linotype" w:eastAsia="Palatino Linotype" w:hAnsi="Palatino Linotype" w:cs="Palatino Linotype"/>
          <w:i/>
          <w:color w:val="000000" w:themeColor="text1"/>
        </w:rPr>
      </w:pPr>
      <w:bookmarkStart w:id="9" w:name="_heading=h.ofsgmw2ltcti" w:colFirst="0" w:colLast="0"/>
      <w:bookmarkEnd w:id="9"/>
      <w:r w:rsidRPr="00835EA3">
        <w:rPr>
          <w:rFonts w:ascii="Palatino Linotype" w:eastAsia="Palatino Linotype" w:hAnsi="Palatino Linotype" w:cs="Palatino Linotype"/>
          <w:i/>
          <w:color w:val="000000" w:themeColor="text1"/>
        </w:rPr>
        <w:t xml:space="preserve">III. La leyenda: “Este documento es una representación impresa de un CFDI” </w:t>
      </w:r>
    </w:p>
    <w:p w:rsidR="00E9165C" w:rsidRPr="00835EA3" w:rsidRDefault="00E9165C" w:rsidP="004533D3">
      <w:pPr>
        <w:jc w:val="both"/>
        <w:rPr>
          <w:rFonts w:ascii="Palatino Linotype" w:eastAsia="Palatino Linotype" w:hAnsi="Palatino Linotype" w:cs="Palatino Linotype"/>
          <w:i/>
          <w:color w:val="000000" w:themeColor="text1"/>
        </w:rPr>
      </w:pPr>
      <w:bookmarkStart w:id="10" w:name="_heading=h.6md85qnj95ht" w:colFirst="0" w:colLast="0"/>
      <w:bookmarkEnd w:id="10"/>
      <w:r w:rsidRPr="00835EA3">
        <w:rPr>
          <w:rFonts w:ascii="Palatino Linotype" w:eastAsia="Palatino Linotype" w:hAnsi="Palatino Linotype" w:cs="Palatino Linotype"/>
          <w:i/>
          <w:color w:val="000000" w:themeColor="text1"/>
        </w:rPr>
        <w:t xml:space="preserve">IV. Fecha y hora de emisión y de certificación del CFDI en adición a lo señalado en el artículo 29- A, fracción III del CFF. </w:t>
      </w:r>
    </w:p>
    <w:p w:rsidR="00E9165C" w:rsidRPr="00835EA3" w:rsidRDefault="00E9165C" w:rsidP="004533D3">
      <w:pPr>
        <w:jc w:val="both"/>
        <w:rPr>
          <w:rFonts w:ascii="Palatino Linotype" w:eastAsia="Palatino Linotype" w:hAnsi="Palatino Linotype" w:cs="Palatino Linotype"/>
          <w:i/>
          <w:color w:val="000000" w:themeColor="text1"/>
        </w:rPr>
      </w:pPr>
      <w:bookmarkStart w:id="11" w:name="_heading=h.gkcdl3o797mw" w:colFirst="0" w:colLast="0"/>
      <w:bookmarkEnd w:id="11"/>
      <w:r w:rsidRPr="00835EA3">
        <w:rPr>
          <w:rFonts w:ascii="Palatino Linotype" w:eastAsia="Palatino Linotype" w:hAnsi="Palatino Linotype" w:cs="Palatino Linotype"/>
          <w:i/>
          <w:color w:val="000000" w:themeColor="text1"/>
        </w:rPr>
        <w:t xml:space="preserve">V. Cadena original del complemento de certificación digital del SAT. </w:t>
      </w:r>
    </w:p>
    <w:p w:rsidR="00E9165C" w:rsidRPr="00835EA3" w:rsidRDefault="00E9165C" w:rsidP="004533D3">
      <w:pPr>
        <w:jc w:val="both"/>
        <w:rPr>
          <w:rFonts w:ascii="Palatino Linotype" w:eastAsia="Palatino Linotype" w:hAnsi="Palatino Linotype" w:cs="Palatino Linotype"/>
          <w:i/>
          <w:color w:val="000000" w:themeColor="text1"/>
        </w:rPr>
      </w:pPr>
      <w:bookmarkStart w:id="12" w:name="_heading=h.obomck3iidb7" w:colFirst="0" w:colLast="0"/>
      <w:bookmarkEnd w:id="12"/>
      <w:r w:rsidRPr="00835EA3">
        <w:rPr>
          <w:rFonts w:ascii="Palatino Linotype" w:eastAsia="Palatino Linotype" w:hAnsi="Palatino Linotype" w:cs="Palatino Linotype"/>
          <w:i/>
          <w:color w:val="000000" w:themeColor="text1"/>
        </w:rPr>
        <w:t xml:space="preserve">VI. Tratándose de las representaciones impresas del CFDI que amparen retenciones e información de pagos emitidos conforme a lo dispuesto en la regla 2.7.5.4., adicional a lo anteriormente señalado deberán incluir: </w:t>
      </w:r>
    </w:p>
    <w:p w:rsidR="00E9165C" w:rsidRPr="00835EA3" w:rsidRDefault="00E9165C" w:rsidP="004533D3">
      <w:pPr>
        <w:jc w:val="both"/>
        <w:rPr>
          <w:rFonts w:ascii="Palatino Linotype" w:eastAsia="Palatino Linotype" w:hAnsi="Palatino Linotype" w:cs="Palatino Linotype"/>
          <w:i/>
          <w:color w:val="000000" w:themeColor="text1"/>
        </w:rPr>
      </w:pPr>
      <w:bookmarkStart w:id="13" w:name="_heading=h.n6ygx4z7u7iu" w:colFirst="0" w:colLast="0"/>
      <w:bookmarkEnd w:id="13"/>
      <w:r w:rsidRPr="00835EA3">
        <w:rPr>
          <w:rFonts w:ascii="Palatino Linotype" w:eastAsia="Palatino Linotype" w:hAnsi="Palatino Linotype" w:cs="Palatino Linotype"/>
          <w:i/>
          <w:color w:val="000000" w:themeColor="text1"/>
        </w:rPr>
        <w:t xml:space="preserve">a) Los datos que establece el Anexo 20, apartado II.A., así como los correspondientes a los complementos que incorpore. </w:t>
      </w:r>
    </w:p>
    <w:p w:rsidR="00E9165C" w:rsidRPr="00835EA3" w:rsidRDefault="00E9165C" w:rsidP="004533D3">
      <w:pPr>
        <w:jc w:val="both"/>
        <w:rPr>
          <w:rFonts w:ascii="Palatino Linotype" w:eastAsia="Palatino Linotype" w:hAnsi="Palatino Linotype" w:cs="Palatino Linotype"/>
          <w:i/>
          <w:color w:val="000000" w:themeColor="text1"/>
        </w:rPr>
      </w:pPr>
      <w:bookmarkStart w:id="14" w:name="_heading=h.htfse3mfod91" w:colFirst="0" w:colLast="0"/>
      <w:bookmarkEnd w:id="14"/>
      <w:r w:rsidRPr="00835EA3">
        <w:rPr>
          <w:rFonts w:ascii="Palatino Linotype" w:eastAsia="Palatino Linotype" w:hAnsi="Palatino Linotype" w:cs="Palatino Linotype"/>
          <w:i/>
          <w:color w:val="000000" w:themeColor="text1"/>
        </w:rPr>
        <w:t xml:space="preserve">b) El código de barras generado conforme a la especificación técnica establecida en el Anexo 20, rubro II.D. </w:t>
      </w:r>
    </w:p>
    <w:p w:rsidR="00E9165C" w:rsidRPr="00835EA3" w:rsidRDefault="00E9165C" w:rsidP="004533D3">
      <w:pPr>
        <w:jc w:val="both"/>
        <w:rPr>
          <w:rFonts w:ascii="Palatino Linotype" w:eastAsia="Palatino Linotype" w:hAnsi="Palatino Linotype" w:cs="Palatino Linotype"/>
          <w:i/>
          <w:color w:val="000000" w:themeColor="text1"/>
        </w:rPr>
      </w:pPr>
      <w:bookmarkStart w:id="15" w:name="_heading=h.18yejeg468ga" w:colFirst="0" w:colLast="0"/>
      <w:bookmarkEnd w:id="15"/>
      <w:r w:rsidRPr="00835EA3">
        <w:rPr>
          <w:rFonts w:ascii="Palatino Linotype" w:eastAsia="Palatino Linotype" w:hAnsi="Palatino Linotype" w:cs="Palatino Linotype"/>
          <w:i/>
          <w:color w:val="000000" w:themeColor="text1"/>
        </w:rPr>
        <w:t xml:space="preserve">VII. Tratándose de las representaciones impresas de un CFDI emitidas conforme a lo dispuesto en la regla 2.7.2.14., y la Sección 2.7.3., se deberá estar a lo siguiente: </w:t>
      </w:r>
    </w:p>
    <w:p w:rsidR="00E9165C" w:rsidRPr="00835EA3" w:rsidRDefault="00E9165C" w:rsidP="004533D3">
      <w:pPr>
        <w:jc w:val="both"/>
        <w:rPr>
          <w:rFonts w:ascii="Palatino Linotype" w:eastAsia="Palatino Linotype" w:hAnsi="Palatino Linotype" w:cs="Palatino Linotype"/>
          <w:i/>
          <w:color w:val="000000" w:themeColor="text1"/>
        </w:rPr>
      </w:pPr>
      <w:bookmarkStart w:id="16" w:name="_heading=h.5bnr4t7cvb3w" w:colFirst="0" w:colLast="0"/>
      <w:bookmarkEnd w:id="16"/>
      <w:r w:rsidRPr="00835EA3">
        <w:rPr>
          <w:rFonts w:ascii="Palatino Linotype" w:eastAsia="Palatino Linotype" w:hAnsi="Palatino Linotype" w:cs="Palatino Linotype"/>
          <w:i/>
          <w:color w:val="000000" w:themeColor="text1"/>
        </w:rPr>
        <w:t xml:space="preserve">a) Espacio para registrar la firma autógrafa de la persona que emite el CFDI. </w:t>
      </w:r>
    </w:p>
    <w:p w:rsidR="00E9165C" w:rsidRPr="00835EA3" w:rsidRDefault="00E9165C" w:rsidP="004533D3">
      <w:pPr>
        <w:jc w:val="both"/>
        <w:rPr>
          <w:rFonts w:ascii="Palatino Linotype" w:eastAsia="Palatino Linotype" w:hAnsi="Palatino Linotype" w:cs="Palatino Linotype"/>
          <w:i/>
          <w:color w:val="000000" w:themeColor="text1"/>
        </w:rPr>
      </w:pPr>
      <w:bookmarkStart w:id="17" w:name="_heading=h.dn2nmuiczm76" w:colFirst="0" w:colLast="0"/>
      <w:bookmarkEnd w:id="17"/>
      <w:r w:rsidRPr="00835EA3">
        <w:rPr>
          <w:rFonts w:ascii="Palatino Linotype" w:eastAsia="Palatino Linotype" w:hAnsi="Palatino Linotype" w:cs="Palatino Linotype"/>
          <w:i/>
          <w:color w:val="000000" w:themeColor="text1"/>
        </w:rPr>
        <w:t xml:space="preserve">b) Respecto a lo señalado en la fracción II de esta regla, se incluirá el número de serie de CESD del proveedor de certificación de CFDI o del SAT según corresponda en sustitución del número de CSD del emisor. </w:t>
      </w:r>
    </w:p>
    <w:p w:rsidR="00E9165C" w:rsidRPr="00835EA3" w:rsidRDefault="00E9165C" w:rsidP="004533D3">
      <w:pPr>
        <w:jc w:val="both"/>
        <w:rPr>
          <w:rFonts w:ascii="Palatino Linotype" w:eastAsia="Palatino Linotype" w:hAnsi="Palatino Linotype" w:cs="Palatino Linotype"/>
          <w:i/>
          <w:color w:val="000000" w:themeColor="text1"/>
        </w:rPr>
      </w:pPr>
      <w:bookmarkStart w:id="18" w:name="_heading=h.f44lrhhpmkjn" w:colFirst="0" w:colLast="0"/>
      <w:bookmarkEnd w:id="18"/>
      <w:r w:rsidRPr="00835EA3">
        <w:rPr>
          <w:rFonts w:ascii="Palatino Linotype" w:eastAsia="Palatino Linotype" w:hAnsi="Palatino Linotype" w:cs="Palatino Linotype"/>
          <w:i/>
          <w:color w:val="000000" w:themeColor="text1"/>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rsidR="00E9165C" w:rsidRPr="00835EA3" w:rsidRDefault="00E9165C" w:rsidP="004533D3">
      <w:pPr>
        <w:jc w:val="both"/>
        <w:rPr>
          <w:rFonts w:ascii="Palatino Linotype" w:eastAsia="Palatino Linotype" w:hAnsi="Palatino Linotype" w:cs="Palatino Linotype"/>
          <w:color w:val="000000" w:themeColor="text1"/>
        </w:rPr>
      </w:pPr>
      <w:bookmarkStart w:id="19" w:name="_heading=h.oo2mmabwdpzm" w:colFirst="0" w:colLast="0"/>
      <w:bookmarkEnd w:id="19"/>
      <w:r w:rsidRPr="00835EA3">
        <w:rPr>
          <w:rFonts w:ascii="Palatino Linotype" w:eastAsia="Palatino Linotype" w:hAnsi="Palatino Linotype" w:cs="Palatino Linotype"/>
          <w:i/>
          <w:color w:val="000000" w:themeColor="text1"/>
        </w:rPr>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835EA3">
        <w:rPr>
          <w:rFonts w:ascii="Palatino Linotype" w:eastAsia="Palatino Linotype" w:hAnsi="Palatino Linotype" w:cs="Palatino Linotype"/>
          <w:color w:val="000000" w:themeColor="text1"/>
        </w:rPr>
        <w:t>.</w:t>
      </w:r>
    </w:p>
    <w:p w:rsidR="00E9165C" w:rsidRPr="00835EA3" w:rsidRDefault="00E9165C" w:rsidP="004533D3">
      <w:pPr>
        <w:jc w:val="both"/>
        <w:rPr>
          <w:rFonts w:ascii="Palatino Linotype" w:eastAsia="Palatino Linotype" w:hAnsi="Palatino Linotype" w:cs="Palatino Linotype"/>
          <w:i/>
          <w:color w:val="000000" w:themeColor="text1"/>
        </w:rPr>
      </w:pPr>
      <w:bookmarkStart w:id="20" w:name="_heading=h.t1mp8qivtptx" w:colFirst="0" w:colLast="0"/>
      <w:bookmarkEnd w:id="20"/>
      <w:r w:rsidRPr="00835EA3">
        <w:rPr>
          <w:rFonts w:ascii="Palatino Linotype" w:eastAsia="Palatino Linotype" w:hAnsi="Palatino Linotype" w:cs="Palatino Linotype"/>
          <w:i/>
          <w:color w:val="000000" w:themeColor="text1"/>
        </w:rPr>
        <w:t>(Énfasis añadido)</w:t>
      </w:r>
    </w:p>
    <w:p w:rsidR="00E9165C" w:rsidRDefault="00E9165C" w:rsidP="004533D3">
      <w:pPr>
        <w:jc w:val="both"/>
        <w:rPr>
          <w:rFonts w:ascii="Palatino Linotype" w:eastAsia="Palatino Linotype" w:hAnsi="Palatino Linotype" w:cs="Palatino Linotype"/>
          <w:color w:val="000000" w:themeColor="text1"/>
        </w:rPr>
      </w:pPr>
      <w:bookmarkStart w:id="21" w:name="_heading=h.8sifv2td4no" w:colFirst="0" w:colLast="0"/>
      <w:bookmarkEnd w:id="21"/>
    </w:p>
    <w:p w:rsidR="00DE46FA" w:rsidRPr="00835EA3" w:rsidRDefault="00DE46FA" w:rsidP="004533D3">
      <w:pPr>
        <w:jc w:val="both"/>
        <w:rPr>
          <w:rFonts w:ascii="Palatino Linotype" w:eastAsia="Palatino Linotype" w:hAnsi="Palatino Linotype" w:cs="Palatino Linotype"/>
          <w:color w:val="000000" w:themeColor="text1"/>
        </w:rPr>
      </w:pPr>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22" w:name="_heading=h.oh2brxaow78o" w:colFirst="0" w:colLast="0"/>
      <w:bookmarkEnd w:id="22"/>
      <w:r w:rsidRPr="00835EA3">
        <w:rPr>
          <w:rFonts w:ascii="Palatino Linotype" w:eastAsia="Palatino Linotype" w:hAnsi="Palatino Linotype" w:cs="Palatino Linotype"/>
          <w:color w:val="000000" w:themeColor="text1"/>
        </w:rPr>
        <w:lastRenderedPageBreak/>
        <w:t>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23" w:name="_heading=h.987we07n3kwj" w:colFirst="0" w:colLast="0"/>
      <w:bookmarkEnd w:id="23"/>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24" w:name="_heading=h.e4w0o6ue8sc6" w:colFirst="0" w:colLast="0"/>
      <w:bookmarkEnd w:id="24"/>
      <w:r w:rsidRPr="00835EA3">
        <w:rPr>
          <w:rFonts w:ascii="Palatino Linotype" w:eastAsia="Palatino Linotype" w:hAnsi="Palatino Linotype" w:cs="Palatino Linotype"/>
          <w:color w:val="000000" w:themeColor="text1"/>
        </w:rPr>
        <w:t xml:space="preserve">Para la generación de sellos digitales se utiliza </w:t>
      </w:r>
      <w:r w:rsidRPr="00835EA3">
        <w:rPr>
          <w:rFonts w:ascii="Palatino Linotype" w:eastAsia="Palatino Linotype" w:hAnsi="Palatino Linotype" w:cs="Palatino Linotype"/>
          <w:b/>
          <w:color w:val="000000" w:themeColor="text1"/>
        </w:rPr>
        <w:t>criptografía</w:t>
      </w:r>
      <w:r w:rsidRPr="00835EA3">
        <w:rPr>
          <w:rFonts w:ascii="Palatino Linotype" w:eastAsia="Palatino Linotype" w:hAnsi="Palatino Linotype" w:cs="Palatino Linotype"/>
          <w:color w:val="000000" w:themeColor="text1"/>
        </w:rPr>
        <w:t xml:space="preserve"> de clave pública aplicada a una cadena original, que se basa en la generación de una pareja de números muy grandes relacionados entre sí, de tal manera que una operación de inscripción sobre un mensaje tomando como clave de inscripción a uno de los dos números, produce un mensaje alterado en su significado que sólo puede ser devuelto a su estado original mediante la operación de desencripción correspondiente tomando como clave de desencripción al otro número de la pareja.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25" w:name="_heading=h.rtb9e44i85ua" w:colFirst="0" w:colLast="0"/>
      <w:bookmarkEnd w:id="25"/>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26" w:name="_heading=h.mt7q496zmklq" w:colFirst="0" w:colLast="0"/>
      <w:bookmarkEnd w:id="26"/>
      <w:r w:rsidRPr="00835EA3">
        <w:rPr>
          <w:rFonts w:ascii="Palatino Linotype" w:eastAsia="Palatino Linotype" w:hAnsi="Palatino Linotype" w:cs="Palatino Linotype"/>
          <w:color w:val="000000" w:themeColor="text1"/>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rsidR="00E9165C" w:rsidRPr="00835EA3" w:rsidRDefault="00E9165C" w:rsidP="004533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27" w:name="_heading=h.n30l5xfevj1m" w:colFirst="0" w:colLast="0"/>
      <w:bookmarkEnd w:id="27"/>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28" w:name="_heading=h.xyl92zx2yn72" w:colFirst="0" w:colLast="0"/>
      <w:bookmarkEnd w:id="28"/>
      <w:r w:rsidRPr="00835EA3">
        <w:rPr>
          <w:rFonts w:ascii="Palatino Linotype" w:eastAsia="Palatino Linotype" w:hAnsi="Palatino Linotype" w:cs="Palatino Linotype"/>
          <w:color w:val="000000" w:themeColor="text1"/>
        </w:rPr>
        <w:lastRenderedPageBreak/>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29" w:name="_heading=h.dnnzpvh7eleo" w:colFirst="0" w:colLast="0"/>
      <w:bookmarkEnd w:id="29"/>
      <w:r w:rsidRPr="00835EA3">
        <w:rPr>
          <w:rFonts w:ascii="Palatino Linotype" w:eastAsia="Palatino Linotype" w:hAnsi="Palatino Linotype" w:cs="Palatino Linotype"/>
          <w:color w:val="000000" w:themeColor="text1"/>
        </w:rPr>
        <w:t xml:space="preserve">• La integridad (facilidad para detectar si un mensaje firmado ha sido alterado),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0" w:name="_heading=h.7nd46camfpd3" w:colFirst="0" w:colLast="0"/>
      <w:bookmarkEnd w:id="30"/>
      <w:r w:rsidRPr="00835EA3">
        <w:rPr>
          <w:rFonts w:ascii="Palatino Linotype" w:eastAsia="Palatino Linotype" w:hAnsi="Palatino Linotype" w:cs="Palatino Linotype"/>
          <w:color w:val="000000" w:themeColor="text1"/>
        </w:rPr>
        <w:t xml:space="preserve">• La autenticidad,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1" w:name="_heading=h.ioxfoskdka44" w:colFirst="0" w:colLast="0"/>
      <w:bookmarkEnd w:id="31"/>
      <w:r w:rsidRPr="00835EA3">
        <w:rPr>
          <w:rFonts w:ascii="Palatino Linotype" w:eastAsia="Palatino Linotype" w:hAnsi="Palatino Linotype" w:cs="Palatino Linotype"/>
          <w:color w:val="000000" w:themeColor="text1"/>
        </w:rPr>
        <w:t xml:space="preserve">• Certidumbre de origen (facilidad para determinar qué persona es el autor de la firma que valida el contenido del mensaje) y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2" w:name="_heading=h.71wzdzlnc3xt" w:colFirst="0" w:colLast="0"/>
      <w:bookmarkEnd w:id="32"/>
      <w:r w:rsidRPr="00835EA3">
        <w:rPr>
          <w:rFonts w:ascii="Palatino Linotype" w:eastAsia="Palatino Linotype" w:hAnsi="Palatino Linotype" w:cs="Palatino Linotype"/>
          <w:color w:val="000000" w:themeColor="text1"/>
        </w:rPr>
        <w:t xml:space="preserve">• No repudiación del mensaje firmado (capacidad de impedir que el autor de la firma niegue haber firmado el mensaje).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3" w:name="_heading=h.ynzdidt3os8l" w:colFirst="0" w:colLast="0"/>
      <w:bookmarkEnd w:id="33"/>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34" w:name="_heading=h.qdfdf3outred" w:colFirst="0" w:colLast="0"/>
      <w:bookmarkEnd w:id="34"/>
      <w:r w:rsidRPr="00835EA3">
        <w:rPr>
          <w:rFonts w:ascii="Palatino Linotype" w:eastAsia="Palatino Linotype" w:hAnsi="Palatino Linotype" w:cs="Palatino Linotype"/>
          <w:color w:val="000000" w:themeColor="text1"/>
        </w:rPr>
        <w:t xml:space="preserve">Estos servicios de seguridad proporcionan las siguientes características a un mensaje con firma electrónica avanzada: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5" w:name="_heading=h.xp0jh26h3b7o" w:colFirst="0" w:colLast="0"/>
      <w:bookmarkEnd w:id="35"/>
      <w:r w:rsidRPr="00835EA3">
        <w:rPr>
          <w:rFonts w:ascii="Palatino Linotype" w:eastAsia="Palatino Linotype" w:hAnsi="Palatino Linotype" w:cs="Palatino Linotype"/>
          <w:color w:val="000000" w:themeColor="text1"/>
        </w:rPr>
        <w:t xml:space="preserve">• Es infalsificable.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6" w:name="_heading=h.d7sfqbwj4lax" w:colFirst="0" w:colLast="0"/>
      <w:bookmarkEnd w:id="36"/>
      <w:r w:rsidRPr="00835EA3">
        <w:rPr>
          <w:rFonts w:ascii="Palatino Linotype" w:eastAsia="Palatino Linotype" w:hAnsi="Palatino Linotype" w:cs="Palatino Linotype"/>
          <w:color w:val="000000" w:themeColor="text1"/>
        </w:rPr>
        <w:t xml:space="preserve">• La firma electrónica avanzada no es reciclable (es única por mensaje).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7" w:name="_heading=h.4umuus4we8wo" w:colFirst="0" w:colLast="0"/>
      <w:bookmarkEnd w:id="37"/>
      <w:r w:rsidRPr="00835EA3">
        <w:rPr>
          <w:rFonts w:ascii="Palatino Linotype" w:eastAsia="Palatino Linotype" w:hAnsi="Palatino Linotype" w:cs="Palatino Linotype"/>
          <w:color w:val="000000" w:themeColor="text1"/>
        </w:rPr>
        <w:t xml:space="preserve">• Un mensaje con firma electrónica avanzada alterado, es detectable.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8" w:name="_heading=h.bhowd0rv38c7" w:colFirst="0" w:colLast="0"/>
      <w:bookmarkEnd w:id="38"/>
      <w:r w:rsidRPr="00835EA3">
        <w:rPr>
          <w:rFonts w:ascii="Palatino Linotype" w:eastAsia="Palatino Linotype" w:hAnsi="Palatino Linotype" w:cs="Palatino Linotype"/>
          <w:color w:val="000000" w:themeColor="text1"/>
        </w:rPr>
        <w:t xml:space="preserve">• Un mensaje con firma electrónica avanzada, no puede ser repudiado.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39" w:name="_heading=h.ejn2v55f60s6" w:colFirst="0" w:colLast="0"/>
      <w:bookmarkEnd w:id="39"/>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40" w:name="_heading=h.msnldj4dqkon" w:colFirst="0" w:colLast="0"/>
      <w:bookmarkEnd w:id="40"/>
      <w:r w:rsidRPr="00835EA3">
        <w:rPr>
          <w:rFonts w:ascii="Palatino Linotype" w:eastAsia="Palatino Linotype" w:hAnsi="Palatino Linotype" w:cs="Palatino Linotype"/>
          <w:color w:val="000000" w:themeColor="text1"/>
        </w:rPr>
        <w:t xml:space="preserve">Los certificados de sello digital se generan de manera idéntica a los certificados de e.firma y al igual que las firmas electrónicas avanzadas el propósito del sello digital es emitir comprobantes fiscales con autenticidad, integridad, verificables y no repudiables por el </w:t>
      </w:r>
      <w:r w:rsidRPr="00835EA3">
        <w:rPr>
          <w:rFonts w:ascii="Palatino Linotype" w:eastAsia="Palatino Linotype" w:hAnsi="Palatino Linotype" w:cs="Palatino Linotype"/>
          <w:color w:val="000000" w:themeColor="text1"/>
        </w:rPr>
        <w:lastRenderedPageBreak/>
        <w:t>emisor. Para ello basta tener acceso al mensaje original o cadena original, al sello digital y al certificado digital del emisor.</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bookmarkStart w:id="41" w:name="_heading=h.d2rygb40n1qi" w:colFirst="0" w:colLast="0"/>
      <w:bookmarkEnd w:id="41"/>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bookmarkStart w:id="42" w:name="_heading=h.gssdfypy39it" w:colFirst="0" w:colLast="0"/>
      <w:bookmarkEnd w:id="42"/>
      <w:r w:rsidRPr="00835EA3">
        <w:rPr>
          <w:rFonts w:ascii="Palatino Linotype" w:eastAsia="Palatino Linotype" w:hAnsi="Palatino Linotype" w:cs="Palatino Linotype"/>
          <w:color w:val="000000" w:themeColor="text1"/>
        </w:rPr>
        <w:t xml:space="preserve">Asimismo,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rsidR="00E9165C" w:rsidRPr="00835EA3" w:rsidRDefault="00E9165C" w:rsidP="004533D3">
      <w:pPr>
        <w:spacing w:line="360" w:lineRule="auto"/>
        <w:jc w:val="both"/>
        <w:rPr>
          <w:rFonts w:ascii="Palatino Linotype" w:eastAsia="Palatino Linotype" w:hAnsi="Palatino Linotype" w:cs="Palatino Linotype"/>
          <w:color w:val="000000" w:themeColor="text1"/>
        </w:rPr>
      </w:pPr>
    </w:p>
    <w:p w:rsidR="00E9165C" w:rsidRPr="00835EA3" w:rsidRDefault="00E9165C"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eastAsia="Palatino Linotype" w:hAnsi="Palatino Linotype" w:cs="Palatino Linotype"/>
          <w:color w:val="000000" w:themeColor="text1"/>
        </w:rPr>
        <w:t xml:space="preserve">Así bien, con base en lo expuesto, no todos los datos señalados pueden ser considerados como confidenciales, en virtud de que el Folio fiscal, Número de serie CSD del emisor, Sello digital del contribuyente emisor, Número de serie del CSD del SAT, Sello digital del SAT y Cadena original de complemento de certificación digital SAT, así como el número de empleado cuando no se relacione con el uso de diversos servicios, no tienen el carácter de confidenciales. </w:t>
      </w:r>
    </w:p>
    <w:p w:rsidR="00A73553" w:rsidRPr="00835EA3" w:rsidRDefault="00A73553"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hAnsi="Palatino Linotype"/>
          <w:color w:val="000000" w:themeColor="text1"/>
        </w:rPr>
        <w:lastRenderedPageBreak/>
        <w:t xml:space="preserve">Seguidamente, para el punto número seis de la solicitud de información consistente en la </w:t>
      </w:r>
      <w:r w:rsidRPr="00835EA3">
        <w:rPr>
          <w:rFonts w:ascii="Palatino Linotype" w:hAnsi="Palatino Linotype"/>
          <w:b/>
          <w:color w:val="000000" w:themeColor="text1"/>
        </w:rPr>
        <w:t xml:space="preserve">estimación de rendimiento por litro de pintura, </w:t>
      </w:r>
      <w:r w:rsidRPr="00835EA3">
        <w:rPr>
          <w:rFonts w:ascii="Palatino Linotype" w:hAnsi="Palatino Linotype"/>
          <w:color w:val="000000" w:themeColor="text1"/>
        </w:rPr>
        <w:t xml:space="preserve">se debe de determinar que pudiera ser que el dato viniera en el convenio firmado por el </w:t>
      </w:r>
      <w:r w:rsidRPr="00835EA3">
        <w:rPr>
          <w:rFonts w:ascii="Palatino Linotype" w:hAnsi="Palatino Linotype"/>
          <w:b/>
          <w:color w:val="000000" w:themeColor="text1"/>
        </w:rPr>
        <w:t xml:space="preserve">SUJETO OBLIGADO  </w:t>
      </w:r>
      <w:r w:rsidRPr="00835EA3">
        <w:rPr>
          <w:rFonts w:ascii="Palatino Linotype" w:hAnsi="Palatino Linotype"/>
          <w:color w:val="000000" w:themeColor="text1"/>
        </w:rPr>
        <w:t xml:space="preserve">y la Asociación Civil Corazón Urbano , sin embargo puedo ser que la estimación rendimiento de la pintura no se hubiera hecho por litro, situación por la cual de ser el caso que la estimación no se hubiera realizado como lo solicita el </w:t>
      </w:r>
      <w:r w:rsidRPr="00835EA3">
        <w:rPr>
          <w:rFonts w:ascii="Palatino Linotype" w:hAnsi="Palatino Linotype"/>
          <w:b/>
          <w:color w:val="000000" w:themeColor="text1"/>
        </w:rPr>
        <w:t xml:space="preserve">RECURRENTE </w:t>
      </w:r>
      <w:r w:rsidRPr="00835EA3">
        <w:rPr>
          <w:rFonts w:ascii="Palatino Linotype" w:hAnsi="Palatino Linotype"/>
          <w:color w:val="000000" w:themeColor="text1"/>
        </w:rPr>
        <w:t xml:space="preserve">se deberá de hacer de su conocimiento de conformidad con el artículo 19 párrafo segundo de la Ley de Transparencia y Acceso a la Información Pública del Estado de México y Municipios. </w:t>
      </w:r>
    </w:p>
    <w:p w:rsidR="00A73553" w:rsidRPr="00835EA3" w:rsidRDefault="00A73553" w:rsidP="004533D3">
      <w:pPr>
        <w:pStyle w:val="Prrafodelista"/>
        <w:ind w:left="0"/>
        <w:rPr>
          <w:rFonts w:ascii="Palatino Linotype" w:eastAsia="Palatino Linotype" w:hAnsi="Palatino Linotype" w:cs="Palatino Linotype"/>
          <w:color w:val="000000" w:themeColor="text1"/>
        </w:rPr>
      </w:pPr>
    </w:p>
    <w:p w:rsidR="000632B0" w:rsidRPr="00835EA3" w:rsidRDefault="000632B0" w:rsidP="004533D3">
      <w:pPr>
        <w:numPr>
          <w:ilvl w:val="0"/>
          <w:numId w:val="3"/>
        </w:numPr>
        <w:spacing w:line="360" w:lineRule="auto"/>
        <w:ind w:left="0" w:firstLine="0"/>
        <w:jc w:val="both"/>
        <w:rPr>
          <w:rFonts w:ascii="Palatino Linotype" w:hAnsi="Palatino Linotype"/>
          <w:color w:val="000000" w:themeColor="text1"/>
        </w:rPr>
      </w:pPr>
      <w:r w:rsidRPr="00835EA3">
        <w:rPr>
          <w:rFonts w:ascii="Palatino Linotype" w:hAnsi="Palatino Linotype"/>
          <w:color w:val="000000" w:themeColor="text1"/>
        </w:rPr>
        <w:t xml:space="preserve">Finalmente por cuanto hace al punto número siete de la solicitud de información consistente en </w:t>
      </w:r>
      <w:r w:rsidRPr="00835EA3">
        <w:rPr>
          <w:rFonts w:ascii="Palatino Linotype" w:hAnsi="Palatino Linotype"/>
          <w:b/>
          <w:color w:val="000000" w:themeColor="text1"/>
        </w:rPr>
        <w:t>“</w:t>
      </w:r>
      <w:r w:rsidRPr="00835EA3">
        <w:rPr>
          <w:rFonts w:ascii="Palatino Linotype" w:hAnsi="Palatino Linotype"/>
          <w:b/>
          <w:i/>
          <w:color w:val="000000" w:themeColor="text1"/>
        </w:rPr>
        <w:t xml:space="preserve">.- Saber si existirán más polígonos y/o puntos que serán pintados por la Asociación  Civil", </w:t>
      </w:r>
      <w:r w:rsidRPr="00835EA3">
        <w:rPr>
          <w:rFonts w:ascii="Palatino Linotype" w:hAnsi="Palatino Linotype"/>
          <w:color w:val="000000" w:themeColor="text1"/>
        </w:rPr>
        <w:t xml:space="preserve">se debe de referir que la solicitud deviene de </w:t>
      </w:r>
      <w:r w:rsidR="00052674" w:rsidRPr="00835EA3">
        <w:rPr>
          <w:rFonts w:ascii="Palatino Linotype" w:hAnsi="Palatino Linotype"/>
          <w:color w:val="000000" w:themeColor="text1"/>
        </w:rPr>
        <w:t xml:space="preserve">una pregunta a futuro en la cual se pretende que el </w:t>
      </w:r>
      <w:r w:rsidR="00052674" w:rsidRPr="00835EA3">
        <w:rPr>
          <w:rFonts w:ascii="Palatino Linotype" w:hAnsi="Palatino Linotype"/>
          <w:b/>
          <w:color w:val="000000" w:themeColor="text1"/>
        </w:rPr>
        <w:t xml:space="preserve">SUJETO OBLIGADO </w:t>
      </w:r>
      <w:r w:rsidR="00052674" w:rsidRPr="00835EA3">
        <w:rPr>
          <w:rFonts w:ascii="Palatino Linotype" w:hAnsi="Palatino Linotype"/>
          <w:color w:val="000000" w:themeColor="text1"/>
        </w:rPr>
        <w:t xml:space="preserve">manifieste si existirán más polígonos a pintar, situación que recae en hechos futuros, por lo cual se hace el siguiente analisis. </w:t>
      </w:r>
    </w:p>
    <w:p w:rsidR="00052674" w:rsidRPr="00835EA3" w:rsidRDefault="00052674" w:rsidP="004533D3">
      <w:pPr>
        <w:pStyle w:val="Prrafodelista"/>
        <w:ind w:left="0"/>
        <w:rPr>
          <w:rFonts w:ascii="Palatino Linotype" w:hAnsi="Palatino Linotype"/>
          <w:color w:val="000000" w:themeColor="text1"/>
        </w:rPr>
      </w:pPr>
    </w:p>
    <w:p w:rsidR="005904FF" w:rsidRPr="00835EA3" w:rsidRDefault="005904F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En ese sentido, se tiene que al ser hechos futuros el </w:t>
      </w:r>
      <w:r w:rsidRPr="00835EA3">
        <w:rPr>
          <w:rFonts w:ascii="Palatino Linotype" w:eastAsia="Palatino Linotype" w:hAnsi="Palatino Linotype" w:cs="Palatino Linotype"/>
          <w:b/>
          <w:color w:val="000000" w:themeColor="text1"/>
        </w:rPr>
        <w:t>SUJETO OBLIGADO</w:t>
      </w:r>
      <w:r w:rsidRPr="00835EA3">
        <w:rPr>
          <w:rFonts w:ascii="Palatino Linotype" w:eastAsia="Palatino Linotype" w:hAnsi="Palatino Linotype" w:cs="Palatino Linotype"/>
          <w:color w:val="000000" w:themeColor="text1"/>
        </w:rPr>
        <w:t xml:space="preserve">  no tiene la certeza de desarrollar y administrar la información solicitada, por lo que, no puede existir un pronunciamiento o documento que colme el derecho de acceso a la información. </w:t>
      </w:r>
    </w:p>
    <w:p w:rsidR="005904FF" w:rsidRPr="00835EA3" w:rsidRDefault="005904FF" w:rsidP="004533D3">
      <w:pPr>
        <w:pStyle w:val="Prrafodelista"/>
        <w:ind w:left="0"/>
        <w:rPr>
          <w:rFonts w:ascii="Palatino Linotype" w:eastAsia="Palatino Linotype" w:hAnsi="Palatino Linotype" w:cs="Palatino Linotype"/>
          <w:color w:val="000000" w:themeColor="text1"/>
        </w:rPr>
      </w:pPr>
    </w:p>
    <w:p w:rsidR="005904FF" w:rsidRPr="00835EA3" w:rsidRDefault="005904FF"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Sirve como referencia la Jurisprudencia emitida por la Suprema Corte de Justicia de la Nación, que es del texto y rubro siguiente:</w:t>
      </w:r>
    </w:p>
    <w:p w:rsidR="005904FF" w:rsidRPr="00835EA3" w:rsidRDefault="005904FF" w:rsidP="004533D3">
      <w:pPr>
        <w:pStyle w:val="Prrafodelista"/>
        <w:autoSpaceDE w:val="0"/>
        <w:autoSpaceDN w:val="0"/>
        <w:adjustRightInd w:val="0"/>
        <w:spacing w:after="120"/>
        <w:ind w:left="0"/>
        <w:jc w:val="both"/>
        <w:rPr>
          <w:rFonts w:ascii="Palatino Linotype" w:hAnsi="Palatino Linotype"/>
          <w:i/>
          <w:color w:val="000000" w:themeColor="text1"/>
        </w:rPr>
      </w:pPr>
      <w:r w:rsidRPr="00835EA3">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835EA3">
        <w:rPr>
          <w:rFonts w:ascii="Palatino Linotype" w:hAnsi="Palatino Linotype"/>
          <w:i/>
          <w:color w:val="000000" w:themeColor="text1"/>
        </w:rPr>
        <w:t xml:space="preserve"> El artículo 145 de la Ley de Amparo faculta al Juez de Distrito para </w:t>
      </w:r>
      <w:r w:rsidRPr="00835EA3">
        <w:rPr>
          <w:rFonts w:ascii="Palatino Linotype" w:hAnsi="Palatino Linotype"/>
          <w:i/>
          <w:color w:val="000000" w:themeColor="text1"/>
        </w:rPr>
        <w:lastRenderedPageBreak/>
        <w:t>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835EA3">
        <w:rPr>
          <w:rFonts w:ascii="Palatino Linotype" w:hAnsi="Palatino Linotype" w:cs="Arial"/>
          <w:i/>
          <w:color w:val="000000" w:themeColor="text1"/>
        </w:rPr>
        <w:t xml:space="preserve">No obstante, en términos del </w:t>
      </w:r>
      <w:r w:rsidRPr="00835EA3">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835EA3">
        <w:rPr>
          <w:rFonts w:ascii="Palatino Linotype" w:hAnsi="Palatino Linotype"/>
          <w:b/>
          <w:i/>
          <w:color w:val="000000" w:themeColor="text1"/>
        </w:rPr>
        <w:t>en posesión</w:t>
      </w:r>
      <w:r w:rsidRPr="00835EA3">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CD340C" w:rsidRPr="00835EA3" w:rsidRDefault="00CD340C" w:rsidP="004533D3">
      <w:pPr>
        <w:pStyle w:val="Prrafodelista"/>
        <w:autoSpaceDE w:val="0"/>
        <w:autoSpaceDN w:val="0"/>
        <w:adjustRightInd w:val="0"/>
        <w:spacing w:after="120"/>
        <w:ind w:left="0"/>
        <w:jc w:val="both"/>
        <w:rPr>
          <w:rFonts w:ascii="Palatino Linotype" w:hAnsi="Palatino Linotype"/>
          <w:i/>
          <w:color w:val="000000" w:themeColor="text1"/>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De lo anterior</w:t>
      </w:r>
      <w:r w:rsidR="00CD340C" w:rsidRPr="00835EA3">
        <w:rPr>
          <w:rFonts w:ascii="Palatino Linotype" w:eastAsia="Palatino Linotype" w:hAnsi="Palatino Linotype" w:cs="Palatino Linotype"/>
          <w:color w:val="000000" w:themeColor="text1"/>
          <w:lang w:val="es-ES_tradnl" w:eastAsia="es-ES"/>
        </w:rPr>
        <w:t xml:space="preserve">mente expuesto, se tiene que el </w:t>
      </w:r>
      <w:r w:rsidR="00CD340C" w:rsidRPr="00835EA3">
        <w:rPr>
          <w:rFonts w:ascii="Palatino Linotype" w:eastAsia="Palatino Linotype" w:hAnsi="Palatino Linotype" w:cs="Palatino Linotype"/>
          <w:b/>
          <w:color w:val="000000" w:themeColor="text1"/>
          <w:lang w:val="es-ES_tradnl" w:eastAsia="es-ES"/>
        </w:rPr>
        <w:t xml:space="preserve">SUJETO OBLIGADO </w:t>
      </w:r>
      <w:r w:rsidR="00CD340C" w:rsidRPr="00835EA3">
        <w:rPr>
          <w:rFonts w:ascii="Palatino Linotype" w:eastAsia="Palatino Linotype" w:hAnsi="Palatino Linotype" w:cs="Palatino Linotype"/>
          <w:color w:val="000000" w:themeColor="text1"/>
          <w:lang w:val="es-ES_tradnl" w:eastAsia="es-ES"/>
        </w:rPr>
        <w:t>no acredito la búsqueda exhaustiva y razonable</w:t>
      </w:r>
      <w:r w:rsidRPr="00835EA3">
        <w:rPr>
          <w:rFonts w:ascii="Palatino Linotype" w:eastAsia="Palatino Linotype" w:hAnsi="Palatino Linotype" w:cs="Palatino Linotype"/>
          <w:color w:val="000000" w:themeColor="text1"/>
          <w:lang w:val="es-ES_tradnl" w:eastAsia="es-ES"/>
        </w:rPr>
        <w:t>,</w:t>
      </w:r>
      <w:r w:rsidR="00CD340C" w:rsidRPr="00835EA3">
        <w:rPr>
          <w:rFonts w:ascii="Palatino Linotype" w:eastAsia="Palatino Linotype" w:hAnsi="Palatino Linotype" w:cs="Palatino Linotype"/>
          <w:color w:val="000000" w:themeColor="text1"/>
          <w:lang w:val="es-ES_tradnl" w:eastAsia="es-ES"/>
        </w:rPr>
        <w:t xml:space="preserve"> regulada en el </w:t>
      </w:r>
      <w:r w:rsidRPr="00835EA3">
        <w:rPr>
          <w:rFonts w:ascii="Palatino Linotype" w:eastAsia="Palatino Linotype" w:hAnsi="Palatino Linotype" w:cs="Palatino Linotype"/>
          <w:color w:val="000000" w:themeColor="text1"/>
          <w:lang w:val="es-ES_tradnl" w:eastAsia="es-ES"/>
        </w:rPr>
        <w:t xml:space="preserve">artículo 162 de la de la Ley de Transparencia y Acceso a la Información Pública del </w:t>
      </w:r>
      <w:r w:rsidR="00CD340C" w:rsidRPr="00835EA3">
        <w:rPr>
          <w:rFonts w:ascii="Palatino Linotype" w:eastAsia="Palatino Linotype" w:hAnsi="Palatino Linotype" w:cs="Palatino Linotype"/>
          <w:color w:val="000000" w:themeColor="text1"/>
          <w:lang w:val="es-ES_tradnl" w:eastAsia="es-ES"/>
        </w:rPr>
        <w:t>Estado de México y Municipios, que refiere</w:t>
      </w:r>
      <w:r w:rsidRPr="00835EA3">
        <w:rPr>
          <w:rFonts w:ascii="Palatino Linotype" w:eastAsia="Palatino Linotype" w:hAnsi="Palatino Linotype" w:cs="Palatino Linotype"/>
          <w:color w:val="000000" w:themeColor="text1"/>
          <w:lang w:val="es-ES_tradnl" w:eastAsia="es-ES"/>
        </w:rPr>
        <w:t xml:space="preserve"> que las Unidades de Transparencia deben de garantizar que las solicitudes </w:t>
      </w:r>
      <w:r w:rsidRPr="00835EA3">
        <w:rPr>
          <w:rFonts w:ascii="Palatino Linotype" w:eastAsia="Palatino Linotype" w:hAnsi="Palatino Linotype" w:cs="Palatino Linotype"/>
          <w:b/>
          <w:color w:val="000000" w:themeColor="text1"/>
          <w:lang w:val="es-ES_tradnl" w:eastAsia="es-ES"/>
        </w:rPr>
        <w:t>se turnen a todas las Áreas competentes que cuenten con la información o deban tenerla de acuerdo a sus facultades,</w:t>
      </w:r>
      <w:r w:rsidRPr="00835EA3">
        <w:rPr>
          <w:rFonts w:ascii="Palatino Linotype" w:eastAsia="Palatino Linotype" w:hAnsi="Palatino Linotype" w:cs="Palatino Linotype"/>
          <w:color w:val="000000" w:themeColor="text1"/>
          <w:lang w:val="es-ES_tradnl" w:eastAsia="es-ES"/>
        </w:rPr>
        <w:t xml:space="preserve"> competencias y funciones, </w:t>
      </w:r>
      <w:r w:rsidRPr="00835EA3">
        <w:rPr>
          <w:rFonts w:ascii="Palatino Linotype" w:eastAsia="Palatino Linotype" w:hAnsi="Palatino Linotype" w:cs="Palatino Linotype"/>
          <w:b/>
          <w:color w:val="000000" w:themeColor="text1"/>
          <w:u w:val="single"/>
          <w:lang w:val="es-ES_tradnl" w:eastAsia="es-ES"/>
        </w:rPr>
        <w:t xml:space="preserve">con el objeto de que realicen una búsqueda </w:t>
      </w:r>
      <w:r w:rsidRPr="00835EA3">
        <w:rPr>
          <w:rFonts w:ascii="Palatino Linotype" w:eastAsia="Palatino Linotype" w:hAnsi="Palatino Linotype" w:cs="Palatino Linotype"/>
          <w:b/>
          <w:color w:val="000000" w:themeColor="text1"/>
          <w:u w:val="single"/>
          <w:lang w:val="es-ES_tradnl" w:eastAsia="es-ES"/>
        </w:rPr>
        <w:lastRenderedPageBreak/>
        <w:t>exhaustiva y razonable de la información solicitada</w:t>
      </w:r>
      <w:r w:rsidRPr="00835EA3">
        <w:rPr>
          <w:rFonts w:ascii="Palatino Linotype" w:eastAsia="Palatino Linotype" w:hAnsi="Palatino Linotype" w:cs="Palatino Linotype"/>
          <w:color w:val="000000" w:themeColor="text1"/>
          <w:lang w:val="es-ES_tradnl" w:eastAsia="es-ES"/>
        </w:rPr>
        <w:t xml:space="preserve">, situación que no fue realizada por el Titular de la Unidad de Transparencia del </w:t>
      </w:r>
      <w:r w:rsidRPr="00835EA3">
        <w:rPr>
          <w:rFonts w:ascii="Palatino Linotype" w:eastAsia="Palatino Linotype" w:hAnsi="Palatino Linotype" w:cs="Palatino Linotype"/>
          <w:b/>
          <w:color w:val="000000" w:themeColor="text1"/>
          <w:lang w:val="es-ES_tradnl" w:eastAsia="es-ES"/>
        </w:rPr>
        <w:t>Sujeto Obligado</w:t>
      </w:r>
      <w:r w:rsidRPr="00835EA3">
        <w:rPr>
          <w:rFonts w:ascii="Palatino Linotype" w:eastAsia="Palatino Linotype" w:hAnsi="Palatino Linotype" w:cs="Palatino Linotype"/>
          <w:color w:val="000000" w:themeColor="text1"/>
          <w:lang w:val="es-ES_tradnl" w:eastAsia="es-ES"/>
        </w:rPr>
        <w:t>.</w:t>
      </w:r>
    </w:p>
    <w:p w:rsidR="009925E6" w:rsidRPr="00835EA3" w:rsidRDefault="009925E6" w:rsidP="004533D3">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A efecto de determinar la legalidad de dicha respuesta, es necesario tomar en cuenta las siguientes disposiciones de la Ley de la materia.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w:t>
      </w:r>
      <w:r w:rsidRPr="00835EA3">
        <w:rPr>
          <w:rFonts w:ascii="Palatino Linotype" w:eastAsia="Palatino Linotype" w:hAnsi="Palatino Linotype" w:cs="Palatino Linotype"/>
          <w:b/>
          <w:i/>
          <w:color w:val="000000" w:themeColor="text1"/>
          <w:lang w:val="es-ES_tradnl" w:eastAsia="es-ES"/>
        </w:rPr>
        <w:t>Artículo 50.</w:t>
      </w:r>
      <w:r w:rsidRPr="00835EA3">
        <w:rPr>
          <w:rFonts w:ascii="Palatino Linotype" w:eastAsia="Palatino Linotype" w:hAnsi="Palatino Linotype" w:cs="Palatino Linotype"/>
          <w:i/>
          <w:color w:val="000000" w:themeColor="text1"/>
          <w:lang w:val="es-ES_tradnl" w:eastAsia="es-ES"/>
        </w:rPr>
        <w:t xml:space="preserve"> Los sujetos obligados contarán con un área responsable para la atención de las solicitudes de información, a la que se le denominará Unidad de Transparencia.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51</w:t>
      </w:r>
      <w:r w:rsidRPr="00835EA3">
        <w:rPr>
          <w:rFonts w:ascii="Palatino Linotype" w:eastAsia="Palatino Linotype" w:hAnsi="Palatino Linotype" w:cs="Palatino Linotype"/>
          <w:i/>
          <w:color w:val="000000" w:themeColor="text1"/>
          <w:lang w:val="es-ES_tradnl" w:eastAsia="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53</w:t>
      </w:r>
      <w:r w:rsidRPr="00835EA3">
        <w:rPr>
          <w:rFonts w:ascii="Palatino Linotype" w:eastAsia="Palatino Linotype" w:hAnsi="Palatino Linotype" w:cs="Palatino Linotype"/>
          <w:i/>
          <w:color w:val="000000" w:themeColor="text1"/>
          <w:lang w:val="es-ES_tradnl" w:eastAsia="es-ES"/>
        </w:rPr>
        <w:t>. Las Unidades de Transparencia tendrán las siguientes funciones:</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9925E6" w:rsidRPr="00835EA3" w:rsidRDefault="009925E6" w:rsidP="004533D3">
      <w:pPr>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II. Recibir, </w:t>
      </w:r>
      <w:r w:rsidRPr="00835EA3">
        <w:rPr>
          <w:rFonts w:ascii="Palatino Linotype" w:eastAsia="Palatino Linotype" w:hAnsi="Palatino Linotype" w:cs="Palatino Linotype"/>
          <w:b/>
          <w:i/>
          <w:color w:val="000000" w:themeColor="text1"/>
          <w:u w:val="single"/>
          <w:lang w:val="es-ES_tradnl" w:eastAsia="es-ES"/>
        </w:rPr>
        <w:t>tramitar</w:t>
      </w:r>
      <w:r w:rsidRPr="00835EA3">
        <w:rPr>
          <w:rFonts w:ascii="Palatino Linotype" w:eastAsia="Palatino Linotype" w:hAnsi="Palatino Linotype" w:cs="Palatino Linotype"/>
          <w:b/>
          <w:i/>
          <w:color w:val="000000" w:themeColor="text1"/>
          <w:lang w:val="es-ES_tradnl" w:eastAsia="es-ES"/>
        </w:rPr>
        <w:t xml:space="preserve"> y dar respuesta a las solicitudes de acceso a la información;</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III. Auxiliar a los particulares en la elaboración de solicitudes de acceso a la información y, en su caso, orientarlos sobre los sujetos obligados competentes conforme a la normatividad aplicable;</w:t>
      </w:r>
    </w:p>
    <w:p w:rsidR="009925E6" w:rsidRPr="00835EA3" w:rsidRDefault="009925E6" w:rsidP="004533D3">
      <w:pPr>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IV. Realizar, con efectividad, los trámites internos necesarios para la atención de las solicitudes de acceso a la información;</w:t>
      </w:r>
    </w:p>
    <w:p w:rsidR="009925E6" w:rsidRPr="00835EA3" w:rsidRDefault="009925E6" w:rsidP="004533D3">
      <w:pPr>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V. Entregar, en su caso, a los particulares la información solicitada;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 Efectuar las notificaciones a los solicitantes;</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VII. Proponer al Comité de Transparencia, los procedimientos internos que aseguren la mayor eficiencia en la gestión de las solicitudes de acceso a la información, conforme a la normatividad aplicable;</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VIII. Proponer a quien preside el Comité de Transparencia, personal habilitado que sea necesario para recibir y dar trámite a las solicitudes de acceso a la información;</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 Presentar ante el Comité, el proyecto de clasificación de información;</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XI. Promover e implementar políticas de transparencia proactiva procurando su accesibilidad;</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XII. Fomentar la transparencia y accesibilidad al interior del sujeto obligado;</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XIII. Hacer del conocimiento de la instancia competente la probable responsabilidad por el incumplimiento de las obligaciones previstas en la presente Ley; y</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XIV. Las demás que resulten necesarias para facilitar el acceso a la información y aquellas que se desprenden de la presente Ley y demás disposiciones jurídicas aplicables.</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Artículo 59</w:t>
      </w:r>
      <w:r w:rsidRPr="00835EA3">
        <w:rPr>
          <w:rFonts w:ascii="Palatino Linotype" w:eastAsia="Palatino Linotype" w:hAnsi="Palatino Linotype" w:cs="Palatino Linotype"/>
          <w:i/>
          <w:color w:val="000000" w:themeColor="text1"/>
          <w:lang w:val="es-ES_tradnl" w:eastAsia="es-ES"/>
        </w:rPr>
        <w:t xml:space="preserve">. </w:t>
      </w:r>
      <w:r w:rsidRPr="00835EA3">
        <w:rPr>
          <w:rFonts w:ascii="Palatino Linotype" w:eastAsia="Palatino Linotype" w:hAnsi="Palatino Linotype" w:cs="Palatino Linotype"/>
          <w:b/>
          <w:i/>
          <w:color w:val="000000" w:themeColor="text1"/>
          <w:lang w:val="es-ES_tradnl" w:eastAsia="es-ES"/>
        </w:rPr>
        <w:t>Los servidores públicos habilitados</w:t>
      </w:r>
      <w:r w:rsidRPr="00835EA3">
        <w:rPr>
          <w:rFonts w:ascii="Palatino Linotype" w:eastAsia="Palatino Linotype" w:hAnsi="Palatino Linotype" w:cs="Palatino Linotype"/>
          <w:i/>
          <w:color w:val="000000" w:themeColor="text1"/>
          <w:lang w:val="es-ES_tradnl" w:eastAsia="es-ES"/>
        </w:rPr>
        <w:t xml:space="preserve"> tendrán las funciones siguientes:</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 Localizar la información que le solicite la Unidad de Transparencia;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II. Proporcionar la información que obre en los archivos y que le sea solicitada por la Unidad de Transparencia;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III. Apoyar a la Unidad de Transparencia en lo que esta le solicite para el cumplimiento de sus funciones;</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IV. Proporcionar a la Unidad de Transparencia, las modificaciones a la información pública de oficio que obre en su poder;</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 Integrar y presentar al responsable de la Unidad de Transparencia la propuesta de clasificación de información, la cual tendrá los fundamentos y argumentos en que se basa dicha propuesta;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 Verificar, una vez analizado el contenido de la información, que no se encuentre en los supuestos de información clasificada; y</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VII. Dar cuenta a la Unidad de Transparencia del vencimiento de los plazos de reserva.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lastRenderedPageBreak/>
        <w:t>Artículo 162</w:t>
      </w:r>
      <w:r w:rsidRPr="00835EA3">
        <w:rPr>
          <w:rFonts w:ascii="Palatino Linotype" w:eastAsia="Palatino Linotype" w:hAnsi="Palatino Linotype" w:cs="Palatino Linotype"/>
          <w:i/>
          <w:color w:val="000000" w:themeColor="text1"/>
          <w:lang w:val="es-ES_tradnl"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925E6" w:rsidRPr="00835EA3" w:rsidRDefault="009925E6" w:rsidP="004533D3">
      <w:pPr>
        <w:jc w:val="both"/>
        <w:rPr>
          <w:rFonts w:ascii="Palatino Linotype" w:eastAsia="Palatino Linotype" w:hAnsi="Palatino Linotype" w:cs="Palatino Linotype"/>
          <w:i/>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835EA3">
        <w:rPr>
          <w:rFonts w:ascii="Palatino Linotype" w:eastAsia="Palatino Linotype" w:hAnsi="Palatino Linotype" w:cs="Palatino Linotype"/>
          <w:b/>
          <w:color w:val="000000" w:themeColor="text1"/>
          <w:lang w:val="es-ES_tradnl" w:eastAsia="es-ES"/>
        </w:rPr>
        <w:t xml:space="preserve"> SUJETO OBLIGADO</w:t>
      </w:r>
      <w:r w:rsidRPr="00835EA3">
        <w:rPr>
          <w:rFonts w:ascii="Palatino Linotype" w:eastAsia="Palatino Linotype" w:hAnsi="Palatino Linotype" w:cs="Palatino Linotype"/>
          <w:color w:val="000000" w:themeColor="text1"/>
          <w:lang w:val="es-ES_tradnl" w:eastAsia="es-ES"/>
        </w:rPr>
        <w:t xml:space="preserve"> y los solicitantes, y tiene bajo su responsabilidad el tramitar internamente la solicitud de información.</w:t>
      </w:r>
    </w:p>
    <w:p w:rsidR="009925E6" w:rsidRPr="00835EA3" w:rsidRDefault="009925E6" w:rsidP="004533D3">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De tal manera que, si bien, el Titular de la Unidad de Transparencia dio respuesta a la solicitud de información en cuestión, tenía que haber realizado el procedimiento, de turnar dentro de las áreas que conforman la estructura del </w:t>
      </w:r>
      <w:r w:rsidRPr="00835EA3">
        <w:rPr>
          <w:rFonts w:ascii="Palatino Linotype" w:eastAsia="Palatino Linotype" w:hAnsi="Palatino Linotype" w:cs="Palatino Linotype"/>
          <w:b/>
          <w:color w:val="000000" w:themeColor="text1"/>
          <w:lang w:val="es-ES_tradnl" w:eastAsia="es-ES"/>
        </w:rPr>
        <w:t>Sujeto Obligado</w:t>
      </w:r>
      <w:r w:rsidRPr="00835EA3">
        <w:rPr>
          <w:rFonts w:ascii="Palatino Linotype" w:eastAsia="Palatino Linotype" w:hAnsi="Palatino Linotype" w:cs="Palatino Linotype"/>
          <w:color w:val="000000" w:themeColor="text1"/>
          <w:lang w:val="es-ES_tradnl" w:eastAsia="es-ES"/>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9925E6" w:rsidRPr="00835EA3" w:rsidRDefault="009925E6" w:rsidP="004533D3">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9925E6" w:rsidRPr="00835EA3" w:rsidRDefault="009925E6" w:rsidP="004533D3">
      <w:pPr>
        <w:spacing w:line="360" w:lineRule="auto"/>
        <w:jc w:val="both"/>
        <w:rPr>
          <w:rFonts w:ascii="Palatino Linotype" w:eastAsiaTheme="minorEastAsia" w:hAnsi="Palatino Linotype" w:cs="Calibri"/>
          <w:color w:val="000000" w:themeColor="text1"/>
          <w:lang w:val="es-ES_tradnl" w:eastAsia="es-ES"/>
        </w:rPr>
      </w:pPr>
    </w:p>
    <w:p w:rsidR="009925E6" w:rsidRPr="00415822"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lastRenderedPageBreak/>
        <w:t xml:space="preserve">De lo anterior, es de precisar que la información que resulta de interés para el particular obra en los archivos del </w:t>
      </w:r>
      <w:r w:rsidRPr="00835EA3">
        <w:rPr>
          <w:rFonts w:ascii="Palatino Linotype" w:eastAsia="Palatino Linotype" w:hAnsi="Palatino Linotype" w:cs="Palatino Linotype"/>
          <w:b/>
          <w:color w:val="000000" w:themeColor="text1"/>
          <w:lang w:val="es-ES_tradnl" w:eastAsia="es-ES"/>
        </w:rPr>
        <w:t xml:space="preserve">SUJETO OBLIGADO </w:t>
      </w:r>
      <w:r w:rsidRPr="00835EA3">
        <w:rPr>
          <w:rFonts w:ascii="Palatino Linotype" w:eastAsia="Palatino Linotype" w:hAnsi="Palatino Linotype" w:cs="Palatino Linotype"/>
          <w:color w:val="000000" w:themeColor="text1"/>
          <w:lang w:val="es-ES_tradnl" w:eastAsia="es-ES"/>
        </w:rPr>
        <w:t>y por lo tanto debe proceder a realizar una búsqueda exhaustiva a efecto de proporcionar los documentos donde obre la misma de tal forma que cumpla con los requisitos de la Ley en la materia.</w:t>
      </w:r>
    </w:p>
    <w:p w:rsidR="00415822" w:rsidRPr="00835EA3" w:rsidRDefault="00415822" w:rsidP="00415822">
      <w:pPr>
        <w:spacing w:line="360" w:lineRule="auto"/>
        <w:jc w:val="both"/>
        <w:rPr>
          <w:rFonts w:ascii="Palatino Linotype" w:eastAsia="Calibri" w:hAnsi="Palatino Linotype" w:cs="Calibri"/>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Conforme a lo anterior, se puede advertir que el </w:t>
      </w:r>
      <w:r w:rsidRPr="00835EA3">
        <w:rPr>
          <w:rFonts w:ascii="Palatino Linotype" w:eastAsia="Palatino Linotype" w:hAnsi="Palatino Linotype" w:cs="Palatino Linotype"/>
          <w:b/>
          <w:color w:val="000000" w:themeColor="text1"/>
          <w:lang w:val="es-ES_tradnl" w:eastAsia="es-ES"/>
        </w:rPr>
        <w:t>SUJETO OBLIGADO</w:t>
      </w:r>
      <w:r w:rsidRPr="00835EA3">
        <w:rPr>
          <w:rFonts w:ascii="Palatino Linotype" w:eastAsia="Palatino Linotype" w:hAnsi="Palatino Linotype" w:cs="Palatino Linotype"/>
          <w:color w:val="000000" w:themeColor="text1"/>
          <w:lang w:val="es-ES_tradnl" w:eastAsia="es-ES"/>
        </w:rPr>
        <w:t xml:space="preserve"> no turnó la solicitud de información a todas  las unidad administrativa habilitadas de conocer de la solicitud de información, por lo que se concluye, que el </w:t>
      </w:r>
      <w:r w:rsidRPr="00835EA3">
        <w:rPr>
          <w:rFonts w:ascii="Palatino Linotype" w:eastAsia="Palatino Linotype" w:hAnsi="Palatino Linotype" w:cs="Palatino Linotype"/>
          <w:b/>
          <w:color w:val="000000" w:themeColor="text1"/>
          <w:lang w:val="es-ES_tradnl" w:eastAsia="es-ES"/>
        </w:rPr>
        <w:t>SUJETO OBLIGADO</w:t>
      </w:r>
      <w:r w:rsidRPr="00835EA3">
        <w:rPr>
          <w:rFonts w:ascii="Palatino Linotype" w:eastAsia="Palatino Linotype" w:hAnsi="Palatino Linotype" w:cs="Palatino Linotype"/>
          <w:color w:val="000000" w:themeColor="text1"/>
          <w:lang w:val="es-ES_tradnl" w:eastAsia="es-ES"/>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9925E6" w:rsidRPr="00835EA3" w:rsidRDefault="009925E6" w:rsidP="004533D3">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9925E6" w:rsidRPr="00835EA3" w:rsidRDefault="009925E6" w:rsidP="004533D3">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En ese contexto, de conformidad con los </w:t>
      </w:r>
      <w:r w:rsidRPr="00835EA3">
        <w:rPr>
          <w:rFonts w:ascii="Palatino Linotype" w:eastAsia="Palatino Linotype" w:hAnsi="Palatino Linotype" w:cs="Palatino Linotype"/>
          <w:b/>
          <w:color w:val="000000" w:themeColor="text1"/>
          <w:lang w:val="es-ES_tradnl" w:eastAsia="es-ES"/>
        </w:rPr>
        <w:t>criterios 12/10 y 04/19,</w:t>
      </w:r>
      <w:r w:rsidRPr="00835EA3">
        <w:rPr>
          <w:rFonts w:ascii="Palatino Linotype" w:eastAsia="Palatino Linotype" w:hAnsi="Palatino Linotype" w:cs="Palatino Linotype"/>
          <w:color w:val="000000" w:themeColor="text1"/>
          <w:lang w:val="es-ES_tradnl" w:eastAsia="es-ES"/>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835EA3">
        <w:rPr>
          <w:rFonts w:ascii="Palatino Linotype" w:eastAsia="Palatino Linotype" w:hAnsi="Palatino Linotype" w:cs="Palatino Linotype"/>
          <w:b/>
          <w:color w:val="000000" w:themeColor="text1"/>
          <w:lang w:val="es-ES_tradnl" w:eastAsia="es-ES"/>
        </w:rPr>
        <w:t>elementos suficientes</w:t>
      </w:r>
      <w:r w:rsidRPr="00835EA3">
        <w:rPr>
          <w:rFonts w:ascii="Palatino Linotype" w:eastAsia="Palatino Linotype" w:hAnsi="Palatino Linotype" w:cs="Palatino Linotype"/>
          <w:color w:val="000000" w:themeColor="text1"/>
          <w:lang w:val="es-ES_tradnl" w:eastAsia="es-ES"/>
        </w:rPr>
        <w:t xml:space="preserve"> del carácter exhaustivo de la indagación realizada, a saber, los siguientes:</w:t>
      </w:r>
    </w:p>
    <w:p w:rsidR="009925E6" w:rsidRPr="00835EA3" w:rsidRDefault="009925E6" w:rsidP="00DE46FA">
      <w:pPr>
        <w:numPr>
          <w:ilvl w:val="0"/>
          <w:numId w:val="10"/>
        </w:numPr>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lastRenderedPageBreak/>
        <w:t>Motivación por las que se buscó la información, en determinadas unidades administrativas;</w:t>
      </w:r>
    </w:p>
    <w:p w:rsidR="009925E6" w:rsidRPr="00835EA3" w:rsidRDefault="009925E6" w:rsidP="00DE46FA">
      <w:pPr>
        <w:numPr>
          <w:ilvl w:val="0"/>
          <w:numId w:val="10"/>
        </w:numPr>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Los criterios de búsqueda utilizados, y</w:t>
      </w:r>
    </w:p>
    <w:p w:rsidR="009925E6" w:rsidRPr="00835EA3" w:rsidRDefault="009925E6" w:rsidP="00DE46FA">
      <w:pPr>
        <w:numPr>
          <w:ilvl w:val="0"/>
          <w:numId w:val="10"/>
        </w:numPr>
        <w:ind w:left="0" w:firstLine="0"/>
        <w:jc w:val="both"/>
        <w:rPr>
          <w:rFonts w:ascii="Palatino Linotype" w:eastAsia="Palatino Linotype" w:hAnsi="Palatino Linotype" w:cs="Palatino Linotype"/>
          <w:i/>
          <w:color w:val="000000" w:themeColor="text1"/>
          <w:lang w:val="es-ES_tradnl" w:eastAsia="es-ES"/>
        </w:rPr>
      </w:pPr>
      <w:r w:rsidRPr="00835EA3">
        <w:rPr>
          <w:rFonts w:ascii="Palatino Linotype" w:eastAsia="Palatino Linotype" w:hAnsi="Palatino Linotype" w:cs="Palatino Linotype"/>
          <w:i/>
          <w:color w:val="000000" w:themeColor="text1"/>
          <w:lang w:val="es-ES_tradnl" w:eastAsia="es-ES"/>
        </w:rPr>
        <w:t>Las circunstancias que fueron tomadas en cuenta.</w:t>
      </w:r>
    </w:p>
    <w:p w:rsidR="009925E6" w:rsidRPr="00835EA3" w:rsidRDefault="009925E6" w:rsidP="00DE46FA">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De tales circunstancias, se considera que para que los Sujetos Obligado justifiquen que realizaron una búsqueda exhaustiva y razonable, deben indicar de manera clara, lo siguiente:</w:t>
      </w:r>
    </w:p>
    <w:p w:rsidR="009925E6" w:rsidRPr="00835EA3" w:rsidRDefault="009925E6" w:rsidP="004533D3">
      <w:pPr>
        <w:numPr>
          <w:ilvl w:val="0"/>
          <w:numId w:val="11"/>
        </w:numPr>
        <w:ind w:left="0" w:firstLine="0"/>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Las áreas donde se buscó la información;</w:t>
      </w:r>
    </w:p>
    <w:p w:rsidR="009925E6" w:rsidRPr="00835EA3" w:rsidRDefault="009925E6" w:rsidP="004533D3">
      <w:pPr>
        <w:numPr>
          <w:ilvl w:val="0"/>
          <w:numId w:val="11"/>
        </w:numPr>
        <w:ind w:left="0" w:firstLine="0"/>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Tipo de archivos buscados (físicos o electrónicos);</w:t>
      </w:r>
    </w:p>
    <w:p w:rsidR="009925E6" w:rsidRPr="00835EA3" w:rsidRDefault="009925E6" w:rsidP="004533D3">
      <w:pPr>
        <w:numPr>
          <w:ilvl w:val="0"/>
          <w:numId w:val="11"/>
        </w:numPr>
        <w:ind w:left="0" w:firstLine="0"/>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 xml:space="preserve">Los criterios de búsqueda utilizados, y </w:t>
      </w:r>
    </w:p>
    <w:p w:rsidR="009925E6" w:rsidRPr="00835EA3" w:rsidRDefault="009925E6" w:rsidP="004533D3">
      <w:pPr>
        <w:numPr>
          <w:ilvl w:val="0"/>
          <w:numId w:val="11"/>
        </w:numPr>
        <w:ind w:left="0" w:firstLine="0"/>
        <w:jc w:val="both"/>
        <w:rPr>
          <w:rFonts w:ascii="Palatino Linotype" w:eastAsia="Palatino Linotype" w:hAnsi="Palatino Linotype" w:cs="Palatino Linotype"/>
          <w:b/>
          <w:i/>
          <w:color w:val="000000" w:themeColor="text1"/>
          <w:lang w:val="es-ES_tradnl" w:eastAsia="es-ES"/>
        </w:rPr>
      </w:pPr>
      <w:r w:rsidRPr="00835EA3">
        <w:rPr>
          <w:rFonts w:ascii="Palatino Linotype" w:eastAsia="Palatino Linotype" w:hAnsi="Palatino Linotype" w:cs="Palatino Linotype"/>
          <w:b/>
          <w:i/>
          <w:color w:val="000000" w:themeColor="text1"/>
          <w:lang w:val="es-ES_tradnl" w:eastAsia="es-ES"/>
        </w:rPr>
        <w:t>Las circunstancias que fueron tomadas en cuenta.</w:t>
      </w:r>
      <w:r w:rsidRPr="00835EA3">
        <w:rPr>
          <w:rFonts w:ascii="Palatino Linotype" w:eastAsia="Palatino Linotype" w:hAnsi="Palatino Linotype" w:cs="Palatino Linotype"/>
          <w:b/>
          <w:i/>
          <w:color w:val="000000" w:themeColor="text1"/>
          <w:lang w:val="es-ES_tradnl" w:eastAsia="es-ES"/>
        </w:rPr>
        <w:tab/>
      </w:r>
    </w:p>
    <w:p w:rsidR="009925E6" w:rsidRPr="00835EA3" w:rsidRDefault="009925E6" w:rsidP="004533D3">
      <w:pPr>
        <w:spacing w:line="360" w:lineRule="auto"/>
        <w:jc w:val="both"/>
        <w:rPr>
          <w:rFonts w:ascii="Palatino Linotype" w:eastAsia="Palatino Linotype" w:hAnsi="Palatino Linotype" w:cs="Palatino Linotype"/>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Palatino Linotype" w:hAnsi="Palatino Linotype" w:cs="Palatino Linotype"/>
          <w:b/>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 xml:space="preserve">Conforme a lo anterior, </w:t>
      </w:r>
      <w:r w:rsidR="00CD340C" w:rsidRPr="00835EA3">
        <w:rPr>
          <w:rFonts w:ascii="Palatino Linotype" w:eastAsia="Palatino Linotype" w:hAnsi="Palatino Linotype" w:cs="Palatino Linotype"/>
          <w:color w:val="000000" w:themeColor="text1"/>
          <w:lang w:val="es-ES_tradnl" w:eastAsia="es-ES"/>
        </w:rPr>
        <w:t xml:space="preserve">este Instituto considera que el </w:t>
      </w:r>
      <w:r w:rsidR="00CD340C" w:rsidRPr="00835EA3">
        <w:rPr>
          <w:rFonts w:ascii="Palatino Linotype" w:eastAsia="Palatino Linotype" w:hAnsi="Palatino Linotype" w:cs="Palatino Linotype"/>
          <w:b/>
          <w:color w:val="000000" w:themeColor="text1"/>
          <w:lang w:val="es-ES_tradnl" w:eastAsia="es-ES"/>
        </w:rPr>
        <w:t>Ayuntamiento de Ecatepec de Morelos</w:t>
      </w:r>
      <w:r w:rsidRPr="00835EA3">
        <w:rPr>
          <w:rFonts w:ascii="Palatino Linotype" w:eastAsia="Palatino Linotype" w:hAnsi="Palatino Linotype" w:cs="Palatino Linotype"/>
          <w:color w:val="000000" w:themeColor="text1"/>
          <w:lang w:val="es-ES_tradnl" w:eastAsia="es-ES"/>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835EA3">
        <w:rPr>
          <w:rFonts w:ascii="Palatino Linotype" w:eastAsia="Palatino Linotype" w:hAnsi="Palatino Linotype" w:cs="Palatino Linotype"/>
          <w:b/>
          <w:color w:val="000000" w:themeColor="text1"/>
          <w:lang w:val="es-ES_tradnl" w:eastAsia="es-ES"/>
        </w:rPr>
        <w:t>no se indago en documentos físicos o también electrónicos y no se logró desprender los criterios de búsqueda utilizados, pues no precisó cómo realizó la misma.</w:t>
      </w:r>
    </w:p>
    <w:p w:rsidR="009925E6" w:rsidRPr="00835EA3" w:rsidRDefault="009925E6" w:rsidP="004533D3">
      <w:pPr>
        <w:spacing w:line="360" w:lineRule="auto"/>
        <w:jc w:val="both"/>
        <w:rPr>
          <w:rFonts w:ascii="Palatino Linotype" w:eastAsia="Palatino Linotype" w:hAnsi="Palatino Linotype" w:cs="Palatino Linotype"/>
          <w:i/>
          <w:color w:val="000000" w:themeColor="text1"/>
          <w:lang w:val="es-ES_tradnl" w:eastAsia="es-ES"/>
        </w:rPr>
      </w:pPr>
    </w:p>
    <w:p w:rsidR="009925E6" w:rsidRPr="00835EA3" w:rsidRDefault="009925E6" w:rsidP="004533D3">
      <w:pPr>
        <w:numPr>
          <w:ilvl w:val="0"/>
          <w:numId w:val="3"/>
        </w:numPr>
        <w:spacing w:line="360" w:lineRule="auto"/>
        <w:ind w:left="0" w:firstLine="0"/>
        <w:jc w:val="both"/>
        <w:rPr>
          <w:rFonts w:ascii="Palatino Linotype" w:eastAsia="Calibri" w:hAnsi="Palatino Linotype" w:cs="Calibri"/>
          <w:color w:val="000000" w:themeColor="text1"/>
          <w:lang w:val="es-ES_tradnl" w:eastAsia="es-ES"/>
        </w:rPr>
      </w:pPr>
      <w:r w:rsidRPr="00835EA3">
        <w:rPr>
          <w:rFonts w:ascii="Palatino Linotype" w:eastAsia="Palatino Linotype" w:hAnsi="Palatino Linotype" w:cs="Palatino Linotype"/>
          <w:color w:val="000000" w:themeColor="text1"/>
          <w:lang w:val="es-ES_tradnl" w:eastAsia="es-ES"/>
        </w:rPr>
        <w:t>De lo anterior, se concluye que la búsqueda exhaustiva y razonable de la información debe estar sustentada con los respectivos criterios de búsqueda exhaustiva que el sujeto obligado utilizó.</w:t>
      </w:r>
    </w:p>
    <w:p w:rsidR="0028336C" w:rsidRDefault="0028336C" w:rsidP="004533D3">
      <w:pPr>
        <w:pStyle w:val="Prrafodelista"/>
        <w:ind w:left="0"/>
        <w:rPr>
          <w:rFonts w:ascii="Palatino Linotype" w:eastAsia="Calibri" w:hAnsi="Palatino Linotype" w:cs="Calibri"/>
          <w:color w:val="000000" w:themeColor="text1"/>
          <w:lang w:val="es-ES_tradnl" w:eastAsia="es-ES"/>
        </w:rPr>
      </w:pPr>
    </w:p>
    <w:p w:rsidR="00415822" w:rsidRDefault="00415822" w:rsidP="004533D3">
      <w:pPr>
        <w:pStyle w:val="Prrafodelista"/>
        <w:ind w:left="0"/>
        <w:rPr>
          <w:rFonts w:ascii="Palatino Linotype" w:eastAsia="Calibri" w:hAnsi="Palatino Linotype" w:cs="Calibri"/>
          <w:color w:val="000000" w:themeColor="text1"/>
          <w:lang w:val="es-ES_tradnl" w:eastAsia="es-ES"/>
        </w:rPr>
      </w:pPr>
    </w:p>
    <w:p w:rsidR="00415822" w:rsidRDefault="00415822" w:rsidP="004533D3">
      <w:pPr>
        <w:pStyle w:val="Prrafodelista"/>
        <w:ind w:left="0"/>
        <w:rPr>
          <w:rFonts w:ascii="Palatino Linotype" w:eastAsia="Calibri" w:hAnsi="Palatino Linotype" w:cs="Calibri"/>
          <w:color w:val="000000" w:themeColor="text1"/>
          <w:lang w:val="es-ES_tradnl" w:eastAsia="es-ES"/>
        </w:rPr>
      </w:pPr>
    </w:p>
    <w:p w:rsidR="00415822" w:rsidRPr="00835EA3" w:rsidRDefault="00415822" w:rsidP="004533D3">
      <w:pPr>
        <w:pStyle w:val="Prrafodelista"/>
        <w:ind w:left="0"/>
        <w:rPr>
          <w:rFonts w:ascii="Palatino Linotype" w:eastAsia="Calibri" w:hAnsi="Palatino Linotype" w:cs="Calibri"/>
          <w:color w:val="000000" w:themeColor="text1"/>
          <w:lang w:val="es-ES_tradnl" w:eastAsia="es-ES"/>
        </w:rPr>
      </w:pPr>
    </w:p>
    <w:p w:rsidR="0028336C" w:rsidRPr="00835EA3" w:rsidRDefault="0028336C" w:rsidP="004533D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lastRenderedPageBreak/>
        <w:t>QUINTO</w:t>
      </w:r>
      <w:r w:rsidRPr="00835EA3">
        <w:rPr>
          <w:rFonts w:ascii="Palatino Linotype" w:eastAsia="Palatino Linotype" w:hAnsi="Palatino Linotype" w:cs="Palatino Linotype"/>
          <w:color w:val="000000" w:themeColor="text1"/>
        </w:rPr>
        <w:t xml:space="preserve">. </w:t>
      </w:r>
      <w:r w:rsidRPr="00835EA3">
        <w:rPr>
          <w:rFonts w:ascii="Palatino Linotype" w:eastAsia="Palatino Linotype" w:hAnsi="Palatino Linotype" w:cs="Palatino Linotype"/>
          <w:b/>
          <w:color w:val="000000" w:themeColor="text1"/>
        </w:rPr>
        <w:t>Vista a la Secretaría Técnica del Pleno</w:t>
      </w:r>
    </w:p>
    <w:p w:rsidR="0028336C" w:rsidRPr="00835EA3" w:rsidRDefault="0028336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En el caso en estudio, ha quedado acreditado que el Ayuntamiento de </w:t>
      </w:r>
      <w:r w:rsidRPr="00835EA3">
        <w:rPr>
          <w:rFonts w:ascii="Palatino Linotype" w:eastAsia="Palatino Linotype" w:hAnsi="Palatino Linotype" w:cs="Palatino Linotype"/>
          <w:color w:val="000000" w:themeColor="text1"/>
          <w:lang w:val="es-ES_tradnl" w:eastAsia="es-ES"/>
        </w:rPr>
        <w:t>Toluca</w:t>
      </w:r>
      <w:r w:rsidRPr="00835EA3">
        <w:rPr>
          <w:rFonts w:ascii="Palatino Linotype" w:eastAsia="Palatino Linotype" w:hAnsi="Palatino Linotype" w:cs="Palatino Linotype"/>
          <w:color w:val="000000" w:themeColor="text1"/>
        </w:rPr>
        <w:t xml:space="preserve"> omitió dar respuesta en el plazo señalado en el artículo 163 de la Ley de Transparencia y Acceso a la Información Pública del Estado de México y Municipios. </w:t>
      </w:r>
    </w:p>
    <w:p w:rsidR="0028336C" w:rsidRPr="00835EA3" w:rsidRDefault="0028336C" w:rsidP="004533D3">
      <w:pPr>
        <w:spacing w:line="360" w:lineRule="auto"/>
        <w:rPr>
          <w:rFonts w:ascii="Palatino Linotype" w:hAnsi="Palatino Linotype"/>
          <w:color w:val="000000" w:themeColor="text1"/>
        </w:rPr>
      </w:pPr>
    </w:p>
    <w:p w:rsidR="0028336C" w:rsidRPr="00835EA3" w:rsidRDefault="0028336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Al respecto, el artículo 36, fracción X, del ordenamiento jurídico en cita, </w:t>
      </w:r>
      <w:r w:rsidRPr="00835EA3">
        <w:rPr>
          <w:rFonts w:ascii="Palatino Linotype" w:eastAsia="Palatino Linotype" w:hAnsi="Palatino Linotype" w:cs="Palatino Linotype"/>
          <w:color w:val="000000" w:themeColor="text1"/>
          <w:lang w:val="es-ES_tradnl" w:eastAsia="es-ES"/>
        </w:rPr>
        <w:t>establece</w:t>
      </w:r>
      <w:r w:rsidRPr="00835EA3">
        <w:rPr>
          <w:rFonts w:ascii="Palatino Linotype" w:eastAsia="Palatino Linotype" w:hAnsi="Palatino Linotype" w:cs="Palatino Linotype"/>
          <w:color w:val="000000" w:themeColor="text1"/>
        </w:rPr>
        <w:t xml:space="preserve"> que es atribución de este Instituto hacer del conocimiento al Área competente de cada Sujeto Obligado las infracciones a esta Ley. </w:t>
      </w:r>
    </w:p>
    <w:p w:rsidR="0028336C" w:rsidRPr="00835EA3" w:rsidRDefault="0028336C" w:rsidP="004533D3">
      <w:pPr>
        <w:spacing w:line="360" w:lineRule="auto"/>
        <w:rPr>
          <w:rFonts w:ascii="Palatino Linotype" w:hAnsi="Palatino Linotype"/>
          <w:color w:val="000000" w:themeColor="text1"/>
        </w:rPr>
      </w:pPr>
    </w:p>
    <w:p w:rsidR="0028336C" w:rsidRPr="00835EA3" w:rsidRDefault="0028336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28336C" w:rsidRPr="00835EA3" w:rsidRDefault="0028336C" w:rsidP="004533D3">
      <w:pPr>
        <w:spacing w:line="360" w:lineRule="auto"/>
        <w:rPr>
          <w:rFonts w:ascii="Palatino Linotype" w:hAnsi="Palatino Linotype"/>
          <w:color w:val="000000" w:themeColor="text1"/>
        </w:rPr>
      </w:pPr>
    </w:p>
    <w:p w:rsidR="0028336C" w:rsidRPr="00835EA3" w:rsidRDefault="0028336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28336C" w:rsidRPr="00835EA3" w:rsidRDefault="0028336C" w:rsidP="004533D3">
      <w:pPr>
        <w:spacing w:line="360" w:lineRule="auto"/>
        <w:rPr>
          <w:rFonts w:ascii="Palatino Linotype" w:hAnsi="Palatino Linotype"/>
          <w:color w:val="000000" w:themeColor="text1"/>
        </w:rPr>
      </w:pPr>
    </w:p>
    <w:p w:rsidR="0028336C" w:rsidRPr="00835EA3" w:rsidRDefault="0028336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lang w:val="es-ES_tradnl" w:eastAsia="es-ES"/>
        </w:rPr>
        <w:t>En</w:t>
      </w:r>
      <w:r w:rsidRPr="00835EA3">
        <w:rPr>
          <w:rFonts w:ascii="Palatino Linotype" w:eastAsia="Palatino Linotype" w:hAnsi="Palatino Linotype" w:cs="Palatino Linotype"/>
          <w:color w:val="000000" w:themeColor="text1"/>
        </w:rPr>
        <w:t xml:space="preserve"> ese contexto, la fracción XXVII, del artículo 19, del Reglamento Interior del Instituto de Transparencia, Acceso a la Información Pública y Protección de Datos Personales del Estado de México y Municipios, establece que es función de la Secretaría </w:t>
      </w:r>
      <w:r w:rsidRPr="00835EA3">
        <w:rPr>
          <w:rFonts w:ascii="Palatino Linotype" w:eastAsia="Palatino Linotype" w:hAnsi="Palatino Linotype" w:cs="Palatino Linotype"/>
          <w:color w:val="000000" w:themeColor="text1"/>
        </w:rPr>
        <w:lastRenderedPageBreak/>
        <w:t>Técnica del Pleno, remitir al Órgano Interno de Control de los Sujetos Obligados, las presuntas infracciones cometidas en el marco de la Ley de la materia, para la promoción de responsabilidades y sanciones.</w:t>
      </w:r>
    </w:p>
    <w:p w:rsidR="0028336C" w:rsidRPr="00835EA3" w:rsidRDefault="0028336C" w:rsidP="004533D3">
      <w:pPr>
        <w:spacing w:line="360" w:lineRule="auto"/>
        <w:rPr>
          <w:rFonts w:ascii="Palatino Linotype" w:hAnsi="Palatino Linotype"/>
          <w:color w:val="000000" w:themeColor="text1"/>
        </w:rPr>
      </w:pPr>
    </w:p>
    <w:p w:rsidR="0028336C" w:rsidRPr="00835EA3" w:rsidRDefault="0028336C"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Sobre el particular, si bien, la presente resolución no tiene por objetivo </w:t>
      </w:r>
      <w:r w:rsidRPr="00835EA3">
        <w:rPr>
          <w:rFonts w:ascii="Palatino Linotype" w:eastAsia="Palatino Linotype" w:hAnsi="Palatino Linotype" w:cs="Palatino Linotype"/>
          <w:color w:val="000000" w:themeColor="text1"/>
          <w:lang w:val="es-ES_tradnl" w:eastAsia="es-ES"/>
        </w:rPr>
        <w:t>investigar</w:t>
      </w:r>
      <w:r w:rsidRPr="00835EA3">
        <w:rPr>
          <w:rFonts w:ascii="Palatino Linotype" w:eastAsia="Palatino Linotype" w:hAnsi="Palatino Linotype" w:cs="Palatino Linotype"/>
          <w:color w:val="000000" w:themeColor="text1"/>
        </w:rPr>
        <w:t xml:space="preserve">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28336C" w:rsidRPr="00835EA3" w:rsidRDefault="0028336C" w:rsidP="004533D3">
      <w:pPr>
        <w:spacing w:line="360" w:lineRule="auto"/>
        <w:jc w:val="both"/>
        <w:rPr>
          <w:rFonts w:ascii="Palatino Linotype" w:eastAsia="Calibri" w:hAnsi="Palatino Linotype" w:cs="Calibri"/>
          <w:color w:val="000000" w:themeColor="text1"/>
          <w:lang w:val="es-ES_tradnl" w:eastAsia="es-ES"/>
        </w:rPr>
      </w:pPr>
    </w:p>
    <w:p w:rsidR="00B97067" w:rsidRPr="00835EA3" w:rsidRDefault="0028336C" w:rsidP="004533D3">
      <w:pPr>
        <w:keepNext/>
        <w:keepLines/>
        <w:spacing w:after="160" w:line="360" w:lineRule="auto"/>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t>SEXTO</w:t>
      </w:r>
      <w:r w:rsidR="00B97067" w:rsidRPr="00835EA3">
        <w:rPr>
          <w:rFonts w:ascii="Palatino Linotype" w:eastAsia="Palatino Linotype" w:hAnsi="Palatino Linotype" w:cs="Palatino Linotype"/>
          <w:b/>
          <w:color w:val="000000" w:themeColor="text1"/>
        </w:rPr>
        <w:t>. De la versión pública.</w:t>
      </w:r>
    </w:p>
    <w:p w:rsidR="00B97067" w:rsidRPr="00835EA3" w:rsidRDefault="00B97067" w:rsidP="004533D3">
      <w:pPr>
        <w:keepNext/>
        <w:keepLines/>
        <w:numPr>
          <w:ilvl w:val="0"/>
          <w:numId w:val="12"/>
        </w:numPr>
        <w:tabs>
          <w:tab w:val="left" w:pos="284"/>
        </w:tabs>
        <w:spacing w:after="160" w:line="360" w:lineRule="auto"/>
        <w:ind w:left="0" w:firstLine="0"/>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t xml:space="preserve">Nociones generales. </w:t>
      </w: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Debe destacarse, que debido a la información solicitada por el RECURRENTE, pueden obrar datos personales susceptibles de protegerse, así como información susceptible de clasificarse como confidencial,  por lo que el SUJETO OBLIGADO deberá de hacer la adecuada versión pública, protegiendo los datos que no son susceptibles de ser proporcionados. </w:t>
      </w:r>
    </w:p>
    <w:p w:rsidR="00B97067" w:rsidRPr="00835EA3" w:rsidRDefault="00B97067" w:rsidP="004533D3">
      <w:pPr>
        <w:tabs>
          <w:tab w:val="left" w:pos="0"/>
          <w:tab w:val="left" w:pos="284"/>
        </w:tabs>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No pasa desapercibido para este Órgano Garante que los sujetos obligados</w:t>
      </w:r>
      <w:r w:rsidRPr="00835EA3">
        <w:rPr>
          <w:rFonts w:ascii="Palatino Linotype" w:eastAsia="Palatino Linotype" w:hAnsi="Palatino Linotype" w:cs="Palatino Linotype"/>
          <w:b/>
          <w:color w:val="000000" w:themeColor="text1"/>
        </w:rPr>
        <w:t xml:space="preserve"> </w:t>
      </w:r>
      <w:r w:rsidRPr="00835EA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4533D3" w:rsidRPr="00835EA3" w:rsidTr="00DE46FA">
        <w:tc>
          <w:tcPr>
            <w:tcW w:w="2689" w:type="dxa"/>
          </w:tcPr>
          <w:p w:rsidR="00B97067" w:rsidRPr="00835EA3" w:rsidRDefault="00B97067" w:rsidP="004533D3">
            <w:pPr>
              <w:tabs>
                <w:tab w:val="left" w:pos="284"/>
              </w:tabs>
              <w:spacing w:line="360" w:lineRule="auto"/>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a) Requisitos previos.</w:t>
            </w:r>
          </w:p>
        </w:tc>
        <w:tc>
          <w:tcPr>
            <w:tcW w:w="6945" w:type="dxa"/>
          </w:tcPr>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35EA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35EA3">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4533D3" w:rsidRPr="00835EA3" w:rsidTr="00DE46FA">
        <w:tc>
          <w:tcPr>
            <w:tcW w:w="2689" w:type="dxa"/>
          </w:tcPr>
          <w:p w:rsidR="00B97067" w:rsidRPr="00835EA3" w:rsidRDefault="00B97067" w:rsidP="004533D3">
            <w:pPr>
              <w:tabs>
                <w:tab w:val="left" w:pos="284"/>
              </w:tabs>
              <w:spacing w:line="360" w:lineRule="auto"/>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b) Supuestos de clasificación.</w:t>
            </w:r>
          </w:p>
        </w:tc>
        <w:tc>
          <w:tcPr>
            <w:tcW w:w="6945" w:type="dxa"/>
          </w:tcPr>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w:t>
            </w:r>
            <w:r w:rsidRPr="00835EA3">
              <w:rPr>
                <w:rFonts w:ascii="Palatino Linotype" w:eastAsia="Palatino Linotype" w:hAnsi="Palatino Linotype" w:cs="Palatino Linotype"/>
                <w:color w:val="000000" w:themeColor="text1"/>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w:t>
            </w:r>
            <w:r w:rsidRPr="00835EA3">
              <w:rPr>
                <w:rFonts w:ascii="Palatino Linotype" w:eastAsia="Palatino Linotype" w:hAnsi="Palatino Linotype" w:cs="Palatino Linotype"/>
                <w:b/>
                <w:color w:val="000000" w:themeColor="text1"/>
              </w:rPr>
              <w:t>Sujeto Obligado</w:t>
            </w:r>
            <w:r w:rsidRPr="00835EA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533D3" w:rsidRPr="00835EA3" w:rsidTr="00DE46FA">
        <w:tc>
          <w:tcPr>
            <w:tcW w:w="2689" w:type="dxa"/>
          </w:tcPr>
          <w:p w:rsidR="00B97067" w:rsidRPr="00835EA3" w:rsidRDefault="00B97067" w:rsidP="004533D3">
            <w:pPr>
              <w:tabs>
                <w:tab w:val="left" w:pos="284"/>
              </w:tabs>
              <w:spacing w:line="360" w:lineRule="auto"/>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Es necesario que </w:t>
            </w:r>
            <w:r w:rsidRPr="00835EA3">
              <w:rPr>
                <w:rFonts w:ascii="Palatino Linotype" w:eastAsia="Palatino Linotype" w:hAnsi="Palatino Linotype" w:cs="Palatino Linotype"/>
                <w:b/>
                <w:color w:val="000000" w:themeColor="text1"/>
                <w:u w:val="single"/>
              </w:rPr>
              <w:t>el acto reúna con los requisitos elementales</w:t>
            </w:r>
            <w:r w:rsidRPr="00835EA3">
              <w:rPr>
                <w:rFonts w:ascii="Palatino Linotype" w:eastAsia="Palatino Linotype" w:hAnsi="Palatino Linotype" w:cs="Palatino Linotype"/>
                <w:color w:val="000000" w:themeColor="text1"/>
              </w:rPr>
              <w:t>, entre ellos, que la autoridad que va a emitir el acto de autoridad sea la legalmente facultada para ello.</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835EA3">
              <w:rPr>
                <w:rFonts w:ascii="Palatino Linotype" w:eastAsia="Palatino Linotype" w:hAnsi="Palatino Linotype" w:cs="Palatino Linotype"/>
                <w:color w:val="000000" w:themeColor="text1"/>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533D3" w:rsidRPr="00835EA3" w:rsidTr="00DE46FA">
        <w:tc>
          <w:tcPr>
            <w:tcW w:w="2689" w:type="dxa"/>
          </w:tcPr>
          <w:p w:rsidR="00B97067" w:rsidRPr="00835EA3" w:rsidRDefault="00B97067" w:rsidP="004533D3">
            <w:pPr>
              <w:tabs>
                <w:tab w:val="left" w:pos="284"/>
              </w:tabs>
              <w:spacing w:line="360" w:lineRule="auto"/>
              <w:rPr>
                <w:rFonts w:ascii="Palatino Linotype" w:eastAsia="Palatino Linotype" w:hAnsi="Palatino Linotype" w:cs="Palatino Linotype"/>
                <w:color w:val="000000" w:themeColor="text1"/>
              </w:rPr>
            </w:pP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5EA3">
              <w:rPr>
                <w:rFonts w:ascii="Palatino Linotype" w:eastAsia="Palatino Linotype" w:hAnsi="Palatino Linotype" w:cs="Palatino Linotype"/>
                <w:b/>
                <w:color w:val="000000" w:themeColor="text1"/>
              </w:rPr>
              <w:t>Sujetos Obligados</w:t>
            </w:r>
            <w:r w:rsidRPr="00835EA3">
              <w:rPr>
                <w:rFonts w:ascii="Palatino Linotype" w:eastAsia="Palatino Linotype" w:hAnsi="Palatino Linotype" w:cs="Palatino Linotype"/>
                <w:color w:val="000000" w:themeColor="text1"/>
              </w:rPr>
              <w:t xml:space="preserve">, por lo que deberán fundar y motivar debidamente la clasificación. </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De lo anterior, se desprende que para una correcta </w:t>
            </w:r>
            <w:r w:rsidRPr="00835EA3">
              <w:rPr>
                <w:rFonts w:ascii="Palatino Linotype" w:eastAsia="Palatino Linotype" w:hAnsi="Palatino Linotype" w:cs="Palatino Linotype"/>
                <w:b/>
                <w:color w:val="000000" w:themeColor="text1"/>
              </w:rPr>
              <w:t>clasificación total o parcial</w:t>
            </w:r>
            <w:r w:rsidRPr="00835EA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w:t>
            </w:r>
            <w:r w:rsidRPr="00835EA3">
              <w:rPr>
                <w:rFonts w:ascii="Palatino Linotype" w:eastAsia="Palatino Linotype" w:hAnsi="Palatino Linotype" w:cs="Palatino Linotype"/>
                <w:color w:val="000000" w:themeColor="text1"/>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Ahora bien, </w:t>
            </w:r>
            <w:r w:rsidRPr="00835EA3">
              <w:rPr>
                <w:rFonts w:ascii="Palatino Linotype" w:eastAsia="Palatino Linotype" w:hAnsi="Palatino Linotype" w:cs="Palatino Linotype"/>
                <w:b/>
                <w:color w:val="000000" w:themeColor="text1"/>
                <w:u w:val="single"/>
              </w:rPr>
              <w:t>para cada caso además de fundar y motivar</w:t>
            </w:r>
            <w:r w:rsidRPr="00835EA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97067" w:rsidRPr="00835EA3" w:rsidTr="00DE46FA">
        <w:tc>
          <w:tcPr>
            <w:tcW w:w="2689" w:type="dxa"/>
          </w:tcPr>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835EA3">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B97067" w:rsidRPr="00835EA3" w:rsidRDefault="00B97067" w:rsidP="004533D3">
            <w:pPr>
              <w:tabs>
                <w:tab w:val="left" w:pos="284"/>
              </w:tabs>
              <w:spacing w:line="360" w:lineRule="auto"/>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97067" w:rsidRPr="00835EA3" w:rsidRDefault="00B97067" w:rsidP="004533D3">
      <w:pPr>
        <w:tabs>
          <w:tab w:val="left" w:pos="284"/>
        </w:tabs>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B97067" w:rsidRPr="00835EA3" w:rsidRDefault="00B97067" w:rsidP="004533D3">
      <w:pPr>
        <w:pBdr>
          <w:top w:val="nil"/>
          <w:left w:val="nil"/>
          <w:bottom w:val="nil"/>
          <w:right w:val="nil"/>
          <w:between w:val="nil"/>
        </w:pBdr>
        <w:rPr>
          <w:rFonts w:ascii="Palatino Linotype" w:eastAsia="Palatino Linotype" w:hAnsi="Palatino Linotype" w:cs="Palatino Linotype"/>
          <w:color w:val="000000" w:themeColor="text1"/>
        </w:rPr>
      </w:pPr>
    </w:p>
    <w:p w:rsidR="00B97067" w:rsidRPr="00835EA3" w:rsidRDefault="00B97067" w:rsidP="004533D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color w:val="000000" w:themeColor="text1"/>
        </w:rPr>
        <w:t xml:space="preserve">Por lo anteriormente expuesto y fundado, este </w:t>
      </w:r>
      <w:r w:rsidRPr="00835EA3">
        <w:rPr>
          <w:rFonts w:ascii="Palatino Linotype" w:eastAsia="Palatino Linotype" w:hAnsi="Palatino Linotype" w:cs="Palatino Linotype"/>
          <w:b/>
          <w:color w:val="000000" w:themeColor="text1"/>
        </w:rPr>
        <w:t>ÓRGANO GARANTE</w:t>
      </w:r>
      <w:r w:rsidRPr="00835EA3">
        <w:rPr>
          <w:rFonts w:ascii="Palatino Linotype" w:eastAsia="Palatino Linotype" w:hAnsi="Palatino Linotype" w:cs="Palatino Linotype"/>
          <w:color w:val="000000" w:themeColor="text1"/>
        </w:rPr>
        <w:t xml:space="preserve"> emite los siguientes:</w:t>
      </w:r>
      <w:r w:rsidR="00DE46FA">
        <w:rPr>
          <w:rFonts w:ascii="Palatino Linotype" w:eastAsia="Palatino Linotype" w:hAnsi="Palatino Linotype" w:cs="Palatino Linotype"/>
          <w:color w:val="000000" w:themeColor="text1"/>
        </w:rPr>
        <w:t xml:space="preserve"> ---------------------------------------------------------------------------------------------------------</w:t>
      </w:r>
    </w:p>
    <w:p w:rsidR="00B97067" w:rsidRPr="00835EA3" w:rsidRDefault="00B97067" w:rsidP="004533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keepNext/>
        <w:keepLines/>
        <w:spacing w:line="360" w:lineRule="auto"/>
        <w:jc w:val="center"/>
        <w:rPr>
          <w:rFonts w:ascii="Palatino Linotype" w:eastAsia="Palatino Linotype" w:hAnsi="Palatino Linotype" w:cs="Palatino Linotype"/>
          <w:b/>
          <w:color w:val="000000" w:themeColor="text1"/>
        </w:rPr>
      </w:pPr>
      <w:bookmarkStart w:id="43" w:name="_heading=h.35nkun2" w:colFirst="0" w:colLast="0"/>
      <w:bookmarkEnd w:id="43"/>
      <w:r w:rsidRPr="00835EA3">
        <w:rPr>
          <w:rFonts w:ascii="Palatino Linotype" w:eastAsia="Palatino Linotype" w:hAnsi="Palatino Linotype" w:cs="Palatino Linotype"/>
          <w:b/>
          <w:color w:val="000000" w:themeColor="text1"/>
        </w:rPr>
        <w:t xml:space="preserve">R E S O L U T I V O S </w:t>
      </w:r>
    </w:p>
    <w:p w:rsidR="00B97067" w:rsidRPr="00835EA3" w:rsidRDefault="00B97067" w:rsidP="004533D3">
      <w:pPr>
        <w:spacing w:line="360" w:lineRule="auto"/>
        <w:rPr>
          <w:rFonts w:ascii="Palatino Linotype" w:eastAsia="Palatino Linotype" w:hAnsi="Palatino Linotype" w:cs="Palatino Linotype"/>
          <w:color w:val="000000" w:themeColor="text1"/>
        </w:rPr>
      </w:pPr>
    </w:p>
    <w:p w:rsidR="00B97067" w:rsidRPr="00835EA3" w:rsidRDefault="00B97067" w:rsidP="004533D3">
      <w:pPr>
        <w:spacing w:line="360" w:lineRule="auto"/>
        <w:jc w:val="both"/>
        <w:rPr>
          <w:rFonts w:ascii="Palatino Linotype" w:eastAsia="Palatino Linotype" w:hAnsi="Palatino Linotype" w:cs="Palatino Linotype"/>
          <w:b/>
          <w:color w:val="000000" w:themeColor="text1"/>
        </w:rPr>
      </w:pPr>
      <w:r w:rsidRPr="00835EA3">
        <w:rPr>
          <w:rFonts w:ascii="Palatino Linotype" w:eastAsia="Palatino Linotype" w:hAnsi="Palatino Linotype" w:cs="Palatino Linotype"/>
          <w:b/>
          <w:color w:val="000000" w:themeColor="text1"/>
        </w:rPr>
        <w:t>PRIMERO</w:t>
      </w:r>
      <w:r w:rsidR="0028336C" w:rsidRPr="00835EA3">
        <w:rPr>
          <w:rFonts w:ascii="Palatino Linotype" w:eastAsia="Palatino Linotype" w:hAnsi="Palatino Linotype" w:cs="Palatino Linotype"/>
          <w:color w:val="000000" w:themeColor="text1"/>
        </w:rPr>
        <w:t xml:space="preserve">. Resultan </w:t>
      </w:r>
      <w:r w:rsidRPr="00835EA3">
        <w:rPr>
          <w:rFonts w:ascii="Palatino Linotype" w:eastAsia="Palatino Linotype" w:hAnsi="Palatino Linotype" w:cs="Palatino Linotype"/>
          <w:color w:val="000000" w:themeColor="text1"/>
        </w:rPr>
        <w:t xml:space="preserve"> fundadas las razones o motivos de inconformidad hechos valer en l</w:t>
      </w:r>
      <w:r w:rsidR="00DA1C63" w:rsidRPr="00835EA3">
        <w:rPr>
          <w:rFonts w:ascii="Palatino Linotype" w:eastAsia="Palatino Linotype" w:hAnsi="Palatino Linotype" w:cs="Palatino Linotype"/>
          <w:color w:val="000000" w:themeColor="text1"/>
        </w:rPr>
        <w:t>os</w:t>
      </w:r>
      <w:r w:rsidRPr="00835EA3">
        <w:rPr>
          <w:rFonts w:ascii="Palatino Linotype" w:eastAsia="Palatino Linotype" w:hAnsi="Palatino Linotype" w:cs="Palatino Linotype"/>
          <w:color w:val="000000" w:themeColor="text1"/>
        </w:rPr>
        <w:t xml:space="preserve"> Recursos de Revisión </w:t>
      </w:r>
      <w:r w:rsidR="005904FF" w:rsidRPr="00835EA3">
        <w:rPr>
          <w:rFonts w:ascii="Palatino Linotype" w:eastAsia="Palatino Linotype" w:hAnsi="Palatino Linotype" w:cs="Palatino Linotype"/>
          <w:color w:val="000000" w:themeColor="text1"/>
        </w:rPr>
        <w:t xml:space="preserve"> </w:t>
      </w:r>
      <w:r w:rsidR="00F730C1" w:rsidRPr="00835EA3">
        <w:rPr>
          <w:rFonts w:ascii="Palatino Linotype" w:eastAsia="Palatino Linotype" w:hAnsi="Palatino Linotype" w:cs="Palatino Linotype"/>
          <w:b/>
          <w:color w:val="000000" w:themeColor="text1"/>
          <w:lang w:val="es-ES_tradnl"/>
        </w:rPr>
        <w:t>07618/INFOEM/IP/RR/202</w:t>
      </w:r>
      <w:r w:rsidR="00072383" w:rsidRPr="00835EA3">
        <w:rPr>
          <w:rFonts w:ascii="Palatino Linotype" w:eastAsia="Palatino Linotype" w:hAnsi="Palatino Linotype" w:cs="Palatino Linotype"/>
          <w:b/>
          <w:color w:val="000000" w:themeColor="text1"/>
          <w:lang w:val="es-ES_tradnl"/>
        </w:rPr>
        <w:t>5</w:t>
      </w:r>
      <w:r w:rsidR="00F730C1" w:rsidRPr="00835EA3">
        <w:rPr>
          <w:rFonts w:ascii="Palatino Linotype" w:eastAsia="Palatino Linotype" w:hAnsi="Palatino Linotype" w:cs="Palatino Linotype"/>
          <w:b/>
          <w:color w:val="000000" w:themeColor="text1"/>
          <w:lang w:val="es-ES_tradnl"/>
        </w:rPr>
        <w:t xml:space="preserve"> y 07619/INFOEM/IP/RR/2025 </w:t>
      </w:r>
      <w:r w:rsidRPr="00835EA3">
        <w:rPr>
          <w:rFonts w:ascii="Palatino Linotype" w:eastAsia="Palatino Linotype" w:hAnsi="Palatino Linotype" w:cs="Palatino Linotype"/>
          <w:color w:val="000000" w:themeColor="text1"/>
        </w:rPr>
        <w:t xml:space="preserve">en términos de los Considerandos </w:t>
      </w:r>
      <w:r w:rsidRPr="00835EA3">
        <w:rPr>
          <w:rFonts w:ascii="Palatino Linotype" w:eastAsia="Palatino Linotype" w:hAnsi="Palatino Linotype" w:cs="Palatino Linotype"/>
          <w:b/>
          <w:color w:val="000000" w:themeColor="text1"/>
        </w:rPr>
        <w:t xml:space="preserve">Cuarto y Quinto </w:t>
      </w:r>
      <w:r w:rsidRPr="00835EA3">
        <w:rPr>
          <w:rFonts w:ascii="Palatino Linotype" w:eastAsia="Palatino Linotype" w:hAnsi="Palatino Linotype" w:cs="Palatino Linotype"/>
          <w:color w:val="000000" w:themeColor="text1"/>
        </w:rPr>
        <w:t xml:space="preserve">de la presente resolución. </w:t>
      </w:r>
    </w:p>
    <w:p w:rsidR="00B97067" w:rsidRPr="00835EA3" w:rsidRDefault="00B97067" w:rsidP="004533D3">
      <w:pPr>
        <w:spacing w:line="360" w:lineRule="auto"/>
        <w:jc w:val="both"/>
        <w:rPr>
          <w:rFonts w:ascii="Palatino Linotype" w:eastAsia="Palatino Linotype" w:hAnsi="Palatino Linotype" w:cs="Palatino Linotype"/>
          <w:color w:val="000000" w:themeColor="text1"/>
        </w:rPr>
      </w:pPr>
    </w:p>
    <w:p w:rsidR="00B97067" w:rsidRPr="00835EA3" w:rsidRDefault="00B97067" w:rsidP="004533D3">
      <w:pPr>
        <w:spacing w:line="360" w:lineRule="auto"/>
        <w:jc w:val="both"/>
        <w:rPr>
          <w:rFonts w:ascii="Palatino Linotype" w:eastAsia="Palatino Linotype" w:hAnsi="Palatino Linotype" w:cs="Palatino Linotype"/>
          <w:b/>
          <w:color w:val="000000" w:themeColor="text1"/>
        </w:rPr>
      </w:pPr>
      <w:bookmarkStart w:id="44" w:name="_heading=h.26in1rg" w:colFirst="0" w:colLast="0"/>
      <w:bookmarkEnd w:id="44"/>
      <w:r w:rsidRPr="00835EA3">
        <w:rPr>
          <w:rFonts w:ascii="Palatino Linotype" w:eastAsia="Palatino Linotype" w:hAnsi="Palatino Linotype" w:cs="Palatino Linotype"/>
          <w:b/>
          <w:color w:val="000000" w:themeColor="text1"/>
        </w:rPr>
        <w:lastRenderedPageBreak/>
        <w:t xml:space="preserve">SEGUNDO. </w:t>
      </w:r>
      <w:r w:rsidR="0028336C" w:rsidRPr="00835EA3">
        <w:rPr>
          <w:rFonts w:ascii="Palatino Linotype" w:eastAsia="Palatino Linotype" w:hAnsi="Palatino Linotype" w:cs="Palatino Linotype"/>
          <w:color w:val="000000" w:themeColor="text1"/>
          <w:lang w:val="es-ES_tradnl"/>
        </w:rPr>
        <w:t xml:space="preserve">Se </w:t>
      </w:r>
      <w:r w:rsidR="0028336C" w:rsidRPr="00835EA3">
        <w:rPr>
          <w:rFonts w:ascii="Palatino Linotype" w:eastAsia="Palatino Linotype" w:hAnsi="Palatino Linotype" w:cs="Palatino Linotype"/>
          <w:b/>
          <w:color w:val="000000" w:themeColor="text1"/>
          <w:lang w:val="es-ES_tradnl"/>
        </w:rPr>
        <w:t xml:space="preserve">ORDENA </w:t>
      </w:r>
      <w:r w:rsidR="0028336C" w:rsidRPr="00835EA3">
        <w:rPr>
          <w:rFonts w:ascii="Palatino Linotype" w:eastAsia="Palatino Linotype" w:hAnsi="Palatino Linotype" w:cs="Palatino Linotype"/>
          <w:color w:val="000000" w:themeColor="text1"/>
          <w:lang w:val="es-ES_tradnl"/>
        </w:rPr>
        <w:t xml:space="preserve">al </w:t>
      </w:r>
      <w:r w:rsidR="0028336C" w:rsidRPr="00835EA3">
        <w:rPr>
          <w:rFonts w:ascii="Palatino Linotype" w:eastAsia="Palatino Linotype" w:hAnsi="Palatino Linotype" w:cs="Palatino Linotype"/>
          <w:b/>
          <w:color w:val="000000" w:themeColor="text1"/>
          <w:lang w:val="es-ES_tradnl"/>
        </w:rPr>
        <w:t xml:space="preserve">Ayuntamiento de Ecatepec de Morelos, </w:t>
      </w:r>
      <w:r w:rsidR="0028336C" w:rsidRPr="00835EA3">
        <w:rPr>
          <w:rFonts w:ascii="Palatino Linotype" w:eastAsia="Palatino Linotype" w:hAnsi="Palatino Linotype" w:cs="Palatino Linotype"/>
          <w:color w:val="000000" w:themeColor="text1"/>
          <w:lang w:val="es-ES_tradnl"/>
        </w:rPr>
        <w:t xml:space="preserve">entregar vía Sistema de Acceso a la Información Mexiquense </w:t>
      </w:r>
      <w:r w:rsidR="0028336C" w:rsidRPr="00835EA3">
        <w:rPr>
          <w:rFonts w:ascii="Palatino Linotype" w:eastAsia="Palatino Linotype" w:hAnsi="Palatino Linotype" w:cs="Palatino Linotype"/>
          <w:b/>
          <w:color w:val="000000" w:themeColor="text1"/>
          <w:lang w:val="es-ES_tradnl"/>
        </w:rPr>
        <w:t>(SAIMEX)</w:t>
      </w:r>
      <w:r w:rsidRPr="00835EA3">
        <w:rPr>
          <w:rFonts w:ascii="Palatino Linotype" w:eastAsia="Palatino Linotype" w:hAnsi="Palatino Linotype" w:cs="Palatino Linotype"/>
          <w:color w:val="000000" w:themeColor="text1"/>
        </w:rPr>
        <w:t xml:space="preserve">, </w:t>
      </w:r>
      <w:r w:rsidR="00F730C1" w:rsidRPr="00835EA3">
        <w:rPr>
          <w:rFonts w:ascii="Palatino Linotype" w:eastAsia="Palatino Linotype" w:hAnsi="Palatino Linotype" w:cs="Palatino Linotype"/>
          <w:color w:val="000000" w:themeColor="text1"/>
        </w:rPr>
        <w:t xml:space="preserve">previa búsqueda exhaustiva y razonable, </w:t>
      </w:r>
      <w:r w:rsidRPr="00835EA3">
        <w:rPr>
          <w:rFonts w:ascii="Palatino Linotype" w:eastAsia="Palatino Linotype" w:hAnsi="Palatino Linotype" w:cs="Palatino Linotype"/>
          <w:color w:val="000000" w:themeColor="text1"/>
        </w:rPr>
        <w:t xml:space="preserve">la siguiente información, en versión pública. </w:t>
      </w:r>
    </w:p>
    <w:p w:rsidR="00B97067" w:rsidRPr="00835EA3" w:rsidRDefault="00B97067" w:rsidP="004533D3">
      <w:pPr>
        <w:spacing w:line="360" w:lineRule="auto"/>
        <w:jc w:val="both"/>
        <w:rPr>
          <w:rFonts w:ascii="Palatino Linotype" w:eastAsia="Palatino Linotype" w:hAnsi="Palatino Linotype" w:cs="Palatino Linotype"/>
          <w:b/>
          <w:color w:val="000000" w:themeColor="text1"/>
        </w:rPr>
      </w:pPr>
    </w:p>
    <w:p w:rsidR="00F730C1" w:rsidRPr="00835EA3" w:rsidRDefault="00DE46FA" w:rsidP="004533D3">
      <w:pPr>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1.</w:t>
      </w:r>
      <w:r w:rsidR="00F730C1" w:rsidRPr="00835EA3">
        <w:rPr>
          <w:rFonts w:ascii="Palatino Linotype" w:eastAsia="Palatino Linotype" w:hAnsi="Palatino Linotype" w:cs="Palatino Linotype"/>
          <w:b/>
          <w:i/>
          <w:color w:val="000000" w:themeColor="text1"/>
        </w:rPr>
        <w:t xml:space="preserve"> Convenio de colaboración firmado entre el Ayuntamiento de Ecatepec de Morelos y la </w:t>
      </w:r>
      <w:r w:rsidR="00383BE4" w:rsidRPr="00835EA3">
        <w:rPr>
          <w:rFonts w:ascii="Palatino Linotype" w:eastAsia="Palatino Linotype" w:hAnsi="Palatino Linotype" w:cs="Palatino Linotype"/>
          <w:b/>
          <w:i/>
          <w:color w:val="000000" w:themeColor="text1"/>
        </w:rPr>
        <w:t>Asociación</w:t>
      </w:r>
      <w:r w:rsidR="00F730C1" w:rsidRPr="00835EA3">
        <w:rPr>
          <w:rFonts w:ascii="Palatino Linotype" w:eastAsia="Palatino Linotype" w:hAnsi="Palatino Linotype" w:cs="Palatino Linotype"/>
          <w:b/>
          <w:i/>
          <w:color w:val="000000" w:themeColor="text1"/>
        </w:rPr>
        <w:t xml:space="preserve"> Civil Corazón Urbano, al veintitrés de mayo de dos mil veinticinco;</w:t>
      </w:r>
    </w:p>
    <w:p w:rsidR="00F730C1" w:rsidRPr="00835EA3" w:rsidRDefault="00F730C1" w:rsidP="004533D3">
      <w:pPr>
        <w:jc w:val="both"/>
        <w:rPr>
          <w:rFonts w:ascii="Palatino Linotype" w:eastAsia="Palatino Linotype" w:hAnsi="Palatino Linotype" w:cs="Palatino Linotype"/>
          <w:b/>
          <w:i/>
          <w:color w:val="000000" w:themeColor="text1"/>
        </w:rPr>
      </w:pPr>
    </w:p>
    <w:p w:rsidR="00F730C1" w:rsidRPr="00835EA3" w:rsidRDefault="00F730C1"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 xml:space="preserve">2. Soporte documental del </w:t>
      </w:r>
      <w:r w:rsidR="00383BE4" w:rsidRPr="00835EA3">
        <w:rPr>
          <w:rFonts w:ascii="Palatino Linotype" w:eastAsia="Palatino Linotype" w:hAnsi="Palatino Linotype" w:cs="Palatino Linotype"/>
          <w:b/>
          <w:i/>
          <w:color w:val="000000" w:themeColor="text1"/>
        </w:rPr>
        <w:t xml:space="preserve">Procedimiento Adquisitivo por el servicio de la pinta de falladas realizado por la Asociación Civil Corazón Urbano al Ayuntamiento de Ecatepec de Morelos, al veintitrés de mayo de dos mil veinticinco;  </w:t>
      </w:r>
    </w:p>
    <w:p w:rsidR="00383BE4" w:rsidRPr="00835EA3" w:rsidRDefault="00383BE4" w:rsidP="004533D3">
      <w:pPr>
        <w:jc w:val="both"/>
        <w:rPr>
          <w:rFonts w:ascii="Palatino Linotype" w:eastAsia="Palatino Linotype" w:hAnsi="Palatino Linotype" w:cs="Palatino Linotype"/>
          <w:b/>
          <w:i/>
          <w:color w:val="000000" w:themeColor="text1"/>
        </w:rPr>
      </w:pPr>
    </w:p>
    <w:p w:rsidR="00383BE4" w:rsidRPr="00835EA3" w:rsidRDefault="00383BE4"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3. Facturas de pago al proveedor de pintura, al veintitrés de mayo de dos mil veinticinco; y</w:t>
      </w:r>
    </w:p>
    <w:p w:rsidR="00383BE4" w:rsidRPr="00835EA3" w:rsidRDefault="00383BE4" w:rsidP="004533D3">
      <w:pPr>
        <w:jc w:val="both"/>
        <w:rPr>
          <w:rFonts w:ascii="Palatino Linotype" w:eastAsia="Palatino Linotype" w:hAnsi="Palatino Linotype" w:cs="Palatino Linotype"/>
          <w:b/>
          <w:i/>
          <w:color w:val="000000" w:themeColor="text1"/>
        </w:rPr>
      </w:pPr>
    </w:p>
    <w:p w:rsidR="00383BE4" w:rsidRPr="00835EA3" w:rsidRDefault="00383BE4" w:rsidP="004533D3">
      <w:pPr>
        <w:jc w:val="both"/>
        <w:rPr>
          <w:rFonts w:ascii="Palatino Linotype" w:eastAsia="Palatino Linotype" w:hAnsi="Palatino Linotype" w:cs="Palatino Linotype"/>
          <w:b/>
          <w:i/>
          <w:color w:val="000000" w:themeColor="text1"/>
        </w:rPr>
      </w:pPr>
      <w:r w:rsidRPr="00835EA3">
        <w:rPr>
          <w:rFonts w:ascii="Palatino Linotype" w:eastAsia="Palatino Linotype" w:hAnsi="Palatino Linotype" w:cs="Palatino Linotype"/>
          <w:b/>
          <w:i/>
          <w:color w:val="000000" w:themeColor="text1"/>
        </w:rPr>
        <w:t>4</w:t>
      </w:r>
      <w:r w:rsidR="00F730C1" w:rsidRPr="00835EA3">
        <w:rPr>
          <w:rFonts w:ascii="Palatino Linotype" w:eastAsia="Palatino Linotype" w:hAnsi="Palatino Linotype" w:cs="Palatino Linotype"/>
          <w:b/>
          <w:i/>
          <w:color w:val="000000" w:themeColor="text1"/>
        </w:rPr>
        <w:t xml:space="preserve">. </w:t>
      </w:r>
      <w:r w:rsidRPr="00835EA3">
        <w:rPr>
          <w:rFonts w:ascii="Palatino Linotype" w:eastAsia="Palatino Linotype" w:hAnsi="Palatino Linotype" w:cs="Palatino Linotype"/>
          <w:b/>
          <w:i/>
          <w:color w:val="000000" w:themeColor="text1"/>
        </w:rPr>
        <w:t>Documento donde conste o se advierta la e</w:t>
      </w:r>
      <w:r w:rsidR="00F730C1" w:rsidRPr="00835EA3">
        <w:rPr>
          <w:rFonts w:ascii="Palatino Linotype" w:eastAsia="Palatino Linotype" w:hAnsi="Palatino Linotype" w:cs="Palatino Linotype"/>
          <w:b/>
          <w:i/>
          <w:color w:val="000000" w:themeColor="text1"/>
        </w:rPr>
        <w:t xml:space="preserve">stimación de rendimiento </w:t>
      </w:r>
      <w:r w:rsidRPr="00835EA3">
        <w:rPr>
          <w:rFonts w:ascii="Palatino Linotype" w:eastAsia="Palatino Linotype" w:hAnsi="Palatino Linotype" w:cs="Palatino Linotype"/>
          <w:b/>
          <w:i/>
          <w:color w:val="000000" w:themeColor="text1"/>
        </w:rPr>
        <w:t>por litro de pintura, al veintitrés de mayo de dos mil veinticinco</w:t>
      </w:r>
    </w:p>
    <w:p w:rsidR="00B97067" w:rsidRPr="00835EA3" w:rsidRDefault="00B97067" w:rsidP="004533D3">
      <w:pPr>
        <w:rPr>
          <w:rFonts w:ascii="Palatino Linotype" w:eastAsia="Palatino Linotype" w:hAnsi="Palatino Linotype" w:cs="Palatino Linotype"/>
          <w:b/>
          <w:color w:val="000000" w:themeColor="text1"/>
        </w:rPr>
      </w:pPr>
    </w:p>
    <w:p w:rsidR="00B97067" w:rsidRPr="00835EA3" w:rsidRDefault="00B97067" w:rsidP="004533D3">
      <w:pPr>
        <w:pStyle w:val="Prrafodelista"/>
        <w:ind w:left="0"/>
        <w:rPr>
          <w:rFonts w:ascii="Palatino Linotype" w:eastAsia="Palatino Linotype" w:hAnsi="Palatino Linotype" w:cs="Palatino Linotype"/>
          <w:b/>
          <w:color w:val="000000" w:themeColor="text1"/>
        </w:rPr>
      </w:pPr>
    </w:p>
    <w:p w:rsidR="00B97067" w:rsidRPr="00835EA3" w:rsidRDefault="00B97067" w:rsidP="004533D3">
      <w:pPr>
        <w:tabs>
          <w:tab w:val="left" w:pos="8080"/>
        </w:tabs>
        <w:spacing w:line="360" w:lineRule="auto"/>
        <w:jc w:val="both"/>
        <w:rPr>
          <w:rFonts w:ascii="Palatino Linotype" w:eastAsia="Calibri" w:hAnsi="Palatino Linotype" w:cs="Arial"/>
          <w:b/>
          <w:color w:val="000000" w:themeColor="text1"/>
        </w:rPr>
      </w:pPr>
      <w:r w:rsidRPr="00835EA3">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35EA3">
        <w:rPr>
          <w:rFonts w:ascii="Palatino Linotype" w:eastAsia="Calibri" w:hAnsi="Palatino Linotype" w:cs="Arial"/>
          <w:b/>
          <w:color w:val="000000" w:themeColor="text1"/>
        </w:rPr>
        <w:t>RECURRENTE.</w:t>
      </w:r>
    </w:p>
    <w:p w:rsidR="00B97067" w:rsidRPr="00835EA3" w:rsidRDefault="00B97067" w:rsidP="004533D3">
      <w:pPr>
        <w:tabs>
          <w:tab w:val="left" w:pos="8080"/>
        </w:tabs>
        <w:spacing w:line="360" w:lineRule="auto"/>
        <w:jc w:val="both"/>
        <w:rPr>
          <w:rFonts w:ascii="Palatino Linotype" w:eastAsia="Calibri" w:hAnsi="Palatino Linotype" w:cs="Arial"/>
          <w:b/>
          <w:color w:val="000000" w:themeColor="text1"/>
        </w:rPr>
      </w:pPr>
    </w:p>
    <w:p w:rsidR="00383BE4" w:rsidRPr="00835EA3" w:rsidRDefault="00383BE4" w:rsidP="004533D3">
      <w:pPr>
        <w:spacing w:line="360" w:lineRule="auto"/>
        <w:jc w:val="both"/>
        <w:rPr>
          <w:rFonts w:ascii="Palatino Linotype" w:hAnsi="Palatino Linotype"/>
          <w:color w:val="000000" w:themeColor="text1"/>
        </w:rPr>
      </w:pPr>
      <w:r w:rsidRPr="00835EA3">
        <w:rPr>
          <w:rFonts w:ascii="Palatino Linotype" w:hAnsi="Palatino Linotype"/>
          <w:color w:val="000000" w:themeColor="text1"/>
        </w:rPr>
        <w:t xml:space="preserve">De ser el caso que la estimación de pintura no se hubiera realizado por litro se deberá de hacer de su conocimiento de conformidad con el artículo 19 párrafo segundo de la Ley de Transparencia y Acceso a la Información Pública del Estado de México y Municipios. </w:t>
      </w:r>
    </w:p>
    <w:p w:rsidR="002E5208" w:rsidRPr="00835EA3" w:rsidRDefault="002E5208" w:rsidP="004533D3">
      <w:pPr>
        <w:spacing w:line="360" w:lineRule="auto"/>
        <w:jc w:val="both"/>
        <w:rPr>
          <w:rFonts w:ascii="Palatino Linotype" w:hAnsi="Palatino Linotype"/>
          <w:color w:val="000000" w:themeColor="text1"/>
        </w:rPr>
      </w:pPr>
    </w:p>
    <w:p w:rsidR="0028336C" w:rsidRPr="00835EA3" w:rsidRDefault="0028336C" w:rsidP="004533D3">
      <w:pPr>
        <w:tabs>
          <w:tab w:val="left" w:pos="284"/>
          <w:tab w:val="left" w:pos="8080"/>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b/>
          <w:color w:val="000000" w:themeColor="text1"/>
        </w:rPr>
        <w:lastRenderedPageBreak/>
        <w:t>TERCERO. NOTIFÍQUESE</w:t>
      </w:r>
      <w:r w:rsidRPr="00835EA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35EA3">
        <w:rPr>
          <w:rFonts w:ascii="Palatino Linotype" w:eastAsia="Palatino Linotype" w:hAnsi="Palatino Linotype" w:cs="Palatino Linotype"/>
          <w:b/>
          <w:color w:val="000000" w:themeColor="text1"/>
        </w:rPr>
        <w:t>dé cumplimiento a lo ordenado dentro del plazo de diez días hábiles</w:t>
      </w:r>
      <w:r w:rsidRPr="00835EA3">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8336C" w:rsidRPr="00835EA3" w:rsidRDefault="0028336C" w:rsidP="004533D3">
      <w:pPr>
        <w:tabs>
          <w:tab w:val="left" w:pos="284"/>
          <w:tab w:val="left" w:pos="8080"/>
        </w:tabs>
        <w:spacing w:line="360" w:lineRule="auto"/>
        <w:jc w:val="both"/>
        <w:rPr>
          <w:rFonts w:ascii="Palatino Linotype" w:eastAsia="Palatino Linotype" w:hAnsi="Palatino Linotype" w:cs="Palatino Linotype"/>
          <w:color w:val="000000" w:themeColor="text1"/>
        </w:rPr>
      </w:pPr>
    </w:p>
    <w:p w:rsidR="0028336C" w:rsidRPr="00835EA3" w:rsidRDefault="0028336C" w:rsidP="004533D3">
      <w:pPr>
        <w:tabs>
          <w:tab w:val="left" w:pos="8080"/>
        </w:tabs>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b/>
          <w:color w:val="000000" w:themeColor="text1"/>
        </w:rPr>
        <w:t xml:space="preserve">CUARTO. </w:t>
      </w:r>
      <w:r w:rsidRPr="00835EA3">
        <w:rPr>
          <w:rFonts w:ascii="Palatino Linotype" w:eastAsia="Palatino Linotype" w:hAnsi="Palatino Linotype" w:cs="Palatino Linotype"/>
          <w:color w:val="000000" w:themeColor="text1"/>
        </w:rPr>
        <w:t xml:space="preserve">Notifíquese a </w:t>
      </w:r>
      <w:r w:rsidRPr="00835EA3">
        <w:rPr>
          <w:rFonts w:ascii="Palatino Linotype" w:eastAsia="Palatino Linotype" w:hAnsi="Palatino Linotype" w:cs="Palatino Linotype"/>
          <w:b/>
          <w:color w:val="000000" w:themeColor="text1"/>
        </w:rPr>
        <w:t>EL RECURRENTE</w:t>
      </w:r>
      <w:r w:rsidRPr="00835EA3">
        <w:rPr>
          <w:rFonts w:ascii="Palatino Linotype" w:eastAsia="Palatino Linotype" w:hAnsi="Palatino Linotype" w:cs="Palatino Linotype"/>
          <w:color w:val="000000" w:themeColor="text1"/>
        </w:rPr>
        <w:t xml:space="preserve"> la presente resolución, vía SAIMEX.</w:t>
      </w:r>
    </w:p>
    <w:p w:rsidR="0028336C" w:rsidRPr="00835EA3" w:rsidRDefault="0028336C" w:rsidP="004533D3">
      <w:pPr>
        <w:shd w:val="clear" w:color="auto" w:fill="FFFFFF"/>
        <w:spacing w:line="360" w:lineRule="auto"/>
        <w:jc w:val="both"/>
        <w:rPr>
          <w:rFonts w:ascii="Palatino Linotype" w:eastAsia="Palatino Linotype" w:hAnsi="Palatino Linotype" w:cs="Palatino Linotype"/>
          <w:color w:val="000000" w:themeColor="text1"/>
        </w:rPr>
      </w:pPr>
    </w:p>
    <w:p w:rsidR="0028336C" w:rsidRPr="00835EA3" w:rsidRDefault="0028336C" w:rsidP="004533D3">
      <w:pPr>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b/>
          <w:color w:val="000000" w:themeColor="text1"/>
        </w:rPr>
        <w:t xml:space="preserve">QUINTO. Gírese </w:t>
      </w:r>
      <w:r w:rsidRPr="00835EA3">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835EA3">
        <w:rPr>
          <w:rFonts w:ascii="Palatino Linotype" w:eastAsia="Palatino Linotype" w:hAnsi="Palatino Linotype" w:cs="Palatino Linotype"/>
          <w:b/>
          <w:color w:val="000000" w:themeColor="text1"/>
        </w:rPr>
        <w:t>CUARTO</w:t>
      </w:r>
      <w:r w:rsidRPr="00835EA3">
        <w:rPr>
          <w:rFonts w:ascii="Palatino Linotype" w:eastAsia="Palatino Linotype" w:hAnsi="Palatino Linotype" w:cs="Palatino Linotype"/>
          <w:color w:val="000000" w:themeColor="text1"/>
        </w:rPr>
        <w:t xml:space="preserve"> de la presente resolución.</w:t>
      </w:r>
    </w:p>
    <w:p w:rsidR="0028336C" w:rsidRPr="00835EA3" w:rsidRDefault="0028336C" w:rsidP="004533D3">
      <w:pPr>
        <w:shd w:val="clear" w:color="auto" w:fill="FFFFFF"/>
        <w:spacing w:line="360" w:lineRule="auto"/>
        <w:jc w:val="both"/>
        <w:rPr>
          <w:rFonts w:ascii="Palatino Linotype" w:eastAsia="Palatino Linotype" w:hAnsi="Palatino Linotype" w:cs="Palatino Linotype"/>
          <w:color w:val="000000" w:themeColor="text1"/>
        </w:rPr>
      </w:pPr>
    </w:p>
    <w:p w:rsidR="0028336C" w:rsidRPr="00835EA3" w:rsidRDefault="0028336C" w:rsidP="004533D3">
      <w:pPr>
        <w:shd w:val="clear" w:color="auto" w:fill="FFFFFF"/>
        <w:spacing w:line="360" w:lineRule="auto"/>
        <w:jc w:val="both"/>
        <w:rPr>
          <w:rFonts w:ascii="Palatino Linotype" w:eastAsia="Palatino Linotype" w:hAnsi="Palatino Linotype" w:cs="Palatino Linotype"/>
          <w:color w:val="000000" w:themeColor="text1"/>
        </w:rPr>
      </w:pPr>
      <w:r w:rsidRPr="00835EA3">
        <w:rPr>
          <w:rFonts w:ascii="Palatino Linotype" w:eastAsia="Palatino Linotype" w:hAnsi="Palatino Linotype" w:cs="Palatino Linotype"/>
          <w:b/>
          <w:color w:val="000000" w:themeColor="text1"/>
        </w:rPr>
        <w:t>SEXTO</w:t>
      </w:r>
      <w:r w:rsidRPr="00835EA3">
        <w:rPr>
          <w:rFonts w:ascii="Palatino Linotype" w:eastAsia="Palatino Linotype" w:hAnsi="Palatino Linotype" w:cs="Palatino Linotype"/>
          <w:color w:val="000000" w:themeColor="text1"/>
        </w:rPr>
        <w:t xml:space="preserve">. Hágase del conocimiento del </w:t>
      </w:r>
      <w:r w:rsidRPr="00835EA3">
        <w:rPr>
          <w:rFonts w:ascii="Palatino Linotype" w:eastAsia="Palatino Linotype" w:hAnsi="Palatino Linotype" w:cs="Palatino Linotype"/>
          <w:b/>
          <w:color w:val="000000" w:themeColor="text1"/>
        </w:rPr>
        <w:t>RECURRENTE</w:t>
      </w:r>
      <w:r w:rsidRPr="00835EA3">
        <w:rPr>
          <w:rFonts w:ascii="Palatino Linotype" w:eastAsia="Palatino Linotype" w:hAnsi="Palatino Linotype" w:cs="Palatino Linotype"/>
          <w:color w:val="000000" w:themeColor="text1"/>
        </w:rPr>
        <w:t xml:space="preserve"> que la respuesta que dé </w:t>
      </w:r>
      <w:r w:rsidRPr="00835EA3">
        <w:rPr>
          <w:rFonts w:ascii="Palatino Linotype" w:eastAsia="Palatino Linotype" w:hAnsi="Palatino Linotype" w:cs="Palatino Linotype"/>
          <w:b/>
          <w:color w:val="000000" w:themeColor="text1"/>
        </w:rPr>
        <w:t>EL SUJETO OBLIGADO</w:t>
      </w:r>
      <w:r w:rsidRPr="00835EA3">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Pr="00835EA3">
        <w:rPr>
          <w:rFonts w:ascii="Palatino Linotype" w:eastAsia="Palatino Linotype" w:hAnsi="Palatino Linotype" w:cs="Palatino Linotype"/>
          <w:color w:val="000000" w:themeColor="text1"/>
        </w:rPr>
        <w:tab/>
      </w:r>
    </w:p>
    <w:p w:rsidR="00792312" w:rsidRPr="00835EA3" w:rsidRDefault="00792312" w:rsidP="00792312">
      <w:pPr>
        <w:tabs>
          <w:tab w:val="left" w:pos="8080"/>
        </w:tabs>
        <w:spacing w:line="360" w:lineRule="auto"/>
        <w:jc w:val="both"/>
        <w:rPr>
          <w:rFonts w:ascii="Palatino Linotype" w:hAnsi="Palatino Linotype"/>
          <w:lang w:val="es-ES"/>
        </w:rPr>
      </w:pPr>
      <w:r w:rsidRPr="00835EA3">
        <w:rPr>
          <w:rFonts w:ascii="Palatino Linotype" w:hAnsi="Palatino Linotype"/>
          <w:b/>
          <w:lang w:eastAsia="en-US"/>
        </w:rPr>
        <w:lastRenderedPageBreak/>
        <w:t xml:space="preserve">SÉPTIMO. </w:t>
      </w:r>
      <w:r w:rsidRPr="00835EA3">
        <w:rPr>
          <w:rFonts w:ascii="Palatino Linotype" w:hAnsi="Palatino Linotype"/>
          <w:lang w:eastAsia="en-US"/>
        </w:rPr>
        <w:t>Se hace del conocimiento del</w:t>
      </w:r>
      <w:r w:rsidRPr="00835EA3">
        <w:rPr>
          <w:rFonts w:ascii="Palatino Linotype" w:hAnsi="Palatino Linotype"/>
          <w:b/>
          <w:lang w:eastAsia="en-US"/>
        </w:rPr>
        <w:t xml:space="preserve"> RECURRENTE </w:t>
      </w:r>
      <w:r w:rsidRPr="00835EA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92312" w:rsidRPr="00835EA3" w:rsidRDefault="00792312" w:rsidP="004533D3">
      <w:pPr>
        <w:shd w:val="clear" w:color="auto" w:fill="FFFFFF"/>
        <w:spacing w:line="360" w:lineRule="auto"/>
        <w:jc w:val="both"/>
        <w:rPr>
          <w:rFonts w:ascii="Palatino Linotype" w:eastAsia="Palatino Linotype" w:hAnsi="Palatino Linotype" w:cs="Palatino Linotype"/>
          <w:color w:val="000000" w:themeColor="text1"/>
        </w:rPr>
      </w:pPr>
    </w:p>
    <w:p w:rsidR="00792312" w:rsidRPr="00444783" w:rsidRDefault="00835EA3" w:rsidP="00792312">
      <w:pPr>
        <w:spacing w:line="360" w:lineRule="auto"/>
        <w:ind w:right="49"/>
        <w:jc w:val="both"/>
        <w:rPr>
          <w:rFonts w:ascii="Palatino Linotype" w:eastAsia="Palatino Linotype" w:hAnsi="Palatino Linotype" w:cs="Palatino Linotype"/>
        </w:rPr>
      </w:pPr>
      <w:r w:rsidRPr="00835EA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792312" w:rsidRPr="00835EA3">
        <w:rPr>
          <w:rFonts w:ascii="Palatino Linotype" w:eastAsia="Palatino Linotype" w:hAnsi="Palatino Linotype" w:cs="Palatino Linotype"/>
        </w:rPr>
        <w:t>.</w:t>
      </w:r>
    </w:p>
    <w:p w:rsidR="00B97067" w:rsidRPr="004533D3" w:rsidRDefault="00B97067" w:rsidP="004533D3">
      <w:pPr>
        <w:spacing w:before="240" w:after="240" w:line="360" w:lineRule="auto"/>
        <w:ind w:firstLine="1"/>
        <w:jc w:val="both"/>
        <w:rPr>
          <w:rFonts w:ascii="Palatino Linotype" w:eastAsia="Palatino Linotype" w:hAnsi="Palatino Linotype" w:cs="Palatino Linotype"/>
          <w:b/>
          <w:color w:val="000000" w:themeColor="text1"/>
        </w:rPr>
      </w:pPr>
    </w:p>
    <w:p w:rsidR="00B97067" w:rsidRPr="004533D3" w:rsidRDefault="00B97067" w:rsidP="004533D3">
      <w:pPr>
        <w:spacing w:line="360" w:lineRule="auto"/>
        <w:jc w:val="both"/>
        <w:rPr>
          <w:rFonts w:ascii="Palatino Linotype" w:eastAsia="Palatino Linotype" w:hAnsi="Palatino Linotype" w:cs="Palatino Linotype"/>
          <w:color w:val="000000" w:themeColor="text1"/>
        </w:rPr>
      </w:pPr>
    </w:p>
    <w:p w:rsidR="00B97067" w:rsidRPr="004533D3" w:rsidRDefault="00B97067" w:rsidP="004533D3">
      <w:pPr>
        <w:spacing w:line="360" w:lineRule="auto"/>
        <w:jc w:val="both"/>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B97067" w:rsidRPr="004533D3" w:rsidRDefault="00B97067" w:rsidP="004533D3">
      <w:pPr>
        <w:spacing w:line="360" w:lineRule="auto"/>
        <w:rPr>
          <w:rFonts w:ascii="Palatino Linotype" w:eastAsia="Palatino Linotype" w:hAnsi="Palatino Linotype" w:cs="Palatino Linotype"/>
          <w:color w:val="000000" w:themeColor="text1"/>
        </w:rPr>
      </w:pPr>
    </w:p>
    <w:p w:rsidR="001747BF" w:rsidRPr="004533D3" w:rsidRDefault="001747BF" w:rsidP="004533D3">
      <w:pPr>
        <w:rPr>
          <w:rFonts w:ascii="Palatino Linotype" w:hAnsi="Palatino Linotype"/>
          <w:color w:val="000000" w:themeColor="text1"/>
        </w:rPr>
      </w:pPr>
    </w:p>
    <w:p w:rsidR="00E9165C" w:rsidRPr="004533D3" w:rsidRDefault="00E9165C" w:rsidP="004533D3">
      <w:pPr>
        <w:rPr>
          <w:rFonts w:ascii="Palatino Linotype" w:hAnsi="Palatino Linotype"/>
          <w:color w:val="000000" w:themeColor="text1"/>
        </w:rPr>
      </w:pPr>
    </w:p>
    <w:sectPr w:rsidR="00E9165C" w:rsidRPr="004533D3" w:rsidSect="00DE46FA">
      <w:headerReference w:type="default" r:id="rId12"/>
      <w:footerReference w:type="default" r:id="rId13"/>
      <w:headerReference w:type="first" r:id="rId14"/>
      <w:footerReference w:type="first" r:id="rId15"/>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B6" w:rsidRDefault="001925B6" w:rsidP="00B97067">
      <w:r>
        <w:separator/>
      </w:r>
    </w:p>
  </w:endnote>
  <w:endnote w:type="continuationSeparator" w:id="0">
    <w:p w:rsidR="001925B6" w:rsidRDefault="001925B6" w:rsidP="00B9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D3" w:rsidRPr="00DE46FA" w:rsidRDefault="004533D3">
    <w:pPr>
      <w:pBdr>
        <w:top w:val="nil"/>
        <w:left w:val="nil"/>
        <w:bottom w:val="nil"/>
        <w:right w:val="nil"/>
        <w:between w:val="nil"/>
      </w:pBdr>
      <w:tabs>
        <w:tab w:val="center" w:pos="4252"/>
        <w:tab w:val="right" w:pos="8504"/>
      </w:tabs>
      <w:jc w:val="right"/>
      <w:rPr>
        <w:rFonts w:ascii="Palatino Linotype" w:eastAsia="Arial" w:hAnsi="Palatino Linotype" w:cs="Arial"/>
        <w:color w:val="000000"/>
        <w:szCs w:val="20"/>
      </w:rPr>
    </w:pPr>
    <w:r w:rsidRPr="00DE46FA">
      <w:rPr>
        <w:rFonts w:ascii="Palatino Linotype" w:eastAsia="Arial" w:hAnsi="Palatino Linotype" w:cs="Arial"/>
        <w:b/>
        <w:color w:val="000000"/>
        <w:szCs w:val="20"/>
      </w:rPr>
      <w:t xml:space="preserve">Página </w:t>
    </w:r>
    <w:r w:rsidRPr="00DE46FA">
      <w:rPr>
        <w:rFonts w:ascii="Palatino Linotype" w:eastAsia="Arial" w:hAnsi="Palatino Linotype" w:cs="Arial"/>
        <w:b/>
        <w:color w:val="000000"/>
        <w:szCs w:val="20"/>
      </w:rPr>
      <w:fldChar w:fldCharType="begin"/>
    </w:r>
    <w:r w:rsidRPr="00DE46FA">
      <w:rPr>
        <w:rFonts w:ascii="Palatino Linotype" w:eastAsia="Arial" w:hAnsi="Palatino Linotype" w:cs="Arial"/>
        <w:b/>
        <w:color w:val="000000"/>
        <w:szCs w:val="20"/>
      </w:rPr>
      <w:instrText>PAGE</w:instrText>
    </w:r>
    <w:r w:rsidRPr="00DE46FA">
      <w:rPr>
        <w:rFonts w:ascii="Palatino Linotype" w:eastAsia="Arial" w:hAnsi="Palatino Linotype" w:cs="Arial"/>
        <w:b/>
        <w:color w:val="000000"/>
        <w:szCs w:val="20"/>
      </w:rPr>
      <w:fldChar w:fldCharType="separate"/>
    </w:r>
    <w:r w:rsidR="00415822">
      <w:rPr>
        <w:rFonts w:ascii="Palatino Linotype" w:eastAsia="Arial" w:hAnsi="Palatino Linotype" w:cs="Arial"/>
        <w:b/>
        <w:noProof/>
        <w:color w:val="000000"/>
        <w:szCs w:val="20"/>
      </w:rPr>
      <w:t>2</w:t>
    </w:r>
    <w:r w:rsidRPr="00DE46FA">
      <w:rPr>
        <w:rFonts w:ascii="Palatino Linotype" w:eastAsia="Arial" w:hAnsi="Palatino Linotype" w:cs="Arial"/>
        <w:b/>
        <w:color w:val="000000"/>
        <w:szCs w:val="20"/>
      </w:rPr>
      <w:fldChar w:fldCharType="end"/>
    </w:r>
    <w:r w:rsidRPr="00DE46FA">
      <w:rPr>
        <w:rFonts w:ascii="Palatino Linotype" w:eastAsia="Arial" w:hAnsi="Palatino Linotype" w:cs="Arial"/>
        <w:color w:val="000000"/>
        <w:szCs w:val="20"/>
      </w:rPr>
      <w:t xml:space="preserve"> de </w:t>
    </w:r>
    <w:r w:rsidRPr="00DE46FA">
      <w:rPr>
        <w:rFonts w:ascii="Palatino Linotype" w:eastAsia="Arial" w:hAnsi="Palatino Linotype" w:cs="Arial"/>
        <w:b/>
        <w:color w:val="000000"/>
        <w:szCs w:val="20"/>
      </w:rPr>
      <w:fldChar w:fldCharType="begin"/>
    </w:r>
    <w:r w:rsidRPr="00DE46FA">
      <w:rPr>
        <w:rFonts w:ascii="Palatino Linotype" w:eastAsia="Arial" w:hAnsi="Palatino Linotype" w:cs="Arial"/>
        <w:b/>
        <w:color w:val="000000"/>
        <w:szCs w:val="20"/>
      </w:rPr>
      <w:instrText>NUMPAGES</w:instrText>
    </w:r>
    <w:r w:rsidRPr="00DE46FA">
      <w:rPr>
        <w:rFonts w:ascii="Palatino Linotype" w:eastAsia="Arial" w:hAnsi="Palatino Linotype" w:cs="Arial"/>
        <w:b/>
        <w:color w:val="000000"/>
        <w:szCs w:val="20"/>
      </w:rPr>
      <w:fldChar w:fldCharType="separate"/>
    </w:r>
    <w:r w:rsidR="00415822">
      <w:rPr>
        <w:rFonts w:ascii="Palatino Linotype" w:eastAsia="Arial" w:hAnsi="Palatino Linotype" w:cs="Arial"/>
        <w:b/>
        <w:noProof/>
        <w:color w:val="000000"/>
        <w:szCs w:val="20"/>
      </w:rPr>
      <w:t>66</w:t>
    </w:r>
    <w:r w:rsidRPr="00DE46FA">
      <w:rPr>
        <w:rFonts w:ascii="Palatino Linotype" w:eastAsia="Arial" w:hAnsi="Palatino Linotype" w:cs="Arial"/>
        <w:b/>
        <w:color w:val="000000"/>
        <w:szCs w:val="20"/>
      </w:rPr>
      <w:fldChar w:fldCharType="end"/>
    </w:r>
  </w:p>
  <w:p w:rsidR="004533D3" w:rsidRDefault="004533D3">
    <w:pPr>
      <w:pBdr>
        <w:top w:val="nil"/>
        <w:left w:val="nil"/>
        <w:bottom w:val="nil"/>
        <w:right w:val="nil"/>
        <w:between w:val="nil"/>
      </w:pBdr>
      <w:tabs>
        <w:tab w:val="center" w:pos="4252"/>
        <w:tab w:val="right" w:pos="8504"/>
      </w:tabs>
      <w:rPr>
        <w:color w:val="000000"/>
      </w:rPr>
    </w:pPr>
  </w:p>
  <w:p w:rsidR="004533D3" w:rsidRDefault="004533D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D3" w:rsidRDefault="004533D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582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5822">
      <w:rPr>
        <w:rFonts w:ascii="Arial" w:eastAsia="Arial" w:hAnsi="Arial" w:cs="Arial"/>
        <w:b/>
        <w:noProof/>
        <w:color w:val="000000"/>
        <w:sz w:val="20"/>
        <w:szCs w:val="20"/>
      </w:rPr>
      <w:t>66</w:t>
    </w:r>
    <w:r>
      <w:rPr>
        <w:rFonts w:ascii="Arial" w:eastAsia="Arial" w:hAnsi="Arial" w:cs="Arial"/>
        <w:b/>
        <w:color w:val="000000"/>
        <w:sz w:val="20"/>
        <w:szCs w:val="20"/>
      </w:rPr>
      <w:fldChar w:fldCharType="end"/>
    </w:r>
  </w:p>
  <w:p w:rsidR="004533D3" w:rsidRDefault="004533D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B6" w:rsidRDefault="001925B6" w:rsidP="00B97067">
      <w:r>
        <w:separator/>
      </w:r>
    </w:p>
  </w:footnote>
  <w:footnote w:type="continuationSeparator" w:id="0">
    <w:p w:rsidR="001925B6" w:rsidRDefault="001925B6" w:rsidP="00B97067">
      <w:r>
        <w:continuationSeparator/>
      </w:r>
    </w:p>
  </w:footnote>
  <w:footnote w:id="1">
    <w:p w:rsidR="004533D3" w:rsidRDefault="004533D3" w:rsidP="00B970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4533D3" w:rsidRDefault="004533D3" w:rsidP="00B970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4533D3" w:rsidRDefault="004533D3" w:rsidP="00B970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4533D3" w:rsidRDefault="004533D3" w:rsidP="00B970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4533D3" w:rsidRDefault="004533D3" w:rsidP="00B970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977" w:type="dxa"/>
      <w:tblLayout w:type="fixed"/>
      <w:tblLook w:val="0400" w:firstRow="0" w:lastRow="0" w:firstColumn="0" w:lastColumn="0" w:noHBand="0" w:noVBand="1"/>
    </w:tblPr>
    <w:tblGrid>
      <w:gridCol w:w="2693"/>
      <w:gridCol w:w="4820"/>
    </w:tblGrid>
    <w:tr w:rsidR="004533D3" w:rsidTr="004533D3">
      <w:tc>
        <w:tcPr>
          <w:tcW w:w="2693" w:type="dxa"/>
          <w:vAlign w:val="center"/>
        </w:tcPr>
        <w:p w:rsidR="004533D3" w:rsidRPr="004533D3" w:rsidRDefault="004533D3" w:rsidP="004533D3">
          <w:pPr>
            <w:rPr>
              <w:rFonts w:ascii="Palatino Linotype" w:eastAsia="Palatino Linotype" w:hAnsi="Palatino Linotype" w:cs="Palatino Linotype"/>
              <w:b/>
            </w:rPr>
          </w:pPr>
          <w:r w:rsidRPr="004533D3">
            <w:rPr>
              <w:rFonts w:ascii="Palatino Linotype" w:eastAsia="Palatino Linotype" w:hAnsi="Palatino Linotype" w:cs="Palatino Linotype"/>
              <w:b/>
            </w:rPr>
            <w:t>Recurso de Revisión:</w:t>
          </w:r>
        </w:p>
      </w:tc>
      <w:tc>
        <w:tcPr>
          <w:tcW w:w="4820" w:type="dxa"/>
          <w:vAlign w:val="center"/>
        </w:tcPr>
        <w:p w:rsidR="004533D3" w:rsidRPr="004533D3" w:rsidRDefault="004533D3" w:rsidP="004533D3">
          <w:pPr>
            <w:ind w:left="-108"/>
            <w:rPr>
              <w:rFonts w:ascii="Palatino Linotype" w:eastAsia="Palatino Linotype" w:hAnsi="Palatino Linotype" w:cs="Palatino Linotype"/>
            </w:rPr>
          </w:pPr>
          <w:r w:rsidRPr="004533D3">
            <w:rPr>
              <w:rFonts w:ascii="Palatino Linotype" w:eastAsia="Palatino Linotype" w:hAnsi="Palatino Linotype" w:cs="Palatino Linotype"/>
            </w:rPr>
            <w:t>07618/INFOEM/IP/RR/2025 y acumulado</w:t>
          </w:r>
        </w:p>
      </w:tc>
    </w:tr>
    <w:tr w:rsidR="004533D3" w:rsidTr="004533D3">
      <w:trPr>
        <w:trHeight w:val="228"/>
      </w:trPr>
      <w:tc>
        <w:tcPr>
          <w:tcW w:w="2693" w:type="dxa"/>
          <w:vAlign w:val="center"/>
        </w:tcPr>
        <w:p w:rsidR="004533D3" w:rsidRPr="004533D3" w:rsidRDefault="004533D3" w:rsidP="004533D3">
          <w:pPr>
            <w:rPr>
              <w:rFonts w:ascii="Palatino Linotype" w:eastAsia="Palatino Linotype" w:hAnsi="Palatino Linotype" w:cs="Palatino Linotype"/>
              <w:b/>
            </w:rPr>
          </w:pPr>
          <w:r w:rsidRPr="004533D3">
            <w:rPr>
              <w:rFonts w:ascii="Palatino Linotype" w:eastAsia="Palatino Linotype" w:hAnsi="Palatino Linotype" w:cs="Palatino Linotype"/>
              <w:b/>
            </w:rPr>
            <w:t>Sujeto Obligado:</w:t>
          </w:r>
        </w:p>
      </w:tc>
      <w:tc>
        <w:tcPr>
          <w:tcW w:w="4820" w:type="dxa"/>
          <w:vAlign w:val="center"/>
        </w:tcPr>
        <w:p w:rsidR="004533D3" w:rsidRPr="004533D3" w:rsidRDefault="004533D3" w:rsidP="004533D3">
          <w:pPr>
            <w:ind w:left="-108"/>
            <w:rPr>
              <w:rFonts w:ascii="Palatino Linotype" w:eastAsia="Palatino Linotype" w:hAnsi="Palatino Linotype" w:cs="Palatino Linotype"/>
            </w:rPr>
          </w:pPr>
          <w:r w:rsidRPr="004533D3">
            <w:rPr>
              <w:rFonts w:ascii="Palatino Linotype" w:eastAsia="Palatino Linotype" w:hAnsi="Palatino Linotype" w:cs="Palatino Linotype"/>
              <w:color w:val="000000"/>
            </w:rPr>
            <w:t>Ayuntamiento de Ecatepec de Morelos</w:t>
          </w:r>
        </w:p>
      </w:tc>
    </w:tr>
    <w:tr w:rsidR="004533D3" w:rsidTr="004533D3">
      <w:tc>
        <w:tcPr>
          <w:tcW w:w="2693" w:type="dxa"/>
          <w:vAlign w:val="center"/>
        </w:tcPr>
        <w:p w:rsidR="004533D3" w:rsidRPr="004533D3" w:rsidRDefault="004533D3" w:rsidP="004533D3">
          <w:pPr>
            <w:rPr>
              <w:rFonts w:ascii="Palatino Linotype" w:eastAsia="Palatino Linotype" w:hAnsi="Palatino Linotype" w:cs="Palatino Linotype"/>
              <w:b/>
            </w:rPr>
          </w:pPr>
          <w:r w:rsidRPr="004533D3">
            <w:rPr>
              <w:rFonts w:ascii="Palatino Linotype" w:eastAsia="Palatino Linotype" w:hAnsi="Palatino Linotype" w:cs="Palatino Linotype"/>
              <w:b/>
            </w:rPr>
            <w:t>Comisionada Ponente:</w:t>
          </w:r>
        </w:p>
      </w:tc>
      <w:tc>
        <w:tcPr>
          <w:tcW w:w="4820" w:type="dxa"/>
          <w:vAlign w:val="center"/>
        </w:tcPr>
        <w:p w:rsidR="004533D3" w:rsidRPr="004533D3" w:rsidRDefault="004533D3" w:rsidP="004533D3">
          <w:pPr>
            <w:ind w:left="-108"/>
            <w:rPr>
              <w:rFonts w:ascii="Palatino Linotype" w:eastAsia="Palatino Linotype" w:hAnsi="Palatino Linotype" w:cs="Palatino Linotype"/>
            </w:rPr>
          </w:pPr>
          <w:r w:rsidRPr="004533D3">
            <w:rPr>
              <w:rFonts w:ascii="Palatino Linotype" w:eastAsia="Palatino Linotype" w:hAnsi="Palatino Linotype" w:cs="Palatino Linotype"/>
            </w:rPr>
            <w:t>María del Rosario Mejía Ayala</w:t>
          </w:r>
        </w:p>
      </w:tc>
    </w:tr>
  </w:tbl>
  <w:p w:rsidR="004533D3" w:rsidRDefault="00DE46F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0EBB173E" wp14:editId="3A775BFF">
          <wp:simplePos x="0" y="0"/>
          <wp:positionH relativeFrom="page">
            <wp:posOffset>11849</wp:posOffset>
          </wp:positionH>
          <wp:positionV relativeFrom="paragraph">
            <wp:posOffset>-1184191</wp:posOffset>
          </wp:positionV>
          <wp:extent cx="7813085" cy="10170000"/>
          <wp:effectExtent l="0" t="0" r="0" b="317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4533D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119" w:type="dxa"/>
      <w:tblLayout w:type="fixed"/>
      <w:tblLook w:val="0400" w:firstRow="0" w:lastRow="0" w:firstColumn="0" w:lastColumn="0" w:noHBand="0" w:noVBand="1"/>
    </w:tblPr>
    <w:tblGrid>
      <w:gridCol w:w="2693"/>
      <w:gridCol w:w="4678"/>
    </w:tblGrid>
    <w:tr w:rsidR="004533D3" w:rsidRPr="00373DB9" w:rsidTr="004533D3">
      <w:tc>
        <w:tcPr>
          <w:tcW w:w="2693" w:type="dxa"/>
          <w:vAlign w:val="center"/>
        </w:tcPr>
        <w:p w:rsidR="004533D3" w:rsidRPr="004533D3" w:rsidRDefault="004533D3" w:rsidP="004533D3">
          <w:pPr>
            <w:rPr>
              <w:rFonts w:ascii="Palatino Linotype" w:eastAsia="Palatino Linotype" w:hAnsi="Palatino Linotype" w:cs="Palatino Linotype"/>
              <w:b/>
            </w:rPr>
          </w:pPr>
          <w:r w:rsidRPr="004533D3">
            <w:rPr>
              <w:rFonts w:ascii="Palatino Linotype" w:eastAsia="Palatino Linotype" w:hAnsi="Palatino Linotype" w:cs="Palatino Linotype"/>
              <w:b/>
            </w:rPr>
            <w:t>Recurso de Revisión:</w:t>
          </w:r>
        </w:p>
      </w:tc>
      <w:tc>
        <w:tcPr>
          <w:tcW w:w="4678" w:type="dxa"/>
          <w:vAlign w:val="center"/>
        </w:tcPr>
        <w:p w:rsidR="004533D3" w:rsidRPr="004533D3" w:rsidRDefault="004533D3" w:rsidP="004533D3">
          <w:pPr>
            <w:rPr>
              <w:rFonts w:ascii="Palatino Linotype" w:eastAsia="Palatino Linotype" w:hAnsi="Palatino Linotype" w:cs="Palatino Linotype"/>
            </w:rPr>
          </w:pPr>
          <w:r w:rsidRPr="004533D3">
            <w:rPr>
              <w:rFonts w:ascii="Palatino Linotype" w:eastAsia="Palatino Linotype" w:hAnsi="Palatino Linotype" w:cs="Palatino Linotype"/>
            </w:rPr>
            <w:t>07618/INFOEM/IP/RR/2025 y acumulado</w:t>
          </w:r>
        </w:p>
      </w:tc>
    </w:tr>
    <w:tr w:rsidR="004533D3" w:rsidRPr="00373DB9" w:rsidTr="004533D3">
      <w:tc>
        <w:tcPr>
          <w:tcW w:w="2693" w:type="dxa"/>
          <w:vAlign w:val="center"/>
        </w:tcPr>
        <w:p w:rsidR="004533D3" w:rsidRPr="004533D3" w:rsidRDefault="004533D3" w:rsidP="004533D3">
          <w:pPr>
            <w:ind w:left="35" w:hanging="35"/>
            <w:rPr>
              <w:rFonts w:ascii="Palatino Linotype" w:eastAsia="Palatino Linotype" w:hAnsi="Palatino Linotype" w:cs="Palatino Linotype"/>
              <w:b/>
            </w:rPr>
          </w:pPr>
          <w:r w:rsidRPr="004533D3">
            <w:rPr>
              <w:rFonts w:ascii="Palatino Linotype" w:eastAsia="Palatino Linotype" w:hAnsi="Palatino Linotype" w:cs="Palatino Linotype"/>
              <w:b/>
            </w:rPr>
            <w:t>Recurrente:</w:t>
          </w:r>
        </w:p>
      </w:tc>
      <w:tc>
        <w:tcPr>
          <w:tcW w:w="4678" w:type="dxa"/>
          <w:vAlign w:val="center"/>
        </w:tcPr>
        <w:p w:rsidR="004533D3" w:rsidRPr="004533D3" w:rsidRDefault="00415822" w:rsidP="004533D3">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4533D3" w:rsidRPr="00373DB9" w:rsidTr="004533D3">
      <w:trPr>
        <w:trHeight w:val="228"/>
      </w:trPr>
      <w:tc>
        <w:tcPr>
          <w:tcW w:w="2693" w:type="dxa"/>
          <w:vAlign w:val="center"/>
        </w:tcPr>
        <w:p w:rsidR="004533D3" w:rsidRPr="004533D3" w:rsidRDefault="004533D3" w:rsidP="004533D3">
          <w:pPr>
            <w:rPr>
              <w:rFonts w:ascii="Palatino Linotype" w:eastAsia="Palatino Linotype" w:hAnsi="Palatino Linotype" w:cs="Palatino Linotype"/>
              <w:b/>
            </w:rPr>
          </w:pPr>
          <w:r w:rsidRPr="004533D3">
            <w:rPr>
              <w:rFonts w:ascii="Palatino Linotype" w:eastAsia="Palatino Linotype" w:hAnsi="Palatino Linotype" w:cs="Palatino Linotype"/>
              <w:b/>
            </w:rPr>
            <w:t>Sujeto Obligado:</w:t>
          </w:r>
        </w:p>
      </w:tc>
      <w:tc>
        <w:tcPr>
          <w:tcW w:w="4678" w:type="dxa"/>
          <w:vAlign w:val="center"/>
        </w:tcPr>
        <w:p w:rsidR="004533D3" w:rsidRPr="004533D3" w:rsidRDefault="004533D3" w:rsidP="004533D3">
          <w:pPr>
            <w:ind w:hanging="35"/>
            <w:rPr>
              <w:rFonts w:ascii="Palatino Linotype" w:eastAsia="Palatino Linotype" w:hAnsi="Palatino Linotype" w:cs="Palatino Linotype"/>
            </w:rPr>
          </w:pPr>
          <w:r w:rsidRPr="004533D3">
            <w:rPr>
              <w:rFonts w:ascii="Palatino Linotype" w:eastAsia="Palatino Linotype" w:hAnsi="Palatino Linotype" w:cs="Palatino Linotype"/>
              <w:color w:val="000000"/>
            </w:rPr>
            <w:t>Ayuntamiento de Ecatepec de Morelos</w:t>
          </w:r>
        </w:p>
      </w:tc>
    </w:tr>
    <w:tr w:rsidR="004533D3" w:rsidRPr="00373DB9" w:rsidTr="004533D3">
      <w:tc>
        <w:tcPr>
          <w:tcW w:w="2693" w:type="dxa"/>
          <w:vAlign w:val="center"/>
        </w:tcPr>
        <w:p w:rsidR="004533D3" w:rsidRPr="004533D3" w:rsidRDefault="004533D3" w:rsidP="004533D3">
          <w:pPr>
            <w:rPr>
              <w:rFonts w:ascii="Palatino Linotype" w:eastAsia="Palatino Linotype" w:hAnsi="Palatino Linotype" w:cs="Palatino Linotype"/>
              <w:b/>
            </w:rPr>
          </w:pPr>
          <w:r w:rsidRPr="004533D3">
            <w:rPr>
              <w:rFonts w:ascii="Palatino Linotype" w:eastAsia="Palatino Linotype" w:hAnsi="Palatino Linotype" w:cs="Palatino Linotype"/>
              <w:b/>
            </w:rPr>
            <w:t>Comisionada Ponente:</w:t>
          </w:r>
        </w:p>
      </w:tc>
      <w:tc>
        <w:tcPr>
          <w:tcW w:w="4678" w:type="dxa"/>
          <w:vAlign w:val="center"/>
        </w:tcPr>
        <w:p w:rsidR="004533D3" w:rsidRPr="004533D3" w:rsidRDefault="004533D3" w:rsidP="004533D3">
          <w:pPr>
            <w:rPr>
              <w:rFonts w:ascii="Palatino Linotype" w:eastAsia="Palatino Linotype" w:hAnsi="Palatino Linotype" w:cs="Palatino Linotype"/>
            </w:rPr>
          </w:pPr>
          <w:r w:rsidRPr="004533D3">
            <w:rPr>
              <w:rFonts w:ascii="Palatino Linotype" w:eastAsia="Palatino Linotype" w:hAnsi="Palatino Linotype" w:cs="Palatino Linotype"/>
            </w:rPr>
            <w:t>María del Rosario Mejía Ayala</w:t>
          </w:r>
        </w:p>
      </w:tc>
    </w:tr>
  </w:tbl>
  <w:p w:rsidR="004533D3" w:rsidRDefault="00DE46FA">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2A78A5FB" wp14:editId="71845B95">
          <wp:simplePos x="0" y="0"/>
          <wp:positionH relativeFrom="page">
            <wp:posOffset>101840</wp:posOffset>
          </wp:positionH>
          <wp:positionV relativeFrom="paragraph">
            <wp:posOffset>-1397072</wp:posOffset>
          </wp:positionV>
          <wp:extent cx="7813085" cy="10170000"/>
          <wp:effectExtent l="0" t="0" r="0" b="317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3A2FD0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802B6"/>
    <w:multiLevelType w:val="multilevel"/>
    <w:tmpl w:val="716CA79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04A84AE4"/>
    <w:multiLevelType w:val="multilevel"/>
    <w:tmpl w:val="A52044C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AB7F5A"/>
    <w:multiLevelType w:val="multilevel"/>
    <w:tmpl w:val="0A20EC0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118669D2"/>
    <w:multiLevelType w:val="hybridMultilevel"/>
    <w:tmpl w:val="0B7C1916"/>
    <w:lvl w:ilvl="0" w:tplc="CBC844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17944C16"/>
    <w:multiLevelType w:val="multilevel"/>
    <w:tmpl w:val="46523B26"/>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1EB7376"/>
    <w:multiLevelType w:val="hybridMultilevel"/>
    <w:tmpl w:val="B868EAF0"/>
    <w:lvl w:ilvl="0" w:tplc="DFB6DBA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F2853"/>
    <w:multiLevelType w:val="hybridMultilevel"/>
    <w:tmpl w:val="6BF65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CA679E"/>
    <w:multiLevelType w:val="multilevel"/>
    <w:tmpl w:val="C84EF0F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8797F6F"/>
    <w:multiLevelType w:val="hybridMultilevel"/>
    <w:tmpl w:val="5742ED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B5E0808"/>
    <w:multiLevelType w:val="multilevel"/>
    <w:tmpl w:val="72AA69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3B30D1"/>
    <w:multiLevelType w:val="multilevel"/>
    <w:tmpl w:val="FB8A71B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7A066F"/>
    <w:multiLevelType w:val="multilevel"/>
    <w:tmpl w:val="F0FCB94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15:restartNumberingAfterBreak="0">
    <w:nsid w:val="51950A19"/>
    <w:multiLevelType w:val="multilevel"/>
    <w:tmpl w:val="22440B1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2" w15:restartNumberingAfterBreak="0">
    <w:nsid w:val="53AD56C9"/>
    <w:multiLevelType w:val="multilevel"/>
    <w:tmpl w:val="3A5E926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3D67040"/>
    <w:multiLevelType w:val="multilevel"/>
    <w:tmpl w:val="1D9EA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F2507B"/>
    <w:multiLevelType w:val="hybridMultilevel"/>
    <w:tmpl w:val="3F029E80"/>
    <w:lvl w:ilvl="0" w:tplc="0C3EE97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15:restartNumberingAfterBreak="0">
    <w:nsid w:val="58127F18"/>
    <w:multiLevelType w:val="multilevel"/>
    <w:tmpl w:val="13305B2A"/>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9" w15:restartNumberingAfterBreak="0">
    <w:nsid w:val="5C200618"/>
    <w:multiLevelType w:val="multilevel"/>
    <w:tmpl w:val="DCEA8106"/>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321368"/>
    <w:multiLevelType w:val="hybridMultilevel"/>
    <w:tmpl w:val="2CBC6C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EFA5D27"/>
    <w:multiLevelType w:val="hybridMultilevel"/>
    <w:tmpl w:val="3D7E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410420"/>
    <w:multiLevelType w:val="multilevel"/>
    <w:tmpl w:val="EFCE3984"/>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2232C9"/>
    <w:multiLevelType w:val="multilevel"/>
    <w:tmpl w:val="1266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7" w15:restartNumberingAfterBreak="0">
    <w:nsid w:val="708620EB"/>
    <w:multiLevelType w:val="multilevel"/>
    <w:tmpl w:val="F97835B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0B633ED"/>
    <w:multiLevelType w:val="multilevel"/>
    <w:tmpl w:val="9190CF8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9" w15:restartNumberingAfterBreak="0">
    <w:nsid w:val="71B86369"/>
    <w:multiLevelType w:val="multilevel"/>
    <w:tmpl w:val="F884941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0"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1" w15:restartNumberingAfterBreak="0">
    <w:nsid w:val="76BF500A"/>
    <w:multiLevelType w:val="multilevel"/>
    <w:tmpl w:val="BD40DCA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2" w15:restartNumberingAfterBreak="0">
    <w:nsid w:val="771F234A"/>
    <w:multiLevelType w:val="hybridMultilevel"/>
    <w:tmpl w:val="2BDE5A20"/>
    <w:lvl w:ilvl="0" w:tplc="AF8284B8">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3" w15:restartNumberingAfterBreak="0">
    <w:nsid w:val="785B7E86"/>
    <w:multiLevelType w:val="multilevel"/>
    <w:tmpl w:val="6AD25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6"/>
  </w:num>
  <w:num w:numId="3">
    <w:abstractNumId w:val="13"/>
  </w:num>
  <w:num w:numId="4">
    <w:abstractNumId w:val="17"/>
  </w:num>
  <w:num w:numId="5">
    <w:abstractNumId w:val="21"/>
  </w:num>
  <w:num w:numId="6">
    <w:abstractNumId w:val="4"/>
  </w:num>
  <w:num w:numId="7">
    <w:abstractNumId w:val="31"/>
  </w:num>
  <w:num w:numId="8">
    <w:abstractNumId w:val="25"/>
  </w:num>
  <w:num w:numId="9">
    <w:abstractNumId w:val="5"/>
  </w:num>
  <w:num w:numId="10">
    <w:abstractNumId w:val="28"/>
  </w:num>
  <w:num w:numId="11">
    <w:abstractNumId w:val="6"/>
  </w:num>
  <w:num w:numId="12">
    <w:abstractNumId w:val="11"/>
  </w:num>
  <w:num w:numId="13">
    <w:abstractNumId w:val="26"/>
  </w:num>
  <w:num w:numId="14">
    <w:abstractNumId w:val="18"/>
  </w:num>
  <w:num w:numId="15">
    <w:abstractNumId w:val="12"/>
  </w:num>
  <w:num w:numId="16">
    <w:abstractNumId w:val="7"/>
  </w:num>
  <w:num w:numId="17">
    <w:abstractNumId w:val="38"/>
  </w:num>
  <w:num w:numId="18">
    <w:abstractNumId w:val="41"/>
  </w:num>
  <w:num w:numId="19">
    <w:abstractNumId w:val="29"/>
  </w:num>
  <w:num w:numId="20">
    <w:abstractNumId w:val="9"/>
  </w:num>
  <w:num w:numId="21">
    <w:abstractNumId w:val="20"/>
  </w:num>
  <w:num w:numId="22">
    <w:abstractNumId w:val="37"/>
  </w:num>
  <w:num w:numId="23">
    <w:abstractNumId w:val="30"/>
  </w:num>
  <w:num w:numId="24">
    <w:abstractNumId w:val="43"/>
  </w:num>
  <w:num w:numId="25">
    <w:abstractNumId w:val="40"/>
  </w:num>
  <w:num w:numId="26">
    <w:abstractNumId w:val="0"/>
  </w:num>
  <w:num w:numId="27">
    <w:abstractNumId w:val="24"/>
  </w:num>
  <w:num w:numId="28">
    <w:abstractNumId w:val="33"/>
  </w:num>
  <w:num w:numId="29">
    <w:abstractNumId w:val="16"/>
  </w:num>
  <w:num w:numId="30">
    <w:abstractNumId w:val="34"/>
  </w:num>
  <w:num w:numId="31">
    <w:abstractNumId w:val="1"/>
  </w:num>
  <w:num w:numId="32">
    <w:abstractNumId w:val="35"/>
  </w:num>
  <w:num w:numId="33">
    <w:abstractNumId w:val="23"/>
  </w:num>
  <w:num w:numId="34">
    <w:abstractNumId w:val="15"/>
  </w:num>
  <w:num w:numId="35">
    <w:abstractNumId w:val="14"/>
  </w:num>
  <w:num w:numId="36">
    <w:abstractNumId w:val="10"/>
  </w:num>
  <w:num w:numId="37">
    <w:abstractNumId w:val="22"/>
  </w:num>
  <w:num w:numId="38">
    <w:abstractNumId w:val="32"/>
  </w:num>
  <w:num w:numId="39">
    <w:abstractNumId w:val="39"/>
  </w:num>
  <w:num w:numId="40">
    <w:abstractNumId w:val="19"/>
  </w:num>
  <w:num w:numId="41">
    <w:abstractNumId w:val="2"/>
  </w:num>
  <w:num w:numId="42">
    <w:abstractNumId w:val="42"/>
  </w:num>
  <w:num w:numId="43">
    <w:abstractNumId w:val="27"/>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67"/>
    <w:rsid w:val="00052674"/>
    <w:rsid w:val="000632B0"/>
    <w:rsid w:val="00072383"/>
    <w:rsid w:val="00094307"/>
    <w:rsid w:val="00134858"/>
    <w:rsid w:val="001747BF"/>
    <w:rsid w:val="001925B6"/>
    <w:rsid w:val="00277E9B"/>
    <w:rsid w:val="0028336C"/>
    <w:rsid w:val="00283DF6"/>
    <w:rsid w:val="002A111F"/>
    <w:rsid w:val="002E5208"/>
    <w:rsid w:val="00346A19"/>
    <w:rsid w:val="00357064"/>
    <w:rsid w:val="0036135A"/>
    <w:rsid w:val="00362770"/>
    <w:rsid w:val="00373757"/>
    <w:rsid w:val="00383BE4"/>
    <w:rsid w:val="003866B5"/>
    <w:rsid w:val="003871EB"/>
    <w:rsid w:val="004153ED"/>
    <w:rsid w:val="00415822"/>
    <w:rsid w:val="00441D23"/>
    <w:rsid w:val="004533D3"/>
    <w:rsid w:val="004E1D93"/>
    <w:rsid w:val="00550C64"/>
    <w:rsid w:val="005904FF"/>
    <w:rsid w:val="006155AF"/>
    <w:rsid w:val="00674A21"/>
    <w:rsid w:val="006E1CC5"/>
    <w:rsid w:val="007455EB"/>
    <w:rsid w:val="00792312"/>
    <w:rsid w:val="007A7BFB"/>
    <w:rsid w:val="00835EA3"/>
    <w:rsid w:val="0085635A"/>
    <w:rsid w:val="00874EE9"/>
    <w:rsid w:val="0088312F"/>
    <w:rsid w:val="008C3F97"/>
    <w:rsid w:val="0094587F"/>
    <w:rsid w:val="009925E6"/>
    <w:rsid w:val="009B70C4"/>
    <w:rsid w:val="009D429C"/>
    <w:rsid w:val="009D68B2"/>
    <w:rsid w:val="009E7ADC"/>
    <w:rsid w:val="00A73553"/>
    <w:rsid w:val="00A86A7D"/>
    <w:rsid w:val="00B5797F"/>
    <w:rsid w:val="00B800E6"/>
    <w:rsid w:val="00B97067"/>
    <w:rsid w:val="00BC3D36"/>
    <w:rsid w:val="00BF75C7"/>
    <w:rsid w:val="00C41D78"/>
    <w:rsid w:val="00CD340C"/>
    <w:rsid w:val="00CF506C"/>
    <w:rsid w:val="00DA1C63"/>
    <w:rsid w:val="00DE46FA"/>
    <w:rsid w:val="00E127D9"/>
    <w:rsid w:val="00E165AB"/>
    <w:rsid w:val="00E9165C"/>
    <w:rsid w:val="00EC134D"/>
    <w:rsid w:val="00F730C1"/>
    <w:rsid w:val="00FA5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42571B-2E2A-41EC-BFC4-56D5EDFA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6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7067"/>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7067"/>
    <w:pPr>
      <w:ind w:left="720"/>
      <w:contextualSpacing/>
    </w:pPr>
  </w:style>
  <w:style w:type="table" w:styleId="Tablaconcuadrcula">
    <w:name w:val="Table Grid"/>
    <w:basedOn w:val="Tablanormal"/>
    <w:uiPriority w:val="39"/>
    <w:rsid w:val="00B97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7067"/>
    <w:pPr>
      <w:tabs>
        <w:tab w:val="center" w:pos="4419"/>
        <w:tab w:val="right" w:pos="8838"/>
      </w:tabs>
    </w:pPr>
  </w:style>
  <w:style w:type="character" w:customStyle="1" w:styleId="EncabezadoCar">
    <w:name w:val="Encabezado Car"/>
    <w:basedOn w:val="Fuentedeprrafopredeter"/>
    <w:link w:val="Encabezado"/>
    <w:uiPriority w:val="99"/>
    <w:rsid w:val="00B970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97067"/>
    <w:pPr>
      <w:tabs>
        <w:tab w:val="center" w:pos="4419"/>
        <w:tab w:val="right" w:pos="8838"/>
      </w:tabs>
    </w:pPr>
  </w:style>
  <w:style w:type="character" w:customStyle="1" w:styleId="PiedepginaCar">
    <w:name w:val="Pie de página Car"/>
    <w:basedOn w:val="Fuentedeprrafopredeter"/>
    <w:link w:val="Piedepgina"/>
    <w:uiPriority w:val="99"/>
    <w:rsid w:val="00B97067"/>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97067"/>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B97067"/>
    <w:rPr>
      <w:color w:val="954F72" w:themeColor="followedHyperlink"/>
      <w:u w:val="single"/>
    </w:rPr>
  </w:style>
  <w:style w:type="paragraph" w:styleId="Lista">
    <w:name w:val="List"/>
    <w:basedOn w:val="Normal"/>
    <w:uiPriority w:val="99"/>
    <w:unhideWhenUsed/>
    <w:rsid w:val="00B97067"/>
    <w:pPr>
      <w:ind w:left="283" w:hanging="283"/>
      <w:contextualSpacing/>
    </w:pPr>
  </w:style>
  <w:style w:type="paragraph" w:styleId="Lista2">
    <w:name w:val="List 2"/>
    <w:basedOn w:val="Normal"/>
    <w:uiPriority w:val="99"/>
    <w:unhideWhenUsed/>
    <w:rsid w:val="00B97067"/>
    <w:pPr>
      <w:ind w:left="566" w:hanging="283"/>
      <w:contextualSpacing/>
    </w:pPr>
  </w:style>
  <w:style w:type="paragraph" w:styleId="Lista3">
    <w:name w:val="List 3"/>
    <w:basedOn w:val="Normal"/>
    <w:uiPriority w:val="99"/>
    <w:unhideWhenUsed/>
    <w:rsid w:val="00B97067"/>
    <w:pPr>
      <w:ind w:left="849" w:hanging="283"/>
      <w:contextualSpacing/>
    </w:pPr>
  </w:style>
  <w:style w:type="paragraph" w:styleId="Saludo">
    <w:name w:val="Salutation"/>
    <w:basedOn w:val="Normal"/>
    <w:next w:val="Normal"/>
    <w:link w:val="SaludoCar"/>
    <w:uiPriority w:val="99"/>
    <w:unhideWhenUsed/>
    <w:rsid w:val="00B97067"/>
  </w:style>
  <w:style w:type="character" w:customStyle="1" w:styleId="SaludoCar">
    <w:name w:val="Saludo Car"/>
    <w:basedOn w:val="Fuentedeprrafopredeter"/>
    <w:link w:val="Saludo"/>
    <w:uiPriority w:val="99"/>
    <w:rsid w:val="00B97067"/>
    <w:rPr>
      <w:rFonts w:ascii="Times New Roman" w:eastAsia="Times New Roman" w:hAnsi="Times New Roman" w:cs="Times New Roman"/>
      <w:sz w:val="24"/>
      <w:szCs w:val="24"/>
      <w:lang w:eastAsia="es-MX"/>
    </w:rPr>
  </w:style>
  <w:style w:type="paragraph" w:styleId="Listaconvietas2">
    <w:name w:val="List Bullet 2"/>
    <w:basedOn w:val="Normal"/>
    <w:uiPriority w:val="99"/>
    <w:unhideWhenUsed/>
    <w:rsid w:val="00B97067"/>
    <w:pPr>
      <w:numPr>
        <w:numId w:val="26"/>
      </w:numPr>
      <w:contextualSpacing/>
    </w:pPr>
  </w:style>
  <w:style w:type="paragraph" w:styleId="Continuarlista">
    <w:name w:val="List Continue"/>
    <w:basedOn w:val="Normal"/>
    <w:uiPriority w:val="99"/>
    <w:unhideWhenUsed/>
    <w:rsid w:val="00B97067"/>
    <w:pPr>
      <w:spacing w:after="120"/>
      <w:ind w:left="283"/>
      <w:contextualSpacing/>
    </w:pPr>
  </w:style>
  <w:style w:type="paragraph" w:styleId="Textoindependiente">
    <w:name w:val="Body Text"/>
    <w:basedOn w:val="Normal"/>
    <w:link w:val="TextoindependienteCar"/>
    <w:uiPriority w:val="99"/>
    <w:unhideWhenUsed/>
    <w:rsid w:val="00B97067"/>
    <w:pPr>
      <w:spacing w:after="120"/>
    </w:pPr>
  </w:style>
  <w:style w:type="character" w:customStyle="1" w:styleId="TextoindependienteCar">
    <w:name w:val="Texto independiente Car"/>
    <w:basedOn w:val="Fuentedeprrafopredeter"/>
    <w:link w:val="Textoindependiente"/>
    <w:uiPriority w:val="99"/>
    <w:rsid w:val="00B97067"/>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B97067"/>
    <w:pPr>
      <w:spacing w:after="120"/>
      <w:ind w:left="283"/>
    </w:pPr>
  </w:style>
  <w:style w:type="character" w:customStyle="1" w:styleId="SangradetextonormalCar">
    <w:name w:val="Sangría de texto normal Car"/>
    <w:basedOn w:val="Fuentedeprrafopredeter"/>
    <w:link w:val="Sangradetextonormal"/>
    <w:uiPriority w:val="99"/>
    <w:rsid w:val="00B97067"/>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B9706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9706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B9706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97067"/>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871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1EB"/>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www.sat.gob.mx/factura/Paginas/solicita_requisito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260B-9C53-47A5-899E-6D392F8C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66</Pages>
  <Words>16222</Words>
  <Characters>89227</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2025-08-29T16:47:00Z</cp:lastPrinted>
  <dcterms:created xsi:type="dcterms:W3CDTF">2025-08-20T20:48:00Z</dcterms:created>
  <dcterms:modified xsi:type="dcterms:W3CDTF">2025-09-08T18:10:00Z</dcterms:modified>
</cp:coreProperties>
</file>