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57" w:rsidRPr="002D0153" w:rsidRDefault="00CB4257" w:rsidP="002D0153">
      <w:pPr>
        <w:widowControl w:val="0"/>
        <w:pBdr>
          <w:top w:val="nil"/>
          <w:left w:val="nil"/>
          <w:bottom w:val="nil"/>
          <w:right w:val="nil"/>
          <w:between w:val="nil"/>
        </w:pBdr>
        <w:spacing w:line="276" w:lineRule="auto"/>
        <w:rPr>
          <w:rFonts w:ascii="Palatino Linotype" w:hAnsi="Palatino Linotype"/>
        </w:rPr>
      </w:pPr>
    </w:p>
    <w:p w:rsidR="00CB4257" w:rsidRPr="002D0153" w:rsidRDefault="00CB4257" w:rsidP="002D0153">
      <w:pPr>
        <w:widowControl w:val="0"/>
        <w:pBdr>
          <w:top w:val="nil"/>
          <w:left w:val="nil"/>
          <w:bottom w:val="nil"/>
          <w:right w:val="nil"/>
          <w:between w:val="nil"/>
        </w:pBdr>
        <w:spacing w:line="276" w:lineRule="auto"/>
        <w:rPr>
          <w:rFonts w:ascii="Palatino Linotype" w:hAnsi="Palatino Linotype"/>
        </w:rPr>
      </w:pPr>
    </w:p>
    <w:p w:rsidR="00CB4257" w:rsidRPr="002D0153" w:rsidRDefault="00CB4257" w:rsidP="002D0153">
      <w:pPr>
        <w:widowControl w:val="0"/>
        <w:pBdr>
          <w:top w:val="nil"/>
          <w:left w:val="nil"/>
          <w:bottom w:val="nil"/>
          <w:right w:val="nil"/>
          <w:between w:val="nil"/>
        </w:pBdr>
        <w:spacing w:line="276" w:lineRule="auto"/>
        <w:rPr>
          <w:rFonts w:ascii="Palatino Linotype" w:hAnsi="Palatino Linotype"/>
        </w:rPr>
      </w:pPr>
    </w:p>
    <w:p w:rsidR="00CB4257" w:rsidRPr="00EF247A" w:rsidRDefault="007B2F32" w:rsidP="002D0153">
      <w:pPr>
        <w:tabs>
          <w:tab w:val="left" w:pos="3465"/>
        </w:tabs>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ocho (08) de mayo de dos mil veinticinco.</w:t>
      </w:r>
    </w:p>
    <w:p w:rsidR="00CB4257" w:rsidRPr="00EF247A" w:rsidRDefault="00CB4257" w:rsidP="002D0153">
      <w:pPr>
        <w:tabs>
          <w:tab w:val="left" w:pos="3465"/>
        </w:tabs>
        <w:spacing w:line="360" w:lineRule="auto"/>
        <w:jc w:val="both"/>
        <w:rPr>
          <w:rFonts w:ascii="Palatino Linotype" w:eastAsia="Palatino Linotype" w:hAnsi="Palatino Linotype" w:cs="Palatino Linotype"/>
        </w:rPr>
      </w:pPr>
    </w:p>
    <w:p w:rsidR="00CB4257" w:rsidRPr="00EF247A" w:rsidRDefault="007B2F32" w:rsidP="002D0153">
      <w:pPr>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b/>
        </w:rPr>
        <w:t xml:space="preserve">VISTA </w:t>
      </w:r>
      <w:r w:rsidRPr="00EF247A">
        <w:rPr>
          <w:rFonts w:ascii="Palatino Linotype" w:eastAsia="Palatino Linotype" w:hAnsi="Palatino Linotype" w:cs="Palatino Linotype"/>
        </w:rPr>
        <w:t xml:space="preserve">las constancias para resolver </w:t>
      </w:r>
      <w:r w:rsidRPr="00EF247A">
        <w:rPr>
          <w:rFonts w:ascii="Palatino Linotype" w:eastAsia="Palatino Linotype" w:hAnsi="Palatino Linotype" w:cs="Palatino Linotype"/>
          <w:color w:val="000000"/>
        </w:rPr>
        <w:t xml:space="preserve">los Recursos de Revisión </w:t>
      </w:r>
      <w:r w:rsidRPr="00EF247A">
        <w:rPr>
          <w:rFonts w:ascii="Palatino Linotype" w:eastAsia="Palatino Linotype" w:hAnsi="Palatino Linotype" w:cs="Palatino Linotype"/>
          <w:b/>
          <w:color w:val="000000"/>
        </w:rPr>
        <w:t>00538/INFOEM/IP/RR</w:t>
      </w:r>
      <w:r w:rsidR="002D0153" w:rsidRPr="00EF247A">
        <w:rPr>
          <w:rFonts w:ascii="Palatino Linotype" w:eastAsia="Palatino Linotype" w:hAnsi="Palatino Linotype" w:cs="Palatino Linotype"/>
          <w:b/>
          <w:color w:val="000000"/>
        </w:rPr>
        <w:t>/2025 y 01898/INFOEM/IP/RR/2025</w:t>
      </w:r>
      <w:r w:rsidRPr="00EF247A">
        <w:rPr>
          <w:rFonts w:ascii="Palatino Linotype" w:eastAsia="Palatino Linotype" w:hAnsi="Palatino Linotype" w:cs="Palatino Linotype"/>
          <w:color w:val="000000"/>
        </w:rPr>
        <w:t xml:space="preserve">, promovidos por </w:t>
      </w:r>
      <w:r w:rsidR="00AE6CED">
        <w:rPr>
          <w:rFonts w:ascii="Palatino Linotype" w:eastAsia="Palatino Linotype" w:hAnsi="Palatino Linotype" w:cs="Palatino Linotype"/>
          <w:b/>
          <w:color w:val="000000"/>
        </w:rPr>
        <w:t>XXXX</w:t>
      </w:r>
      <w:r w:rsidRPr="00EF247A">
        <w:rPr>
          <w:rFonts w:ascii="Palatino Linotype" w:eastAsia="Palatino Linotype" w:hAnsi="Palatino Linotype" w:cs="Palatino Linotype"/>
          <w:color w:val="000000"/>
        </w:rPr>
        <w:t>,</w:t>
      </w:r>
      <w:r w:rsidRPr="00EF247A">
        <w:rPr>
          <w:rFonts w:ascii="Palatino Linotype" w:eastAsia="Palatino Linotype" w:hAnsi="Palatino Linotype" w:cs="Palatino Linotype"/>
        </w:rPr>
        <w:t xml:space="preserve"> en lo sucesivo </w:t>
      </w:r>
      <w:r w:rsidRPr="00EF247A">
        <w:rPr>
          <w:rFonts w:ascii="Palatino Linotype" w:eastAsia="Palatino Linotype" w:hAnsi="Palatino Linotype" w:cs="Palatino Linotype"/>
          <w:b/>
        </w:rPr>
        <w:t>EL RECURRENTE</w:t>
      </w:r>
      <w:r w:rsidRPr="00EF247A">
        <w:rPr>
          <w:rFonts w:ascii="Palatino Linotype" w:eastAsia="Palatino Linotype" w:hAnsi="Palatino Linotype" w:cs="Palatino Linotype"/>
        </w:rPr>
        <w:t xml:space="preserve">, en contra de las respuestas otorgadas a las solicitudes de información </w:t>
      </w:r>
      <w:r w:rsidRPr="00EF247A">
        <w:rPr>
          <w:rFonts w:ascii="Palatino Linotype" w:eastAsia="Palatino Linotype" w:hAnsi="Palatino Linotype" w:cs="Palatino Linotype"/>
          <w:b/>
        </w:rPr>
        <w:t>00005/OASNAUCAL/IP/2025 y 00042/OASNAUCAL/IP/2025</w:t>
      </w:r>
      <w:r w:rsidRPr="00EF247A">
        <w:rPr>
          <w:rFonts w:ascii="Palatino Linotype" w:eastAsia="Palatino Linotype" w:hAnsi="Palatino Linotype" w:cs="Palatino Linotype"/>
        </w:rPr>
        <w:t xml:space="preserve">, por parte del </w:t>
      </w:r>
      <w:r w:rsidRPr="00EF247A">
        <w:rPr>
          <w:rFonts w:ascii="Palatino Linotype" w:eastAsia="Palatino Linotype" w:hAnsi="Palatino Linotype" w:cs="Palatino Linotype"/>
          <w:b/>
        </w:rPr>
        <w:t xml:space="preserve">Organismo Público Descentralizado para la Prestación de Los Servicios de Agua Potable Alcantarillado y Saneamiento del Municipio de Naucalpan de Juárez, </w:t>
      </w:r>
      <w:r w:rsidRPr="00EF247A">
        <w:rPr>
          <w:rFonts w:ascii="Palatino Linotype" w:eastAsia="Palatino Linotype" w:hAnsi="Palatino Linotype" w:cs="Palatino Linotype"/>
        </w:rPr>
        <w:t xml:space="preserve">en adelante 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se emite la presente resolución con base en los siguientes:</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EF247A">
        <w:rPr>
          <w:rFonts w:ascii="Palatino Linotype" w:eastAsia="Palatino Linotype" w:hAnsi="Palatino Linotype" w:cs="Palatino Linotype"/>
          <w:b/>
          <w:color w:val="000000"/>
          <w:sz w:val="24"/>
          <w:szCs w:val="24"/>
        </w:rPr>
        <w:t>A N T E C E D E N T E S</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rsidR="00CB4257" w:rsidRPr="00EF247A" w:rsidRDefault="007B2F32" w:rsidP="002D0153">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El </w:t>
      </w:r>
      <w:r w:rsidRPr="00EF247A">
        <w:rPr>
          <w:rFonts w:ascii="Palatino Linotype" w:eastAsia="Palatino Linotype" w:hAnsi="Palatino Linotype" w:cs="Palatino Linotype"/>
          <w:b/>
          <w:color w:val="000000"/>
        </w:rPr>
        <w:t>trece y treinta de enero de dos mil veinticinco</w:t>
      </w:r>
      <w:r w:rsidRPr="00EF247A">
        <w:rPr>
          <w:rFonts w:ascii="Palatino Linotype" w:eastAsia="Palatino Linotype" w:hAnsi="Palatino Linotype" w:cs="Palatino Linotype"/>
          <w:color w:val="000000"/>
        </w:rPr>
        <w:t>,</w:t>
      </w:r>
      <w:r w:rsidRPr="00EF247A">
        <w:rPr>
          <w:rFonts w:ascii="Palatino Linotype" w:eastAsia="Palatino Linotype" w:hAnsi="Palatino Linotype" w:cs="Palatino Linotype"/>
          <w:b/>
          <w:color w:val="000000"/>
        </w:rPr>
        <w:t xml:space="preserve"> </w:t>
      </w:r>
      <w:r w:rsidRPr="00EF247A">
        <w:rPr>
          <w:rFonts w:ascii="Palatino Linotype" w:eastAsia="Palatino Linotype" w:hAnsi="Palatino Linotype" w:cs="Palatino Linotype"/>
          <w:color w:val="000000"/>
        </w:rPr>
        <w:t>se presentó ante el Sujeto Obligado vía Sistema de Acceso a la Información Mexiquense, en adelante SAIMEX, las siguientes solicitudes de información pública:</w:t>
      </w:r>
    </w:p>
    <w:p w:rsidR="00CB4257" w:rsidRPr="00EF247A" w:rsidRDefault="00CB4257" w:rsidP="002D01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b/>
        </w:rPr>
      </w:pPr>
      <w:r w:rsidRPr="00EF247A">
        <w:rPr>
          <w:rFonts w:ascii="Palatino Linotype" w:eastAsia="Palatino Linotype" w:hAnsi="Palatino Linotype" w:cs="Palatino Linotype"/>
          <w:b/>
        </w:rPr>
        <w:lastRenderedPageBreak/>
        <w:t xml:space="preserve">00005/OASNAUCAL/IP/2025 </w:t>
      </w: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“Cuántos permisos de descarga de agua residual se emitieron durante los años 2022, 2023, 2024 Cuántos permisos de descarga de agua residual fueron emitidos a personas físicas durante 2022, 2023, 2024 Cuántos permisos de descarga de agua residual fueron emitidos a personas morales durante 2022, 2023, 2024 Cuántos y cuáles permisos de descarga de agua residual contienen más de una descarga de los años 2022, 2023, 2024 Cuántas y cuáles órdenes de inspección y/o verificación o en su caso requerimientos se solicitaron, para cumplir con los requisitos y obtención del permiso de descarga de agua residual” (Sic)</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b/>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b/>
        </w:rPr>
        <w:t>00042/OASNAUCAL/IP/2025</w:t>
      </w:r>
      <w:r w:rsidRPr="00EF247A">
        <w:rPr>
          <w:rFonts w:ascii="Palatino Linotype" w:eastAsia="Palatino Linotype" w:hAnsi="Palatino Linotype" w:cs="Palatino Linotype"/>
          <w:i/>
          <w:color w:val="000000"/>
        </w:rPr>
        <w:t xml:space="preserve"> </w:t>
      </w: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“¿Qué porcentaje en Macromedición ha registrado el Organismo durante los años 2021, 2022, 2023 y 2024? ¿Qué porcentaje en Micromedición ha registrado el Organismo durante los años 2021, 2022, 2023 y 2024?” (Sic)</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i/>
          <w:color w:val="000000"/>
        </w:rPr>
      </w:pPr>
    </w:p>
    <w:p w:rsidR="00CB4257" w:rsidRPr="00EF247A" w:rsidRDefault="007B2F32" w:rsidP="002D0153">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Se eligió como modalidad de entrega de la información: A través del </w:t>
      </w:r>
      <w:r w:rsidRPr="00EF247A">
        <w:rPr>
          <w:rFonts w:ascii="Palatino Linotype" w:eastAsia="Palatino Linotype" w:hAnsi="Palatino Linotype" w:cs="Palatino Linotype"/>
          <w:b/>
          <w:color w:val="000000"/>
        </w:rPr>
        <w:t>SAIMEX.</w:t>
      </w:r>
    </w:p>
    <w:p w:rsidR="00CB4257" w:rsidRPr="00EF247A" w:rsidRDefault="00CB4257" w:rsidP="002D01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El</w:t>
      </w:r>
      <w:r w:rsidRPr="00EF247A">
        <w:rPr>
          <w:rFonts w:ascii="Palatino Linotype" w:eastAsia="Palatino Linotype" w:hAnsi="Palatino Linotype" w:cs="Palatino Linotype"/>
          <w:b/>
          <w:color w:val="000000"/>
        </w:rPr>
        <w:t xml:space="preserve"> treinta y uno de enero y veintiuno de febrero de dos mil veinticinco</w:t>
      </w:r>
      <w:r w:rsidRPr="00EF247A">
        <w:rPr>
          <w:rFonts w:ascii="Palatino Linotype" w:eastAsia="Palatino Linotype" w:hAnsi="Palatino Linotype" w:cs="Palatino Linotype"/>
          <w:color w:val="000000"/>
        </w:rPr>
        <w:t>, el Sujeto Obligado</w:t>
      </w:r>
      <w:r w:rsidRPr="00EF247A">
        <w:rPr>
          <w:rFonts w:ascii="Palatino Linotype" w:eastAsia="Palatino Linotype" w:hAnsi="Palatino Linotype" w:cs="Palatino Linotype"/>
          <w:b/>
          <w:color w:val="000000"/>
        </w:rPr>
        <w:t>,</w:t>
      </w:r>
      <w:r w:rsidRPr="00EF247A">
        <w:rPr>
          <w:rFonts w:ascii="Palatino Linotype" w:eastAsia="Palatino Linotype" w:hAnsi="Palatino Linotype" w:cs="Palatino Linotype"/>
          <w:color w:val="000000"/>
        </w:rPr>
        <w:t xml:space="preserve"> dio respuesta a través de los siguientes archivos electrónicos</w:t>
      </w:r>
      <w:r w:rsidRPr="00EF247A">
        <w:rPr>
          <w:rFonts w:ascii="Palatino Linotype" w:eastAsia="Palatino Linotype" w:hAnsi="Palatino Linotype" w:cs="Palatino Linotype"/>
          <w:b/>
          <w:i/>
          <w:color w:val="000000"/>
        </w:rPr>
        <w:t>:</w:t>
      </w:r>
    </w:p>
    <w:p w:rsidR="00CB4257" w:rsidRPr="00EF247A" w:rsidRDefault="00CB4257" w:rsidP="002D0153">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CB4257" w:rsidRPr="00EF247A" w:rsidRDefault="007B2F32" w:rsidP="002D0153">
      <w:pPr>
        <w:numPr>
          <w:ilvl w:val="0"/>
          <w:numId w:val="12"/>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Folio de la solicitud: 00005/OASNAUCAL/IP/2025</w:t>
      </w:r>
    </w:p>
    <w:p w:rsidR="00CB4257" w:rsidRPr="00EF247A" w:rsidRDefault="00CB4257" w:rsidP="002D0153">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SGT O 013 2025.pdf</w:t>
      </w: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Oficio SGT/O/013/2025 de fecha 31 de enero de 2025, firmado por el Encargado del Despacho de la Subgerencia de Transparencia,  a través del cual informa que una vez solicitada la información a la Dirección de Construcción y Operación Hidráulica, encontrarse dentro de sus facultades y atribuciones, quien respondió lo siguiente:</w:t>
      </w:r>
    </w:p>
    <w:p w:rsidR="00CB4257" w:rsidRPr="00EF247A" w:rsidRDefault="00CB4257" w:rsidP="002D0153">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i/>
          <w:color w:val="000000"/>
        </w:rPr>
        <w:t>“</w:t>
      </w:r>
      <w:r w:rsidRPr="00EF247A">
        <w:rPr>
          <w:rFonts w:ascii="Palatino Linotype" w:eastAsia="Palatino Linotype" w:hAnsi="Palatino Linotype" w:cs="Palatino Linotype"/>
          <w:b/>
          <w:i/>
          <w:color w:val="000000"/>
        </w:rPr>
        <w:t>I. Cuantos permisos de descarga de agua residual se emitieron durante los años 2022, 2023, 2024:</w:t>
      </w:r>
    </w:p>
    <w:p w:rsidR="00CB4257" w:rsidRPr="00EF247A" w:rsidRDefault="007B2F32" w:rsidP="002D0153">
      <w:pPr>
        <w:numPr>
          <w:ilvl w:val="0"/>
          <w:numId w:val="2"/>
        </w:numPr>
        <w:pBdr>
          <w:top w:val="nil"/>
          <w:left w:val="nil"/>
          <w:bottom w:val="nil"/>
          <w:right w:val="nil"/>
          <w:between w:val="nil"/>
        </w:pBdr>
        <w:tabs>
          <w:tab w:val="left" w:pos="567"/>
        </w:tabs>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lastRenderedPageBreak/>
        <w:t>Durante este periodo se otorgaron 8,656 permisos</w:t>
      </w: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b/>
          <w:i/>
          <w:color w:val="000000"/>
        </w:rPr>
        <w:t>2. Cuántos permisos de descarga de agua residual fueron emitidos a personas físicas durante 2022, 2023, 2024:</w:t>
      </w:r>
    </w:p>
    <w:p w:rsidR="00CB4257" w:rsidRPr="00EF247A" w:rsidRDefault="007B2F32" w:rsidP="002D0153">
      <w:pPr>
        <w:numPr>
          <w:ilvl w:val="0"/>
          <w:numId w:val="3"/>
        </w:numPr>
        <w:pBdr>
          <w:top w:val="nil"/>
          <w:left w:val="nil"/>
          <w:bottom w:val="nil"/>
          <w:right w:val="nil"/>
          <w:between w:val="nil"/>
        </w:pBdr>
        <w:tabs>
          <w:tab w:val="left" w:pos="567"/>
        </w:tabs>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Durante este periodo se emitieron 3,571</w:t>
      </w: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b/>
          <w:i/>
          <w:color w:val="000000"/>
        </w:rPr>
        <w:t>3. Cuántos permisos de descarga de agua residual fueron emitidos a personas morales durante 2022, 2023, 2024:</w:t>
      </w:r>
    </w:p>
    <w:p w:rsidR="00CB4257" w:rsidRPr="00EF247A" w:rsidRDefault="007B2F32" w:rsidP="002D0153">
      <w:pPr>
        <w:numPr>
          <w:ilvl w:val="0"/>
          <w:numId w:val="4"/>
        </w:numPr>
        <w:pBdr>
          <w:top w:val="nil"/>
          <w:left w:val="nil"/>
          <w:bottom w:val="nil"/>
          <w:right w:val="nil"/>
          <w:between w:val="nil"/>
        </w:pBdr>
        <w:tabs>
          <w:tab w:val="left" w:pos="567"/>
        </w:tabs>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Durante este periodo se emitieron 5,085 permisos</w:t>
      </w: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b/>
          <w:i/>
          <w:color w:val="000000"/>
        </w:rPr>
        <w:t>4. Cuántos y cuáles permisos de descarga de agua residual contienen más de una descarga de los años 2022, 2023, 2024:</w:t>
      </w:r>
    </w:p>
    <w:p w:rsidR="00CB4257" w:rsidRPr="00EF247A" w:rsidRDefault="007B2F32" w:rsidP="002D0153">
      <w:pPr>
        <w:numPr>
          <w:ilvl w:val="0"/>
          <w:numId w:val="5"/>
        </w:numPr>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i/>
          <w:color w:val="000000"/>
        </w:rPr>
        <w:t>En total existen 357 usuarios con más de una descarga, de los cuales se generaliza entre personas Físicas y Jurídico Colectivas</w:t>
      </w: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b/>
          <w:i/>
          <w:color w:val="000000"/>
        </w:rPr>
        <w:t>5. Cuántas y cuáles órdenes de inspección y/o verificación o en su caso requerimientos se solicitaron, para cumplir con los requisitos y obtención del permiso de descarga de agua residual:</w:t>
      </w:r>
    </w:p>
    <w:p w:rsidR="00CB4257" w:rsidRPr="00EF247A" w:rsidRDefault="007B2F32" w:rsidP="002D0153">
      <w:pPr>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i/>
          <w:color w:val="000000"/>
        </w:rPr>
        <w:t>Se realizaron un total de 1399 inspecciones y/o verificaciones y/o requerimientos…” (Sic)</w:t>
      </w:r>
    </w:p>
    <w:p w:rsidR="00CB4257" w:rsidRPr="00EF247A" w:rsidRDefault="00CB4257" w:rsidP="002D0153">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CB4257" w:rsidRPr="00EF247A" w:rsidRDefault="007B2F32" w:rsidP="002D0153">
      <w:pPr>
        <w:numPr>
          <w:ilvl w:val="0"/>
          <w:numId w:val="12"/>
        </w:numPr>
        <w:pBdr>
          <w:top w:val="nil"/>
          <w:left w:val="nil"/>
          <w:bottom w:val="nil"/>
          <w:right w:val="nil"/>
          <w:between w:val="nil"/>
        </w:pBdr>
        <w:tabs>
          <w:tab w:val="left" w:pos="567"/>
        </w:tabs>
        <w:ind w:left="0"/>
        <w:rPr>
          <w:rFonts w:ascii="Palatino Linotype" w:eastAsia="Palatino Linotype" w:hAnsi="Palatino Linotype" w:cs="Palatino Linotype"/>
          <w:b/>
          <w:i/>
          <w:color w:val="000000"/>
        </w:rPr>
      </w:pPr>
      <w:r w:rsidRPr="00EF247A">
        <w:rPr>
          <w:rFonts w:ascii="Palatino Linotype" w:eastAsia="Palatino Linotype" w:hAnsi="Palatino Linotype" w:cs="Palatino Linotype"/>
          <w:b/>
          <w:color w:val="000000"/>
        </w:rPr>
        <w:t>Folio de la solicitud: 00042/OASNAUCAL/IP/2025</w:t>
      </w:r>
      <w:r w:rsidRPr="00EF247A">
        <w:rPr>
          <w:rFonts w:ascii="Palatino Linotype" w:eastAsia="Palatino Linotype" w:hAnsi="Palatino Linotype" w:cs="Palatino Linotype"/>
          <w:b/>
          <w:i/>
          <w:color w:val="000000"/>
        </w:rPr>
        <w:t xml:space="preserve"> </w:t>
      </w:r>
    </w:p>
    <w:p w:rsidR="00CB4257" w:rsidRPr="00EF247A" w:rsidRDefault="00CB4257" w:rsidP="002D0153">
      <w:pPr>
        <w:pBdr>
          <w:top w:val="nil"/>
          <w:left w:val="nil"/>
          <w:bottom w:val="nil"/>
          <w:right w:val="nil"/>
          <w:between w:val="nil"/>
        </w:pBdr>
        <w:tabs>
          <w:tab w:val="left" w:pos="567"/>
        </w:tabs>
        <w:rPr>
          <w:rFonts w:ascii="Palatino Linotype" w:eastAsia="Palatino Linotype" w:hAnsi="Palatino Linotype" w:cs="Palatino Linotype"/>
          <w:b/>
          <w:i/>
          <w:color w:val="000000"/>
        </w:rPr>
      </w:pP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b/>
          <w:i/>
          <w:color w:val="000000"/>
        </w:rPr>
        <w:t>SGT O 046 2025.pdf</w:t>
      </w:r>
    </w:p>
    <w:p w:rsidR="00CB4257" w:rsidRPr="00EF247A" w:rsidRDefault="007B2F32" w:rsidP="002D0153">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Documento SGT/O/046/2025 de fecha 20 de febrero de 2025, a través del cual se informa que se solicitó la información a la Dirección de Construcción y Operación Hidráulica por ser considerado dentro de sus facultades y atribuciones, respondiendo que </w:t>
      </w:r>
      <w:r w:rsidRPr="00EF247A">
        <w:rPr>
          <w:rFonts w:ascii="Palatino Linotype" w:eastAsia="Palatino Linotype" w:hAnsi="Palatino Linotype" w:cs="Palatino Linotype"/>
          <w:b/>
          <w:color w:val="000000"/>
        </w:rPr>
        <w:t>derivado de una búsqueda exhaustiva y razonable en los archivos de esa área, no se cuenta con la información solicitada toda vez que durante el periodo indicado el área encargada de tomar las lecturas de los equipos de medición fue la Comisión del Agua del Estado de México (CAEM),</w:t>
      </w:r>
      <w:r w:rsidRPr="00EF247A">
        <w:rPr>
          <w:rFonts w:ascii="Palatino Linotype" w:eastAsia="Palatino Linotype" w:hAnsi="Palatino Linotype" w:cs="Palatino Linotype"/>
          <w:color w:val="000000"/>
        </w:rPr>
        <w:t xml:space="preserve"> mientras que el personal del Organismo únicamente fungía como testigo para la toma de dichas lecturas, por lo que la información requerida se podrá solicitar a dicha Comisión.</w:t>
      </w:r>
    </w:p>
    <w:p w:rsidR="00CB4257" w:rsidRPr="00EF247A" w:rsidRDefault="00CB4257" w:rsidP="002D015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CB4257" w:rsidRPr="00EF247A" w:rsidRDefault="007B2F32" w:rsidP="002D0153">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El</w:t>
      </w:r>
      <w:r w:rsidRPr="00EF247A">
        <w:rPr>
          <w:rFonts w:ascii="Palatino Linotype" w:eastAsia="Palatino Linotype" w:hAnsi="Palatino Linotype" w:cs="Palatino Linotype"/>
          <w:b/>
          <w:color w:val="000000"/>
        </w:rPr>
        <w:t xml:space="preserve"> cuatro y veinticuatro de febrero de dos mil veinticinco</w:t>
      </w:r>
      <w:r w:rsidRPr="00EF247A">
        <w:rPr>
          <w:rFonts w:ascii="Palatino Linotype" w:eastAsia="Palatino Linotype" w:hAnsi="Palatino Linotype" w:cs="Palatino Linotype"/>
          <w:color w:val="000000"/>
        </w:rPr>
        <w:t xml:space="preserve">, el particular interpuso los recursos de revisión a los que se les asignaron los folios </w:t>
      </w:r>
      <w:r w:rsidRPr="00EF247A">
        <w:rPr>
          <w:rFonts w:ascii="Palatino Linotype" w:eastAsia="Palatino Linotype" w:hAnsi="Palatino Linotype" w:cs="Palatino Linotype"/>
          <w:b/>
          <w:color w:val="000000"/>
        </w:rPr>
        <w:t xml:space="preserve">00538/INFOEM/IP/RR/2025 y </w:t>
      </w:r>
      <w:r w:rsidRPr="00EF247A">
        <w:rPr>
          <w:rFonts w:ascii="Palatino Linotype" w:eastAsia="Palatino Linotype" w:hAnsi="Palatino Linotype" w:cs="Palatino Linotype"/>
          <w:b/>
          <w:color w:val="000000"/>
        </w:rPr>
        <w:lastRenderedPageBreak/>
        <w:t xml:space="preserve">01898/INFOEM/IP/RR/2025, </w:t>
      </w:r>
      <w:r w:rsidRPr="00EF247A">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p>
    <w:p w:rsidR="00CB4257" w:rsidRPr="00EF247A" w:rsidRDefault="00CB4257" w:rsidP="002D0153">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CB4257" w:rsidRPr="00EF247A" w:rsidRDefault="007B2F32" w:rsidP="002D0153">
      <w:pPr>
        <w:pBdr>
          <w:top w:val="nil"/>
          <w:left w:val="nil"/>
          <w:bottom w:val="nil"/>
          <w:right w:val="nil"/>
          <w:between w:val="nil"/>
        </w:pBdr>
        <w:tabs>
          <w:tab w:val="left" w:pos="0"/>
        </w:tabs>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Recurso de Revisión 00538/INFOEM/IP/RR/2025</w:t>
      </w:r>
    </w:p>
    <w:p w:rsidR="00CB4257" w:rsidRPr="00EF247A" w:rsidRDefault="00CB4257" w:rsidP="002D0153">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bookmarkStart w:id="1" w:name="_heading=h.30j0zll" w:colFirst="0" w:colLast="0"/>
      <w:bookmarkEnd w:id="1"/>
      <w:r w:rsidRPr="00EF247A">
        <w:rPr>
          <w:rFonts w:ascii="Palatino Linotype" w:eastAsia="Palatino Linotype" w:hAnsi="Palatino Linotype" w:cs="Palatino Linotype"/>
          <w:b/>
          <w:color w:val="000000"/>
        </w:rPr>
        <w:t xml:space="preserve">Acto impugnado: </w:t>
      </w:r>
      <w:r w:rsidRPr="00EF247A">
        <w:rPr>
          <w:rFonts w:ascii="Palatino Linotype" w:eastAsia="Palatino Linotype" w:hAnsi="Palatino Linotype" w:cs="Palatino Linotype"/>
          <w:i/>
          <w:color w:val="000000"/>
        </w:rPr>
        <w:t>“La información no coincide” (Sic)</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i/>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bookmarkStart w:id="2" w:name="_heading=h.1fob9te" w:colFirst="0" w:colLast="0"/>
      <w:bookmarkEnd w:id="2"/>
      <w:r w:rsidRPr="00EF247A">
        <w:rPr>
          <w:rFonts w:ascii="Palatino Linotype" w:eastAsia="Palatino Linotype" w:hAnsi="Palatino Linotype" w:cs="Palatino Linotype"/>
          <w:b/>
          <w:color w:val="000000"/>
        </w:rPr>
        <w:t xml:space="preserve">Razones o Motivos de inconformidad: </w:t>
      </w:r>
      <w:r w:rsidRPr="00EF247A">
        <w:rPr>
          <w:rFonts w:ascii="Palatino Linotype" w:eastAsia="Palatino Linotype" w:hAnsi="Palatino Linotype" w:cs="Palatino Linotype"/>
          <w:i/>
          <w:color w:val="000000"/>
        </w:rPr>
        <w:t xml:space="preserve">“conforme a la respuesta otorgada se informa al impetrante: ¿Cuántos permisos de descarga de agua residual se emitieron durante los años 2022, 2023, 2024? Durante este periodo se otorgaron 8,656 permisos Sin embargo, conforme a los registros mostrados en las plataformas de Ipomex 3.0 e Ipomex 4.0 para el sujeto obligado Organismo Público Descentralizado para la Prestación de los Servicios de Agua Potable, Alcantarillado y Saneamiento del Municipio de Naucalpan de Juárez, en su Artículo 92 Fracción XXXII Las concesiones, contratos, convenios, permisos, licencias o autorizaciones otorgados, se muestra un registro de 1,538 permisos, por lo cual no coinciden los permisos registrados con los emitidos en la respuesta SGT/O/013/2025, ¿Por qué no se registraron los 8,656 permisos otorgados?” </w:t>
      </w:r>
      <w:r w:rsidRPr="00EF247A">
        <w:rPr>
          <w:rFonts w:ascii="Palatino Linotype" w:eastAsia="Palatino Linotype" w:hAnsi="Palatino Linotype" w:cs="Palatino Linotype"/>
          <w:color w:val="000000"/>
        </w:rPr>
        <w:t>(Sic)</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i/>
          <w:color w:val="000000"/>
        </w:rPr>
      </w:pPr>
    </w:p>
    <w:p w:rsidR="00CB4257" w:rsidRPr="00EF247A" w:rsidRDefault="007B2F32" w:rsidP="002D0153">
      <w:pPr>
        <w:pBdr>
          <w:top w:val="nil"/>
          <w:left w:val="nil"/>
          <w:bottom w:val="nil"/>
          <w:right w:val="nil"/>
          <w:between w:val="nil"/>
        </w:pBdr>
        <w:tabs>
          <w:tab w:val="left" w:pos="0"/>
        </w:tabs>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Recurso de Revisión 01898/INFOEM/IP/RR/2025</w:t>
      </w:r>
    </w:p>
    <w:p w:rsidR="00CB4257" w:rsidRPr="00EF247A" w:rsidRDefault="00CB4257" w:rsidP="002D0153">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b/>
          <w:color w:val="000000"/>
        </w:rPr>
        <w:t xml:space="preserve">Acto impugnado: </w:t>
      </w:r>
      <w:r w:rsidRPr="00EF247A">
        <w:rPr>
          <w:rFonts w:ascii="Palatino Linotype" w:eastAsia="Palatino Linotype" w:hAnsi="Palatino Linotype" w:cs="Palatino Linotype"/>
          <w:i/>
          <w:color w:val="000000"/>
        </w:rPr>
        <w:t>“No otorgamiento de información Documento no valido, no contiene firma autógrafa del emisor de la información” (Sic)</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i/>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b/>
          <w:color w:val="000000"/>
        </w:rPr>
        <w:t xml:space="preserve">Razones o Motivos de inconformidad: </w:t>
      </w:r>
      <w:r w:rsidRPr="00EF247A">
        <w:rPr>
          <w:rFonts w:ascii="Palatino Linotype" w:eastAsia="Palatino Linotype" w:hAnsi="Palatino Linotype" w:cs="Palatino Linotype"/>
          <w:i/>
          <w:color w:val="000000"/>
        </w:rPr>
        <w:t xml:space="preserve">“Derivado del análisis de la respuesta del Sujeto Obligado, se aprecia de primera vista que el documento en el cual emite la respuesta a la solicitud, no contiene firma autógrafa, por lo cual, con fundamento en el artículo 1.8 fracción sexta del Código Administrativo del Estado de México, no tiene validez dicha respuesta, aunado a eso, en el "supuesto" documento que pone a disposición la respuesta, manifiesta que se lo solicita a la Dirección de Construcción y Operación Hidráulica, sin embargo y conforme a lo establecido en los </w:t>
      </w:r>
      <w:r w:rsidRPr="00EF247A">
        <w:rPr>
          <w:rFonts w:ascii="Palatino Linotype" w:eastAsia="Palatino Linotype" w:hAnsi="Palatino Linotype" w:cs="Palatino Linotype"/>
          <w:i/>
          <w:color w:val="000000"/>
        </w:rPr>
        <w:lastRenderedPageBreak/>
        <w:t xml:space="preserve">artículos 44, 45 fracción I.IV. artículo 51 fracciones XXVIII, XXIV y XXIX del Reglamento Orgánico del Organismo Publico Descentralizado para la Prestación de Servicios de Agua Potable. Alcantarillado y Saneamiento del Municipio de Naucalpan vigente, se encuentran las facultades para tener dichos registros solicitados, ahora bien, el echo de fungir como "testigo" de algún acto realizado por alguna Autoridad ajena al Organismo y mas aun al realizar movimientos a aparatos de medición ¿no se registra? ¿no se tiene por llevada una minita de campo? ¿no se da aviso? el echo de constatar algo y no reportarlo, recae en responsabilidad del servidor publico que se acredita como supuesto "testigo"” </w:t>
      </w:r>
      <w:r w:rsidRPr="00EF247A">
        <w:rPr>
          <w:rFonts w:ascii="Palatino Linotype" w:eastAsia="Palatino Linotype" w:hAnsi="Palatino Linotype" w:cs="Palatino Linotype"/>
          <w:color w:val="000000"/>
        </w:rPr>
        <w:t>(Sic)</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color w:val="000000"/>
        </w:rPr>
      </w:pP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El Recurrente adjuntó el archivo denominado </w:t>
      </w:r>
      <w:r w:rsidRPr="00EF247A">
        <w:rPr>
          <w:rFonts w:ascii="Palatino Linotype" w:eastAsia="Palatino Linotype" w:hAnsi="Palatino Linotype" w:cs="Palatino Linotype"/>
          <w:b/>
          <w:i/>
          <w:color w:val="000000"/>
        </w:rPr>
        <w:t>SGT O 046 2025.pdf</w:t>
      </w:r>
      <w:r w:rsidRPr="00EF247A">
        <w:rPr>
          <w:rFonts w:ascii="Palatino Linotype" w:eastAsia="Palatino Linotype" w:hAnsi="Palatino Linotype" w:cs="Palatino Linotype"/>
          <w:color w:val="000000"/>
        </w:rPr>
        <w:t>¸mismo que contiene la respuesta emitida por el Sujeto Obligado</w:t>
      </w:r>
    </w:p>
    <w:p w:rsidR="00CB4257" w:rsidRPr="00EF247A" w:rsidRDefault="00CB4257" w:rsidP="002D01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CB4257" w:rsidRPr="00EF247A" w:rsidRDefault="007B2F32" w:rsidP="002D0153">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Los Comisionados Ponentes de origen con fundamento en lo dispuesto por el artículo 185, fracción II, de la ley de la materia, a través de los </w:t>
      </w:r>
      <w:r w:rsidRPr="00EF247A">
        <w:rPr>
          <w:rFonts w:ascii="Palatino Linotype" w:eastAsia="Palatino Linotype" w:hAnsi="Palatino Linotype" w:cs="Palatino Linotype"/>
          <w:b/>
          <w:color w:val="000000"/>
        </w:rPr>
        <w:t xml:space="preserve">acuerdos de admisión </w:t>
      </w:r>
      <w:r w:rsidRPr="00EF247A">
        <w:rPr>
          <w:rFonts w:ascii="Palatino Linotype" w:eastAsia="Palatino Linotype" w:hAnsi="Palatino Linotype" w:cs="Palatino Linotype"/>
          <w:color w:val="000000"/>
        </w:rPr>
        <w:t xml:space="preserve">de fechas </w:t>
      </w:r>
      <w:r w:rsidRPr="00EF247A">
        <w:rPr>
          <w:rFonts w:ascii="Palatino Linotype" w:eastAsia="Palatino Linotype" w:hAnsi="Palatino Linotype" w:cs="Palatino Linotype"/>
          <w:b/>
          <w:color w:val="000000"/>
        </w:rPr>
        <w:t xml:space="preserve">seis y veintiséis de febrero de dos mil veinticinco, </w:t>
      </w:r>
      <w:r w:rsidRPr="00EF247A">
        <w:rPr>
          <w:rFonts w:ascii="Palatino Linotype" w:eastAsia="Palatino Linotype" w:hAnsi="Palatino Linotype" w:cs="Palatino Linotype"/>
          <w:color w:val="000000"/>
        </w:rPr>
        <w:t xml:space="preserve">pusieron a disposición de las partes el expediente electrónico vía SAIMEX a efecto de que en un plazo máximo de siete días </w:t>
      </w:r>
      <w:r w:rsidRPr="00EF247A">
        <w:rPr>
          <w:rFonts w:ascii="Palatino Linotype" w:eastAsia="Palatino Linotype" w:hAnsi="Palatino Linotype" w:cs="Palatino Linotype"/>
        </w:rPr>
        <w:t>manifestara</w:t>
      </w:r>
      <w:r w:rsidRPr="00EF247A">
        <w:rPr>
          <w:rFonts w:ascii="Palatino Linotype" w:eastAsia="Palatino Linotype" w:hAnsi="Palatino Linotype" w:cs="Palatino Linotype"/>
          <w:color w:val="000000"/>
        </w:rPr>
        <w:t xml:space="preserve"> lo que a su derecho conviniera, </w:t>
      </w:r>
      <w:r w:rsidRPr="00EF247A">
        <w:rPr>
          <w:rFonts w:ascii="Palatino Linotype" w:eastAsia="Palatino Linotype" w:hAnsi="Palatino Linotype" w:cs="Palatino Linotype"/>
        </w:rPr>
        <w:t>ofreciera</w:t>
      </w:r>
      <w:r w:rsidRPr="00EF247A">
        <w:rPr>
          <w:rFonts w:ascii="Palatino Linotype" w:eastAsia="Palatino Linotype" w:hAnsi="Palatino Linotype" w:cs="Palatino Linotype"/>
          <w:color w:val="000000"/>
        </w:rPr>
        <w:t xml:space="preserve"> pruebas y alegatos según corresponda al caso concreto, de esta forma para que el </w:t>
      </w:r>
      <w:r w:rsidRPr="00EF247A">
        <w:rPr>
          <w:rFonts w:ascii="Palatino Linotype" w:eastAsia="Palatino Linotype" w:hAnsi="Palatino Linotype" w:cs="Palatino Linotype"/>
          <w:b/>
          <w:color w:val="000000"/>
        </w:rPr>
        <w:t xml:space="preserve">SUJETO OBLIGADO </w:t>
      </w:r>
      <w:r w:rsidRPr="00EF247A">
        <w:rPr>
          <w:rFonts w:ascii="Palatino Linotype" w:eastAsia="Palatino Linotype" w:hAnsi="Palatino Linotype" w:cs="Palatino Linotype"/>
        </w:rPr>
        <w:t>presentara</w:t>
      </w:r>
      <w:r w:rsidRPr="00EF247A">
        <w:rPr>
          <w:rFonts w:ascii="Palatino Linotype" w:eastAsia="Palatino Linotype" w:hAnsi="Palatino Linotype" w:cs="Palatino Linotype"/>
          <w:color w:val="000000"/>
        </w:rPr>
        <w:t xml:space="preserve"> el Informe Justificado procedente.</w:t>
      </w:r>
    </w:p>
    <w:p w:rsidR="00CB4257" w:rsidRPr="00EF247A" w:rsidRDefault="00CB4257" w:rsidP="002D01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El Recurrente, en el Recurso de Revisión </w:t>
      </w:r>
      <w:r w:rsidRPr="00EF247A">
        <w:rPr>
          <w:rFonts w:ascii="Palatino Linotype" w:eastAsia="Palatino Linotype" w:hAnsi="Palatino Linotype" w:cs="Palatino Linotype"/>
          <w:b/>
          <w:color w:val="000000"/>
        </w:rPr>
        <w:t>00538/INFOEM/IP/RR/2025</w:t>
      </w:r>
      <w:r w:rsidRPr="00EF247A">
        <w:rPr>
          <w:rFonts w:ascii="Palatino Linotype" w:eastAsia="Palatino Linotype" w:hAnsi="Palatino Linotype" w:cs="Palatino Linotype"/>
          <w:color w:val="000000"/>
        </w:rPr>
        <w:t xml:space="preserve"> adjuntó el archivo digital </w:t>
      </w:r>
      <w:hyperlink r:id="rId8">
        <w:r w:rsidRPr="00EF247A">
          <w:rPr>
            <w:rFonts w:ascii="Palatino Linotype" w:hAnsi="Palatino Linotype"/>
            <w:color w:val="000000"/>
          </w:rPr>
          <w:t>S</w:t>
        </w:r>
      </w:hyperlink>
      <w:hyperlink r:id="rId9">
        <w:r w:rsidRPr="00EF247A">
          <w:rPr>
            <w:rFonts w:ascii="Palatino Linotype" w:eastAsia="Palatino Linotype" w:hAnsi="Palatino Linotype" w:cs="Palatino Linotype"/>
            <w:b/>
            <w:i/>
            <w:color w:val="000000"/>
          </w:rPr>
          <w:t>GT O 013 2025.pdf</w:t>
        </w:r>
      </w:hyperlink>
      <w:r w:rsidRPr="00EF247A">
        <w:rPr>
          <w:rFonts w:ascii="Palatino Linotype" w:eastAsia="Palatino Linotype" w:hAnsi="Palatino Linotype" w:cs="Palatino Linotype"/>
          <w:b/>
          <w:color w:val="000000"/>
        </w:rPr>
        <w:t xml:space="preserve"> </w:t>
      </w:r>
      <w:r w:rsidRPr="00EF247A">
        <w:rPr>
          <w:rFonts w:ascii="Palatino Linotype" w:eastAsia="Palatino Linotype" w:hAnsi="Palatino Linotype" w:cs="Palatino Linotype"/>
          <w:color w:val="000000"/>
        </w:rPr>
        <w:t xml:space="preserve">consistente en la respuesta emitida por el Sujeto Obligado; para el Recurso de Revisión </w:t>
      </w:r>
      <w:r w:rsidRPr="00EF247A">
        <w:rPr>
          <w:rFonts w:ascii="Palatino Linotype" w:eastAsia="Palatino Linotype" w:hAnsi="Palatino Linotype" w:cs="Palatino Linotype"/>
          <w:b/>
          <w:color w:val="000000"/>
        </w:rPr>
        <w:t>1898/INFOEM/IP/RR/2025</w:t>
      </w:r>
      <w:r w:rsidRPr="00EF247A">
        <w:rPr>
          <w:rFonts w:ascii="Palatino Linotype" w:eastAsia="Palatino Linotype" w:hAnsi="Palatino Linotype" w:cs="Palatino Linotype"/>
          <w:color w:val="000000"/>
        </w:rPr>
        <w:t xml:space="preserve"> dejó de realizar manifestaciones que a su derecho conviniera y asistiera. Por su parte, el Sujeto Obligado,</w:t>
      </w:r>
      <w:r w:rsidRPr="00EF247A">
        <w:rPr>
          <w:rFonts w:ascii="Palatino Linotype" w:eastAsia="Palatino Linotype" w:hAnsi="Palatino Linotype" w:cs="Palatino Linotype"/>
          <w:b/>
          <w:color w:val="000000"/>
        </w:rPr>
        <w:t xml:space="preserve"> </w:t>
      </w:r>
      <w:r w:rsidRPr="00EF247A">
        <w:rPr>
          <w:rFonts w:ascii="Palatino Linotype" w:eastAsia="Palatino Linotype" w:hAnsi="Palatino Linotype" w:cs="Palatino Linotype"/>
          <w:color w:val="000000"/>
        </w:rPr>
        <w:t>en fechas</w:t>
      </w:r>
      <w:r w:rsidRPr="00EF247A">
        <w:rPr>
          <w:rFonts w:ascii="Palatino Linotype" w:eastAsia="Palatino Linotype" w:hAnsi="Palatino Linotype" w:cs="Palatino Linotype"/>
          <w:b/>
          <w:color w:val="000000"/>
        </w:rPr>
        <w:t xml:space="preserve"> diecisiete de febrero y cinco de marzo de dos mil veinticinco </w:t>
      </w:r>
      <w:r w:rsidRPr="00EF247A">
        <w:rPr>
          <w:rFonts w:ascii="Palatino Linotype" w:eastAsia="Palatino Linotype" w:hAnsi="Palatino Linotype" w:cs="Palatino Linotype"/>
          <w:color w:val="000000"/>
        </w:rPr>
        <w:t xml:space="preserve">presentó </w:t>
      </w:r>
      <w:r w:rsidRPr="00EF247A">
        <w:rPr>
          <w:rFonts w:ascii="Palatino Linotype" w:eastAsia="Palatino Linotype" w:hAnsi="Palatino Linotype" w:cs="Palatino Linotype"/>
          <w:b/>
          <w:color w:val="000000"/>
        </w:rPr>
        <w:t>informes justificados</w:t>
      </w:r>
      <w:r w:rsidRPr="00EF247A">
        <w:rPr>
          <w:rFonts w:ascii="Palatino Linotype" w:eastAsia="Palatino Linotype" w:hAnsi="Palatino Linotype" w:cs="Palatino Linotype"/>
          <w:color w:val="000000"/>
        </w:rPr>
        <w:t xml:space="preserve"> a través de los siguientes archivos electrónicos: </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12"/>
        </w:numPr>
        <w:pBdr>
          <w:top w:val="nil"/>
          <w:left w:val="nil"/>
          <w:bottom w:val="nil"/>
          <w:right w:val="nil"/>
          <w:between w:val="nil"/>
        </w:pBdr>
        <w:ind w:left="0"/>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00538/INFOEM/IP/RR/2025</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b/>
          <w:color w:val="000000"/>
        </w:rPr>
      </w:pPr>
    </w:p>
    <w:p w:rsidR="00CB4257" w:rsidRPr="00EF247A" w:rsidRDefault="007B2F32" w:rsidP="002D0153">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b/>
          <w:i/>
          <w:color w:val="000000"/>
        </w:rPr>
        <w:t>NOMBRAMIENTO.pdf</w:t>
      </w:r>
    </w:p>
    <w:p w:rsidR="00CB4257" w:rsidRPr="00EF247A" w:rsidRDefault="007B2F32" w:rsidP="002D0153">
      <w:pPr>
        <w:pBdr>
          <w:top w:val="nil"/>
          <w:left w:val="nil"/>
          <w:bottom w:val="nil"/>
          <w:right w:val="nil"/>
          <w:between w:val="nil"/>
        </w:pBdr>
        <w:ind w:firstLine="1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Nombramiento de fecha 01 de enero de 2025, expedido por el Director General de Organismo Público Descentralizado para la Prestación de los Servicios de Agua Potable, Alcantarillado y Saneamiento del Municipio de Naucalpan de Juárez, a favor del C. Francisco Javier Estrada Vargas, como Encargado del Despacho de la Subgerencia de Transparencia.</w:t>
      </w:r>
    </w:p>
    <w:p w:rsidR="00CB4257" w:rsidRPr="00EF247A" w:rsidRDefault="00CB4257" w:rsidP="002D0153">
      <w:pPr>
        <w:pBdr>
          <w:top w:val="nil"/>
          <w:left w:val="nil"/>
          <w:bottom w:val="nil"/>
          <w:right w:val="nil"/>
          <w:between w:val="nil"/>
        </w:pBdr>
        <w:ind w:firstLine="10"/>
        <w:jc w:val="both"/>
        <w:rPr>
          <w:rFonts w:ascii="Palatino Linotype" w:eastAsia="Palatino Linotype" w:hAnsi="Palatino Linotype" w:cs="Palatino Linotype"/>
          <w:b/>
          <w:i/>
          <w:color w:val="000000"/>
        </w:rPr>
      </w:pPr>
    </w:p>
    <w:p w:rsidR="00CB4257" w:rsidRPr="00EF247A" w:rsidRDefault="007B2F32" w:rsidP="002D0153">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b/>
          <w:i/>
          <w:color w:val="000000"/>
        </w:rPr>
        <w:t>Informe justificado RR 00538.pdf</w:t>
      </w:r>
    </w:p>
    <w:p w:rsidR="00CB4257" w:rsidRPr="00EF247A" w:rsidRDefault="007B2F32" w:rsidP="002D0153">
      <w:pPr>
        <w:pBdr>
          <w:top w:val="nil"/>
          <w:left w:val="nil"/>
          <w:bottom w:val="nil"/>
          <w:right w:val="nil"/>
          <w:between w:val="nil"/>
        </w:pBdr>
        <w:ind w:firstLine="1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Documento firmado por el Encargado del Despacho de la Subgerencia de Transparencia del O.A.P.A.S, a través del cual rinde informe justificado, manifestando que el recurrente ha ampliado la solicitud de información al preguntar </w:t>
      </w:r>
      <w:r w:rsidRPr="00EF247A">
        <w:rPr>
          <w:rFonts w:ascii="Palatino Linotype" w:eastAsia="Palatino Linotype" w:hAnsi="Palatino Linotype" w:cs="Palatino Linotype"/>
          <w:b/>
          <w:color w:val="000000"/>
        </w:rPr>
        <w:t>¿Por qué no se registraron los 8,656 permisos otorgados?</w:t>
      </w:r>
      <w:r w:rsidRPr="00EF247A">
        <w:rPr>
          <w:rFonts w:ascii="Palatino Linotype" w:eastAsia="Palatino Linotype" w:hAnsi="Palatino Linotype" w:cs="Palatino Linotype"/>
          <w:color w:val="000000"/>
        </w:rPr>
        <w:t>, siendo esta información diferente a la requerida originalmente, la cual da origen a nueva solicitud de información, siendo improcedente la interposición del recurso.</w:t>
      </w:r>
    </w:p>
    <w:p w:rsidR="00CB4257" w:rsidRPr="00EF247A" w:rsidRDefault="00CB4257" w:rsidP="002D0153">
      <w:pPr>
        <w:pBdr>
          <w:top w:val="nil"/>
          <w:left w:val="nil"/>
          <w:bottom w:val="nil"/>
          <w:right w:val="nil"/>
          <w:between w:val="nil"/>
        </w:pBdr>
        <w:ind w:firstLine="10"/>
        <w:jc w:val="both"/>
        <w:rPr>
          <w:rFonts w:ascii="Palatino Linotype" w:eastAsia="Palatino Linotype" w:hAnsi="Palatino Linotype" w:cs="Palatino Linotype"/>
          <w:b/>
          <w:i/>
          <w:color w:val="000000"/>
        </w:rPr>
      </w:pPr>
    </w:p>
    <w:p w:rsidR="00CB4257" w:rsidRPr="00EF247A" w:rsidRDefault="007B2F32" w:rsidP="002D0153">
      <w:pPr>
        <w:numPr>
          <w:ilvl w:val="0"/>
          <w:numId w:val="12"/>
        </w:numPr>
        <w:pBdr>
          <w:top w:val="nil"/>
          <w:left w:val="nil"/>
          <w:bottom w:val="nil"/>
          <w:right w:val="nil"/>
          <w:between w:val="nil"/>
        </w:pBdr>
        <w:ind w:left="0"/>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01898/INFOEM/IP/RR/2025</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b/>
          <w:color w:val="000000"/>
        </w:rPr>
      </w:pPr>
    </w:p>
    <w:p w:rsidR="00CB4257" w:rsidRPr="00EF247A" w:rsidRDefault="007B2F32" w:rsidP="002D0153">
      <w:pPr>
        <w:pBdr>
          <w:top w:val="nil"/>
          <w:left w:val="nil"/>
          <w:bottom w:val="nil"/>
          <w:right w:val="nil"/>
          <w:between w:val="nil"/>
        </w:pBdr>
        <w:ind w:firstLine="10"/>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 xml:space="preserve">1898 </w:t>
      </w:r>
      <w:r w:rsidRPr="00EF247A">
        <w:rPr>
          <w:rFonts w:ascii="Palatino Linotype" w:eastAsia="Palatino Linotype" w:hAnsi="Palatino Linotype" w:cs="Palatino Linotype"/>
          <w:b/>
          <w:i/>
          <w:color w:val="000000"/>
        </w:rPr>
        <w:t>INFOEM</w:t>
      </w:r>
      <w:r w:rsidRPr="00EF247A">
        <w:rPr>
          <w:rFonts w:ascii="Palatino Linotype" w:eastAsia="Palatino Linotype" w:hAnsi="Palatino Linotype" w:cs="Palatino Linotype"/>
          <w:b/>
          <w:color w:val="000000"/>
        </w:rPr>
        <w:t xml:space="preserve"> IP RR.pdf</w:t>
      </w:r>
    </w:p>
    <w:p w:rsidR="00CB4257" w:rsidRPr="00EF247A" w:rsidRDefault="007B2F32" w:rsidP="002D0153">
      <w:pPr>
        <w:pBdr>
          <w:top w:val="nil"/>
          <w:left w:val="nil"/>
          <w:bottom w:val="nil"/>
          <w:right w:val="nil"/>
          <w:between w:val="nil"/>
        </w:pBdr>
        <w:ind w:firstLine="1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Documento firmado por la Encargada del Despacho de la Subgerencia de Transparencia del O.A.P.A.S, a través del cual rinde informe justificado, manifestando que el recurrente </w:t>
      </w:r>
      <w:r w:rsidRPr="00EF247A">
        <w:rPr>
          <w:rFonts w:ascii="Palatino Linotype" w:eastAsia="Palatino Linotype" w:hAnsi="Palatino Linotype" w:cs="Palatino Linotype"/>
          <w:color w:val="000000"/>
        </w:rPr>
        <w:lastRenderedPageBreak/>
        <w:t xml:space="preserve">ha ampliado la solicitud de información al preguntar </w:t>
      </w:r>
      <w:r w:rsidRPr="00EF247A">
        <w:rPr>
          <w:rFonts w:ascii="Palatino Linotype" w:eastAsia="Palatino Linotype" w:hAnsi="Palatino Linotype" w:cs="Palatino Linotype"/>
          <w:b/>
          <w:color w:val="000000"/>
        </w:rPr>
        <w:t xml:space="preserve">¿no se registra? ¿no se tiene una minuta de campo? ¿no se da aviso?, </w:t>
      </w:r>
      <w:r w:rsidRPr="00EF247A">
        <w:rPr>
          <w:rFonts w:ascii="Palatino Linotype" w:eastAsia="Palatino Linotype" w:hAnsi="Palatino Linotype" w:cs="Palatino Linotype"/>
          <w:color w:val="000000"/>
        </w:rPr>
        <w:t>siendo una nueva solicitud de información, al ser distinta a la original, siendo improcedente la interposición del recurso.</w:t>
      </w:r>
    </w:p>
    <w:p w:rsidR="00CB4257" w:rsidRPr="00EF247A" w:rsidRDefault="00CB4257" w:rsidP="002D0153">
      <w:pPr>
        <w:pBdr>
          <w:top w:val="nil"/>
          <w:left w:val="nil"/>
          <w:bottom w:val="nil"/>
          <w:right w:val="nil"/>
          <w:between w:val="nil"/>
        </w:pBdr>
        <w:ind w:firstLine="10"/>
        <w:jc w:val="both"/>
        <w:rPr>
          <w:rFonts w:ascii="Palatino Linotype" w:eastAsia="Palatino Linotype" w:hAnsi="Palatino Linotype" w:cs="Palatino Linotype"/>
          <w:color w:val="000000"/>
        </w:rPr>
      </w:pPr>
    </w:p>
    <w:p w:rsidR="00CB4257" w:rsidRPr="00EF247A" w:rsidRDefault="007B2F32" w:rsidP="002D0153">
      <w:pPr>
        <w:pBdr>
          <w:top w:val="nil"/>
          <w:left w:val="nil"/>
          <w:bottom w:val="nil"/>
          <w:right w:val="nil"/>
          <w:between w:val="nil"/>
        </w:pBdr>
        <w:ind w:firstLine="1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Adicionalmente señala que se informó al solicitante que </w:t>
      </w:r>
      <w:r w:rsidRPr="00EF247A">
        <w:rPr>
          <w:rFonts w:ascii="Palatino Linotype" w:eastAsia="Palatino Linotype" w:hAnsi="Palatino Linotype" w:cs="Palatino Linotype"/>
          <w:b/>
          <w:color w:val="000000"/>
        </w:rPr>
        <w:t>el Sujeto Obligado encargado de tomar las lecturas de los equipos de medición fue la Comisión del Agua del Estado de México, y no así el Sujeto Obligado</w:t>
      </w:r>
      <w:r w:rsidRPr="00EF247A">
        <w:rPr>
          <w:rFonts w:ascii="Palatino Linotype" w:eastAsia="Palatino Linotype" w:hAnsi="Palatino Linotype" w:cs="Palatino Linotype"/>
          <w:color w:val="000000"/>
        </w:rPr>
        <w:t>, solicitando el sobreseimiento del Recurso, por haber subsanado la inconformidad con la modificación de la respuesta.</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b/>
          <w:color w:val="000000"/>
        </w:rPr>
      </w:pP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color w:val="000000"/>
        </w:rPr>
      </w:pPr>
    </w:p>
    <w:p w:rsidR="00CB4257" w:rsidRPr="00EF247A" w:rsidRDefault="007B2F32" w:rsidP="002D015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Posteriormente, la Comisionada Ponente a través de acuerdo de fecha</w:t>
      </w:r>
      <w:r w:rsidRPr="00EF247A">
        <w:rPr>
          <w:rFonts w:ascii="Palatino Linotype" w:eastAsia="Palatino Linotype" w:hAnsi="Palatino Linotype" w:cs="Palatino Linotype"/>
          <w:b/>
          <w:color w:val="000000"/>
        </w:rPr>
        <w:t xml:space="preserve"> veintinueve de abril de dos mil veinticinco</w:t>
      </w:r>
      <w:r w:rsidRPr="00EF247A">
        <w:rPr>
          <w:rFonts w:ascii="Palatino Linotype" w:eastAsia="Palatino Linotype" w:hAnsi="Palatino Linotype" w:cs="Palatino Linotype"/>
          <w:color w:val="000000"/>
        </w:rPr>
        <w:t xml:space="preserve">, </w:t>
      </w:r>
      <w:r w:rsidRPr="00EF247A">
        <w:rPr>
          <w:rFonts w:ascii="Palatino Linotype" w:eastAsia="Palatino Linotype" w:hAnsi="Palatino Linotype" w:cs="Palatino Linotype"/>
        </w:rPr>
        <w:t xml:space="preserve">con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identificados con los números </w:t>
      </w:r>
      <w:r w:rsidRPr="00EF247A">
        <w:rPr>
          <w:rFonts w:ascii="Palatino Linotype" w:eastAsia="Palatino Linotype" w:hAnsi="Palatino Linotype" w:cs="Palatino Linotype"/>
          <w:b/>
          <w:color w:val="000000"/>
        </w:rPr>
        <w:t>00538/INFOEM/IP/RR/2025 y 01898/INFOEM/IP/RR/2025</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 xml:space="preserve">y toda vez que se advirtió conexidad entre estos, al haber sido promovidos por la misma persona, en los que se señaló como dependencia o entidad recurrida al </w:t>
      </w:r>
      <w:r w:rsidRPr="00EF247A">
        <w:rPr>
          <w:rFonts w:ascii="Palatino Linotype" w:eastAsia="Palatino Linotype" w:hAnsi="Palatino Linotype" w:cs="Palatino Linotype"/>
          <w:b/>
        </w:rPr>
        <w:t>Organismo Público Descentralizado para la Prestación de Los Servicios de Agua Potable Alcantarillado y Saneamiento del Municipio de Naucalpan de Juárez</w:t>
      </w:r>
      <w:r w:rsidRPr="00EF247A">
        <w:rPr>
          <w:rFonts w:ascii="Palatino Linotype" w:eastAsia="Palatino Linotype" w:hAnsi="Palatino Linotype" w:cs="Palatino Linotype"/>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EF247A">
        <w:rPr>
          <w:rFonts w:ascii="Palatino Linotype" w:eastAsia="Palatino Linotype" w:hAnsi="Palatino Linotype" w:cs="Palatino Linotype"/>
          <w:b/>
        </w:rPr>
        <w:t>decreta</w:t>
      </w:r>
      <w:r w:rsidRPr="00EF247A">
        <w:rPr>
          <w:rFonts w:ascii="Palatino Linotype" w:eastAsia="Palatino Linotype" w:hAnsi="Palatino Linotype" w:cs="Palatino Linotype"/>
        </w:rPr>
        <w:t xml:space="preserve"> la </w:t>
      </w:r>
      <w:r w:rsidRPr="00EF247A">
        <w:rPr>
          <w:rFonts w:ascii="Palatino Linotype" w:eastAsia="Palatino Linotype" w:hAnsi="Palatino Linotype" w:cs="Palatino Linotype"/>
          <w:b/>
        </w:rPr>
        <w:lastRenderedPageBreak/>
        <w:t>acumulación</w:t>
      </w:r>
      <w:r w:rsidRPr="00EF247A">
        <w:rPr>
          <w:rFonts w:ascii="Palatino Linotype" w:eastAsia="Palatino Linotype" w:hAnsi="Palatino Linotype" w:cs="Palatino Linotype"/>
        </w:rPr>
        <w:t xml:space="preserve"> del Recurso de Revisión </w:t>
      </w:r>
      <w:r w:rsidRPr="00EF247A">
        <w:rPr>
          <w:rFonts w:ascii="Palatino Linotype" w:eastAsia="Palatino Linotype" w:hAnsi="Palatino Linotype" w:cs="Palatino Linotype"/>
          <w:b/>
          <w:color w:val="000000"/>
        </w:rPr>
        <w:t xml:space="preserve">01898/INFOEM/IP/RR/2025 </w:t>
      </w:r>
      <w:r w:rsidRPr="00EF247A">
        <w:rPr>
          <w:rFonts w:ascii="Palatino Linotype" w:eastAsia="Palatino Linotype" w:hAnsi="Palatino Linotype" w:cs="Palatino Linotype"/>
        </w:rPr>
        <w:t xml:space="preserve">al diverso </w:t>
      </w:r>
      <w:r w:rsidRPr="00EF247A">
        <w:rPr>
          <w:rFonts w:ascii="Palatino Linotype" w:eastAsia="Palatino Linotype" w:hAnsi="Palatino Linotype" w:cs="Palatino Linotype"/>
          <w:b/>
          <w:color w:val="000000"/>
        </w:rPr>
        <w:t>00538/INFOEM/IP/RR/2025</w:t>
      </w:r>
      <w:r w:rsidRPr="00EF247A">
        <w:rPr>
          <w:rFonts w:ascii="Palatino Linotype" w:eastAsia="Palatino Linotype" w:hAnsi="Palatino Linotype" w:cs="Palatino Linotype"/>
        </w:rPr>
        <w:t>, por ser este último el más antiguo, sustanciado bajo el índice de esta Ponencia.</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7"/>
        </w:numPr>
        <w:pBdr>
          <w:top w:val="nil"/>
          <w:left w:val="nil"/>
          <w:bottom w:val="nil"/>
          <w:right w:val="nil"/>
          <w:between w:val="nil"/>
        </w:pBdr>
        <w:spacing w:line="360" w:lineRule="auto"/>
        <w:ind w:left="0" w:firstLine="0"/>
        <w:jc w:val="both"/>
        <w:rPr>
          <w:rFonts w:ascii="Palatino Linotype" w:hAnsi="Palatino Linotype"/>
          <w:color w:val="000000"/>
        </w:rPr>
      </w:pPr>
      <w:r w:rsidRPr="00EF247A">
        <w:rPr>
          <w:rFonts w:ascii="Palatino Linotype" w:eastAsia="Palatino Linotype" w:hAnsi="Palatino Linotype" w:cs="Palatino Linotype"/>
          <w:color w:val="000000"/>
        </w:rPr>
        <w:t>El</w:t>
      </w:r>
      <w:r w:rsidRPr="00EF247A">
        <w:rPr>
          <w:rFonts w:ascii="Palatino Linotype" w:eastAsia="Palatino Linotype" w:hAnsi="Palatino Linotype" w:cs="Palatino Linotype"/>
          <w:b/>
          <w:color w:val="000000"/>
        </w:rPr>
        <w:t xml:space="preserve"> catorce de marzo y veintinueve de abril de dos mil veinticinco</w:t>
      </w:r>
      <w:r w:rsidRPr="00EF247A">
        <w:rPr>
          <w:rFonts w:ascii="Palatino Linotype" w:eastAsia="Palatino Linotype" w:hAnsi="Palatino Linotype" w:cs="Palatino Linotype"/>
          <w:color w:val="000000"/>
        </w:rPr>
        <w:t xml:space="preserve"> se acordó </w:t>
      </w:r>
      <w:r w:rsidRPr="00EF247A">
        <w:rPr>
          <w:rFonts w:ascii="Palatino Linotype" w:eastAsia="Palatino Linotype" w:hAnsi="Palatino Linotype" w:cs="Palatino Linotype"/>
          <w:b/>
          <w:color w:val="000000"/>
        </w:rPr>
        <w:t>ampliar el término para resolver</w:t>
      </w:r>
      <w:r w:rsidRPr="00EF247A">
        <w:rPr>
          <w:rFonts w:ascii="Palatino Linotype" w:eastAsia="Palatino Linotype" w:hAnsi="Palatino Linotype" w:cs="Palatino Linotype"/>
          <w:color w:val="000000"/>
        </w:rPr>
        <w:t xml:space="preserve"> el presente asunto.</w:t>
      </w:r>
    </w:p>
    <w:p w:rsidR="00CB4257" w:rsidRPr="00EF247A" w:rsidRDefault="00CB4257" w:rsidP="002D01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EF247A">
        <w:rPr>
          <w:rFonts w:ascii="Palatino Linotype" w:eastAsia="Palatino Linotype" w:hAnsi="Palatino Linotype" w:cs="Palatino Linotype"/>
          <w:color w:val="000000"/>
        </w:rPr>
        <w:t xml:space="preserve">Seguidamente, en fecha </w:t>
      </w:r>
      <w:r w:rsidRPr="00EF247A">
        <w:rPr>
          <w:rFonts w:ascii="Palatino Linotype" w:eastAsia="Palatino Linotype" w:hAnsi="Palatino Linotype" w:cs="Palatino Linotype"/>
          <w:b/>
          <w:color w:val="000000"/>
        </w:rPr>
        <w:t>siete de mayo de dos mil veinticinco</w:t>
      </w:r>
      <w:r w:rsidRPr="00EF247A">
        <w:rPr>
          <w:rFonts w:ascii="Palatino Linotype" w:eastAsia="Palatino Linotype" w:hAnsi="Palatino Linotype" w:cs="Palatino Linotype"/>
          <w:color w:val="000000"/>
        </w:rPr>
        <w:t xml:space="preserve">, la Comisionada Ponente dictó el </w:t>
      </w:r>
      <w:r w:rsidRPr="00EF247A">
        <w:rPr>
          <w:rFonts w:ascii="Palatino Linotype" w:eastAsia="Palatino Linotype" w:hAnsi="Palatino Linotype" w:cs="Palatino Linotype"/>
          <w:b/>
          <w:color w:val="000000"/>
        </w:rPr>
        <w:t>cierre del periodo de instrucción</w:t>
      </w:r>
      <w:r w:rsidRPr="00EF247A">
        <w:rPr>
          <w:rFonts w:ascii="Palatino Linotype" w:eastAsia="Palatino Linotype" w:hAnsi="Palatino Linotype" w:cs="Palatino Linotype"/>
          <w:color w:val="000000"/>
        </w:rPr>
        <w:t xml:space="preserve"> y, ordenó la resolución que conforme a Derecho proceda, de acuerdo a las siguientes:</w:t>
      </w:r>
    </w:p>
    <w:p w:rsidR="00CB4257" w:rsidRPr="00EF247A" w:rsidRDefault="00CB4257" w:rsidP="002D0153">
      <w:pPr>
        <w:pBdr>
          <w:top w:val="nil"/>
          <w:left w:val="nil"/>
          <w:bottom w:val="nil"/>
          <w:right w:val="nil"/>
          <w:between w:val="nil"/>
        </w:pBdr>
        <w:rPr>
          <w:rFonts w:ascii="Palatino Linotype" w:eastAsia="Palatino Linotype" w:hAnsi="Palatino Linotype" w:cs="Palatino Linotype"/>
          <w:b/>
          <w:color w:val="000000"/>
        </w:rPr>
      </w:pPr>
    </w:p>
    <w:p w:rsidR="00CB4257" w:rsidRPr="00EF247A" w:rsidRDefault="007B2F32" w:rsidP="002D015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C O N S I D E R A C I O N E S</w:t>
      </w:r>
    </w:p>
    <w:p w:rsidR="00CB4257" w:rsidRPr="00EF247A" w:rsidRDefault="00CB4257" w:rsidP="002D015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CB4257" w:rsidRPr="00EF247A" w:rsidRDefault="007B2F32" w:rsidP="002D0153">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EF247A">
        <w:rPr>
          <w:rFonts w:ascii="Palatino Linotype" w:eastAsia="Palatino Linotype" w:hAnsi="Palatino Linotype" w:cs="Palatino Linotype"/>
          <w:b/>
          <w:color w:val="000000"/>
          <w:sz w:val="24"/>
          <w:szCs w:val="24"/>
        </w:rPr>
        <w:t>PRIMERA. Competencia</w:t>
      </w:r>
    </w:p>
    <w:p w:rsidR="00CB4257" w:rsidRPr="00EF247A" w:rsidRDefault="007B2F32" w:rsidP="002D015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w:t>
      </w:r>
      <w:r w:rsidRPr="00EF247A">
        <w:rPr>
          <w:rFonts w:ascii="Palatino Linotype" w:eastAsia="Palatino Linotype" w:hAnsi="Palatino Linotype" w:cs="Palatino Linotype"/>
          <w:color w:val="000000"/>
        </w:rPr>
        <w:lastRenderedPageBreak/>
        <w:t>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CB4257" w:rsidRPr="00EF247A" w:rsidRDefault="007B2F32" w:rsidP="002D0153">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EF247A">
        <w:rPr>
          <w:rFonts w:ascii="Palatino Linotype" w:eastAsia="Palatino Linotype" w:hAnsi="Palatino Linotype" w:cs="Palatino Linotype"/>
          <w:b/>
          <w:color w:val="000000"/>
          <w:sz w:val="24"/>
          <w:szCs w:val="24"/>
        </w:rPr>
        <w:t>SEGUNDA. Procedencia.</w:t>
      </w: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Este Órgano Garante considera que el medio de impugnación reúne los requisitos de procedencia </w:t>
      </w:r>
      <w:r w:rsidRPr="00EF247A">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bookmarkStart w:id="6" w:name="_GoBack"/>
      <w:bookmarkEnd w:id="6"/>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CB4257" w:rsidRPr="00EF247A" w:rsidRDefault="00CB4257" w:rsidP="002D0153">
      <w:pPr>
        <w:pBdr>
          <w:top w:val="nil"/>
          <w:left w:val="nil"/>
          <w:bottom w:val="nil"/>
          <w:right w:val="nil"/>
          <w:between w:val="nil"/>
        </w:pBdr>
        <w:spacing w:line="360" w:lineRule="auto"/>
        <w:rPr>
          <w:rFonts w:ascii="Palatino Linotype" w:eastAsia="Palatino Linotype" w:hAnsi="Palatino Linotype" w:cs="Palatino Linotype"/>
          <w:color w:val="000000"/>
        </w:rPr>
      </w:pPr>
    </w:p>
    <w:p w:rsidR="00CB4257" w:rsidRPr="00EF247A" w:rsidRDefault="007B2F32" w:rsidP="002D0153">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EF247A">
        <w:rPr>
          <w:rFonts w:ascii="Palatino Linotype" w:eastAsia="Palatino Linotype" w:hAnsi="Palatino Linotype" w:cs="Palatino Linotype"/>
          <w:b/>
          <w:color w:val="000000"/>
          <w:sz w:val="24"/>
          <w:szCs w:val="24"/>
        </w:rPr>
        <w:t>TERCERA. Descripción de hechos y planteamiento de la controversia.</w:t>
      </w:r>
    </w:p>
    <w:p w:rsidR="00CB4257" w:rsidRPr="00EF247A" w:rsidRDefault="007B2F32" w:rsidP="002D015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Se solicitó tener acceso, a la información que a continuación se simplifica:</w:t>
      </w: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Durante los años 2022, 2023 y 2024</w:t>
      </w:r>
    </w:p>
    <w:p w:rsidR="00CB4257" w:rsidRPr="00EF247A" w:rsidRDefault="007B2F32" w:rsidP="002D0153">
      <w:pPr>
        <w:numPr>
          <w:ilvl w:val="0"/>
          <w:numId w:val="8"/>
        </w:numPr>
        <w:pBdr>
          <w:top w:val="nil"/>
          <w:left w:val="nil"/>
          <w:bottom w:val="nil"/>
          <w:right w:val="nil"/>
          <w:between w:val="nil"/>
        </w:pBdr>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Cuántos permisos de descarga de agua residual se emitieron.</w:t>
      </w:r>
    </w:p>
    <w:p w:rsidR="00CB4257" w:rsidRPr="00EF247A" w:rsidRDefault="007B2F32" w:rsidP="002D0153">
      <w:pPr>
        <w:numPr>
          <w:ilvl w:val="0"/>
          <w:numId w:val="8"/>
        </w:numPr>
        <w:pBdr>
          <w:top w:val="nil"/>
          <w:left w:val="nil"/>
          <w:bottom w:val="nil"/>
          <w:right w:val="nil"/>
          <w:between w:val="nil"/>
        </w:pBdr>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Cuántos permisos de descarga de agua residual fueron emitidos a personas físicas.</w:t>
      </w:r>
    </w:p>
    <w:p w:rsidR="00CB4257" w:rsidRPr="00EF247A" w:rsidRDefault="007B2F32" w:rsidP="002D0153">
      <w:pPr>
        <w:numPr>
          <w:ilvl w:val="0"/>
          <w:numId w:val="8"/>
        </w:numPr>
        <w:pBdr>
          <w:top w:val="nil"/>
          <w:left w:val="nil"/>
          <w:bottom w:val="nil"/>
          <w:right w:val="nil"/>
          <w:between w:val="nil"/>
        </w:pBdr>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lastRenderedPageBreak/>
        <w:t>Cuántos permisos de descarga de agua residual fueron emitidos a personas morales.</w:t>
      </w:r>
    </w:p>
    <w:p w:rsidR="00CB4257" w:rsidRPr="00EF247A" w:rsidRDefault="007B2F32" w:rsidP="002D0153">
      <w:pPr>
        <w:numPr>
          <w:ilvl w:val="0"/>
          <w:numId w:val="8"/>
        </w:numPr>
        <w:pBdr>
          <w:top w:val="nil"/>
          <w:left w:val="nil"/>
          <w:bottom w:val="nil"/>
          <w:right w:val="nil"/>
          <w:between w:val="nil"/>
        </w:pBdr>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Cuántos y cuáles permisos de descarga de agua residual contienen más de una descarga.</w:t>
      </w:r>
    </w:p>
    <w:p w:rsidR="00CB4257" w:rsidRPr="00EF247A" w:rsidRDefault="007B2F32" w:rsidP="002D0153">
      <w:pPr>
        <w:numPr>
          <w:ilvl w:val="0"/>
          <w:numId w:val="8"/>
        </w:numPr>
        <w:pBdr>
          <w:top w:val="nil"/>
          <w:left w:val="nil"/>
          <w:bottom w:val="nil"/>
          <w:right w:val="nil"/>
          <w:between w:val="nil"/>
        </w:pBdr>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Cuántas y cuáles órdenes de inspección y/o verificación o en su caso requerimientos se solicitaron, para cumplir con los requisitos y obtención del permiso de descarga de agua residual.</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i/>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Durante los años 2021, 2022, 2023 y 2024</w:t>
      </w:r>
    </w:p>
    <w:p w:rsidR="00CB4257" w:rsidRPr="00EF247A" w:rsidRDefault="007B2F32" w:rsidP="002D0153">
      <w:pPr>
        <w:numPr>
          <w:ilvl w:val="0"/>
          <w:numId w:val="8"/>
        </w:numPr>
        <w:pBdr>
          <w:top w:val="nil"/>
          <w:left w:val="nil"/>
          <w:bottom w:val="nil"/>
          <w:right w:val="nil"/>
          <w:between w:val="nil"/>
        </w:pBdr>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 xml:space="preserve">¿Qué porcentaje en Macromedición ha registrado el Organismo? </w:t>
      </w:r>
    </w:p>
    <w:p w:rsidR="00CB4257" w:rsidRPr="00EF247A" w:rsidRDefault="007B2F32" w:rsidP="002D0153">
      <w:pPr>
        <w:numPr>
          <w:ilvl w:val="0"/>
          <w:numId w:val="8"/>
        </w:numPr>
        <w:pBdr>
          <w:top w:val="nil"/>
          <w:left w:val="nil"/>
          <w:bottom w:val="nil"/>
          <w:right w:val="nil"/>
          <w:between w:val="nil"/>
        </w:pBdr>
        <w:ind w:left="0"/>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¿Qué porcentaje en Micromedición ha registrado el Organismo?</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rPr>
        <w:t>En respuesta, el Sujeto Obligado</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remitió los archivos ya descritos en el anterior Párrafo 2, inconforme con las respuestas, se interpuso recurso de revisión argumentando sustancialmente que la información no es coincidente con reportes realizados en otras plataformas de información  y la falta de entrega de la información.</w:t>
      </w:r>
      <w:r w:rsidRPr="00EF247A">
        <w:rPr>
          <w:rFonts w:ascii="Palatino Linotype" w:eastAsia="Palatino Linotype" w:hAnsi="Palatino Linotype" w:cs="Palatino Linotype"/>
          <w:b/>
        </w:rPr>
        <w:t>.</w:t>
      </w:r>
    </w:p>
    <w:p w:rsidR="00CB4257" w:rsidRPr="00EF247A" w:rsidRDefault="00CB4257" w:rsidP="002D0153">
      <w:pPr>
        <w:jc w:val="both"/>
        <w:rPr>
          <w:rFonts w:ascii="Palatino Linotype" w:eastAsia="Palatino Linotype" w:hAnsi="Palatino Linotype" w:cs="Palatino Linotype"/>
          <w:i/>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En dichas condiciones, la controversia a resolver en el presente proveído, corresponde a determinar si se actualiza la causal de procedencia prevista en el artículo 179, fracciones I y V,</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de la Ley de Transparencia y Acceso a la Información Pública del Estado de</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México</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y</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 xml:space="preserve">Municipios; </w:t>
      </w:r>
      <w:r w:rsidRPr="00EF247A">
        <w:rPr>
          <w:rFonts w:ascii="Palatino Linotype" w:eastAsia="Palatino Linotype" w:hAnsi="Palatino Linotype" w:cs="Palatino Linotype"/>
          <w:color w:val="000000"/>
        </w:rPr>
        <w:t xml:space="preserve">fracciones que determinan las hipótesis relativas a la negativa a la información solicitada y la entrega de información incompleta; </w:t>
      </w:r>
      <w:r w:rsidRPr="00EF247A">
        <w:rPr>
          <w:rFonts w:ascii="Palatino Linotype" w:eastAsia="Palatino Linotype" w:hAnsi="Palatino Linotype" w:cs="Palatino Linotype"/>
        </w:rPr>
        <w:t>contexto del cual se dolió el Recurrente al momento de interponer su inconformidad.</w:t>
      </w:r>
      <w:r w:rsidRPr="00EF247A">
        <w:rPr>
          <w:rFonts w:ascii="Palatino Linotype" w:eastAsia="Palatino Linotype" w:hAnsi="Palatino Linotype" w:cs="Palatino Linotype"/>
          <w:color w:val="000000"/>
        </w:rPr>
        <w:t xml:space="preserve"> De modo tal que el presente recurso de revisión se </w:t>
      </w:r>
      <w:r w:rsidRPr="00EF247A">
        <w:rPr>
          <w:rFonts w:ascii="Palatino Linotype" w:eastAsia="Palatino Linotype" w:hAnsi="Palatino Linotype" w:cs="Palatino Linotype"/>
        </w:rPr>
        <w:t>abocará</w:t>
      </w:r>
      <w:r w:rsidRPr="00EF247A">
        <w:rPr>
          <w:rFonts w:ascii="Palatino Linotype" w:eastAsia="Palatino Linotype" w:hAnsi="Palatino Linotype" w:cs="Palatino Linotype"/>
          <w:color w:val="000000"/>
        </w:rPr>
        <w:t xml:space="preserve"> en determinar si el Sujeto Obligado con su respuesta ciertamente actualiza la causal de procedencia</w:t>
      </w:r>
      <w:r w:rsidRPr="00EF247A">
        <w:rPr>
          <w:rFonts w:ascii="Palatino Linotype" w:eastAsia="Palatino Linotype" w:hAnsi="Palatino Linotype" w:cs="Palatino Linotype"/>
          <w:b/>
          <w:color w:val="000000"/>
        </w:rPr>
        <w:t xml:space="preserve"> </w:t>
      </w:r>
      <w:r w:rsidRPr="00EF247A">
        <w:rPr>
          <w:rFonts w:ascii="Palatino Linotype" w:eastAsia="Palatino Linotype" w:hAnsi="Palatino Linotype" w:cs="Palatino Linotype"/>
          <w:color w:val="000000"/>
        </w:rPr>
        <w:t xml:space="preserve">señalada. </w:t>
      </w:r>
    </w:p>
    <w:p w:rsidR="00CB4257" w:rsidRPr="00EF247A" w:rsidRDefault="00CB4257" w:rsidP="002D0153">
      <w:pPr>
        <w:spacing w:line="360" w:lineRule="auto"/>
        <w:rPr>
          <w:rFonts w:ascii="Palatino Linotype" w:eastAsia="Palatino Linotype" w:hAnsi="Palatino Linotype" w:cs="Palatino Linotype"/>
        </w:rPr>
      </w:pPr>
    </w:p>
    <w:p w:rsidR="00CB4257" w:rsidRPr="00EF247A" w:rsidRDefault="007B2F32" w:rsidP="002D0153">
      <w:pPr>
        <w:pStyle w:val="Ttulo2"/>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EF247A">
        <w:rPr>
          <w:rFonts w:ascii="Palatino Linotype" w:eastAsia="Palatino Linotype" w:hAnsi="Palatino Linotype" w:cs="Palatino Linotype"/>
          <w:b/>
          <w:color w:val="000000"/>
          <w:sz w:val="24"/>
          <w:szCs w:val="24"/>
        </w:rPr>
        <w:lastRenderedPageBreak/>
        <w:t>CUARTA. Estudio de la controversia.</w:t>
      </w: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B4257" w:rsidRPr="00EF247A" w:rsidRDefault="00CB4257" w:rsidP="002D0153">
      <w:pPr>
        <w:pBdr>
          <w:top w:val="nil"/>
          <w:left w:val="nil"/>
          <w:bottom w:val="nil"/>
          <w:right w:val="nil"/>
          <w:between w:val="nil"/>
        </w:pBdr>
        <w:spacing w:line="360" w:lineRule="auto"/>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w:t>
      </w:r>
      <w:r w:rsidRPr="00EF247A">
        <w:rPr>
          <w:rFonts w:ascii="Palatino Linotype" w:eastAsia="Palatino Linotype" w:hAnsi="Palatino Linotype" w:cs="Palatino Linotype"/>
        </w:rPr>
        <w:lastRenderedPageBreak/>
        <w:t>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CB4257" w:rsidRPr="00EF247A" w:rsidRDefault="00CB4257" w:rsidP="002D0153">
      <w:pPr>
        <w:jc w:val="both"/>
        <w:rPr>
          <w:rFonts w:ascii="Palatino Linotype" w:eastAsia="Palatino Linotype" w:hAnsi="Palatino Linotype" w:cs="Palatino Linotype"/>
        </w:rPr>
      </w:pPr>
    </w:p>
    <w:p w:rsidR="00CB4257" w:rsidRPr="00EF247A" w:rsidRDefault="007B2F32" w:rsidP="002D0153">
      <w:pPr>
        <w:numPr>
          <w:ilvl w:val="0"/>
          <w:numId w:val="11"/>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Del Sujeto Obligado.</w:t>
      </w:r>
    </w:p>
    <w:p w:rsidR="00CB4257" w:rsidRPr="00EF247A" w:rsidRDefault="007B2F32" w:rsidP="002D0153">
      <w:pPr>
        <w:numPr>
          <w:ilvl w:val="0"/>
          <w:numId w:val="7"/>
        </w:numPr>
        <w:spacing w:line="360" w:lineRule="auto"/>
        <w:ind w:left="0" w:firstLine="0"/>
        <w:jc w:val="both"/>
        <w:rPr>
          <w:rFonts w:ascii="Palatino Linotype" w:hAnsi="Palatino Linotype"/>
        </w:rPr>
      </w:pPr>
      <w:r w:rsidRPr="00EF247A">
        <w:rPr>
          <w:rFonts w:ascii="Palatino Linotype" w:eastAsia="Palatino Linotype" w:hAnsi="Palatino Linotype" w:cs="Palatino Linotype"/>
        </w:rPr>
        <w:t>La Administración Pública Municipal se compone por las Dependencias, Entidades y Organismos Auxiliares, a través de los cuales el Ayuntamiento realiza actividades para satisfacer las necesidades generales que constituyen el objeto de los servicios y funciones públicas, y para una mejor eficiencia, se dividirá en Centralizada y Descentralizada, la Administración Pública Descentralizada cuenta dentro de su integración con el Organismo Público Descentralizado para la prestación de los Servicios de Agua Potable, Alcantarillado y Saneamiento del Municipio de Naucalpan. (OAPAS), de conformidad con el artículo 42, fracción I, del Bando Municipal 2025.</w:t>
      </w:r>
    </w:p>
    <w:p w:rsidR="00CB4257" w:rsidRPr="00EF247A" w:rsidRDefault="00CB4257" w:rsidP="002D0153">
      <w:pPr>
        <w:spacing w:line="360" w:lineRule="auto"/>
        <w:jc w:val="both"/>
        <w:rPr>
          <w:rFonts w:ascii="Palatino Linotype" w:hAnsi="Palatino Linotype"/>
        </w:rPr>
      </w:pPr>
    </w:p>
    <w:p w:rsidR="00CB4257" w:rsidRPr="00EF247A" w:rsidRDefault="007B2F32" w:rsidP="002D0153">
      <w:pPr>
        <w:numPr>
          <w:ilvl w:val="0"/>
          <w:numId w:val="7"/>
        </w:numPr>
        <w:spacing w:line="360" w:lineRule="auto"/>
        <w:ind w:left="0" w:firstLine="0"/>
        <w:jc w:val="both"/>
        <w:rPr>
          <w:rFonts w:ascii="Palatino Linotype" w:hAnsi="Palatino Linotype"/>
        </w:rPr>
      </w:pPr>
      <w:r w:rsidRPr="00EF247A">
        <w:rPr>
          <w:rFonts w:ascii="Palatino Linotype" w:eastAsia="Palatino Linotype" w:hAnsi="Palatino Linotype" w:cs="Palatino Linotype"/>
        </w:rPr>
        <w:t xml:space="preserve">Para el despacho de los asuntos de competencia del Sujeto Obligado, el Director General tendrá la asistencia de diversas áreas administrativas que integran la estructura orgánica, tal como lo señala  el Reglamento orgánico del organismo público </w:t>
      </w:r>
      <w:r w:rsidRPr="00EF247A">
        <w:rPr>
          <w:rFonts w:ascii="Palatino Linotype" w:eastAsia="Palatino Linotype" w:hAnsi="Palatino Linotype" w:cs="Palatino Linotype"/>
        </w:rPr>
        <w:lastRenderedPageBreak/>
        <w:t>descentralizado para la prestación de los servicios de agua potable, alcantarillado y saneamiento del Municipio de Naucalpan, en su artículo 27, fracción V:</w:t>
      </w:r>
    </w:p>
    <w:p w:rsidR="00CB4257" w:rsidRPr="00EF247A" w:rsidRDefault="00CB4257" w:rsidP="002D0153">
      <w:pPr>
        <w:jc w:val="both"/>
        <w:rPr>
          <w:rFonts w:ascii="Palatino Linotype" w:hAnsi="Palatino Linotype"/>
        </w:rPr>
      </w:pP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Reglamento Orgánico del Organismo Público Descentralizado para la prestación de los servicios de agua potable, alcantarillado y saneamiento del Municipio de Naucalpan</w:t>
      </w:r>
    </w:p>
    <w:p w:rsidR="00CB4257" w:rsidRPr="00EF247A" w:rsidRDefault="00CB4257" w:rsidP="002D0153">
      <w:pPr>
        <w:jc w:val="center"/>
        <w:rPr>
          <w:rFonts w:ascii="Palatino Linotype" w:eastAsia="Palatino Linotype" w:hAnsi="Palatino Linotype" w:cs="Palatino Linotype"/>
          <w:b/>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 xml:space="preserve">Artículo 27.- </w:t>
      </w:r>
      <w:r w:rsidRPr="00EF247A">
        <w:rPr>
          <w:rFonts w:ascii="Palatino Linotype" w:eastAsia="Palatino Linotype" w:hAnsi="Palatino Linotype" w:cs="Palatino Linotype"/>
          <w:i/>
        </w:rPr>
        <w:t>Para el despacho de los asuntos de su competencia, el Director General tendrá la asistencia de las siguientes áreas administrativas que integran la estructura orgánica:</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b/>
          <w:i/>
        </w:rPr>
      </w:pPr>
      <w:r w:rsidRPr="00EF247A">
        <w:rPr>
          <w:rFonts w:ascii="Palatino Linotype" w:eastAsia="Palatino Linotype" w:hAnsi="Palatino Linotype" w:cs="Palatino Linotype"/>
          <w:b/>
          <w:i/>
        </w:rPr>
        <w:t xml:space="preserve">V. DIRECCIÓN DE CONSTRUCCIÓN Y OPERACIÓN HIDRÁULICA: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V.I. Gerencia de Operación Hidráulica: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V.I.I. Subgerencia de Drenaje y Alcantarillado;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V.I.II. Subgerencia de Electromecánica;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V.I.III. Subgerencia de Efluentes y Calidad del Agua; y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V.I.IV. Subgerencia de Agua Potable.</w:t>
      </w:r>
    </w:p>
    <w:p w:rsidR="00CB4257" w:rsidRPr="00EF247A" w:rsidRDefault="00CB4257" w:rsidP="002D0153">
      <w:pPr>
        <w:jc w:val="both"/>
        <w:rPr>
          <w:rFonts w:ascii="Palatino Linotype" w:hAnsi="Palatino Linotype"/>
        </w:rPr>
      </w:pPr>
    </w:p>
    <w:p w:rsidR="00CB4257" w:rsidRPr="00EF247A" w:rsidRDefault="007B2F32" w:rsidP="002D0153">
      <w:pPr>
        <w:numPr>
          <w:ilvl w:val="0"/>
          <w:numId w:val="7"/>
        </w:numPr>
        <w:spacing w:line="360" w:lineRule="auto"/>
        <w:ind w:left="0" w:firstLine="0"/>
        <w:jc w:val="both"/>
        <w:rPr>
          <w:rFonts w:ascii="Palatino Linotype" w:hAnsi="Palatino Linotype"/>
        </w:rPr>
      </w:pPr>
      <w:r w:rsidRPr="00EF247A">
        <w:rPr>
          <w:rFonts w:ascii="Palatino Linotype" w:eastAsia="Palatino Linotype" w:hAnsi="Palatino Linotype" w:cs="Palatino Linotype"/>
        </w:rPr>
        <w:t>La Dirección de Construcción y Operación Hidráulica tiene dentro de sus atribuciones las contenidas en el artículo 44, del Reglamento antes referido, mencionando de entre ellas las siguientes:</w:t>
      </w:r>
    </w:p>
    <w:p w:rsidR="00CB4257" w:rsidRPr="00EF247A" w:rsidRDefault="00CB4257" w:rsidP="002D0153">
      <w:pPr>
        <w:jc w:val="both"/>
        <w:rPr>
          <w:rFonts w:ascii="Palatino Linotype" w:hAnsi="Palatino Linotype"/>
        </w:rPr>
      </w:pP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Reglamento Orgánico del Organismo Público Descentralizado para la prestación de los servicios de agua potable, alcantarillado y saneamiento del Municipio de Naucalpan</w:t>
      </w:r>
    </w:p>
    <w:p w:rsidR="00CB4257" w:rsidRPr="00EF247A" w:rsidRDefault="00CB4257" w:rsidP="002D0153">
      <w:pPr>
        <w:jc w:val="center"/>
        <w:rPr>
          <w:rFonts w:ascii="Palatino Linotype" w:eastAsia="Palatino Linotype" w:hAnsi="Palatino Linotype" w:cs="Palatino Linotype"/>
          <w:b/>
          <w:i/>
        </w:rPr>
      </w:pP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CAPÍTULO NOVENO</w:t>
      </w: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DE LA DIRECCIÓN DE CONSTRUCCIÓN Y OPERACIÓN HIDRÁULICA</w:t>
      </w:r>
    </w:p>
    <w:p w:rsidR="00CB4257" w:rsidRPr="00EF247A" w:rsidRDefault="00CB4257" w:rsidP="002D0153">
      <w:pPr>
        <w:jc w:val="center"/>
        <w:rPr>
          <w:rFonts w:ascii="Palatino Linotype" w:eastAsia="Palatino Linotype" w:hAnsi="Palatino Linotype" w:cs="Palatino Linotype"/>
          <w:b/>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Artículo 44.-</w:t>
      </w:r>
      <w:r w:rsidRPr="00EF247A">
        <w:rPr>
          <w:rFonts w:ascii="Palatino Linotype" w:eastAsia="Palatino Linotype" w:hAnsi="Palatino Linotype" w:cs="Palatino Linotype"/>
          <w:i/>
        </w:rPr>
        <w:t xml:space="preserve"> La Dirección de Construcción y Operación Hidráulica, estará a cargo de un titular, a quien se le denominará Director de Construcción y Operación Hidráulica, quien responderá </w:t>
      </w:r>
      <w:r w:rsidRPr="00EF247A">
        <w:rPr>
          <w:rFonts w:ascii="Palatino Linotype" w:eastAsia="Palatino Linotype" w:hAnsi="Palatino Linotype" w:cs="Palatino Linotype"/>
          <w:i/>
        </w:rPr>
        <w:lastRenderedPageBreak/>
        <w:t xml:space="preserve">directamente del desempeño de sus funciones ante el Director General y quien tendrá las siguientes atribuciones y facultades relativas a su cargo: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III. Emitir el Permiso de Descargas de Aguas Residuales, así como la actualización del mismo;</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IV. Comisionar a los servidores públicos que funjan como notificadores y verificadores, para el ejercicio de las diligencias emitidas en razón del manejo, conducción y disposición de aguas residuales dentro del territorio del Municipio y a cargo de la Subgerencia de Efluentes y Calidad del Agua;</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V. Emitir, ordenar y ejecutar por conducto de los servidores públicos que para tal efecto habilite, las órdenes de visita de inspección y verificación, así como del requerimiento y notificación;</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Artículo 45</w:t>
      </w:r>
      <w:r w:rsidRPr="00EF247A">
        <w:rPr>
          <w:rFonts w:ascii="Palatino Linotype" w:eastAsia="Palatino Linotype" w:hAnsi="Palatino Linotype" w:cs="Palatino Linotype"/>
          <w:i/>
        </w:rPr>
        <w:t xml:space="preserve">.- La </w:t>
      </w:r>
      <w:r w:rsidRPr="00EF247A">
        <w:rPr>
          <w:rFonts w:ascii="Palatino Linotype" w:eastAsia="Palatino Linotype" w:hAnsi="Palatino Linotype" w:cs="Palatino Linotype"/>
          <w:b/>
          <w:i/>
        </w:rPr>
        <w:t>Dirección de Construcción y Operación Hidráulica</w:t>
      </w:r>
      <w:r w:rsidRPr="00EF247A">
        <w:rPr>
          <w:rFonts w:ascii="Palatino Linotype" w:eastAsia="Palatino Linotype" w:hAnsi="Palatino Linotype" w:cs="Palatino Linotype"/>
          <w:i/>
        </w:rPr>
        <w:t xml:space="preserve">, para el estudio, despacho, planeación y ejecución de sus atribuciones, contará con las siguientes Gerencias y Subgerencias que le estarán subordinadas jerárquicamente: </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b/>
          <w:i/>
        </w:rPr>
      </w:pPr>
      <w:r w:rsidRPr="00EF247A">
        <w:rPr>
          <w:rFonts w:ascii="Palatino Linotype" w:eastAsia="Palatino Linotype" w:hAnsi="Palatino Linotype" w:cs="Palatino Linotype"/>
          <w:b/>
          <w:i/>
        </w:rPr>
        <w:t xml:space="preserve">I. GERENCIA DE OPERACIÓN HIDRÁULICA: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 Subgerencia de Drenaje y Alcantarillado;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I.II. Subgerencia de Electromecánica; </w:t>
      </w:r>
    </w:p>
    <w:p w:rsidR="00CB4257" w:rsidRPr="00EF247A" w:rsidRDefault="007B2F32" w:rsidP="002D0153">
      <w:pPr>
        <w:jc w:val="both"/>
        <w:rPr>
          <w:rFonts w:ascii="Palatino Linotype" w:eastAsia="Palatino Linotype" w:hAnsi="Palatino Linotype" w:cs="Palatino Linotype"/>
          <w:b/>
          <w:i/>
        </w:rPr>
      </w:pPr>
      <w:r w:rsidRPr="00EF247A">
        <w:rPr>
          <w:rFonts w:ascii="Palatino Linotype" w:eastAsia="Palatino Linotype" w:hAnsi="Palatino Linotype" w:cs="Palatino Linotype"/>
          <w:b/>
          <w:i/>
        </w:rPr>
        <w:t xml:space="preserve">I.III. Subgerencia de Efluentes y Calidad del Agua; y </w:t>
      </w:r>
    </w:p>
    <w:p w:rsidR="00CB4257" w:rsidRPr="00EF247A" w:rsidRDefault="007B2F32" w:rsidP="002D0153">
      <w:pPr>
        <w:jc w:val="both"/>
        <w:rPr>
          <w:rFonts w:ascii="Palatino Linotype" w:eastAsia="Palatino Linotype" w:hAnsi="Palatino Linotype" w:cs="Palatino Linotype"/>
          <w:b/>
          <w:i/>
        </w:rPr>
      </w:pPr>
      <w:r w:rsidRPr="00EF247A">
        <w:rPr>
          <w:rFonts w:ascii="Palatino Linotype" w:eastAsia="Palatino Linotype" w:hAnsi="Palatino Linotype" w:cs="Palatino Linotype"/>
          <w:b/>
          <w:i/>
        </w:rPr>
        <w:t xml:space="preserve">I.IV. Subgerencia de Agua Potable.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CB4257" w:rsidP="002D0153">
      <w:pPr>
        <w:jc w:val="both"/>
        <w:rPr>
          <w:rFonts w:ascii="Palatino Linotype" w:eastAsia="Palatino Linotype" w:hAnsi="Palatino Linotype" w:cs="Palatino Linotype"/>
          <w:b/>
          <w:i/>
        </w:rPr>
      </w:pP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APARTADO TERCERO</w:t>
      </w: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DE LA SUBGERENCIA DE EFLUENTES Y CALIDAD DEL AGUA</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Artículo 50</w:t>
      </w:r>
      <w:r w:rsidRPr="00EF247A">
        <w:rPr>
          <w:rFonts w:ascii="Palatino Linotype" w:eastAsia="Palatino Linotype" w:hAnsi="Palatino Linotype" w:cs="Palatino Linotype"/>
          <w:i/>
        </w:rPr>
        <w:t>.- La Subgerencia de Efluentes y Calidad del Agua, estará a cargo de un titular, a quien se le denominará Subgerente de Efluentes y Calidad del Agua, quien responderá directamente del desempeño de sus funciones ante el Gerente de Operación Hidráulica y quien tendrá las siguientes atribuciones y facultades relativas a su cargo:</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lastRenderedPageBreak/>
        <w:t>III. Verificar y supervisar, a través del área correspondiente, el cumplimiento de la normatividad, en materia de descarga de aguas residuales que genere y vierta las industrias, comercios, servicios y casa habitación a la red de alcantarillado municipal;</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XII. Supervisar a través de su área correspondiente, la emisión de los Permisos de Descarga de Agua Residual para Usuarios No Domésticos, que cumplan con la normatividad vigente, según sea el caso;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XIII. Evaluar las solicitudes y el cumplimiento de los requisitos para el trámite de obtención y/o actualización, del Permiso de Descarga de Aguas Residuales que expide el Organismo a los usuarios no domésticos;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XIV. Elaborar los Permisos de Descarga de Agua Residual a los Usuarios No Domésticos que generen y viertan aguas residuales al sistema de alcantarillado municipal;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XV. Proporcionar los requisitos para la emisión y actualización del permiso de descarga de agua residual;</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XVII. Negar y/o revocar el Permiso de Descarga de Aguas Residuales, cuando se incumpla con alguno de los supuestos de la Ley del Agua para el Estado de México y Municipios, Reglamento del Servicio de Agua Potable, Drenaje, Alcantarillado y Tratamiento de Aguas Residuales del Municipio de Naucalpan de Juárez, México, Normas Oficiales Mexicanas, y demás disposiciones legales vigentes en la materia;</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XXII. En coordinación con el área correspondiente mantener actualizado el padrón de usuarios no domésticos que por su(s) proceso(s) producción, y/o actividades desarrolladas generen y viertan aguas residuales al sistema de alcantarillado municipal;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XXIII. Realizar visitas de inspección y verificación para vigilar el cumplimiento de la normatividad, en materia de descargas de aguas residuales que generan y vierten las industrias, servicios, comercios, y casa habitación a la red de alcantarillado municipal, en caso de ser necesario, recolectar muestras del caudal vertido, para su análisis y considerar los resultados para la elaboración del dictamen técnico, solicitando, en su caso, las medidas correctivas pertinentes, así como promover el inicio del procedimiento administrativo respectivo ante la Dirección Jurídica del Organismo;</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APARTADO CUARTO</w:t>
      </w: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DE LA SUBGERENCIA AGUA POTABLE</w:t>
      </w:r>
    </w:p>
    <w:p w:rsidR="00CB4257" w:rsidRPr="00EF247A" w:rsidRDefault="00CB4257" w:rsidP="002D0153">
      <w:pPr>
        <w:jc w:val="center"/>
        <w:rPr>
          <w:rFonts w:ascii="Palatino Linotype" w:eastAsia="Palatino Linotype" w:hAnsi="Palatino Linotype" w:cs="Palatino Linotype"/>
          <w:b/>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Artículo 51.-</w:t>
      </w:r>
      <w:r w:rsidRPr="00EF247A">
        <w:rPr>
          <w:rFonts w:ascii="Palatino Linotype" w:eastAsia="Palatino Linotype" w:hAnsi="Palatino Linotype" w:cs="Palatino Linotype"/>
          <w:i/>
        </w:rPr>
        <w:t xml:space="preserve"> La Subgerencia de Agua Potable, estará a cargo de un titular, a quien se le denominará Subgerente de Agua Potable, quien responderá directamente del desempeño de sus funciones ante el Gerente de Operación Hidráulica y quien tendrá las siguientes atribuciones y facultades relativas a su cargo:</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XXIV. </w:t>
      </w:r>
      <w:r w:rsidRPr="00EF247A">
        <w:rPr>
          <w:rFonts w:ascii="Palatino Linotype" w:eastAsia="Palatino Linotype" w:hAnsi="Palatino Linotype" w:cs="Palatino Linotype"/>
          <w:b/>
          <w:i/>
        </w:rPr>
        <w:t>Llevar a cabo el proceso de macro medición de agua</w:t>
      </w:r>
      <w:r w:rsidRPr="00EF247A">
        <w:rPr>
          <w:rFonts w:ascii="Palatino Linotype" w:eastAsia="Palatino Linotype" w:hAnsi="Palatino Linotype" w:cs="Palatino Linotype"/>
          <w:i/>
        </w:rPr>
        <w:t>, así como su conciliación con la CONAGUA y la CAEM;</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La Subgerencia de Agua Potable </w:t>
      </w:r>
      <w:r w:rsidRPr="00EF247A">
        <w:rPr>
          <w:rFonts w:ascii="Palatino Linotype" w:eastAsia="Palatino Linotype" w:hAnsi="Palatino Linotype" w:cs="Palatino Linotype"/>
          <w:b/>
          <w:i/>
        </w:rPr>
        <w:t>para el despacho de los asuntos de su competencia</w:t>
      </w:r>
      <w:r w:rsidRPr="00EF247A">
        <w:rPr>
          <w:rFonts w:ascii="Palatino Linotype" w:eastAsia="Palatino Linotype" w:hAnsi="Palatino Linotype" w:cs="Palatino Linotype"/>
          <w:i/>
        </w:rPr>
        <w:t xml:space="preserve">, </w:t>
      </w:r>
      <w:r w:rsidRPr="00EF247A">
        <w:rPr>
          <w:rFonts w:ascii="Palatino Linotype" w:eastAsia="Palatino Linotype" w:hAnsi="Palatino Linotype" w:cs="Palatino Linotype"/>
          <w:b/>
          <w:i/>
        </w:rPr>
        <w:t>contará con las Unidades Administrativas de</w:t>
      </w:r>
      <w:r w:rsidRPr="00EF247A">
        <w:rPr>
          <w:rFonts w:ascii="Palatino Linotype" w:eastAsia="Palatino Linotype" w:hAnsi="Palatino Linotype" w:cs="Palatino Linotype"/>
          <w:i/>
        </w:rPr>
        <w:t xml:space="preserve"> Transporte de Agua en Pipas; </w:t>
      </w:r>
      <w:r w:rsidRPr="00EF247A">
        <w:rPr>
          <w:rFonts w:ascii="Palatino Linotype" w:eastAsia="Palatino Linotype" w:hAnsi="Palatino Linotype" w:cs="Palatino Linotype"/>
          <w:b/>
          <w:i/>
          <w:u w:val="single"/>
        </w:rPr>
        <w:t>Macromedición y Telemetría</w:t>
      </w:r>
      <w:r w:rsidRPr="00EF247A">
        <w:rPr>
          <w:rFonts w:ascii="Palatino Linotype" w:eastAsia="Palatino Linotype" w:hAnsi="Palatino Linotype" w:cs="Palatino Linotype"/>
          <w:i/>
        </w:rPr>
        <w:t>; y Agua Limpia, las cuales podrán ser aumentadas, disminuidas o fusionadas a solicitud del Director General.</w:t>
      </w:r>
    </w:p>
    <w:p w:rsidR="00CB4257" w:rsidRPr="00EF247A" w:rsidRDefault="00CB4257" w:rsidP="002D0153">
      <w:pPr>
        <w:jc w:val="both"/>
        <w:rPr>
          <w:rFonts w:ascii="Palatino Linotype" w:eastAsia="Palatino Linotype" w:hAnsi="Palatino Linotype" w:cs="Palatino Linotype"/>
          <w:i/>
        </w:rPr>
      </w:pPr>
    </w:p>
    <w:p w:rsidR="00CB4257" w:rsidRPr="00EF247A" w:rsidRDefault="00CB4257" w:rsidP="002D0153">
      <w:pPr>
        <w:jc w:val="both"/>
        <w:rPr>
          <w:rFonts w:ascii="Palatino Linotype" w:eastAsia="Palatino Linotype" w:hAnsi="Palatino Linotype" w:cs="Palatino Linotype"/>
          <w:i/>
        </w:rPr>
      </w:pP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numPr>
          <w:ilvl w:val="0"/>
          <w:numId w:val="7"/>
        </w:numPr>
        <w:spacing w:line="360" w:lineRule="auto"/>
        <w:ind w:left="0" w:firstLine="0"/>
        <w:jc w:val="both"/>
        <w:rPr>
          <w:rFonts w:ascii="Palatino Linotype" w:hAnsi="Palatino Linotype"/>
        </w:rPr>
      </w:pPr>
      <w:r w:rsidRPr="00EF247A">
        <w:rPr>
          <w:rFonts w:ascii="Palatino Linotype" w:eastAsia="Palatino Linotype" w:hAnsi="Palatino Linotype" w:cs="Palatino Linotype"/>
        </w:rPr>
        <w:t xml:space="preserve">De lo anterior, la </w:t>
      </w:r>
      <w:r w:rsidRPr="00EF247A">
        <w:rPr>
          <w:rFonts w:ascii="Palatino Linotype" w:eastAsia="Palatino Linotype" w:hAnsi="Palatino Linotype" w:cs="Palatino Linotype"/>
          <w:b/>
        </w:rPr>
        <w:t>Dirección de Construcción y Operación Hidráulica</w:t>
      </w:r>
      <w:r w:rsidRPr="00EF247A">
        <w:rPr>
          <w:rFonts w:ascii="Palatino Linotype" w:eastAsia="Palatino Linotype" w:hAnsi="Palatino Linotype" w:cs="Palatino Linotype"/>
          <w:i/>
        </w:rPr>
        <w:t>, a través de la Subgerencia de Efluentes y Calidad del Agua y la Subgerencia de Agua Potable,</w:t>
      </w:r>
      <w:r w:rsidRPr="00EF247A">
        <w:rPr>
          <w:rFonts w:ascii="Palatino Linotype" w:eastAsia="Palatino Linotype" w:hAnsi="Palatino Linotype" w:cs="Palatino Linotype"/>
        </w:rPr>
        <w:t xml:space="preserve"> es la responsable de emitir los permisos de descargas de aguas residuales, realizar visitas de inspección y verificación; así como el proceso de macro medición de agua.</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Se puede advertir el Sujeto Obligado a través de la Dirección de Construcción y Operación Hidráulica, refirió información estadística en relación con la descarga de aguas residuales; sin embargo, para el tema relacionado con la macro y micro medición mencionó </w:t>
      </w:r>
      <w:r w:rsidRPr="00EF247A">
        <w:rPr>
          <w:rFonts w:ascii="Palatino Linotype" w:eastAsia="Palatino Linotype" w:hAnsi="Palatino Linotype" w:cs="Palatino Linotype"/>
        </w:rPr>
        <w:lastRenderedPageBreak/>
        <w:t>que “</w:t>
      </w:r>
      <w:r w:rsidRPr="00EF247A">
        <w:rPr>
          <w:rFonts w:ascii="Palatino Linotype" w:eastAsia="Palatino Linotype" w:hAnsi="Palatino Linotype" w:cs="Palatino Linotype"/>
          <w:i/>
        </w:rPr>
        <w:t>no se cuenta con la información solicitada toda vez que durante el periodo indicado el área encargada de tomar las lecturas de los equipos de medición fue la Comisión del Agua del Estado de México (CAEM)”</w:t>
      </w:r>
    </w:p>
    <w:p w:rsidR="00CB4257" w:rsidRPr="00EF247A" w:rsidRDefault="00CB4257" w:rsidP="002D0153">
      <w:pPr>
        <w:spacing w:line="360" w:lineRule="auto"/>
        <w:jc w:val="both"/>
        <w:rPr>
          <w:rFonts w:ascii="Palatino Linotype" w:eastAsia="Palatino Linotype" w:hAnsi="Palatino Linotype" w:cs="Palatino Linotype"/>
          <w:i/>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b/>
          <w:i/>
        </w:rPr>
      </w:pPr>
      <w:r w:rsidRPr="00EF247A">
        <w:rPr>
          <w:rFonts w:ascii="Palatino Linotype" w:eastAsia="Palatino Linotype" w:hAnsi="Palatino Linotype" w:cs="Palatino Linotype"/>
        </w:rPr>
        <w:t xml:space="preserve">En este contexto es de mencionar que del Reglamento Orgánico del Organismo Público Descentralizado para la prestación de los servicios de agua potable, alcantarillado y saneamiento del Municipio de Naucalpan, de manera enunciativa más no limitativa se advierte otra unidad administrativa en la cual pudiera obrar la información respecto de la micro medición de agua, tal como la </w:t>
      </w:r>
      <w:r w:rsidRPr="00EF247A">
        <w:rPr>
          <w:rFonts w:ascii="Palatino Linotype" w:eastAsia="Palatino Linotype" w:hAnsi="Palatino Linotype" w:cs="Palatino Linotype"/>
          <w:b/>
        </w:rPr>
        <w:t>Dirección Comercial,</w:t>
      </w:r>
      <w:r w:rsidRPr="00EF247A">
        <w:rPr>
          <w:rFonts w:ascii="Palatino Linotype" w:eastAsia="Palatino Linotype" w:hAnsi="Palatino Linotype" w:cs="Palatino Linotype"/>
        </w:rPr>
        <w:t xml:space="preserve"> ya que dicha unidad administrativa cuentan con diversas atribuciones y facultades relacionadas con la información solicitada, tal como se desprende de dicho ordenamiento municipal:</w:t>
      </w:r>
    </w:p>
    <w:p w:rsidR="00CB4257" w:rsidRPr="00EF247A" w:rsidRDefault="00CB4257" w:rsidP="002D0153">
      <w:pPr>
        <w:spacing w:line="360" w:lineRule="auto"/>
        <w:jc w:val="both"/>
        <w:rPr>
          <w:rFonts w:ascii="Palatino Linotype" w:eastAsia="Palatino Linotype" w:hAnsi="Palatino Linotype" w:cs="Palatino Linotype"/>
          <w:b/>
          <w:i/>
        </w:rPr>
      </w:pP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Reglamento Orgánico del Organismo Público Descentralizado para la prestación de los servicios de agua potable, alcantarillado y saneamiento del Municipio de Naucalpan</w:t>
      </w:r>
    </w:p>
    <w:p w:rsidR="00CB4257" w:rsidRPr="00EF247A" w:rsidRDefault="00CB4257" w:rsidP="002D0153">
      <w:pPr>
        <w:jc w:val="both"/>
        <w:rPr>
          <w:rFonts w:ascii="Palatino Linotype" w:eastAsia="Palatino Linotype" w:hAnsi="Palatino Linotype" w:cs="Palatino Linotype"/>
          <w:b/>
          <w:i/>
        </w:rPr>
      </w:pPr>
    </w:p>
    <w:p w:rsidR="00CB4257" w:rsidRPr="00EF247A" w:rsidRDefault="007B2F32" w:rsidP="002D0153">
      <w:pPr>
        <w:jc w:val="both"/>
        <w:rPr>
          <w:rFonts w:ascii="Palatino Linotype" w:eastAsia="Palatino Linotype" w:hAnsi="Palatino Linotype" w:cs="Palatino Linotype"/>
          <w:b/>
          <w:i/>
        </w:rPr>
      </w:pPr>
      <w:r w:rsidRPr="00EF247A">
        <w:rPr>
          <w:rFonts w:ascii="Palatino Linotype" w:eastAsia="Palatino Linotype" w:hAnsi="Palatino Linotype" w:cs="Palatino Linotype"/>
          <w:b/>
          <w:i/>
        </w:rPr>
        <w:t xml:space="preserve">Artículo 58.- </w:t>
      </w:r>
      <w:r w:rsidRPr="00EF247A">
        <w:rPr>
          <w:rFonts w:ascii="Palatino Linotype" w:eastAsia="Palatino Linotype" w:hAnsi="Palatino Linotype" w:cs="Palatino Linotype"/>
          <w:i/>
        </w:rPr>
        <w:t xml:space="preserve">La </w:t>
      </w:r>
      <w:r w:rsidRPr="00EF247A">
        <w:rPr>
          <w:rFonts w:ascii="Palatino Linotype" w:eastAsia="Palatino Linotype" w:hAnsi="Palatino Linotype" w:cs="Palatino Linotype"/>
          <w:b/>
          <w:i/>
        </w:rPr>
        <w:t>Dirección Comercial</w:t>
      </w:r>
      <w:r w:rsidRPr="00EF247A">
        <w:rPr>
          <w:rFonts w:ascii="Palatino Linotype" w:eastAsia="Palatino Linotype" w:hAnsi="Palatino Linotype" w:cs="Palatino Linotype"/>
          <w:i/>
        </w:rPr>
        <w:t>, estará a cargo de un titular, a quien se le denominará Director Comercial, quien responderá directamente del desempeño de sus funciones ante el Director General y quien tendrá las siguientes atribuciones y facultades relativas a su cargo:</w:t>
      </w:r>
      <w:r w:rsidRPr="00EF247A">
        <w:rPr>
          <w:rFonts w:ascii="Palatino Linotype" w:eastAsia="Palatino Linotype" w:hAnsi="Palatino Linotype" w:cs="Palatino Linotype"/>
          <w:b/>
          <w:i/>
        </w:rPr>
        <w:t xml:space="preserve"> </w:t>
      </w:r>
    </w:p>
    <w:p w:rsidR="00CB4257" w:rsidRPr="00EF247A" w:rsidRDefault="00CB4257" w:rsidP="002D0153">
      <w:pPr>
        <w:jc w:val="both"/>
        <w:rPr>
          <w:rFonts w:ascii="Palatino Linotype" w:eastAsia="Palatino Linotype" w:hAnsi="Palatino Linotype" w:cs="Palatino Linotype"/>
          <w:b/>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XV. Diseñar e instrumentar de acuerdo a la legislación vigente, los mecanismos necesarios a fin </w:t>
      </w:r>
      <w:r w:rsidRPr="00EF247A">
        <w:rPr>
          <w:rFonts w:ascii="Palatino Linotype" w:eastAsia="Palatino Linotype" w:hAnsi="Palatino Linotype" w:cs="Palatino Linotype"/>
          <w:b/>
          <w:i/>
        </w:rPr>
        <w:t xml:space="preserve">de contar con la total </w:t>
      </w:r>
      <w:r w:rsidRPr="00EF247A">
        <w:rPr>
          <w:rFonts w:ascii="Palatino Linotype" w:eastAsia="Palatino Linotype" w:hAnsi="Palatino Linotype" w:cs="Palatino Linotype"/>
          <w:b/>
          <w:i/>
          <w:u w:val="single"/>
        </w:rPr>
        <w:t>micro medición del consumo de agua</w:t>
      </w:r>
      <w:r w:rsidRPr="00EF247A">
        <w:rPr>
          <w:rFonts w:ascii="Palatino Linotype" w:eastAsia="Palatino Linotype" w:hAnsi="Palatino Linotype" w:cs="Palatino Linotype"/>
          <w:b/>
          <w:i/>
        </w:rPr>
        <w:t xml:space="preserve"> potable a través de la instalación de aparatos medidores</w:t>
      </w:r>
      <w:r w:rsidRPr="00EF247A">
        <w:rPr>
          <w:rFonts w:ascii="Palatino Linotype" w:eastAsia="Palatino Linotype" w:hAnsi="Palatino Linotype" w:cs="Palatino Linotype"/>
          <w:i/>
        </w:rPr>
        <w:t xml:space="preserve"> a los usuarios registrados en el padrón del Organismo;</w:t>
      </w:r>
    </w:p>
    <w:p w:rsidR="00CB4257" w:rsidRPr="00EF247A" w:rsidRDefault="00CB4257" w:rsidP="002D0153">
      <w:pPr>
        <w:jc w:val="both"/>
        <w:rPr>
          <w:rFonts w:ascii="Palatino Linotype" w:eastAsia="Palatino Linotype" w:hAnsi="Palatino Linotype" w:cs="Palatino Linotype"/>
          <w:b/>
          <w:i/>
        </w:rPr>
      </w:pPr>
    </w:p>
    <w:p w:rsidR="00CB4257" w:rsidRPr="00EF247A" w:rsidRDefault="007B2F32" w:rsidP="002D0153">
      <w:pPr>
        <w:jc w:val="both"/>
        <w:rPr>
          <w:rFonts w:ascii="Palatino Linotype" w:eastAsia="Palatino Linotype" w:hAnsi="Palatino Linotype" w:cs="Palatino Linotype"/>
          <w:b/>
          <w:i/>
        </w:rPr>
      </w:pPr>
      <w:r w:rsidRPr="00EF247A">
        <w:rPr>
          <w:rFonts w:ascii="Palatino Linotype" w:eastAsia="Palatino Linotype" w:hAnsi="Palatino Linotype" w:cs="Palatino Linotype"/>
          <w:b/>
          <w:i/>
        </w:rPr>
        <w:lastRenderedPageBreak/>
        <w:t xml:space="preserve">Artículo 59.- </w:t>
      </w:r>
      <w:r w:rsidRPr="00EF247A">
        <w:rPr>
          <w:rFonts w:ascii="Palatino Linotype" w:eastAsia="Palatino Linotype" w:hAnsi="Palatino Linotype" w:cs="Palatino Linotype"/>
          <w:i/>
        </w:rPr>
        <w:t xml:space="preserve">La </w:t>
      </w:r>
      <w:r w:rsidRPr="00EF247A">
        <w:rPr>
          <w:rFonts w:ascii="Palatino Linotype" w:eastAsia="Palatino Linotype" w:hAnsi="Palatino Linotype" w:cs="Palatino Linotype"/>
          <w:b/>
          <w:i/>
        </w:rPr>
        <w:t>Dirección Comercial</w:t>
      </w:r>
      <w:r w:rsidRPr="00EF247A">
        <w:rPr>
          <w:rFonts w:ascii="Palatino Linotype" w:eastAsia="Palatino Linotype" w:hAnsi="Palatino Linotype" w:cs="Palatino Linotype"/>
          <w:i/>
        </w:rPr>
        <w:t xml:space="preserve">, para el estudio, despacho, planeación y ejecución de sus atribuciones establecidas en el presente artículo, contará con las siguientes Gerencias y Subgerencias que le estarán subordinadas jerárquicamente: </w:t>
      </w:r>
    </w:p>
    <w:p w:rsidR="00CB4257" w:rsidRPr="00EF247A" w:rsidRDefault="00CB4257" w:rsidP="002D0153">
      <w:pPr>
        <w:jc w:val="both"/>
        <w:rPr>
          <w:rFonts w:ascii="Palatino Linotype" w:eastAsia="Palatino Linotype" w:hAnsi="Palatino Linotype" w:cs="Palatino Linotype"/>
          <w:b/>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 GERENCIA DE ATENCIÓN A USUARIOS: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 Subgerencia Central.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I.II. Subgerencia San Estaban.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I.III. Subgerencia Tecamachalco.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I.IV. Subgerencia Satélite.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I.V. Subgerencia Lomas Verdes.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I.VI. Subgerencia Echegaray.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I.VII. Subgerencia San Mateo. </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 GERENCIA DE REZAGOS, RESTRICCIONES Y EJECUCIÓN FISCAL.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III. SUBGERENCIA DE ALTAS PADRÓN Y CENSO.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IV. </w:t>
      </w:r>
      <w:r w:rsidRPr="00EF247A">
        <w:rPr>
          <w:rFonts w:ascii="Palatino Linotype" w:eastAsia="Palatino Linotype" w:hAnsi="Palatino Linotype" w:cs="Palatino Linotype"/>
          <w:b/>
          <w:i/>
        </w:rPr>
        <w:t>SUBGERENCIA DE MEDIDORES</w:t>
      </w:r>
      <w:r w:rsidRPr="00EF247A">
        <w:rPr>
          <w:rFonts w:ascii="Palatino Linotype" w:eastAsia="Palatino Linotype" w:hAnsi="Palatino Linotype" w:cs="Palatino Linotype"/>
          <w:i/>
        </w:rPr>
        <w:t>.</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SECCIÓN PRIMERA</w:t>
      </w: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DE LA GERENCIA DE ATENCIÓN A USUARIOS</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Artículo 60.-</w:t>
      </w:r>
      <w:r w:rsidRPr="00EF247A">
        <w:rPr>
          <w:rFonts w:ascii="Palatino Linotype" w:eastAsia="Palatino Linotype" w:hAnsi="Palatino Linotype" w:cs="Palatino Linotype"/>
          <w:i/>
        </w:rPr>
        <w:t xml:space="preserve"> La </w:t>
      </w:r>
      <w:r w:rsidRPr="00EF247A">
        <w:rPr>
          <w:rFonts w:ascii="Palatino Linotype" w:eastAsia="Palatino Linotype" w:hAnsi="Palatino Linotype" w:cs="Palatino Linotype"/>
          <w:b/>
          <w:i/>
        </w:rPr>
        <w:t>Gerencia de Atención a Usuarios</w:t>
      </w:r>
      <w:r w:rsidRPr="00EF247A">
        <w:rPr>
          <w:rFonts w:ascii="Palatino Linotype" w:eastAsia="Palatino Linotype" w:hAnsi="Palatino Linotype" w:cs="Palatino Linotype"/>
          <w:i/>
        </w:rPr>
        <w:t>, estará a cargo de un titular, a quien se le denominará Gerente de Atención a Usuarios, quien responderá directamente del desempeño de sus funciones ante el Director Comercial y quien tendrá las siguientes atribuciones y facultades relativas a su cargo:</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IX. Establecer y diseñar en coordinación con la Subgerencia de Medidores, las medidas necesarias para la toma de lectura oportuna y eficaz de los usuarios con servicio medido durante el ejercicio fiscal;</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X. Supervisar en coordinación con la Subgerencia de Medidores, el uso correcto de nuevas tecnologías de medición, verificar que las terminales para la toma de lectura se encuentren funcionado correctamente y con el software adecuado;</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lastRenderedPageBreak/>
        <w:t>…</w:t>
      </w:r>
    </w:p>
    <w:p w:rsidR="00CB4257" w:rsidRPr="00EF247A" w:rsidRDefault="00CB4257" w:rsidP="002D0153">
      <w:pPr>
        <w:jc w:val="center"/>
        <w:rPr>
          <w:rFonts w:ascii="Palatino Linotype" w:eastAsia="Palatino Linotype" w:hAnsi="Palatino Linotype" w:cs="Palatino Linotype"/>
          <w:b/>
          <w:i/>
        </w:rPr>
      </w:pP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SECCIÓN CUARTA</w:t>
      </w:r>
    </w:p>
    <w:p w:rsidR="00CB4257" w:rsidRPr="00EF247A" w:rsidRDefault="007B2F32" w:rsidP="002D0153">
      <w:pPr>
        <w:jc w:val="center"/>
        <w:rPr>
          <w:rFonts w:ascii="Palatino Linotype" w:eastAsia="Palatino Linotype" w:hAnsi="Palatino Linotype" w:cs="Palatino Linotype"/>
          <w:b/>
          <w:i/>
        </w:rPr>
      </w:pPr>
      <w:r w:rsidRPr="00EF247A">
        <w:rPr>
          <w:rFonts w:ascii="Palatino Linotype" w:eastAsia="Palatino Linotype" w:hAnsi="Palatino Linotype" w:cs="Palatino Linotype"/>
          <w:b/>
          <w:i/>
        </w:rPr>
        <w:t>DE LA SUBGERENCIA DE MEDIDORES</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Artículo 65.-</w:t>
      </w:r>
      <w:r w:rsidRPr="00EF247A">
        <w:rPr>
          <w:rFonts w:ascii="Palatino Linotype" w:eastAsia="Palatino Linotype" w:hAnsi="Palatino Linotype" w:cs="Palatino Linotype"/>
          <w:i/>
        </w:rPr>
        <w:t xml:space="preserve"> La </w:t>
      </w:r>
      <w:r w:rsidRPr="00EF247A">
        <w:rPr>
          <w:rFonts w:ascii="Palatino Linotype" w:eastAsia="Palatino Linotype" w:hAnsi="Palatino Linotype" w:cs="Palatino Linotype"/>
          <w:b/>
          <w:i/>
        </w:rPr>
        <w:t>Subgerencia de Medidores</w:t>
      </w:r>
      <w:r w:rsidRPr="00EF247A">
        <w:rPr>
          <w:rFonts w:ascii="Palatino Linotype" w:eastAsia="Palatino Linotype" w:hAnsi="Palatino Linotype" w:cs="Palatino Linotype"/>
          <w:i/>
        </w:rPr>
        <w:t xml:space="preserve">, estará a cargo de un titular, a quien se le denominará Subgerente de Medidores, quien responderá directamente del desempeño de sus funciones ante el Director Comercial y quien tendrá las siguientes atribuciones y facultades relativas a su cargo: </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 Efectuar inspecciones a los medidores para verificar su funcionamiento, instalación o posible manipulación; en coordinación con la gerencia de rezagos, restricciones y ejecución fiscal.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 Efectuar revisiones de medidores para verificar su funcionamiento, instalación o posible manipulación;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III. Efectuar Instalaciones de medidores o sustituciones, previo pago o cargo al número de cuenta del usuario, por los derechos correspondientes;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 xml:space="preserve">IV. Actuar como autoridad administrativa, para dar respuestas a las peticiones e instancias realizadas por los particulares; y </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V. Las demás que le confiera su jefe inmediato, las leyes, reglamentos y demás disposiciones jurídicas y normativas aplicables.</w:t>
      </w:r>
    </w:p>
    <w:p w:rsidR="00CB4257" w:rsidRPr="00EF247A" w:rsidRDefault="00CB4257" w:rsidP="002D0153">
      <w:pPr>
        <w:jc w:val="both"/>
        <w:rPr>
          <w:rFonts w:ascii="Palatino Linotype" w:eastAsia="Palatino Linotype" w:hAnsi="Palatino Linotype" w:cs="Palatino Linotype"/>
          <w:i/>
        </w:rPr>
      </w:pPr>
    </w:p>
    <w:p w:rsidR="00CB4257" w:rsidRPr="00EF247A" w:rsidRDefault="00CB4257" w:rsidP="002D0153">
      <w:pPr>
        <w:tabs>
          <w:tab w:val="left" w:pos="2055"/>
        </w:tabs>
        <w:jc w:val="both"/>
        <w:rPr>
          <w:rFonts w:ascii="Palatino Linotype" w:eastAsia="Palatino Linotype" w:hAnsi="Palatino Linotype" w:cs="Palatino Linotype"/>
          <w:i/>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Del análisis de la normatividad señalada, la Dirección Comercial, es la encargada de </w:t>
      </w:r>
      <w:r w:rsidRPr="00EF247A">
        <w:rPr>
          <w:rFonts w:ascii="Palatino Linotype" w:eastAsia="Palatino Linotype" w:hAnsi="Palatino Linotype" w:cs="Palatino Linotype"/>
          <w:i/>
        </w:rPr>
        <w:t xml:space="preserve">Diseñar e instrumentar de acuerdo a la legislación vigente, los mecanismos necesarios a fin </w:t>
      </w:r>
      <w:r w:rsidRPr="00EF247A">
        <w:rPr>
          <w:rFonts w:ascii="Palatino Linotype" w:eastAsia="Palatino Linotype" w:hAnsi="Palatino Linotype" w:cs="Palatino Linotype"/>
          <w:b/>
          <w:i/>
        </w:rPr>
        <w:t xml:space="preserve">de contar con la total </w:t>
      </w:r>
      <w:r w:rsidRPr="00EF247A">
        <w:rPr>
          <w:rFonts w:ascii="Palatino Linotype" w:eastAsia="Palatino Linotype" w:hAnsi="Palatino Linotype" w:cs="Palatino Linotype"/>
          <w:b/>
          <w:i/>
          <w:u w:val="single"/>
        </w:rPr>
        <w:t>micro medición del consumo de agua</w:t>
      </w:r>
      <w:r w:rsidRPr="00EF247A">
        <w:rPr>
          <w:rFonts w:ascii="Palatino Linotype" w:eastAsia="Palatino Linotype" w:hAnsi="Palatino Linotype" w:cs="Palatino Linotype"/>
          <w:b/>
          <w:i/>
        </w:rPr>
        <w:t xml:space="preserve"> potable a través de la instalación de aparatos medidores</w:t>
      </w:r>
      <w:r w:rsidRPr="00EF247A">
        <w:rPr>
          <w:rFonts w:ascii="Palatino Linotype" w:eastAsia="Palatino Linotype" w:hAnsi="Palatino Linotype" w:cs="Palatino Linotype"/>
        </w:rPr>
        <w:t>, contando con una Subgerencia de Medidores cuyas facultades y atribuciones son las relativas a los medidores de consumo de agua.</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lastRenderedPageBreak/>
        <w:t xml:space="preserve">En este sentido, se desprende que el Sujeto Obligado en respuestas iniciales emite pronunciamiento a través de la Dirección de Construcción y Operación Hidráulica, una de las áreas competentes en las que obra la información requerida, por lo que podemos advertir que </w:t>
      </w:r>
      <w:r w:rsidRPr="00EF247A">
        <w:rPr>
          <w:rFonts w:ascii="Palatino Linotype" w:eastAsia="Palatino Linotype" w:hAnsi="Palatino Linotype" w:cs="Palatino Linotype"/>
          <w:b/>
        </w:rPr>
        <w:t xml:space="preserve">EL SUJETO OBLIGADO no </w:t>
      </w:r>
      <w:r w:rsidRPr="00EF247A">
        <w:rPr>
          <w:rFonts w:ascii="Palatino Linotype" w:eastAsia="Palatino Linotype" w:hAnsi="Palatino Linotype" w:cs="Palatino Linotype"/>
        </w:rPr>
        <w:t>siguió el procedimiento inmerso en la normatividad aplicable, ya que no turnó los requerimientos de información a todas las unidades administrativas competentes en las que pudiera obrar la información requerida,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XXXIX.</w:t>
      </w:r>
      <w:r w:rsidRPr="00EF247A">
        <w:rPr>
          <w:rFonts w:ascii="Palatino Linotype" w:eastAsia="Palatino Linotype" w:hAnsi="Palatino Linotype" w:cs="Palatino Linotype"/>
          <w:i/>
        </w:rPr>
        <w:t xml:space="preserve"> </w:t>
      </w:r>
      <w:r w:rsidRPr="00EF247A">
        <w:rPr>
          <w:rFonts w:ascii="Palatino Linotype" w:eastAsia="Palatino Linotype" w:hAnsi="Palatino Linotype" w:cs="Palatino Linotype"/>
          <w:b/>
          <w:i/>
        </w:rPr>
        <w:t>Servidor público habilitado</w:t>
      </w:r>
      <w:r w:rsidRPr="00EF247A">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B4257" w:rsidRPr="00EF247A" w:rsidRDefault="00CB4257" w:rsidP="002D0153">
      <w:pPr>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Así las cosas, se advierte que la Unidad de Transparencia no cumplió con lo establecido en el artículo 162 de la Ley de Transparencia y Acceso a la Información Pública del Estado de México y Municipios, el cual menciona lo siguiente:</w:t>
      </w:r>
    </w:p>
    <w:p w:rsidR="00CB4257" w:rsidRPr="00EF247A" w:rsidRDefault="00CB4257" w:rsidP="002D0153">
      <w:pPr>
        <w:jc w:val="both"/>
        <w:rPr>
          <w:rFonts w:ascii="Palatino Linotype" w:eastAsia="Palatino Linotype" w:hAnsi="Palatino Linotype" w:cs="Palatino Linotype"/>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r w:rsidRPr="00EF247A">
        <w:rPr>
          <w:rFonts w:ascii="Palatino Linotype" w:eastAsia="Palatino Linotype" w:hAnsi="Palatino Linotype" w:cs="Palatino Linotype"/>
          <w:b/>
          <w:i/>
        </w:rPr>
        <w:t>Artículo 162.</w:t>
      </w:r>
      <w:r w:rsidRPr="00EF247A">
        <w:rPr>
          <w:rFonts w:ascii="Palatino Linotype" w:eastAsia="Palatino Linotype" w:hAnsi="Palatino Linotype" w:cs="Palatino Linotype"/>
          <w:i/>
        </w:rPr>
        <w:t xml:space="preserve"> Las unidades de transparencia deberán garantizar que las solicitudes se turnen a </w:t>
      </w:r>
      <w:r w:rsidRPr="00EF247A">
        <w:rPr>
          <w:rFonts w:ascii="Palatino Linotype" w:eastAsia="Palatino Linotype" w:hAnsi="Palatino Linotype" w:cs="Palatino Linotype"/>
          <w:b/>
          <w:i/>
        </w:rPr>
        <w:t>todas las Áreas competentes</w:t>
      </w:r>
      <w:r w:rsidRPr="00EF247A">
        <w:rPr>
          <w:rFonts w:ascii="Palatino Linotype" w:eastAsia="Palatino Linotype" w:hAnsi="Palatino Linotype" w:cs="Palatino Linotype"/>
          <w:i/>
        </w:rPr>
        <w:t xml:space="preserve"> que cuenten con la información o deban tenerla de acuerdo a sus facultades, competencias y funciones, </w:t>
      </w:r>
      <w:r w:rsidRPr="00EF247A">
        <w:rPr>
          <w:rFonts w:ascii="Palatino Linotype" w:eastAsia="Palatino Linotype" w:hAnsi="Palatino Linotype" w:cs="Palatino Linotype"/>
          <w:b/>
          <w:i/>
        </w:rPr>
        <w:t>con el objeto de que realicen una búsqueda exhaustiva y razonable de la información solicitada</w:t>
      </w:r>
      <w:r w:rsidRPr="00EF247A">
        <w:rPr>
          <w:rFonts w:ascii="Palatino Linotype" w:eastAsia="Palatino Linotype" w:hAnsi="Palatino Linotype" w:cs="Palatino Linotype"/>
          <w:i/>
        </w:rPr>
        <w:t>.”</w:t>
      </w:r>
    </w:p>
    <w:p w:rsidR="00CB4257" w:rsidRPr="00EF247A" w:rsidRDefault="00CB4257" w:rsidP="002D0153">
      <w:pPr>
        <w:pBdr>
          <w:top w:val="nil"/>
          <w:left w:val="nil"/>
          <w:bottom w:val="nil"/>
          <w:right w:val="nil"/>
          <w:between w:val="nil"/>
        </w:pBdr>
        <w:spacing w:line="360" w:lineRule="auto"/>
        <w:jc w:val="both"/>
        <w:rPr>
          <w:rFonts w:ascii="Palatino Linotype" w:hAnsi="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rPr>
        <w:lastRenderedPageBreak/>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muy probablemente si se cuente con la información solicitada y se pueda tener parte o la totalidad de la información.</w:t>
      </w:r>
    </w:p>
    <w:p w:rsidR="00CB4257" w:rsidRPr="00EF247A" w:rsidRDefault="00CB4257" w:rsidP="002D0153">
      <w:pPr>
        <w:pBdr>
          <w:top w:val="nil"/>
          <w:left w:val="nil"/>
          <w:bottom w:val="nil"/>
          <w:right w:val="nil"/>
          <w:between w:val="nil"/>
        </w:pBdr>
        <w:rPr>
          <w:rFonts w:ascii="Palatino Linotype" w:eastAsia="Palatino Linotype" w:hAnsi="Palatino Linotype" w:cs="Palatino Linotype"/>
          <w:b/>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cada área que conforman al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p>
    <w:p w:rsidR="00CB4257" w:rsidRPr="00EF247A" w:rsidRDefault="00CB4257" w:rsidP="002D0153">
      <w:pPr>
        <w:pBdr>
          <w:top w:val="nil"/>
          <w:left w:val="nil"/>
          <w:bottom w:val="nil"/>
          <w:right w:val="nil"/>
          <w:between w:val="nil"/>
        </w:pBdr>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Ahora bien en relación a la respuesta otorgada a la solicitud de información relativa a  los permisos e inspecciones de descarga de agua residual, el recurrente únicamente manifestó su inconformidad a la respuesta relativa punto 1 de la solicitud, consecuentemente</w:t>
      </w:r>
      <w:r w:rsidRPr="00EF247A">
        <w:rPr>
          <w:rFonts w:ascii="Palatino Linotype" w:eastAsia="Palatino Linotype" w:hAnsi="Palatino Linotype" w:cs="Palatino Linotype"/>
          <w:color w:val="000000"/>
        </w:rPr>
        <w:t xml:space="preserve">, en relación a los puntos restantes de la solicitud de información </w:t>
      </w:r>
      <w:r w:rsidRPr="00EF247A">
        <w:rPr>
          <w:rFonts w:ascii="Palatino Linotype" w:eastAsia="Palatino Linotype" w:hAnsi="Palatino Linotype" w:cs="Palatino Linotype"/>
          <w:b/>
          <w:color w:val="000000"/>
        </w:rPr>
        <w:lastRenderedPageBreak/>
        <w:t>00005/OASNAUCAL/IP/2025</w:t>
      </w:r>
      <w:r w:rsidRPr="00EF247A">
        <w:rPr>
          <w:rFonts w:ascii="Palatino Linotype" w:eastAsia="Palatino Linotype" w:hAnsi="Palatino Linotype" w:cs="Palatino Linotype"/>
          <w:color w:val="000000"/>
        </w:rPr>
        <w:t xml:space="preserve">, se deben tener como </w:t>
      </w:r>
      <w:r w:rsidRPr="00EF247A">
        <w:rPr>
          <w:rFonts w:ascii="Palatino Linotype" w:eastAsia="Palatino Linotype" w:hAnsi="Palatino Linotype" w:cs="Palatino Linotype"/>
          <w:b/>
          <w:color w:val="000000"/>
        </w:rPr>
        <w:t>actos consentidos</w:t>
      </w:r>
      <w:r w:rsidRPr="00EF247A">
        <w:rPr>
          <w:rFonts w:ascii="Palatino Linotype" w:eastAsia="Palatino Linotype" w:hAnsi="Palatino Linotype" w:cs="Palatino Linotype"/>
          <w:color w:val="000000"/>
        </w:rPr>
        <w:t>, por no haber pronunciamiento de impugnación a estos puntos de la solicitud.</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Luego entonces, al no existir inconformidad, la información se tiene por </w:t>
      </w:r>
      <w:r w:rsidRPr="00EF247A">
        <w:rPr>
          <w:rFonts w:ascii="Palatino Linotype" w:eastAsia="Palatino Linotype" w:hAnsi="Palatino Linotype" w:cs="Palatino Linotype"/>
          <w:color w:val="000000"/>
        </w:rPr>
        <w:t>consentida</w:t>
      </w:r>
      <w:r w:rsidRPr="00EF247A">
        <w:rPr>
          <w:rFonts w:ascii="Palatino Linotype" w:eastAsia="Palatino Linotype" w:hAnsi="Palatino Linotype" w:cs="Palatino Linotype"/>
        </w:rPr>
        <w:t>, ya</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EF247A">
        <w:rPr>
          <w:rFonts w:ascii="Palatino Linotype" w:eastAsia="Palatino Linotype" w:hAnsi="Palatino Linotype" w:cs="Palatino Linotype"/>
          <w:b/>
        </w:rPr>
        <w:t>actos consentidos</w:t>
      </w:r>
      <w:r w:rsidRPr="00EF247A">
        <w:rPr>
          <w:rFonts w:ascii="Palatino Linotype" w:eastAsia="Palatino Linotype" w:hAnsi="Palatino Linotype" w:cs="Palatino Linotype"/>
        </w:rPr>
        <w:t>.</w:t>
      </w:r>
    </w:p>
    <w:p w:rsidR="00CB4257" w:rsidRPr="00EF247A" w:rsidRDefault="00CB4257" w:rsidP="002D0153">
      <w:pPr>
        <w:pBdr>
          <w:top w:val="nil"/>
          <w:left w:val="nil"/>
          <w:bottom w:val="nil"/>
          <w:right w:val="nil"/>
          <w:between w:val="nil"/>
        </w:pBdr>
        <w:spacing w:line="360" w:lineRule="auto"/>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CB4257" w:rsidRPr="00EF247A" w:rsidRDefault="00CB4257" w:rsidP="002D0153">
      <w:pPr>
        <w:pBdr>
          <w:top w:val="nil"/>
          <w:left w:val="nil"/>
          <w:bottom w:val="nil"/>
          <w:right w:val="nil"/>
          <w:between w:val="nil"/>
        </w:pBdr>
        <w:spacing w:line="360" w:lineRule="auto"/>
        <w:rPr>
          <w:rFonts w:ascii="Palatino Linotype" w:eastAsia="Palatino Linotype" w:hAnsi="Palatino Linotype" w:cs="Palatino Linotype"/>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b/>
          <w:i/>
          <w:color w:val="000000"/>
        </w:rPr>
        <w:t>“REVISIÓN EN AMPARO. LOS RESOLUTIVOS NO COMBATIDOS DEBEN DECLARARSE FIRMES. </w:t>
      </w:r>
      <w:r w:rsidRPr="00EF247A">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EF247A">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EF247A">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EF247A">
        <w:rPr>
          <w:rFonts w:ascii="Palatino Linotype" w:eastAsia="Palatino Linotype" w:hAnsi="Palatino Linotype" w:cs="Palatino Linotype"/>
          <w:i/>
          <w:color w:val="000000"/>
        </w:rPr>
        <w:t>.”</w:t>
      </w: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(Énfasis añadido)</w:t>
      </w:r>
    </w:p>
    <w:p w:rsidR="00CB4257" w:rsidRPr="00EF247A" w:rsidRDefault="00CB4257" w:rsidP="002D0153">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lastRenderedPageBreak/>
        <w:t xml:space="preserve">Consecutivamente, </w:t>
      </w:r>
      <w:r w:rsidRPr="00EF247A">
        <w:rPr>
          <w:rFonts w:ascii="Palatino Linotype" w:eastAsia="Palatino Linotype" w:hAnsi="Palatino Linotype" w:cs="Palatino Linotype"/>
          <w:b/>
        </w:rPr>
        <w:t xml:space="preserve">la parte de la respuesta que no fue impugnada debe </w:t>
      </w:r>
      <w:r w:rsidRPr="00EF247A">
        <w:rPr>
          <w:rFonts w:ascii="Palatino Linotype" w:eastAsia="Palatino Linotype" w:hAnsi="Palatino Linotype" w:cs="Palatino Linotype"/>
        </w:rPr>
        <w:t>declararse</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consentida</w:t>
      </w:r>
      <w:r w:rsidRPr="00EF247A">
        <w:rPr>
          <w:rFonts w:ascii="Palatino Linotype" w:eastAsia="Palatino Linotype" w:hAnsi="Palatino Linotype" w:cs="Palatino Linotype"/>
          <w:b/>
        </w:rPr>
        <w:t xml:space="preserve"> por el recurrente, toda vez que no realizó </w:t>
      </w:r>
      <w:r w:rsidRPr="00EF247A">
        <w:rPr>
          <w:rFonts w:ascii="Palatino Linotype" w:eastAsia="Palatino Linotype" w:hAnsi="Palatino Linotype" w:cs="Palatino Linotype"/>
        </w:rPr>
        <w:t>manifestaciones</w:t>
      </w:r>
      <w:r w:rsidRPr="00EF247A">
        <w:rPr>
          <w:rFonts w:ascii="Palatino Linotype" w:eastAsia="Palatino Linotype" w:hAnsi="Palatino Linotype" w:cs="Palatino Linotype"/>
          <w:b/>
        </w:rPr>
        <w:t xml:space="preserve"> de inconformidad</w:t>
      </w:r>
      <w:r w:rsidRPr="00EF247A">
        <w:rPr>
          <w:rFonts w:ascii="Palatino Linotype" w:eastAsia="Palatino Linotype" w:hAnsi="Palatino Linotype" w:cs="Palatino Linotype"/>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b/>
          <w:i/>
          <w:color w:val="000000"/>
        </w:rPr>
        <w:t>“ACTOS CONSENTIDOS. SON LOS QUE NO SE IMPUGNAN MEDIANTE EL RECURSO IDÓNEO. </w:t>
      </w:r>
      <w:r w:rsidRPr="00EF247A">
        <w:rPr>
          <w:rFonts w:ascii="Palatino Linotype" w:eastAsia="Palatino Linotype" w:hAnsi="Palatino Linotype" w:cs="Palatino Linotype"/>
          <w:i/>
          <w:color w:val="000000"/>
          <w:u w:val="single"/>
        </w:rPr>
        <w:t>Debe reputarse como consentido el acto que no se impugnó por el medio establecido por la ley</w:t>
      </w:r>
      <w:r w:rsidRPr="00EF247A">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(Énfasis añadido)</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Luego entonces, la parte de la respuesta que no fue impugnada por el recurrente debe declararse consentida.</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Ahora bien, respecto del punto uno de solicitud relativo a “</w:t>
      </w:r>
      <w:r w:rsidRPr="00EF247A">
        <w:rPr>
          <w:rFonts w:ascii="Palatino Linotype" w:eastAsia="Palatino Linotype" w:hAnsi="Palatino Linotype" w:cs="Palatino Linotype"/>
          <w:b/>
          <w:i/>
        </w:rPr>
        <w:t>Cuántos permisos de descarga de agua residual se emitieron durante los años 2022, 2023 y 2024”</w:t>
      </w:r>
      <w:r w:rsidRPr="00EF247A">
        <w:rPr>
          <w:rFonts w:ascii="Palatino Linotype" w:eastAsia="Palatino Linotype" w:hAnsi="Palatino Linotype" w:cs="Palatino Linotype"/>
        </w:rPr>
        <w:t xml:space="preserve">, el Sujeto Obligado señaló el otorgamiento de </w:t>
      </w:r>
      <w:r w:rsidRPr="00EF247A">
        <w:rPr>
          <w:rFonts w:ascii="Palatino Linotype" w:eastAsia="Palatino Linotype" w:hAnsi="Palatino Linotype" w:cs="Palatino Linotype"/>
          <w:b/>
          <w:i/>
          <w:color w:val="000000"/>
        </w:rPr>
        <w:t>8,656 permisos</w:t>
      </w:r>
      <w:r w:rsidRPr="00EF247A">
        <w:rPr>
          <w:rFonts w:ascii="Palatino Linotype" w:eastAsia="Palatino Linotype" w:hAnsi="Palatino Linotype" w:cs="Palatino Linotype"/>
          <w:color w:val="000000"/>
        </w:rPr>
        <w:t>, punto del que se inconforma el Recurrente, manifestando que “…</w:t>
      </w:r>
      <w:r w:rsidRPr="00EF247A">
        <w:rPr>
          <w:rFonts w:ascii="Palatino Linotype" w:eastAsia="Palatino Linotype" w:hAnsi="Palatino Linotype" w:cs="Palatino Linotype"/>
          <w:i/>
          <w:color w:val="000000"/>
        </w:rPr>
        <w:t>los</w:t>
      </w:r>
      <w:r w:rsidRPr="00EF247A">
        <w:rPr>
          <w:rFonts w:ascii="Palatino Linotype" w:eastAsia="Palatino Linotype" w:hAnsi="Palatino Linotype" w:cs="Palatino Linotype"/>
          <w:color w:val="000000"/>
        </w:rPr>
        <w:t xml:space="preserve"> </w:t>
      </w:r>
      <w:r w:rsidRPr="00EF247A">
        <w:rPr>
          <w:rFonts w:ascii="Palatino Linotype" w:eastAsia="Palatino Linotype" w:hAnsi="Palatino Linotype" w:cs="Palatino Linotype"/>
          <w:i/>
          <w:color w:val="000000"/>
        </w:rPr>
        <w:t xml:space="preserve">registros mostrados en las plataformas de Ipomex 3.0 e Ipomex 4.0 para el sujeto obligado Organismo Público Descentralizado para la Prestación de los </w:t>
      </w:r>
      <w:r w:rsidRPr="00EF247A">
        <w:rPr>
          <w:rFonts w:ascii="Palatino Linotype" w:eastAsia="Palatino Linotype" w:hAnsi="Palatino Linotype" w:cs="Palatino Linotype"/>
          <w:i/>
          <w:color w:val="000000"/>
        </w:rPr>
        <w:lastRenderedPageBreak/>
        <w:t>Servicios de Agua Potable, Alcantarillado y Saneamiento del Municipio de Naucalpan de Juárez, en su Artículo 92 Fracción XXXII Las concesiones, contratos, convenios, permisos, licencias o autorizaciones otorgados, se muestra un registro de 1,538 permisos, por lo cual no coinciden los permisos registrados con los emitidos en la respuesta SGT/O/013/2025…”</w:t>
      </w:r>
      <w:r w:rsidRPr="00EF247A">
        <w:rPr>
          <w:rFonts w:ascii="Palatino Linotype" w:eastAsia="Palatino Linotype" w:hAnsi="Palatino Linotype" w:cs="Palatino Linotype"/>
        </w:rPr>
        <w:t xml:space="preserve"> tal inconformidad no es materia del Recurso de Revisión, por lo que</w:t>
      </w:r>
      <w:r w:rsidRPr="00EF247A">
        <w:rPr>
          <w:rFonts w:ascii="Palatino Linotype" w:eastAsia="Palatino Linotype" w:hAnsi="Palatino Linotype" w:cs="Palatino Linotype"/>
          <w:color w:val="000000"/>
        </w:rPr>
        <w:t xml:space="preserve"> constituye un nuevo requerimiento de información, configurándose así lo que se conoce como </w:t>
      </w:r>
      <w:r w:rsidRPr="00EF247A">
        <w:rPr>
          <w:rFonts w:ascii="Palatino Linotype" w:eastAsia="Palatino Linotype" w:hAnsi="Palatino Linotype" w:cs="Palatino Linotype"/>
          <w:b/>
          <w:i/>
          <w:color w:val="000000"/>
        </w:rPr>
        <w:t xml:space="preserve">plus petitio, </w:t>
      </w:r>
      <w:r w:rsidRPr="00EF247A">
        <w:rPr>
          <w:rFonts w:ascii="Palatino Linotype" w:eastAsia="Palatino Linotype" w:hAnsi="Palatino Linotype" w:cs="Palatino Linotype"/>
          <w:color w:val="000000"/>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EF247A">
        <w:rPr>
          <w:rFonts w:ascii="Palatino Linotype" w:eastAsia="Palatino Linotype" w:hAnsi="Palatino Linotype" w:cs="Palatino Linotype"/>
          <w:b/>
          <w:color w:val="000000"/>
        </w:rPr>
        <w:t>la parte</w:t>
      </w:r>
      <w:r w:rsidRPr="00EF247A">
        <w:rPr>
          <w:rFonts w:ascii="Palatino Linotype" w:eastAsia="Palatino Linotype" w:hAnsi="Palatino Linotype" w:cs="Palatino Linotype"/>
          <w:color w:val="000000"/>
        </w:rPr>
        <w:t xml:space="preserve"> </w:t>
      </w:r>
      <w:r w:rsidRPr="00EF247A">
        <w:rPr>
          <w:rFonts w:ascii="Palatino Linotype" w:eastAsia="Palatino Linotype" w:hAnsi="Palatino Linotype" w:cs="Palatino Linotype"/>
          <w:b/>
          <w:color w:val="000000"/>
        </w:rPr>
        <w:t>Recurrente</w:t>
      </w:r>
      <w:r w:rsidRPr="00EF247A">
        <w:rPr>
          <w:rFonts w:ascii="Palatino Linotype" w:eastAsia="Palatino Linotype" w:hAnsi="Palatino Linotype" w:cs="Palatino Linotype"/>
          <w:color w:val="000000"/>
        </w:rPr>
        <w:t xml:space="preserve"> amplíe su solicitud en el Recurso de Revisión, cuestión que tuvo lugar en el presente caso, pues </w:t>
      </w:r>
      <w:r w:rsidRPr="00EF247A">
        <w:rPr>
          <w:rFonts w:ascii="Palatino Linotype" w:eastAsia="Palatino Linotype" w:hAnsi="Palatino Linotype" w:cs="Palatino Linotype"/>
          <w:b/>
          <w:color w:val="000000"/>
        </w:rPr>
        <w:t>el Solicitante</w:t>
      </w:r>
      <w:r w:rsidRPr="00EF247A">
        <w:rPr>
          <w:rFonts w:ascii="Palatino Linotype" w:eastAsia="Palatino Linotype" w:hAnsi="Palatino Linotype" w:cs="Palatino Linotype"/>
          <w:color w:val="000000"/>
        </w:rPr>
        <w:t xml:space="preserve"> formuló nuevos cuestionamientos, en el que solicitó información que no formó parte de su solicitud inicial y por lo tanto son inatendibles a través del recurso de revisión.</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En </w:t>
      </w:r>
      <w:r w:rsidRPr="00EF247A">
        <w:rPr>
          <w:rFonts w:ascii="Palatino Linotype" w:eastAsia="Palatino Linotype" w:hAnsi="Palatino Linotype" w:cs="Palatino Linotype"/>
        </w:rPr>
        <w:t>este</w:t>
      </w:r>
      <w:r w:rsidRPr="00EF247A">
        <w:rPr>
          <w:rFonts w:ascii="Palatino Linotype" w:eastAsia="Palatino Linotype" w:hAnsi="Palatino Linotype" w:cs="Palatino Linotype"/>
          <w:color w:val="000000"/>
        </w:rPr>
        <w:t xml:space="preserve"> tenor, es posible determinar que es una ampliación a la solicitud inicial y corresponde a nuevos requerimientos de información, que no se encuentran relacionados con lo solicitado en un primer momento; 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CB4257" w:rsidRPr="00EF247A" w:rsidRDefault="00CB4257" w:rsidP="002D0153">
      <w:pPr>
        <w:pBdr>
          <w:top w:val="nil"/>
          <w:left w:val="nil"/>
          <w:bottom w:val="nil"/>
          <w:right w:val="nil"/>
          <w:between w:val="nil"/>
        </w:pBdr>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Robustece lo </w:t>
      </w:r>
      <w:r w:rsidRPr="00EF247A">
        <w:rPr>
          <w:rFonts w:ascii="Palatino Linotype" w:eastAsia="Palatino Linotype" w:hAnsi="Palatino Linotype" w:cs="Palatino Linotype"/>
        </w:rPr>
        <w:t>anterior</w:t>
      </w:r>
      <w:r w:rsidRPr="00EF247A">
        <w:rPr>
          <w:rFonts w:ascii="Palatino Linotype" w:eastAsia="Palatino Linotype" w:hAnsi="Palatino Linotype" w:cs="Palatino Linotype"/>
          <w:color w:val="000000"/>
        </w:rPr>
        <w:t xml:space="preserve"> lo plasmado en el criterio orientador número 01/17 emitido por el Instituto Nacional de Transparencia, Acceso a la Información y Protección de Datos Personales, INAI, que lleva por rubro y texto lo que a continuación se transcribe:</w:t>
      </w:r>
    </w:p>
    <w:p w:rsidR="00CB4257" w:rsidRPr="00EF247A" w:rsidRDefault="00CB4257" w:rsidP="002D0153">
      <w:pPr>
        <w:spacing w:line="360" w:lineRule="auto"/>
        <w:jc w:val="both"/>
        <w:rPr>
          <w:rFonts w:ascii="Palatino Linotype" w:eastAsia="Palatino Linotype" w:hAnsi="Palatino Linotype" w:cs="Palatino Linotype"/>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w:t>
      </w:r>
      <w:r w:rsidRPr="00EF247A">
        <w:rPr>
          <w:rFonts w:ascii="Palatino Linotype" w:eastAsia="Palatino Linotype" w:hAnsi="Palatino Linotype" w:cs="Palatino Linotype"/>
          <w:b/>
          <w:i/>
          <w:color w:val="000000"/>
        </w:rPr>
        <w:t xml:space="preserve">Es improcedente ampliar las solicitudes de acceso a información, a través de la interposición del recurso de revisión. </w:t>
      </w:r>
      <w:r w:rsidRPr="00EF247A">
        <w:rPr>
          <w:rFonts w:ascii="Palatino Linotype" w:eastAsia="Palatino Linotype" w:hAnsi="Palatino Linotype" w:cs="Palatino Linotype"/>
          <w:i/>
          <w:color w:val="000000"/>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EF247A">
        <w:rPr>
          <w:rFonts w:ascii="Palatino Linotype" w:eastAsia="Palatino Linotype" w:hAnsi="Palatino Linotype" w:cs="Palatino Linotype"/>
          <w:b/>
          <w:i/>
          <w:color w:val="000000"/>
        </w:rPr>
        <w:t>.</w:t>
      </w:r>
      <w:r w:rsidRPr="00EF247A">
        <w:rPr>
          <w:rFonts w:ascii="Palatino Linotype" w:eastAsia="Palatino Linotype" w:hAnsi="Palatino Linotype" w:cs="Palatino Linotype"/>
          <w:i/>
          <w:color w:val="000000"/>
        </w:rPr>
        <w:t>”(Sic)</w:t>
      </w:r>
    </w:p>
    <w:p w:rsidR="00CB4257" w:rsidRPr="00EF247A" w:rsidRDefault="00CB4257" w:rsidP="002D0153">
      <w:pPr>
        <w:pBdr>
          <w:top w:val="nil"/>
          <w:left w:val="nil"/>
          <w:bottom w:val="nil"/>
          <w:right w:val="nil"/>
          <w:between w:val="nil"/>
        </w:pBdr>
        <w:jc w:val="both"/>
        <w:rPr>
          <w:rFonts w:ascii="Palatino Linotype" w:eastAsia="Palatino Linotype" w:hAnsi="Palatino Linotype" w:cs="Palatino Linotype"/>
          <w:i/>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rPr>
        <w:t>En este mismo sentido, este Órgano Garante carece de facultades para dudar de la veracidad de la respuesta emitida. 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Así mismo, la Ley de Transparencia y Acceso a la Información Pública del Estado de México y Municipios establece que la información pública generada, administrada o en posesión de los Sujetos Obligados en ejercicio de sus atribuciones, será accesible de manera </w:t>
      </w:r>
      <w:r w:rsidRPr="00EF247A">
        <w:rPr>
          <w:rFonts w:ascii="Palatino Linotype" w:eastAsia="Palatino Linotype" w:hAnsi="Palatino Linotype" w:cs="Palatino Linotype"/>
        </w:rPr>
        <w:lastRenderedPageBreak/>
        <w:t xml:space="preserve">permanente a cualquier persona, privilegiando el principio de máxima publicidad de la información, por lo que deberán apegarse en todo momento a los criterios de publicidad, </w:t>
      </w:r>
      <w:r w:rsidRPr="00EF247A">
        <w:rPr>
          <w:rFonts w:ascii="Palatino Linotype" w:eastAsia="Palatino Linotype" w:hAnsi="Palatino Linotype" w:cs="Palatino Linotype"/>
          <w:b/>
        </w:rPr>
        <w:t>veracidad</w:t>
      </w:r>
      <w:r w:rsidRPr="00EF247A">
        <w:rPr>
          <w:rFonts w:ascii="Palatino Linotype" w:eastAsia="Palatino Linotype" w:hAnsi="Palatino Linotype" w:cs="Palatino Linotype"/>
        </w:rPr>
        <w:t>, oportunidad entre otros, numeral en comento que a la letra señala;</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B4257" w:rsidRPr="00EF247A" w:rsidRDefault="007B2F32" w:rsidP="002D0153">
      <w:pPr>
        <w:pBdr>
          <w:top w:val="nil"/>
          <w:left w:val="nil"/>
          <w:bottom w:val="nil"/>
          <w:right w:val="nil"/>
          <w:between w:val="nil"/>
        </w:pBdr>
        <w:jc w:val="both"/>
        <w:rPr>
          <w:rFonts w:ascii="Palatino Linotype" w:eastAsia="Palatino Linotype" w:hAnsi="Palatino Linotype" w:cs="Palatino Linotype"/>
          <w:b/>
          <w:i/>
          <w:color w:val="000000"/>
        </w:rPr>
      </w:pPr>
      <w:r w:rsidRPr="00EF247A">
        <w:rPr>
          <w:rFonts w:ascii="Palatino Linotype" w:eastAsia="Palatino Linotype" w:hAnsi="Palatino Linotype" w:cs="Palatino Linotype"/>
          <w:b/>
          <w:i/>
          <w:color w:val="000000"/>
        </w:rPr>
        <w:t>Artículo 3.-</w:t>
      </w:r>
      <w:r w:rsidRPr="00EF247A">
        <w:rPr>
          <w:rFonts w:ascii="Palatino Linotype" w:eastAsia="Palatino Linotype" w:hAnsi="Palatino Linotype" w:cs="Palatino Linotype"/>
          <w:i/>
          <w:color w:val="000000"/>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EF247A">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p>
    <w:p w:rsidR="00CB4257" w:rsidRPr="00EF247A" w:rsidRDefault="00CB4257" w:rsidP="002D0153">
      <w:pPr>
        <w:spacing w:line="360" w:lineRule="auto"/>
        <w:jc w:val="both"/>
        <w:rPr>
          <w:rFonts w:ascii="Palatino Linotype" w:hAnsi="Palatino Linotype"/>
        </w:rPr>
      </w:pPr>
    </w:p>
    <w:p w:rsidR="00CB4257" w:rsidRPr="00EF247A" w:rsidRDefault="007B2F32" w:rsidP="002D0153">
      <w:pPr>
        <w:numPr>
          <w:ilvl w:val="0"/>
          <w:numId w:val="7"/>
        </w:numPr>
        <w:spacing w:line="360" w:lineRule="auto"/>
        <w:ind w:left="0" w:firstLine="0"/>
        <w:jc w:val="both"/>
        <w:rPr>
          <w:rFonts w:ascii="Palatino Linotype" w:hAnsi="Palatino Linotype"/>
        </w:rPr>
      </w:pPr>
      <w:r w:rsidRPr="00EF247A">
        <w:rPr>
          <w:rFonts w:ascii="Palatino Linotype" w:eastAsia="Palatino Linotype" w:hAnsi="Palatino Linotype" w:cs="Palatino Linotype"/>
        </w:rPr>
        <w:t>Por lo anterior,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CB4257" w:rsidRPr="00EF247A" w:rsidRDefault="00CB4257" w:rsidP="002D0153">
      <w:pPr>
        <w:spacing w:line="360" w:lineRule="auto"/>
        <w:jc w:val="both"/>
        <w:rPr>
          <w:rFonts w:ascii="Palatino Linotype" w:hAnsi="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b/>
        </w:rPr>
      </w:pPr>
      <w:r w:rsidRPr="00EF247A">
        <w:rPr>
          <w:rFonts w:ascii="Palatino Linotype" w:eastAsia="Palatino Linotype" w:hAnsi="Palatino Linotype" w:cs="Palatino Linotype"/>
        </w:rPr>
        <w:t xml:space="preserve">En razón de lo ya expuesto, resultan </w:t>
      </w:r>
      <w:r w:rsidRPr="00EF247A">
        <w:rPr>
          <w:rFonts w:ascii="Palatino Linotype" w:eastAsia="Palatino Linotype" w:hAnsi="Palatino Linotype" w:cs="Palatino Linotype"/>
          <w:b/>
        </w:rPr>
        <w:t>INFUNDADAS</w:t>
      </w:r>
      <w:r w:rsidRPr="00EF247A">
        <w:rPr>
          <w:rFonts w:ascii="Palatino Linotype" w:eastAsia="Palatino Linotype" w:hAnsi="Palatino Linotype" w:cs="Palatino Linotype"/>
        </w:rPr>
        <w:t xml:space="preserve"> las razones hechas valer en el </w:t>
      </w:r>
      <w:r w:rsidRPr="00EF247A">
        <w:rPr>
          <w:rFonts w:ascii="Palatino Linotype" w:eastAsia="Palatino Linotype" w:hAnsi="Palatino Linotype" w:cs="Palatino Linotype"/>
          <w:color w:val="222222"/>
        </w:rPr>
        <w:t>recurso</w:t>
      </w:r>
      <w:r w:rsidRPr="00EF247A">
        <w:rPr>
          <w:rFonts w:ascii="Palatino Linotype" w:eastAsia="Palatino Linotype" w:hAnsi="Palatino Linotype" w:cs="Palatino Linotype"/>
        </w:rPr>
        <w:t xml:space="preserve"> de revisión </w:t>
      </w:r>
      <w:r w:rsidRPr="00EF247A">
        <w:rPr>
          <w:rFonts w:ascii="Palatino Linotype" w:eastAsia="Palatino Linotype" w:hAnsi="Palatino Linotype" w:cs="Palatino Linotype"/>
          <w:b/>
          <w:color w:val="000000"/>
        </w:rPr>
        <w:t>00538/INFOEM/IP/RR/2025</w:t>
      </w:r>
      <w:r w:rsidRPr="00EF247A">
        <w:rPr>
          <w:rFonts w:ascii="Palatino Linotype" w:eastAsia="Palatino Linotype" w:hAnsi="Palatino Linotype" w:cs="Palatino Linotype"/>
        </w:rPr>
        <w:t xml:space="preserve">, por lo que se </w:t>
      </w:r>
      <w:r w:rsidRPr="00EF247A">
        <w:rPr>
          <w:rFonts w:ascii="Palatino Linotype" w:eastAsia="Palatino Linotype" w:hAnsi="Palatino Linotype" w:cs="Palatino Linotype"/>
          <w:b/>
        </w:rPr>
        <w:t>CONFIRMA</w:t>
      </w:r>
      <w:r w:rsidRPr="00EF247A">
        <w:rPr>
          <w:rFonts w:ascii="Palatino Linotype" w:eastAsia="Palatino Linotype" w:hAnsi="Palatino Linotype" w:cs="Palatino Linotype"/>
        </w:rPr>
        <w:t xml:space="preserve"> la respuesta del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xml:space="preserve"> a la solicitud de información </w:t>
      </w:r>
      <w:r w:rsidRPr="00EF247A">
        <w:rPr>
          <w:rFonts w:ascii="Palatino Linotype" w:eastAsia="Palatino Linotype" w:hAnsi="Palatino Linotype" w:cs="Palatino Linotype"/>
          <w:b/>
        </w:rPr>
        <w:t>00005/OASNAUCAL/IP/2025.</w:t>
      </w:r>
    </w:p>
    <w:p w:rsidR="00CB4257" w:rsidRPr="00EF247A" w:rsidRDefault="00CB4257" w:rsidP="002D0153">
      <w:pPr>
        <w:spacing w:line="360" w:lineRule="auto"/>
        <w:jc w:val="both"/>
        <w:rPr>
          <w:rFonts w:ascii="Palatino Linotype" w:hAnsi="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En lo </w:t>
      </w:r>
      <w:r w:rsidRPr="00EF247A">
        <w:rPr>
          <w:rFonts w:ascii="Palatino Linotype" w:eastAsia="Palatino Linotype" w:hAnsi="Palatino Linotype" w:cs="Palatino Linotype"/>
          <w:color w:val="000000"/>
        </w:rPr>
        <w:t>que</w:t>
      </w:r>
      <w:r w:rsidRPr="00EF247A">
        <w:rPr>
          <w:rFonts w:ascii="Palatino Linotype" w:eastAsia="Palatino Linotype" w:hAnsi="Palatino Linotype" w:cs="Palatino Linotype"/>
        </w:rPr>
        <w:t xml:space="preserve"> respecta a los puntos de solicitud relativos a </w:t>
      </w:r>
      <w:r w:rsidRPr="00EF247A">
        <w:rPr>
          <w:rFonts w:ascii="Palatino Linotype" w:eastAsia="Palatino Linotype" w:hAnsi="Palatino Linotype" w:cs="Palatino Linotype"/>
          <w:u w:val="single"/>
        </w:rPr>
        <w:t>¿</w:t>
      </w:r>
      <w:r w:rsidRPr="00EF247A">
        <w:rPr>
          <w:rFonts w:ascii="Palatino Linotype" w:eastAsia="Palatino Linotype" w:hAnsi="Palatino Linotype" w:cs="Palatino Linotype"/>
          <w:i/>
          <w:color w:val="000000"/>
          <w:u w:val="single"/>
        </w:rPr>
        <w:t>Qué porcentaje en Macromedición y Micromedición ha registrado el Organismo durante los años 2021, 2022, 2023 y 2024?</w:t>
      </w:r>
      <w:r w:rsidRPr="00EF247A">
        <w:rPr>
          <w:rFonts w:ascii="Palatino Linotype" w:eastAsia="Palatino Linotype" w:hAnsi="Palatino Linotype" w:cs="Palatino Linotype"/>
          <w:b/>
          <w:color w:val="000000"/>
        </w:rPr>
        <w:t xml:space="preserve">, </w:t>
      </w:r>
      <w:r w:rsidRPr="00EF247A">
        <w:rPr>
          <w:rFonts w:ascii="Palatino Linotype" w:eastAsia="Palatino Linotype" w:hAnsi="Palatino Linotype" w:cs="Palatino Linotype"/>
          <w:color w:val="000000"/>
        </w:rPr>
        <w:t xml:space="preserve">es de recordar que </w:t>
      </w:r>
      <w:r w:rsidRPr="00EF247A">
        <w:rPr>
          <w:rFonts w:ascii="Palatino Linotype" w:eastAsia="Palatino Linotype" w:hAnsi="Palatino Linotype" w:cs="Palatino Linotype"/>
        </w:rPr>
        <w:t xml:space="preserve">el Sujeto Obligado a través de la Dirección de Construcción y </w:t>
      </w:r>
      <w:r w:rsidRPr="00EF247A">
        <w:rPr>
          <w:rFonts w:ascii="Palatino Linotype" w:eastAsia="Palatino Linotype" w:hAnsi="Palatino Linotype" w:cs="Palatino Linotype"/>
        </w:rPr>
        <w:lastRenderedPageBreak/>
        <w:t>Operación Hidráulica, refirió que “</w:t>
      </w:r>
      <w:r w:rsidRPr="00EF247A">
        <w:rPr>
          <w:rFonts w:ascii="Palatino Linotype" w:eastAsia="Palatino Linotype" w:hAnsi="Palatino Linotype" w:cs="Palatino Linotype"/>
          <w:i/>
        </w:rPr>
        <w:t xml:space="preserve">no se cuenta con la información solicitada toda vez que durante el periodo indicado el área encargada de tomar las lecturas de los equipos de medición fue la Comisión del Agua del Estado de México (CAEM)” </w:t>
      </w:r>
      <w:r w:rsidRPr="00EF247A">
        <w:rPr>
          <w:rFonts w:ascii="Palatino Linotype" w:eastAsia="Palatino Linotype" w:hAnsi="Palatino Linotype" w:cs="Palatino Linotype"/>
        </w:rPr>
        <w:t>y que el personal del Organismo únicamente fungía como testigo para la toma de dichas lecturas, respuesta que fue ratificada en informe justificado.</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En este sentido es de referir que la normatividad del propio Sujeto Obligado establece dentro de sus facultades la de </w:t>
      </w:r>
      <w:r w:rsidRPr="00EF247A">
        <w:rPr>
          <w:rFonts w:ascii="Palatino Linotype" w:eastAsia="Palatino Linotype" w:hAnsi="Palatino Linotype" w:cs="Palatino Linotype"/>
          <w:b/>
          <w:i/>
        </w:rPr>
        <w:t>Llevar a cabo el proceso de macro medición de agua</w:t>
      </w:r>
      <w:r w:rsidRPr="00EF247A">
        <w:rPr>
          <w:rFonts w:ascii="Palatino Linotype" w:eastAsia="Palatino Linotype" w:hAnsi="Palatino Linotype" w:cs="Palatino Linotype"/>
        </w:rPr>
        <w:t xml:space="preserve">¸ a través de la </w:t>
      </w:r>
      <w:r w:rsidRPr="00EF247A">
        <w:rPr>
          <w:rFonts w:ascii="Palatino Linotype" w:eastAsia="Palatino Linotype" w:hAnsi="Palatino Linotype" w:cs="Palatino Linotype"/>
          <w:i/>
        </w:rPr>
        <w:t>Subgerencia de Agua Potable, dependiente de la Dirección de Construcción y Operación Hidráulica</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 xml:space="preserve">unidad administrativa que incluso cuenta con un área denominada </w:t>
      </w:r>
      <w:r w:rsidRPr="00EF247A">
        <w:rPr>
          <w:rFonts w:ascii="Palatino Linotype" w:eastAsia="Palatino Linotype" w:hAnsi="Palatino Linotype" w:cs="Palatino Linotype"/>
          <w:b/>
          <w:i/>
          <w:u w:val="single"/>
        </w:rPr>
        <w:t>Macromedición y Telemetría</w:t>
      </w:r>
      <w:r w:rsidRPr="00EF247A">
        <w:rPr>
          <w:rFonts w:ascii="Palatino Linotype" w:eastAsia="Palatino Linotype" w:hAnsi="Palatino Linotype" w:cs="Palatino Linotype"/>
        </w:rPr>
        <w:t>, tal como lo señala el Reglamento Orgánico del Organismo Público Descentralizado para la prestación de los servicios de agua potable, alcantarillado y saneamiento del Municipio de Naucalpan vigente, en sus artículos 45, fracción I.IV y 51, fracción XXIV, y último párrafo.</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En relación a la micromedición, es de mencionar que el mismo Reglamento establece que la </w:t>
      </w:r>
      <w:r w:rsidRPr="00EF247A">
        <w:rPr>
          <w:rFonts w:ascii="Palatino Linotype" w:eastAsia="Palatino Linotype" w:hAnsi="Palatino Linotype" w:cs="Palatino Linotype"/>
          <w:b/>
          <w:i/>
        </w:rPr>
        <w:t xml:space="preserve">Dirección Comercial </w:t>
      </w:r>
      <w:r w:rsidRPr="00EF247A">
        <w:rPr>
          <w:rFonts w:ascii="Palatino Linotype" w:eastAsia="Palatino Linotype" w:hAnsi="Palatino Linotype" w:cs="Palatino Linotype"/>
        </w:rPr>
        <w:t>tiene la facultad de “</w:t>
      </w:r>
      <w:r w:rsidRPr="00EF247A">
        <w:rPr>
          <w:rFonts w:ascii="Palatino Linotype" w:eastAsia="Palatino Linotype" w:hAnsi="Palatino Linotype" w:cs="Palatino Linotype"/>
          <w:i/>
        </w:rPr>
        <w:t xml:space="preserve">Diseñar e instrumentar de acuerdo a la legislación vigente, los mecanismos necesarios a fin </w:t>
      </w:r>
      <w:r w:rsidRPr="00EF247A">
        <w:rPr>
          <w:rFonts w:ascii="Palatino Linotype" w:eastAsia="Palatino Linotype" w:hAnsi="Palatino Linotype" w:cs="Palatino Linotype"/>
          <w:b/>
          <w:i/>
        </w:rPr>
        <w:t xml:space="preserve">de contar con la total </w:t>
      </w:r>
      <w:r w:rsidRPr="00EF247A">
        <w:rPr>
          <w:rFonts w:ascii="Palatino Linotype" w:eastAsia="Palatino Linotype" w:hAnsi="Palatino Linotype" w:cs="Palatino Linotype"/>
          <w:b/>
          <w:i/>
          <w:u w:val="single"/>
        </w:rPr>
        <w:t>micro medición del consumo de agua</w:t>
      </w:r>
      <w:r w:rsidRPr="00EF247A">
        <w:rPr>
          <w:rFonts w:ascii="Palatino Linotype" w:eastAsia="Palatino Linotype" w:hAnsi="Palatino Linotype" w:cs="Palatino Linotype"/>
          <w:b/>
          <w:i/>
        </w:rPr>
        <w:t xml:space="preserve"> potable a través de la instalación de aparatos medidores</w:t>
      </w:r>
      <w:r w:rsidRPr="00EF247A">
        <w:rPr>
          <w:rFonts w:ascii="Palatino Linotype" w:eastAsia="Palatino Linotype" w:hAnsi="Palatino Linotype" w:cs="Palatino Linotype"/>
          <w:i/>
        </w:rPr>
        <w:t xml:space="preserve"> a los usuarios registrados en el padrón del Organismo”</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 xml:space="preserve">y siguiendo el mismo orden de ideas, cuenta con la </w:t>
      </w:r>
      <w:r w:rsidRPr="00EF247A">
        <w:rPr>
          <w:rFonts w:ascii="Palatino Linotype" w:eastAsia="Palatino Linotype" w:hAnsi="Palatino Linotype" w:cs="Palatino Linotype"/>
          <w:b/>
          <w:i/>
        </w:rPr>
        <w:t>Subgerencia de Medidores</w:t>
      </w:r>
      <w:r w:rsidRPr="00EF247A">
        <w:rPr>
          <w:rFonts w:ascii="Palatino Linotype" w:eastAsia="Palatino Linotype" w:hAnsi="Palatino Linotype" w:cs="Palatino Linotype"/>
        </w:rPr>
        <w:t xml:space="preserve">, encargada de la inspección, revisión e instalación de medidores </w:t>
      </w:r>
      <w:r w:rsidRPr="00EF247A">
        <w:rPr>
          <w:rFonts w:ascii="Palatino Linotype" w:eastAsia="Palatino Linotype" w:hAnsi="Palatino Linotype" w:cs="Palatino Linotype"/>
        </w:rPr>
        <w:lastRenderedPageBreak/>
        <w:t>de consumo de agua, establecida en los artículos 58, fracción XV, 59, fracción IV, 60, fracciones IX y X, y 65, tal y como ya fueron plasmados en párrafos anteriores.</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Derivado de lo anterior, se presume que la información debe existir ya que se refiere a facultades, competencias y funciones que el ordenamiento jurídico señalado otorga al Sujetos Obligado; ahora bien, de acuerdo a lo señalado en respuesta en la que se menciona que “</w:t>
      </w:r>
      <w:r w:rsidRPr="00EF247A">
        <w:rPr>
          <w:rFonts w:ascii="Palatino Linotype" w:eastAsia="Palatino Linotype" w:hAnsi="Palatino Linotype" w:cs="Palatino Linotype"/>
          <w:i/>
        </w:rPr>
        <w:t>… durante el periodo indicado el área encargada de tomar las lecturas de los equipos de medición fue la Comisión del Agua del Estado de México (CAEM) y el personal del Organismo únicamente fungía como testigo para la toma de dichas lecturas”</w:t>
      </w:r>
      <w:r w:rsidRPr="00EF247A">
        <w:rPr>
          <w:rFonts w:ascii="Palatino Linotype" w:eastAsia="Palatino Linotype" w:hAnsi="Palatino Linotype" w:cs="Palatino Linotype"/>
        </w:rPr>
        <w:t xml:space="preserve">, y una vez establecido que la macro y micro medición del consumo de agua es una competencia del Sujeto Obligado, es importante referir que la Ley de Transparencia local establece en su artículo 18 que </w:t>
      </w:r>
      <w:r w:rsidRPr="00EF247A">
        <w:rPr>
          <w:rFonts w:ascii="Palatino Linotype" w:eastAsia="Palatino Linotype" w:hAnsi="Palatino Linotype" w:cs="Palatino Linotype"/>
          <w:i/>
        </w:rPr>
        <w:t>“los sujetos obligados deberán documentar todo acto que derive del ejercicio de sus facultades, competencias o funciones, considerando desde su origen la eventual publicidad y reutilización de la información que generen.”</w:t>
      </w:r>
      <w:r w:rsidRPr="00EF247A">
        <w:rPr>
          <w:rFonts w:ascii="Palatino Linotype" w:eastAsia="Palatino Linotype" w:hAnsi="Palatino Linotype" w:cs="Palatino Linotype"/>
        </w:rPr>
        <w:t xml:space="preserve">, en este sentido si para alguna temporalidad de la información solicitada, el Sujeto Obligado no realizó la medición de consumo de agua sino que únicamente fungió como testigo, como lo señaló en respuesta y ratificó en informe justificado, tal acción debe estar documentada, ya que es un acto que deriva del ejercicio de sus funciones. Para </w:t>
      </w:r>
      <w:r w:rsidRPr="00EF247A">
        <w:rPr>
          <w:rFonts w:ascii="Palatino Linotype" w:eastAsia="Palatino Linotype" w:hAnsi="Palatino Linotype" w:cs="Palatino Linotype"/>
          <w:color w:val="222222"/>
        </w:rPr>
        <w:t>el caso de no contar con la información, de manera funda y motiva se le informará a la recurrente las razones por la cuales no se cuenta con la información, lo anterior en términos de lo establecido por el artículo 19, de la Ley de Transparencia Local:</w:t>
      </w:r>
    </w:p>
    <w:p w:rsidR="00CB4257" w:rsidRPr="00EF247A" w:rsidRDefault="00CB4257" w:rsidP="002D0153">
      <w:pPr>
        <w:pBdr>
          <w:top w:val="nil"/>
          <w:left w:val="nil"/>
          <w:bottom w:val="nil"/>
          <w:right w:val="nil"/>
          <w:between w:val="nil"/>
        </w:pBdr>
        <w:rPr>
          <w:rFonts w:ascii="Palatino Linotype" w:eastAsia="Palatino Linotype" w:hAnsi="Palatino Linotype" w:cs="Palatino Linotype"/>
          <w:color w:val="000000"/>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lastRenderedPageBreak/>
        <w:t>Artículo 19.</w:t>
      </w:r>
      <w:r w:rsidRPr="00EF247A">
        <w:rPr>
          <w:rFonts w:ascii="Palatino Linotype" w:eastAsia="Palatino Linotype" w:hAnsi="Palatino Linotype" w:cs="Palatino Linotype"/>
          <w:i/>
        </w:rPr>
        <w:t xml:space="preserve"> </w:t>
      </w:r>
      <w:r w:rsidRPr="00EF247A">
        <w:rPr>
          <w:rFonts w:ascii="Palatino Linotype" w:eastAsia="Palatino Linotype" w:hAnsi="Palatino Linotype" w:cs="Palatino Linotype"/>
          <w:b/>
          <w:i/>
        </w:rPr>
        <w:t>Se presume que la información debe existir si se refiere a las facultades, competencias y funciones que los ordenamientos jurídicos aplicables otorgan a los sujetos obligados.</w:t>
      </w:r>
      <w:r w:rsidRPr="00EF247A">
        <w:rPr>
          <w:rFonts w:ascii="Palatino Linotype" w:eastAsia="Palatino Linotype" w:hAnsi="Palatino Linotype" w:cs="Palatino Linotype"/>
          <w:i/>
        </w:rPr>
        <w:t xml:space="preserve"> </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En los casos en que ciertas facultades, competencias o funciones no se hayan ejercido, se debe motivar la respuesta en función de las causas que motiven tal</w:t>
      </w:r>
      <w:r w:rsidRPr="00EF247A">
        <w:rPr>
          <w:rFonts w:ascii="Palatino Linotype" w:eastAsia="Palatino Linotype" w:hAnsi="Palatino Linotype" w:cs="Palatino Linotype"/>
          <w:i/>
        </w:rPr>
        <w:t xml:space="preserve"> </w:t>
      </w:r>
      <w:r w:rsidRPr="00EF247A">
        <w:rPr>
          <w:rFonts w:ascii="Palatino Linotype" w:eastAsia="Palatino Linotype" w:hAnsi="Palatino Linotype" w:cs="Palatino Linotype"/>
          <w:b/>
          <w:i/>
        </w:rPr>
        <w:t>circunstancia</w:t>
      </w:r>
      <w:r w:rsidRPr="00EF247A">
        <w:rPr>
          <w:rFonts w:ascii="Palatino Linotype" w:eastAsia="Palatino Linotype" w:hAnsi="Palatino Linotype" w:cs="Palatino Linotype"/>
          <w:i/>
        </w:rPr>
        <w:t xml:space="preserve">. </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B4257" w:rsidRPr="00EF247A" w:rsidRDefault="00CB4257" w:rsidP="002D0153">
      <w:pPr>
        <w:pBdr>
          <w:top w:val="nil"/>
          <w:left w:val="nil"/>
          <w:bottom w:val="nil"/>
          <w:right w:val="nil"/>
          <w:between w:val="nil"/>
        </w:pBdr>
        <w:rPr>
          <w:rFonts w:ascii="Palatino Linotype" w:eastAsia="Palatino Linotype" w:hAnsi="Palatino Linotype" w:cs="Palatino Linotype"/>
          <w:color w:val="222222"/>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color w:val="222222"/>
        </w:rPr>
        <w:t>El acceso a la información pública es un derecho humano a través del cual un particular puede solicitar a un ente público aquellos documentos que generen administren o posean en aras de sus respectivas competencias, sin acreditar el interés jurídico. Luego entonces la información pública deberá ser oportuna, clara, veraz y de fácil acceso, esto quiere decir que el </w:t>
      </w:r>
      <w:r w:rsidRPr="00EF247A">
        <w:rPr>
          <w:rFonts w:ascii="Palatino Linotype" w:eastAsia="Palatino Linotype" w:hAnsi="Palatino Linotype" w:cs="Palatino Linotype"/>
          <w:b/>
          <w:color w:val="222222"/>
        </w:rPr>
        <w:t>SUJETO OBLIGADO</w:t>
      </w:r>
      <w:r w:rsidRPr="00EF247A">
        <w:rPr>
          <w:rFonts w:ascii="Palatino Linotype" w:eastAsia="Palatino Linotype" w:hAnsi="Palatino Linotype" w:cs="Palatino Linotype"/>
          <w:color w:val="222222"/>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CB4257" w:rsidRPr="00EF247A" w:rsidRDefault="00CB4257" w:rsidP="002D0153">
      <w:pPr>
        <w:pBdr>
          <w:top w:val="nil"/>
          <w:left w:val="nil"/>
          <w:bottom w:val="nil"/>
          <w:right w:val="nil"/>
          <w:between w:val="nil"/>
        </w:pBdr>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i/>
        </w:rPr>
      </w:pPr>
      <w:r w:rsidRPr="00EF247A">
        <w:rPr>
          <w:rFonts w:ascii="Palatino Linotype" w:eastAsia="Palatino Linotype" w:hAnsi="Palatino Linotype" w:cs="Palatino Linotype"/>
        </w:rPr>
        <w:t xml:space="preserve">En ese contexto, resulta viable </w:t>
      </w:r>
      <w:r w:rsidRPr="00EF247A">
        <w:rPr>
          <w:rFonts w:ascii="Palatino Linotype" w:eastAsia="Palatino Linotype" w:hAnsi="Palatino Linotype" w:cs="Palatino Linotype"/>
          <w:b/>
        </w:rPr>
        <w:t>REVOCAR</w:t>
      </w:r>
      <w:r w:rsidRPr="00EF247A">
        <w:rPr>
          <w:rFonts w:ascii="Palatino Linotype" w:eastAsia="Palatino Linotype" w:hAnsi="Palatino Linotype" w:cs="Palatino Linotype"/>
        </w:rPr>
        <w:t xml:space="preserve"> la respuesta del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xml:space="preserve"> proporcionada en la solicitud de información </w:t>
      </w:r>
      <w:r w:rsidRPr="00EF247A">
        <w:rPr>
          <w:rFonts w:ascii="Palatino Linotype" w:eastAsia="Palatino Linotype" w:hAnsi="Palatino Linotype" w:cs="Palatino Linotype"/>
          <w:b/>
        </w:rPr>
        <w:t>00042/OASNAUCAL/IP/2025</w:t>
      </w:r>
      <w:r w:rsidRPr="00EF247A">
        <w:rPr>
          <w:rFonts w:ascii="Palatino Linotype" w:eastAsia="Palatino Linotype" w:hAnsi="Palatino Linotype" w:cs="Palatino Linotype"/>
          <w:i/>
        </w:rPr>
        <w:t xml:space="preserve"> </w:t>
      </w:r>
      <w:r w:rsidRPr="00EF247A">
        <w:rPr>
          <w:rFonts w:ascii="Palatino Linotype" w:eastAsia="Palatino Linotype" w:hAnsi="Palatino Linotype" w:cs="Palatino Linotype"/>
        </w:rPr>
        <w:t xml:space="preserve">y ordenar la entrega de la misma, previa búsqueda exhaustiva y razonable, en cada una de las áreas </w:t>
      </w:r>
      <w:r w:rsidRPr="00EF247A">
        <w:rPr>
          <w:rFonts w:ascii="Palatino Linotype" w:eastAsia="Palatino Linotype" w:hAnsi="Palatino Linotype" w:cs="Palatino Linotype"/>
        </w:rPr>
        <w:lastRenderedPageBreak/>
        <w:t>administrativas que de acuerdo a sus facultades y competencia puedan poseer la información, de ser el caso en versión pública.</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hAnsi="Palatino Linotype"/>
          <w:color w:val="000000"/>
        </w:rPr>
      </w:pPr>
      <w:r w:rsidRPr="00EF247A">
        <w:rPr>
          <w:rFonts w:ascii="Palatino Linotype" w:eastAsia="Palatino Linotype" w:hAnsi="Palatino Linotype" w:cs="Palatino Linotype"/>
          <w:color w:val="000000"/>
        </w:rPr>
        <w:t xml:space="preserve">Es de subrayar que el derecho de acceso a la información pública, consiste en que la información </w:t>
      </w:r>
      <w:r w:rsidRPr="00EF247A">
        <w:rPr>
          <w:rFonts w:ascii="Palatino Linotype" w:eastAsia="Palatino Linotype" w:hAnsi="Palatino Linotype" w:cs="Palatino Linotype"/>
        </w:rPr>
        <w:t>solicitada</w:t>
      </w:r>
      <w:r w:rsidRPr="00EF247A">
        <w:rPr>
          <w:rFonts w:ascii="Palatino Linotype" w:eastAsia="Palatino Linotype" w:hAnsi="Palatino Linotype" w:cs="Palatino Linotype"/>
          <w:color w:val="000000"/>
        </w:rPr>
        <w:t xml:space="preserve">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B4257" w:rsidRPr="00EF247A" w:rsidRDefault="00CB4257" w:rsidP="002D0153">
      <w:pPr>
        <w:pBdr>
          <w:top w:val="nil"/>
          <w:left w:val="nil"/>
          <w:bottom w:val="nil"/>
          <w:right w:val="nil"/>
          <w:between w:val="nil"/>
        </w:pBdr>
        <w:spacing w:line="360" w:lineRule="auto"/>
        <w:jc w:val="both"/>
        <w:rPr>
          <w:rFonts w:ascii="Palatino Linotype" w:hAnsi="Palatino Linotype"/>
          <w:color w:val="000000"/>
        </w:rPr>
      </w:pPr>
    </w:p>
    <w:p w:rsidR="00CB4257" w:rsidRPr="00EF247A" w:rsidRDefault="007B2F32" w:rsidP="002D0153">
      <w:pP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w:t>
      </w:r>
      <w:r w:rsidRPr="00EF247A">
        <w:rPr>
          <w:rFonts w:ascii="Palatino Linotype" w:eastAsia="Palatino Linotype" w:hAnsi="Palatino Linotype" w:cs="Palatino Linotype"/>
          <w:b/>
          <w:i/>
          <w:color w:val="000000"/>
        </w:rPr>
        <w:t xml:space="preserve">Artículo 3. </w:t>
      </w:r>
      <w:r w:rsidRPr="00EF247A">
        <w:rPr>
          <w:rFonts w:ascii="Palatino Linotype" w:eastAsia="Palatino Linotype" w:hAnsi="Palatino Linotype" w:cs="Palatino Linotype"/>
          <w:i/>
          <w:color w:val="000000"/>
        </w:rPr>
        <w:t>Para los efectos de la presente Ley se entenderá por:</w:t>
      </w:r>
    </w:p>
    <w:p w:rsidR="00CB4257" w:rsidRPr="00EF247A" w:rsidRDefault="007B2F32" w:rsidP="002D0153">
      <w:pP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w:t>
      </w:r>
    </w:p>
    <w:p w:rsidR="00CB4257" w:rsidRPr="00EF247A" w:rsidRDefault="007B2F32" w:rsidP="002D0153">
      <w:pPr>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b/>
          <w:i/>
          <w:color w:val="000000"/>
        </w:rPr>
        <w:t>XI. Documento:</w:t>
      </w:r>
      <w:r w:rsidRPr="00EF247A">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B4257" w:rsidRPr="00EF247A" w:rsidRDefault="007B2F32" w:rsidP="002D0153">
      <w:pPr>
        <w:spacing w:line="360" w:lineRule="auto"/>
        <w:jc w:val="both"/>
        <w:rPr>
          <w:rFonts w:ascii="Palatino Linotype" w:eastAsia="Palatino Linotype" w:hAnsi="Palatino Linotype" w:cs="Palatino Linotype"/>
          <w:i/>
          <w:color w:val="000000"/>
        </w:rPr>
      </w:pPr>
      <w:r w:rsidRPr="00EF247A">
        <w:rPr>
          <w:rFonts w:ascii="Palatino Linotype" w:eastAsia="Palatino Linotype" w:hAnsi="Palatino Linotype" w:cs="Palatino Linotype"/>
          <w:i/>
          <w:color w:val="000000"/>
        </w:rPr>
        <w:t>(…)”</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hAnsi="Palatino Linotype"/>
          <w:color w:val="000000"/>
        </w:rPr>
      </w:pPr>
      <w:r w:rsidRPr="00EF247A">
        <w:rPr>
          <w:rFonts w:ascii="Palatino Linotype" w:eastAsia="Palatino Linotype" w:hAnsi="Palatino Linotype" w:cs="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B4257" w:rsidRPr="00EF247A" w:rsidRDefault="00CB4257" w:rsidP="002D0153">
      <w:pPr>
        <w:pBdr>
          <w:top w:val="nil"/>
          <w:left w:val="nil"/>
          <w:bottom w:val="nil"/>
          <w:right w:val="nil"/>
          <w:between w:val="nil"/>
        </w:pBdr>
        <w:spacing w:line="360" w:lineRule="auto"/>
        <w:jc w:val="both"/>
        <w:rPr>
          <w:rFonts w:ascii="Palatino Linotype" w:hAnsi="Palatino Linotype"/>
          <w:color w:val="000000"/>
        </w:rPr>
      </w:pPr>
    </w:p>
    <w:p w:rsidR="00377753" w:rsidRPr="00EF247A" w:rsidRDefault="00377753" w:rsidP="002D0153">
      <w:pPr>
        <w:pBdr>
          <w:top w:val="nil"/>
          <w:left w:val="nil"/>
          <w:bottom w:val="nil"/>
          <w:right w:val="nil"/>
          <w:between w:val="nil"/>
        </w:pBdr>
        <w:spacing w:line="360" w:lineRule="auto"/>
        <w:jc w:val="both"/>
        <w:rPr>
          <w:rFonts w:ascii="Palatino Linotype" w:hAnsi="Palatino Linotype"/>
          <w:color w:val="000000"/>
        </w:rPr>
      </w:pPr>
    </w:p>
    <w:p w:rsidR="00377753" w:rsidRPr="00EF247A" w:rsidRDefault="00377753" w:rsidP="002D0153">
      <w:pPr>
        <w:pBdr>
          <w:top w:val="nil"/>
          <w:left w:val="nil"/>
          <w:bottom w:val="nil"/>
          <w:right w:val="nil"/>
          <w:between w:val="nil"/>
        </w:pBdr>
        <w:spacing w:line="360" w:lineRule="auto"/>
        <w:jc w:val="both"/>
        <w:rPr>
          <w:rFonts w:ascii="Palatino Linotype" w:hAnsi="Palatino Linotype"/>
          <w:color w:val="000000"/>
        </w:rPr>
      </w:pPr>
    </w:p>
    <w:p w:rsidR="00377753" w:rsidRPr="00EF247A" w:rsidRDefault="00377753" w:rsidP="002D0153">
      <w:pPr>
        <w:pBdr>
          <w:top w:val="nil"/>
          <w:left w:val="nil"/>
          <w:bottom w:val="nil"/>
          <w:right w:val="nil"/>
          <w:between w:val="nil"/>
        </w:pBdr>
        <w:spacing w:line="360" w:lineRule="auto"/>
        <w:jc w:val="both"/>
        <w:rPr>
          <w:rFonts w:ascii="Palatino Linotype" w:hAnsi="Palatino Linotype"/>
          <w:color w:val="000000"/>
        </w:rPr>
      </w:pPr>
    </w:p>
    <w:p w:rsidR="00CB4257" w:rsidRPr="00EF247A" w:rsidRDefault="007B2F32" w:rsidP="002D0153">
      <w:pPr>
        <w:jc w:val="both"/>
        <w:rPr>
          <w:rFonts w:ascii="Palatino Linotype" w:eastAsia="Palatino Linotype" w:hAnsi="Palatino Linotype" w:cs="Palatino Linotype"/>
          <w:b/>
          <w:i/>
        </w:rPr>
      </w:pPr>
      <w:r w:rsidRPr="00EF247A">
        <w:rPr>
          <w:rFonts w:ascii="Palatino Linotype" w:eastAsia="Palatino Linotype" w:hAnsi="Palatino Linotype" w:cs="Palatino Linotype"/>
          <w:b/>
        </w:rPr>
        <w:t>“</w:t>
      </w:r>
      <w:r w:rsidRPr="00EF247A">
        <w:rPr>
          <w:rFonts w:ascii="Palatino Linotype" w:eastAsia="Palatino Linotype" w:hAnsi="Palatino Linotype" w:cs="Palatino Linotype"/>
          <w:b/>
          <w:i/>
        </w:rPr>
        <w:t>CRITERIO 0002-11</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F247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En consecuencia el acceso a la información se refiere a que se cumplan cualquiera de los siguientes tres supuestos:</w:t>
      </w:r>
    </w:p>
    <w:p w:rsidR="00CB4257" w:rsidRPr="00EF247A" w:rsidRDefault="007B2F32" w:rsidP="002D0153">
      <w:pPr>
        <w:jc w:val="both"/>
        <w:rPr>
          <w:rFonts w:ascii="Palatino Linotype" w:eastAsia="Palatino Linotype" w:hAnsi="Palatino Linotype" w:cs="Palatino Linotype"/>
          <w:b/>
          <w:i/>
        </w:rPr>
      </w:pPr>
      <w:r w:rsidRPr="00EF247A">
        <w:rPr>
          <w:rFonts w:ascii="Palatino Linotype" w:eastAsia="Palatino Linotype" w:hAnsi="Palatino Linotype" w:cs="Palatino Linotype"/>
          <w:b/>
          <w:i/>
        </w:rPr>
        <w:t xml:space="preserve">1) </w:t>
      </w:r>
      <w:r w:rsidRPr="00EF247A">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CB4257" w:rsidRPr="00EF247A" w:rsidRDefault="007B2F32" w:rsidP="002D0153">
      <w:pPr>
        <w:tabs>
          <w:tab w:val="left" w:pos="851"/>
        </w:tabs>
        <w:spacing w:line="360" w:lineRule="auto"/>
        <w:rPr>
          <w:rFonts w:ascii="Palatino Linotype" w:eastAsia="Palatino Linotype" w:hAnsi="Palatino Linotype" w:cs="Palatino Linotype"/>
        </w:rPr>
      </w:pPr>
      <w:r w:rsidRPr="00EF247A">
        <w:rPr>
          <w:rFonts w:ascii="Palatino Linotype" w:eastAsia="Palatino Linotype" w:hAnsi="Palatino Linotype" w:cs="Palatino Linotype"/>
        </w:rPr>
        <w:t>(Énfasis Añadido)</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hAnsi="Palatino Linotype"/>
          <w:color w:val="000000"/>
        </w:rPr>
      </w:pPr>
      <w:r w:rsidRPr="00EF247A">
        <w:rPr>
          <w:rFonts w:ascii="Palatino Linotype" w:eastAsia="Palatino Linotype" w:hAnsi="Palatino Linotype" w:cs="Palatino Linotype"/>
          <w:color w:val="000000"/>
        </w:rPr>
        <w:t>Por su parte los artículos 160 y 166, de la Ley local en la materia, que se reproduce de la siguiente forma:</w:t>
      </w:r>
    </w:p>
    <w:p w:rsidR="00CB4257" w:rsidRPr="00EF247A" w:rsidRDefault="00CB4257" w:rsidP="002D0153">
      <w:pPr>
        <w:pBdr>
          <w:top w:val="nil"/>
          <w:left w:val="nil"/>
          <w:bottom w:val="nil"/>
          <w:right w:val="nil"/>
          <w:between w:val="nil"/>
        </w:pBdr>
        <w:spacing w:line="360" w:lineRule="auto"/>
        <w:jc w:val="both"/>
        <w:rPr>
          <w:rFonts w:ascii="Palatino Linotype" w:hAnsi="Palatino Linotype"/>
          <w:color w:val="000000"/>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w:t>
      </w:r>
      <w:r w:rsidRPr="00EF247A">
        <w:rPr>
          <w:rFonts w:ascii="Palatino Linotype" w:eastAsia="Palatino Linotype" w:hAnsi="Palatino Linotype" w:cs="Palatino Linotype"/>
          <w:b/>
          <w:i/>
        </w:rPr>
        <w:t>Artículo 160.</w:t>
      </w:r>
      <w:r w:rsidRPr="00EF247A">
        <w:rPr>
          <w:rFonts w:ascii="Palatino Linotype" w:eastAsia="Palatino Linotype" w:hAnsi="Palatino Linotype" w:cs="Palatino Linotype"/>
          <w:i/>
        </w:rPr>
        <w:t xml:space="preserve"> </w:t>
      </w:r>
      <w:r w:rsidRPr="00EF247A">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F247A">
        <w:rPr>
          <w:rFonts w:ascii="Palatino Linotype" w:eastAsia="Palatino Linotype" w:hAnsi="Palatino Linotype" w:cs="Palatino Linotype"/>
          <w:i/>
        </w:rPr>
        <w:t>.</w:t>
      </w:r>
    </w:p>
    <w:p w:rsidR="00CB4257" w:rsidRPr="00EF247A" w:rsidRDefault="00CB4257" w:rsidP="002D0153">
      <w:pPr>
        <w:jc w:val="both"/>
        <w:rPr>
          <w:rFonts w:ascii="Palatino Linotype" w:eastAsia="Palatino Linotype" w:hAnsi="Palatino Linotype" w:cs="Palatino Linotype"/>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i/>
        </w:rPr>
        <w:t>En caso que la información solicitada consista en bases de datos se deberá privilegiar la entrega de la misma en formatos abiertos.</w:t>
      </w:r>
    </w:p>
    <w:p w:rsidR="00CB4257" w:rsidRPr="00EF247A" w:rsidRDefault="007B2F32" w:rsidP="002D0153">
      <w:pPr>
        <w:jc w:val="both"/>
        <w:rPr>
          <w:rFonts w:ascii="Palatino Linotype" w:eastAsia="Palatino Linotype" w:hAnsi="Palatino Linotype" w:cs="Palatino Linotype"/>
          <w:i/>
          <w:u w:val="single"/>
        </w:rPr>
      </w:pPr>
      <w:r w:rsidRPr="00EF247A">
        <w:rPr>
          <w:rFonts w:ascii="Palatino Linotype" w:eastAsia="Palatino Linotype" w:hAnsi="Palatino Linotype" w:cs="Palatino Linotype"/>
          <w:b/>
          <w:i/>
        </w:rPr>
        <w:t>Artículo 166.</w:t>
      </w:r>
      <w:r w:rsidRPr="00EF247A">
        <w:rPr>
          <w:rFonts w:ascii="Palatino Linotype" w:eastAsia="Palatino Linotype" w:hAnsi="Palatino Linotype" w:cs="Palatino Linotype"/>
          <w:i/>
        </w:rPr>
        <w:t xml:space="preserve"> </w:t>
      </w:r>
      <w:r w:rsidRPr="00EF247A">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CB4257" w:rsidRPr="00EF247A" w:rsidRDefault="007B2F32" w:rsidP="002D0153">
      <w:pPr>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rPr>
        <w:t>(Énfasis añadido)</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hAnsi="Palatino Linotype"/>
          <w:color w:val="000000"/>
        </w:rPr>
      </w:pPr>
      <w:r w:rsidRPr="00EF247A">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B4257" w:rsidRPr="00EF247A" w:rsidRDefault="00CB4257" w:rsidP="002D01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En el </w:t>
      </w:r>
      <w:r w:rsidRPr="00EF247A">
        <w:rPr>
          <w:rFonts w:ascii="Palatino Linotype" w:eastAsia="Palatino Linotype" w:hAnsi="Palatino Linotype" w:cs="Palatino Linotype"/>
          <w:color w:val="000000"/>
        </w:rPr>
        <w:t>caso</w:t>
      </w:r>
      <w:r w:rsidRPr="00EF247A">
        <w:rPr>
          <w:rFonts w:ascii="Palatino Linotype" w:eastAsia="Palatino Linotype" w:hAnsi="Palatino Linotype" w:cs="Palatino Linotype"/>
        </w:rPr>
        <w:t xml:space="preserve"> que la información cuente con datos susceptibles de ser clasificados, el Sujeto Obligado deberá hacer entrega de la información en versión pública acompañada del acuerdo que para tales efectos emita su Comité de Transparencia de conformidad con </w:t>
      </w:r>
      <w:r w:rsidRPr="00EF247A">
        <w:rPr>
          <w:rFonts w:ascii="Palatino Linotype" w:eastAsia="Palatino Linotype" w:hAnsi="Palatino Linotype" w:cs="Palatino Linotype"/>
        </w:rPr>
        <w:lastRenderedPageBreak/>
        <w:t>los artículos 49, fracciones II y VIII, 143, fracción I y 149 de la Ley de Transparencia y Acceso a la Información Pública del Estado de México y Municipios.</w:t>
      </w:r>
    </w:p>
    <w:p w:rsidR="00CB4257" w:rsidRPr="00EF247A" w:rsidRDefault="00CB4257" w:rsidP="002D0153">
      <w:pPr>
        <w:tabs>
          <w:tab w:val="left" w:pos="1470"/>
        </w:tabs>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Aunado a ello, cabe precisar que el Sujeto Obligado no se encuentra forzado normativamente a procesar la </w:t>
      </w:r>
      <w:r w:rsidRPr="00EF247A">
        <w:rPr>
          <w:rFonts w:ascii="Palatino Linotype" w:eastAsia="Palatino Linotype" w:hAnsi="Palatino Linotype" w:cs="Palatino Linotype"/>
          <w:color w:val="000000"/>
        </w:rPr>
        <w:t>información</w:t>
      </w:r>
      <w:r w:rsidRPr="00EF247A">
        <w:rPr>
          <w:rFonts w:ascii="Palatino Linotype" w:eastAsia="Palatino Linotype" w:hAnsi="Palatino Linotype" w:cs="Palatino Linotype"/>
        </w:rPr>
        <w:t>; ello, 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CB4257" w:rsidRPr="00EF247A" w:rsidRDefault="00CB4257" w:rsidP="002D0153">
      <w:pPr>
        <w:tabs>
          <w:tab w:val="left" w:pos="4962"/>
        </w:tabs>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De esta manera, el derecho de acceso a la información pública se satisface en aquellos casos en que se entregue el soporte documental en el que conste la información solicitada, sin necesidad de elaborar documentos </w:t>
      </w:r>
      <w:r w:rsidRPr="00EF247A">
        <w:rPr>
          <w:rFonts w:ascii="Palatino Linotype" w:eastAsia="Palatino Linotype" w:hAnsi="Palatino Linotype" w:cs="Palatino Linotype"/>
          <w:i/>
        </w:rPr>
        <w:t>ad hoc</w:t>
      </w:r>
      <w:r w:rsidRPr="00EF247A">
        <w:rPr>
          <w:rFonts w:ascii="Palatino Linotype" w:eastAsia="Palatino Linotype" w:hAnsi="Palatino Linotype" w:cs="Palatino Linotype"/>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orientador 03/17 del Instituto Nacional de Transparencia, Acceso a la Información y Protección de Datos Personales que a continuación se cita:</w:t>
      </w:r>
    </w:p>
    <w:p w:rsidR="00CB4257" w:rsidRPr="00EF247A" w:rsidRDefault="00CB4257" w:rsidP="002D0153">
      <w:pPr>
        <w:jc w:val="both"/>
        <w:rPr>
          <w:rFonts w:ascii="Palatino Linotype" w:eastAsia="Palatino Linotype" w:hAnsi="Palatino Linotype" w:cs="Palatino Linotype"/>
          <w:b/>
          <w:i/>
        </w:rPr>
      </w:pPr>
    </w:p>
    <w:p w:rsidR="00CB4257" w:rsidRPr="00EF247A" w:rsidRDefault="007B2F32" w:rsidP="002D0153">
      <w:pPr>
        <w:jc w:val="both"/>
        <w:rPr>
          <w:rFonts w:ascii="Palatino Linotype" w:eastAsia="Palatino Linotype" w:hAnsi="Palatino Linotype" w:cs="Palatino Linotype"/>
          <w:i/>
        </w:rPr>
      </w:pPr>
      <w:r w:rsidRPr="00EF247A">
        <w:rPr>
          <w:rFonts w:ascii="Palatino Linotype" w:eastAsia="Palatino Linotype" w:hAnsi="Palatino Linotype" w:cs="Palatino Linotype"/>
          <w:b/>
          <w:i/>
        </w:rPr>
        <w:lastRenderedPageBreak/>
        <w:t xml:space="preserve">No existe obligación de elaborar documentos ad hoc para atender las solicitudes de acceso a la información. </w:t>
      </w:r>
      <w:r w:rsidRPr="00EF247A">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CB4257" w:rsidRPr="00EF247A" w:rsidRDefault="00CB4257" w:rsidP="002D0153">
      <w:pPr>
        <w:spacing w:line="360" w:lineRule="auto"/>
        <w:jc w:val="both"/>
        <w:rPr>
          <w:rFonts w:ascii="Palatino Linotype" w:eastAsia="Palatino Linotype" w:hAnsi="Palatino Linotype" w:cs="Palatino Linotype"/>
          <w:color w:val="000000"/>
        </w:rPr>
      </w:pPr>
    </w:p>
    <w:p w:rsidR="00CB4257" w:rsidRPr="00EF247A" w:rsidRDefault="007B2F32" w:rsidP="002D0153">
      <w:pPr>
        <w:keepNext/>
        <w:keepLines/>
        <w:spacing w:after="160" w:line="360" w:lineRule="auto"/>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QUINTO. De la versión pública.</w:t>
      </w:r>
    </w:p>
    <w:p w:rsidR="00CB4257" w:rsidRPr="00EF247A" w:rsidRDefault="007B2F32" w:rsidP="002D0153">
      <w:pPr>
        <w:keepNext/>
        <w:keepLines/>
        <w:numPr>
          <w:ilvl w:val="0"/>
          <w:numId w:val="10"/>
        </w:numPr>
        <w:tabs>
          <w:tab w:val="left" w:pos="284"/>
        </w:tabs>
        <w:spacing w:after="160" w:line="360" w:lineRule="auto"/>
        <w:ind w:left="0"/>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 xml:space="preserve">Nociones generales. </w:t>
      </w: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Finalmente para la entrega de los soportes documentales que deberá proporcionar 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xml:space="preserve"> para satisfacer el derecho humano de acceso a la información,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a entregar para dar cumplimiento </w:t>
      </w:r>
      <w:r w:rsidRPr="00EF247A">
        <w:rPr>
          <w:rFonts w:ascii="Palatino Linotype" w:eastAsia="Palatino Linotype" w:hAnsi="Palatino Linotype" w:cs="Palatino Linotype"/>
        </w:rPr>
        <w:lastRenderedPageBreak/>
        <w:t>a esta resolución, a fin de satisfacer el derecho de acceso a la información pública del recurrente sin menoscabar el derecho a la protección de los datos personales de terceros.</w:t>
      </w:r>
    </w:p>
    <w:p w:rsidR="00CB4257" w:rsidRPr="00EF247A" w:rsidRDefault="00CB4257" w:rsidP="002D0153">
      <w:pPr>
        <w:tabs>
          <w:tab w:val="left" w:pos="284"/>
        </w:tabs>
        <w:spacing w:after="160" w:line="360" w:lineRule="auto"/>
        <w:jc w:val="both"/>
        <w:rPr>
          <w:rFonts w:ascii="Palatino Linotype" w:eastAsia="Palatino Linotype" w:hAnsi="Palatino Linotype" w:cs="Palatino Linotype"/>
          <w:color w:val="000000"/>
        </w:rPr>
      </w:pPr>
    </w:p>
    <w:tbl>
      <w:tblPr>
        <w:tblStyle w:val="a8"/>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CB4257" w:rsidRPr="00EF247A">
        <w:tc>
          <w:tcPr>
            <w:tcW w:w="2689" w:type="dxa"/>
          </w:tcPr>
          <w:p w:rsidR="00CB4257" w:rsidRPr="00EF247A" w:rsidRDefault="007B2F32" w:rsidP="002D0153">
            <w:pPr>
              <w:tabs>
                <w:tab w:val="left" w:pos="284"/>
              </w:tabs>
              <w:spacing w:line="360" w:lineRule="auto"/>
              <w:rPr>
                <w:rFonts w:ascii="Palatino Linotype" w:eastAsia="Palatino Linotype" w:hAnsi="Palatino Linotype" w:cs="Palatino Linotype"/>
                <w:b/>
              </w:rPr>
            </w:pPr>
            <w:r w:rsidRPr="00EF247A">
              <w:rPr>
                <w:rFonts w:ascii="Palatino Linotype" w:eastAsia="Palatino Linotype" w:hAnsi="Palatino Linotype" w:cs="Palatino Linotype"/>
                <w:b/>
              </w:rPr>
              <w:t>a) Requisitos previos.</w:t>
            </w:r>
          </w:p>
        </w:tc>
        <w:tc>
          <w:tcPr>
            <w:tcW w:w="6520" w:type="dxa"/>
          </w:tcPr>
          <w:p w:rsidR="00CB4257" w:rsidRPr="00EF247A" w:rsidRDefault="007B2F32" w:rsidP="002D0153">
            <w:pPr>
              <w:tabs>
                <w:tab w:val="left" w:pos="284"/>
              </w:tabs>
              <w:spacing w:line="360" w:lineRule="auto"/>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CB4257" w:rsidRPr="00EF247A" w:rsidRDefault="007B2F32" w:rsidP="002D0153">
            <w:pPr>
              <w:tabs>
                <w:tab w:val="left" w:pos="284"/>
              </w:tabs>
              <w:spacing w:line="360" w:lineRule="auto"/>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CB4257" w:rsidRPr="00EF247A" w:rsidRDefault="007B2F32" w:rsidP="002D0153">
            <w:pPr>
              <w:tabs>
                <w:tab w:val="left" w:pos="284"/>
              </w:tabs>
              <w:spacing w:line="360" w:lineRule="auto"/>
              <w:jc w:val="both"/>
              <w:rPr>
                <w:rFonts w:ascii="Palatino Linotype" w:eastAsia="Palatino Linotype" w:hAnsi="Palatino Linotype" w:cs="Palatino Linotype"/>
                <w:b/>
                <w:color w:val="000000"/>
              </w:rPr>
            </w:pPr>
            <w:r w:rsidRPr="00EF247A">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CB4257" w:rsidRPr="00EF247A" w:rsidRDefault="007B2F32" w:rsidP="002D0153">
            <w:pPr>
              <w:tabs>
                <w:tab w:val="left" w:pos="284"/>
              </w:tabs>
              <w:spacing w:line="360" w:lineRule="auto"/>
              <w:jc w:val="both"/>
              <w:rPr>
                <w:rFonts w:ascii="Palatino Linotype" w:eastAsia="Palatino Linotype" w:hAnsi="Palatino Linotype" w:cs="Palatino Linotype"/>
                <w:b/>
              </w:rPr>
            </w:pPr>
            <w:r w:rsidRPr="00EF247A">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EF247A">
              <w:rPr>
                <w:rFonts w:ascii="Palatino Linotype" w:eastAsia="Palatino Linotype" w:hAnsi="Palatino Linotype" w:cs="Palatino Linotype"/>
                <w:b/>
                <w:color w:val="000000"/>
                <w:u w:val="single"/>
              </w:rPr>
              <w:t xml:space="preserve">no se puede hacer un acuerdo para clasificar de manera general todos los documentos de un expediente o </w:t>
            </w:r>
            <w:r w:rsidRPr="00EF247A">
              <w:rPr>
                <w:rFonts w:ascii="Palatino Linotype" w:eastAsia="Palatino Linotype" w:hAnsi="Palatino Linotype" w:cs="Palatino Linotype"/>
                <w:b/>
                <w:color w:val="000000"/>
                <w:u w:val="single"/>
              </w:rPr>
              <w:lastRenderedPageBreak/>
              <w:t>área, sin</w:t>
            </w:r>
            <w:r w:rsidRPr="00EF247A">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CB4257" w:rsidRPr="00EF247A">
        <w:tc>
          <w:tcPr>
            <w:tcW w:w="2689" w:type="dxa"/>
          </w:tcPr>
          <w:p w:rsidR="00CB4257" w:rsidRPr="00EF247A" w:rsidRDefault="007B2F32" w:rsidP="002D0153">
            <w:pPr>
              <w:tabs>
                <w:tab w:val="left" w:pos="284"/>
              </w:tabs>
              <w:spacing w:line="360" w:lineRule="auto"/>
              <w:rPr>
                <w:rFonts w:ascii="Palatino Linotype" w:eastAsia="Palatino Linotype" w:hAnsi="Palatino Linotype" w:cs="Palatino Linotype"/>
                <w:b/>
              </w:rPr>
            </w:pPr>
            <w:r w:rsidRPr="00EF247A">
              <w:rPr>
                <w:rFonts w:ascii="Palatino Linotype" w:eastAsia="Palatino Linotype" w:hAnsi="Palatino Linotype" w:cs="Palatino Linotype"/>
                <w:b/>
              </w:rPr>
              <w:lastRenderedPageBreak/>
              <w:t>b) Supuestos de clasificación.</w:t>
            </w:r>
          </w:p>
        </w:tc>
        <w:tc>
          <w:tcPr>
            <w:tcW w:w="6520" w:type="dxa"/>
          </w:tcPr>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B4257" w:rsidRPr="00EF247A" w:rsidRDefault="007B2F32" w:rsidP="002D0153">
            <w:pPr>
              <w:tabs>
                <w:tab w:val="left" w:pos="284"/>
              </w:tabs>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color w:val="000000"/>
              </w:rPr>
              <w:t xml:space="preserve">El </w:t>
            </w:r>
            <w:r w:rsidRPr="00EF247A">
              <w:rPr>
                <w:rFonts w:ascii="Palatino Linotype" w:eastAsia="Palatino Linotype" w:hAnsi="Palatino Linotype" w:cs="Palatino Linotype"/>
                <w:b/>
                <w:color w:val="000000"/>
              </w:rPr>
              <w:t>Sujeto Obligado</w:t>
            </w:r>
            <w:r w:rsidRPr="00EF247A">
              <w:rPr>
                <w:rFonts w:ascii="Palatino Linotype" w:eastAsia="Palatino Linotype" w:hAnsi="Palatino Linotype" w:cs="Palatino Linotype"/>
                <w:color w:val="000000"/>
              </w:rPr>
              <w:t xml:space="preserve"> debe identificar claramente el tipo de información y hacer un juicio de subsunción o encaje para </w:t>
            </w:r>
            <w:r w:rsidRPr="00EF247A">
              <w:rPr>
                <w:rFonts w:ascii="Palatino Linotype" w:eastAsia="Palatino Linotype" w:hAnsi="Palatino Linotype" w:cs="Palatino Linotype"/>
                <w:color w:val="000000"/>
              </w:rPr>
              <w:lastRenderedPageBreak/>
              <w:t>acreditar que el supuesto de hecho corresponde estrictamente con la hipótesis jurídica. Esto también lo debe de realizar el servidor público habilitado y el titular del área que administra la información.</w:t>
            </w:r>
          </w:p>
        </w:tc>
      </w:tr>
      <w:tr w:rsidR="00CB4257" w:rsidRPr="00EF247A">
        <w:tc>
          <w:tcPr>
            <w:tcW w:w="2689" w:type="dxa"/>
          </w:tcPr>
          <w:p w:rsidR="00CB4257" w:rsidRPr="00EF247A" w:rsidRDefault="007B2F32" w:rsidP="002D0153">
            <w:pPr>
              <w:tabs>
                <w:tab w:val="left" w:pos="284"/>
              </w:tabs>
              <w:spacing w:line="360" w:lineRule="auto"/>
              <w:rPr>
                <w:rFonts w:ascii="Palatino Linotype" w:eastAsia="Palatino Linotype" w:hAnsi="Palatino Linotype" w:cs="Palatino Linotype"/>
                <w:b/>
              </w:rPr>
            </w:pPr>
            <w:r w:rsidRPr="00EF247A">
              <w:rPr>
                <w:rFonts w:ascii="Palatino Linotype" w:eastAsia="Palatino Linotype" w:hAnsi="Palatino Linotype" w:cs="Palatino Linotype"/>
                <w:b/>
              </w:rPr>
              <w:lastRenderedPageBreak/>
              <w:t>c) Formalidades para emitir el acuerdo de clasificación.</w:t>
            </w:r>
          </w:p>
        </w:tc>
        <w:tc>
          <w:tcPr>
            <w:tcW w:w="6520" w:type="dxa"/>
          </w:tcPr>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Es necesario que </w:t>
            </w:r>
            <w:r w:rsidRPr="00EF247A">
              <w:rPr>
                <w:rFonts w:ascii="Palatino Linotype" w:eastAsia="Palatino Linotype" w:hAnsi="Palatino Linotype" w:cs="Palatino Linotype"/>
                <w:b/>
                <w:color w:val="000000"/>
                <w:u w:val="single"/>
              </w:rPr>
              <w:t>el acto reúna con los requisitos elementales</w:t>
            </w:r>
            <w:r w:rsidRPr="00EF247A">
              <w:rPr>
                <w:rFonts w:ascii="Palatino Linotype" w:eastAsia="Palatino Linotype" w:hAnsi="Palatino Linotype" w:cs="Palatino Linotype"/>
                <w:color w:val="000000"/>
              </w:rPr>
              <w:t>, entre ellos, que la autoridad que va a emitir el acto de autoridad sea la legalmente facultada para ello.</w:t>
            </w:r>
          </w:p>
          <w:p w:rsidR="00CB4257" w:rsidRPr="00EF247A" w:rsidRDefault="007B2F32" w:rsidP="002D0153">
            <w:pPr>
              <w:tabs>
                <w:tab w:val="left" w:pos="284"/>
              </w:tabs>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4257" w:rsidRPr="00EF247A">
        <w:tc>
          <w:tcPr>
            <w:tcW w:w="2689" w:type="dxa"/>
          </w:tcPr>
          <w:p w:rsidR="00CB4257" w:rsidRPr="00EF247A" w:rsidRDefault="00CB4257" w:rsidP="002D0153">
            <w:pPr>
              <w:tabs>
                <w:tab w:val="left" w:pos="284"/>
              </w:tabs>
              <w:spacing w:line="360" w:lineRule="auto"/>
              <w:rPr>
                <w:rFonts w:ascii="Palatino Linotype" w:eastAsia="Palatino Linotype" w:hAnsi="Palatino Linotype" w:cs="Palatino Linotype"/>
                <w:b/>
              </w:rPr>
            </w:pPr>
          </w:p>
          <w:p w:rsidR="00CB4257" w:rsidRPr="00EF247A" w:rsidRDefault="007B2F32" w:rsidP="002D0153">
            <w:pPr>
              <w:tabs>
                <w:tab w:val="left" w:pos="284"/>
              </w:tabs>
              <w:spacing w:line="360" w:lineRule="auto"/>
              <w:jc w:val="both"/>
              <w:rPr>
                <w:rFonts w:ascii="Palatino Linotype" w:eastAsia="Palatino Linotype" w:hAnsi="Palatino Linotype" w:cs="Palatino Linotype"/>
                <w:b/>
              </w:rPr>
            </w:pPr>
            <w:r w:rsidRPr="00EF247A">
              <w:rPr>
                <w:rFonts w:ascii="Palatino Linotype" w:eastAsia="Palatino Linotype" w:hAnsi="Palatino Linotype" w:cs="Palatino Linotype"/>
                <w:b/>
                <w:color w:val="000000"/>
              </w:rPr>
              <w:t xml:space="preserve">d) Requisitos de fondo del acuerdo de clasificación. </w:t>
            </w:r>
          </w:p>
        </w:tc>
        <w:tc>
          <w:tcPr>
            <w:tcW w:w="6520" w:type="dxa"/>
          </w:tcPr>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F247A">
              <w:rPr>
                <w:rFonts w:ascii="Palatino Linotype" w:eastAsia="Palatino Linotype" w:hAnsi="Palatino Linotype" w:cs="Palatino Linotype"/>
                <w:b/>
                <w:color w:val="000000"/>
              </w:rPr>
              <w:t>Sujetos Obligados</w:t>
            </w:r>
            <w:r w:rsidRPr="00EF247A">
              <w:rPr>
                <w:rFonts w:ascii="Palatino Linotype" w:eastAsia="Palatino Linotype" w:hAnsi="Palatino Linotype" w:cs="Palatino Linotype"/>
                <w:color w:val="000000"/>
              </w:rPr>
              <w:t xml:space="preserve">, por lo que deberán fundar y motivar debidamente la clasificación. </w:t>
            </w:r>
          </w:p>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De lo anterior, se desprende que para una correcta </w:t>
            </w:r>
            <w:r w:rsidRPr="00EF247A">
              <w:rPr>
                <w:rFonts w:ascii="Palatino Linotype" w:eastAsia="Palatino Linotype" w:hAnsi="Palatino Linotype" w:cs="Palatino Linotype"/>
                <w:b/>
                <w:color w:val="000000"/>
              </w:rPr>
              <w:t>clasificación total o parcial</w:t>
            </w:r>
            <w:r w:rsidRPr="00EF247A">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EF247A">
              <w:rPr>
                <w:rFonts w:ascii="Palatino Linotype" w:eastAsia="Palatino Linotype" w:hAnsi="Palatino Linotype" w:cs="Palatino Linotype"/>
                <w:color w:val="000000"/>
              </w:rPr>
              <w:lastRenderedPageBreak/>
              <w:t>derecho. De este modo, la persona que se sienta afectada pueda impugnar la decisión, permitiéndole una real y auténtica defensa.</w:t>
            </w:r>
          </w:p>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Ahora bien, </w:t>
            </w:r>
            <w:r w:rsidRPr="00EF247A">
              <w:rPr>
                <w:rFonts w:ascii="Palatino Linotype" w:eastAsia="Palatino Linotype" w:hAnsi="Palatino Linotype" w:cs="Palatino Linotype"/>
                <w:b/>
                <w:color w:val="000000"/>
                <w:u w:val="single"/>
              </w:rPr>
              <w:t>para cada caso además de fundar y motivar</w:t>
            </w:r>
            <w:r w:rsidRPr="00EF247A">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4257" w:rsidRPr="00EF247A">
        <w:tc>
          <w:tcPr>
            <w:tcW w:w="2689" w:type="dxa"/>
          </w:tcPr>
          <w:p w:rsidR="00CB4257" w:rsidRPr="00EF247A" w:rsidRDefault="007B2F32" w:rsidP="002D0153">
            <w:pPr>
              <w:tabs>
                <w:tab w:val="left" w:pos="284"/>
              </w:tabs>
              <w:spacing w:line="360" w:lineRule="auto"/>
              <w:jc w:val="both"/>
              <w:rPr>
                <w:rFonts w:ascii="Palatino Linotype" w:eastAsia="Palatino Linotype" w:hAnsi="Palatino Linotype" w:cs="Palatino Linotype"/>
                <w:b/>
              </w:rPr>
            </w:pPr>
            <w:r w:rsidRPr="00EF247A">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CB4257" w:rsidRPr="00EF247A" w:rsidRDefault="007B2F32" w:rsidP="002D0153">
            <w:pPr>
              <w:tabs>
                <w:tab w:val="left" w:pos="284"/>
              </w:tabs>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B4257" w:rsidRPr="00EF247A" w:rsidRDefault="007B2F32" w:rsidP="002D0153">
            <w:pPr>
              <w:tabs>
                <w:tab w:val="left" w:pos="284"/>
              </w:tabs>
              <w:spacing w:line="360" w:lineRule="auto"/>
              <w:rPr>
                <w:rFonts w:ascii="Palatino Linotype" w:eastAsia="Palatino Linotype" w:hAnsi="Palatino Linotype" w:cs="Palatino Linotype"/>
              </w:rPr>
            </w:pPr>
            <w:r w:rsidRPr="00EF247A">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B4257" w:rsidRPr="00EF247A" w:rsidRDefault="00CB4257" w:rsidP="002D0153">
      <w:pPr>
        <w:tabs>
          <w:tab w:val="left" w:pos="284"/>
        </w:tabs>
        <w:spacing w:line="360" w:lineRule="auto"/>
        <w:rPr>
          <w:rFonts w:ascii="Palatino Linotype" w:eastAsia="Palatino Linotype" w:hAnsi="Palatino Linotype" w:cs="Palatino Linotype"/>
          <w:color w:val="000000"/>
        </w:rPr>
      </w:pP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En ese sentido, 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xml:space="preserve"> deberá de emitir el Acuerdo del Comité de Transparencia, </w:t>
      </w:r>
      <w:r w:rsidRPr="00EF247A">
        <w:rPr>
          <w:rFonts w:ascii="Palatino Linotype" w:eastAsia="Palatino Linotype" w:hAnsi="Palatino Linotype" w:cs="Palatino Linotype"/>
          <w:color w:val="000000"/>
        </w:rPr>
        <w:t>mediante</w:t>
      </w:r>
      <w:r w:rsidRPr="00EF247A">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w:t>
      </w:r>
      <w:r w:rsidRPr="00EF247A">
        <w:rPr>
          <w:rFonts w:ascii="Palatino Linotype" w:eastAsia="Palatino Linotype" w:hAnsi="Palatino Linotype" w:cs="Palatino Linotype"/>
        </w:rPr>
        <w:lastRenderedPageBreak/>
        <w:t>incertidumbre, al no conocer o comprender porque no aparecen en la documentación respectiva.</w:t>
      </w:r>
    </w:p>
    <w:p w:rsidR="00CB4257" w:rsidRPr="00EF247A" w:rsidRDefault="00CB4257" w:rsidP="002D0153">
      <w:pPr>
        <w:tabs>
          <w:tab w:val="left" w:pos="284"/>
        </w:tabs>
        <w:spacing w:line="360" w:lineRule="auto"/>
        <w:jc w:val="both"/>
        <w:rPr>
          <w:rFonts w:ascii="Palatino Linotype" w:eastAsia="Palatino Linotype" w:hAnsi="Palatino Linotype" w:cs="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rPr>
        <w:t xml:space="preserve">Derivado de lo establecido en párrafos anteriores, si 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CB4257" w:rsidRPr="00EF247A" w:rsidRDefault="00CB4257" w:rsidP="002D0153">
      <w:pPr>
        <w:spacing w:line="360" w:lineRule="auto"/>
        <w:jc w:val="both"/>
        <w:rPr>
          <w:rFonts w:ascii="Palatino Linotype" w:hAnsi="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bookmarkStart w:id="9" w:name="_heading=h.4o2r9yy6u0n9" w:colFirst="0" w:colLast="0"/>
      <w:bookmarkEnd w:id="9"/>
      <w:r w:rsidRPr="00EF247A">
        <w:rPr>
          <w:rFonts w:ascii="Palatino Linotype" w:eastAsia="Palatino Linotype" w:hAnsi="Palatino Linotype" w:cs="Palatino Linotype"/>
        </w:rPr>
        <w:t xml:space="preserve">Por lo anteriormente expuesto, este Órgano Garante considera </w:t>
      </w:r>
      <w:r w:rsidRPr="00EF247A">
        <w:rPr>
          <w:rFonts w:ascii="Palatino Linotype" w:eastAsia="Palatino Linotype" w:hAnsi="Palatino Linotype" w:cs="Palatino Linotype"/>
          <w:b/>
        </w:rPr>
        <w:t>INFUNDADAS</w:t>
      </w:r>
      <w:r w:rsidRPr="00EF247A">
        <w:rPr>
          <w:rFonts w:ascii="Palatino Linotype" w:eastAsia="Palatino Linotype" w:hAnsi="Palatino Linotype" w:cs="Palatino Linotype"/>
        </w:rPr>
        <w:t xml:space="preserve"> las razones hechas valer en el recurso de revisión </w:t>
      </w:r>
      <w:r w:rsidRPr="00EF247A">
        <w:rPr>
          <w:rFonts w:ascii="Palatino Linotype" w:eastAsia="Palatino Linotype" w:hAnsi="Palatino Linotype" w:cs="Palatino Linotype"/>
          <w:b/>
        </w:rPr>
        <w:t>00538/INFOEM/IP/RR/2025</w:t>
      </w:r>
      <w:r w:rsidRPr="00EF247A">
        <w:rPr>
          <w:rFonts w:ascii="Palatino Linotype" w:eastAsia="Palatino Linotype" w:hAnsi="Palatino Linotype" w:cs="Palatino Linotype"/>
        </w:rPr>
        <w:t xml:space="preserve">, por lo que se </w:t>
      </w:r>
      <w:r w:rsidRPr="00EF247A">
        <w:rPr>
          <w:rFonts w:ascii="Palatino Linotype" w:eastAsia="Palatino Linotype" w:hAnsi="Palatino Linotype" w:cs="Palatino Linotype"/>
          <w:b/>
        </w:rPr>
        <w:t>CONFIRMA</w:t>
      </w:r>
      <w:r w:rsidRPr="00EF247A">
        <w:rPr>
          <w:rFonts w:ascii="Palatino Linotype" w:eastAsia="Palatino Linotype" w:hAnsi="Palatino Linotype" w:cs="Palatino Linotype"/>
        </w:rPr>
        <w:t xml:space="preserve"> la respuesta del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xml:space="preserve"> proporcionada a la solicitud de información </w:t>
      </w:r>
      <w:r w:rsidRPr="00EF247A">
        <w:rPr>
          <w:rFonts w:ascii="Palatino Linotype" w:eastAsia="Palatino Linotype" w:hAnsi="Palatino Linotype" w:cs="Palatino Linotype"/>
          <w:b/>
        </w:rPr>
        <w:t xml:space="preserve">00005/OASNAUCAL/IP/2025; </w:t>
      </w:r>
      <w:r w:rsidRPr="00EF247A">
        <w:rPr>
          <w:rFonts w:ascii="Palatino Linotype" w:eastAsia="Palatino Linotype" w:hAnsi="Palatino Linotype" w:cs="Palatino Linotype"/>
        </w:rPr>
        <w:t xml:space="preserve">y </w:t>
      </w:r>
      <w:r w:rsidRPr="00EF247A">
        <w:rPr>
          <w:rFonts w:ascii="Palatino Linotype" w:eastAsia="Palatino Linotype" w:hAnsi="Palatino Linotype" w:cs="Palatino Linotype"/>
          <w:b/>
        </w:rPr>
        <w:t xml:space="preserve">FUNDADAS, </w:t>
      </w:r>
      <w:r w:rsidRPr="00EF247A">
        <w:rPr>
          <w:rFonts w:ascii="Palatino Linotype" w:eastAsia="Palatino Linotype" w:hAnsi="Palatino Linotype" w:cs="Palatino Linotype"/>
        </w:rPr>
        <w:t xml:space="preserve">las razones hechas valer en el recurso de revisión </w:t>
      </w:r>
      <w:r w:rsidRPr="00EF247A">
        <w:rPr>
          <w:rFonts w:ascii="Palatino Linotype" w:eastAsia="Palatino Linotype" w:hAnsi="Palatino Linotype" w:cs="Palatino Linotype"/>
          <w:b/>
        </w:rPr>
        <w:t>01898/INFOEM/IP/RR/2025</w:t>
      </w:r>
      <w:r w:rsidRPr="00EF247A">
        <w:rPr>
          <w:rFonts w:ascii="Palatino Linotype" w:eastAsia="Palatino Linotype" w:hAnsi="Palatino Linotype" w:cs="Palatino Linotype"/>
        </w:rPr>
        <w:t xml:space="preserve">, por lo que se </w:t>
      </w:r>
      <w:r w:rsidRPr="00EF247A">
        <w:rPr>
          <w:rFonts w:ascii="Palatino Linotype" w:eastAsia="Palatino Linotype" w:hAnsi="Palatino Linotype" w:cs="Palatino Linotype"/>
          <w:b/>
        </w:rPr>
        <w:t>REVOCA</w:t>
      </w:r>
      <w:r w:rsidRPr="00EF247A">
        <w:rPr>
          <w:rFonts w:ascii="Palatino Linotype" w:eastAsia="Palatino Linotype" w:hAnsi="Palatino Linotype" w:cs="Palatino Linotype"/>
        </w:rPr>
        <w:t xml:space="preserve"> la respuesta del </w:t>
      </w:r>
      <w:r w:rsidRPr="00EF247A">
        <w:rPr>
          <w:rFonts w:ascii="Palatino Linotype" w:eastAsia="Palatino Linotype" w:hAnsi="Palatino Linotype" w:cs="Palatino Linotype"/>
          <w:b/>
        </w:rPr>
        <w:t xml:space="preserve">SUJETO OBLIGADO </w:t>
      </w:r>
      <w:r w:rsidRPr="00EF247A">
        <w:rPr>
          <w:rFonts w:ascii="Palatino Linotype" w:eastAsia="Palatino Linotype" w:hAnsi="Palatino Linotype" w:cs="Palatino Linotype"/>
        </w:rPr>
        <w:t>proporcionada a la solicitud de información</w:t>
      </w:r>
      <w:r w:rsidRPr="00EF247A">
        <w:rPr>
          <w:rFonts w:ascii="Palatino Linotype" w:eastAsia="Palatino Linotype" w:hAnsi="Palatino Linotype" w:cs="Palatino Linotype"/>
          <w:b/>
        </w:rPr>
        <w:t xml:space="preserve"> 00042/OASNAUCAL/IP/2025</w:t>
      </w:r>
      <w:r w:rsidRPr="00EF247A">
        <w:rPr>
          <w:rFonts w:ascii="Palatino Linotype" w:eastAsia="Palatino Linotype" w:hAnsi="Palatino Linotype" w:cs="Palatino Linotype"/>
        </w:rPr>
        <w:t>, y se</w:t>
      </w:r>
      <w:r w:rsidRPr="00EF247A">
        <w:rPr>
          <w:rFonts w:ascii="Palatino Linotype" w:eastAsia="Palatino Linotype" w:hAnsi="Palatino Linotype" w:cs="Palatino Linotype"/>
          <w:b/>
        </w:rPr>
        <w:t xml:space="preserve"> ORDENA</w:t>
      </w:r>
      <w:r w:rsidRPr="00EF247A">
        <w:rPr>
          <w:rFonts w:ascii="Palatino Linotype" w:eastAsia="Palatino Linotype" w:hAnsi="Palatino Linotype" w:cs="Palatino Linotype"/>
        </w:rPr>
        <w:t>, la entrega previa búsqueda exhaustiva y razonable, de ser el caso en versión pública, del documento en el que conste o se advierta el porcentaje o registro de la Macromedición y Micromedición que se ha obtenido, durante los años 2021, 2022, 2023 y 2024.</w:t>
      </w:r>
    </w:p>
    <w:p w:rsidR="00CB4257" w:rsidRPr="00EF247A" w:rsidRDefault="00CB4257" w:rsidP="002D0153">
      <w:pPr>
        <w:spacing w:line="360" w:lineRule="auto"/>
        <w:jc w:val="both"/>
        <w:rPr>
          <w:rFonts w:ascii="Palatino Linotype" w:hAnsi="Palatino Linotype"/>
          <w:color w:val="000000"/>
        </w:rPr>
      </w:pPr>
    </w:p>
    <w:p w:rsidR="00CB4257" w:rsidRPr="00EF247A" w:rsidRDefault="007B2F32" w:rsidP="002D0153">
      <w:pPr>
        <w:numPr>
          <w:ilvl w:val="0"/>
          <w:numId w:val="7"/>
        </w:numPr>
        <w:spacing w:line="360" w:lineRule="auto"/>
        <w:ind w:left="0" w:firstLine="0"/>
        <w:jc w:val="both"/>
        <w:rPr>
          <w:rFonts w:ascii="Palatino Linotype" w:eastAsia="Palatino Linotype" w:hAnsi="Palatino Linotype" w:cs="Palatino Linotype"/>
        </w:rPr>
      </w:pPr>
      <w:r w:rsidRPr="00EF247A">
        <w:rPr>
          <w:rFonts w:ascii="Palatino Linotype" w:eastAsia="Palatino Linotype" w:hAnsi="Palatino Linotype" w:cs="Palatino Linotype"/>
        </w:rPr>
        <w:lastRenderedPageBreak/>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CB4257" w:rsidRPr="00EF247A" w:rsidRDefault="00CB4257" w:rsidP="002D0153">
      <w:pPr>
        <w:rPr>
          <w:rFonts w:ascii="Palatino Linotype" w:eastAsia="Palatino Linotype" w:hAnsi="Palatino Linotype" w:cs="Palatino Linotype"/>
        </w:rPr>
      </w:pPr>
    </w:p>
    <w:p w:rsidR="00CB4257" w:rsidRPr="00EF247A" w:rsidRDefault="007B2F32" w:rsidP="002D0153">
      <w:pPr>
        <w:spacing w:line="360" w:lineRule="auto"/>
        <w:jc w:val="center"/>
        <w:rPr>
          <w:rFonts w:ascii="Palatino Linotype" w:eastAsia="Palatino Linotype" w:hAnsi="Palatino Linotype" w:cs="Palatino Linotype"/>
          <w:b/>
        </w:rPr>
      </w:pPr>
      <w:r w:rsidRPr="00EF247A">
        <w:rPr>
          <w:rFonts w:ascii="Palatino Linotype" w:eastAsia="Palatino Linotype" w:hAnsi="Palatino Linotype" w:cs="Palatino Linotype"/>
          <w:b/>
        </w:rPr>
        <w:t>R E S U E L V E</w:t>
      </w:r>
    </w:p>
    <w:p w:rsidR="00CB4257" w:rsidRPr="00EF247A" w:rsidRDefault="00CB4257" w:rsidP="002D0153">
      <w:pPr>
        <w:spacing w:line="360" w:lineRule="auto"/>
        <w:jc w:val="center"/>
        <w:rPr>
          <w:rFonts w:ascii="Palatino Linotype" w:eastAsia="Palatino Linotype" w:hAnsi="Palatino Linotype" w:cs="Palatino Linotype"/>
          <w:b/>
        </w:rPr>
      </w:pPr>
    </w:p>
    <w:p w:rsidR="00CB4257" w:rsidRPr="00EF247A" w:rsidRDefault="007B2F32" w:rsidP="002D0153">
      <w:pPr>
        <w:spacing w:line="360" w:lineRule="auto"/>
        <w:jc w:val="both"/>
        <w:rPr>
          <w:rFonts w:ascii="Palatino Linotype" w:eastAsia="Palatino Linotype" w:hAnsi="Palatino Linotype" w:cs="Palatino Linotype"/>
          <w:b/>
        </w:rPr>
      </w:pPr>
      <w:r w:rsidRPr="00EF247A">
        <w:rPr>
          <w:rFonts w:ascii="Palatino Linotype" w:eastAsia="Palatino Linotype" w:hAnsi="Palatino Linotype" w:cs="Palatino Linotype"/>
          <w:b/>
        </w:rPr>
        <w:t>PRIMERO</w:t>
      </w:r>
      <w:r w:rsidRPr="00EF247A">
        <w:rPr>
          <w:rFonts w:ascii="Palatino Linotype" w:eastAsia="Palatino Linotype" w:hAnsi="Palatino Linotype" w:cs="Palatino Linotype"/>
        </w:rPr>
        <w:t xml:space="preserve">. Resultan </w:t>
      </w:r>
      <w:r w:rsidRPr="00EF247A">
        <w:rPr>
          <w:rFonts w:ascii="Palatino Linotype" w:eastAsia="Palatino Linotype" w:hAnsi="Palatino Linotype" w:cs="Palatino Linotype"/>
          <w:b/>
        </w:rPr>
        <w:t>INFUNDADAS</w:t>
      </w:r>
      <w:r w:rsidRPr="00EF247A">
        <w:rPr>
          <w:rFonts w:ascii="Palatino Linotype" w:eastAsia="Palatino Linotype" w:hAnsi="Palatino Linotype" w:cs="Palatino Linotype"/>
        </w:rPr>
        <w:t xml:space="preserve"> las razones o motivos de inconformidad hechos valer en el recurso de revisión </w:t>
      </w:r>
      <w:r w:rsidRPr="00EF247A">
        <w:rPr>
          <w:rFonts w:ascii="Palatino Linotype" w:eastAsia="Palatino Linotype" w:hAnsi="Palatino Linotype" w:cs="Palatino Linotype"/>
          <w:b/>
        </w:rPr>
        <w:t>00538/INFOEM/IP/RR/2025</w:t>
      </w:r>
      <w:r w:rsidRPr="00EF247A">
        <w:rPr>
          <w:rFonts w:ascii="Palatino Linotype" w:eastAsia="Palatino Linotype" w:hAnsi="Palatino Linotype" w:cs="Palatino Linotype"/>
        </w:rPr>
        <w:t xml:space="preserve">, por lo que se </w:t>
      </w:r>
      <w:r w:rsidRPr="00EF247A">
        <w:rPr>
          <w:rFonts w:ascii="Palatino Linotype" w:eastAsia="Palatino Linotype" w:hAnsi="Palatino Linotype" w:cs="Palatino Linotype"/>
          <w:b/>
        </w:rPr>
        <w:t>CONFIRMA</w:t>
      </w:r>
      <w:r w:rsidRPr="00EF247A">
        <w:rPr>
          <w:rFonts w:ascii="Palatino Linotype" w:eastAsia="Palatino Linotype" w:hAnsi="Palatino Linotype" w:cs="Palatino Linotype"/>
        </w:rPr>
        <w:t xml:space="preserve"> la respuesta del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w:t>
      </w:r>
      <w:r w:rsidRPr="00EF247A">
        <w:rPr>
          <w:rFonts w:ascii="Palatino Linotype" w:eastAsia="Palatino Linotype" w:hAnsi="Palatino Linotype" w:cs="Palatino Linotype"/>
          <w:b/>
        </w:rPr>
        <w:t xml:space="preserve"> </w:t>
      </w:r>
      <w:r w:rsidRPr="00EF247A">
        <w:rPr>
          <w:rFonts w:ascii="Palatino Linotype" w:eastAsia="Palatino Linotype" w:hAnsi="Palatino Linotype" w:cs="Palatino Linotype"/>
        </w:rPr>
        <w:t xml:space="preserve">en términos del </w:t>
      </w:r>
      <w:r w:rsidRPr="00EF247A">
        <w:rPr>
          <w:rFonts w:ascii="Palatino Linotype" w:eastAsia="Palatino Linotype" w:hAnsi="Palatino Linotype" w:cs="Palatino Linotype"/>
          <w:b/>
        </w:rPr>
        <w:t>Considerando</w:t>
      </w:r>
      <w:r w:rsidRPr="00EF247A">
        <w:rPr>
          <w:rFonts w:ascii="Palatino Linotype" w:eastAsia="Palatino Linotype" w:hAnsi="Palatino Linotype" w:cs="Palatino Linotype"/>
        </w:rPr>
        <w:t xml:space="preserve"> </w:t>
      </w:r>
      <w:r w:rsidRPr="00EF247A">
        <w:rPr>
          <w:rFonts w:ascii="Palatino Linotype" w:eastAsia="Palatino Linotype" w:hAnsi="Palatino Linotype" w:cs="Palatino Linotype"/>
          <w:b/>
        </w:rPr>
        <w:t xml:space="preserve">CUARTO </w:t>
      </w:r>
      <w:r w:rsidRPr="00EF247A">
        <w:rPr>
          <w:rFonts w:ascii="Palatino Linotype" w:eastAsia="Palatino Linotype" w:hAnsi="Palatino Linotype" w:cs="Palatino Linotype"/>
        </w:rPr>
        <w:t>de la presente Resolución</w:t>
      </w:r>
      <w:r w:rsidRPr="00EF247A">
        <w:rPr>
          <w:rFonts w:ascii="Palatino Linotype" w:eastAsia="Palatino Linotype" w:hAnsi="Palatino Linotype" w:cs="Palatino Linotype"/>
          <w:b/>
        </w:rPr>
        <w:t>.</w:t>
      </w:r>
    </w:p>
    <w:p w:rsidR="00CB4257" w:rsidRPr="00EF247A" w:rsidRDefault="00CB4257" w:rsidP="002D0153">
      <w:pPr>
        <w:spacing w:line="360" w:lineRule="auto"/>
        <w:jc w:val="both"/>
        <w:rPr>
          <w:rFonts w:ascii="Palatino Linotype" w:eastAsia="Palatino Linotype" w:hAnsi="Palatino Linotype" w:cs="Palatino Linotype"/>
          <w:b/>
        </w:rPr>
      </w:pPr>
    </w:p>
    <w:p w:rsidR="00CB4257" w:rsidRPr="00EF247A" w:rsidRDefault="007B2F32" w:rsidP="002D0153">
      <w:pPr>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b/>
        </w:rPr>
        <w:t xml:space="preserve">SEGUNDO. </w:t>
      </w:r>
      <w:r w:rsidRPr="00EF247A">
        <w:rPr>
          <w:rFonts w:ascii="Palatino Linotype" w:eastAsia="Palatino Linotype" w:hAnsi="Palatino Linotype" w:cs="Palatino Linotype"/>
        </w:rPr>
        <w:t>Resultan</w:t>
      </w:r>
      <w:r w:rsidRPr="00EF247A">
        <w:rPr>
          <w:rFonts w:ascii="Palatino Linotype" w:eastAsia="Palatino Linotype" w:hAnsi="Palatino Linotype" w:cs="Palatino Linotype"/>
          <w:b/>
        </w:rPr>
        <w:t xml:space="preserve"> FUNDADAS</w:t>
      </w:r>
      <w:r w:rsidRPr="00EF247A">
        <w:rPr>
          <w:rFonts w:ascii="Palatino Linotype" w:eastAsia="Palatino Linotype" w:hAnsi="Palatino Linotype" w:cs="Palatino Linotype"/>
        </w:rPr>
        <w:t xml:space="preserve"> las razones o motivos de inconformidad hechos valer en el Recurso de Revisión </w:t>
      </w:r>
      <w:r w:rsidRPr="00EF247A">
        <w:rPr>
          <w:rFonts w:ascii="Palatino Linotype" w:eastAsia="Palatino Linotype" w:hAnsi="Palatino Linotype" w:cs="Palatino Linotype"/>
          <w:b/>
        </w:rPr>
        <w:t>01898/INFOEM/IP/RR/2025</w:t>
      </w:r>
      <w:r w:rsidRPr="00EF247A">
        <w:rPr>
          <w:rFonts w:ascii="Palatino Linotype" w:eastAsia="Palatino Linotype" w:hAnsi="Palatino Linotype" w:cs="Palatino Linotype"/>
          <w:b/>
          <w:color w:val="000000"/>
        </w:rPr>
        <w:t xml:space="preserve">, </w:t>
      </w:r>
      <w:r w:rsidRPr="00EF247A">
        <w:rPr>
          <w:rFonts w:ascii="Palatino Linotype" w:eastAsia="Palatino Linotype" w:hAnsi="Palatino Linotype" w:cs="Palatino Linotype"/>
        </w:rPr>
        <w:t xml:space="preserve">en términos del </w:t>
      </w:r>
      <w:r w:rsidRPr="00EF247A">
        <w:rPr>
          <w:rFonts w:ascii="Palatino Linotype" w:eastAsia="Palatino Linotype" w:hAnsi="Palatino Linotype" w:cs="Palatino Linotype"/>
          <w:b/>
        </w:rPr>
        <w:t>Considerando</w:t>
      </w:r>
      <w:r w:rsidRPr="00EF247A">
        <w:rPr>
          <w:rFonts w:ascii="Palatino Linotype" w:eastAsia="Palatino Linotype" w:hAnsi="Palatino Linotype" w:cs="Palatino Linotype"/>
        </w:rPr>
        <w:t xml:space="preserve"> </w:t>
      </w:r>
      <w:r w:rsidRPr="00EF247A">
        <w:rPr>
          <w:rFonts w:ascii="Palatino Linotype" w:eastAsia="Palatino Linotype" w:hAnsi="Palatino Linotype" w:cs="Palatino Linotype"/>
          <w:b/>
        </w:rPr>
        <w:t xml:space="preserve">CUARTO </w:t>
      </w:r>
      <w:r w:rsidRPr="00EF247A">
        <w:rPr>
          <w:rFonts w:ascii="Palatino Linotype" w:eastAsia="Palatino Linotype" w:hAnsi="Palatino Linotype" w:cs="Palatino Linotype"/>
        </w:rPr>
        <w:t>de la presente Resolución.</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b/>
        </w:rPr>
        <w:t>TERCERO</w:t>
      </w:r>
      <w:r w:rsidRPr="00EF247A">
        <w:rPr>
          <w:rFonts w:ascii="Palatino Linotype" w:eastAsia="Palatino Linotype" w:hAnsi="Palatino Linotype" w:cs="Palatino Linotype"/>
        </w:rPr>
        <w:t>.</w:t>
      </w:r>
      <w:r w:rsidRPr="00EF247A">
        <w:rPr>
          <w:rFonts w:ascii="Palatino Linotype" w:eastAsia="Palatino Linotype" w:hAnsi="Palatino Linotype" w:cs="Palatino Linotype"/>
          <w:color w:val="000000"/>
        </w:rPr>
        <w:t xml:space="preserve"> Se </w:t>
      </w:r>
      <w:r w:rsidRPr="00EF247A">
        <w:rPr>
          <w:rFonts w:ascii="Palatino Linotype" w:eastAsia="Palatino Linotype" w:hAnsi="Palatino Linotype" w:cs="Palatino Linotype"/>
          <w:b/>
          <w:color w:val="000000"/>
        </w:rPr>
        <w:t>REVOCA</w:t>
      </w:r>
      <w:r w:rsidRPr="00EF247A">
        <w:rPr>
          <w:rFonts w:ascii="Palatino Linotype" w:eastAsia="Palatino Linotype" w:hAnsi="Palatino Linotype" w:cs="Palatino Linotype"/>
          <w:color w:val="000000"/>
        </w:rPr>
        <w:t xml:space="preserve"> la respuesta emitida por el </w:t>
      </w:r>
      <w:r w:rsidRPr="00EF247A">
        <w:rPr>
          <w:rFonts w:ascii="Palatino Linotype" w:eastAsia="Palatino Linotype" w:hAnsi="Palatino Linotype" w:cs="Palatino Linotype"/>
          <w:b/>
          <w:color w:val="000000"/>
        </w:rPr>
        <w:t xml:space="preserve">SUJETO OBLIGADO </w:t>
      </w:r>
      <w:r w:rsidRPr="00EF247A">
        <w:rPr>
          <w:rFonts w:ascii="Palatino Linotype" w:eastAsia="Palatino Linotype" w:hAnsi="Palatino Linotype" w:cs="Palatino Linotype"/>
          <w:color w:val="000000"/>
        </w:rPr>
        <w:t xml:space="preserve">a la solicitud de </w:t>
      </w:r>
      <w:r w:rsidRPr="00EF247A">
        <w:rPr>
          <w:rFonts w:ascii="Palatino Linotype" w:eastAsia="Palatino Linotype" w:hAnsi="Palatino Linotype" w:cs="Palatino Linotype"/>
        </w:rPr>
        <w:t>información</w:t>
      </w:r>
      <w:r w:rsidRPr="00EF247A">
        <w:rPr>
          <w:rFonts w:ascii="Palatino Linotype" w:eastAsia="Palatino Linotype" w:hAnsi="Palatino Linotype" w:cs="Palatino Linotype"/>
          <w:color w:val="000000"/>
        </w:rPr>
        <w:t xml:space="preserve"> </w:t>
      </w:r>
      <w:r w:rsidRPr="00EF247A">
        <w:rPr>
          <w:rFonts w:ascii="Palatino Linotype" w:eastAsia="Palatino Linotype" w:hAnsi="Palatino Linotype" w:cs="Palatino Linotype"/>
          <w:b/>
          <w:color w:val="000000"/>
        </w:rPr>
        <w:t>00042/OASNAUCAL/IP/2025,</w:t>
      </w:r>
      <w:r w:rsidRPr="00EF247A">
        <w:rPr>
          <w:rFonts w:ascii="Palatino Linotype" w:eastAsia="Palatino Linotype" w:hAnsi="Palatino Linotype" w:cs="Palatino Linotype"/>
          <w:color w:val="000000"/>
        </w:rPr>
        <w:t xml:space="preserve"> y se </w:t>
      </w:r>
      <w:r w:rsidRPr="00EF247A">
        <w:rPr>
          <w:rFonts w:ascii="Palatino Linotype" w:eastAsia="Palatino Linotype" w:hAnsi="Palatino Linotype" w:cs="Palatino Linotype"/>
          <w:b/>
          <w:color w:val="000000"/>
        </w:rPr>
        <w:t>ORDENA</w:t>
      </w:r>
      <w:r w:rsidRPr="00EF247A">
        <w:rPr>
          <w:rFonts w:ascii="Palatino Linotype" w:eastAsia="Palatino Linotype" w:hAnsi="Palatino Linotype" w:cs="Palatino Linotype"/>
          <w:color w:val="000000"/>
        </w:rPr>
        <w:t xml:space="preserve"> entregar vía Sistema de Acceso a la Información Mexiquense </w:t>
      </w:r>
      <w:r w:rsidRPr="00EF247A">
        <w:rPr>
          <w:rFonts w:ascii="Palatino Linotype" w:eastAsia="Palatino Linotype" w:hAnsi="Palatino Linotype" w:cs="Palatino Linotype"/>
          <w:b/>
          <w:color w:val="000000"/>
        </w:rPr>
        <w:t>(SAIMEX)</w:t>
      </w:r>
      <w:r w:rsidRPr="00EF247A">
        <w:rPr>
          <w:rFonts w:ascii="Palatino Linotype" w:eastAsia="Palatino Linotype" w:hAnsi="Palatino Linotype" w:cs="Palatino Linotype"/>
        </w:rPr>
        <w:t>, previa búsqueda exhaustiva y razonable, de ser el caso en versión pública, la siguiente información:</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b/>
          <w:color w:val="000000"/>
        </w:rPr>
        <w:t>Documento en el que conste o se advierta el porcentaje o registro de la Macromedición y Micromedición que se ha obtenido, durante los años 2021, 2022, 2023 y 2024.</w:t>
      </w:r>
    </w:p>
    <w:p w:rsidR="00CB4257" w:rsidRPr="00EF247A" w:rsidRDefault="00CB4257" w:rsidP="002D0153">
      <w:pPr>
        <w:spacing w:line="360" w:lineRule="auto"/>
        <w:jc w:val="both"/>
        <w:rPr>
          <w:rFonts w:ascii="Palatino Linotype" w:eastAsia="Palatino Linotype" w:hAnsi="Palatino Linotype" w:cs="Palatino Linotype"/>
          <w:b/>
        </w:rPr>
      </w:pPr>
      <w:bookmarkStart w:id="10" w:name="_heading=h.1ksv4uv" w:colFirst="0" w:colLast="0"/>
      <w:bookmarkEnd w:id="10"/>
    </w:p>
    <w:p w:rsidR="00CB4257" w:rsidRPr="00EF247A" w:rsidRDefault="007B2F32" w:rsidP="002D0153">
      <w:pPr>
        <w:tabs>
          <w:tab w:val="left" w:pos="8080"/>
        </w:tabs>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F247A">
        <w:rPr>
          <w:rFonts w:ascii="Palatino Linotype" w:eastAsia="Palatino Linotype" w:hAnsi="Palatino Linotype" w:cs="Palatino Linotype"/>
          <w:b/>
        </w:rPr>
        <w:t>RECURRENTE.</w:t>
      </w:r>
    </w:p>
    <w:p w:rsidR="00CB4257" w:rsidRPr="00EF247A" w:rsidRDefault="00CB4257" w:rsidP="002D0153">
      <w:pPr>
        <w:spacing w:line="360" w:lineRule="auto"/>
        <w:jc w:val="both"/>
        <w:rPr>
          <w:rFonts w:ascii="Palatino Linotype" w:eastAsia="Palatino Linotype" w:hAnsi="Palatino Linotype" w:cs="Palatino Linotype"/>
          <w:b/>
        </w:rPr>
      </w:pPr>
    </w:p>
    <w:p w:rsidR="00CB4257" w:rsidRPr="00EF247A" w:rsidRDefault="007B2F32" w:rsidP="002D0153">
      <w:pPr>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b/>
        </w:rPr>
        <w:t xml:space="preserve">CUARTO. </w:t>
      </w:r>
      <w:r w:rsidRPr="00EF247A">
        <w:rPr>
          <w:rFonts w:ascii="Palatino Linotype" w:eastAsia="Palatino Linotype" w:hAnsi="Palatino Linotype" w:cs="Palatino Linotype"/>
          <w:b/>
          <w:color w:val="222222"/>
        </w:rPr>
        <w:t>NOTIFÍQUESE</w:t>
      </w:r>
      <w:r w:rsidRPr="00EF247A">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F247A">
        <w:rPr>
          <w:rFonts w:ascii="Palatino Linotype" w:eastAsia="Palatino Linotype" w:hAnsi="Palatino Linotype" w:cs="Palatino Linotype"/>
          <w:b/>
          <w:color w:val="222222"/>
        </w:rPr>
        <w:t xml:space="preserve">dé cumplimiento a lo ordenado dentro del plazo </w:t>
      </w:r>
      <w:r w:rsidRPr="00EF247A">
        <w:rPr>
          <w:rFonts w:ascii="Palatino Linotype" w:eastAsia="Palatino Linotype" w:hAnsi="Palatino Linotype" w:cs="Palatino Linotype"/>
        </w:rPr>
        <w:t>de</w:t>
      </w:r>
      <w:r w:rsidRPr="00EF247A">
        <w:rPr>
          <w:rFonts w:ascii="Palatino Linotype" w:eastAsia="Palatino Linotype" w:hAnsi="Palatino Linotype" w:cs="Palatino Linotype"/>
          <w:b/>
          <w:color w:val="222222"/>
        </w:rPr>
        <w:t xml:space="preserve"> diez días hábiles, </w:t>
      </w:r>
      <w:r w:rsidRPr="00EF247A">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spacing w:line="360" w:lineRule="auto"/>
        <w:jc w:val="both"/>
        <w:rPr>
          <w:rFonts w:ascii="Palatino Linotype" w:eastAsia="Palatino Linotype" w:hAnsi="Palatino Linotype" w:cs="Palatino Linotype"/>
        </w:rPr>
      </w:pPr>
      <w:bookmarkStart w:id="11" w:name="_heading=h.3rdcrjn" w:colFirst="0" w:colLast="0"/>
      <w:bookmarkEnd w:id="11"/>
      <w:r w:rsidRPr="00EF247A">
        <w:rPr>
          <w:rFonts w:ascii="Palatino Linotype" w:eastAsia="Palatino Linotype" w:hAnsi="Palatino Linotype" w:cs="Palatino Linotype"/>
          <w:b/>
        </w:rPr>
        <w:t xml:space="preserve">QUINTO. </w:t>
      </w:r>
      <w:r w:rsidRPr="00EF247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EF247A">
        <w:rPr>
          <w:rFonts w:ascii="Palatino Linotype" w:eastAsia="Palatino Linotype" w:hAnsi="Palatino Linotype" w:cs="Palatino Linotype"/>
          <w:b/>
        </w:rPr>
        <w:t>SUJETO OBLIGADO</w:t>
      </w:r>
      <w:r w:rsidRPr="00EF247A">
        <w:rPr>
          <w:rFonts w:ascii="Palatino Linotype" w:eastAsia="Palatino Linotype" w:hAnsi="Palatino Linotype" w:cs="Palatino Linotype"/>
        </w:rPr>
        <w:t xml:space="preserve"> de manera fundada y motivada, podrá solicitar una ampliación de plazo para el cumplimiento de la presente resolución.</w:t>
      </w:r>
    </w:p>
    <w:p w:rsidR="00CB4257" w:rsidRPr="00EF247A" w:rsidRDefault="00CB4257" w:rsidP="002D0153">
      <w:pPr>
        <w:spacing w:line="360" w:lineRule="auto"/>
        <w:jc w:val="both"/>
        <w:rPr>
          <w:rFonts w:ascii="Palatino Linotype" w:eastAsia="Palatino Linotype" w:hAnsi="Palatino Linotype" w:cs="Palatino Linotype"/>
        </w:rPr>
      </w:pPr>
    </w:p>
    <w:p w:rsidR="00CB4257" w:rsidRPr="00EF247A" w:rsidRDefault="007B2F32" w:rsidP="002D0153">
      <w:pPr>
        <w:spacing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b/>
        </w:rPr>
        <w:t xml:space="preserve">SEXTO. </w:t>
      </w:r>
      <w:r w:rsidRPr="00EF247A">
        <w:rPr>
          <w:rFonts w:ascii="Palatino Linotype" w:eastAsia="Palatino Linotype" w:hAnsi="Palatino Linotype" w:cs="Palatino Linotype"/>
        </w:rPr>
        <w:t>Notifíquese</w:t>
      </w:r>
      <w:r w:rsidRPr="00EF247A">
        <w:rPr>
          <w:rFonts w:ascii="Palatino Linotype" w:eastAsia="Palatino Linotype" w:hAnsi="Palatino Linotype" w:cs="Palatino Linotype"/>
          <w:b/>
          <w:color w:val="222222"/>
        </w:rPr>
        <w:t xml:space="preserve"> </w:t>
      </w:r>
      <w:r w:rsidRPr="00EF247A">
        <w:rPr>
          <w:rFonts w:ascii="Palatino Linotype" w:eastAsia="Palatino Linotype" w:hAnsi="Palatino Linotype" w:cs="Palatino Linotype"/>
          <w:color w:val="222222"/>
        </w:rPr>
        <w:t xml:space="preserve">a </w:t>
      </w:r>
      <w:r w:rsidRPr="00EF247A">
        <w:rPr>
          <w:rFonts w:ascii="Palatino Linotype" w:eastAsia="Palatino Linotype" w:hAnsi="Palatino Linotype" w:cs="Palatino Linotype"/>
          <w:b/>
          <w:color w:val="222222"/>
        </w:rPr>
        <w:t>EL RECURRENTE</w:t>
      </w:r>
      <w:r w:rsidRPr="00EF247A">
        <w:rPr>
          <w:rFonts w:ascii="Palatino Linotype" w:eastAsia="Palatino Linotype" w:hAnsi="Palatino Linotype" w:cs="Palatino Linotype"/>
          <w:color w:val="222222"/>
        </w:rPr>
        <w:t xml:space="preserve"> la presente resolución vía SAIMEX</w:t>
      </w:r>
      <w:r w:rsidRPr="00EF247A">
        <w:rPr>
          <w:rFonts w:ascii="Palatino Linotype" w:eastAsia="Palatino Linotype" w:hAnsi="Palatino Linotype" w:cs="Palatino Linotype"/>
        </w:rPr>
        <w:t>.</w:t>
      </w:r>
    </w:p>
    <w:p w:rsidR="00CB4257" w:rsidRPr="00EF247A" w:rsidRDefault="00CB4257" w:rsidP="002D0153">
      <w:pPr>
        <w:tabs>
          <w:tab w:val="left" w:pos="8080"/>
        </w:tabs>
        <w:spacing w:line="360" w:lineRule="auto"/>
        <w:jc w:val="both"/>
        <w:rPr>
          <w:rFonts w:ascii="Palatino Linotype" w:eastAsia="Palatino Linotype" w:hAnsi="Palatino Linotype" w:cs="Palatino Linotype"/>
        </w:rPr>
      </w:pPr>
    </w:p>
    <w:p w:rsidR="00CB4257" w:rsidRPr="00EF247A" w:rsidRDefault="007B2F32" w:rsidP="002D0153">
      <w:pPr>
        <w:spacing w:line="360" w:lineRule="auto"/>
        <w:jc w:val="both"/>
        <w:rPr>
          <w:rFonts w:ascii="Palatino Linotype" w:eastAsia="Palatino Linotype" w:hAnsi="Palatino Linotype" w:cs="Palatino Linotype"/>
          <w:color w:val="000000"/>
        </w:rPr>
      </w:pPr>
      <w:r w:rsidRPr="00EF247A">
        <w:rPr>
          <w:rFonts w:ascii="Palatino Linotype" w:eastAsia="Palatino Linotype" w:hAnsi="Palatino Linotype" w:cs="Palatino Linotype"/>
          <w:b/>
        </w:rPr>
        <w:t xml:space="preserve">SÉPTIMO. </w:t>
      </w:r>
      <w:r w:rsidRPr="00EF247A">
        <w:rPr>
          <w:rFonts w:ascii="Palatino Linotype" w:eastAsia="Palatino Linotype" w:hAnsi="Palatino Linotype" w:cs="Palatino Linotype"/>
          <w:color w:val="000000"/>
        </w:rPr>
        <w:t xml:space="preserve">Se hace del conocimiento de </w:t>
      </w:r>
      <w:r w:rsidRPr="00EF247A">
        <w:rPr>
          <w:rFonts w:ascii="Palatino Linotype" w:eastAsia="Palatino Linotype" w:hAnsi="Palatino Linotype" w:cs="Palatino Linotype"/>
          <w:b/>
          <w:color w:val="000000"/>
        </w:rPr>
        <w:t>EL RECURRENTE</w:t>
      </w:r>
      <w:r w:rsidRPr="00EF247A">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w:t>
      </w:r>
      <w:r w:rsidRPr="00EF247A">
        <w:rPr>
          <w:rFonts w:ascii="Palatino Linotype" w:eastAsia="Palatino Linotype" w:hAnsi="Palatino Linotype" w:cs="Palatino Linotype"/>
        </w:rPr>
        <w:t>México</w:t>
      </w:r>
      <w:r w:rsidRPr="00EF247A">
        <w:rPr>
          <w:rFonts w:ascii="Palatino Linotype" w:eastAsia="Palatino Linotype" w:hAnsi="Palatino Linotype" w:cs="Palatino Linotype"/>
          <w:color w:val="000000"/>
        </w:rPr>
        <w:t xml:space="preserve"> y Municipios, en caso de que considere que la resolución le cause algún perjuicio podrá </w:t>
      </w:r>
      <w:r w:rsidRPr="00EF247A">
        <w:rPr>
          <w:rFonts w:ascii="Palatino Linotype" w:eastAsia="Palatino Linotype" w:hAnsi="Palatino Linotype" w:cs="Palatino Linotype"/>
        </w:rPr>
        <w:t>impugnar vía</w:t>
      </w:r>
      <w:r w:rsidRPr="00EF247A">
        <w:rPr>
          <w:rFonts w:ascii="Palatino Linotype" w:eastAsia="Palatino Linotype" w:hAnsi="Palatino Linotype" w:cs="Palatino Linotype"/>
          <w:color w:val="000000"/>
        </w:rPr>
        <w:t xml:space="preserve"> juicio de amparo en los términos de las leyes aplicables.</w:t>
      </w:r>
    </w:p>
    <w:p w:rsidR="00377753" w:rsidRPr="00EF247A" w:rsidRDefault="00377753" w:rsidP="002D0153">
      <w:pPr>
        <w:spacing w:line="360" w:lineRule="auto"/>
        <w:jc w:val="both"/>
        <w:rPr>
          <w:rFonts w:ascii="Palatino Linotype" w:eastAsia="Palatino Linotype" w:hAnsi="Palatino Linotype" w:cs="Palatino Linotype"/>
          <w:b/>
        </w:rPr>
      </w:pPr>
    </w:p>
    <w:p w:rsidR="00CB4257" w:rsidRPr="002D0153" w:rsidRDefault="00377753" w:rsidP="002D0153">
      <w:pPr>
        <w:spacing w:before="240" w:after="240" w:line="360" w:lineRule="auto"/>
        <w:jc w:val="both"/>
        <w:rPr>
          <w:rFonts w:ascii="Palatino Linotype" w:eastAsia="Palatino Linotype" w:hAnsi="Palatino Linotype" w:cs="Palatino Linotype"/>
        </w:rPr>
      </w:pPr>
      <w:r w:rsidRPr="00EF247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F247A" w:rsidRPr="00EF247A">
        <w:rPr>
          <w:rFonts w:ascii="Palatino Linotype" w:eastAsia="Palatino Linotype" w:hAnsi="Palatino Linotype" w:cs="Palatino Linotype"/>
        </w:rPr>
        <w:t xml:space="preserve"> (AUSENCIA JUSTIFICADA)</w:t>
      </w:r>
      <w:r w:rsidRPr="00EF247A">
        <w:rPr>
          <w:rFonts w:ascii="Palatino Linotype" w:eastAsia="Palatino Linotype" w:hAnsi="Palatino Linotype" w:cs="Palatino Linotype"/>
        </w:rPr>
        <w:t>, LUIS GUSTAVO PARRA NORIEGA Y GUADALUPE RAMÍREZ PEÑA</w:t>
      </w:r>
      <w:r w:rsidR="00EF247A" w:rsidRPr="00EF247A">
        <w:rPr>
          <w:rFonts w:ascii="Palatino Linotype" w:eastAsia="Palatino Linotype" w:hAnsi="Palatino Linotype" w:cs="Palatino Linotype"/>
        </w:rPr>
        <w:t xml:space="preserve"> (AUSENCIA JUSTIFICADA)</w:t>
      </w:r>
      <w:r w:rsidRPr="00EF247A">
        <w:rPr>
          <w:rFonts w:ascii="Palatino Linotype" w:eastAsia="Palatino Linotype" w:hAnsi="Palatino Linotype" w:cs="Palatino Linotype"/>
        </w:rPr>
        <w:t xml:space="preserve">; EN LA DÉCIMA SEXTA SESIÓN ORDINARIA, CELEBRADA EL OCHO </w:t>
      </w:r>
      <w:r w:rsidRPr="00EF247A">
        <w:rPr>
          <w:rFonts w:ascii="Palatino Linotype" w:eastAsia="Palatino Linotype" w:hAnsi="Palatino Linotype" w:cs="Palatino Linotype"/>
        </w:rPr>
        <w:lastRenderedPageBreak/>
        <w:t>(08) DE MAYO DE DOS MIL VEINTICINCO, ANTE EL SECRETARIO TÉCNICO DEL PLENO ALEXIS TAPIA RAMÍREZ.</w:t>
      </w: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jc w:val="both"/>
        <w:rPr>
          <w:rFonts w:ascii="Palatino Linotype" w:eastAsia="Palatino Linotype" w:hAnsi="Palatino Linotype" w:cs="Palatino Linotype"/>
        </w:rPr>
      </w:pPr>
    </w:p>
    <w:p w:rsidR="00CB4257" w:rsidRPr="002D0153" w:rsidRDefault="00CB4257" w:rsidP="002D0153">
      <w:pPr>
        <w:spacing w:line="360" w:lineRule="auto"/>
        <w:rPr>
          <w:rFonts w:ascii="Palatino Linotype" w:eastAsia="Palatino Linotype" w:hAnsi="Palatino Linotype" w:cs="Palatino Linotype"/>
        </w:rPr>
      </w:pPr>
    </w:p>
    <w:p w:rsidR="00CB4257" w:rsidRPr="002D0153" w:rsidRDefault="00CB4257" w:rsidP="002D0153">
      <w:pPr>
        <w:spacing w:line="360" w:lineRule="auto"/>
        <w:rPr>
          <w:rFonts w:ascii="Palatino Linotype" w:eastAsia="Palatino Linotype" w:hAnsi="Palatino Linotype" w:cs="Palatino Linotype"/>
        </w:rPr>
      </w:pPr>
    </w:p>
    <w:p w:rsidR="00CB4257" w:rsidRPr="002D0153" w:rsidRDefault="00CB4257" w:rsidP="002D0153">
      <w:pPr>
        <w:spacing w:line="360" w:lineRule="auto"/>
        <w:rPr>
          <w:rFonts w:ascii="Palatino Linotype" w:eastAsia="Palatino Linotype" w:hAnsi="Palatino Linotype" w:cs="Palatino Linotype"/>
        </w:rPr>
      </w:pPr>
    </w:p>
    <w:p w:rsidR="00CB4257" w:rsidRPr="002D0153" w:rsidRDefault="00CB4257" w:rsidP="002D0153">
      <w:pPr>
        <w:tabs>
          <w:tab w:val="left" w:pos="3374"/>
        </w:tabs>
        <w:spacing w:line="360" w:lineRule="auto"/>
        <w:rPr>
          <w:rFonts w:ascii="Palatino Linotype" w:eastAsia="Palatino Linotype" w:hAnsi="Palatino Linotype" w:cs="Palatino Linotype"/>
        </w:rPr>
      </w:pPr>
      <w:bookmarkStart w:id="12" w:name="_heading=h.lnxbz9" w:colFirst="0" w:colLast="0"/>
      <w:bookmarkEnd w:id="12"/>
    </w:p>
    <w:p w:rsidR="00CB4257" w:rsidRPr="002D0153" w:rsidRDefault="00CB4257" w:rsidP="002D0153">
      <w:pPr>
        <w:tabs>
          <w:tab w:val="left" w:pos="3374"/>
        </w:tabs>
        <w:spacing w:line="360" w:lineRule="auto"/>
        <w:rPr>
          <w:rFonts w:ascii="Palatino Linotype" w:eastAsia="Palatino Linotype" w:hAnsi="Palatino Linotype" w:cs="Palatino Linotype"/>
        </w:rPr>
      </w:pPr>
    </w:p>
    <w:p w:rsidR="00CB4257" w:rsidRPr="002D0153" w:rsidRDefault="00CB4257" w:rsidP="002D0153">
      <w:pPr>
        <w:tabs>
          <w:tab w:val="left" w:pos="3374"/>
        </w:tabs>
        <w:spacing w:line="360" w:lineRule="auto"/>
        <w:rPr>
          <w:rFonts w:ascii="Palatino Linotype" w:eastAsia="Palatino Linotype" w:hAnsi="Palatino Linotype" w:cs="Palatino Linotype"/>
        </w:rPr>
      </w:pPr>
    </w:p>
    <w:sectPr w:rsidR="00CB4257" w:rsidRPr="002D0153" w:rsidSect="002D0153">
      <w:headerReference w:type="even" r:id="rId10"/>
      <w:headerReference w:type="default" r:id="rId11"/>
      <w:footerReference w:type="default" r:id="rId12"/>
      <w:headerReference w:type="first" r:id="rId13"/>
      <w:footerReference w:type="first" r:id="rId14"/>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E2A" w:rsidRDefault="00940E2A">
      <w:r>
        <w:separator/>
      </w:r>
    </w:p>
  </w:endnote>
  <w:endnote w:type="continuationSeparator" w:id="0">
    <w:p w:rsidR="00940E2A" w:rsidRDefault="0094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57" w:rsidRDefault="007B2F3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E6CE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E6CED">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CB4257" w:rsidRDefault="00CB425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57" w:rsidRDefault="007B2F3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E6CE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E6CED">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CB4257" w:rsidRDefault="00CB425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E2A" w:rsidRDefault="00940E2A">
      <w:r>
        <w:separator/>
      </w:r>
    </w:p>
  </w:footnote>
  <w:footnote w:type="continuationSeparator" w:id="0">
    <w:p w:rsidR="00940E2A" w:rsidRDefault="00940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57" w:rsidRDefault="00940E2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57" w:rsidRDefault="00CB4257">
    <w:pPr>
      <w:widowControl w:val="0"/>
      <w:pBdr>
        <w:top w:val="nil"/>
        <w:left w:val="nil"/>
        <w:bottom w:val="nil"/>
        <w:right w:val="nil"/>
        <w:between w:val="nil"/>
      </w:pBdr>
      <w:spacing w:line="276" w:lineRule="auto"/>
      <w:rPr>
        <w:color w:val="000000"/>
      </w:rPr>
    </w:pPr>
  </w:p>
  <w:tbl>
    <w:tblPr>
      <w:tblStyle w:val="a9"/>
      <w:tblW w:w="6945" w:type="dxa"/>
      <w:tblInd w:w="2977" w:type="dxa"/>
      <w:tblLayout w:type="fixed"/>
      <w:tblLook w:val="0400" w:firstRow="0" w:lastRow="0" w:firstColumn="0" w:lastColumn="0" w:noHBand="0" w:noVBand="1"/>
    </w:tblPr>
    <w:tblGrid>
      <w:gridCol w:w="2693"/>
      <w:gridCol w:w="4252"/>
    </w:tblGrid>
    <w:tr w:rsidR="00CB4257" w:rsidRPr="002D0153" w:rsidTr="002D0153">
      <w:trPr>
        <w:trHeight w:val="227"/>
      </w:trPr>
      <w:tc>
        <w:tcPr>
          <w:tcW w:w="2693" w:type="dxa"/>
        </w:tcPr>
        <w:p w:rsidR="00CB4257" w:rsidRPr="002D0153" w:rsidRDefault="007B2F32">
          <w:pPr>
            <w:jc w:val="right"/>
            <w:rPr>
              <w:rFonts w:ascii="Palatino Linotype" w:eastAsia="Palatino Linotype" w:hAnsi="Palatino Linotype" w:cs="Palatino Linotype"/>
              <w:b/>
            </w:rPr>
          </w:pPr>
          <w:r w:rsidRPr="002D0153">
            <w:rPr>
              <w:rFonts w:ascii="Palatino Linotype" w:eastAsia="Palatino Linotype" w:hAnsi="Palatino Linotype" w:cs="Palatino Linotype"/>
              <w:b/>
            </w:rPr>
            <w:t>Recurso de Revisión:</w:t>
          </w:r>
        </w:p>
      </w:tc>
      <w:tc>
        <w:tcPr>
          <w:tcW w:w="4252" w:type="dxa"/>
        </w:tcPr>
        <w:p w:rsidR="00CB4257" w:rsidRPr="002D0153" w:rsidRDefault="007B2F32" w:rsidP="002D0153">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2D0153">
            <w:rPr>
              <w:rFonts w:ascii="Palatino Linotype" w:eastAsia="Palatino Linotype" w:hAnsi="Palatino Linotype" w:cs="Palatino Linotype"/>
              <w:color w:val="000000"/>
            </w:rPr>
            <w:t xml:space="preserve">00538/INFOEM/IP/RR/2025 y </w:t>
          </w:r>
          <w:r w:rsidRPr="002D0153">
            <w:rPr>
              <w:rFonts w:ascii="Palatino Linotype" w:eastAsia="Palatino Linotype" w:hAnsi="Palatino Linotype" w:cs="Palatino Linotype"/>
            </w:rPr>
            <w:t>A</w:t>
          </w:r>
          <w:r w:rsidRPr="002D0153">
            <w:rPr>
              <w:rFonts w:ascii="Palatino Linotype" w:eastAsia="Palatino Linotype" w:hAnsi="Palatino Linotype" w:cs="Palatino Linotype"/>
              <w:color w:val="000000"/>
            </w:rPr>
            <w:t>cumulado</w:t>
          </w:r>
        </w:p>
      </w:tc>
    </w:tr>
    <w:tr w:rsidR="00CB4257" w:rsidRPr="002D0153" w:rsidTr="002D0153">
      <w:trPr>
        <w:trHeight w:val="342"/>
      </w:trPr>
      <w:tc>
        <w:tcPr>
          <w:tcW w:w="2693" w:type="dxa"/>
        </w:tcPr>
        <w:p w:rsidR="00CB4257" w:rsidRPr="002D0153" w:rsidRDefault="007B2F32">
          <w:pPr>
            <w:jc w:val="right"/>
            <w:rPr>
              <w:rFonts w:ascii="Palatino Linotype" w:eastAsia="Palatino Linotype" w:hAnsi="Palatino Linotype" w:cs="Palatino Linotype"/>
              <w:b/>
            </w:rPr>
          </w:pPr>
          <w:r w:rsidRPr="002D0153">
            <w:rPr>
              <w:rFonts w:ascii="Palatino Linotype" w:eastAsia="Palatino Linotype" w:hAnsi="Palatino Linotype" w:cs="Palatino Linotype"/>
              <w:b/>
            </w:rPr>
            <w:t>Sujeto Obligado:</w:t>
          </w:r>
        </w:p>
      </w:tc>
      <w:tc>
        <w:tcPr>
          <w:tcW w:w="4252" w:type="dxa"/>
        </w:tcPr>
        <w:p w:rsidR="00CB4257" w:rsidRPr="002D0153" w:rsidRDefault="007B2F32" w:rsidP="002D0153">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2D0153">
            <w:rPr>
              <w:rFonts w:ascii="Palatino Linotype" w:eastAsia="Palatino Linotype" w:hAnsi="Palatino Linotype" w:cs="Palatino Linotype"/>
              <w:color w:val="000000"/>
            </w:rPr>
            <w:t>Organismo Público Descentralizado para la Prestación de Los Servicios de Agua Potable Alcantarillado y Saneamiento del Municipio de Naucalpan de Juárez</w:t>
          </w:r>
        </w:p>
      </w:tc>
    </w:tr>
    <w:tr w:rsidR="00CB4257" w:rsidRPr="002D0153" w:rsidTr="002D0153">
      <w:trPr>
        <w:trHeight w:val="342"/>
      </w:trPr>
      <w:tc>
        <w:tcPr>
          <w:tcW w:w="2693" w:type="dxa"/>
        </w:tcPr>
        <w:p w:rsidR="00CB4257" w:rsidRPr="002D0153" w:rsidRDefault="007B2F32">
          <w:pPr>
            <w:jc w:val="right"/>
            <w:rPr>
              <w:rFonts w:ascii="Palatino Linotype" w:eastAsia="Palatino Linotype" w:hAnsi="Palatino Linotype" w:cs="Palatino Linotype"/>
              <w:b/>
            </w:rPr>
          </w:pPr>
          <w:r w:rsidRPr="002D0153">
            <w:rPr>
              <w:rFonts w:ascii="Palatino Linotype" w:eastAsia="Palatino Linotype" w:hAnsi="Palatino Linotype" w:cs="Palatino Linotype"/>
              <w:b/>
            </w:rPr>
            <w:t>Comisionada Ponente:</w:t>
          </w:r>
        </w:p>
      </w:tc>
      <w:tc>
        <w:tcPr>
          <w:tcW w:w="4252" w:type="dxa"/>
        </w:tcPr>
        <w:p w:rsidR="00CB4257" w:rsidRPr="002D0153" w:rsidRDefault="007B2F32" w:rsidP="002D0153">
          <w:pPr>
            <w:pBdr>
              <w:top w:val="nil"/>
              <w:left w:val="nil"/>
              <w:bottom w:val="nil"/>
              <w:right w:val="nil"/>
              <w:between w:val="nil"/>
            </w:pBdr>
            <w:tabs>
              <w:tab w:val="right" w:pos="8838"/>
            </w:tabs>
            <w:rPr>
              <w:rFonts w:ascii="Palatino Linotype" w:eastAsia="Palatino Linotype" w:hAnsi="Palatino Linotype" w:cs="Palatino Linotype"/>
              <w:color w:val="000000"/>
            </w:rPr>
          </w:pPr>
          <w:r w:rsidRPr="002D0153">
            <w:rPr>
              <w:rFonts w:ascii="Palatino Linotype" w:eastAsia="Palatino Linotype" w:hAnsi="Palatino Linotype" w:cs="Palatino Linotype"/>
              <w:color w:val="000000"/>
            </w:rPr>
            <w:t>María del Rosario Mejía Ayala</w:t>
          </w:r>
        </w:p>
      </w:tc>
    </w:tr>
  </w:tbl>
  <w:p w:rsidR="00CB4257" w:rsidRDefault="00940E2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57" w:rsidRDefault="00CB4257">
    <w:pPr>
      <w:widowControl w:val="0"/>
      <w:pBdr>
        <w:top w:val="nil"/>
        <w:left w:val="nil"/>
        <w:bottom w:val="nil"/>
        <w:right w:val="nil"/>
        <w:between w:val="nil"/>
      </w:pBdr>
      <w:spacing w:line="276" w:lineRule="auto"/>
      <w:rPr>
        <w:color w:val="000000"/>
        <w:sz w:val="14"/>
        <w:szCs w:val="14"/>
      </w:rPr>
    </w:pPr>
  </w:p>
  <w:tbl>
    <w:tblPr>
      <w:tblStyle w:val="aa"/>
      <w:tblW w:w="6946" w:type="dxa"/>
      <w:tblInd w:w="2835" w:type="dxa"/>
      <w:tblLayout w:type="fixed"/>
      <w:tblLook w:val="0400" w:firstRow="0" w:lastRow="0" w:firstColumn="0" w:lastColumn="0" w:noHBand="0" w:noVBand="1"/>
    </w:tblPr>
    <w:tblGrid>
      <w:gridCol w:w="2694"/>
      <w:gridCol w:w="4252"/>
    </w:tblGrid>
    <w:tr w:rsidR="00CB4257" w:rsidRPr="002D0153" w:rsidTr="002D0153">
      <w:trPr>
        <w:trHeight w:val="227"/>
      </w:trPr>
      <w:tc>
        <w:tcPr>
          <w:tcW w:w="2694" w:type="dxa"/>
        </w:tcPr>
        <w:p w:rsidR="00CB4257" w:rsidRPr="002D0153" w:rsidRDefault="007B2F32">
          <w:pPr>
            <w:jc w:val="right"/>
            <w:rPr>
              <w:rFonts w:ascii="Palatino Linotype" w:eastAsia="Palatino Linotype" w:hAnsi="Palatino Linotype" w:cs="Palatino Linotype"/>
              <w:b/>
            </w:rPr>
          </w:pPr>
          <w:r w:rsidRPr="002D0153">
            <w:rPr>
              <w:rFonts w:ascii="Palatino Linotype" w:eastAsia="Palatino Linotype" w:hAnsi="Palatino Linotype" w:cs="Palatino Linotype"/>
              <w:b/>
            </w:rPr>
            <w:t>Recurso de Revisión:</w:t>
          </w:r>
        </w:p>
      </w:tc>
      <w:tc>
        <w:tcPr>
          <w:tcW w:w="4252" w:type="dxa"/>
        </w:tcPr>
        <w:p w:rsidR="00CB4257" w:rsidRPr="002D0153" w:rsidRDefault="007B2F32" w:rsidP="002D0153">
          <w:pPr>
            <w:pBdr>
              <w:top w:val="nil"/>
              <w:left w:val="nil"/>
              <w:bottom w:val="nil"/>
              <w:right w:val="nil"/>
              <w:between w:val="nil"/>
            </w:pBdr>
            <w:tabs>
              <w:tab w:val="right" w:pos="8838"/>
            </w:tabs>
            <w:ind w:right="29"/>
            <w:rPr>
              <w:rFonts w:ascii="Palatino Linotype" w:eastAsia="Palatino Linotype" w:hAnsi="Palatino Linotype" w:cs="Palatino Linotype"/>
              <w:color w:val="000000"/>
              <w:highlight w:val="green"/>
            </w:rPr>
          </w:pPr>
          <w:r w:rsidRPr="002D0153">
            <w:rPr>
              <w:rFonts w:ascii="Palatino Linotype" w:eastAsia="Palatino Linotype" w:hAnsi="Palatino Linotype" w:cs="Palatino Linotype"/>
              <w:color w:val="000000"/>
            </w:rPr>
            <w:t xml:space="preserve">00538/INFOEM/IP/RR/2025 y </w:t>
          </w:r>
          <w:r w:rsidRPr="002D0153">
            <w:rPr>
              <w:rFonts w:ascii="Palatino Linotype" w:eastAsia="Palatino Linotype" w:hAnsi="Palatino Linotype" w:cs="Palatino Linotype"/>
            </w:rPr>
            <w:t>A</w:t>
          </w:r>
          <w:r w:rsidRPr="002D0153">
            <w:rPr>
              <w:rFonts w:ascii="Palatino Linotype" w:eastAsia="Palatino Linotype" w:hAnsi="Palatino Linotype" w:cs="Palatino Linotype"/>
              <w:color w:val="000000"/>
            </w:rPr>
            <w:t>cumulado</w:t>
          </w:r>
        </w:p>
      </w:tc>
    </w:tr>
    <w:tr w:rsidR="00CB4257" w:rsidRPr="002D0153" w:rsidTr="002D0153">
      <w:trPr>
        <w:trHeight w:val="242"/>
      </w:trPr>
      <w:tc>
        <w:tcPr>
          <w:tcW w:w="2694" w:type="dxa"/>
        </w:tcPr>
        <w:p w:rsidR="00CB4257" w:rsidRPr="002D0153" w:rsidRDefault="007B2F32">
          <w:pPr>
            <w:jc w:val="right"/>
            <w:rPr>
              <w:rFonts w:ascii="Palatino Linotype" w:eastAsia="Palatino Linotype" w:hAnsi="Palatino Linotype" w:cs="Palatino Linotype"/>
              <w:b/>
            </w:rPr>
          </w:pPr>
          <w:r w:rsidRPr="002D0153">
            <w:rPr>
              <w:rFonts w:ascii="Palatino Linotype" w:eastAsia="Palatino Linotype" w:hAnsi="Palatino Linotype" w:cs="Palatino Linotype"/>
              <w:b/>
            </w:rPr>
            <w:t>Recurrente:</w:t>
          </w:r>
        </w:p>
      </w:tc>
      <w:tc>
        <w:tcPr>
          <w:tcW w:w="4252" w:type="dxa"/>
        </w:tcPr>
        <w:p w:rsidR="00CB4257" w:rsidRPr="002D0153" w:rsidRDefault="00AE6CED" w:rsidP="002D0153">
          <w:pPr>
            <w:pBdr>
              <w:top w:val="nil"/>
              <w:left w:val="nil"/>
              <w:bottom w:val="nil"/>
              <w:right w:val="nil"/>
              <w:between w:val="nil"/>
            </w:pBdr>
            <w:tabs>
              <w:tab w:val="right" w:pos="8838"/>
              <w:tab w:val="left" w:pos="521"/>
            </w:tabs>
            <w:ind w:right="29"/>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CB4257" w:rsidRPr="002D0153" w:rsidTr="002D0153">
      <w:trPr>
        <w:trHeight w:val="342"/>
      </w:trPr>
      <w:tc>
        <w:tcPr>
          <w:tcW w:w="2694" w:type="dxa"/>
        </w:tcPr>
        <w:p w:rsidR="00CB4257" w:rsidRPr="002D0153" w:rsidRDefault="007B2F32">
          <w:pPr>
            <w:jc w:val="right"/>
            <w:rPr>
              <w:rFonts w:ascii="Palatino Linotype" w:eastAsia="Palatino Linotype" w:hAnsi="Palatino Linotype" w:cs="Palatino Linotype"/>
              <w:b/>
            </w:rPr>
          </w:pPr>
          <w:r w:rsidRPr="002D0153">
            <w:rPr>
              <w:rFonts w:ascii="Palatino Linotype" w:eastAsia="Palatino Linotype" w:hAnsi="Palatino Linotype" w:cs="Palatino Linotype"/>
              <w:b/>
            </w:rPr>
            <w:t>Sujeto Obligado:</w:t>
          </w:r>
        </w:p>
      </w:tc>
      <w:tc>
        <w:tcPr>
          <w:tcW w:w="4252" w:type="dxa"/>
        </w:tcPr>
        <w:p w:rsidR="00CB4257" w:rsidRPr="002D0153" w:rsidRDefault="007B2F32" w:rsidP="002D0153">
          <w:pPr>
            <w:pBdr>
              <w:top w:val="nil"/>
              <w:left w:val="nil"/>
              <w:bottom w:val="nil"/>
              <w:right w:val="nil"/>
              <w:between w:val="nil"/>
            </w:pBdr>
            <w:tabs>
              <w:tab w:val="right" w:pos="8838"/>
            </w:tabs>
            <w:ind w:right="29"/>
            <w:jc w:val="both"/>
            <w:rPr>
              <w:rFonts w:ascii="Palatino Linotype" w:eastAsia="Palatino Linotype" w:hAnsi="Palatino Linotype" w:cs="Palatino Linotype"/>
              <w:color w:val="000000"/>
              <w:highlight w:val="green"/>
            </w:rPr>
          </w:pPr>
          <w:r w:rsidRPr="002D0153">
            <w:rPr>
              <w:rFonts w:ascii="Palatino Linotype" w:eastAsia="Palatino Linotype" w:hAnsi="Palatino Linotype" w:cs="Palatino Linotype"/>
              <w:color w:val="000000"/>
            </w:rPr>
            <w:t>Organismo Público Descentralizado para la Prestación de Los Servicios de Agua Potable Alcantarillado y Saneamiento del Municipio de Naucalpan de Juárez</w:t>
          </w:r>
        </w:p>
      </w:tc>
    </w:tr>
    <w:tr w:rsidR="00CB4257" w:rsidRPr="002D0153" w:rsidTr="002D0153">
      <w:trPr>
        <w:trHeight w:val="342"/>
      </w:trPr>
      <w:tc>
        <w:tcPr>
          <w:tcW w:w="2694" w:type="dxa"/>
        </w:tcPr>
        <w:p w:rsidR="00CB4257" w:rsidRPr="002D0153" w:rsidRDefault="007B2F32">
          <w:pPr>
            <w:jc w:val="right"/>
            <w:rPr>
              <w:rFonts w:ascii="Palatino Linotype" w:eastAsia="Palatino Linotype" w:hAnsi="Palatino Linotype" w:cs="Palatino Linotype"/>
              <w:b/>
            </w:rPr>
          </w:pPr>
          <w:r w:rsidRPr="002D0153">
            <w:rPr>
              <w:rFonts w:ascii="Palatino Linotype" w:eastAsia="Palatino Linotype" w:hAnsi="Palatino Linotype" w:cs="Palatino Linotype"/>
              <w:b/>
            </w:rPr>
            <w:t>Comisionada Ponente:</w:t>
          </w:r>
        </w:p>
      </w:tc>
      <w:tc>
        <w:tcPr>
          <w:tcW w:w="4252" w:type="dxa"/>
        </w:tcPr>
        <w:p w:rsidR="00CB4257" w:rsidRPr="002D0153" w:rsidRDefault="007B2F32" w:rsidP="002D0153">
          <w:pPr>
            <w:pBdr>
              <w:top w:val="nil"/>
              <w:left w:val="nil"/>
              <w:bottom w:val="nil"/>
              <w:right w:val="nil"/>
              <w:between w:val="nil"/>
            </w:pBdr>
            <w:tabs>
              <w:tab w:val="right" w:pos="8838"/>
            </w:tabs>
            <w:ind w:right="29"/>
            <w:rPr>
              <w:rFonts w:ascii="Palatino Linotype" w:eastAsia="Palatino Linotype" w:hAnsi="Palatino Linotype" w:cs="Palatino Linotype"/>
              <w:color w:val="000000"/>
            </w:rPr>
          </w:pPr>
          <w:r w:rsidRPr="002D0153">
            <w:rPr>
              <w:rFonts w:ascii="Palatino Linotype" w:eastAsia="Palatino Linotype" w:hAnsi="Palatino Linotype" w:cs="Palatino Linotype"/>
              <w:color w:val="000000"/>
            </w:rPr>
            <w:t>María del Rosario Mejía Ayala</w:t>
          </w:r>
        </w:p>
      </w:tc>
    </w:tr>
  </w:tbl>
  <w:p w:rsidR="00CB4257" w:rsidRDefault="00940E2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CBE"/>
    <w:multiLevelType w:val="multilevel"/>
    <w:tmpl w:val="20A00C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4D862A7"/>
    <w:multiLevelType w:val="multilevel"/>
    <w:tmpl w:val="D01A33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F3303"/>
    <w:multiLevelType w:val="multilevel"/>
    <w:tmpl w:val="5C908DCE"/>
    <w:lvl w:ilvl="0">
      <w:start w:val="1"/>
      <w:numFmt w:val="lowerLetter"/>
      <w:pStyle w:val="Listaconvietas2"/>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8C2BF9"/>
    <w:multiLevelType w:val="multilevel"/>
    <w:tmpl w:val="401CF6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9541DC1"/>
    <w:multiLevelType w:val="multilevel"/>
    <w:tmpl w:val="3D066A2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43C6483F"/>
    <w:multiLevelType w:val="multilevel"/>
    <w:tmpl w:val="A6FEDB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F15331"/>
    <w:multiLevelType w:val="multilevel"/>
    <w:tmpl w:val="A492F716"/>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2D4491F"/>
    <w:multiLevelType w:val="multilevel"/>
    <w:tmpl w:val="BECE69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48C25DC"/>
    <w:multiLevelType w:val="multilevel"/>
    <w:tmpl w:val="6466078C"/>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0451A0"/>
    <w:multiLevelType w:val="multilevel"/>
    <w:tmpl w:val="3A1CCBA4"/>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72B37B03"/>
    <w:multiLevelType w:val="multilevel"/>
    <w:tmpl w:val="FB0EF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2B2DCC"/>
    <w:multiLevelType w:val="multilevel"/>
    <w:tmpl w:val="3AB806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8"/>
  </w:num>
  <w:num w:numId="8">
    <w:abstractNumId w:val="11"/>
  </w:num>
  <w:num w:numId="9">
    <w:abstractNumId w:val="1"/>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57"/>
    <w:rsid w:val="002D0153"/>
    <w:rsid w:val="00351264"/>
    <w:rsid w:val="00377753"/>
    <w:rsid w:val="007B2F32"/>
    <w:rsid w:val="00940E2A"/>
    <w:rsid w:val="00AE6CED"/>
    <w:rsid w:val="00CB4257"/>
    <w:rsid w:val="00EF247A"/>
    <w:rsid w:val="00F57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19675CA-93DA-415F-8798-6F2DB524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3973.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4397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iI+qOYy7LfiIBUt7WO2OFCMJw==">CgMxLjAyCGguZ2pkZ3hzMgloLjMwajB6bGwyCWguMWZvYjl0ZTIJaC4zem55c2g3MgloLjJldDkycDAyCGgudHlqY3d0MgloLjNkeTZ2a20yCWguMXQzaDVzZjIOaC40bzJyOXl5NnUwbjkyCWguMWtzdjR1djIJaC4zcmRjcmpuMghoLmxueGJ6OTgAciExcmFGZW9mMmlrTFdONUV4YVRKTkF6ajAwaWgxZ19peU0=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45</Pages>
  <Words>10015</Words>
  <Characters>55083</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cp:revision>
  <cp:lastPrinted>2025-05-12T15:55:00Z</cp:lastPrinted>
  <dcterms:created xsi:type="dcterms:W3CDTF">2025-04-29T00:33:00Z</dcterms:created>
  <dcterms:modified xsi:type="dcterms:W3CDTF">2025-05-12T17:41:00Z</dcterms:modified>
</cp:coreProperties>
</file>