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216271" w14:textId="77777777" w:rsidR="00724E79" w:rsidRPr="0035237F" w:rsidRDefault="00312C60">
      <w:pPr>
        <w:spacing w:before="120" w:after="0" w:line="360" w:lineRule="auto"/>
        <w:ind w:right="4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Resolución del Pleno del Instituto de Transparencia, Acceso a la Información Pública y Protección de Datos Personales del Estado de México y Municipios, con domicilio en Metepec, Estado de México, a veintidós de enero de dos mil veinticinco.</w:t>
      </w:r>
    </w:p>
    <w:p w14:paraId="0FCA3051" w14:textId="77777777" w:rsidR="00724E79" w:rsidRPr="0035237F" w:rsidRDefault="00312C60">
      <w:pPr>
        <w:tabs>
          <w:tab w:val="left" w:pos="6720"/>
          <w:tab w:val="right" w:pos="8838"/>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ab/>
      </w:r>
    </w:p>
    <w:p w14:paraId="5AAC4DCB"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 xml:space="preserve">Visto </w:t>
      </w:r>
      <w:r w:rsidRPr="0035237F">
        <w:rPr>
          <w:rFonts w:ascii="Palatino Linotype" w:eastAsia="Palatino Linotype" w:hAnsi="Palatino Linotype" w:cs="Palatino Linotype"/>
          <w:sz w:val="24"/>
          <w:szCs w:val="24"/>
        </w:rPr>
        <w:t>el expediente relativo al recurso de revisión</w:t>
      </w:r>
      <w:r w:rsidRPr="0035237F">
        <w:rPr>
          <w:rFonts w:ascii="Palatino Linotype" w:eastAsia="Palatino Linotype" w:hAnsi="Palatino Linotype" w:cs="Palatino Linotype"/>
          <w:b/>
          <w:sz w:val="24"/>
          <w:szCs w:val="24"/>
        </w:rPr>
        <w:t xml:space="preserve"> 07589/INFOEM/IP/RR/2024</w:t>
      </w:r>
      <w:r w:rsidRPr="0035237F">
        <w:rPr>
          <w:rFonts w:ascii="Palatino Linotype" w:eastAsia="Palatino Linotype" w:hAnsi="Palatino Linotype" w:cs="Palatino Linotype"/>
          <w:sz w:val="24"/>
          <w:szCs w:val="24"/>
        </w:rPr>
        <w:t>, interpuesto por</w:t>
      </w:r>
      <w:r w:rsidRPr="0035237F">
        <w:rPr>
          <w:rFonts w:ascii="Palatino Linotype" w:eastAsia="Palatino Linotype" w:hAnsi="Palatino Linotype" w:cs="Palatino Linotype"/>
          <w:b/>
          <w:sz w:val="24"/>
          <w:szCs w:val="24"/>
        </w:rPr>
        <w:t xml:space="preserve"> un particular de manera anónima</w:t>
      </w:r>
      <w:r w:rsidRPr="0035237F">
        <w:rPr>
          <w:rFonts w:ascii="Palatino Linotype" w:eastAsia="Palatino Linotype" w:hAnsi="Palatino Linotype" w:cs="Palatino Linotype"/>
          <w:sz w:val="24"/>
          <w:szCs w:val="24"/>
        </w:rPr>
        <w:t xml:space="preserve">, en lo sucesivo se le denominara </w:t>
      </w:r>
      <w:r w:rsidRPr="0035237F">
        <w:rPr>
          <w:rFonts w:ascii="Palatino Linotype" w:eastAsia="Palatino Linotype" w:hAnsi="Palatino Linotype" w:cs="Palatino Linotype"/>
          <w:b/>
          <w:sz w:val="24"/>
          <w:szCs w:val="24"/>
        </w:rPr>
        <w:t>LA PARTE RECURRENTE</w:t>
      </w:r>
      <w:r w:rsidRPr="0035237F">
        <w:rPr>
          <w:rFonts w:ascii="Palatino Linotype" w:eastAsia="Palatino Linotype" w:hAnsi="Palatino Linotype" w:cs="Palatino Linotype"/>
          <w:sz w:val="24"/>
          <w:szCs w:val="24"/>
        </w:rPr>
        <w:t xml:space="preserve">, en contra de la respuesta a la solicitud de información con número de folio </w:t>
      </w:r>
      <w:r w:rsidRPr="0035237F">
        <w:rPr>
          <w:rFonts w:ascii="Palatino Linotype" w:eastAsia="Palatino Linotype" w:hAnsi="Palatino Linotype" w:cs="Palatino Linotype"/>
          <w:b/>
          <w:sz w:val="24"/>
          <w:szCs w:val="24"/>
        </w:rPr>
        <w:t>00896/SF/IP/2024</w:t>
      </w:r>
      <w:r w:rsidRPr="0035237F">
        <w:rPr>
          <w:rFonts w:ascii="Palatino Linotype" w:eastAsia="Palatino Linotype" w:hAnsi="Palatino Linotype" w:cs="Palatino Linotype"/>
          <w:sz w:val="24"/>
          <w:szCs w:val="24"/>
        </w:rPr>
        <w:t xml:space="preserve">, por parte de la </w:t>
      </w:r>
      <w:r w:rsidRPr="0035237F">
        <w:rPr>
          <w:rFonts w:ascii="Palatino Linotype" w:eastAsia="Palatino Linotype" w:hAnsi="Palatino Linotype" w:cs="Palatino Linotype"/>
          <w:b/>
          <w:sz w:val="24"/>
          <w:szCs w:val="24"/>
        </w:rPr>
        <w:t>Secretaría de Finanzas</w:t>
      </w:r>
      <w:r w:rsidRPr="0035237F">
        <w:rPr>
          <w:rFonts w:ascii="Palatino Linotype" w:eastAsia="Palatino Linotype" w:hAnsi="Palatino Linotype" w:cs="Palatino Linotype"/>
          <w:sz w:val="24"/>
          <w:szCs w:val="24"/>
        </w:rPr>
        <w:t>, en lo sucesivo</w:t>
      </w:r>
      <w:r w:rsidRPr="0035237F">
        <w:rPr>
          <w:rFonts w:ascii="Palatino Linotype" w:eastAsia="Palatino Linotype" w:hAnsi="Palatino Linotype" w:cs="Palatino Linotype"/>
          <w:b/>
          <w:sz w:val="24"/>
          <w:szCs w:val="24"/>
        </w:rPr>
        <w:t xml:space="preserve"> EL SUJETO OBLIGADO; </w:t>
      </w:r>
      <w:r w:rsidRPr="0035237F">
        <w:rPr>
          <w:rFonts w:ascii="Palatino Linotype" w:eastAsia="Palatino Linotype" w:hAnsi="Palatino Linotype" w:cs="Palatino Linotype"/>
          <w:sz w:val="24"/>
          <w:szCs w:val="24"/>
        </w:rPr>
        <w:t xml:space="preserve">se procede a dictar la presente resolución, con base en lo siguiente.  </w:t>
      </w:r>
    </w:p>
    <w:p w14:paraId="1F3151B2"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4217D130" w14:textId="77777777" w:rsidR="00724E79" w:rsidRPr="0035237F" w:rsidRDefault="00312C60">
      <w:pPr>
        <w:spacing w:after="0" w:line="360" w:lineRule="auto"/>
        <w:ind w:right="49"/>
        <w:jc w:val="center"/>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A N T E C E D E N T E S</w:t>
      </w:r>
    </w:p>
    <w:p w14:paraId="26C0E8C5"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51AE883C" w14:textId="77777777" w:rsidR="00724E79" w:rsidRPr="0035237F" w:rsidRDefault="00312C60">
      <w:pPr>
        <w:spacing w:after="0" w:line="360" w:lineRule="auto"/>
        <w:ind w:right="4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1.</w:t>
      </w:r>
      <w:r w:rsidRPr="0035237F">
        <w:rPr>
          <w:rFonts w:ascii="Palatino Linotype" w:eastAsia="Palatino Linotype" w:hAnsi="Palatino Linotype" w:cs="Palatino Linotype"/>
          <w:sz w:val="24"/>
          <w:szCs w:val="24"/>
        </w:rPr>
        <w:t xml:space="preserve"> </w:t>
      </w:r>
      <w:r w:rsidRPr="0035237F">
        <w:rPr>
          <w:rFonts w:ascii="Palatino Linotype" w:eastAsia="Palatino Linotype" w:hAnsi="Palatino Linotype" w:cs="Palatino Linotype"/>
          <w:b/>
          <w:sz w:val="24"/>
          <w:szCs w:val="24"/>
        </w:rPr>
        <w:t xml:space="preserve">SOLICITUD DE INFORMACIÓN. </w:t>
      </w:r>
      <w:r w:rsidRPr="0035237F">
        <w:rPr>
          <w:rFonts w:ascii="Palatino Linotype" w:eastAsia="Palatino Linotype" w:hAnsi="Palatino Linotype" w:cs="Palatino Linotype"/>
          <w:sz w:val="24"/>
          <w:szCs w:val="24"/>
        </w:rPr>
        <w:t xml:space="preserve">Con fecha trece de noviembre de dos mil veinticuatro, </w:t>
      </w:r>
      <w:r w:rsidRPr="0035237F">
        <w:rPr>
          <w:rFonts w:ascii="Palatino Linotype" w:eastAsia="Palatino Linotype" w:hAnsi="Palatino Linotype" w:cs="Palatino Linotype"/>
          <w:b/>
          <w:sz w:val="24"/>
          <w:szCs w:val="24"/>
        </w:rPr>
        <w:t>LA PARTE RECURRENTE</w:t>
      </w:r>
      <w:r w:rsidRPr="0035237F">
        <w:rPr>
          <w:rFonts w:ascii="Palatino Linotype" w:eastAsia="Palatino Linotype" w:hAnsi="Palatino Linotype" w:cs="Palatino Linotype"/>
          <w:sz w:val="24"/>
          <w:szCs w:val="24"/>
        </w:rPr>
        <w:t>, presentó a través del Sistema de Acceso a la Información Mexiquense (</w:t>
      </w:r>
      <w:r w:rsidRPr="0035237F">
        <w:rPr>
          <w:rFonts w:ascii="Palatino Linotype" w:eastAsia="Palatino Linotype" w:hAnsi="Palatino Linotype" w:cs="Palatino Linotype"/>
          <w:b/>
          <w:sz w:val="24"/>
          <w:szCs w:val="24"/>
        </w:rPr>
        <w:t>SAIMEX)</w:t>
      </w:r>
      <w:r w:rsidRPr="0035237F">
        <w:rPr>
          <w:rFonts w:ascii="Palatino Linotype" w:eastAsia="Palatino Linotype" w:hAnsi="Palatino Linotype" w:cs="Palatino Linotype"/>
          <w:sz w:val="24"/>
          <w:szCs w:val="24"/>
        </w:rPr>
        <w:t xml:space="preserve"> ante </w:t>
      </w:r>
      <w:r w:rsidRPr="0035237F">
        <w:rPr>
          <w:rFonts w:ascii="Palatino Linotype" w:eastAsia="Palatino Linotype" w:hAnsi="Palatino Linotype" w:cs="Palatino Linotype"/>
          <w:b/>
          <w:sz w:val="24"/>
          <w:szCs w:val="24"/>
        </w:rPr>
        <w:t>EL SUJETO OBLIGADO</w:t>
      </w:r>
      <w:r w:rsidRPr="0035237F">
        <w:rPr>
          <w:rFonts w:ascii="Palatino Linotype" w:eastAsia="Palatino Linotype" w:hAnsi="Palatino Linotype" w:cs="Palatino Linotype"/>
          <w:sz w:val="24"/>
          <w:szCs w:val="24"/>
        </w:rPr>
        <w:t>, solicitud de acceso a la información pública, registrada bajo el número de expediente</w:t>
      </w:r>
      <w:r w:rsidRPr="0035237F">
        <w:rPr>
          <w:rFonts w:ascii="Verdana" w:eastAsia="Verdana" w:hAnsi="Verdana" w:cs="Verdana"/>
          <w:b/>
        </w:rPr>
        <w:t> </w:t>
      </w:r>
      <w:r w:rsidRPr="0035237F">
        <w:rPr>
          <w:rFonts w:ascii="Palatino Linotype" w:eastAsia="Palatino Linotype" w:hAnsi="Palatino Linotype" w:cs="Palatino Linotype"/>
          <w:b/>
          <w:sz w:val="24"/>
          <w:szCs w:val="24"/>
        </w:rPr>
        <w:t>00896/SF/IP/2024</w:t>
      </w:r>
      <w:r w:rsidRPr="0035237F">
        <w:rPr>
          <w:rFonts w:ascii="Palatino Linotype" w:eastAsia="Palatino Linotype" w:hAnsi="Palatino Linotype" w:cs="Palatino Linotype"/>
          <w:sz w:val="24"/>
          <w:szCs w:val="24"/>
        </w:rPr>
        <w:t>,</w:t>
      </w:r>
      <w:r w:rsidRPr="0035237F">
        <w:rPr>
          <w:rFonts w:ascii="Palatino Linotype" w:eastAsia="Palatino Linotype" w:hAnsi="Palatino Linotype" w:cs="Palatino Linotype"/>
          <w:b/>
          <w:sz w:val="24"/>
          <w:szCs w:val="24"/>
        </w:rPr>
        <w:t xml:space="preserve"> </w:t>
      </w:r>
      <w:r w:rsidRPr="0035237F">
        <w:rPr>
          <w:rFonts w:ascii="Palatino Linotype" w:eastAsia="Palatino Linotype" w:hAnsi="Palatino Linotype" w:cs="Palatino Linotype"/>
          <w:sz w:val="24"/>
          <w:szCs w:val="24"/>
        </w:rPr>
        <w:t>mediante la cual solicitó la siguiente información:</w:t>
      </w:r>
    </w:p>
    <w:p w14:paraId="2FAD4841" w14:textId="77777777" w:rsidR="00724E79" w:rsidRPr="0035237F" w:rsidRDefault="00724E79">
      <w:pPr>
        <w:spacing w:after="0" w:line="360" w:lineRule="auto"/>
        <w:ind w:right="49"/>
        <w:jc w:val="both"/>
        <w:rPr>
          <w:rFonts w:ascii="Palatino Linotype" w:eastAsia="Palatino Linotype" w:hAnsi="Palatino Linotype" w:cs="Palatino Linotype"/>
          <w:sz w:val="24"/>
          <w:szCs w:val="24"/>
        </w:rPr>
      </w:pPr>
    </w:p>
    <w:p w14:paraId="25B9B304" w14:textId="77777777" w:rsidR="00724E79" w:rsidRPr="0035237F" w:rsidRDefault="00312C60">
      <w:pPr>
        <w:spacing w:after="0" w:line="276" w:lineRule="auto"/>
        <w:ind w:left="709" w:right="758"/>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“SOLICITO EL SOPORTE DOCUMENTAL DEL RESULTADO DE LAS AUDITORIAS E INSPECCIONES QUE EL ORGANO DE CONTROL INTERNO DE LA SECRETARÍA DE FINANZAS HA PRACTICADO A LA UIPPE DE LA SECRETARÍA DE FINANZAS Y SABER SI HAN </w:t>
      </w:r>
      <w:r w:rsidRPr="0035237F">
        <w:rPr>
          <w:rFonts w:ascii="Palatino Linotype" w:eastAsia="Palatino Linotype" w:hAnsi="Palatino Linotype" w:cs="Palatino Linotype"/>
          <w:i/>
        </w:rPr>
        <w:lastRenderedPageBreak/>
        <w:t>INVESTIGADO EL DESVÍO Y ROBO DE RECURSOS QUE HA LLEVADO A CABO MARIO REYES SANTOS, CLAUDIA NOGUEZ GONZÁLEZ, TONATHIU GERARDO RAMÍREZ FUENTES Y JUAN CAMPOS LANDA. REQUIERO EL NÚMERO DE EQUIPOS DE CÓMPUTO ASIGNADOS A LA UIPPE, CARACTERISTICAS DE CADA UNO, ASÍ COMO EL NOMBRE DEL RESGUARDATARIO Y USUARIO DE CADA UNO.” (Sic).</w:t>
      </w:r>
    </w:p>
    <w:p w14:paraId="60156C47" w14:textId="77777777" w:rsidR="00724E79" w:rsidRPr="0035237F" w:rsidRDefault="00724E79">
      <w:pPr>
        <w:spacing w:after="0" w:line="276" w:lineRule="auto"/>
        <w:ind w:left="709" w:right="758"/>
        <w:jc w:val="both"/>
        <w:rPr>
          <w:rFonts w:ascii="Palatino Linotype" w:eastAsia="Palatino Linotype" w:hAnsi="Palatino Linotype" w:cs="Palatino Linotype"/>
          <w:i/>
        </w:rPr>
      </w:pPr>
    </w:p>
    <w:p w14:paraId="30E7D91A" w14:textId="77777777" w:rsidR="00724E79" w:rsidRPr="0035237F" w:rsidRDefault="00312C60">
      <w:pPr>
        <w:spacing w:after="0" w:line="360" w:lineRule="auto"/>
        <w:ind w:right="4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Modalidad de entrega: A través del </w:t>
      </w:r>
      <w:r w:rsidRPr="0035237F">
        <w:rPr>
          <w:rFonts w:ascii="Palatino Linotype" w:eastAsia="Palatino Linotype" w:hAnsi="Palatino Linotype" w:cs="Palatino Linotype"/>
          <w:b/>
          <w:sz w:val="24"/>
          <w:szCs w:val="24"/>
        </w:rPr>
        <w:t>SAIMEX</w:t>
      </w:r>
      <w:r w:rsidRPr="0035237F">
        <w:rPr>
          <w:rFonts w:ascii="Palatino Linotype" w:eastAsia="Palatino Linotype" w:hAnsi="Palatino Linotype" w:cs="Palatino Linotype"/>
          <w:sz w:val="24"/>
          <w:szCs w:val="24"/>
        </w:rPr>
        <w:t xml:space="preserve">. </w:t>
      </w:r>
    </w:p>
    <w:p w14:paraId="49809735"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6535A125"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 xml:space="preserve">2. RESPUESTA.  </w:t>
      </w:r>
      <w:r w:rsidRPr="0035237F">
        <w:rPr>
          <w:rFonts w:ascii="Palatino Linotype" w:eastAsia="Palatino Linotype" w:hAnsi="Palatino Linotype" w:cs="Palatino Linotype"/>
          <w:sz w:val="24"/>
          <w:szCs w:val="24"/>
        </w:rPr>
        <w:t xml:space="preserve">Con fecha cinco de diciembre del dos mil veinticuatro, </w:t>
      </w:r>
      <w:r w:rsidRPr="0035237F">
        <w:rPr>
          <w:rFonts w:ascii="Palatino Linotype" w:eastAsia="Palatino Linotype" w:hAnsi="Palatino Linotype" w:cs="Palatino Linotype"/>
          <w:b/>
          <w:sz w:val="24"/>
          <w:szCs w:val="24"/>
        </w:rPr>
        <w:t>EL SUJETO OBLIGADO</w:t>
      </w:r>
      <w:r w:rsidRPr="0035237F">
        <w:rPr>
          <w:rFonts w:ascii="Palatino Linotype" w:eastAsia="Palatino Linotype" w:hAnsi="Palatino Linotype" w:cs="Palatino Linotype"/>
          <w:sz w:val="24"/>
          <w:szCs w:val="24"/>
        </w:rPr>
        <w:t xml:space="preserve"> otorgó, a través del SAIMEX, respuesta a la solicitud de acceso a la información en los siguientes términos: </w:t>
      </w:r>
    </w:p>
    <w:p w14:paraId="557400ED"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5E5460EF"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“En respuesta a la solicitud recibida, nos permitimos hacer de su conocimiento que con fundamento en el artículo 53, Fracciones: II, V y VI de la Ley de Transparencia y Acceso a la Información Pública del Estado de México y Municipios, le contestamos que:</w:t>
      </w:r>
    </w:p>
    <w:p w14:paraId="66178CAF"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Sobre el particular, sírvase encontrar en archivo adjunto copia del oficio de notificación número 20700004S/UT-2499/2024, mediante el cual se detalla lo referente a su solicitud.</w:t>
      </w:r>
    </w:p>
    <w:p w14:paraId="307D09F0"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ATENTAMENTE</w:t>
      </w:r>
    </w:p>
    <w:p w14:paraId="47F31966"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M. en D. Mario Reyes Santos”</w:t>
      </w:r>
    </w:p>
    <w:p w14:paraId="54223665" w14:textId="77777777" w:rsidR="00724E79" w:rsidRPr="0035237F" w:rsidRDefault="00724E79">
      <w:pPr>
        <w:spacing w:after="0" w:line="276" w:lineRule="auto"/>
        <w:ind w:left="851" w:right="902"/>
        <w:jc w:val="both"/>
        <w:rPr>
          <w:rFonts w:ascii="Palatino Linotype" w:eastAsia="Palatino Linotype" w:hAnsi="Palatino Linotype" w:cs="Palatino Linotype"/>
          <w:sz w:val="24"/>
          <w:szCs w:val="24"/>
        </w:rPr>
      </w:pPr>
    </w:p>
    <w:p w14:paraId="3F8DA073" w14:textId="77777777" w:rsidR="00724E79" w:rsidRPr="0035237F" w:rsidRDefault="00312C60">
      <w:pPr>
        <w:spacing w:after="0" w:line="360" w:lineRule="auto"/>
        <w:ind w:right="51"/>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EL SUJETO OBLIGADO</w:t>
      </w:r>
      <w:r w:rsidRPr="0035237F">
        <w:rPr>
          <w:rFonts w:ascii="Palatino Linotype" w:eastAsia="Palatino Linotype" w:hAnsi="Palatino Linotype" w:cs="Palatino Linotype"/>
          <w:sz w:val="24"/>
          <w:szCs w:val="24"/>
        </w:rPr>
        <w:t xml:space="preserve"> adjuntó para tal efecto los archivos electrónicos siguientes:</w:t>
      </w:r>
    </w:p>
    <w:p w14:paraId="37513ADD" w14:textId="77777777" w:rsidR="00724E79" w:rsidRPr="0035237F" w:rsidRDefault="00724E79">
      <w:pPr>
        <w:spacing w:after="0" w:line="360" w:lineRule="auto"/>
        <w:ind w:right="51"/>
        <w:jc w:val="both"/>
        <w:rPr>
          <w:rFonts w:ascii="Palatino Linotype" w:eastAsia="Palatino Linotype" w:hAnsi="Palatino Linotype" w:cs="Palatino Linotype"/>
          <w:sz w:val="24"/>
          <w:szCs w:val="24"/>
        </w:rPr>
      </w:pPr>
    </w:p>
    <w:p w14:paraId="424BF705"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w:t>
      </w:r>
      <w:r w:rsidRPr="0035237F">
        <w:rPr>
          <w:rFonts w:ascii="Palatino Linotype" w:eastAsia="Palatino Linotype" w:hAnsi="Palatino Linotype" w:cs="Palatino Linotype"/>
          <w:b/>
          <w:i/>
          <w:sz w:val="24"/>
          <w:szCs w:val="24"/>
          <w:u w:val="single"/>
        </w:rPr>
        <w:t>00896 UIPPE.pdf</w:t>
      </w:r>
      <w:r w:rsidRPr="0035237F">
        <w:rPr>
          <w:rFonts w:ascii="Palatino Linotype" w:eastAsia="Palatino Linotype" w:hAnsi="Palatino Linotype" w:cs="Palatino Linotype"/>
          <w:sz w:val="24"/>
          <w:szCs w:val="24"/>
        </w:rPr>
        <w:t xml:space="preserve">”: Oficio de fecha veintiuno de noviembre de dos mil veinticuatro, signado por la Servidora Pública Habilitada de la Unidad de Información, </w:t>
      </w:r>
      <w:r w:rsidRPr="0035237F">
        <w:rPr>
          <w:rFonts w:ascii="Palatino Linotype" w:eastAsia="Palatino Linotype" w:hAnsi="Palatino Linotype" w:cs="Palatino Linotype"/>
          <w:sz w:val="24"/>
          <w:szCs w:val="24"/>
        </w:rPr>
        <w:lastRenderedPageBreak/>
        <w:t xml:space="preserve">Planeación, Programación y Evaluación, mediante el cual señala, referente a las auditorias e inspecciones del Órgano Interno de Control practicado a la UIIPPE, el número de equipos de cómputo asignados a la UIPPE, sus características, nombre del </w:t>
      </w:r>
      <w:proofErr w:type="spellStart"/>
      <w:r w:rsidRPr="0035237F">
        <w:rPr>
          <w:rFonts w:ascii="Palatino Linotype" w:eastAsia="Palatino Linotype" w:hAnsi="Palatino Linotype" w:cs="Palatino Linotype"/>
          <w:sz w:val="24"/>
          <w:szCs w:val="24"/>
        </w:rPr>
        <w:t>resguardatario</w:t>
      </w:r>
      <w:proofErr w:type="spellEnd"/>
      <w:r w:rsidRPr="0035237F">
        <w:rPr>
          <w:rFonts w:ascii="Palatino Linotype" w:eastAsia="Palatino Linotype" w:hAnsi="Palatino Linotype" w:cs="Palatino Linotype"/>
          <w:sz w:val="24"/>
          <w:szCs w:val="24"/>
        </w:rPr>
        <w:t xml:space="preserve"> y usuarios, que tras una búsqueda exhaustiva y razonable en los archivos de esa unidad administrativa se advierte que no se cuenta con la información requerida por el solicitante, por no ser parte de sus funciones. </w:t>
      </w:r>
    </w:p>
    <w:p w14:paraId="77504046"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5CBEA5E1"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Respecto a la investigación de desvío y robo de recursos, señala que no es materia del Derecho de Acceso a la Información, ya que constituye un derecho de petición. </w:t>
      </w:r>
    </w:p>
    <w:p w14:paraId="18EE8AAC"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124AAB79"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w:t>
      </w:r>
      <w:r w:rsidRPr="0035237F">
        <w:rPr>
          <w:rFonts w:ascii="Palatino Linotype" w:eastAsia="Palatino Linotype" w:hAnsi="Palatino Linotype" w:cs="Palatino Linotype"/>
          <w:b/>
          <w:i/>
          <w:sz w:val="24"/>
          <w:szCs w:val="24"/>
          <w:u w:val="single"/>
        </w:rPr>
        <w:t>00896 COORD. ADM.pdf</w:t>
      </w:r>
      <w:r w:rsidRPr="0035237F">
        <w:rPr>
          <w:rFonts w:ascii="Palatino Linotype" w:eastAsia="Palatino Linotype" w:hAnsi="Palatino Linotype" w:cs="Palatino Linotype"/>
          <w:sz w:val="24"/>
          <w:szCs w:val="24"/>
        </w:rPr>
        <w:t xml:space="preserve">”: Oficio número 2070002000100S/IP/0353/2024 de fecha veintiocho de noviembre de dos mil veinticuatro, signado por la Servidora Pública Habilitada Suplente de la Coordinación Administrativa, mediante el cual señala que adjunta lo solicitado. </w:t>
      </w:r>
    </w:p>
    <w:p w14:paraId="55A10344"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1D073E64"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Aunado a ello, proporciona: </w:t>
      </w:r>
    </w:p>
    <w:p w14:paraId="39F15161"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79CBC1EA"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Relación del equipo de cómputo propio asignado a la U.I.P.P.E. en la que se detalla el número, </w:t>
      </w:r>
      <w:proofErr w:type="spellStart"/>
      <w:r w:rsidRPr="0035237F">
        <w:rPr>
          <w:rFonts w:ascii="Palatino Linotype" w:eastAsia="Palatino Linotype" w:hAnsi="Palatino Linotype" w:cs="Palatino Linotype"/>
          <w:sz w:val="24"/>
          <w:szCs w:val="24"/>
        </w:rPr>
        <w:t>resguardatario</w:t>
      </w:r>
      <w:proofErr w:type="spellEnd"/>
      <w:r w:rsidRPr="0035237F">
        <w:rPr>
          <w:rFonts w:ascii="Palatino Linotype" w:eastAsia="Palatino Linotype" w:hAnsi="Palatino Linotype" w:cs="Palatino Linotype"/>
          <w:sz w:val="24"/>
          <w:szCs w:val="24"/>
        </w:rPr>
        <w:t xml:space="preserve"> y sus características. </w:t>
      </w:r>
    </w:p>
    <w:p w14:paraId="18DB1962"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28698351"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Relación de cómputo rentado asignado a la U.I.P.P.E. en la que se detalla el número, </w:t>
      </w:r>
      <w:proofErr w:type="spellStart"/>
      <w:r w:rsidRPr="0035237F">
        <w:rPr>
          <w:rFonts w:ascii="Palatino Linotype" w:eastAsia="Palatino Linotype" w:hAnsi="Palatino Linotype" w:cs="Palatino Linotype"/>
          <w:sz w:val="24"/>
          <w:szCs w:val="24"/>
        </w:rPr>
        <w:t>resguardatario</w:t>
      </w:r>
      <w:proofErr w:type="spellEnd"/>
      <w:r w:rsidRPr="0035237F">
        <w:rPr>
          <w:rFonts w:ascii="Palatino Linotype" w:eastAsia="Palatino Linotype" w:hAnsi="Palatino Linotype" w:cs="Palatino Linotype"/>
          <w:sz w:val="24"/>
          <w:szCs w:val="24"/>
        </w:rPr>
        <w:t xml:space="preserve"> y sus características. </w:t>
      </w:r>
    </w:p>
    <w:p w14:paraId="72DF9589"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0678A42E"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lastRenderedPageBreak/>
        <w:t>“</w:t>
      </w:r>
      <w:r w:rsidRPr="0035237F">
        <w:rPr>
          <w:rFonts w:ascii="Palatino Linotype" w:eastAsia="Palatino Linotype" w:hAnsi="Palatino Linotype" w:cs="Palatino Linotype"/>
          <w:b/>
          <w:i/>
          <w:sz w:val="24"/>
          <w:szCs w:val="24"/>
          <w:u w:val="single"/>
        </w:rPr>
        <w:t>00896 OIC.pdf</w:t>
      </w:r>
      <w:r w:rsidRPr="0035237F">
        <w:rPr>
          <w:rFonts w:ascii="Palatino Linotype" w:eastAsia="Palatino Linotype" w:hAnsi="Palatino Linotype" w:cs="Palatino Linotype"/>
          <w:sz w:val="24"/>
          <w:szCs w:val="24"/>
        </w:rPr>
        <w:t xml:space="preserve">”: Oficio número 2070003000500S-1164/202 de fecha veinte de noviembre de dos mil veinticuatro, signado por el Servidor Público Habilitado del Órgano Interno de Control, mediante el cual le señala que los titulares de las Áreas de Auditoría, Arturo </w:t>
      </w:r>
      <w:proofErr w:type="spellStart"/>
      <w:r w:rsidRPr="0035237F">
        <w:rPr>
          <w:rFonts w:ascii="Palatino Linotype" w:eastAsia="Palatino Linotype" w:hAnsi="Palatino Linotype" w:cs="Palatino Linotype"/>
          <w:sz w:val="24"/>
          <w:szCs w:val="24"/>
        </w:rPr>
        <w:t>Irissón</w:t>
      </w:r>
      <w:proofErr w:type="spellEnd"/>
      <w:r w:rsidRPr="0035237F">
        <w:rPr>
          <w:rFonts w:ascii="Palatino Linotype" w:eastAsia="Palatino Linotype" w:hAnsi="Palatino Linotype" w:cs="Palatino Linotype"/>
          <w:sz w:val="24"/>
          <w:szCs w:val="24"/>
        </w:rPr>
        <w:t xml:space="preserve"> Bernáldez y Alejandro Tomas Miguel informaron que no cuentan con información relacionada con la solicitud, en cuanto al Titular de Auditoría, Aldo Ariel Romero de la Cruz informó que para estar en condiciones de atender la solicitud es necesario que especifique el periodo de dicha información.</w:t>
      </w:r>
    </w:p>
    <w:p w14:paraId="5D3F327B"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5C80743F"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Oficio de fecha diecinueve de noviembre de dos mil veinticuatro, signado por el Titular del Área de Auditoría, a cargo de Arturo </w:t>
      </w:r>
      <w:proofErr w:type="spellStart"/>
      <w:r w:rsidRPr="0035237F">
        <w:rPr>
          <w:rFonts w:ascii="Palatino Linotype" w:eastAsia="Palatino Linotype" w:hAnsi="Palatino Linotype" w:cs="Palatino Linotype"/>
          <w:sz w:val="24"/>
          <w:szCs w:val="24"/>
        </w:rPr>
        <w:t>Irissón</w:t>
      </w:r>
      <w:proofErr w:type="spellEnd"/>
      <w:r w:rsidRPr="0035237F">
        <w:rPr>
          <w:rFonts w:ascii="Palatino Linotype" w:eastAsia="Palatino Linotype" w:hAnsi="Palatino Linotype" w:cs="Palatino Linotype"/>
          <w:sz w:val="24"/>
          <w:szCs w:val="24"/>
        </w:rPr>
        <w:t xml:space="preserve"> Bernáldez, quien señala que realizó una búsqueda de la información solicitada, sin embargo, no encontró información alguna respecto al tema que nos ocupa. </w:t>
      </w:r>
    </w:p>
    <w:p w14:paraId="46F86D60"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4388E992"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Oficio de fecha veinte de noviembre de dos mil veinticuatro, signado por el Titular del Área de Auditoría, a cargo de Alejandro Tomas Miguel, mediante el cual señala que después de realizar una exhaustiva búsqueda en los archivos, no se cuenta información.</w:t>
      </w:r>
    </w:p>
    <w:p w14:paraId="76755CE1"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0F791196"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Oficio de fecha veinte de noviembre de dos mil veinticuatro, signado por el Titular del Área de Auditoría, a cargo de Aldo Ariel Romero de la Cruz, mediante el cual señala que para estar en condiciones de atender la solicitud es necesario que especifique el periodo. </w:t>
      </w:r>
    </w:p>
    <w:p w14:paraId="32A4660F"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67EC1AA0"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lastRenderedPageBreak/>
        <w:t>“</w:t>
      </w:r>
      <w:r w:rsidRPr="0035237F">
        <w:rPr>
          <w:rFonts w:ascii="Palatino Linotype" w:eastAsia="Palatino Linotype" w:hAnsi="Palatino Linotype" w:cs="Palatino Linotype"/>
          <w:b/>
          <w:i/>
          <w:sz w:val="24"/>
          <w:szCs w:val="24"/>
          <w:u w:val="single"/>
        </w:rPr>
        <w:t>00896 SOLICITANTE.pdf</w:t>
      </w:r>
      <w:r w:rsidRPr="0035237F">
        <w:rPr>
          <w:rFonts w:ascii="Palatino Linotype" w:eastAsia="Palatino Linotype" w:hAnsi="Palatino Linotype" w:cs="Palatino Linotype"/>
          <w:sz w:val="24"/>
          <w:szCs w:val="24"/>
        </w:rPr>
        <w:t xml:space="preserve">”: Oficio número 20700004S/UT-2499/2024 de fecha veintinueve de noviembre de dos mil veinticuatro, signado por el Jefe de la UIPPE y Titular de la Unidad de Transparencia de la Secretaría de Finanzas, mediante el cual señala que adjunta los oficios emitidos por el Servidor Público Habilitado del Órgano Interno de Control, la Servidora Pública Habilitada Suplente de la Coordinación Administrativa y Evaluación de la Secretaría de Finanzas, en donde se detalla lo referente a la solicitud en mérito. </w:t>
      </w:r>
    </w:p>
    <w:p w14:paraId="67C64969"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3CFB2074" w14:textId="77777777" w:rsidR="00724E79" w:rsidRPr="0035237F" w:rsidRDefault="00312C60">
      <w:pPr>
        <w:spacing w:after="0" w:line="360" w:lineRule="auto"/>
        <w:ind w:right="-234"/>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 xml:space="preserve">3. DEL RECURSO DE REVISIÓN. </w:t>
      </w:r>
      <w:r w:rsidRPr="0035237F">
        <w:rPr>
          <w:rFonts w:ascii="Palatino Linotype" w:eastAsia="Palatino Linotype" w:hAnsi="Palatino Linotype" w:cs="Palatino Linotype"/>
          <w:sz w:val="24"/>
          <w:szCs w:val="24"/>
        </w:rPr>
        <w:t>Inconforme con la respuesta del</w:t>
      </w:r>
      <w:r w:rsidRPr="0035237F">
        <w:rPr>
          <w:rFonts w:ascii="Palatino Linotype" w:eastAsia="Palatino Linotype" w:hAnsi="Palatino Linotype" w:cs="Palatino Linotype"/>
          <w:b/>
          <w:sz w:val="24"/>
          <w:szCs w:val="24"/>
        </w:rPr>
        <w:t xml:space="preserve"> SUJETO OBLIGADO, </w:t>
      </w:r>
      <w:r w:rsidRPr="0035237F">
        <w:rPr>
          <w:rFonts w:ascii="Palatino Linotype" w:eastAsia="Palatino Linotype" w:hAnsi="Palatino Linotype" w:cs="Palatino Linotype"/>
          <w:sz w:val="24"/>
          <w:szCs w:val="24"/>
        </w:rPr>
        <w:t>en fecha diez de diciembre de dos mil veinticuatro,</w:t>
      </w:r>
      <w:r w:rsidRPr="0035237F">
        <w:rPr>
          <w:rFonts w:ascii="Palatino Linotype" w:eastAsia="Palatino Linotype" w:hAnsi="Palatino Linotype" w:cs="Palatino Linotype"/>
          <w:b/>
          <w:sz w:val="24"/>
          <w:szCs w:val="24"/>
        </w:rPr>
        <w:t xml:space="preserve"> LA PARTE RECURRENTE </w:t>
      </w:r>
      <w:r w:rsidRPr="0035237F">
        <w:rPr>
          <w:rFonts w:ascii="Palatino Linotype" w:eastAsia="Palatino Linotype" w:hAnsi="Palatino Linotype" w:cs="Palatino Linotype"/>
          <w:sz w:val="24"/>
          <w:szCs w:val="24"/>
        </w:rPr>
        <w:t>interpuso el recurso de revisión, el cual fue registrado</w:t>
      </w:r>
      <w:r w:rsidRPr="0035237F">
        <w:rPr>
          <w:rFonts w:ascii="Palatino Linotype" w:eastAsia="Palatino Linotype" w:hAnsi="Palatino Linotype" w:cs="Palatino Linotype"/>
          <w:b/>
          <w:sz w:val="24"/>
          <w:szCs w:val="24"/>
        </w:rPr>
        <w:t xml:space="preserve"> </w:t>
      </w:r>
      <w:r w:rsidRPr="0035237F">
        <w:rPr>
          <w:rFonts w:ascii="Palatino Linotype" w:eastAsia="Palatino Linotype" w:hAnsi="Palatino Linotype" w:cs="Palatino Linotype"/>
          <w:sz w:val="24"/>
          <w:szCs w:val="24"/>
        </w:rPr>
        <w:t xml:space="preserve">en el sistema electrónico con el expediente número </w:t>
      </w:r>
      <w:r w:rsidRPr="0035237F">
        <w:rPr>
          <w:rFonts w:ascii="Palatino Linotype" w:eastAsia="Palatino Linotype" w:hAnsi="Palatino Linotype" w:cs="Palatino Linotype"/>
          <w:b/>
          <w:sz w:val="24"/>
          <w:szCs w:val="24"/>
        </w:rPr>
        <w:t>07589/INFOEM/IP/RR/2024</w:t>
      </w:r>
      <w:r w:rsidRPr="0035237F">
        <w:rPr>
          <w:rFonts w:ascii="Palatino Linotype" w:eastAsia="Palatino Linotype" w:hAnsi="Palatino Linotype" w:cs="Palatino Linotype"/>
          <w:sz w:val="24"/>
          <w:szCs w:val="24"/>
        </w:rPr>
        <w:t>, en el cual manifiesta, lo siguiente:</w:t>
      </w:r>
    </w:p>
    <w:p w14:paraId="0918DDC8" w14:textId="77777777" w:rsidR="00724E79" w:rsidRPr="0035237F" w:rsidRDefault="00724E79">
      <w:pPr>
        <w:spacing w:after="0" w:line="360" w:lineRule="auto"/>
        <w:ind w:right="-234"/>
        <w:jc w:val="both"/>
        <w:rPr>
          <w:rFonts w:ascii="Palatino Linotype" w:eastAsia="Palatino Linotype" w:hAnsi="Palatino Linotype" w:cs="Palatino Linotype"/>
          <w:sz w:val="24"/>
          <w:szCs w:val="24"/>
        </w:rPr>
      </w:pPr>
    </w:p>
    <w:p w14:paraId="1A00FAC1" w14:textId="77777777" w:rsidR="00724E79" w:rsidRPr="0035237F" w:rsidRDefault="00312C60">
      <w:pPr>
        <w:numPr>
          <w:ilvl w:val="0"/>
          <w:numId w:val="1"/>
        </w:numPr>
        <w:pBdr>
          <w:top w:val="nil"/>
          <w:left w:val="nil"/>
          <w:bottom w:val="nil"/>
          <w:right w:val="nil"/>
          <w:between w:val="nil"/>
        </w:pBdr>
        <w:spacing w:after="0" w:line="276" w:lineRule="auto"/>
        <w:jc w:val="both"/>
        <w:rPr>
          <w:rFonts w:ascii="Palatino Linotype" w:eastAsia="Palatino Linotype" w:hAnsi="Palatino Linotype" w:cs="Palatino Linotype"/>
          <w:b/>
          <w:i/>
          <w:sz w:val="24"/>
          <w:szCs w:val="24"/>
        </w:rPr>
      </w:pPr>
      <w:r w:rsidRPr="0035237F">
        <w:rPr>
          <w:rFonts w:ascii="Palatino Linotype" w:eastAsia="Palatino Linotype" w:hAnsi="Palatino Linotype" w:cs="Palatino Linotype"/>
          <w:b/>
          <w:i/>
          <w:sz w:val="24"/>
          <w:szCs w:val="24"/>
        </w:rPr>
        <w:t>Acto Impugnado:</w:t>
      </w:r>
    </w:p>
    <w:p w14:paraId="32A08153" w14:textId="77777777" w:rsidR="00724E79" w:rsidRPr="0035237F" w:rsidRDefault="00724E79">
      <w:pPr>
        <w:pBdr>
          <w:top w:val="nil"/>
          <w:left w:val="nil"/>
          <w:bottom w:val="nil"/>
          <w:right w:val="nil"/>
          <w:between w:val="nil"/>
        </w:pBdr>
        <w:spacing w:after="0" w:line="276" w:lineRule="auto"/>
        <w:ind w:left="720"/>
        <w:jc w:val="both"/>
        <w:rPr>
          <w:rFonts w:ascii="Palatino Linotype" w:eastAsia="Palatino Linotype" w:hAnsi="Palatino Linotype" w:cs="Palatino Linotype"/>
          <w:b/>
          <w:i/>
          <w:sz w:val="24"/>
          <w:szCs w:val="24"/>
        </w:rPr>
      </w:pPr>
    </w:p>
    <w:p w14:paraId="528E245E" w14:textId="77777777" w:rsidR="00724E79" w:rsidRPr="0035237F" w:rsidRDefault="00312C60">
      <w:pPr>
        <w:tabs>
          <w:tab w:val="left" w:pos="8222"/>
        </w:tabs>
        <w:spacing w:after="0" w:line="276" w:lineRule="auto"/>
        <w:ind w:left="851" w:right="616"/>
        <w:jc w:val="both"/>
        <w:rPr>
          <w:rFonts w:ascii="Palatino Linotype" w:eastAsia="Palatino Linotype" w:hAnsi="Palatino Linotype" w:cs="Palatino Linotype"/>
          <w:i/>
        </w:rPr>
      </w:pPr>
      <w:r w:rsidRPr="0035237F">
        <w:rPr>
          <w:rFonts w:ascii="Palatino Linotype" w:eastAsia="Palatino Linotype" w:hAnsi="Palatino Linotype" w:cs="Palatino Linotype"/>
          <w:i/>
        </w:rPr>
        <w:t>“IMPUGNO LA RESPUETA YA QUE NO ES POSOBLE QUE NO EXISTAN AUDITORIAS E INSPECCIONES QUE EL ORGANO DE CONTROL INTERNO DE LA SECRETARÍA DE FINANZAS HA PRACTICADO A LA UIPPE DE LA SECRETARÍA DE FINANZAS Y SABER SI HAN INVESTIGADO EL DESVÍO Y ROBO DE RECURSOS QUE HA LLEVADO A CABO MARIO REYES SANTOS, CLAUDIA NOGUEZ GONZÁLEZ, TONATHIU GERARDO RAMÍREZ FUENTES Y JUAN CAMPOS LANDA. REQUIERO EL NÚMERO DE EQUIPOS DE CÓMPUTO ASIGNADOS A LA UIPPE, CARACTERISTICAS DE CADA UNO, ASÍ COMO EL NOMBRE DEL RESGUARDATARIO Y USUARIO DE CADA UNO.” [sic]</w:t>
      </w:r>
    </w:p>
    <w:p w14:paraId="32161479" w14:textId="77777777" w:rsidR="00724E79" w:rsidRPr="0035237F" w:rsidRDefault="00724E79">
      <w:pPr>
        <w:tabs>
          <w:tab w:val="left" w:pos="8222"/>
        </w:tabs>
        <w:spacing w:after="0" w:line="276" w:lineRule="auto"/>
        <w:ind w:left="851" w:right="616"/>
        <w:jc w:val="both"/>
        <w:rPr>
          <w:rFonts w:ascii="Palatino Linotype" w:eastAsia="Palatino Linotype" w:hAnsi="Palatino Linotype" w:cs="Palatino Linotype"/>
          <w:i/>
        </w:rPr>
      </w:pPr>
    </w:p>
    <w:p w14:paraId="141C3622" w14:textId="77777777" w:rsidR="00724E79" w:rsidRPr="0035237F" w:rsidRDefault="00312C60">
      <w:pPr>
        <w:numPr>
          <w:ilvl w:val="0"/>
          <w:numId w:val="1"/>
        </w:numPr>
        <w:pBdr>
          <w:top w:val="nil"/>
          <w:left w:val="nil"/>
          <w:bottom w:val="nil"/>
          <w:right w:val="nil"/>
          <w:between w:val="nil"/>
        </w:pBdr>
        <w:spacing w:after="0" w:line="276" w:lineRule="auto"/>
        <w:rPr>
          <w:rFonts w:ascii="Palatino Linotype" w:eastAsia="Palatino Linotype" w:hAnsi="Palatino Linotype" w:cs="Palatino Linotype"/>
          <w:i/>
          <w:sz w:val="24"/>
          <w:szCs w:val="24"/>
        </w:rPr>
      </w:pPr>
      <w:r w:rsidRPr="0035237F">
        <w:rPr>
          <w:rFonts w:ascii="Palatino Linotype" w:eastAsia="Palatino Linotype" w:hAnsi="Palatino Linotype" w:cs="Palatino Linotype"/>
          <w:b/>
          <w:i/>
          <w:sz w:val="24"/>
          <w:szCs w:val="24"/>
        </w:rPr>
        <w:lastRenderedPageBreak/>
        <w:t>Razones o Motivos de Inconformidad</w:t>
      </w:r>
      <w:r w:rsidRPr="0035237F">
        <w:rPr>
          <w:rFonts w:ascii="Palatino Linotype" w:eastAsia="Palatino Linotype" w:hAnsi="Palatino Linotype" w:cs="Palatino Linotype"/>
          <w:i/>
          <w:sz w:val="24"/>
          <w:szCs w:val="24"/>
        </w:rPr>
        <w:t>:</w:t>
      </w:r>
    </w:p>
    <w:p w14:paraId="19557778" w14:textId="77777777" w:rsidR="00724E79" w:rsidRPr="0035237F" w:rsidRDefault="00724E79">
      <w:pPr>
        <w:pBdr>
          <w:top w:val="nil"/>
          <w:left w:val="nil"/>
          <w:bottom w:val="nil"/>
          <w:right w:val="nil"/>
          <w:between w:val="nil"/>
        </w:pBdr>
        <w:spacing w:after="0" w:line="276" w:lineRule="auto"/>
        <w:ind w:left="720"/>
        <w:rPr>
          <w:rFonts w:ascii="Palatino Linotype" w:eastAsia="Palatino Linotype" w:hAnsi="Palatino Linotype" w:cs="Palatino Linotype"/>
          <w:i/>
          <w:sz w:val="24"/>
          <w:szCs w:val="24"/>
        </w:rPr>
      </w:pPr>
    </w:p>
    <w:p w14:paraId="7ED4E426" w14:textId="77777777" w:rsidR="00724E79" w:rsidRPr="0035237F" w:rsidRDefault="00312C60">
      <w:pPr>
        <w:spacing w:after="0" w:line="276" w:lineRule="auto"/>
        <w:ind w:left="851" w:right="616"/>
        <w:jc w:val="both"/>
        <w:rPr>
          <w:rFonts w:ascii="Palatino Linotype" w:eastAsia="Palatino Linotype" w:hAnsi="Palatino Linotype" w:cs="Palatino Linotype"/>
          <w:i/>
        </w:rPr>
      </w:pPr>
      <w:r w:rsidRPr="0035237F">
        <w:rPr>
          <w:rFonts w:ascii="Palatino Linotype" w:eastAsia="Palatino Linotype" w:hAnsi="Palatino Linotype" w:cs="Palatino Linotype"/>
          <w:i/>
          <w:sz w:val="24"/>
          <w:szCs w:val="24"/>
        </w:rPr>
        <w:t>“</w:t>
      </w:r>
      <w:r w:rsidRPr="0035237F">
        <w:rPr>
          <w:rFonts w:ascii="Palatino Linotype" w:eastAsia="Palatino Linotype" w:hAnsi="Palatino Linotype" w:cs="Palatino Linotype"/>
          <w:i/>
        </w:rPr>
        <w:t>TAMBIEN LA CONTRALORIA ES COMPLICE?” [sic]</w:t>
      </w:r>
    </w:p>
    <w:p w14:paraId="4841706D" w14:textId="77777777" w:rsidR="00724E79" w:rsidRPr="0035237F" w:rsidRDefault="00724E79">
      <w:pPr>
        <w:spacing w:after="0" w:line="276" w:lineRule="auto"/>
        <w:ind w:left="851" w:right="616"/>
        <w:jc w:val="both"/>
        <w:rPr>
          <w:rFonts w:ascii="Palatino Linotype" w:eastAsia="Palatino Linotype" w:hAnsi="Palatino Linotype" w:cs="Palatino Linotype"/>
          <w:i/>
        </w:rPr>
      </w:pPr>
    </w:p>
    <w:p w14:paraId="1182F1B9"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 xml:space="preserve">4. TURNO. </w:t>
      </w:r>
      <w:r w:rsidRPr="0035237F">
        <w:rPr>
          <w:rFonts w:ascii="Palatino Linotype" w:eastAsia="Palatino Linotype" w:hAnsi="Palatino Linotype" w:cs="Palatino Linotype"/>
          <w:sz w:val="24"/>
          <w:szCs w:val="24"/>
        </w:rPr>
        <w:t xml:space="preserve">De conformidad con el artículo 185 fracción I de la Ley de Transparencia y Acceso a la Información Pública del Estado de México y Municipios vigente, el presente recurso de revisión se turnó por el sistema electrónico del Instituto de Transparencia, Acceso a la Información Pública y Protección de Datos Personales del Estado de México y Municipios, a la Comisionada </w:t>
      </w:r>
      <w:r w:rsidRPr="0035237F">
        <w:rPr>
          <w:rFonts w:ascii="Palatino Linotype" w:eastAsia="Palatino Linotype" w:hAnsi="Palatino Linotype" w:cs="Palatino Linotype"/>
          <w:b/>
          <w:sz w:val="24"/>
          <w:szCs w:val="24"/>
        </w:rPr>
        <w:t xml:space="preserve">Guadalupe Ramírez Peña, </w:t>
      </w:r>
      <w:r w:rsidRPr="0035237F">
        <w:rPr>
          <w:rFonts w:ascii="Palatino Linotype" w:eastAsia="Palatino Linotype" w:hAnsi="Palatino Linotype" w:cs="Palatino Linotype"/>
          <w:sz w:val="24"/>
          <w:szCs w:val="24"/>
        </w:rPr>
        <w:t xml:space="preserve">a efecto de que analizara sobre su admisión o su </w:t>
      </w:r>
      <w:proofErr w:type="spellStart"/>
      <w:r w:rsidRPr="0035237F">
        <w:rPr>
          <w:rFonts w:ascii="Palatino Linotype" w:eastAsia="Palatino Linotype" w:hAnsi="Palatino Linotype" w:cs="Palatino Linotype"/>
          <w:sz w:val="24"/>
          <w:szCs w:val="24"/>
        </w:rPr>
        <w:t>desechamiento</w:t>
      </w:r>
      <w:proofErr w:type="spellEnd"/>
      <w:r w:rsidRPr="0035237F">
        <w:rPr>
          <w:rFonts w:ascii="Palatino Linotype" w:eastAsia="Palatino Linotype" w:hAnsi="Palatino Linotype" w:cs="Palatino Linotype"/>
          <w:sz w:val="24"/>
          <w:szCs w:val="24"/>
        </w:rPr>
        <w:t>.</w:t>
      </w:r>
    </w:p>
    <w:p w14:paraId="677FFDCD"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34389922"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5. ADMISIÓN DEL RECURSO DE REVISIÓN.</w:t>
      </w:r>
      <w:r w:rsidRPr="0035237F">
        <w:rPr>
          <w:rFonts w:ascii="Palatino Linotype" w:eastAsia="Palatino Linotype" w:hAnsi="Palatino Linotype" w:cs="Palatino Linotype"/>
          <w:sz w:val="24"/>
          <w:szCs w:val="24"/>
        </w:rPr>
        <w:t xml:space="preserve"> Con fecha</w:t>
      </w:r>
      <w:r w:rsidRPr="0035237F">
        <w:rPr>
          <w:rFonts w:ascii="Palatino Linotype" w:eastAsia="Palatino Linotype" w:hAnsi="Palatino Linotype" w:cs="Palatino Linotype"/>
          <w:b/>
          <w:sz w:val="24"/>
          <w:szCs w:val="24"/>
        </w:rPr>
        <w:t xml:space="preserve"> dieciséis de diciembre de dos mil veinticuatro</w:t>
      </w:r>
      <w:r w:rsidRPr="0035237F">
        <w:rPr>
          <w:rFonts w:ascii="Palatino Linotype" w:eastAsia="Palatino Linotype" w:hAnsi="Palatino Linotype" w:cs="Palatino Linotype"/>
          <w:sz w:val="24"/>
          <w:szCs w:val="24"/>
        </w:rPr>
        <w:t>,</w:t>
      </w:r>
      <w:r w:rsidRPr="0035237F">
        <w:rPr>
          <w:rFonts w:ascii="Palatino Linotype" w:eastAsia="Palatino Linotype" w:hAnsi="Palatino Linotype" w:cs="Palatino Linotype"/>
          <w:b/>
          <w:sz w:val="24"/>
          <w:szCs w:val="24"/>
        </w:rPr>
        <w:t xml:space="preserve"> </w:t>
      </w:r>
      <w:r w:rsidRPr="0035237F">
        <w:rPr>
          <w:rFonts w:ascii="Palatino Linotype" w:eastAsia="Palatino Linotype" w:hAnsi="Palatino Linotype" w:cs="Palatino Linotype"/>
          <w:sz w:val="24"/>
          <w:szCs w:val="24"/>
        </w:rPr>
        <w:t xml:space="preserve">este Instituto de Transparencia, Acceso a la Información Pública y Protección de Datos Personales del Estado de México y Municipios, admitió a trámite el recurso de revisión que ahora se resuelve, dando un plazo máximo de siete días hábiles para que las partes manifestaran lo que a su derecho resultara conveniente, ofrecieran pruebas, formularan alegatos y </w:t>
      </w:r>
      <w:r w:rsidRPr="0035237F">
        <w:rPr>
          <w:rFonts w:ascii="Palatino Linotype" w:eastAsia="Palatino Linotype" w:hAnsi="Palatino Linotype" w:cs="Palatino Linotype"/>
          <w:b/>
          <w:sz w:val="24"/>
          <w:szCs w:val="24"/>
        </w:rPr>
        <w:t xml:space="preserve">EL SUJETO OBLIGADO </w:t>
      </w:r>
      <w:r w:rsidRPr="0035237F">
        <w:rPr>
          <w:rFonts w:ascii="Palatino Linotype" w:eastAsia="Palatino Linotype" w:hAnsi="Palatino Linotype" w:cs="Palatino Linotype"/>
          <w:sz w:val="24"/>
          <w:szCs w:val="24"/>
        </w:rPr>
        <w:t>presentará su informe justificado.</w:t>
      </w:r>
    </w:p>
    <w:p w14:paraId="7A578A42"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0B600F2C" w14:textId="77777777" w:rsidR="00724E79" w:rsidRPr="0035237F" w:rsidRDefault="00312C60">
      <w:pPr>
        <w:spacing w:after="0" w:line="360" w:lineRule="auto"/>
        <w:ind w:right="4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6. MANIFESTACIONES E INFORME JUSTIFICADO.</w:t>
      </w:r>
      <w:r w:rsidRPr="0035237F">
        <w:rPr>
          <w:rFonts w:ascii="Palatino Linotype" w:eastAsia="Palatino Linotype" w:hAnsi="Palatino Linotype" w:cs="Palatino Linotype"/>
          <w:sz w:val="24"/>
          <w:szCs w:val="24"/>
        </w:rPr>
        <w:t xml:space="preserve"> Con fecha diecinueve de diciembre dos mil veinticuatro se recibió, a través del Sistema de Acceso a la Información Mexiquense (SAIMEX) se recibió el informe justificado del </w:t>
      </w:r>
      <w:r w:rsidRPr="0035237F">
        <w:rPr>
          <w:rFonts w:ascii="Palatino Linotype" w:eastAsia="Palatino Linotype" w:hAnsi="Palatino Linotype" w:cs="Palatino Linotype"/>
          <w:b/>
          <w:sz w:val="24"/>
          <w:szCs w:val="24"/>
        </w:rPr>
        <w:t>SUJETO OBLIGADO</w:t>
      </w:r>
      <w:r w:rsidRPr="0035237F">
        <w:rPr>
          <w:rFonts w:ascii="Palatino Linotype" w:eastAsia="Palatino Linotype" w:hAnsi="Palatino Linotype" w:cs="Palatino Linotype"/>
          <w:strike/>
          <w:sz w:val="24"/>
          <w:szCs w:val="24"/>
        </w:rPr>
        <w:t>,</w:t>
      </w:r>
      <w:r w:rsidRPr="0035237F">
        <w:rPr>
          <w:rFonts w:ascii="Palatino Linotype" w:eastAsia="Palatino Linotype" w:hAnsi="Palatino Linotype" w:cs="Palatino Linotype"/>
          <w:b/>
          <w:sz w:val="24"/>
          <w:szCs w:val="24"/>
        </w:rPr>
        <w:t xml:space="preserve"> </w:t>
      </w:r>
      <w:r w:rsidRPr="0035237F">
        <w:rPr>
          <w:rFonts w:ascii="Palatino Linotype" w:eastAsia="Palatino Linotype" w:hAnsi="Palatino Linotype" w:cs="Palatino Linotype"/>
          <w:sz w:val="24"/>
          <w:szCs w:val="24"/>
        </w:rPr>
        <w:t xml:space="preserve">a través de los siguientes archivos electrónicos: </w:t>
      </w:r>
    </w:p>
    <w:p w14:paraId="7F32D4EF" w14:textId="77777777" w:rsidR="00724E79" w:rsidRPr="0035237F" w:rsidRDefault="00724E79">
      <w:pPr>
        <w:spacing w:after="0" w:line="360" w:lineRule="auto"/>
        <w:ind w:right="49"/>
        <w:jc w:val="both"/>
        <w:rPr>
          <w:rFonts w:ascii="Palatino Linotype" w:eastAsia="Palatino Linotype" w:hAnsi="Palatino Linotype" w:cs="Palatino Linotype"/>
          <w:sz w:val="24"/>
          <w:szCs w:val="24"/>
        </w:rPr>
      </w:pPr>
    </w:p>
    <w:p w14:paraId="5C1FDFBD"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lastRenderedPageBreak/>
        <w:t>“</w:t>
      </w:r>
      <w:r w:rsidRPr="0035237F">
        <w:rPr>
          <w:rFonts w:ascii="Palatino Linotype" w:eastAsia="Palatino Linotype" w:hAnsi="Palatino Linotype" w:cs="Palatino Linotype"/>
          <w:b/>
          <w:i/>
          <w:sz w:val="24"/>
          <w:szCs w:val="24"/>
          <w:u w:val="single"/>
        </w:rPr>
        <w:t>RR 7589-2024 UIPPE.pdf</w:t>
      </w:r>
      <w:r w:rsidRPr="0035237F">
        <w:rPr>
          <w:rFonts w:ascii="Palatino Linotype" w:eastAsia="Palatino Linotype" w:hAnsi="Palatino Linotype" w:cs="Palatino Linotype"/>
          <w:sz w:val="24"/>
          <w:szCs w:val="24"/>
        </w:rPr>
        <w:t>”: Oficio de fecha dieciocho de diciembre de dos mil veinticuatro, signado por la Servidora Pública Habilitada de la Unidad de Información, Planeación, Programación y Evaluación, mediante el cual ratifica en términos generales su respuesta inicial.</w:t>
      </w:r>
    </w:p>
    <w:p w14:paraId="4DD74CDF"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57ACE07A"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w:t>
      </w:r>
      <w:r w:rsidRPr="0035237F">
        <w:rPr>
          <w:rFonts w:ascii="Palatino Linotype" w:eastAsia="Palatino Linotype" w:hAnsi="Palatino Linotype" w:cs="Palatino Linotype"/>
          <w:b/>
          <w:i/>
          <w:sz w:val="24"/>
          <w:szCs w:val="24"/>
          <w:u w:val="single"/>
        </w:rPr>
        <w:t>RR 7589-2024 OIC.pdf</w:t>
      </w:r>
      <w:r w:rsidRPr="0035237F">
        <w:rPr>
          <w:rFonts w:ascii="Palatino Linotype" w:eastAsia="Palatino Linotype" w:hAnsi="Palatino Linotype" w:cs="Palatino Linotype"/>
          <w:sz w:val="24"/>
          <w:szCs w:val="24"/>
        </w:rPr>
        <w:t xml:space="preserve">”: Oficio de fecha diecisiete de diciembre de dos mil veinticuatro, signado por el Servidor Público Habilitado del Órgano Interno de Control, mediante el cual señala que en respuesta los Titulares de las Áreas de Auditoría, Arturo </w:t>
      </w:r>
      <w:proofErr w:type="spellStart"/>
      <w:r w:rsidRPr="0035237F">
        <w:rPr>
          <w:rFonts w:ascii="Palatino Linotype" w:eastAsia="Palatino Linotype" w:hAnsi="Palatino Linotype" w:cs="Palatino Linotype"/>
          <w:sz w:val="24"/>
          <w:szCs w:val="24"/>
        </w:rPr>
        <w:t>Irissón</w:t>
      </w:r>
      <w:proofErr w:type="spellEnd"/>
      <w:r w:rsidRPr="0035237F">
        <w:rPr>
          <w:rFonts w:ascii="Palatino Linotype" w:eastAsia="Palatino Linotype" w:hAnsi="Palatino Linotype" w:cs="Palatino Linotype"/>
          <w:sz w:val="24"/>
          <w:szCs w:val="24"/>
        </w:rPr>
        <w:t xml:space="preserve"> Bernáldez y Alejandro Tomas Miguel informaron que no cuentan con información relacionada con la solicitud de información, mientras que el Titular del Área de Auditoría, Aldo Ariel Romero de la Cruz, señaló que para estar en posibilidades de atender la solicitud de información es necesario que el solicitante especificara el periodo de la información requerida, situación que no aclaró en el recurso de revisión, lo que imposibilita realizar una búsqueda exhaustiva y razonable de la información. </w:t>
      </w:r>
    </w:p>
    <w:p w14:paraId="1E2C7D84"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2BD7F896"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w:t>
      </w:r>
      <w:r w:rsidRPr="0035237F">
        <w:rPr>
          <w:rFonts w:ascii="Palatino Linotype" w:eastAsia="Palatino Linotype" w:hAnsi="Palatino Linotype" w:cs="Palatino Linotype"/>
          <w:b/>
          <w:i/>
          <w:sz w:val="24"/>
          <w:szCs w:val="24"/>
          <w:u w:val="single"/>
        </w:rPr>
        <w:t>RR 7589-2024 INFORME JUSTIFICADO.pdf</w:t>
      </w:r>
      <w:r w:rsidRPr="0035237F">
        <w:rPr>
          <w:rFonts w:ascii="Palatino Linotype" w:eastAsia="Palatino Linotype" w:hAnsi="Palatino Linotype" w:cs="Palatino Linotype"/>
          <w:sz w:val="24"/>
          <w:szCs w:val="24"/>
        </w:rPr>
        <w:t xml:space="preserve">”: Oficio de fecha dieciocho de diciembre de dos mil veinticuatro, signado por la </w:t>
      </w:r>
      <w:proofErr w:type="gramStart"/>
      <w:r w:rsidRPr="0035237F">
        <w:rPr>
          <w:rFonts w:ascii="Palatino Linotype" w:eastAsia="Palatino Linotype" w:hAnsi="Palatino Linotype" w:cs="Palatino Linotype"/>
          <w:sz w:val="24"/>
          <w:szCs w:val="24"/>
        </w:rPr>
        <w:t>Directora</w:t>
      </w:r>
      <w:proofErr w:type="gramEnd"/>
      <w:r w:rsidRPr="0035237F">
        <w:rPr>
          <w:rFonts w:ascii="Palatino Linotype" w:eastAsia="Palatino Linotype" w:hAnsi="Palatino Linotype" w:cs="Palatino Linotype"/>
          <w:sz w:val="24"/>
          <w:szCs w:val="24"/>
        </w:rPr>
        <w:t xml:space="preserve"> de Información, mediante el cual describe las constancias que obran en el SAIMEX, ratificando en términos generales su respuesta inicial.</w:t>
      </w:r>
    </w:p>
    <w:p w14:paraId="17685ED9"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1A0B61D5"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lastRenderedPageBreak/>
        <w:t>“</w:t>
      </w:r>
      <w:r w:rsidRPr="0035237F">
        <w:rPr>
          <w:rFonts w:ascii="Palatino Linotype" w:eastAsia="Palatino Linotype" w:hAnsi="Palatino Linotype" w:cs="Palatino Linotype"/>
          <w:b/>
          <w:i/>
          <w:sz w:val="24"/>
          <w:szCs w:val="24"/>
          <w:u w:val="single"/>
        </w:rPr>
        <w:t>RR 7589-2024 CA.pdf</w:t>
      </w:r>
      <w:r w:rsidRPr="0035237F">
        <w:rPr>
          <w:rFonts w:ascii="Palatino Linotype" w:eastAsia="Palatino Linotype" w:hAnsi="Palatino Linotype" w:cs="Palatino Linotype"/>
          <w:sz w:val="24"/>
          <w:szCs w:val="24"/>
        </w:rPr>
        <w:t xml:space="preserve">”: Oficio de fecha dieciséis de diciembre de dos mil veinticuatro, signado por la Servidora Pública Habilitada Suplente de la Coordinación Administrativa, mediante el cual ratifica su respuesta inicial.  </w:t>
      </w:r>
    </w:p>
    <w:p w14:paraId="41B4E84B"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54405CC3"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Documentos que se pusieron a la vista de </w:t>
      </w:r>
      <w:r w:rsidRPr="0035237F">
        <w:rPr>
          <w:rFonts w:ascii="Palatino Linotype" w:eastAsia="Palatino Linotype" w:hAnsi="Palatino Linotype" w:cs="Palatino Linotype"/>
          <w:b/>
          <w:sz w:val="24"/>
          <w:szCs w:val="24"/>
        </w:rPr>
        <w:t xml:space="preserve">LA PARTE RECURRENTE </w:t>
      </w:r>
      <w:r w:rsidRPr="0035237F">
        <w:rPr>
          <w:rFonts w:ascii="Palatino Linotype" w:eastAsia="Palatino Linotype" w:hAnsi="Palatino Linotype" w:cs="Palatino Linotype"/>
          <w:sz w:val="24"/>
          <w:szCs w:val="24"/>
        </w:rPr>
        <w:t xml:space="preserve">en fecha trece de enero de dos mil veinticinco, mismo que resultó omiso de emitir sus manifestaciones conforme a derecho le corresponde. </w:t>
      </w:r>
    </w:p>
    <w:p w14:paraId="443384AC"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0775A08A"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 xml:space="preserve">7. CIERRE DE INSTRUCCIÓN. </w:t>
      </w:r>
      <w:r w:rsidRPr="0035237F">
        <w:rPr>
          <w:rFonts w:ascii="Palatino Linotype" w:eastAsia="Palatino Linotype" w:hAnsi="Palatino Linotype" w:cs="Palatino Linotype"/>
          <w:sz w:val="24"/>
          <w:szCs w:val="24"/>
        </w:rPr>
        <w:t xml:space="preserve">El diecisiete de </w:t>
      </w:r>
      <w:proofErr w:type="gramStart"/>
      <w:r w:rsidRPr="0035237F">
        <w:rPr>
          <w:rFonts w:ascii="Palatino Linotype" w:eastAsia="Palatino Linotype" w:hAnsi="Palatino Linotype" w:cs="Palatino Linotype"/>
          <w:sz w:val="24"/>
          <w:szCs w:val="24"/>
        </w:rPr>
        <w:t>enero  de</w:t>
      </w:r>
      <w:proofErr w:type="gramEnd"/>
      <w:r w:rsidRPr="0035237F">
        <w:rPr>
          <w:rFonts w:ascii="Palatino Linotype" w:eastAsia="Palatino Linotype" w:hAnsi="Palatino Linotype" w:cs="Palatino Linotype"/>
          <w:sz w:val="24"/>
          <w:szCs w:val="24"/>
        </w:rPr>
        <w:t xml:space="preserve"> dos mil veinticinco al no existir diligencias pendientes por desahogar, se emitió el acuerdo por medio del cual se declaró cerrada la instrucción y se determinó pasar el expediente a resolución, en términos del artículo 185 fracción VI y VIII de la Ley de Transparencia y Acceso a la Información Pública del Estado de México y Municipios, iniciando el término legal para dictar resolución definitiva del asunto.</w:t>
      </w:r>
    </w:p>
    <w:p w14:paraId="469C90BE"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7F69B537"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En razón de que fue debidamente sustanciado el expediente electrónico y no existe diligencia pendiente de desahogo, se emite la Resolución que conforme a Derecho proceda, de acuerdo con los siguientes:</w:t>
      </w:r>
    </w:p>
    <w:p w14:paraId="155A0A46"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3A48ECAE" w14:textId="77777777" w:rsidR="00724E79" w:rsidRPr="0035237F" w:rsidRDefault="00312C60">
      <w:pPr>
        <w:widowControl w:val="0"/>
        <w:spacing w:after="0" w:line="360" w:lineRule="auto"/>
        <w:jc w:val="center"/>
        <w:rPr>
          <w:rFonts w:ascii="Palatino Linotype" w:eastAsia="Palatino Linotype" w:hAnsi="Palatino Linotype" w:cs="Palatino Linotype"/>
          <w:b/>
          <w:sz w:val="24"/>
          <w:szCs w:val="24"/>
        </w:rPr>
      </w:pPr>
      <w:r w:rsidRPr="0035237F">
        <w:rPr>
          <w:rFonts w:ascii="Palatino Linotype" w:eastAsia="Palatino Linotype" w:hAnsi="Palatino Linotype" w:cs="Palatino Linotype"/>
          <w:b/>
          <w:sz w:val="24"/>
          <w:szCs w:val="24"/>
        </w:rPr>
        <w:t>C O N S I D E R A N D O S</w:t>
      </w:r>
    </w:p>
    <w:p w14:paraId="1AACB378" w14:textId="77777777" w:rsidR="00724E79" w:rsidRPr="0035237F" w:rsidRDefault="00724E79">
      <w:pPr>
        <w:widowControl w:val="0"/>
        <w:spacing w:after="0" w:line="360" w:lineRule="auto"/>
        <w:jc w:val="center"/>
        <w:rPr>
          <w:rFonts w:ascii="Palatino Linotype" w:eastAsia="Palatino Linotype" w:hAnsi="Palatino Linotype" w:cs="Palatino Linotype"/>
          <w:b/>
          <w:sz w:val="24"/>
          <w:szCs w:val="24"/>
        </w:rPr>
      </w:pPr>
    </w:p>
    <w:p w14:paraId="6E6DB76A"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PRIMERO. COMPETENCIA.</w:t>
      </w:r>
      <w:r w:rsidRPr="0035237F">
        <w:rPr>
          <w:rFonts w:ascii="Palatino Linotype" w:eastAsia="Palatino Linotype" w:hAnsi="Palatino Linotype" w:cs="Palatino Linotype"/>
          <w:sz w:val="24"/>
          <w:szCs w:val="24"/>
        </w:rPr>
        <w:t xml:space="preserve"> El Instituto de Transparencia, Acceso a la Información Pública y Protección de Datos Personales del Estado de México y </w:t>
      </w:r>
      <w:r w:rsidRPr="0035237F">
        <w:rPr>
          <w:rFonts w:ascii="Palatino Linotype" w:eastAsia="Palatino Linotype" w:hAnsi="Palatino Linotype" w:cs="Palatino Linotype"/>
          <w:sz w:val="24"/>
          <w:szCs w:val="24"/>
        </w:rPr>
        <w:lastRenderedPageBreak/>
        <w:t>Municipios, es competente para conocer y resolver el presente recurso de revisión interpuesto por la parte recurrente, conforme a lo dispuesto en los artículos 6, apartado A de la Constitución Política de los Estados Unidos Mexicanos; 5 párrafos trigésimo segundo, trigésimo tercero y trigésimo cuarto fracciones IV y V de la Constitución Política del Estado Libre y Soberano de México; 2, fracción II; 29, 36 fracciones I y II; 176, 178, 181, 185, fracción I, 186 y 188 de la Ley Transparencia y Acceso a la Información Pública del Estado de México y Municipios; 9, fracciones I y XXIII y 11 del Reglamento Interior del Instituto de Transparencia, Acceso a la Información Pública y Protección de Datos Personales del Estado de México y Municipios.</w:t>
      </w:r>
    </w:p>
    <w:p w14:paraId="02225FE3"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7BC53D09" w14:textId="77777777" w:rsidR="00724E79" w:rsidRPr="0035237F" w:rsidRDefault="00312C60">
      <w:pPr>
        <w:spacing w:after="0" w:line="360" w:lineRule="auto"/>
        <w:ind w:right="4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 xml:space="preserve">SEGUNDO. OPORTUNIDAD Y PROCEDIBILIDAD DEL RECURSO DE REVISIÓN.  </w:t>
      </w:r>
      <w:r w:rsidRPr="0035237F">
        <w:rPr>
          <w:rFonts w:ascii="Palatino Linotype" w:eastAsia="Palatino Linotype" w:hAnsi="Palatino Linotype" w:cs="Palatino Linotype"/>
          <w:sz w:val="24"/>
          <w:szCs w:val="24"/>
        </w:rPr>
        <w:t>Previo al estudio del fondo del asunto, se procede a analizar los requisitos de oportunidad y procedibilidad que debe reunir el recurso de revisión interpuesto, previsto en el artículo 178 y 180 de la Ley de Transparencia y Acceso a la Información Pública del Estado de México y Municipios.</w:t>
      </w:r>
    </w:p>
    <w:p w14:paraId="58C37D9A"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5EB66D1D"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El recurso de revisión fue interpuesto dentro del plazo de quince días hábiles previsto en el artículo 178 de la Ley de Transparencia y Acceso a la Información Pública del Estado de México y Municipios, contados a partir de la fecha en que</w:t>
      </w:r>
      <w:r w:rsidRPr="0035237F">
        <w:rPr>
          <w:rFonts w:ascii="Palatino Linotype" w:eastAsia="Palatino Linotype" w:hAnsi="Palatino Linotype" w:cs="Palatino Linotype"/>
          <w:b/>
          <w:sz w:val="24"/>
          <w:szCs w:val="24"/>
        </w:rPr>
        <w:t xml:space="preserve"> EL SUJETO OBLIGADO </w:t>
      </w:r>
      <w:r w:rsidRPr="0035237F">
        <w:rPr>
          <w:rFonts w:ascii="Palatino Linotype" w:eastAsia="Palatino Linotype" w:hAnsi="Palatino Linotype" w:cs="Palatino Linotype"/>
          <w:sz w:val="24"/>
          <w:szCs w:val="24"/>
        </w:rPr>
        <w:t xml:space="preserve">emitió la respuesta, toda vez que esta fue pronunciada el día cinco de diciembre del año dos mil veinticuatro, mientras que </w:t>
      </w:r>
      <w:r w:rsidRPr="0035237F">
        <w:rPr>
          <w:rFonts w:ascii="Palatino Linotype" w:eastAsia="Palatino Linotype" w:hAnsi="Palatino Linotype" w:cs="Palatino Linotype"/>
          <w:b/>
          <w:sz w:val="24"/>
          <w:szCs w:val="24"/>
        </w:rPr>
        <w:t>LA PARTE</w:t>
      </w:r>
      <w:r w:rsidRPr="0035237F">
        <w:rPr>
          <w:rFonts w:ascii="Palatino Linotype" w:eastAsia="Palatino Linotype" w:hAnsi="Palatino Linotype" w:cs="Palatino Linotype"/>
          <w:sz w:val="24"/>
          <w:szCs w:val="24"/>
        </w:rPr>
        <w:t xml:space="preserve"> </w:t>
      </w:r>
      <w:r w:rsidRPr="0035237F">
        <w:rPr>
          <w:rFonts w:ascii="Palatino Linotype" w:eastAsia="Palatino Linotype" w:hAnsi="Palatino Linotype" w:cs="Palatino Linotype"/>
          <w:b/>
          <w:sz w:val="24"/>
          <w:szCs w:val="24"/>
        </w:rPr>
        <w:lastRenderedPageBreak/>
        <w:t>RECURRENTE</w:t>
      </w:r>
      <w:r w:rsidRPr="0035237F">
        <w:rPr>
          <w:rFonts w:ascii="Palatino Linotype" w:eastAsia="Palatino Linotype" w:hAnsi="Palatino Linotype" w:cs="Palatino Linotype"/>
          <w:sz w:val="24"/>
          <w:szCs w:val="24"/>
        </w:rPr>
        <w:t xml:space="preserve"> interpuso el recurso de revisión en fecha diez de diciembre de dos mil veinticuatro, es decir, al tercer día hábil de haber recibido la respuesta. </w:t>
      </w:r>
    </w:p>
    <w:p w14:paraId="1784C828"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5BFF591B"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Además, por cuanto hace a la procedibilidad del recurso de revisión, es de suma importancia señalar que </w:t>
      </w:r>
      <w:r w:rsidRPr="0035237F">
        <w:rPr>
          <w:rFonts w:ascii="Palatino Linotype" w:eastAsia="Palatino Linotype" w:hAnsi="Palatino Linotype" w:cs="Palatino Linotype"/>
          <w:b/>
          <w:sz w:val="24"/>
          <w:szCs w:val="24"/>
        </w:rPr>
        <w:t>LA PARTE</w:t>
      </w:r>
      <w:r w:rsidRPr="0035237F">
        <w:rPr>
          <w:rFonts w:ascii="Palatino Linotype" w:eastAsia="Palatino Linotype" w:hAnsi="Palatino Linotype" w:cs="Palatino Linotype"/>
          <w:sz w:val="24"/>
          <w:szCs w:val="24"/>
        </w:rPr>
        <w:t xml:space="preserve"> </w:t>
      </w:r>
      <w:r w:rsidRPr="0035237F">
        <w:rPr>
          <w:rFonts w:ascii="Palatino Linotype" w:eastAsia="Palatino Linotype" w:hAnsi="Palatino Linotype" w:cs="Palatino Linotype"/>
          <w:b/>
          <w:sz w:val="24"/>
          <w:szCs w:val="24"/>
        </w:rPr>
        <w:t>RECURRENTE</w:t>
      </w:r>
      <w:r w:rsidRPr="0035237F">
        <w:rPr>
          <w:rFonts w:ascii="Palatino Linotype" w:eastAsia="Palatino Linotype" w:hAnsi="Palatino Linotype" w:cs="Palatino Linotype"/>
          <w:sz w:val="24"/>
          <w:szCs w:val="24"/>
        </w:rPr>
        <w:t>, no proporcionó un nombre como se advierte en el detalle de seguimiento del SAIMEX, lo anterior no es motivo para archivar la solicitud de acceso a la información pública como concluida, conforme a lo previsto en el artículo 155, penúltimo párrafo de la Ley de Transparencia y Acceso a la Información Pública del Estado de México y Municipios que establece lo siguiente:</w:t>
      </w:r>
    </w:p>
    <w:p w14:paraId="6E0A51F3" w14:textId="77777777" w:rsidR="00724E79" w:rsidRPr="0035237F" w:rsidRDefault="00312C60">
      <w:pPr>
        <w:spacing w:after="0" w:line="276" w:lineRule="auto"/>
        <w:ind w:left="851" w:right="902"/>
        <w:jc w:val="both"/>
        <w:rPr>
          <w:rFonts w:ascii="Palatino Linotype" w:eastAsia="Palatino Linotype" w:hAnsi="Palatino Linotype" w:cs="Palatino Linotype"/>
          <w:b/>
          <w:i/>
        </w:rPr>
      </w:pPr>
      <w:r w:rsidRPr="0035237F">
        <w:rPr>
          <w:rFonts w:ascii="Palatino Linotype" w:eastAsia="Palatino Linotype" w:hAnsi="Palatino Linotype" w:cs="Palatino Linotype"/>
          <w:b/>
          <w:i/>
        </w:rPr>
        <w:t>"Las solicitudes anónimas, con nombre incompleto o seudónimo serán procedentes para su trámite por parte del sujeto obligado ante quien se presente. No podrá requerirse información adicional con motivo del nombre proporcionado por el solicitante."</w:t>
      </w:r>
    </w:p>
    <w:p w14:paraId="1CF6BBC2" w14:textId="77777777" w:rsidR="00724E79" w:rsidRPr="0035237F" w:rsidRDefault="00724E79">
      <w:pPr>
        <w:spacing w:after="0" w:line="360" w:lineRule="auto"/>
        <w:ind w:left="851" w:right="902"/>
        <w:jc w:val="both"/>
        <w:rPr>
          <w:rFonts w:ascii="Palatino Linotype" w:eastAsia="Palatino Linotype" w:hAnsi="Palatino Linotype" w:cs="Palatino Linotype"/>
          <w:sz w:val="24"/>
          <w:szCs w:val="24"/>
        </w:rPr>
      </w:pPr>
    </w:p>
    <w:p w14:paraId="408DCB48" w14:textId="77777777" w:rsidR="00724E79" w:rsidRPr="0035237F" w:rsidRDefault="00312C60">
      <w:pPr>
        <w:spacing w:after="0" w:line="360" w:lineRule="auto"/>
        <w:jc w:val="both"/>
        <w:rPr>
          <w:rFonts w:ascii="Palatino Linotype" w:eastAsia="Palatino Linotype" w:hAnsi="Palatino Linotype" w:cs="Palatino Linotype"/>
          <w:b/>
          <w:sz w:val="24"/>
          <w:szCs w:val="24"/>
        </w:rPr>
      </w:pPr>
      <w:r w:rsidRPr="0035237F">
        <w:rPr>
          <w:rFonts w:ascii="Palatino Linotype" w:eastAsia="Palatino Linotype" w:hAnsi="Palatino Linotype" w:cs="Palatino Linotype"/>
          <w:sz w:val="24"/>
          <w:szCs w:val="24"/>
        </w:rPr>
        <w:t xml:space="preserve">Ahora bien, del análisis efectuado se advierte que resulta procedente la interposición del recurso y se concluye la acreditación plena de todos y cada uno de los elementos formales exigidos por el artículo 180 de la Ley de Transparencia y Acceso a la Información Pública del Estado de México y Municipios en vigor, en atención a que fue presentado mediante el formato visible </w:t>
      </w:r>
      <w:r w:rsidRPr="0035237F">
        <w:rPr>
          <w:rFonts w:ascii="Palatino Linotype" w:eastAsia="Palatino Linotype" w:hAnsi="Palatino Linotype" w:cs="Palatino Linotype"/>
          <w:b/>
          <w:sz w:val="24"/>
          <w:szCs w:val="24"/>
        </w:rPr>
        <w:t xml:space="preserve">EL SAIMEX.  </w:t>
      </w:r>
    </w:p>
    <w:p w14:paraId="1ABC5FC7" w14:textId="77777777" w:rsidR="00724E79" w:rsidRPr="0035237F" w:rsidRDefault="00724E79">
      <w:pPr>
        <w:spacing w:after="0" w:line="360" w:lineRule="auto"/>
        <w:ind w:right="49"/>
        <w:jc w:val="both"/>
        <w:rPr>
          <w:rFonts w:ascii="Palatino Linotype" w:eastAsia="Palatino Linotype" w:hAnsi="Palatino Linotype" w:cs="Palatino Linotype"/>
          <w:sz w:val="24"/>
          <w:szCs w:val="24"/>
        </w:rPr>
      </w:pPr>
    </w:p>
    <w:p w14:paraId="47B307DF" w14:textId="77777777" w:rsidR="00724E79" w:rsidRPr="0035237F" w:rsidRDefault="00312C60">
      <w:pPr>
        <w:pBdr>
          <w:top w:val="nil"/>
          <w:left w:val="nil"/>
          <w:bottom w:val="nil"/>
          <w:right w:val="nil"/>
          <w:between w:val="nil"/>
        </w:pBdr>
        <w:spacing w:after="0" w:line="360" w:lineRule="auto"/>
        <w:ind w:right="-147"/>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Finalmente, resulta procedente la interposición del recurso, según lo aducido por </w:t>
      </w:r>
      <w:r w:rsidRPr="0035237F">
        <w:rPr>
          <w:rFonts w:ascii="Palatino Linotype" w:eastAsia="Palatino Linotype" w:hAnsi="Palatino Linotype" w:cs="Palatino Linotype"/>
          <w:b/>
          <w:sz w:val="24"/>
          <w:szCs w:val="24"/>
        </w:rPr>
        <w:t>LA PARTE RECURRENTE</w:t>
      </w:r>
      <w:r w:rsidRPr="0035237F">
        <w:rPr>
          <w:rFonts w:ascii="Palatino Linotype" w:eastAsia="Palatino Linotype" w:hAnsi="Palatino Linotype" w:cs="Palatino Linotype"/>
          <w:sz w:val="24"/>
          <w:szCs w:val="24"/>
        </w:rPr>
        <w:t xml:space="preserve"> en sus razones o motivos de inconformidad, de acuerdo al artículo 179, fracción I de la Ley de Transparencia y Acceso a la Información Pública del Estado de México y Municipios; que a la letra dice:</w:t>
      </w:r>
    </w:p>
    <w:p w14:paraId="3A41C0CA" w14:textId="77777777" w:rsidR="00724E79" w:rsidRPr="0035237F" w:rsidRDefault="00724E79">
      <w:pPr>
        <w:pBdr>
          <w:top w:val="nil"/>
          <w:left w:val="nil"/>
          <w:bottom w:val="nil"/>
          <w:right w:val="nil"/>
          <w:between w:val="nil"/>
        </w:pBdr>
        <w:spacing w:after="0" w:line="360" w:lineRule="auto"/>
        <w:ind w:right="-147"/>
        <w:jc w:val="both"/>
        <w:rPr>
          <w:rFonts w:ascii="Palatino Linotype" w:eastAsia="Palatino Linotype" w:hAnsi="Palatino Linotype" w:cs="Palatino Linotype"/>
          <w:sz w:val="24"/>
          <w:szCs w:val="24"/>
        </w:rPr>
      </w:pPr>
    </w:p>
    <w:p w14:paraId="078DE9DE" w14:textId="77777777" w:rsidR="00724E79" w:rsidRPr="0035237F" w:rsidRDefault="00312C60">
      <w:pPr>
        <w:pBdr>
          <w:top w:val="nil"/>
          <w:left w:val="nil"/>
          <w:bottom w:val="nil"/>
          <w:right w:val="nil"/>
          <w:between w:val="nil"/>
        </w:pBdr>
        <w:spacing w:after="0" w:line="276" w:lineRule="auto"/>
        <w:ind w:left="992" w:right="1043"/>
        <w:jc w:val="both"/>
        <w:rPr>
          <w:rFonts w:ascii="Palatino Linotype" w:eastAsia="Palatino Linotype" w:hAnsi="Palatino Linotype" w:cs="Palatino Linotype"/>
          <w:i/>
        </w:rPr>
      </w:pPr>
      <w:r w:rsidRPr="0035237F">
        <w:rPr>
          <w:rFonts w:ascii="Palatino Linotype" w:eastAsia="Palatino Linotype" w:hAnsi="Palatino Linotype" w:cs="Palatino Linotype"/>
          <w:b/>
          <w:i/>
        </w:rPr>
        <w:t>“Artículo 179</w:t>
      </w:r>
      <w:r w:rsidRPr="0035237F">
        <w:rPr>
          <w:rFonts w:ascii="Palatino Linotype" w:eastAsia="Palatino Linotype" w:hAnsi="Palatino Linotype" w:cs="Palatino Linotype"/>
          <w:i/>
        </w:rPr>
        <w:t xml:space="preserve">. </w:t>
      </w:r>
      <w:r w:rsidRPr="0035237F">
        <w:rPr>
          <w:rFonts w:ascii="Palatino Linotype" w:eastAsia="Palatino Linotype" w:hAnsi="Palatino Linotype" w:cs="Palatino Linotype"/>
          <w:b/>
          <w:i/>
        </w:rPr>
        <w:t>El recurso de revisión</w:t>
      </w:r>
      <w:r w:rsidRPr="0035237F">
        <w:rPr>
          <w:rFonts w:ascii="Palatino Linotype" w:eastAsia="Palatino Linotype" w:hAnsi="Palatino Linotype" w:cs="Palatino Linotype"/>
          <w:i/>
        </w:rPr>
        <w:t xml:space="preserve"> es un medio de protección que la Ley otorga a los particulares, para hacer valer su derecho de acceso a la información pública</w:t>
      </w:r>
      <w:r w:rsidRPr="0035237F">
        <w:rPr>
          <w:rFonts w:ascii="Palatino Linotype" w:eastAsia="Palatino Linotype" w:hAnsi="Palatino Linotype" w:cs="Palatino Linotype"/>
          <w:b/>
          <w:i/>
        </w:rPr>
        <w:t>, y procederá en contra de las siguientes causas</w:t>
      </w:r>
      <w:r w:rsidRPr="0035237F">
        <w:rPr>
          <w:rFonts w:ascii="Palatino Linotype" w:eastAsia="Palatino Linotype" w:hAnsi="Palatino Linotype" w:cs="Palatino Linotype"/>
          <w:i/>
        </w:rPr>
        <w:t>:</w:t>
      </w:r>
    </w:p>
    <w:p w14:paraId="6A518D03" w14:textId="77777777" w:rsidR="00724E79" w:rsidRPr="0035237F" w:rsidRDefault="00312C60">
      <w:pPr>
        <w:pBdr>
          <w:top w:val="nil"/>
          <w:left w:val="nil"/>
          <w:bottom w:val="nil"/>
          <w:right w:val="nil"/>
          <w:between w:val="nil"/>
        </w:pBdr>
        <w:spacing w:after="0" w:line="276" w:lineRule="auto"/>
        <w:ind w:left="992" w:right="1043"/>
        <w:jc w:val="both"/>
        <w:rPr>
          <w:rFonts w:ascii="Palatino Linotype" w:eastAsia="Palatino Linotype" w:hAnsi="Palatino Linotype" w:cs="Palatino Linotype"/>
          <w:b/>
          <w:i/>
        </w:rPr>
      </w:pPr>
      <w:r w:rsidRPr="0035237F">
        <w:rPr>
          <w:rFonts w:ascii="Palatino Linotype" w:eastAsia="Palatino Linotype" w:hAnsi="Palatino Linotype" w:cs="Palatino Linotype"/>
          <w:i/>
        </w:rPr>
        <w:t>I. La negativa a la información solicitada;”</w:t>
      </w:r>
    </w:p>
    <w:p w14:paraId="559BA21A"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4EA69C81"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 xml:space="preserve">TERCERO. MATERIA DE LA REVISIÓN. </w:t>
      </w:r>
      <w:r w:rsidRPr="0035237F">
        <w:rPr>
          <w:rFonts w:ascii="Palatino Linotype" w:eastAsia="Palatino Linotype" w:hAnsi="Palatino Linotype" w:cs="Palatino Linotype"/>
          <w:sz w:val="24"/>
          <w:szCs w:val="24"/>
        </w:rPr>
        <w:t xml:space="preserve">De la revisión a las constancias y documentos que obran en el expediente electrónico se advierte, que el tema sobre el que este Organismo Garante de Transparencia y Acceso a la Información se pronunciará será: verificar si la respuesta otorgada por </w:t>
      </w:r>
      <w:r w:rsidRPr="0035237F">
        <w:rPr>
          <w:rFonts w:ascii="Palatino Linotype" w:eastAsia="Palatino Linotype" w:hAnsi="Palatino Linotype" w:cs="Palatino Linotype"/>
          <w:b/>
          <w:sz w:val="24"/>
          <w:szCs w:val="24"/>
        </w:rPr>
        <w:t>EL</w:t>
      </w:r>
      <w:r w:rsidRPr="0035237F">
        <w:rPr>
          <w:rFonts w:ascii="Palatino Linotype" w:eastAsia="Palatino Linotype" w:hAnsi="Palatino Linotype" w:cs="Palatino Linotype"/>
          <w:sz w:val="24"/>
          <w:szCs w:val="24"/>
        </w:rPr>
        <w:t xml:space="preserve"> </w:t>
      </w:r>
      <w:r w:rsidRPr="0035237F">
        <w:rPr>
          <w:rFonts w:ascii="Palatino Linotype" w:eastAsia="Palatino Linotype" w:hAnsi="Palatino Linotype" w:cs="Palatino Linotype"/>
          <w:b/>
          <w:sz w:val="24"/>
          <w:szCs w:val="24"/>
        </w:rPr>
        <w:t>SUJETO OBLIGADO</w:t>
      </w:r>
      <w:r w:rsidRPr="0035237F">
        <w:rPr>
          <w:rFonts w:ascii="Palatino Linotype" w:eastAsia="Palatino Linotype" w:hAnsi="Palatino Linotype" w:cs="Palatino Linotype"/>
          <w:sz w:val="24"/>
          <w:szCs w:val="24"/>
        </w:rPr>
        <w:t xml:space="preserve"> satisface el derecho de acceso a la información pública de </w:t>
      </w:r>
      <w:r w:rsidRPr="0035237F">
        <w:rPr>
          <w:rFonts w:ascii="Palatino Linotype" w:eastAsia="Palatino Linotype" w:hAnsi="Palatino Linotype" w:cs="Palatino Linotype"/>
          <w:b/>
          <w:sz w:val="24"/>
          <w:szCs w:val="24"/>
        </w:rPr>
        <w:t>LA PARTE</w:t>
      </w:r>
      <w:r w:rsidRPr="0035237F">
        <w:rPr>
          <w:rFonts w:ascii="Palatino Linotype" w:eastAsia="Palatino Linotype" w:hAnsi="Palatino Linotype" w:cs="Palatino Linotype"/>
          <w:sz w:val="24"/>
          <w:szCs w:val="24"/>
        </w:rPr>
        <w:t xml:space="preserve"> </w:t>
      </w:r>
      <w:r w:rsidRPr="0035237F">
        <w:rPr>
          <w:rFonts w:ascii="Palatino Linotype" w:eastAsia="Palatino Linotype" w:hAnsi="Palatino Linotype" w:cs="Palatino Linotype"/>
          <w:b/>
          <w:sz w:val="24"/>
          <w:szCs w:val="24"/>
        </w:rPr>
        <w:t>RECURRENTE</w:t>
      </w:r>
      <w:r w:rsidRPr="0035237F">
        <w:rPr>
          <w:rFonts w:ascii="Palatino Linotype" w:eastAsia="Palatino Linotype" w:hAnsi="Palatino Linotype" w:cs="Palatino Linotype"/>
          <w:sz w:val="24"/>
          <w:szCs w:val="24"/>
        </w:rPr>
        <w:t>, o en su defecto, en caso de ser procedente, ordenar la entrega de información.</w:t>
      </w:r>
    </w:p>
    <w:p w14:paraId="68CEF1A1"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6618957D"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 xml:space="preserve">CUARTO. ESTUDIO Y RESOLUCIÓN DEL ASUNTO.  </w:t>
      </w:r>
      <w:r w:rsidRPr="0035237F">
        <w:rPr>
          <w:rFonts w:ascii="Palatino Linotype" w:eastAsia="Palatino Linotype" w:hAnsi="Palatino Linotype" w:cs="Palatino Linotype"/>
          <w:sz w:val="24"/>
          <w:szCs w:val="24"/>
        </w:rPr>
        <w:t>En primer término, se estima pertinente mencionar que el derecho de acceso a la información está consagrado en instrumentos internacionales de los cuales el Estado Mexicano se ha adherido, sin oponer reserva alguna sobre lo que nos interesa, adoptando dichas disposiciones al Derecho Interno, específicamente a nivel Constitucional, tal y como lo prevén los arábigos 1 párrafos primero, segundo y tercero y 6 apartado A fracciones I, II, III, IV, V, VI y VII que a la letra señalan:</w:t>
      </w:r>
    </w:p>
    <w:p w14:paraId="582BBABE"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20A7FF2A" w14:textId="77777777" w:rsidR="00724E79" w:rsidRPr="0035237F" w:rsidRDefault="00312C60">
      <w:pPr>
        <w:tabs>
          <w:tab w:val="left" w:pos="709"/>
        </w:tabs>
        <w:spacing w:after="0" w:line="276" w:lineRule="auto"/>
        <w:ind w:left="851" w:right="850"/>
        <w:jc w:val="both"/>
        <w:rPr>
          <w:rFonts w:ascii="Palatino Linotype" w:eastAsia="Palatino Linotype" w:hAnsi="Palatino Linotype" w:cs="Palatino Linotype"/>
          <w:i/>
        </w:rPr>
      </w:pPr>
      <w:r w:rsidRPr="0035237F">
        <w:rPr>
          <w:rFonts w:ascii="Palatino Linotype" w:eastAsia="Palatino Linotype" w:hAnsi="Palatino Linotype" w:cs="Palatino Linotype"/>
          <w:b/>
          <w:i/>
          <w:u w:val="single"/>
        </w:rPr>
        <w:t>“Artículo 1o. En los Estados Unidos Mexicanos todas las personas gozarán de los derechos humanos reconocidos en esta Constitución y en los tratados internacionales de los que el Estado Mexicano sea parte</w:t>
      </w:r>
      <w:r w:rsidRPr="0035237F">
        <w:rPr>
          <w:rFonts w:ascii="Palatino Linotype" w:eastAsia="Palatino Linotype" w:hAnsi="Palatino Linotype" w:cs="Palatino Linotype"/>
          <w:i/>
        </w:rPr>
        <w:t xml:space="preserve">, así como de las garantías para su protección, cuyo ejercicio no podrá restringirse ni </w:t>
      </w:r>
      <w:r w:rsidRPr="0035237F">
        <w:rPr>
          <w:rFonts w:ascii="Palatino Linotype" w:eastAsia="Palatino Linotype" w:hAnsi="Palatino Linotype" w:cs="Palatino Linotype"/>
          <w:i/>
        </w:rPr>
        <w:lastRenderedPageBreak/>
        <w:t>suspenderse, salvo en los casos y bajo las condiciones que esta Constitución establece.</w:t>
      </w:r>
    </w:p>
    <w:p w14:paraId="67F4B690" w14:textId="77777777" w:rsidR="00724E79" w:rsidRPr="0035237F" w:rsidRDefault="00312C60">
      <w:pPr>
        <w:tabs>
          <w:tab w:val="left" w:pos="709"/>
        </w:tabs>
        <w:spacing w:after="0" w:line="276" w:lineRule="auto"/>
        <w:ind w:left="851" w:right="850"/>
        <w:jc w:val="both"/>
        <w:rPr>
          <w:rFonts w:ascii="Palatino Linotype" w:eastAsia="Palatino Linotype" w:hAnsi="Palatino Linotype" w:cs="Palatino Linotype"/>
          <w:b/>
          <w:i/>
        </w:rPr>
      </w:pPr>
      <w:r w:rsidRPr="0035237F">
        <w:rPr>
          <w:rFonts w:ascii="Palatino Linotype" w:eastAsia="Palatino Linotype" w:hAnsi="Palatino Linotype" w:cs="Palatino Linotype"/>
          <w:b/>
          <w:i/>
        </w:rPr>
        <w:t>Las normas relativas a los derechos humanos se interpretarán de conformidad con esta Constitución y con los tratados internacionales de la materia favoreciendo en todo tiempo a las personas la protección más amplia.</w:t>
      </w:r>
    </w:p>
    <w:p w14:paraId="320C9704" w14:textId="77777777" w:rsidR="00724E79" w:rsidRPr="0035237F" w:rsidRDefault="00312C60">
      <w:pPr>
        <w:tabs>
          <w:tab w:val="left" w:pos="709"/>
        </w:tabs>
        <w:spacing w:after="0" w:line="276" w:lineRule="auto"/>
        <w:ind w:left="851" w:right="850"/>
        <w:jc w:val="both"/>
        <w:rPr>
          <w:rFonts w:ascii="Palatino Linotype" w:eastAsia="Palatino Linotype" w:hAnsi="Palatino Linotype" w:cs="Palatino Linotype"/>
          <w:i/>
        </w:rPr>
      </w:pPr>
      <w:r w:rsidRPr="0035237F">
        <w:rPr>
          <w:rFonts w:ascii="Palatino Linotype" w:eastAsia="Palatino Linotype" w:hAnsi="Palatino Linotype" w:cs="Palatino Linotype"/>
          <w:b/>
          <w:i/>
          <w:u w:val="single"/>
        </w:rPr>
        <w:t>Todas las autoridades, en el ámbito de sus competencias, tienen la obligación de promover, respetar, proteger y garantizar los derechos humanos de conformidad con los principios de universalidad, interdependencia, indivisibilidad y progresividad.</w:t>
      </w:r>
      <w:r w:rsidRPr="0035237F">
        <w:rPr>
          <w:rFonts w:ascii="Palatino Linotype" w:eastAsia="Palatino Linotype" w:hAnsi="Palatino Linotype" w:cs="Palatino Linotype"/>
          <w:i/>
        </w:rPr>
        <w:t xml:space="preserve"> En consecuencia, el Estado deberá prevenir, investigar, sancionar y reparar las violaciones a los derechos humanos, en los términos que establezca la ley</w:t>
      </w:r>
    </w:p>
    <w:p w14:paraId="280A5317" w14:textId="77777777" w:rsidR="00724E79" w:rsidRPr="0035237F" w:rsidRDefault="00312C60">
      <w:pPr>
        <w:tabs>
          <w:tab w:val="left" w:pos="709"/>
        </w:tabs>
        <w:spacing w:after="0" w:line="276" w:lineRule="auto"/>
        <w:ind w:left="851" w:right="850"/>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p>
    <w:p w14:paraId="2F225CA4" w14:textId="77777777" w:rsidR="00724E79" w:rsidRPr="0035237F" w:rsidRDefault="00312C60">
      <w:pPr>
        <w:spacing w:after="0" w:line="276" w:lineRule="auto"/>
        <w:ind w:left="851" w:right="901"/>
        <w:jc w:val="both"/>
        <w:rPr>
          <w:rFonts w:ascii="Palatino Linotype" w:eastAsia="Palatino Linotype" w:hAnsi="Palatino Linotype" w:cs="Palatino Linotype"/>
          <w:i/>
        </w:rPr>
      </w:pPr>
      <w:r w:rsidRPr="0035237F">
        <w:rPr>
          <w:rFonts w:ascii="Palatino Linotype" w:eastAsia="Palatino Linotype" w:hAnsi="Palatino Linotype" w:cs="Palatino Linotype"/>
          <w:b/>
          <w:i/>
        </w:rPr>
        <w:t>“Artículo 6o.</w:t>
      </w:r>
    </w:p>
    <w:p w14:paraId="5448DDC3" w14:textId="77777777" w:rsidR="00724E79" w:rsidRPr="0035237F" w:rsidRDefault="00312C60">
      <w:pPr>
        <w:spacing w:after="0" w:line="276" w:lineRule="auto"/>
        <w:ind w:left="851" w:right="901"/>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p>
    <w:p w14:paraId="4126F16F" w14:textId="77777777" w:rsidR="004F540B" w:rsidRPr="0035237F" w:rsidRDefault="004F540B" w:rsidP="004F540B">
      <w:pPr>
        <w:spacing w:line="276" w:lineRule="auto"/>
        <w:ind w:left="851" w:right="851"/>
        <w:jc w:val="both"/>
        <w:rPr>
          <w:rFonts w:ascii="Palatino Linotype" w:eastAsia="Palatino Linotype" w:hAnsi="Palatino Linotype" w:cs="Palatino Linotype"/>
        </w:rPr>
      </w:pPr>
      <w:r w:rsidRPr="0035237F">
        <w:rPr>
          <w:rFonts w:ascii="Palatino Linotype" w:eastAsia="Palatino Linotype" w:hAnsi="Palatino Linotype" w:cs="Palatino Linotype"/>
          <w:b/>
          <w:i/>
        </w:rPr>
        <w:t xml:space="preserve">A. Para el ejercicio del derecho de acceso a la información, la Federación y </w:t>
      </w:r>
      <w:r w:rsidRPr="0035237F">
        <w:rPr>
          <w:rFonts w:ascii="Palatino Linotype" w:eastAsia="Palatino Linotype" w:hAnsi="Palatino Linotype" w:cs="Palatino Linotype"/>
          <w:b/>
          <w:i/>
          <w:u w:val="single"/>
        </w:rPr>
        <w:t>las entidades federativas</w:t>
      </w:r>
      <w:r w:rsidRPr="0035237F">
        <w:rPr>
          <w:rFonts w:ascii="Palatino Linotype" w:eastAsia="Palatino Linotype" w:hAnsi="Palatino Linotype" w:cs="Palatino Linotype"/>
          <w:b/>
          <w:i/>
        </w:rPr>
        <w:t>,</w:t>
      </w:r>
      <w:r w:rsidRPr="0035237F">
        <w:rPr>
          <w:rFonts w:ascii="Palatino Linotype" w:eastAsia="Palatino Linotype" w:hAnsi="Palatino Linotype" w:cs="Palatino Linotype"/>
          <w:i/>
        </w:rPr>
        <w:t xml:space="preserve"> en el ámbito de sus respectivas competencias, se regirán por los siguientes principios y bases:</w:t>
      </w:r>
    </w:p>
    <w:p w14:paraId="0E08F649" w14:textId="77777777" w:rsidR="004F540B" w:rsidRPr="0035237F" w:rsidRDefault="004F540B" w:rsidP="004F540B">
      <w:pPr>
        <w:spacing w:line="276" w:lineRule="auto"/>
        <w:ind w:left="851" w:right="851"/>
        <w:jc w:val="both"/>
        <w:rPr>
          <w:rFonts w:ascii="Palatino Linotype" w:eastAsia="Palatino Linotype" w:hAnsi="Palatino Linotype" w:cs="Palatino Linotype"/>
        </w:rPr>
      </w:pPr>
      <w:r w:rsidRPr="0035237F">
        <w:rPr>
          <w:rFonts w:ascii="Palatino Linotype" w:eastAsia="Palatino Linotype" w:hAnsi="Palatino Linotype" w:cs="Palatino Linotype"/>
          <w:i/>
        </w:rPr>
        <w:t> </w:t>
      </w:r>
      <w:r w:rsidRPr="0035237F">
        <w:rPr>
          <w:rFonts w:ascii="Palatino Linotype" w:eastAsia="Palatino Linotype" w:hAnsi="Palatino Linotype" w:cs="Palatino Linotype"/>
          <w:b/>
          <w:i/>
        </w:rPr>
        <w:t xml:space="preserve">I. </w:t>
      </w:r>
      <w:r w:rsidRPr="0035237F">
        <w:rPr>
          <w:rFonts w:ascii="Palatino Linotype" w:eastAsia="Palatino Linotype" w:hAnsi="Palatino Linotype" w:cs="Palatino Linotype"/>
          <w:b/>
          <w:i/>
          <w:u w:val="single"/>
        </w:rPr>
        <w:t>Toda la información en posesión de cualquier autoridad, entidad, órgano y organismo de los Poderes</w:t>
      </w:r>
      <w:r w:rsidRPr="0035237F">
        <w:rPr>
          <w:rFonts w:ascii="Palatino Linotype" w:eastAsia="Palatino Linotype" w:hAnsi="Palatino Linotype" w:cs="Palatino Linotype"/>
          <w:b/>
          <w:bCs/>
          <w:i/>
          <w:u w:val="single"/>
        </w:rPr>
        <w:t xml:space="preserve"> Ejecutivo, Legislativo y Judicial, órganos autónomos, </w:t>
      </w:r>
      <w:r w:rsidRPr="0035237F">
        <w:rPr>
          <w:rFonts w:ascii="Palatino Linotype" w:eastAsia="Palatino Linotype" w:hAnsi="Palatino Linotype" w:cs="Palatino Linotype"/>
          <w:i/>
        </w:rPr>
        <w:t xml:space="preserve">partidos políticos, fideicomisos y fondos públicos, así como de cualquier persona física, moral o sindicato que reciba y ejerza recursos públicos o realice actos de autoridad en el ámbito federal, estatal y municipal, </w:t>
      </w:r>
      <w:r w:rsidRPr="0035237F">
        <w:rPr>
          <w:rFonts w:ascii="Palatino Linotype" w:eastAsia="Palatino Linotype" w:hAnsi="Palatino Linotype" w:cs="Palatino Linotype"/>
          <w:b/>
          <w:i/>
        </w:rPr>
        <w:t>es pública y sólo podrá ser reservada temporalmente por razones de interés público y seguridad nacional,</w:t>
      </w:r>
      <w:r w:rsidRPr="0035237F">
        <w:rPr>
          <w:rFonts w:ascii="Palatino Linotype" w:eastAsia="Palatino Linotype" w:hAnsi="Palatino Linotype" w:cs="Palatino Linotype"/>
          <w:i/>
        </w:rPr>
        <w:t xml:space="preserve"> en los términos que fijen las leyes. En la interpretación de este derecho deberá prevalecer el principio de máxima publicidad. Los sujetos obligados deberán documentar todo acto que derive del ejercicio de sus facultades, competencias o funciones, la ley determinará los supuestos específicos bajo los cuales procederá la declaración de inexistencia de la información.</w:t>
      </w:r>
    </w:p>
    <w:p w14:paraId="08DD0286" w14:textId="77777777" w:rsidR="004F540B" w:rsidRPr="0035237F" w:rsidRDefault="004F540B" w:rsidP="004F540B">
      <w:pPr>
        <w:ind w:left="851" w:right="851"/>
        <w:jc w:val="both"/>
        <w:rPr>
          <w:rFonts w:ascii="Palatino Linotype" w:eastAsia="SimSun" w:hAnsi="Palatino Linotype" w:cs="Palatino Linotype"/>
          <w:i/>
        </w:rPr>
      </w:pPr>
      <w:r w:rsidRPr="0035237F">
        <w:rPr>
          <w:rFonts w:ascii="Palatino Linotype" w:eastAsia="Palatino Linotype" w:hAnsi="Palatino Linotype" w:cs="Palatino Linotype"/>
          <w:b/>
          <w:i/>
        </w:rPr>
        <w:t xml:space="preserve">II. La información que se refiere a la vida privada y los datos personales será protegida en los términos y con las excepciones que fijen las leyes. </w:t>
      </w:r>
      <w:r w:rsidRPr="0035237F">
        <w:rPr>
          <w:rFonts w:ascii="Palatino Linotype" w:eastAsia="SimSun" w:hAnsi="Palatino Linotype" w:cs="Palatino Linotype"/>
          <w:i/>
        </w:rPr>
        <w:lastRenderedPageBreak/>
        <w:t>Para tal efecto, los sujetos obligados contarán con las facultades suficientes para su atención.</w:t>
      </w:r>
    </w:p>
    <w:p w14:paraId="21B68468" w14:textId="77777777" w:rsidR="004F540B" w:rsidRPr="0035237F" w:rsidRDefault="004F540B" w:rsidP="004F540B">
      <w:pPr>
        <w:spacing w:line="276" w:lineRule="auto"/>
        <w:ind w:left="851" w:right="851"/>
        <w:jc w:val="both"/>
        <w:rPr>
          <w:rFonts w:ascii="Palatino Linotype" w:eastAsia="SimSun" w:hAnsi="Palatino Linotype" w:cs="Palatino Linotype"/>
          <w:i/>
          <w:iCs/>
        </w:rPr>
      </w:pPr>
      <w:r w:rsidRPr="0035237F">
        <w:rPr>
          <w:rFonts w:ascii="Palatino Linotype" w:eastAsia="SimSun" w:hAnsi="Palatino Linotype" w:cs="Palatino Linotype"/>
          <w:i/>
          <w:iCs/>
        </w:rPr>
        <w:t>[]</w:t>
      </w:r>
    </w:p>
    <w:p w14:paraId="72024652" w14:textId="77777777" w:rsidR="004F540B" w:rsidRPr="0035237F" w:rsidRDefault="004F540B" w:rsidP="004F540B">
      <w:pPr>
        <w:spacing w:line="276" w:lineRule="auto"/>
        <w:ind w:left="851" w:right="851"/>
        <w:jc w:val="both"/>
        <w:rPr>
          <w:rFonts w:ascii="Palatino Linotype" w:eastAsia="Palatino Linotype" w:hAnsi="Palatino Linotype" w:cs="Palatino Linotype"/>
        </w:rPr>
      </w:pPr>
      <w:r w:rsidRPr="0035237F">
        <w:rPr>
          <w:rFonts w:ascii="Palatino Linotype" w:eastAsia="Palatino Linotype" w:hAnsi="Palatino Linotype" w:cs="Palatino Linotype"/>
          <w:b/>
          <w:i/>
        </w:rPr>
        <w:t xml:space="preserve">III. </w:t>
      </w:r>
      <w:r w:rsidRPr="0035237F">
        <w:rPr>
          <w:rFonts w:ascii="Palatino Linotype" w:eastAsia="Palatino Linotype" w:hAnsi="Palatino Linotype" w:cs="Palatino Linotype"/>
          <w:b/>
          <w:i/>
          <w:u w:val="single"/>
        </w:rPr>
        <w:t>Toda persona, sin necesidad de acreditar interés alguno o justificar su utilización, tendrá acceso gratuito a la información pública,</w:t>
      </w:r>
      <w:r w:rsidRPr="0035237F">
        <w:rPr>
          <w:rFonts w:ascii="Palatino Linotype" w:eastAsia="Palatino Linotype" w:hAnsi="Palatino Linotype" w:cs="Palatino Linotype"/>
          <w:i/>
        </w:rPr>
        <w:t xml:space="preserve"> a sus datos personales o a la rectificación de éstos.</w:t>
      </w:r>
    </w:p>
    <w:p w14:paraId="5C50AF00" w14:textId="77777777" w:rsidR="004F540B" w:rsidRPr="0035237F" w:rsidRDefault="004F540B" w:rsidP="004F540B">
      <w:pPr>
        <w:spacing w:line="276" w:lineRule="auto"/>
        <w:ind w:left="851" w:right="851"/>
        <w:jc w:val="both"/>
        <w:rPr>
          <w:rFonts w:ascii="Palatino Linotype" w:eastAsia="Palatino Linotype" w:hAnsi="Palatino Linotype" w:cs="Palatino Linotype"/>
        </w:rPr>
      </w:pPr>
      <w:r w:rsidRPr="0035237F">
        <w:rPr>
          <w:rFonts w:ascii="Palatino Linotype" w:eastAsia="Palatino Linotype" w:hAnsi="Palatino Linotype" w:cs="Palatino Linotype"/>
          <w:i/>
        </w:rPr>
        <w:t> </w:t>
      </w:r>
      <w:r w:rsidRPr="0035237F">
        <w:rPr>
          <w:rFonts w:ascii="Palatino Linotype" w:eastAsia="Palatino Linotype" w:hAnsi="Palatino Linotype" w:cs="Palatino Linotype"/>
          <w:b/>
          <w:i/>
        </w:rPr>
        <w:t xml:space="preserve">IV. </w:t>
      </w:r>
      <w:r w:rsidRPr="0035237F">
        <w:rPr>
          <w:rFonts w:ascii="Palatino Linotype" w:eastAsia="Palatino Linotype" w:hAnsi="Palatino Linotype" w:cs="Palatino Linotype"/>
          <w:i/>
        </w:rPr>
        <w:t>Se establecerán mecanismos de acceso a la información y procedimientos de revisión expeditos que se sustanciarán ante las instancias competentes en los términos que fija esta Constitución y las leyes.</w:t>
      </w:r>
    </w:p>
    <w:p w14:paraId="1E566C8B" w14:textId="77777777" w:rsidR="004F540B" w:rsidRPr="0035237F" w:rsidRDefault="004F540B" w:rsidP="004F540B">
      <w:pPr>
        <w:spacing w:line="276" w:lineRule="auto"/>
        <w:ind w:left="851" w:right="851"/>
        <w:jc w:val="both"/>
        <w:rPr>
          <w:rFonts w:ascii="Palatino Linotype" w:eastAsia="Palatino Linotype" w:hAnsi="Palatino Linotype" w:cs="Palatino Linotype"/>
        </w:rPr>
      </w:pPr>
      <w:r w:rsidRPr="0035237F">
        <w:rPr>
          <w:rFonts w:ascii="Palatino Linotype" w:eastAsia="Palatino Linotype" w:hAnsi="Palatino Linotype" w:cs="Palatino Linotype"/>
          <w:b/>
          <w:i/>
        </w:rPr>
        <w:t xml:space="preserve">V. </w:t>
      </w:r>
      <w:r w:rsidRPr="0035237F">
        <w:rPr>
          <w:rFonts w:ascii="Palatino Linotype" w:eastAsia="Palatino Linotype" w:hAnsi="Palatino Linotype" w:cs="Palatino Linotype"/>
          <w:i/>
        </w:rPr>
        <w:t>Los sujetos obligados deberán preservar sus documentos en archivos administrativos actualizados y publicarán, a través de los medios electrónicos disponibles, la información completa y actualizada sobre el ejercicio de los recursos públicos y los indicadores que permitan rendir cuenta del cumplimiento de sus objetivos y de los resultados obtenidos.</w:t>
      </w:r>
    </w:p>
    <w:p w14:paraId="748EC64B" w14:textId="77777777" w:rsidR="004F540B" w:rsidRPr="0035237F" w:rsidRDefault="004F540B" w:rsidP="004F540B">
      <w:pPr>
        <w:spacing w:line="276" w:lineRule="auto"/>
        <w:ind w:left="851" w:right="851"/>
        <w:jc w:val="both"/>
        <w:rPr>
          <w:rFonts w:ascii="Palatino Linotype" w:eastAsia="Palatino Linotype" w:hAnsi="Palatino Linotype" w:cs="Palatino Linotype"/>
        </w:rPr>
      </w:pPr>
      <w:r w:rsidRPr="0035237F">
        <w:rPr>
          <w:rFonts w:ascii="Palatino Linotype" w:eastAsia="Palatino Linotype" w:hAnsi="Palatino Linotype" w:cs="Palatino Linotype"/>
          <w:i/>
        </w:rPr>
        <w:t> </w:t>
      </w:r>
      <w:r w:rsidRPr="0035237F">
        <w:rPr>
          <w:rFonts w:ascii="Palatino Linotype" w:eastAsia="Palatino Linotype" w:hAnsi="Palatino Linotype" w:cs="Palatino Linotype"/>
          <w:b/>
          <w:i/>
        </w:rPr>
        <w:t xml:space="preserve">VI. </w:t>
      </w:r>
      <w:r w:rsidRPr="0035237F">
        <w:rPr>
          <w:rFonts w:ascii="Palatino Linotype" w:eastAsia="Palatino Linotype" w:hAnsi="Palatino Linotype" w:cs="Palatino Linotype"/>
          <w:i/>
        </w:rPr>
        <w:t>Las leyes determinarán la manera en que los sujetos obligados deberán hacer pública la información relativa a los recursos públicos que entreguen a personas físicas o morales.</w:t>
      </w:r>
    </w:p>
    <w:p w14:paraId="245A151F" w14:textId="77777777" w:rsidR="004F540B" w:rsidRPr="0035237F" w:rsidRDefault="004F540B" w:rsidP="004F540B">
      <w:pPr>
        <w:spacing w:line="276" w:lineRule="auto"/>
        <w:ind w:left="851" w:right="851"/>
        <w:jc w:val="both"/>
        <w:rPr>
          <w:rFonts w:ascii="Palatino Linotype" w:eastAsia="Palatino Linotype" w:hAnsi="Palatino Linotype" w:cs="Palatino Linotype"/>
          <w:i/>
        </w:rPr>
      </w:pPr>
      <w:r w:rsidRPr="0035237F">
        <w:rPr>
          <w:rFonts w:ascii="Palatino Linotype" w:eastAsia="Palatino Linotype" w:hAnsi="Palatino Linotype" w:cs="Palatino Linotype"/>
          <w:i/>
        </w:rPr>
        <w:t> </w:t>
      </w:r>
      <w:r w:rsidRPr="0035237F">
        <w:rPr>
          <w:rFonts w:ascii="Palatino Linotype" w:eastAsia="Palatino Linotype" w:hAnsi="Palatino Linotype" w:cs="Palatino Linotype"/>
          <w:b/>
          <w:i/>
        </w:rPr>
        <w:t xml:space="preserve">VII. </w:t>
      </w:r>
      <w:r w:rsidRPr="0035237F">
        <w:rPr>
          <w:rFonts w:ascii="Palatino Linotype" w:eastAsia="Palatino Linotype" w:hAnsi="Palatino Linotype" w:cs="Palatino Linotype"/>
          <w:i/>
        </w:rPr>
        <w:t>La inobservancia a las disposiciones en materia de acceso a la información pública será sancionada en los términos que dispongan las leyes. [...]”</w:t>
      </w:r>
    </w:p>
    <w:p w14:paraId="702FF581" w14:textId="77777777" w:rsidR="00035C88" w:rsidRPr="0035237F" w:rsidRDefault="00035C88" w:rsidP="004F540B">
      <w:pPr>
        <w:spacing w:after="0" w:line="276" w:lineRule="auto"/>
        <w:ind w:right="851"/>
        <w:jc w:val="both"/>
        <w:rPr>
          <w:rFonts w:ascii="Palatino Linotype" w:eastAsia="Palatino Linotype" w:hAnsi="Palatino Linotype" w:cs="Palatino Linotype"/>
          <w:i/>
        </w:rPr>
      </w:pPr>
    </w:p>
    <w:p w14:paraId="716D597E" w14:textId="77777777" w:rsidR="00724E79" w:rsidRPr="0035237F" w:rsidRDefault="00312C60">
      <w:pPr>
        <w:tabs>
          <w:tab w:val="left" w:pos="709"/>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Así, de la interpretación sistémica de los numerales inmersos en los instrumentos legales Internacionales y Nacional, el derecho de acceso a la información es un derecho del cual goza toda persona sin discriminación alguna, el cual se ejerce ante los Poderes del Estado, entidades, dependencias o cualquiera persona física o moral que reciba y ejerza recursos públicos, siendo pública toda la información que posean con las excepciones enmarcadas, para lo cual queda demostrado que el presente sujeto obligado debe cumplir con dichos dispositivos legales.</w:t>
      </w:r>
    </w:p>
    <w:p w14:paraId="0B0F3315" w14:textId="77777777" w:rsidR="00724E79" w:rsidRPr="0035237F" w:rsidRDefault="00724E79">
      <w:pPr>
        <w:tabs>
          <w:tab w:val="left" w:pos="709"/>
        </w:tabs>
        <w:spacing w:after="0" w:line="360" w:lineRule="auto"/>
        <w:jc w:val="both"/>
        <w:rPr>
          <w:rFonts w:ascii="Palatino Linotype" w:eastAsia="Palatino Linotype" w:hAnsi="Palatino Linotype" w:cs="Palatino Linotype"/>
          <w:sz w:val="24"/>
          <w:szCs w:val="24"/>
        </w:rPr>
      </w:pPr>
    </w:p>
    <w:p w14:paraId="61276D4A" w14:textId="77777777" w:rsidR="00724E79" w:rsidRPr="0035237F" w:rsidRDefault="00312C60">
      <w:pPr>
        <w:tabs>
          <w:tab w:val="left" w:pos="709"/>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En primer lugar, es conveniente analizar si la respuesta del </w:t>
      </w:r>
      <w:r w:rsidRPr="0035237F">
        <w:rPr>
          <w:rFonts w:ascii="Palatino Linotype" w:eastAsia="Palatino Linotype" w:hAnsi="Palatino Linotype" w:cs="Palatino Linotype"/>
          <w:b/>
          <w:sz w:val="24"/>
          <w:szCs w:val="24"/>
        </w:rPr>
        <w:t>SUJETO OBLIGADO</w:t>
      </w:r>
      <w:r w:rsidRPr="0035237F">
        <w:rPr>
          <w:rFonts w:ascii="Palatino Linotype" w:eastAsia="Palatino Linotype" w:hAnsi="Palatino Linotype" w:cs="Palatino Linotype"/>
          <w:sz w:val="24"/>
          <w:szCs w:val="24"/>
        </w:rPr>
        <w:t xml:space="preserve"> cumple con los requisitos y procedimientos del derecho de acceso a la información pública, en atención a que en la Ley de Transparencia y Acceso a la Información Pública del Estado de México y Municipios en su artículo 4, dice que toda la información generada, obtenida, adquirida, transformada, administrada o en posesión de los Sujetos Obligados es pública y accesible de manera permanente a cualquier persona, privilegiando el principio de máxima publicidad, como así lo establece dicha determinación, que a continuación se transcribe para un mejor entendimiento:</w:t>
      </w:r>
    </w:p>
    <w:p w14:paraId="4098A6B8" w14:textId="77777777" w:rsidR="00724E79" w:rsidRPr="0035237F" w:rsidRDefault="00724E79">
      <w:pPr>
        <w:tabs>
          <w:tab w:val="left" w:pos="709"/>
        </w:tabs>
        <w:spacing w:after="0" w:line="360" w:lineRule="auto"/>
        <w:jc w:val="both"/>
        <w:rPr>
          <w:rFonts w:ascii="Palatino Linotype" w:eastAsia="Palatino Linotype" w:hAnsi="Palatino Linotype" w:cs="Palatino Linotype"/>
          <w:sz w:val="24"/>
          <w:szCs w:val="24"/>
        </w:rPr>
      </w:pPr>
    </w:p>
    <w:p w14:paraId="3B40BDD5" w14:textId="77777777" w:rsidR="00724E79" w:rsidRPr="0035237F" w:rsidRDefault="00312C60">
      <w:pPr>
        <w:spacing w:after="0" w:line="276" w:lineRule="auto"/>
        <w:ind w:left="709" w:right="760"/>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r w:rsidRPr="0035237F">
        <w:rPr>
          <w:rFonts w:ascii="Palatino Linotype" w:eastAsia="Palatino Linotype" w:hAnsi="Palatino Linotype" w:cs="Palatino Linotype"/>
          <w:b/>
          <w:i/>
        </w:rPr>
        <w:t>Artículo 4.</w:t>
      </w:r>
      <w:r w:rsidRPr="0035237F">
        <w:rPr>
          <w:rFonts w:ascii="Palatino Linotype" w:eastAsia="Palatino Linotype" w:hAnsi="Palatino Linotype" w:cs="Palatino Linotype"/>
          <w:i/>
        </w:rPr>
        <w:t xml:space="preserve"> El derecho humano de acceso a la información pública es la prerrogativa de las personas para buscar, difundir, investigar, recabar, recibir y solicitar información pública, sin necesidad de acreditar personalidad ni interés jurídico. </w:t>
      </w:r>
    </w:p>
    <w:p w14:paraId="3DBF57D1" w14:textId="77777777" w:rsidR="00724E79" w:rsidRPr="0035237F" w:rsidRDefault="00312C60">
      <w:pPr>
        <w:spacing w:after="0" w:line="276" w:lineRule="auto"/>
        <w:ind w:left="709" w:right="760"/>
        <w:jc w:val="both"/>
        <w:rPr>
          <w:rFonts w:ascii="Palatino Linotype" w:eastAsia="Palatino Linotype" w:hAnsi="Palatino Linotype" w:cs="Palatino Linotype"/>
          <w:i/>
        </w:rPr>
      </w:pPr>
      <w:r w:rsidRPr="0035237F">
        <w:rPr>
          <w:rFonts w:ascii="Palatino Linotype" w:eastAsia="Palatino Linotype" w:hAnsi="Palatino Linotype" w:cs="Palatino Linotype"/>
          <w:b/>
          <w:i/>
        </w:rPr>
        <w:t>Toda la información generada, obtenida, adquirida, transformada, administrada o en posesión de los sujetos obligados es pública y accesible de manera permanente a cualquier persona</w:t>
      </w:r>
      <w:r w:rsidRPr="0035237F">
        <w:rPr>
          <w:rFonts w:ascii="Palatino Linotype" w:eastAsia="Palatino Linotype" w:hAnsi="Palatino Linotype" w:cs="Palatino Linotype"/>
          <w:i/>
        </w:rPr>
        <w:t>,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14:paraId="7098B2AE" w14:textId="77777777" w:rsidR="00724E79" w:rsidRPr="0035237F" w:rsidRDefault="00312C60">
      <w:pPr>
        <w:spacing w:after="0" w:line="276" w:lineRule="auto"/>
        <w:ind w:left="709" w:right="760"/>
        <w:jc w:val="both"/>
        <w:rPr>
          <w:rFonts w:ascii="Palatino Linotype" w:eastAsia="Palatino Linotype" w:hAnsi="Palatino Linotype" w:cs="Palatino Linotype"/>
          <w:i/>
        </w:rPr>
      </w:pPr>
      <w:r w:rsidRPr="0035237F">
        <w:rPr>
          <w:rFonts w:ascii="Palatino Linotype" w:eastAsia="Palatino Linotype" w:hAnsi="Palatino Linotype" w:cs="Palatino Linotype"/>
          <w:b/>
          <w:i/>
        </w:rPr>
        <w:t>Los sujetos obligados deben poner en práctica, políticas y programas de acceso a la información que se apeguen a criterios de publicidad, veracidad, oportunidad, precisión y suficiencia en beneficio de los solicitantes</w:t>
      </w:r>
      <w:r w:rsidRPr="0035237F">
        <w:rPr>
          <w:rFonts w:ascii="Palatino Linotype" w:eastAsia="Palatino Linotype" w:hAnsi="Palatino Linotype" w:cs="Palatino Linotype"/>
          <w:i/>
        </w:rPr>
        <w:t>.”</w:t>
      </w:r>
    </w:p>
    <w:p w14:paraId="2D0BC189" w14:textId="77777777" w:rsidR="00724E79" w:rsidRPr="0035237F" w:rsidRDefault="00724E79">
      <w:pPr>
        <w:spacing w:after="0" w:line="360" w:lineRule="auto"/>
        <w:ind w:left="709" w:right="760"/>
        <w:jc w:val="both"/>
        <w:rPr>
          <w:rFonts w:ascii="Palatino Linotype" w:eastAsia="Palatino Linotype" w:hAnsi="Palatino Linotype" w:cs="Palatino Linotype"/>
          <w:sz w:val="24"/>
          <w:szCs w:val="24"/>
        </w:rPr>
      </w:pPr>
    </w:p>
    <w:p w14:paraId="370C7638"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lastRenderedPageBreak/>
        <w:t>De lo anterior, se desprende que los Sujetos Obligados tienen el deber de atender las solicitudes de acceso a la información pública que se les hagan de su conocimiento y proporcionar la información pública que obre en su poder conforme el estado que se encuentra y no hacer un procesamiento de la misma, ni presentarla conforme al interés del solicitante; como así lo establece el artículo 12 de la Ley de Transparencia y Acceso a la Información Pública del Estado de México y Municipios, el cual a la letra dice:</w:t>
      </w:r>
    </w:p>
    <w:p w14:paraId="742006D3"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0BB2CD9C" w14:textId="77777777" w:rsidR="00724E79" w:rsidRPr="0035237F" w:rsidRDefault="00312C60">
      <w:pPr>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r w:rsidRPr="0035237F">
        <w:rPr>
          <w:rFonts w:ascii="Palatino Linotype" w:eastAsia="Palatino Linotype" w:hAnsi="Palatino Linotype" w:cs="Palatino Linotype"/>
          <w:b/>
          <w:i/>
        </w:rPr>
        <w:t>Artículo 12.-</w:t>
      </w:r>
      <w:r w:rsidRPr="0035237F">
        <w:rPr>
          <w:rFonts w:ascii="Palatino Linotype" w:eastAsia="Palatino Linotype" w:hAnsi="Palatino Linotype" w:cs="Palatino Linotype"/>
          <w:i/>
        </w:rPr>
        <w:t xml:space="preserve"> Quienes generen, recopilen, administren, manejen, procesen, archiven o conserven información pública serán responsables de la misma en los términos de las disposiciones jurídicas aplicables. </w:t>
      </w:r>
    </w:p>
    <w:p w14:paraId="65867E03" w14:textId="77777777" w:rsidR="00724E79" w:rsidRPr="0035237F" w:rsidRDefault="00724E79">
      <w:pPr>
        <w:spacing w:after="0" w:line="276" w:lineRule="auto"/>
        <w:ind w:left="567" w:right="760"/>
        <w:jc w:val="both"/>
        <w:rPr>
          <w:rFonts w:ascii="Palatino Linotype" w:eastAsia="Palatino Linotype" w:hAnsi="Palatino Linotype" w:cs="Palatino Linotype"/>
          <w:i/>
        </w:rPr>
      </w:pPr>
    </w:p>
    <w:p w14:paraId="739D1699" w14:textId="77777777" w:rsidR="00724E79" w:rsidRPr="0035237F" w:rsidRDefault="00312C60">
      <w:pPr>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b/>
          <w:i/>
        </w:rPr>
        <w:t>Los sujetos obligados sólo proporcionarán la información pública que se les requiera y que obre en sus archivos y en el estado en que ésta se encuentre</w:t>
      </w:r>
      <w:r w:rsidRPr="0035237F">
        <w:rPr>
          <w:rFonts w:ascii="Palatino Linotype" w:eastAsia="Palatino Linotype" w:hAnsi="Palatino Linotype" w:cs="Palatino Linotype"/>
          <w:i/>
        </w:rPr>
        <w:t xml:space="preserve">. </w:t>
      </w:r>
      <w:r w:rsidRPr="0035237F">
        <w:rPr>
          <w:rFonts w:ascii="Palatino Linotype" w:eastAsia="Palatino Linotype" w:hAnsi="Palatino Linotype" w:cs="Palatino Linotype"/>
          <w:b/>
          <w:i/>
        </w:rPr>
        <w:t xml:space="preserve">La obligación de proporcionar información no comprende el procesamiento de la misma, ni el presentarla conforme al interés del solicitante; no estarán obligados a generarla, resumirla, efectuar cálculos o practicar investigaciones.” </w:t>
      </w:r>
    </w:p>
    <w:p w14:paraId="6C78DFCB"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742E6475"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En esa tesitura, el artículo 24 en su último párrafo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w:t>
      </w:r>
      <w:r w:rsidRPr="0035237F">
        <w:rPr>
          <w:rFonts w:ascii="Palatino Linotype" w:eastAsia="Palatino Linotype" w:hAnsi="Palatino Linotype" w:cs="Palatino Linotype"/>
          <w:strike/>
          <w:sz w:val="24"/>
          <w:szCs w:val="24"/>
        </w:rPr>
        <w:t xml:space="preserve"> </w:t>
      </w:r>
    </w:p>
    <w:p w14:paraId="32D0C422"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0E0107EC" w14:textId="77777777" w:rsidR="00724E79" w:rsidRPr="0035237F" w:rsidRDefault="00312C60">
      <w:pPr>
        <w:spacing w:after="0" w:line="360" w:lineRule="auto"/>
        <w:ind w:right="4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lastRenderedPageBreak/>
        <w:t>Siempre y cuando no se trate de información reservada o clasificada, que difundirla pondría en riesgo la seguridad jurídica y física del titular de la información, debiendo tener audacia los Sujetos Obligados para cuidar esta información a través del acuerdo clasificatorio del comité de transparencia y la versión pública que emita el servidor público habilitado de cada Sujeto Obligado; como así se establece en la Ley de Transparencia y Acceso a la Información Pública del Estado de México y Municipios.</w:t>
      </w:r>
    </w:p>
    <w:p w14:paraId="5899ABB8" w14:textId="77777777" w:rsidR="00724E79" w:rsidRPr="0035237F" w:rsidRDefault="00724E79">
      <w:pPr>
        <w:spacing w:after="0" w:line="360" w:lineRule="auto"/>
        <w:ind w:right="49"/>
        <w:jc w:val="both"/>
        <w:rPr>
          <w:rFonts w:ascii="Palatino Linotype" w:eastAsia="Palatino Linotype" w:hAnsi="Palatino Linotype" w:cs="Palatino Linotype"/>
          <w:sz w:val="24"/>
          <w:szCs w:val="24"/>
        </w:rPr>
      </w:pPr>
    </w:p>
    <w:p w14:paraId="1A5D9A85"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Por otra parte, conviene mencionar que la Ley de Transparencia vigente en el Estado de México refiere: </w:t>
      </w:r>
    </w:p>
    <w:p w14:paraId="13FDB0A4"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066E52A2" w14:textId="77777777" w:rsidR="00724E79" w:rsidRPr="0035237F" w:rsidRDefault="00312C60">
      <w:pPr>
        <w:spacing w:after="0" w:line="276" w:lineRule="auto"/>
        <w:ind w:left="851" w:right="851"/>
        <w:jc w:val="both"/>
        <w:rPr>
          <w:rFonts w:ascii="Palatino Linotype" w:eastAsia="Palatino Linotype" w:hAnsi="Palatino Linotype" w:cs="Palatino Linotype"/>
          <w:i/>
        </w:rPr>
      </w:pPr>
      <w:r w:rsidRPr="0035237F">
        <w:rPr>
          <w:rFonts w:ascii="Palatino Linotype" w:eastAsia="Palatino Linotype" w:hAnsi="Palatino Linotype" w:cs="Palatino Linotype"/>
          <w:b/>
          <w:i/>
        </w:rPr>
        <w:t>“Artículo 18.</w:t>
      </w:r>
      <w:r w:rsidRPr="0035237F">
        <w:rPr>
          <w:rFonts w:ascii="Palatino Linotype" w:eastAsia="Palatino Linotype" w:hAnsi="Palatino Linotype" w:cs="Palatino Linotype"/>
          <w:i/>
        </w:rPr>
        <w:t xml:space="preserve"> </w:t>
      </w:r>
      <w:r w:rsidRPr="0035237F">
        <w:rPr>
          <w:rFonts w:ascii="Palatino Linotype" w:eastAsia="Palatino Linotype" w:hAnsi="Palatino Linotype" w:cs="Palatino Linotype"/>
          <w:b/>
          <w:i/>
          <w:u w:val="single"/>
        </w:rPr>
        <w:t>Los sujetos obligados deberán documentar todo acto que derive del ejercicio de sus facultades, competencias o funciones, considerando desde su origen la eventual publicidad</w:t>
      </w:r>
      <w:r w:rsidRPr="0035237F">
        <w:rPr>
          <w:rFonts w:ascii="Palatino Linotype" w:eastAsia="Palatino Linotype" w:hAnsi="Palatino Linotype" w:cs="Palatino Linotype"/>
          <w:i/>
        </w:rPr>
        <w:t xml:space="preserve"> y reutilización de la información que generen.</w:t>
      </w:r>
    </w:p>
    <w:p w14:paraId="5164B62A" w14:textId="77777777" w:rsidR="00724E79" w:rsidRPr="0035237F" w:rsidRDefault="00312C60">
      <w:pPr>
        <w:spacing w:after="0" w:line="276" w:lineRule="auto"/>
        <w:ind w:left="851" w:right="851"/>
        <w:jc w:val="both"/>
        <w:rPr>
          <w:rFonts w:ascii="Palatino Linotype" w:eastAsia="Palatino Linotype" w:hAnsi="Palatino Linotype" w:cs="Palatino Linotype"/>
          <w:i/>
        </w:rPr>
      </w:pPr>
      <w:r w:rsidRPr="0035237F">
        <w:rPr>
          <w:rFonts w:ascii="Palatino Linotype" w:eastAsia="Palatino Linotype" w:hAnsi="Palatino Linotype" w:cs="Palatino Linotype"/>
          <w:b/>
          <w:i/>
        </w:rPr>
        <w:t xml:space="preserve">Artículo 19. </w:t>
      </w:r>
      <w:r w:rsidRPr="0035237F">
        <w:rPr>
          <w:rFonts w:ascii="Palatino Linotype" w:eastAsia="Palatino Linotype" w:hAnsi="Palatino Linotype" w:cs="Palatino Linotype"/>
          <w:b/>
          <w:i/>
          <w:u w:val="single"/>
        </w:rPr>
        <w:t>Se presume que la información debe existir si se refiere a las facultades, competencias y funciones que los ordenamientos jurídicos aplicables otorgan a los sujetos obligados</w:t>
      </w:r>
      <w:r w:rsidRPr="0035237F">
        <w:rPr>
          <w:rFonts w:ascii="Palatino Linotype" w:eastAsia="Palatino Linotype" w:hAnsi="Palatino Linotype" w:cs="Palatino Linotype"/>
          <w:i/>
        </w:rPr>
        <w:t>.</w:t>
      </w:r>
    </w:p>
    <w:p w14:paraId="1FAD54A2" w14:textId="77777777" w:rsidR="00724E79" w:rsidRPr="0035237F" w:rsidRDefault="00312C60">
      <w:pPr>
        <w:spacing w:after="0" w:line="276" w:lineRule="auto"/>
        <w:ind w:left="851" w:right="851"/>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En los casos en que ciertas facultades, competencias o funciones no se hayan ejercido, se debe motivar la respuesta en función de las causas que motiven tal circunstancia. </w:t>
      </w:r>
    </w:p>
    <w:p w14:paraId="5794897E" w14:textId="77777777" w:rsidR="00724E79" w:rsidRPr="0035237F" w:rsidRDefault="00312C60">
      <w:pPr>
        <w:spacing w:after="0" w:line="276" w:lineRule="auto"/>
        <w:ind w:left="851" w:right="851"/>
        <w:jc w:val="both"/>
        <w:rPr>
          <w:rFonts w:ascii="Palatino Linotype" w:eastAsia="Palatino Linotype" w:hAnsi="Palatino Linotype" w:cs="Palatino Linotype"/>
          <w:i/>
        </w:rPr>
      </w:pPr>
      <w:r w:rsidRPr="0035237F">
        <w:rPr>
          <w:rFonts w:ascii="Palatino Linotype" w:eastAsia="Palatino Linotype" w:hAnsi="Palatino Linotype" w:cs="Palatino Linotype"/>
          <w:i/>
        </w:rPr>
        <w:t>Si el sujeto obligado, en el ejercicio de sus atribuciones, debía generar, poseer o administrar la información, pero ésta no se encuentra, el Comité de transparencia deberá emitir un acuerdo de inexistencia, debidamente fundado y motivado, en el que detalle las razones del por qué no obra en sus archivos.”</w:t>
      </w:r>
    </w:p>
    <w:p w14:paraId="786B7AEA" w14:textId="77777777" w:rsidR="00724E79" w:rsidRPr="0035237F" w:rsidRDefault="00724E79">
      <w:pPr>
        <w:spacing w:after="0" w:line="276" w:lineRule="auto"/>
        <w:ind w:left="851" w:right="851"/>
        <w:jc w:val="both"/>
        <w:rPr>
          <w:rFonts w:ascii="Palatino Linotype" w:eastAsia="Palatino Linotype" w:hAnsi="Palatino Linotype" w:cs="Palatino Linotype"/>
          <w:i/>
          <w:sz w:val="24"/>
          <w:szCs w:val="24"/>
        </w:rPr>
      </w:pPr>
    </w:p>
    <w:p w14:paraId="4E576289"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De los dispositivos legales en comento, se aprecia que todo acto de autoridad en el ejercicio de sus funciones y atribuciones debe estar documentado, por lo que para </w:t>
      </w:r>
      <w:r w:rsidRPr="0035237F">
        <w:rPr>
          <w:rFonts w:ascii="Palatino Linotype" w:eastAsia="Palatino Linotype" w:hAnsi="Palatino Linotype" w:cs="Palatino Linotype"/>
          <w:sz w:val="24"/>
          <w:szCs w:val="24"/>
        </w:rPr>
        <w:lastRenderedPageBreak/>
        <w:t>dar atención a una solicitud de información el Sujeto Obligado debe entregar el soporte documental en donde conste la información requerida, debiendo contemplar que no se trate de información reservada o confidencial, por lo que debe cuidar dicha información a través del acuerdo clasificatorio del comité de transparencia y la versión pública que emita cada Sujeto Obligado; como así se establece en la Ley de Transparencia y Acceso a la Información Pública del Estado de México y Municipios.</w:t>
      </w:r>
    </w:p>
    <w:p w14:paraId="096C019B"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0F865700"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En conclusión, el derecho de acceso a la información pública, consiste en que la información solicitada conste en un documento en cualquiera de sus formas, a saber: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de conformidad con el artículo 3, fracción XI de la Ley de la materia, el cual señala lo siguiente: </w:t>
      </w:r>
    </w:p>
    <w:p w14:paraId="2FC45D9D"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1B4815DF"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r w:rsidRPr="0035237F">
        <w:rPr>
          <w:rFonts w:ascii="Palatino Linotype" w:eastAsia="Palatino Linotype" w:hAnsi="Palatino Linotype" w:cs="Palatino Linotype"/>
          <w:b/>
          <w:i/>
        </w:rPr>
        <w:t xml:space="preserve">Artículo 3. </w:t>
      </w:r>
      <w:r w:rsidRPr="0035237F">
        <w:rPr>
          <w:rFonts w:ascii="Palatino Linotype" w:eastAsia="Palatino Linotype" w:hAnsi="Palatino Linotype" w:cs="Palatino Linotype"/>
          <w:i/>
        </w:rPr>
        <w:t>Para los efectos de la presente Ley se entenderá por:</w:t>
      </w:r>
    </w:p>
    <w:p w14:paraId="377BCA94"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p>
    <w:p w14:paraId="23175CF2"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b/>
          <w:i/>
        </w:rPr>
        <w:t>XI. Documento:</w:t>
      </w:r>
      <w:r w:rsidRPr="0035237F">
        <w:rPr>
          <w:rFonts w:ascii="Palatino Linotype" w:eastAsia="Palatino Linotype" w:hAnsi="Palatino Linotype" w:cs="Palatino Linotype"/>
          <w:i/>
        </w:rPr>
        <w:t xml:space="preserve"> Los expedientes, reportes, estudios, actas</w:t>
      </w:r>
      <w:r w:rsidRPr="0035237F">
        <w:rPr>
          <w:rFonts w:ascii="Palatino Linotype" w:eastAsia="Palatino Linotype" w:hAnsi="Palatino Linotype" w:cs="Palatino Linotype"/>
          <w:b/>
          <w:i/>
        </w:rPr>
        <w:t>,</w:t>
      </w:r>
      <w:r w:rsidRPr="0035237F">
        <w:rPr>
          <w:rFonts w:ascii="Palatino Linotype" w:eastAsia="Palatino Linotype" w:hAnsi="Palatino Linotype" w:cs="Palatino Linotype"/>
          <w:i/>
        </w:rPr>
        <w:t xml:space="preserve">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w:t>
      </w:r>
      <w:r w:rsidRPr="0035237F">
        <w:rPr>
          <w:rFonts w:ascii="Palatino Linotype" w:eastAsia="Palatino Linotype" w:hAnsi="Palatino Linotype" w:cs="Palatino Linotype"/>
          <w:i/>
        </w:rPr>
        <w:lastRenderedPageBreak/>
        <w:t xml:space="preserve">o fecha de elaboración. Los documentos podrán estar en cualquier medio, sea escrito, impreso, sonoro, visual, electrónico, informático u holográfico…” </w:t>
      </w:r>
    </w:p>
    <w:p w14:paraId="525566D6" w14:textId="77777777" w:rsidR="00724E79" w:rsidRPr="0035237F" w:rsidRDefault="00724E79">
      <w:pPr>
        <w:spacing w:after="0" w:line="360" w:lineRule="auto"/>
        <w:ind w:left="851" w:right="899"/>
        <w:jc w:val="both"/>
        <w:rPr>
          <w:rFonts w:ascii="Palatino Linotype" w:eastAsia="Palatino Linotype" w:hAnsi="Palatino Linotype" w:cs="Palatino Linotype"/>
          <w:sz w:val="24"/>
          <w:szCs w:val="24"/>
        </w:rPr>
      </w:pPr>
    </w:p>
    <w:p w14:paraId="3156FF0D"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Siendo aplicable, el Criterio de interpretación en el orden administrativo número 0002-11, emitido por Acuerdo del Pleno del Instituto de Transparencia y Acceso a la Información Pública del Estado de México y Municipios; publicado en el Periódico Oficial del Gobierno del Estado Libre y Soberano de México “Gaceta del Gobierno”, el diecinueve de octubre de dos mil once, cuyo rubro y texto refieren lo siguiente:</w:t>
      </w:r>
    </w:p>
    <w:p w14:paraId="7183715B"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5AA0B5E1" w14:textId="77777777" w:rsidR="00724E79" w:rsidRPr="0035237F" w:rsidRDefault="00312C60">
      <w:pPr>
        <w:spacing w:after="0" w:line="276" w:lineRule="auto"/>
        <w:ind w:left="851" w:right="902"/>
        <w:jc w:val="both"/>
        <w:rPr>
          <w:rFonts w:ascii="Palatino Linotype" w:eastAsia="Palatino Linotype" w:hAnsi="Palatino Linotype" w:cs="Palatino Linotype"/>
          <w:b/>
          <w:i/>
        </w:rPr>
      </w:pPr>
      <w:r w:rsidRPr="0035237F">
        <w:rPr>
          <w:rFonts w:ascii="Palatino Linotype" w:eastAsia="Palatino Linotype" w:hAnsi="Palatino Linotype" w:cs="Palatino Linotype"/>
          <w:b/>
        </w:rPr>
        <w:t>“</w:t>
      </w:r>
      <w:r w:rsidRPr="0035237F">
        <w:rPr>
          <w:rFonts w:ascii="Palatino Linotype" w:eastAsia="Palatino Linotype" w:hAnsi="Palatino Linotype" w:cs="Palatino Linotype"/>
          <w:b/>
          <w:i/>
        </w:rPr>
        <w:t>CRITERIO 0002-11</w:t>
      </w:r>
    </w:p>
    <w:p w14:paraId="626E6276"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b/>
          <w:i/>
        </w:rPr>
        <w:t>INFORMACIÓN PÚBLICA, CONCEPTO DE, EN MATERIA DE TRANSPARENCIA. INTERPRETACIÓN SISTEMÁTICA DE LOS ARTÍCULOS 2°, FRACCIÓN V, XV, Y XVI, 3°, 4°, 11 Y 41.</w:t>
      </w:r>
      <w:r w:rsidRPr="0035237F">
        <w:rPr>
          <w:rFonts w:ascii="Palatino Linotype" w:eastAsia="Palatino Linotype" w:hAnsi="Palatino Linotype" w:cs="Palatino Linotype"/>
          <w:i/>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3FC42E05"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En </w:t>
      </w:r>
      <w:proofErr w:type="gramStart"/>
      <w:r w:rsidRPr="0035237F">
        <w:rPr>
          <w:rFonts w:ascii="Palatino Linotype" w:eastAsia="Palatino Linotype" w:hAnsi="Palatino Linotype" w:cs="Palatino Linotype"/>
          <w:i/>
        </w:rPr>
        <w:t>consecuencia</w:t>
      </w:r>
      <w:proofErr w:type="gramEnd"/>
      <w:r w:rsidRPr="0035237F">
        <w:rPr>
          <w:rFonts w:ascii="Palatino Linotype" w:eastAsia="Palatino Linotype" w:hAnsi="Palatino Linotype" w:cs="Palatino Linotype"/>
          <w:i/>
        </w:rPr>
        <w:t xml:space="preserve"> el acceso a la información se refiere a que se cumplan cualquiera de los siguientes tres supuestos:</w:t>
      </w:r>
    </w:p>
    <w:p w14:paraId="642657E5"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1) Que se trate de información registrada en cualquier soporte documental, </w:t>
      </w:r>
      <w:proofErr w:type="gramStart"/>
      <w:r w:rsidRPr="0035237F">
        <w:rPr>
          <w:rFonts w:ascii="Palatino Linotype" w:eastAsia="Palatino Linotype" w:hAnsi="Palatino Linotype" w:cs="Palatino Linotype"/>
          <w:i/>
        </w:rPr>
        <w:t>que</w:t>
      </w:r>
      <w:proofErr w:type="gramEnd"/>
      <w:r w:rsidRPr="0035237F">
        <w:rPr>
          <w:rFonts w:ascii="Palatino Linotype" w:eastAsia="Palatino Linotype" w:hAnsi="Palatino Linotype" w:cs="Palatino Linotype"/>
          <w:i/>
        </w:rPr>
        <w:t xml:space="preserve"> en ejercicio de las atribuciones conferidas, sea generada por los Sujetos Obligados;</w:t>
      </w:r>
    </w:p>
    <w:p w14:paraId="2E06E37B"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2) Que se trate de información registrada en cualquier soporte documental, </w:t>
      </w:r>
      <w:proofErr w:type="gramStart"/>
      <w:r w:rsidRPr="0035237F">
        <w:rPr>
          <w:rFonts w:ascii="Palatino Linotype" w:eastAsia="Palatino Linotype" w:hAnsi="Palatino Linotype" w:cs="Palatino Linotype"/>
          <w:i/>
        </w:rPr>
        <w:t>que</w:t>
      </w:r>
      <w:proofErr w:type="gramEnd"/>
      <w:r w:rsidRPr="0035237F">
        <w:rPr>
          <w:rFonts w:ascii="Palatino Linotype" w:eastAsia="Palatino Linotype" w:hAnsi="Palatino Linotype" w:cs="Palatino Linotype"/>
          <w:i/>
        </w:rPr>
        <w:t xml:space="preserve"> en ejercicio de las atribuciones conferidas, sea administrada por los Sujetos Obligados, y</w:t>
      </w:r>
    </w:p>
    <w:p w14:paraId="59519FC0"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3) Que se trate de información registrada en cualquier soporte documental, </w:t>
      </w:r>
      <w:proofErr w:type="gramStart"/>
      <w:r w:rsidRPr="0035237F">
        <w:rPr>
          <w:rFonts w:ascii="Palatino Linotype" w:eastAsia="Palatino Linotype" w:hAnsi="Palatino Linotype" w:cs="Palatino Linotype"/>
          <w:i/>
        </w:rPr>
        <w:t>que</w:t>
      </w:r>
      <w:proofErr w:type="gramEnd"/>
      <w:r w:rsidRPr="0035237F">
        <w:rPr>
          <w:rFonts w:ascii="Palatino Linotype" w:eastAsia="Palatino Linotype" w:hAnsi="Palatino Linotype" w:cs="Palatino Linotype"/>
          <w:i/>
        </w:rPr>
        <w:t xml:space="preserve"> en ejercicio de las atribuciones conferidas, se encuentre en posesión de los Sujetos Obligados.” </w:t>
      </w:r>
    </w:p>
    <w:p w14:paraId="2B6A8030" w14:textId="77777777" w:rsidR="00724E79" w:rsidRPr="0035237F" w:rsidRDefault="00724E79">
      <w:pPr>
        <w:spacing w:after="0" w:line="276" w:lineRule="auto"/>
        <w:ind w:left="851" w:right="902"/>
        <w:jc w:val="both"/>
        <w:rPr>
          <w:rFonts w:ascii="Palatino Linotype" w:eastAsia="Palatino Linotype" w:hAnsi="Palatino Linotype" w:cs="Palatino Linotype"/>
          <w:sz w:val="24"/>
          <w:szCs w:val="24"/>
        </w:rPr>
      </w:pPr>
    </w:p>
    <w:p w14:paraId="2FC47972"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lastRenderedPageBreak/>
        <w:t xml:space="preserve">De ahí que </w:t>
      </w:r>
      <w:r w:rsidRPr="0035237F">
        <w:rPr>
          <w:rFonts w:ascii="Palatino Linotype" w:eastAsia="Palatino Linotype" w:hAnsi="Palatino Linotype" w:cs="Palatino Linotype"/>
          <w:b/>
          <w:sz w:val="24"/>
          <w:szCs w:val="24"/>
        </w:rPr>
        <w:t>EL SUJETO OBLIGADO</w:t>
      </w:r>
      <w:r w:rsidRPr="0035237F">
        <w:rPr>
          <w:rFonts w:ascii="Palatino Linotype" w:eastAsia="Palatino Linotype" w:hAnsi="Palatino Linotype" w:cs="Palatino Linotype"/>
          <w:sz w:val="24"/>
          <w:szCs w:val="24"/>
        </w:rPr>
        <w:t xml:space="preserve"> cuenta con el deber de satisfacer las solicitudes de acceso a la información que le sean formuladas y entregar la información pública que obre en sus archivos pudiendo ser de manera electrónica; más aún si la misma se trata de información relativa a obligaciones de transparencia, la cual se relaciona con aquella que se genere de acuerdo con sus facultades, atribuciones y obligaciones señaladas por la Ley en la materia</w:t>
      </w:r>
      <w:r w:rsidRPr="0035237F">
        <w:rPr>
          <w:rFonts w:ascii="Palatino Linotype" w:eastAsia="Palatino Linotype" w:hAnsi="Palatino Linotype" w:cs="Palatino Linotype"/>
          <w:sz w:val="24"/>
          <w:szCs w:val="24"/>
          <w:vertAlign w:val="superscript"/>
        </w:rPr>
        <w:footnoteReference w:id="1"/>
      </w:r>
      <w:r w:rsidRPr="0035237F">
        <w:rPr>
          <w:rFonts w:ascii="Palatino Linotype" w:eastAsia="Palatino Linotype" w:hAnsi="Palatino Linotype" w:cs="Palatino Linotype"/>
          <w:sz w:val="24"/>
          <w:szCs w:val="24"/>
        </w:rPr>
        <w:t>, así como de interés público, es decir, aquella que resulta relevante o beneficiosa para la sociedad y no simplemente de interés individual, y cuya divulgación resulta útil para que el público comprenda las actividades que llevan a cabo los Sujetos Obligados</w:t>
      </w:r>
      <w:r w:rsidRPr="0035237F">
        <w:rPr>
          <w:rFonts w:ascii="Palatino Linotype" w:eastAsia="Palatino Linotype" w:hAnsi="Palatino Linotype" w:cs="Palatino Linotype"/>
          <w:sz w:val="24"/>
          <w:szCs w:val="24"/>
          <w:vertAlign w:val="superscript"/>
        </w:rPr>
        <w:footnoteReference w:id="2"/>
      </w:r>
      <w:r w:rsidRPr="0035237F">
        <w:rPr>
          <w:rFonts w:ascii="Palatino Linotype" w:eastAsia="Palatino Linotype" w:hAnsi="Palatino Linotype" w:cs="Palatino Linotype"/>
          <w:sz w:val="24"/>
          <w:szCs w:val="24"/>
        </w:rPr>
        <w:t>, como pudiera tratarse de aquella relacionada con las obligaciones de transparencia señaladas en los artículos 92 de la Ley de la Materia.</w:t>
      </w:r>
    </w:p>
    <w:p w14:paraId="1F73D33F"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397BE0A5" w14:textId="77777777" w:rsidR="00724E79" w:rsidRPr="0035237F" w:rsidRDefault="00312C60">
      <w:pPr>
        <w:spacing w:after="24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Una vez determinada la vía sobre la que versará el presente recurso, y previa revisión del expediente del recurso de revisión materia de la presente resolución, se advierte lo siguiente:</w:t>
      </w:r>
    </w:p>
    <w:tbl>
      <w:tblPr>
        <w:tblStyle w:val="a"/>
        <w:tblW w:w="878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80"/>
        <w:gridCol w:w="5528"/>
        <w:gridCol w:w="1276"/>
      </w:tblGrid>
      <w:tr w:rsidR="00035C88" w:rsidRPr="0035237F" w14:paraId="09C6AD6C" w14:textId="77777777">
        <w:tc>
          <w:tcPr>
            <w:tcW w:w="1980" w:type="dxa"/>
            <w:shd w:val="clear" w:color="auto" w:fill="AEAAAA"/>
          </w:tcPr>
          <w:p w14:paraId="6065DBBA" w14:textId="77777777" w:rsidR="00724E79" w:rsidRPr="0035237F" w:rsidRDefault="00312C60">
            <w:pPr>
              <w:spacing w:before="240" w:after="240" w:line="276" w:lineRule="auto"/>
              <w:jc w:val="both"/>
              <w:rPr>
                <w:rFonts w:ascii="Palatino Linotype" w:eastAsia="Palatino Linotype" w:hAnsi="Palatino Linotype" w:cs="Palatino Linotype"/>
                <w:sz w:val="20"/>
                <w:szCs w:val="20"/>
              </w:rPr>
            </w:pPr>
            <w:r w:rsidRPr="0035237F">
              <w:rPr>
                <w:rFonts w:ascii="Palatino Linotype" w:eastAsia="Palatino Linotype" w:hAnsi="Palatino Linotype" w:cs="Palatino Linotype"/>
                <w:b/>
                <w:sz w:val="20"/>
                <w:szCs w:val="20"/>
              </w:rPr>
              <w:t>Solicitud</w:t>
            </w:r>
            <w:r w:rsidRPr="0035237F">
              <w:rPr>
                <w:rFonts w:ascii="Palatino Linotype" w:eastAsia="Palatino Linotype" w:hAnsi="Palatino Linotype" w:cs="Palatino Linotype"/>
                <w:sz w:val="20"/>
                <w:szCs w:val="20"/>
              </w:rPr>
              <w:t xml:space="preserve"> </w:t>
            </w:r>
          </w:p>
        </w:tc>
        <w:tc>
          <w:tcPr>
            <w:tcW w:w="5528" w:type="dxa"/>
            <w:shd w:val="clear" w:color="auto" w:fill="AEAAAA"/>
          </w:tcPr>
          <w:p w14:paraId="3EAB5AD8" w14:textId="77777777" w:rsidR="00724E79" w:rsidRPr="0035237F" w:rsidRDefault="00312C60">
            <w:pPr>
              <w:spacing w:before="240" w:after="240" w:line="360" w:lineRule="auto"/>
              <w:jc w:val="center"/>
              <w:rPr>
                <w:rFonts w:ascii="Palatino Linotype" w:eastAsia="Palatino Linotype" w:hAnsi="Palatino Linotype" w:cs="Palatino Linotype"/>
                <w:b/>
                <w:sz w:val="20"/>
                <w:szCs w:val="20"/>
              </w:rPr>
            </w:pPr>
            <w:r w:rsidRPr="0035237F">
              <w:rPr>
                <w:rFonts w:ascii="Palatino Linotype" w:eastAsia="Palatino Linotype" w:hAnsi="Palatino Linotype" w:cs="Palatino Linotype"/>
                <w:b/>
                <w:sz w:val="20"/>
                <w:szCs w:val="20"/>
              </w:rPr>
              <w:t>Respuesta</w:t>
            </w:r>
          </w:p>
        </w:tc>
        <w:tc>
          <w:tcPr>
            <w:tcW w:w="1276" w:type="dxa"/>
            <w:shd w:val="clear" w:color="auto" w:fill="AEAAAA"/>
          </w:tcPr>
          <w:p w14:paraId="4EC8D600" w14:textId="77777777" w:rsidR="00724E79" w:rsidRPr="0035237F" w:rsidRDefault="00312C60">
            <w:pPr>
              <w:spacing w:before="240" w:after="240" w:line="360" w:lineRule="auto"/>
              <w:jc w:val="center"/>
              <w:rPr>
                <w:rFonts w:ascii="Palatino Linotype" w:eastAsia="Palatino Linotype" w:hAnsi="Palatino Linotype" w:cs="Palatino Linotype"/>
                <w:b/>
                <w:sz w:val="20"/>
                <w:szCs w:val="20"/>
              </w:rPr>
            </w:pPr>
            <w:r w:rsidRPr="0035237F">
              <w:rPr>
                <w:rFonts w:ascii="Palatino Linotype" w:eastAsia="Palatino Linotype" w:hAnsi="Palatino Linotype" w:cs="Palatino Linotype"/>
                <w:b/>
                <w:sz w:val="20"/>
                <w:szCs w:val="20"/>
              </w:rPr>
              <w:t>Informe Justificado</w:t>
            </w:r>
          </w:p>
        </w:tc>
      </w:tr>
      <w:tr w:rsidR="00724E79" w:rsidRPr="0035237F" w14:paraId="29A1B8BA" w14:textId="77777777">
        <w:tc>
          <w:tcPr>
            <w:tcW w:w="1980" w:type="dxa"/>
            <w:shd w:val="clear" w:color="auto" w:fill="auto"/>
          </w:tcPr>
          <w:p w14:paraId="25F7BF89" w14:textId="77777777" w:rsidR="00724E79" w:rsidRPr="0035237F" w:rsidRDefault="00312C60">
            <w:pPr>
              <w:spacing w:before="240" w:after="240" w:line="276" w:lineRule="auto"/>
              <w:jc w:val="both"/>
              <w:rPr>
                <w:rFonts w:ascii="Palatino Linotype" w:eastAsia="Palatino Linotype" w:hAnsi="Palatino Linotype" w:cs="Palatino Linotype"/>
                <w:sz w:val="20"/>
                <w:szCs w:val="20"/>
              </w:rPr>
            </w:pPr>
            <w:r w:rsidRPr="0035237F">
              <w:rPr>
                <w:rFonts w:ascii="Palatino Linotype" w:eastAsia="Palatino Linotype" w:hAnsi="Palatino Linotype" w:cs="Palatino Linotype"/>
                <w:sz w:val="20"/>
                <w:szCs w:val="20"/>
              </w:rPr>
              <w:lastRenderedPageBreak/>
              <w:t xml:space="preserve">Soporte documental del resultado de las auditorías e inspecciones que el Órgano de Control Interno ha practicado a la UIPPE.  </w:t>
            </w:r>
          </w:p>
        </w:tc>
        <w:tc>
          <w:tcPr>
            <w:tcW w:w="5528" w:type="dxa"/>
            <w:shd w:val="clear" w:color="auto" w:fill="auto"/>
          </w:tcPr>
          <w:p w14:paraId="2C7BA032" w14:textId="77777777" w:rsidR="00724E79" w:rsidRPr="0035237F" w:rsidRDefault="00312C60">
            <w:pPr>
              <w:spacing w:before="240" w:after="240" w:line="360" w:lineRule="auto"/>
              <w:jc w:val="both"/>
              <w:rPr>
                <w:rFonts w:ascii="Palatino Linotype" w:eastAsia="Palatino Linotype" w:hAnsi="Palatino Linotype" w:cs="Palatino Linotype"/>
                <w:sz w:val="20"/>
                <w:szCs w:val="20"/>
              </w:rPr>
            </w:pPr>
            <w:r w:rsidRPr="0035237F">
              <w:rPr>
                <w:rFonts w:ascii="Palatino Linotype" w:eastAsia="Palatino Linotype" w:hAnsi="Palatino Linotype" w:cs="Palatino Linotype"/>
                <w:sz w:val="20"/>
                <w:szCs w:val="20"/>
              </w:rPr>
              <w:t xml:space="preserve">El Titular del Área de Auditoría, Arturo </w:t>
            </w:r>
            <w:proofErr w:type="spellStart"/>
            <w:r w:rsidRPr="0035237F">
              <w:rPr>
                <w:rFonts w:ascii="Palatino Linotype" w:eastAsia="Palatino Linotype" w:hAnsi="Palatino Linotype" w:cs="Palatino Linotype"/>
                <w:sz w:val="20"/>
                <w:szCs w:val="20"/>
              </w:rPr>
              <w:t>Irissón</w:t>
            </w:r>
            <w:proofErr w:type="spellEnd"/>
            <w:r w:rsidRPr="0035237F">
              <w:rPr>
                <w:rFonts w:ascii="Palatino Linotype" w:eastAsia="Palatino Linotype" w:hAnsi="Palatino Linotype" w:cs="Palatino Linotype"/>
                <w:sz w:val="20"/>
                <w:szCs w:val="20"/>
              </w:rPr>
              <w:t xml:space="preserve"> Bernáldez, señala que realizó una búsqueda de la información solicitada, sin embargo, no encontró información alguna respecto al tema que nos ocupa. </w:t>
            </w:r>
          </w:p>
          <w:p w14:paraId="1DBD6533" w14:textId="77777777" w:rsidR="00724E79" w:rsidRPr="0035237F" w:rsidRDefault="00312C60">
            <w:pPr>
              <w:spacing w:before="240" w:after="240" w:line="360" w:lineRule="auto"/>
              <w:jc w:val="both"/>
              <w:rPr>
                <w:rFonts w:ascii="Palatino Linotype" w:eastAsia="Palatino Linotype" w:hAnsi="Palatino Linotype" w:cs="Palatino Linotype"/>
                <w:sz w:val="20"/>
                <w:szCs w:val="20"/>
              </w:rPr>
            </w:pPr>
            <w:r w:rsidRPr="0035237F">
              <w:rPr>
                <w:rFonts w:ascii="Palatino Linotype" w:eastAsia="Palatino Linotype" w:hAnsi="Palatino Linotype" w:cs="Palatino Linotype"/>
                <w:sz w:val="20"/>
                <w:szCs w:val="20"/>
              </w:rPr>
              <w:t xml:space="preserve">El Titular del Área de Auditoría, Alejandro Tomas Miguel, mediante el cual señala que después de realizar una exhaustiva búsqueda en los archivos, no se cuenta con la información solicitada. </w:t>
            </w:r>
          </w:p>
          <w:p w14:paraId="05E01080" w14:textId="77777777" w:rsidR="00724E79" w:rsidRPr="0035237F" w:rsidRDefault="00312C60">
            <w:pPr>
              <w:spacing w:before="240" w:after="240" w:line="360" w:lineRule="auto"/>
              <w:jc w:val="both"/>
              <w:rPr>
                <w:rFonts w:ascii="Palatino Linotype" w:eastAsia="Palatino Linotype" w:hAnsi="Palatino Linotype" w:cs="Palatino Linotype"/>
                <w:sz w:val="20"/>
                <w:szCs w:val="20"/>
              </w:rPr>
            </w:pPr>
            <w:r w:rsidRPr="0035237F">
              <w:rPr>
                <w:rFonts w:ascii="Palatino Linotype" w:eastAsia="Palatino Linotype" w:hAnsi="Palatino Linotype" w:cs="Palatino Linotype"/>
                <w:sz w:val="20"/>
                <w:szCs w:val="20"/>
              </w:rPr>
              <w:t>El Titular del Área de Auditoría, Aldo Ariel Romero de la Cruz, mediante el cual señala que para estar en condiciones de atender la solicitud es necesario que especifique el periodo.</w:t>
            </w:r>
          </w:p>
        </w:tc>
        <w:tc>
          <w:tcPr>
            <w:tcW w:w="1276" w:type="dxa"/>
          </w:tcPr>
          <w:p w14:paraId="7FE5B019" w14:textId="77777777" w:rsidR="00724E79" w:rsidRPr="0035237F" w:rsidRDefault="00312C60">
            <w:pPr>
              <w:spacing w:before="240" w:after="240" w:line="360" w:lineRule="auto"/>
              <w:jc w:val="both"/>
              <w:rPr>
                <w:rFonts w:ascii="Palatino Linotype" w:eastAsia="Palatino Linotype" w:hAnsi="Palatino Linotype" w:cs="Palatino Linotype"/>
                <w:sz w:val="20"/>
                <w:szCs w:val="20"/>
              </w:rPr>
            </w:pPr>
            <w:r w:rsidRPr="0035237F">
              <w:rPr>
                <w:rFonts w:ascii="Palatino Linotype" w:eastAsia="Palatino Linotype" w:hAnsi="Palatino Linotype" w:cs="Palatino Linotype"/>
                <w:sz w:val="20"/>
                <w:szCs w:val="20"/>
              </w:rPr>
              <w:t>Ratifica</w:t>
            </w:r>
          </w:p>
        </w:tc>
      </w:tr>
    </w:tbl>
    <w:p w14:paraId="3C3884F9"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5F521048" w14:textId="77777777" w:rsidR="00724E79" w:rsidRPr="0035237F" w:rsidRDefault="00312C60">
      <w:pPr>
        <w:spacing w:after="0" w:line="360" w:lineRule="auto"/>
        <w:ind w:right="51"/>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Aclarado lo anterior, es de recordar que la información proporcionada en respuesta e informe justificado fue proporcionada por los Titulares de Auditoría, quienes cuentan con las siguientes funciones y atribuciones: </w:t>
      </w:r>
    </w:p>
    <w:p w14:paraId="6A479377" w14:textId="77777777" w:rsidR="00724E79" w:rsidRPr="0035237F" w:rsidRDefault="00724E79">
      <w:pPr>
        <w:spacing w:after="0" w:line="360" w:lineRule="auto"/>
        <w:ind w:right="51"/>
        <w:jc w:val="both"/>
        <w:rPr>
          <w:rFonts w:ascii="Palatino Linotype" w:eastAsia="Palatino Linotype" w:hAnsi="Palatino Linotype" w:cs="Palatino Linotype"/>
          <w:sz w:val="24"/>
          <w:szCs w:val="24"/>
        </w:rPr>
      </w:pPr>
    </w:p>
    <w:p w14:paraId="56F118FE" w14:textId="77777777" w:rsidR="00724E79" w:rsidRPr="0035237F" w:rsidRDefault="00312C60">
      <w:pPr>
        <w:spacing w:after="0" w:line="276" w:lineRule="auto"/>
        <w:ind w:left="851" w:right="902"/>
        <w:jc w:val="both"/>
        <w:rPr>
          <w:rFonts w:ascii="Palatino Linotype" w:eastAsia="Palatino Linotype" w:hAnsi="Palatino Linotype" w:cs="Palatino Linotype"/>
          <w:b/>
          <w:i/>
        </w:rPr>
      </w:pPr>
      <w:r w:rsidRPr="0035237F">
        <w:rPr>
          <w:rFonts w:ascii="Palatino Linotype" w:eastAsia="Palatino Linotype" w:hAnsi="Palatino Linotype" w:cs="Palatino Linotype"/>
          <w:b/>
          <w:i/>
        </w:rPr>
        <w:t>“MANUAL GENERAL DE ORGANIZACIÓN DE LA SECRETARÍA DE MOVILIDAD.</w:t>
      </w:r>
    </w:p>
    <w:p w14:paraId="7A589D2A" w14:textId="77777777" w:rsidR="00724E79" w:rsidRPr="0035237F" w:rsidRDefault="00724E79">
      <w:pPr>
        <w:spacing w:after="0" w:line="276" w:lineRule="auto"/>
        <w:ind w:left="851" w:right="902"/>
        <w:jc w:val="both"/>
        <w:rPr>
          <w:rFonts w:ascii="Palatino Linotype" w:eastAsia="Palatino Linotype" w:hAnsi="Palatino Linotype" w:cs="Palatino Linotype"/>
          <w:b/>
          <w:i/>
        </w:rPr>
      </w:pPr>
    </w:p>
    <w:p w14:paraId="34924CBE"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20700003000100S ÁREA DE AUDITORÍA</w:t>
      </w:r>
    </w:p>
    <w:p w14:paraId="6B96F1DB"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20700003000200S ÁREA DE AUDITORÍA</w:t>
      </w:r>
    </w:p>
    <w:p w14:paraId="18C960C9"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20700003000300S ÁREA DE AUDITORÍA</w:t>
      </w:r>
    </w:p>
    <w:p w14:paraId="0092CD2D"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FUNCIONES:</w:t>
      </w:r>
    </w:p>
    <w:p w14:paraId="1AD5D5C5"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p>
    <w:p w14:paraId="1876B6AB"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lastRenderedPageBreak/>
        <w:t>− Supervisar la ejecución de las auditorías y acciones de control y evaluación que les instruya la o el titular del Órgano Interno de Control, así como las que se realicen en coordinación con las unidades administrativas de la Secretaría de la Contraloría u otras instancias externas de fiscalización; emitir el informe correspondiente y dar a conocer el resultado de dichas auditorías y acciones de control y evaluación a la o al titular del Órgano Interno de Control, y a las o los responsables de las unidades administrativas auditadas.”</w:t>
      </w:r>
    </w:p>
    <w:p w14:paraId="1D4A83C5" w14:textId="77777777" w:rsidR="00724E79" w:rsidRPr="0035237F" w:rsidRDefault="00724E79">
      <w:pPr>
        <w:spacing w:after="0" w:line="360" w:lineRule="auto"/>
        <w:ind w:right="51"/>
        <w:jc w:val="both"/>
        <w:rPr>
          <w:rFonts w:ascii="Palatino Linotype" w:eastAsia="Palatino Linotype" w:hAnsi="Palatino Linotype" w:cs="Palatino Linotype"/>
          <w:sz w:val="24"/>
          <w:szCs w:val="24"/>
        </w:rPr>
      </w:pPr>
    </w:p>
    <w:p w14:paraId="4EADDCE4" w14:textId="77777777" w:rsidR="00724E79" w:rsidRPr="0035237F" w:rsidRDefault="00312C60">
      <w:pPr>
        <w:spacing w:after="0" w:line="360" w:lineRule="auto"/>
        <w:ind w:right="51"/>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De acuerdo a lo anterior, las Áreas de Auditoría supervisan la ejecución de las auditorías y acciones de control y evaluación que les instruya el titular del Órgano Interno de Control, así como las que se realicen en coordinación con las unidades administrativas de la Secretaría de la Contraloría u otras instancias externas de fiscalización; emitir el informe correspondiente y dar a conocer el resultado de dichas auditorías y acciones de control y evaluación a la o al titular del Órgano Interno de Control, y a las o los responsables de las unidades administrativas auditadas. </w:t>
      </w:r>
    </w:p>
    <w:p w14:paraId="7F00017C" w14:textId="77777777" w:rsidR="00724E79" w:rsidRPr="0035237F" w:rsidRDefault="00724E79">
      <w:pPr>
        <w:spacing w:after="0" w:line="360" w:lineRule="auto"/>
        <w:ind w:right="51"/>
        <w:jc w:val="both"/>
        <w:rPr>
          <w:rFonts w:ascii="Palatino Linotype" w:eastAsia="Palatino Linotype" w:hAnsi="Palatino Linotype" w:cs="Palatino Linotype"/>
          <w:sz w:val="24"/>
          <w:szCs w:val="24"/>
        </w:rPr>
      </w:pPr>
    </w:p>
    <w:p w14:paraId="3E45F4B9" w14:textId="77777777" w:rsidR="00724E79" w:rsidRPr="0035237F" w:rsidRDefault="00312C60">
      <w:pPr>
        <w:spacing w:after="0" w:line="360" w:lineRule="auto"/>
        <w:ind w:right="4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Por ende, se determina que la respuesta fue proporcionada por la Unidad Administrativa Competente, siguiendo el procedimiento establecido por el artículo 162 de la Ley de Transparencia y Acceso a la Información Pública del Estado de México y Municipios, ya que turnó la solicitud al área en la que podría obrar la información de conformidad con la fracción XXXIX del artículo tercero de la legislación local vigente en materia de transparencia: </w:t>
      </w:r>
    </w:p>
    <w:p w14:paraId="1CCA2EA8" w14:textId="77777777" w:rsidR="00724E79" w:rsidRPr="0035237F" w:rsidRDefault="00724E79">
      <w:pPr>
        <w:spacing w:after="0" w:line="360" w:lineRule="auto"/>
        <w:ind w:right="49"/>
        <w:jc w:val="both"/>
        <w:rPr>
          <w:rFonts w:ascii="Palatino Linotype" w:eastAsia="Palatino Linotype" w:hAnsi="Palatino Linotype" w:cs="Palatino Linotype"/>
          <w:sz w:val="24"/>
          <w:szCs w:val="24"/>
        </w:rPr>
      </w:pPr>
    </w:p>
    <w:p w14:paraId="136CA785" w14:textId="77777777" w:rsidR="00724E79" w:rsidRPr="0035237F" w:rsidRDefault="00312C60">
      <w:pPr>
        <w:pBdr>
          <w:top w:val="nil"/>
          <w:left w:val="nil"/>
          <w:bottom w:val="nil"/>
          <w:right w:val="nil"/>
          <w:between w:val="nil"/>
        </w:pBdr>
        <w:spacing w:after="0" w:line="276" w:lineRule="auto"/>
        <w:ind w:left="862" w:right="862"/>
        <w:jc w:val="both"/>
      </w:pPr>
      <w:r w:rsidRPr="0035237F">
        <w:rPr>
          <w:rFonts w:ascii="Palatino Linotype" w:eastAsia="Palatino Linotype" w:hAnsi="Palatino Linotype" w:cs="Palatino Linotype"/>
          <w:i/>
        </w:rPr>
        <w:t xml:space="preserve">XXXIX. Servidor público habilitado: Persona encargada dentro de las diversas unidades administrativas o áreas del sujeto obligado, de apoyar, gestionar y </w:t>
      </w:r>
      <w:r w:rsidRPr="0035237F">
        <w:rPr>
          <w:rFonts w:ascii="Palatino Linotype" w:eastAsia="Palatino Linotype" w:hAnsi="Palatino Linotype" w:cs="Palatino Linotype"/>
          <w:i/>
        </w:rPr>
        <w:lastRenderedPageBreak/>
        <w:t>entregar la información o datos personales que se ubiquen en la misma, a sus respectivas unidades de transparencia; respecto de las solicitudes presentadas y aportar en primera instancia el fundamento y motivación de la clasificación de la información. </w:t>
      </w:r>
    </w:p>
    <w:p w14:paraId="4A634D8B" w14:textId="77777777" w:rsidR="00724E79" w:rsidRPr="0035237F" w:rsidRDefault="00724E79">
      <w:pPr>
        <w:spacing w:after="0" w:line="360" w:lineRule="auto"/>
        <w:rPr>
          <w:rFonts w:ascii="Palatino Linotype" w:eastAsia="Palatino Linotype" w:hAnsi="Palatino Linotype" w:cs="Palatino Linotype"/>
          <w:sz w:val="24"/>
          <w:szCs w:val="24"/>
        </w:rPr>
      </w:pPr>
    </w:p>
    <w:p w14:paraId="5EA29820" w14:textId="77777777" w:rsidR="00724E79" w:rsidRPr="0035237F" w:rsidRDefault="00312C60">
      <w:pPr>
        <w:pBdr>
          <w:top w:val="nil"/>
          <w:left w:val="nil"/>
          <w:bottom w:val="nil"/>
          <w:right w:val="nil"/>
          <w:between w:val="nil"/>
        </w:pBdr>
        <w:shd w:val="clear" w:color="auto" w:fill="FFFFFF"/>
        <w:spacing w:after="0" w:line="360" w:lineRule="auto"/>
        <w:jc w:val="both"/>
        <w:rPr>
          <w:sz w:val="24"/>
          <w:szCs w:val="24"/>
        </w:rPr>
      </w:pPr>
      <w:r w:rsidRPr="0035237F">
        <w:rPr>
          <w:rFonts w:ascii="Palatino Linotype" w:eastAsia="Palatino Linotype" w:hAnsi="Palatino Linotype" w:cs="Palatino Linotype"/>
          <w:sz w:val="24"/>
          <w:szCs w:val="24"/>
        </w:rPr>
        <w:t>En este orden de ideas, se advierte que efectivamente la Unidad de Transparencia cumplió con lo expresado en el artículo 162 de la Ley de Transparencia y Acceso a la Información Pública del Estado de México y Municipios, el cual menciona lo siguiente:</w:t>
      </w:r>
    </w:p>
    <w:p w14:paraId="1EB2DA2B" w14:textId="77777777" w:rsidR="00724E79" w:rsidRPr="0035237F" w:rsidRDefault="00724E79">
      <w:pPr>
        <w:spacing w:after="0" w:line="360" w:lineRule="auto"/>
        <w:rPr>
          <w:rFonts w:ascii="Palatino Linotype" w:eastAsia="Palatino Linotype" w:hAnsi="Palatino Linotype" w:cs="Palatino Linotype"/>
          <w:sz w:val="24"/>
          <w:szCs w:val="24"/>
        </w:rPr>
      </w:pPr>
    </w:p>
    <w:p w14:paraId="4E687598" w14:textId="77777777" w:rsidR="00724E79" w:rsidRPr="0035237F" w:rsidRDefault="00312C60">
      <w:pPr>
        <w:pBdr>
          <w:top w:val="nil"/>
          <w:left w:val="nil"/>
          <w:bottom w:val="nil"/>
          <w:right w:val="nil"/>
          <w:between w:val="nil"/>
        </w:pBdr>
        <w:spacing w:after="0" w:line="276" w:lineRule="auto"/>
        <w:ind w:left="862" w:right="862"/>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“Artículo 162. Las unidades de transparencia deberán garantizar que las solicitudes </w:t>
      </w:r>
      <w:r w:rsidRPr="0035237F">
        <w:rPr>
          <w:rFonts w:ascii="Palatino Linotype" w:eastAsia="Palatino Linotype" w:hAnsi="Palatino Linotype" w:cs="Palatino Linotype"/>
          <w:b/>
          <w:i/>
        </w:rPr>
        <w:t xml:space="preserve">se turnen a todas las Áreas competentes </w:t>
      </w:r>
      <w:r w:rsidRPr="0035237F">
        <w:rPr>
          <w:rFonts w:ascii="Palatino Linotype" w:eastAsia="Palatino Linotype" w:hAnsi="Palatino Linotype" w:cs="Palatino Linotype"/>
          <w:i/>
        </w:rPr>
        <w:t>que cuenten con la información o deban tenerla de acuerdo a sus facultades, competencias y funciones, con el objeto de que realicen una búsqueda exhaustiva y razonable de la información solicitada.”</w:t>
      </w:r>
    </w:p>
    <w:p w14:paraId="1874171F" w14:textId="77777777" w:rsidR="00724E79" w:rsidRPr="0035237F" w:rsidRDefault="00724E79">
      <w:pPr>
        <w:pBdr>
          <w:top w:val="nil"/>
          <w:left w:val="nil"/>
          <w:bottom w:val="nil"/>
          <w:right w:val="nil"/>
          <w:between w:val="nil"/>
        </w:pBdr>
        <w:spacing w:after="0" w:line="360" w:lineRule="auto"/>
        <w:ind w:left="864" w:right="864"/>
        <w:jc w:val="both"/>
        <w:rPr>
          <w:rFonts w:ascii="Palatino Linotype" w:eastAsia="Palatino Linotype" w:hAnsi="Palatino Linotype" w:cs="Palatino Linotype"/>
          <w:sz w:val="24"/>
          <w:szCs w:val="24"/>
        </w:rPr>
      </w:pPr>
    </w:p>
    <w:p w14:paraId="38A7BE01"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Por consiguiente, se tiene que el procedimiento de búsqueda de la información se ejecutó conforme a derecho.</w:t>
      </w:r>
    </w:p>
    <w:p w14:paraId="1630F99E"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6FE4E049"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Además, se debe indicar que la información solicitada corresponde a las obligaciones de transparencia común, de conformidad con lo dispuesto en el artículo 92, fracción XXVIII, de la Ley de Transparencia y Acceso a la Información Pública del Estado de México y Municipios, que es del texto literal siguiente: </w:t>
      </w:r>
    </w:p>
    <w:p w14:paraId="3A7D5212" w14:textId="77777777" w:rsidR="00724E79" w:rsidRPr="0035237F" w:rsidRDefault="00724E79">
      <w:pPr>
        <w:spacing w:after="0" w:line="240" w:lineRule="auto"/>
        <w:ind w:right="900"/>
        <w:rPr>
          <w:rFonts w:ascii="Palatino Linotype" w:eastAsia="Palatino Linotype" w:hAnsi="Palatino Linotype" w:cs="Palatino Linotype"/>
          <w:sz w:val="24"/>
          <w:szCs w:val="24"/>
        </w:rPr>
      </w:pPr>
    </w:p>
    <w:p w14:paraId="74C2589F" w14:textId="77777777" w:rsidR="00724E79" w:rsidRPr="0035237F" w:rsidRDefault="00312C60">
      <w:pPr>
        <w:spacing w:after="0" w:line="240" w:lineRule="auto"/>
        <w:ind w:left="851" w:right="900"/>
        <w:jc w:val="both"/>
        <w:rPr>
          <w:rFonts w:ascii="Times New Roman" w:eastAsia="Times New Roman" w:hAnsi="Times New Roman" w:cs="Times New Roman"/>
          <w:sz w:val="24"/>
          <w:szCs w:val="24"/>
        </w:rPr>
      </w:pPr>
      <w:r w:rsidRPr="0035237F">
        <w:rPr>
          <w:rFonts w:ascii="Palatino Linotype" w:eastAsia="Palatino Linotype" w:hAnsi="Palatino Linotype" w:cs="Palatino Linotype"/>
          <w:b/>
          <w:i/>
        </w:rPr>
        <w:t>“Artículo 92.</w:t>
      </w:r>
      <w:r w:rsidRPr="0035237F">
        <w:rPr>
          <w:rFonts w:ascii="Palatino Linotype" w:eastAsia="Palatino Linotype" w:hAnsi="Palatino Linotype" w:cs="Palatino Linotype"/>
          <w:i/>
        </w:rPr>
        <w:t xml:space="preserve"> Los sujetos obligados deberán poner a disposición del público de manera permanente y actualizada de forma sencilla, precisa y entendible, en los respectivos medios electrónicos, de acuerdo con sus facultades, atribuciones, </w:t>
      </w:r>
      <w:r w:rsidRPr="0035237F">
        <w:rPr>
          <w:rFonts w:ascii="Palatino Linotype" w:eastAsia="Palatino Linotype" w:hAnsi="Palatino Linotype" w:cs="Palatino Linotype"/>
          <w:i/>
        </w:rPr>
        <w:lastRenderedPageBreak/>
        <w:t>funciones u objeto social, según corresponda, la información, por lo menos, de los temas, documentos y políticas que a continuación se señalan:</w:t>
      </w:r>
    </w:p>
    <w:p w14:paraId="5ECED507" w14:textId="77777777" w:rsidR="00724E79" w:rsidRPr="0035237F" w:rsidRDefault="00724E79">
      <w:pPr>
        <w:spacing w:after="0" w:line="240" w:lineRule="auto"/>
        <w:rPr>
          <w:rFonts w:ascii="Times New Roman" w:eastAsia="Times New Roman" w:hAnsi="Times New Roman" w:cs="Times New Roman"/>
          <w:sz w:val="24"/>
          <w:szCs w:val="24"/>
        </w:rPr>
      </w:pPr>
    </w:p>
    <w:p w14:paraId="3FCF64C1" w14:textId="77777777" w:rsidR="00724E79" w:rsidRPr="0035237F" w:rsidRDefault="00312C60">
      <w:pPr>
        <w:spacing w:after="0" w:line="240" w:lineRule="auto"/>
        <w:ind w:left="851" w:right="900"/>
        <w:jc w:val="both"/>
        <w:rPr>
          <w:rFonts w:ascii="Times New Roman" w:eastAsia="Times New Roman" w:hAnsi="Times New Roman" w:cs="Times New Roman"/>
          <w:sz w:val="24"/>
          <w:szCs w:val="24"/>
        </w:rPr>
      </w:pPr>
      <w:r w:rsidRPr="0035237F">
        <w:rPr>
          <w:rFonts w:ascii="Palatino Linotype" w:eastAsia="Palatino Linotype" w:hAnsi="Palatino Linotype" w:cs="Palatino Linotype"/>
          <w:i/>
        </w:rPr>
        <w:tab/>
      </w:r>
      <w:r w:rsidRPr="0035237F">
        <w:rPr>
          <w:rFonts w:ascii="Palatino Linotype" w:eastAsia="Palatino Linotype" w:hAnsi="Palatino Linotype" w:cs="Palatino Linotype"/>
          <w:b/>
          <w:i/>
        </w:rPr>
        <w:t xml:space="preserve">I </w:t>
      </w:r>
      <w:r w:rsidRPr="0035237F">
        <w:rPr>
          <w:rFonts w:ascii="Palatino Linotype" w:eastAsia="Palatino Linotype" w:hAnsi="Palatino Linotype" w:cs="Palatino Linotype"/>
          <w:i/>
        </w:rPr>
        <w:t>al</w:t>
      </w:r>
      <w:r w:rsidRPr="0035237F">
        <w:rPr>
          <w:rFonts w:ascii="Palatino Linotype" w:eastAsia="Palatino Linotype" w:hAnsi="Palatino Linotype" w:cs="Palatino Linotype"/>
          <w:b/>
          <w:i/>
        </w:rPr>
        <w:t xml:space="preserve"> XXVII…</w:t>
      </w:r>
    </w:p>
    <w:p w14:paraId="12591995" w14:textId="77777777" w:rsidR="00724E79" w:rsidRPr="0035237F" w:rsidRDefault="00312C60">
      <w:pPr>
        <w:spacing w:after="0" w:line="240" w:lineRule="auto"/>
        <w:ind w:left="851" w:right="900"/>
        <w:jc w:val="both"/>
        <w:rPr>
          <w:rFonts w:ascii="Times New Roman" w:eastAsia="Times New Roman" w:hAnsi="Times New Roman" w:cs="Times New Roman"/>
          <w:sz w:val="24"/>
          <w:szCs w:val="24"/>
        </w:rPr>
      </w:pPr>
      <w:r w:rsidRPr="0035237F">
        <w:rPr>
          <w:rFonts w:ascii="Palatino Linotype" w:eastAsia="Palatino Linotype" w:hAnsi="Palatino Linotype" w:cs="Palatino Linotype"/>
          <w:b/>
          <w:i/>
        </w:rPr>
        <w:t xml:space="preserve">XXVIII. </w:t>
      </w:r>
      <w:r w:rsidRPr="0035237F">
        <w:rPr>
          <w:rFonts w:ascii="Palatino Linotype" w:eastAsia="Palatino Linotype" w:hAnsi="Palatino Linotype" w:cs="Palatino Linotype"/>
          <w:i/>
        </w:rPr>
        <w:t>Los informes de resultados de las auditorías al ejercicio presupuestal de cada sujeto obligado que se realicen y, en su caso, las aclaraciones que correspondan;</w:t>
      </w:r>
      <w:r w:rsidRPr="0035237F">
        <w:rPr>
          <w:rFonts w:ascii="Palatino Linotype" w:eastAsia="Palatino Linotype" w:hAnsi="Palatino Linotype" w:cs="Palatino Linotype"/>
          <w:i/>
        </w:rPr>
        <w:br/>
      </w:r>
      <w:r w:rsidRPr="0035237F">
        <w:rPr>
          <w:rFonts w:ascii="Palatino Linotype" w:eastAsia="Palatino Linotype" w:hAnsi="Palatino Linotype" w:cs="Palatino Linotype"/>
          <w:b/>
          <w:i/>
        </w:rPr>
        <w:t xml:space="preserve">XXIX </w:t>
      </w:r>
      <w:r w:rsidRPr="0035237F">
        <w:rPr>
          <w:rFonts w:ascii="Palatino Linotype" w:eastAsia="Palatino Linotype" w:hAnsi="Palatino Linotype" w:cs="Palatino Linotype"/>
          <w:i/>
        </w:rPr>
        <w:t xml:space="preserve">a </w:t>
      </w:r>
      <w:r w:rsidRPr="0035237F">
        <w:rPr>
          <w:rFonts w:ascii="Palatino Linotype" w:eastAsia="Palatino Linotype" w:hAnsi="Palatino Linotype" w:cs="Palatino Linotype"/>
          <w:b/>
          <w:i/>
        </w:rPr>
        <w:t>XLII…”</w:t>
      </w:r>
    </w:p>
    <w:p w14:paraId="7F3717F5" w14:textId="77777777" w:rsidR="00724E79" w:rsidRPr="0035237F" w:rsidRDefault="00724E79">
      <w:pPr>
        <w:spacing w:line="360" w:lineRule="auto"/>
        <w:ind w:right="49"/>
        <w:jc w:val="both"/>
        <w:rPr>
          <w:rFonts w:ascii="Palatino Linotype" w:eastAsia="Palatino Linotype" w:hAnsi="Palatino Linotype" w:cs="Palatino Linotype"/>
          <w:sz w:val="24"/>
          <w:szCs w:val="24"/>
        </w:rPr>
      </w:pPr>
    </w:p>
    <w:p w14:paraId="7F9EFFFF" w14:textId="77777777" w:rsidR="00724E79" w:rsidRPr="0035237F" w:rsidRDefault="00312C60">
      <w:pPr>
        <w:pBdr>
          <w:top w:val="nil"/>
          <w:left w:val="nil"/>
          <w:bottom w:val="nil"/>
          <w:right w:val="nil"/>
          <w:between w:val="nil"/>
        </w:pBd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Conforme a la normatividad en cita, los resultados de auditorías son carácter público, tan es así que, se encuentran establecidas como obligación de transparencia común en la Ley en materia de Transparencia. </w:t>
      </w:r>
    </w:p>
    <w:p w14:paraId="11CFCC5B" w14:textId="77777777" w:rsidR="00724E79" w:rsidRPr="0035237F" w:rsidRDefault="00724E79">
      <w:pPr>
        <w:pBdr>
          <w:top w:val="nil"/>
          <w:left w:val="nil"/>
          <w:bottom w:val="nil"/>
          <w:right w:val="nil"/>
          <w:between w:val="nil"/>
        </w:pBdr>
        <w:spacing w:after="0" w:line="360" w:lineRule="auto"/>
        <w:jc w:val="both"/>
        <w:rPr>
          <w:rFonts w:ascii="Palatino Linotype" w:eastAsia="Palatino Linotype" w:hAnsi="Palatino Linotype" w:cs="Palatino Linotype"/>
          <w:sz w:val="24"/>
          <w:szCs w:val="24"/>
        </w:rPr>
      </w:pPr>
    </w:p>
    <w:p w14:paraId="6BDF7621" w14:textId="77777777" w:rsidR="00724E79" w:rsidRPr="0035237F" w:rsidRDefault="00312C60">
      <w:pPr>
        <w:pBdr>
          <w:top w:val="nil"/>
          <w:left w:val="nil"/>
          <w:bottom w:val="nil"/>
          <w:right w:val="nil"/>
          <w:between w:val="nil"/>
        </w:pBdr>
        <w:spacing w:after="0" w:line="360" w:lineRule="auto"/>
        <w:ind w:right="49"/>
        <w:jc w:val="both"/>
        <w:rPr>
          <w:sz w:val="24"/>
          <w:szCs w:val="24"/>
        </w:rPr>
      </w:pPr>
      <w:r w:rsidRPr="0035237F">
        <w:rPr>
          <w:rFonts w:ascii="Palatino Linotype" w:eastAsia="Palatino Linotype" w:hAnsi="Palatino Linotype" w:cs="Palatino Linotype"/>
          <w:sz w:val="24"/>
          <w:szCs w:val="24"/>
        </w:rPr>
        <w:t>A mayor abundamiento, los Lineamientos Técnicos Generales para la publicación, homologación y estandarización de la información de las obligaciones establecidas en el Título Quinto y en la fracción IV del artículo 31 de la Ley General de Transparencia y Acceso a la Información Pública, que deben de difundir los sujetos obligados en los portales de Internet y en la Plataforma Nacional de Transparencia, contemplan lo siguiente: </w:t>
      </w:r>
    </w:p>
    <w:p w14:paraId="76C3BD3B" w14:textId="77777777" w:rsidR="00724E79" w:rsidRPr="0035237F" w:rsidRDefault="00724E79">
      <w:pPr>
        <w:spacing w:after="0" w:line="360" w:lineRule="auto"/>
        <w:rPr>
          <w:rFonts w:ascii="Palatino Linotype" w:eastAsia="Palatino Linotype" w:hAnsi="Palatino Linotype" w:cs="Palatino Linotype"/>
          <w:sz w:val="24"/>
          <w:szCs w:val="24"/>
        </w:rPr>
      </w:pPr>
    </w:p>
    <w:p w14:paraId="4E3F7A57" w14:textId="77777777" w:rsidR="00724E79" w:rsidRPr="0035237F" w:rsidRDefault="00312C60">
      <w:pPr>
        <w:pBdr>
          <w:top w:val="nil"/>
          <w:left w:val="nil"/>
          <w:bottom w:val="nil"/>
          <w:right w:val="nil"/>
          <w:between w:val="nil"/>
        </w:pBdr>
        <w:spacing w:after="0" w:line="276" w:lineRule="auto"/>
        <w:ind w:left="567" w:right="900"/>
        <w:jc w:val="both"/>
        <w:rPr>
          <w:rFonts w:ascii="Palatino Linotype" w:eastAsia="Palatino Linotype" w:hAnsi="Palatino Linotype" w:cs="Palatino Linotype"/>
          <w:i/>
        </w:rPr>
      </w:pPr>
      <w:r w:rsidRPr="0035237F">
        <w:rPr>
          <w:rFonts w:ascii="Palatino Linotype" w:eastAsia="Palatino Linotype" w:hAnsi="Palatino Linotype" w:cs="Palatino Linotype"/>
          <w:i/>
        </w:rPr>
        <w:t>“XXIV. Los informes de resultados de las auditorías al ejercicio presupuestal de cada sujeto obligado que se realicen, y, en su caso, las aclaraciones que correspondan</w:t>
      </w:r>
    </w:p>
    <w:p w14:paraId="744549D2" w14:textId="77777777" w:rsidR="00724E79" w:rsidRPr="0035237F" w:rsidRDefault="00312C60">
      <w:pPr>
        <w:pBdr>
          <w:top w:val="nil"/>
          <w:left w:val="nil"/>
          <w:bottom w:val="nil"/>
          <w:right w:val="nil"/>
          <w:between w:val="nil"/>
        </w:pBdr>
        <w:spacing w:after="0" w:line="276" w:lineRule="auto"/>
        <w:ind w:left="567" w:right="900"/>
        <w:jc w:val="both"/>
        <w:rPr>
          <w:rFonts w:ascii="Palatino Linotype" w:eastAsia="Palatino Linotype" w:hAnsi="Palatino Linotype" w:cs="Palatino Linotype"/>
          <w:i/>
        </w:rPr>
      </w:pPr>
      <w:r w:rsidRPr="0035237F">
        <w:rPr>
          <w:rFonts w:ascii="Palatino Linotype" w:eastAsia="Palatino Linotype" w:hAnsi="Palatino Linotype" w:cs="Palatino Linotype"/>
          <w:i/>
          <w:noProof/>
        </w:rPr>
        <w:lastRenderedPageBreak/>
        <w:drawing>
          <wp:inline distT="0" distB="0" distL="0" distR="0" wp14:anchorId="47FD6BD5" wp14:editId="601EB0F4">
            <wp:extent cx="5149515" cy="5392761"/>
            <wp:effectExtent l="0" t="0" r="0" b="0"/>
            <wp:docPr id="1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5149515" cy="5392761"/>
                    </a:xfrm>
                    <a:prstGeom prst="rect">
                      <a:avLst/>
                    </a:prstGeom>
                    <a:ln/>
                  </pic:spPr>
                </pic:pic>
              </a:graphicData>
            </a:graphic>
          </wp:inline>
        </w:drawing>
      </w:r>
      <w:r w:rsidRPr="0035237F">
        <w:rPr>
          <w:rFonts w:ascii="Palatino Linotype" w:eastAsia="Palatino Linotype" w:hAnsi="Palatino Linotype" w:cs="Palatino Linotype"/>
          <w:i/>
        </w:rPr>
        <w:t xml:space="preserve"> </w:t>
      </w:r>
    </w:p>
    <w:p w14:paraId="212E04E9" w14:textId="77777777" w:rsidR="00724E79" w:rsidRPr="0035237F" w:rsidRDefault="00724E79"/>
    <w:p w14:paraId="7D7F2FCA" w14:textId="77777777" w:rsidR="00724E79" w:rsidRPr="0035237F" w:rsidRDefault="00312C60">
      <w:pPr>
        <w:pBdr>
          <w:top w:val="nil"/>
          <w:left w:val="nil"/>
          <w:bottom w:val="nil"/>
          <w:right w:val="nil"/>
          <w:between w:val="nil"/>
        </w:pBd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En razón de lo anterior, se arriba a la conclusión de que la información requerida no sólo puede obrar en los archivos del </w:t>
      </w:r>
      <w:r w:rsidRPr="0035237F">
        <w:rPr>
          <w:rFonts w:ascii="Palatino Linotype" w:eastAsia="Palatino Linotype" w:hAnsi="Palatino Linotype" w:cs="Palatino Linotype"/>
          <w:b/>
          <w:sz w:val="24"/>
          <w:szCs w:val="24"/>
        </w:rPr>
        <w:t>Sujeto Obligado</w:t>
      </w:r>
      <w:r w:rsidRPr="0035237F">
        <w:rPr>
          <w:rFonts w:ascii="Palatino Linotype" w:eastAsia="Palatino Linotype" w:hAnsi="Palatino Linotype" w:cs="Palatino Linotype"/>
          <w:sz w:val="24"/>
          <w:szCs w:val="24"/>
        </w:rPr>
        <w:t>, sino que obra en las fronteras conceptuales de las obligaciones de transparencia común.</w:t>
      </w:r>
    </w:p>
    <w:p w14:paraId="13594DB9" w14:textId="77777777" w:rsidR="00724E79" w:rsidRPr="0035237F" w:rsidRDefault="00724E79">
      <w:pPr>
        <w:spacing w:after="0" w:line="360" w:lineRule="auto"/>
        <w:ind w:right="51"/>
        <w:jc w:val="both"/>
        <w:rPr>
          <w:rFonts w:ascii="Palatino Linotype" w:eastAsia="Palatino Linotype" w:hAnsi="Palatino Linotype" w:cs="Palatino Linotype"/>
          <w:sz w:val="24"/>
          <w:szCs w:val="24"/>
        </w:rPr>
      </w:pPr>
    </w:p>
    <w:p w14:paraId="64077710" w14:textId="77777777" w:rsidR="00724E79" w:rsidRPr="0035237F" w:rsidRDefault="00312C60">
      <w:pPr>
        <w:spacing w:after="0" w:line="360" w:lineRule="auto"/>
        <w:ind w:right="51"/>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lastRenderedPageBreak/>
        <w:t>No obstante a lo anterior, si bien dos titulares del Área de Auditoría señalaron que dentro de sus archivos no localizaron auditorias e inspecciones practicadas a la UIPPE, convine</w:t>
      </w:r>
      <w:r w:rsidRPr="0035237F">
        <w:rPr>
          <w:rFonts w:ascii="Palatino Linotype" w:eastAsia="Palatino Linotype" w:hAnsi="Palatino Linotype" w:cs="Palatino Linotype"/>
          <w:b/>
          <w:sz w:val="24"/>
          <w:szCs w:val="24"/>
        </w:rPr>
        <w:t xml:space="preserve"> </w:t>
      </w:r>
      <w:r w:rsidRPr="0035237F">
        <w:rPr>
          <w:rFonts w:ascii="Palatino Linotype" w:eastAsia="Palatino Linotype" w:hAnsi="Palatino Linotype" w:cs="Palatino Linotype"/>
          <w:sz w:val="24"/>
          <w:szCs w:val="24"/>
        </w:rPr>
        <w:t>establecer que con dicha respuesta</w:t>
      </w:r>
      <w:r w:rsidRPr="0035237F">
        <w:rPr>
          <w:rFonts w:ascii="Palatino Linotype" w:eastAsia="Palatino Linotype" w:hAnsi="Palatino Linotype" w:cs="Palatino Linotype"/>
          <w:b/>
          <w:sz w:val="24"/>
          <w:szCs w:val="24"/>
        </w:rPr>
        <w:t xml:space="preserve"> </w:t>
      </w:r>
      <w:r w:rsidRPr="0035237F">
        <w:rPr>
          <w:rFonts w:ascii="Palatino Linotype" w:eastAsia="Palatino Linotype" w:hAnsi="Palatino Linotype" w:cs="Palatino Linotype"/>
          <w:sz w:val="24"/>
          <w:szCs w:val="24"/>
        </w:rPr>
        <w:t>no se tiene claro, si la información no se localizó por no haberse generado o que, si bien se generó, ya no obra en sus archivos por cualquier otra circunstancia, por lo que su respuesta inicial careció de los principios de congruencia y exhaustividad, como refuerzo de lo anterior, resulta crucial el Criterio 02/17, emitido por el Pleno del Instituto Nacional de Transparencia y Acceso a la Información y Protección de Datos Personales, de título y texto siguientes:</w:t>
      </w:r>
    </w:p>
    <w:p w14:paraId="0D6F9E3F" w14:textId="77777777" w:rsidR="00724E79" w:rsidRPr="0035237F" w:rsidRDefault="00724E79">
      <w:pPr>
        <w:tabs>
          <w:tab w:val="left" w:pos="8222"/>
        </w:tabs>
        <w:spacing w:after="0" w:line="360" w:lineRule="auto"/>
        <w:ind w:right="-7"/>
        <w:jc w:val="both"/>
        <w:rPr>
          <w:rFonts w:ascii="Palatino Linotype" w:eastAsia="Palatino Linotype" w:hAnsi="Palatino Linotype" w:cs="Palatino Linotype"/>
          <w:sz w:val="24"/>
          <w:szCs w:val="24"/>
        </w:rPr>
      </w:pPr>
    </w:p>
    <w:p w14:paraId="0E168CEA" w14:textId="77777777" w:rsidR="00724E79" w:rsidRPr="0035237F" w:rsidRDefault="00312C60">
      <w:pPr>
        <w:spacing w:after="0" w:line="276" w:lineRule="auto"/>
        <w:ind w:left="851" w:right="902"/>
        <w:jc w:val="both"/>
        <w:rPr>
          <w:rFonts w:ascii="Palatino Linotype" w:eastAsia="Palatino Linotype" w:hAnsi="Palatino Linotype" w:cs="Palatino Linotype"/>
          <w:i/>
          <w:sz w:val="20"/>
          <w:szCs w:val="20"/>
        </w:rPr>
      </w:pPr>
      <w:r w:rsidRPr="0035237F">
        <w:rPr>
          <w:rFonts w:ascii="Palatino Linotype" w:eastAsia="Palatino Linotype" w:hAnsi="Palatino Linotype" w:cs="Palatino Linotype"/>
          <w:i/>
        </w:rPr>
        <w:t>“Congruencia y exhaustividad. Sus alcances para garantizar el derecho de acceso a la información. De conformidad con el artículo 3 de la Ley Federal de Procedimiento Administrativo, de aplicación supletoria a la Ley Federal de Transparencia y Acceso a la Información Pública, en términos de su artículo 7; todo acto administrativo debe cumplir con los principios de congruencia y exhaustividad. Para el efectivo ejercicio del derecho de acceso a la información, la congruencia implica que exista concordancia entre el requerimiento formulado por el particular y la respuesta proporcionada por el sujeto obligado; mientras que la exhaustividad significa que dicha respuesta se refiera expresamente a cada uno de los puntos solicitados. Por lo anterior, los sujetos obligados cumplirán con los principios de congruencia y exhaustividad, cuando las respuestas que emitan guarden una relación lógica con lo solicitado y atiendan de manera puntual y expresa, cada uno de los contenidos de información.” (Sic)</w:t>
      </w:r>
    </w:p>
    <w:p w14:paraId="12289F10" w14:textId="77777777" w:rsidR="00724E79" w:rsidRPr="0035237F" w:rsidRDefault="00724E79">
      <w:pPr>
        <w:spacing w:after="0" w:line="360" w:lineRule="auto"/>
        <w:ind w:right="51"/>
        <w:jc w:val="both"/>
        <w:rPr>
          <w:rFonts w:ascii="Palatino Linotype" w:eastAsia="Palatino Linotype" w:hAnsi="Palatino Linotype" w:cs="Palatino Linotype"/>
          <w:sz w:val="24"/>
          <w:szCs w:val="24"/>
        </w:rPr>
      </w:pPr>
    </w:p>
    <w:p w14:paraId="3B6AE92D" w14:textId="77777777" w:rsidR="00724E79" w:rsidRPr="0035237F" w:rsidRDefault="00312C60">
      <w:pPr>
        <w:spacing w:after="0" w:line="360" w:lineRule="auto"/>
        <w:ind w:right="51"/>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Por otra parte, un Titular del Área de Auditoría en respuesta estableció que para estar en condiciones de atender la solicitud es necesario que especifique el periodo, por tal motivo, no se omite reiterar que si bien </w:t>
      </w:r>
      <w:r w:rsidRPr="0035237F">
        <w:rPr>
          <w:rFonts w:ascii="Palatino Linotype" w:eastAsia="Palatino Linotype" w:hAnsi="Palatino Linotype" w:cs="Palatino Linotype"/>
          <w:b/>
          <w:sz w:val="24"/>
          <w:szCs w:val="24"/>
        </w:rPr>
        <w:t xml:space="preserve">LA PARTE RECURRENTE </w:t>
      </w:r>
      <w:r w:rsidRPr="0035237F">
        <w:rPr>
          <w:rFonts w:ascii="Palatino Linotype" w:eastAsia="Palatino Linotype" w:hAnsi="Palatino Linotype" w:cs="Palatino Linotype"/>
          <w:sz w:val="24"/>
          <w:szCs w:val="24"/>
        </w:rPr>
        <w:t xml:space="preserve">no </w:t>
      </w:r>
      <w:r w:rsidRPr="0035237F">
        <w:rPr>
          <w:rFonts w:ascii="Palatino Linotype" w:eastAsia="Palatino Linotype" w:hAnsi="Palatino Linotype" w:cs="Palatino Linotype"/>
          <w:sz w:val="24"/>
          <w:szCs w:val="24"/>
        </w:rPr>
        <w:lastRenderedPageBreak/>
        <w:t xml:space="preserve">específico la temporalidad, en estos casos resulta aplicable el Criterio 03/19 emitido por </w:t>
      </w:r>
      <w:proofErr w:type="gramStart"/>
      <w:r w:rsidRPr="0035237F">
        <w:rPr>
          <w:rFonts w:ascii="Palatino Linotype" w:eastAsia="Palatino Linotype" w:hAnsi="Palatino Linotype" w:cs="Palatino Linotype"/>
          <w:sz w:val="24"/>
          <w:szCs w:val="24"/>
        </w:rPr>
        <w:t>el  Instituto</w:t>
      </w:r>
      <w:proofErr w:type="gramEnd"/>
      <w:r w:rsidRPr="0035237F">
        <w:rPr>
          <w:rFonts w:ascii="Palatino Linotype" w:eastAsia="Palatino Linotype" w:hAnsi="Palatino Linotype" w:cs="Palatino Linotype"/>
          <w:sz w:val="24"/>
          <w:szCs w:val="24"/>
        </w:rPr>
        <w:t xml:space="preserve"> Nacional de Transparencia, Acceso a la Información y Protección de Datos Personales, que establece que: </w:t>
      </w:r>
    </w:p>
    <w:p w14:paraId="0F803E50" w14:textId="77777777" w:rsidR="00724E79" w:rsidRPr="0035237F" w:rsidRDefault="00724E79">
      <w:pPr>
        <w:spacing w:after="0" w:line="360" w:lineRule="auto"/>
        <w:ind w:right="49"/>
        <w:jc w:val="both"/>
        <w:rPr>
          <w:rFonts w:ascii="Palatino Linotype" w:eastAsia="Palatino Linotype" w:hAnsi="Palatino Linotype" w:cs="Palatino Linotype"/>
          <w:sz w:val="24"/>
          <w:szCs w:val="24"/>
        </w:rPr>
      </w:pPr>
    </w:p>
    <w:p w14:paraId="45E34A2B" w14:textId="77777777" w:rsidR="00724E79" w:rsidRPr="0035237F" w:rsidRDefault="00312C60">
      <w:pPr>
        <w:spacing w:after="0" w:line="276" w:lineRule="auto"/>
        <w:ind w:left="567" w:right="560"/>
        <w:jc w:val="both"/>
        <w:rPr>
          <w:rFonts w:ascii="Palatino Linotype" w:eastAsia="Palatino Linotype" w:hAnsi="Palatino Linotype" w:cs="Palatino Linotype"/>
          <w:i/>
        </w:rPr>
      </w:pPr>
      <w:r w:rsidRPr="0035237F">
        <w:rPr>
          <w:rFonts w:ascii="Palatino Linotype" w:eastAsia="Palatino Linotype" w:hAnsi="Palatino Linotype" w:cs="Palatino Linotype"/>
          <w:b/>
          <w:i/>
        </w:rPr>
        <w:t>Periodo de búsqueda de la información</w:t>
      </w:r>
      <w:r w:rsidRPr="0035237F">
        <w:rPr>
          <w:rFonts w:ascii="Palatino Linotype" w:eastAsia="Palatino Linotype" w:hAnsi="Palatino Linotype" w:cs="Palatino Linotype"/>
          <w:i/>
        </w:rPr>
        <w:t>. En el supuesto de que el particular no haya señalado el periodo respecto del cual requiere la información, o bien, de la solicitud presentada no se adviertan elementos que permitan identificarlo, deberá considerarse, para efectos de la búsqueda de la información, que el requerimiento se refiere al año inmediato anterior, contado a partir de la fecha en que se presentó la solicitud.</w:t>
      </w:r>
    </w:p>
    <w:p w14:paraId="3BA13BEC"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3384A095" w14:textId="77777777" w:rsidR="00724E79" w:rsidRPr="0035237F" w:rsidRDefault="00312C60">
      <w:pPr>
        <w:spacing w:after="0" w:line="360" w:lineRule="auto"/>
        <w:ind w:right="4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Por lo que </w:t>
      </w:r>
      <w:r w:rsidRPr="0035237F">
        <w:rPr>
          <w:rFonts w:ascii="Palatino Linotype" w:eastAsia="Palatino Linotype" w:hAnsi="Palatino Linotype" w:cs="Palatino Linotype"/>
          <w:b/>
          <w:sz w:val="24"/>
          <w:szCs w:val="24"/>
        </w:rPr>
        <w:t>EL SUJETO OBLIGADO</w:t>
      </w:r>
      <w:r w:rsidRPr="0035237F">
        <w:rPr>
          <w:rFonts w:ascii="Palatino Linotype" w:eastAsia="Palatino Linotype" w:hAnsi="Palatino Linotype" w:cs="Palatino Linotype"/>
          <w:sz w:val="24"/>
          <w:szCs w:val="24"/>
        </w:rPr>
        <w:t xml:space="preserve"> deberá realizar una nueva búsqueda exhaustiva y razonable, proporcione el o los documentos donde conste el resultado de las auditorias e inspecciones que el Órgano de Control Interno ha practicado a la UIPPE del periodo comprendido del trece de noviembre de dos mil veintitrés al trece de noviembre  de dos mil veinticuatro, sin embargo, para el caso de que no se llegara a localizar información por no haberse generado, bastará con que así se haga del conocimiento de la persona solicitante para tener por colmado su derecho de acceso a la información, en términos de lo dispuesto por el artículo 19, párrafo segundo de la Ley de Transparencia y Acceso a la Información Pública del Estado de México y Municipios, a saber:</w:t>
      </w:r>
    </w:p>
    <w:p w14:paraId="0211316D" w14:textId="77777777" w:rsidR="00724E79" w:rsidRPr="0035237F" w:rsidRDefault="00724E79">
      <w:pPr>
        <w:spacing w:after="0" w:line="360" w:lineRule="auto"/>
        <w:ind w:right="49"/>
        <w:jc w:val="both"/>
        <w:rPr>
          <w:rFonts w:ascii="Palatino Linotype" w:eastAsia="Palatino Linotype" w:hAnsi="Palatino Linotype" w:cs="Palatino Linotype"/>
          <w:sz w:val="24"/>
          <w:szCs w:val="24"/>
        </w:rPr>
      </w:pPr>
    </w:p>
    <w:p w14:paraId="68A1C609" w14:textId="77777777" w:rsidR="00724E79" w:rsidRPr="0035237F" w:rsidRDefault="00312C60">
      <w:pPr>
        <w:pBdr>
          <w:top w:val="nil"/>
          <w:left w:val="nil"/>
          <w:bottom w:val="nil"/>
          <w:right w:val="nil"/>
          <w:between w:val="nil"/>
        </w:pBdr>
        <w:spacing w:before="120" w:after="0" w:line="276" w:lineRule="auto"/>
        <w:ind w:left="851" w:right="902"/>
        <w:jc w:val="both"/>
        <w:rPr>
          <w:rFonts w:ascii="Times New Roman" w:eastAsia="Times New Roman" w:hAnsi="Times New Roman" w:cs="Times New Roman"/>
        </w:rPr>
      </w:pPr>
      <w:r w:rsidRPr="0035237F">
        <w:rPr>
          <w:rFonts w:ascii="Palatino Linotype" w:eastAsia="Palatino Linotype" w:hAnsi="Palatino Linotype" w:cs="Palatino Linotype"/>
          <w:i/>
          <w:sz w:val="24"/>
          <w:szCs w:val="24"/>
        </w:rPr>
        <w:t>“</w:t>
      </w:r>
      <w:r w:rsidRPr="0035237F">
        <w:rPr>
          <w:rFonts w:ascii="Palatino Linotype" w:eastAsia="Palatino Linotype" w:hAnsi="Palatino Linotype" w:cs="Palatino Linotype"/>
          <w:b/>
          <w:i/>
        </w:rPr>
        <w:t>Artículo 19</w:t>
      </w:r>
      <w:r w:rsidRPr="0035237F">
        <w:rPr>
          <w:rFonts w:ascii="Palatino Linotype" w:eastAsia="Palatino Linotype" w:hAnsi="Palatino Linotype" w:cs="Palatino Linotype"/>
          <w:i/>
        </w:rPr>
        <w:t>…</w:t>
      </w:r>
    </w:p>
    <w:p w14:paraId="21374441" w14:textId="77777777" w:rsidR="00724E79" w:rsidRPr="0035237F" w:rsidRDefault="00312C60">
      <w:pPr>
        <w:pBdr>
          <w:top w:val="nil"/>
          <w:left w:val="nil"/>
          <w:bottom w:val="nil"/>
          <w:right w:val="nil"/>
          <w:between w:val="nil"/>
        </w:pBd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En los casos en que ciertas facultades, competencias o funciones no se hayan ejercido, se debe motivar la respuesta en función de las causas que motiven tal circunstancia.”</w:t>
      </w:r>
    </w:p>
    <w:p w14:paraId="60423B31" w14:textId="77777777" w:rsidR="00724E79" w:rsidRPr="0035237F" w:rsidRDefault="00724E79">
      <w:pPr>
        <w:pBdr>
          <w:top w:val="nil"/>
          <w:left w:val="nil"/>
          <w:bottom w:val="nil"/>
          <w:right w:val="nil"/>
          <w:between w:val="nil"/>
        </w:pBdr>
        <w:spacing w:after="0" w:line="360" w:lineRule="auto"/>
        <w:ind w:left="851" w:right="902"/>
        <w:jc w:val="both"/>
        <w:rPr>
          <w:rFonts w:ascii="Palatino Linotype" w:eastAsia="Palatino Linotype" w:hAnsi="Palatino Linotype" w:cs="Palatino Linotype"/>
          <w:sz w:val="24"/>
          <w:szCs w:val="24"/>
        </w:rPr>
      </w:pPr>
    </w:p>
    <w:p w14:paraId="67E5AEE0" w14:textId="77777777" w:rsidR="00724E79" w:rsidRPr="0035237F" w:rsidRDefault="00312C60">
      <w:pPr>
        <w:pBdr>
          <w:top w:val="nil"/>
          <w:left w:val="nil"/>
          <w:bottom w:val="nil"/>
          <w:right w:val="nil"/>
          <w:between w:val="nil"/>
        </w:pBdr>
        <w:spacing w:after="24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lastRenderedPageBreak/>
        <w:t xml:space="preserve">Siendo improcedente, en tal supuesto, la entrega de documento alguno, o en su caso, el Acuerdo de Inexistencia, toda vez que el pronunciamiento del </w:t>
      </w:r>
      <w:r w:rsidRPr="0035237F">
        <w:rPr>
          <w:rFonts w:ascii="Palatino Linotype" w:eastAsia="Palatino Linotype" w:hAnsi="Palatino Linotype" w:cs="Palatino Linotype"/>
          <w:b/>
          <w:sz w:val="24"/>
          <w:szCs w:val="24"/>
        </w:rPr>
        <w:t>Sujeto Obligado</w:t>
      </w:r>
      <w:r w:rsidRPr="0035237F">
        <w:rPr>
          <w:rFonts w:ascii="Palatino Linotype" w:eastAsia="Palatino Linotype" w:hAnsi="Palatino Linotype" w:cs="Palatino Linotype"/>
          <w:sz w:val="24"/>
          <w:szCs w:val="24"/>
        </w:rPr>
        <w:t xml:space="preserve"> declararía en automática la inexistencia de la información solicitada de modo que no existe obligación de justificar o allegar pruebas, y por ende no tiene aplicación lo estatuido en el artículo 49, fracción XIII de la Ley de Transparencia y Acceso a la Información Pública del Estado de México y Municipios.</w:t>
      </w:r>
    </w:p>
    <w:tbl>
      <w:tblPr>
        <w:tblStyle w:val="a0"/>
        <w:tblW w:w="878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89"/>
        <w:gridCol w:w="4819"/>
        <w:gridCol w:w="1276"/>
      </w:tblGrid>
      <w:tr w:rsidR="00035C88" w:rsidRPr="0035237F" w14:paraId="08512892" w14:textId="77777777">
        <w:tc>
          <w:tcPr>
            <w:tcW w:w="2689" w:type="dxa"/>
            <w:shd w:val="clear" w:color="auto" w:fill="AEAAAA"/>
          </w:tcPr>
          <w:p w14:paraId="7172ACAD" w14:textId="77777777" w:rsidR="00724E79" w:rsidRPr="0035237F" w:rsidRDefault="00312C60">
            <w:pPr>
              <w:spacing w:before="240" w:after="240" w:line="276" w:lineRule="auto"/>
              <w:jc w:val="both"/>
              <w:rPr>
                <w:rFonts w:ascii="Palatino Linotype" w:eastAsia="Palatino Linotype" w:hAnsi="Palatino Linotype" w:cs="Palatino Linotype"/>
                <w:sz w:val="20"/>
                <w:szCs w:val="20"/>
              </w:rPr>
            </w:pPr>
            <w:r w:rsidRPr="0035237F">
              <w:rPr>
                <w:rFonts w:ascii="Palatino Linotype" w:eastAsia="Palatino Linotype" w:hAnsi="Palatino Linotype" w:cs="Palatino Linotype"/>
                <w:b/>
                <w:sz w:val="20"/>
                <w:szCs w:val="20"/>
              </w:rPr>
              <w:t>Solicitud</w:t>
            </w:r>
            <w:r w:rsidRPr="0035237F">
              <w:rPr>
                <w:rFonts w:ascii="Palatino Linotype" w:eastAsia="Palatino Linotype" w:hAnsi="Palatino Linotype" w:cs="Palatino Linotype"/>
                <w:sz w:val="20"/>
                <w:szCs w:val="20"/>
              </w:rPr>
              <w:t xml:space="preserve"> </w:t>
            </w:r>
          </w:p>
        </w:tc>
        <w:tc>
          <w:tcPr>
            <w:tcW w:w="4819" w:type="dxa"/>
            <w:shd w:val="clear" w:color="auto" w:fill="AEAAAA"/>
          </w:tcPr>
          <w:p w14:paraId="575758DD" w14:textId="77777777" w:rsidR="00724E79" w:rsidRPr="0035237F" w:rsidRDefault="00312C60">
            <w:pPr>
              <w:spacing w:before="240" w:after="240" w:line="360" w:lineRule="auto"/>
              <w:jc w:val="center"/>
              <w:rPr>
                <w:rFonts w:ascii="Palatino Linotype" w:eastAsia="Palatino Linotype" w:hAnsi="Palatino Linotype" w:cs="Palatino Linotype"/>
                <w:b/>
                <w:sz w:val="20"/>
                <w:szCs w:val="20"/>
              </w:rPr>
            </w:pPr>
            <w:r w:rsidRPr="0035237F">
              <w:rPr>
                <w:rFonts w:ascii="Palatino Linotype" w:eastAsia="Palatino Linotype" w:hAnsi="Palatino Linotype" w:cs="Palatino Linotype"/>
                <w:b/>
                <w:sz w:val="20"/>
                <w:szCs w:val="20"/>
              </w:rPr>
              <w:t>Respuesta</w:t>
            </w:r>
          </w:p>
        </w:tc>
        <w:tc>
          <w:tcPr>
            <w:tcW w:w="1276" w:type="dxa"/>
            <w:shd w:val="clear" w:color="auto" w:fill="AEAAAA"/>
          </w:tcPr>
          <w:p w14:paraId="4CF90567" w14:textId="77777777" w:rsidR="00724E79" w:rsidRPr="0035237F" w:rsidRDefault="00312C60">
            <w:pPr>
              <w:spacing w:before="240" w:after="240" w:line="360" w:lineRule="auto"/>
              <w:jc w:val="center"/>
              <w:rPr>
                <w:rFonts w:ascii="Palatino Linotype" w:eastAsia="Palatino Linotype" w:hAnsi="Palatino Linotype" w:cs="Palatino Linotype"/>
                <w:b/>
                <w:sz w:val="20"/>
                <w:szCs w:val="20"/>
              </w:rPr>
            </w:pPr>
            <w:r w:rsidRPr="0035237F">
              <w:rPr>
                <w:rFonts w:ascii="Palatino Linotype" w:eastAsia="Palatino Linotype" w:hAnsi="Palatino Linotype" w:cs="Palatino Linotype"/>
                <w:b/>
                <w:sz w:val="20"/>
                <w:szCs w:val="20"/>
              </w:rPr>
              <w:t>Informe Justificado</w:t>
            </w:r>
          </w:p>
        </w:tc>
      </w:tr>
      <w:tr w:rsidR="00035C88" w:rsidRPr="0035237F" w14:paraId="3EE1A73D" w14:textId="77777777">
        <w:tc>
          <w:tcPr>
            <w:tcW w:w="2689" w:type="dxa"/>
            <w:shd w:val="clear" w:color="auto" w:fill="auto"/>
          </w:tcPr>
          <w:p w14:paraId="2C8E2EF3" w14:textId="77777777" w:rsidR="00724E79" w:rsidRPr="0035237F" w:rsidRDefault="00312C60">
            <w:pPr>
              <w:spacing w:before="240" w:after="240" w:line="276" w:lineRule="auto"/>
              <w:jc w:val="both"/>
              <w:rPr>
                <w:rFonts w:ascii="Palatino Linotype" w:eastAsia="Palatino Linotype" w:hAnsi="Palatino Linotype" w:cs="Palatino Linotype"/>
                <w:sz w:val="20"/>
                <w:szCs w:val="20"/>
              </w:rPr>
            </w:pPr>
            <w:r w:rsidRPr="0035237F">
              <w:rPr>
                <w:rFonts w:ascii="Palatino Linotype" w:eastAsia="Palatino Linotype" w:hAnsi="Palatino Linotype" w:cs="Palatino Linotype"/>
                <w:sz w:val="20"/>
                <w:szCs w:val="20"/>
              </w:rPr>
              <w:t>De los servidores públicos referidos en la solicitud:</w:t>
            </w:r>
          </w:p>
          <w:p w14:paraId="65ABE5CF" w14:textId="77777777" w:rsidR="00724E79" w:rsidRPr="0035237F" w:rsidRDefault="00312C60">
            <w:pPr>
              <w:spacing w:before="240" w:after="240" w:line="276" w:lineRule="auto"/>
              <w:jc w:val="both"/>
              <w:rPr>
                <w:rFonts w:ascii="Palatino Linotype" w:eastAsia="Palatino Linotype" w:hAnsi="Palatino Linotype" w:cs="Palatino Linotype"/>
                <w:sz w:val="20"/>
                <w:szCs w:val="20"/>
              </w:rPr>
            </w:pPr>
            <w:r w:rsidRPr="0035237F">
              <w:rPr>
                <w:rFonts w:ascii="Palatino Linotype" w:eastAsia="Palatino Linotype" w:hAnsi="Palatino Linotype" w:cs="Palatino Linotype"/>
                <w:sz w:val="20"/>
                <w:szCs w:val="20"/>
              </w:rPr>
              <w:t xml:space="preserve">Saber si han investigado el desvío y robo de recursos. </w:t>
            </w:r>
          </w:p>
        </w:tc>
        <w:tc>
          <w:tcPr>
            <w:tcW w:w="4819" w:type="dxa"/>
            <w:shd w:val="clear" w:color="auto" w:fill="auto"/>
          </w:tcPr>
          <w:p w14:paraId="0E9C259F" w14:textId="77777777" w:rsidR="00724E79" w:rsidRPr="0035237F" w:rsidRDefault="00312C60">
            <w:pPr>
              <w:spacing w:before="240" w:after="240" w:line="360" w:lineRule="auto"/>
              <w:jc w:val="both"/>
              <w:rPr>
                <w:rFonts w:ascii="Palatino Linotype" w:eastAsia="Palatino Linotype" w:hAnsi="Palatino Linotype" w:cs="Palatino Linotype"/>
                <w:sz w:val="20"/>
                <w:szCs w:val="20"/>
              </w:rPr>
            </w:pPr>
            <w:r w:rsidRPr="0035237F">
              <w:rPr>
                <w:rFonts w:ascii="Palatino Linotype" w:eastAsia="Palatino Linotype" w:hAnsi="Palatino Linotype" w:cs="Palatino Linotype"/>
                <w:sz w:val="20"/>
                <w:szCs w:val="20"/>
              </w:rPr>
              <w:t xml:space="preserve">La Unidad de Información, Planeación, Programación y Evaluación, señaló </w:t>
            </w:r>
            <w:proofErr w:type="gramStart"/>
            <w:r w:rsidRPr="0035237F">
              <w:rPr>
                <w:rFonts w:ascii="Palatino Linotype" w:eastAsia="Palatino Linotype" w:hAnsi="Palatino Linotype" w:cs="Palatino Linotype"/>
                <w:sz w:val="20"/>
                <w:szCs w:val="20"/>
              </w:rPr>
              <w:t>que</w:t>
            </w:r>
            <w:proofErr w:type="gramEnd"/>
            <w:r w:rsidRPr="0035237F">
              <w:rPr>
                <w:rFonts w:ascii="Palatino Linotype" w:eastAsia="Palatino Linotype" w:hAnsi="Palatino Linotype" w:cs="Palatino Linotype"/>
                <w:sz w:val="20"/>
                <w:szCs w:val="20"/>
              </w:rPr>
              <w:t xml:space="preserve"> respecto a la investigación de desvío y robo de recursos, no es materia del Derecho de Acceso a la Información, siendo que se actualiza un derecho de petición. </w:t>
            </w:r>
          </w:p>
        </w:tc>
        <w:tc>
          <w:tcPr>
            <w:tcW w:w="1276" w:type="dxa"/>
          </w:tcPr>
          <w:p w14:paraId="175BFC10" w14:textId="77777777" w:rsidR="00724E79" w:rsidRPr="0035237F" w:rsidRDefault="00312C60">
            <w:pPr>
              <w:spacing w:before="240" w:after="240" w:line="360" w:lineRule="auto"/>
              <w:jc w:val="both"/>
              <w:rPr>
                <w:rFonts w:ascii="Palatino Linotype" w:eastAsia="Palatino Linotype" w:hAnsi="Palatino Linotype" w:cs="Palatino Linotype"/>
                <w:sz w:val="20"/>
                <w:szCs w:val="20"/>
              </w:rPr>
            </w:pPr>
            <w:r w:rsidRPr="0035237F">
              <w:rPr>
                <w:rFonts w:ascii="Palatino Linotype" w:eastAsia="Palatino Linotype" w:hAnsi="Palatino Linotype" w:cs="Palatino Linotype"/>
                <w:sz w:val="20"/>
                <w:szCs w:val="20"/>
              </w:rPr>
              <w:t>Ratifica</w:t>
            </w:r>
          </w:p>
        </w:tc>
      </w:tr>
    </w:tbl>
    <w:p w14:paraId="71D99631" w14:textId="77777777" w:rsidR="00724E79" w:rsidRPr="0035237F" w:rsidRDefault="00312C60">
      <w:pPr>
        <w:pBdr>
          <w:top w:val="nil"/>
          <w:left w:val="nil"/>
          <w:bottom w:val="nil"/>
          <w:right w:val="nil"/>
          <w:between w:val="nil"/>
        </w:pBdr>
        <w:spacing w:before="240" w:after="0" w:line="360" w:lineRule="auto"/>
        <w:ind w:right="4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Ahora bien, de acuerdo al pronunciamiento hecho por </w:t>
      </w:r>
      <w:r w:rsidRPr="0035237F">
        <w:rPr>
          <w:rFonts w:ascii="Palatino Linotype" w:eastAsia="Palatino Linotype" w:hAnsi="Palatino Linotype" w:cs="Palatino Linotype"/>
          <w:b/>
          <w:sz w:val="24"/>
          <w:szCs w:val="24"/>
        </w:rPr>
        <w:t>EL SUJETO OBLIGADO</w:t>
      </w:r>
      <w:r w:rsidRPr="0035237F">
        <w:rPr>
          <w:rFonts w:ascii="Palatino Linotype" w:eastAsia="Palatino Linotype" w:hAnsi="Palatino Linotype" w:cs="Palatino Linotype"/>
          <w:sz w:val="24"/>
          <w:szCs w:val="24"/>
        </w:rPr>
        <w:t>, en donde establece que la información en análisis no es un derecho de acceso a la información, en ese sentido, es importante diferenciar lo que se entiende por derecho de petición y por derecho de acceso a la información pública.</w:t>
      </w:r>
    </w:p>
    <w:p w14:paraId="4363B722" w14:textId="77777777" w:rsidR="00724E79" w:rsidRPr="0035237F" w:rsidRDefault="00724E79">
      <w:pPr>
        <w:pBdr>
          <w:top w:val="nil"/>
          <w:left w:val="nil"/>
          <w:bottom w:val="nil"/>
          <w:right w:val="nil"/>
          <w:between w:val="nil"/>
        </w:pBdr>
        <w:spacing w:after="0" w:line="360" w:lineRule="auto"/>
        <w:ind w:right="49"/>
        <w:jc w:val="both"/>
        <w:rPr>
          <w:rFonts w:ascii="Palatino Linotype" w:eastAsia="Palatino Linotype" w:hAnsi="Palatino Linotype" w:cs="Palatino Linotype"/>
          <w:sz w:val="24"/>
          <w:szCs w:val="24"/>
        </w:rPr>
      </w:pPr>
    </w:p>
    <w:p w14:paraId="63756B64" w14:textId="77777777" w:rsidR="00724E79" w:rsidRPr="0035237F" w:rsidRDefault="00312C60">
      <w:pPr>
        <w:pBdr>
          <w:top w:val="nil"/>
          <w:left w:val="nil"/>
          <w:bottom w:val="nil"/>
          <w:right w:val="nil"/>
          <w:between w:val="nil"/>
        </w:pBdr>
        <w:spacing w:after="0" w:line="360" w:lineRule="auto"/>
        <w:ind w:right="4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Derecho de Petición:</w:t>
      </w:r>
    </w:p>
    <w:p w14:paraId="2AA5C594" w14:textId="77777777" w:rsidR="00724E79" w:rsidRPr="0035237F" w:rsidRDefault="00724E79">
      <w:pPr>
        <w:pBdr>
          <w:top w:val="nil"/>
          <w:left w:val="nil"/>
          <w:bottom w:val="nil"/>
          <w:right w:val="nil"/>
          <w:between w:val="nil"/>
        </w:pBdr>
        <w:spacing w:after="0" w:line="360" w:lineRule="auto"/>
        <w:ind w:right="49"/>
        <w:jc w:val="both"/>
        <w:rPr>
          <w:rFonts w:ascii="Palatino Linotype" w:eastAsia="Palatino Linotype" w:hAnsi="Palatino Linotype" w:cs="Palatino Linotype"/>
          <w:sz w:val="24"/>
          <w:szCs w:val="24"/>
        </w:rPr>
      </w:pPr>
    </w:p>
    <w:p w14:paraId="349987F9" w14:textId="77777777" w:rsidR="00724E79" w:rsidRPr="0035237F" w:rsidRDefault="00312C60">
      <w:pPr>
        <w:pBdr>
          <w:top w:val="nil"/>
          <w:left w:val="nil"/>
          <w:bottom w:val="nil"/>
          <w:right w:val="nil"/>
          <w:between w:val="nil"/>
        </w:pBdr>
        <w:spacing w:after="0" w:line="360" w:lineRule="auto"/>
        <w:ind w:right="4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El Doctor Ignacio Burgoa Orihuela refiere que derecho de petición: "...</w:t>
      </w:r>
      <w:r w:rsidRPr="0035237F">
        <w:rPr>
          <w:rFonts w:ascii="Palatino Linotype" w:eastAsia="Palatino Linotype" w:hAnsi="Palatino Linotype" w:cs="Palatino Linotype"/>
          <w:i/>
          <w:sz w:val="24"/>
          <w:szCs w:val="24"/>
        </w:rPr>
        <w:t xml:space="preserve">es un Derecho Público subjetivo individual de la Garantía Respectiva Consagrada en al Artículo 8 de la </w:t>
      </w:r>
      <w:r w:rsidRPr="0035237F">
        <w:rPr>
          <w:rFonts w:ascii="Palatino Linotype" w:eastAsia="Palatino Linotype" w:hAnsi="Palatino Linotype" w:cs="Palatino Linotype"/>
          <w:i/>
          <w:sz w:val="24"/>
          <w:szCs w:val="24"/>
        </w:rPr>
        <w:lastRenderedPageBreak/>
        <w:t>Ley Fundamental. En tal virtud, la persona tiene la facultad de acudir a cualquier autoridad, formulando una solicitud o instancia escrito de cualquier índole, la cual adopta, especialmente, el carácter de simple petición administrativa, acción o recurso, etc.</w:t>
      </w:r>
      <w:r w:rsidRPr="0035237F">
        <w:rPr>
          <w:rFonts w:ascii="Palatino Linotype" w:eastAsia="Palatino Linotype" w:hAnsi="Palatino Linotype" w:cs="Palatino Linotype"/>
          <w:sz w:val="24"/>
          <w:szCs w:val="24"/>
        </w:rPr>
        <w:t>"</w:t>
      </w:r>
      <w:r w:rsidRPr="0035237F">
        <w:rPr>
          <w:rFonts w:ascii="Palatino Linotype" w:eastAsia="Palatino Linotype" w:hAnsi="Palatino Linotype" w:cs="Palatino Linotype"/>
          <w:sz w:val="24"/>
          <w:szCs w:val="24"/>
          <w:vertAlign w:val="superscript"/>
        </w:rPr>
        <w:footnoteReference w:id="3"/>
      </w:r>
      <w:r w:rsidRPr="0035237F">
        <w:rPr>
          <w:rFonts w:ascii="Palatino Linotype" w:eastAsia="Palatino Linotype" w:hAnsi="Palatino Linotype" w:cs="Palatino Linotype"/>
          <w:sz w:val="24"/>
          <w:szCs w:val="24"/>
        </w:rPr>
        <w:t>(Sic)</w:t>
      </w:r>
    </w:p>
    <w:p w14:paraId="010220B2" w14:textId="77777777" w:rsidR="00724E79" w:rsidRPr="0035237F" w:rsidRDefault="00724E79">
      <w:pPr>
        <w:pBdr>
          <w:top w:val="nil"/>
          <w:left w:val="nil"/>
          <w:bottom w:val="nil"/>
          <w:right w:val="nil"/>
          <w:between w:val="nil"/>
        </w:pBdr>
        <w:spacing w:after="0" w:line="360" w:lineRule="auto"/>
        <w:ind w:right="49"/>
        <w:jc w:val="both"/>
        <w:rPr>
          <w:rFonts w:ascii="Palatino Linotype" w:eastAsia="Palatino Linotype" w:hAnsi="Palatino Linotype" w:cs="Palatino Linotype"/>
          <w:sz w:val="24"/>
          <w:szCs w:val="24"/>
        </w:rPr>
      </w:pPr>
    </w:p>
    <w:p w14:paraId="49ACF9D8" w14:textId="77777777" w:rsidR="00724E79" w:rsidRPr="0035237F" w:rsidRDefault="00312C60">
      <w:pPr>
        <w:pBdr>
          <w:top w:val="nil"/>
          <w:left w:val="nil"/>
          <w:bottom w:val="nil"/>
          <w:right w:val="nil"/>
          <w:between w:val="nil"/>
        </w:pBdr>
        <w:spacing w:after="0" w:line="360" w:lineRule="auto"/>
        <w:ind w:right="49"/>
        <w:jc w:val="both"/>
        <w:rPr>
          <w:rFonts w:ascii="Palatino Linotype" w:eastAsia="Palatino Linotype" w:hAnsi="Palatino Linotype" w:cs="Palatino Linotype"/>
          <w:i/>
          <w:sz w:val="24"/>
          <w:szCs w:val="24"/>
        </w:rPr>
      </w:pPr>
      <w:r w:rsidRPr="0035237F">
        <w:rPr>
          <w:rFonts w:ascii="Palatino Linotype" w:eastAsia="Palatino Linotype" w:hAnsi="Palatino Linotype" w:cs="Palatino Linotype"/>
          <w:sz w:val="24"/>
          <w:szCs w:val="24"/>
        </w:rPr>
        <w:t xml:space="preserve">Por su parte, David Cienfuegos Salgado, concibe al derecho de petición como </w:t>
      </w:r>
      <w:r w:rsidRPr="0035237F">
        <w:rPr>
          <w:rFonts w:ascii="Palatino Linotype" w:eastAsia="Palatino Linotype" w:hAnsi="Palatino Linotype" w:cs="Palatino Linotype"/>
          <w:i/>
          <w:sz w:val="24"/>
          <w:szCs w:val="24"/>
        </w:rPr>
        <w:t>“el derecho de toda persona a ser escuchado por quienes ejercen el poder público.</w:t>
      </w:r>
      <w:r w:rsidRPr="0035237F">
        <w:rPr>
          <w:rFonts w:ascii="Palatino Linotype" w:eastAsia="Palatino Linotype" w:hAnsi="Palatino Linotype" w:cs="Palatino Linotype"/>
          <w:i/>
          <w:sz w:val="24"/>
          <w:szCs w:val="24"/>
          <w:vertAlign w:val="superscript"/>
        </w:rPr>
        <w:t xml:space="preserve"> </w:t>
      </w:r>
      <w:r w:rsidRPr="0035237F">
        <w:rPr>
          <w:rFonts w:ascii="Palatino Linotype" w:eastAsia="Palatino Linotype" w:hAnsi="Palatino Linotype" w:cs="Palatino Linotype"/>
          <w:i/>
          <w:sz w:val="24"/>
          <w:szCs w:val="24"/>
          <w:vertAlign w:val="superscript"/>
        </w:rPr>
        <w:footnoteReference w:id="4"/>
      </w:r>
      <w:r w:rsidRPr="0035237F">
        <w:rPr>
          <w:rFonts w:ascii="Palatino Linotype" w:eastAsia="Palatino Linotype" w:hAnsi="Palatino Linotype" w:cs="Palatino Linotype"/>
          <w:i/>
          <w:sz w:val="24"/>
          <w:szCs w:val="24"/>
        </w:rPr>
        <w:t xml:space="preserve">” (Sic) </w:t>
      </w:r>
    </w:p>
    <w:p w14:paraId="0BF9C19E" w14:textId="77777777" w:rsidR="00724E79" w:rsidRPr="0035237F" w:rsidRDefault="00724E79">
      <w:pPr>
        <w:pBdr>
          <w:top w:val="nil"/>
          <w:left w:val="nil"/>
          <w:bottom w:val="nil"/>
          <w:right w:val="nil"/>
          <w:between w:val="nil"/>
        </w:pBdr>
        <w:spacing w:after="0" w:line="360" w:lineRule="auto"/>
        <w:ind w:right="49"/>
        <w:jc w:val="both"/>
        <w:rPr>
          <w:rFonts w:ascii="Palatino Linotype" w:eastAsia="Palatino Linotype" w:hAnsi="Palatino Linotype" w:cs="Palatino Linotype"/>
          <w:sz w:val="24"/>
          <w:szCs w:val="24"/>
        </w:rPr>
      </w:pPr>
    </w:p>
    <w:p w14:paraId="078589CB" w14:textId="77777777" w:rsidR="00724E79" w:rsidRPr="0035237F" w:rsidRDefault="00312C60">
      <w:pPr>
        <w:pBdr>
          <w:top w:val="nil"/>
          <w:left w:val="nil"/>
          <w:bottom w:val="nil"/>
          <w:right w:val="nil"/>
          <w:between w:val="nil"/>
        </w:pBdr>
        <w:spacing w:after="0" w:line="360" w:lineRule="auto"/>
        <w:ind w:right="4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De la misma manera, Migue Carbonell en su libro “Los derechos fundamentales” refiere que el derecho de petición se ha entendido de dos distintas maneras, a saber: como un derecho fundamental de participación política ya que permite a los particulares trasladar a las autoridades sus inquietudes, quejas, sugerencias y requerimientos en cualquier materia o asunto; y como una forma específica de la libertad de expresión, en tanto que permite expresarse frente a las autoridades. De igual manera que el derecho de petición se traduce en la obligación de todos los funcionarios y autoridades de permitir a los ciudadanos de dirigirse a ellos en demanda de lo que deseen expresar o solicitar y responder de dicha demanda por escrito, de forma congruente y en un plazo breve.</w:t>
      </w:r>
      <w:r w:rsidRPr="0035237F">
        <w:rPr>
          <w:rFonts w:ascii="Palatino Linotype" w:eastAsia="Palatino Linotype" w:hAnsi="Palatino Linotype" w:cs="Palatino Linotype"/>
          <w:sz w:val="24"/>
          <w:szCs w:val="24"/>
          <w:vertAlign w:val="superscript"/>
        </w:rPr>
        <w:footnoteReference w:id="5"/>
      </w:r>
    </w:p>
    <w:p w14:paraId="2903D77C" w14:textId="77777777" w:rsidR="00724E79" w:rsidRPr="0035237F" w:rsidRDefault="00724E79">
      <w:pPr>
        <w:pBdr>
          <w:top w:val="nil"/>
          <w:left w:val="nil"/>
          <w:bottom w:val="nil"/>
          <w:right w:val="nil"/>
          <w:between w:val="nil"/>
        </w:pBdr>
        <w:spacing w:after="0" w:line="360" w:lineRule="auto"/>
        <w:ind w:right="49"/>
        <w:jc w:val="both"/>
        <w:rPr>
          <w:rFonts w:ascii="Palatino Linotype" w:eastAsia="Palatino Linotype" w:hAnsi="Palatino Linotype" w:cs="Palatino Linotype"/>
          <w:sz w:val="24"/>
          <w:szCs w:val="24"/>
        </w:rPr>
      </w:pPr>
    </w:p>
    <w:p w14:paraId="136E865E" w14:textId="77777777" w:rsidR="00724E79" w:rsidRPr="0035237F" w:rsidRDefault="00312C60">
      <w:pPr>
        <w:pBdr>
          <w:top w:val="nil"/>
          <w:left w:val="nil"/>
          <w:bottom w:val="nil"/>
          <w:right w:val="nil"/>
          <w:between w:val="nil"/>
        </w:pBdr>
        <w:spacing w:after="0" w:line="360" w:lineRule="auto"/>
        <w:ind w:right="4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lastRenderedPageBreak/>
        <w:t>Derecho de Acceso a la Información Pública:</w:t>
      </w:r>
    </w:p>
    <w:p w14:paraId="12258138" w14:textId="77777777" w:rsidR="00724E79" w:rsidRPr="0035237F" w:rsidRDefault="00312C60">
      <w:pPr>
        <w:pBdr>
          <w:top w:val="nil"/>
          <w:left w:val="nil"/>
          <w:bottom w:val="nil"/>
          <w:right w:val="nil"/>
          <w:between w:val="nil"/>
        </w:pBdr>
        <w:spacing w:after="0" w:line="360" w:lineRule="auto"/>
        <w:ind w:right="4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Asimismo, el autor anteriormente citado, indica que el derecho de acceso a la información pública es el derecho de conocer la información de carácter público que se genera o está en posesión de los órganos del poder público o de los sujetos que utilizan o se benefician con recursos provenientes del Estado, es el derecho que tienen los ciudadanos para acceder a documentos y datos que obren en el poder del gobierno.</w:t>
      </w:r>
    </w:p>
    <w:p w14:paraId="43DAF63E" w14:textId="77777777" w:rsidR="00724E79" w:rsidRPr="0035237F" w:rsidRDefault="00724E79">
      <w:pPr>
        <w:pBdr>
          <w:top w:val="nil"/>
          <w:left w:val="nil"/>
          <w:bottom w:val="nil"/>
          <w:right w:val="nil"/>
          <w:between w:val="nil"/>
        </w:pBdr>
        <w:spacing w:after="0" w:line="360" w:lineRule="auto"/>
        <w:ind w:right="49"/>
        <w:jc w:val="both"/>
        <w:rPr>
          <w:rFonts w:ascii="Palatino Linotype" w:eastAsia="Palatino Linotype" w:hAnsi="Palatino Linotype" w:cs="Palatino Linotype"/>
          <w:sz w:val="24"/>
          <w:szCs w:val="24"/>
        </w:rPr>
      </w:pPr>
    </w:p>
    <w:p w14:paraId="42258B81" w14:textId="77777777" w:rsidR="00724E79" w:rsidRPr="0035237F" w:rsidRDefault="00312C60">
      <w:pPr>
        <w:pBdr>
          <w:top w:val="nil"/>
          <w:left w:val="nil"/>
          <w:bottom w:val="nil"/>
          <w:right w:val="nil"/>
          <w:between w:val="nil"/>
        </w:pBdr>
        <w:spacing w:after="0" w:line="360" w:lineRule="auto"/>
        <w:ind w:right="4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Por su parte Ernesto Villanueva define al derecho de acceso a la información pública como la prerrogativa de la persona para acceder a datos, registros y todo tipo de informaciones en poder de las entidades públicas y empresas privadas que ejercen gasto público o cumplen funciones de autoridad, con las excepciones taxativas que establezca la ley en una sociedad democrática.</w:t>
      </w:r>
      <w:r w:rsidRPr="0035237F">
        <w:rPr>
          <w:rFonts w:ascii="Palatino Linotype" w:eastAsia="Palatino Linotype" w:hAnsi="Palatino Linotype" w:cs="Palatino Linotype"/>
          <w:sz w:val="24"/>
          <w:szCs w:val="24"/>
          <w:vertAlign w:val="superscript"/>
        </w:rPr>
        <w:footnoteReference w:id="6"/>
      </w:r>
    </w:p>
    <w:p w14:paraId="3565ABAE" w14:textId="77777777" w:rsidR="00724E79" w:rsidRPr="0035237F" w:rsidRDefault="00724E79">
      <w:pPr>
        <w:pBdr>
          <w:top w:val="nil"/>
          <w:left w:val="nil"/>
          <w:bottom w:val="nil"/>
          <w:right w:val="nil"/>
          <w:between w:val="nil"/>
        </w:pBdr>
        <w:spacing w:after="0" w:line="360" w:lineRule="auto"/>
        <w:ind w:right="49"/>
        <w:jc w:val="both"/>
        <w:rPr>
          <w:rFonts w:ascii="Palatino Linotype" w:eastAsia="Palatino Linotype" w:hAnsi="Palatino Linotype" w:cs="Palatino Linotype"/>
          <w:sz w:val="24"/>
          <w:szCs w:val="24"/>
        </w:rPr>
      </w:pPr>
    </w:p>
    <w:p w14:paraId="1878078F" w14:textId="77777777" w:rsidR="00724E79" w:rsidRPr="0035237F" w:rsidRDefault="00312C60">
      <w:pPr>
        <w:pBdr>
          <w:top w:val="nil"/>
          <w:left w:val="nil"/>
          <w:bottom w:val="nil"/>
          <w:right w:val="nil"/>
          <w:between w:val="nil"/>
        </w:pBdr>
        <w:spacing w:after="0" w:line="360" w:lineRule="auto"/>
        <w:ind w:right="4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Del mismo modo, para diferenciar el derecho de petición del derecho de acceso a la información pública, resulta conveniente citar a José Guadalupe Robles, quien conceptualiza el derecho a la información como "un derecho fundamental tanto de carácter individual como colectivo, cuyas limitaciones deben estar establecidas en la ley, así corno una garantía de que la información sea tramitada con claridad y objetividad, por cuanto a que es un bien jurídico que coadyuva al desarrollo de las </w:t>
      </w:r>
      <w:r w:rsidRPr="0035237F">
        <w:rPr>
          <w:rFonts w:ascii="Palatino Linotype" w:eastAsia="Palatino Linotype" w:hAnsi="Palatino Linotype" w:cs="Palatino Linotype"/>
          <w:sz w:val="24"/>
          <w:szCs w:val="24"/>
        </w:rPr>
        <w:lastRenderedPageBreak/>
        <w:t>personas y a la formación de opinión pública de calidad para poder participar y luego influir en la vida pública.”</w:t>
      </w:r>
      <w:r w:rsidRPr="0035237F">
        <w:rPr>
          <w:rFonts w:ascii="Palatino Linotype" w:eastAsia="Palatino Linotype" w:hAnsi="Palatino Linotype" w:cs="Palatino Linotype"/>
          <w:sz w:val="24"/>
          <w:szCs w:val="24"/>
          <w:vertAlign w:val="superscript"/>
        </w:rPr>
        <w:footnoteReference w:id="7"/>
      </w:r>
    </w:p>
    <w:p w14:paraId="4FC6A827" w14:textId="77777777" w:rsidR="00724E79" w:rsidRPr="0035237F" w:rsidRDefault="00312C60">
      <w:pPr>
        <w:pBdr>
          <w:top w:val="nil"/>
          <w:left w:val="nil"/>
          <w:bottom w:val="nil"/>
          <w:right w:val="nil"/>
          <w:between w:val="nil"/>
        </w:pBdr>
        <w:spacing w:after="0" w:line="360" w:lineRule="auto"/>
        <w:ind w:right="4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De ahí que, para entender los alcances de la información pública se considera importante citar el criterio de interpretación en el orden administrativo número 0002-11, emitido por Acuerdo del Pleno de este Instituto de Transparencia y Acceso a la Información Pública del Estado de México y Municipios, publicado en el Periódico Oficial del Gobierno del Estado Libre y Soberano de México “Gaceta del Gobierno” el diecinueve de octubre de dos mil once, cuyo rubro y texto dispone:</w:t>
      </w:r>
    </w:p>
    <w:p w14:paraId="132DCAA5" w14:textId="77777777" w:rsidR="00724E79" w:rsidRPr="0035237F" w:rsidRDefault="00724E79">
      <w:pPr>
        <w:pBdr>
          <w:top w:val="nil"/>
          <w:left w:val="nil"/>
          <w:bottom w:val="nil"/>
          <w:right w:val="nil"/>
          <w:between w:val="nil"/>
        </w:pBdr>
        <w:spacing w:after="240" w:line="360" w:lineRule="auto"/>
        <w:ind w:right="49"/>
        <w:jc w:val="both"/>
        <w:rPr>
          <w:rFonts w:ascii="Palatino Linotype" w:eastAsia="Palatino Linotype" w:hAnsi="Palatino Linotype" w:cs="Palatino Linotype"/>
          <w:sz w:val="24"/>
          <w:szCs w:val="24"/>
        </w:rPr>
      </w:pPr>
    </w:p>
    <w:p w14:paraId="5EC3D3B0" w14:textId="77777777" w:rsidR="00724E79" w:rsidRPr="0035237F" w:rsidRDefault="00312C60">
      <w:pPr>
        <w:spacing w:after="0" w:line="276" w:lineRule="auto"/>
        <w:ind w:left="567" w:right="567"/>
        <w:jc w:val="both"/>
        <w:rPr>
          <w:rFonts w:ascii="Palatino Linotype" w:eastAsia="Palatino Linotype" w:hAnsi="Palatino Linotype" w:cs="Palatino Linotype"/>
          <w:b/>
          <w:i/>
        </w:rPr>
      </w:pPr>
      <w:r w:rsidRPr="0035237F">
        <w:rPr>
          <w:rFonts w:ascii="Palatino Linotype" w:eastAsia="Palatino Linotype" w:hAnsi="Palatino Linotype" w:cs="Palatino Linotype"/>
          <w:b/>
          <w:i/>
        </w:rPr>
        <w:t>“CRITERIO 0002-11</w:t>
      </w:r>
    </w:p>
    <w:p w14:paraId="199CE62D"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b/>
          <w:i/>
        </w:rPr>
        <w:t>INFORMACIÓN PÚBLICA, CONCEPTO DE, EN MATERIA DE TRANSPARENCIA. INTERPRETACIÓN TEMÁTICA DE LOS ARTÍCULOS 2, FRACCIÓN V, XV, Y XVI, 32, 4,11 Y 41.</w:t>
      </w:r>
      <w:r w:rsidRPr="0035237F">
        <w:rPr>
          <w:rFonts w:ascii="Palatino Linotype" w:eastAsia="Palatino Linotype" w:hAnsi="Palatino Linotype" w:cs="Palatino Linotype"/>
          <w:i/>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3336FAA8"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En </w:t>
      </w:r>
      <w:proofErr w:type="gramStart"/>
      <w:r w:rsidRPr="0035237F">
        <w:rPr>
          <w:rFonts w:ascii="Palatino Linotype" w:eastAsia="Palatino Linotype" w:hAnsi="Palatino Linotype" w:cs="Palatino Linotype"/>
          <w:i/>
        </w:rPr>
        <w:t>consecuencia</w:t>
      </w:r>
      <w:proofErr w:type="gramEnd"/>
      <w:r w:rsidRPr="0035237F">
        <w:rPr>
          <w:rFonts w:ascii="Palatino Linotype" w:eastAsia="Palatino Linotype" w:hAnsi="Palatino Linotype" w:cs="Palatino Linotype"/>
          <w:i/>
        </w:rPr>
        <w:t xml:space="preserve"> el acceso a la información se refiere a que se cumplan cualquiera de los siguientes tres supuestos:</w:t>
      </w:r>
    </w:p>
    <w:p w14:paraId="5F3ABC3F"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Que se trate de información registrada en cualquier soporte documental, </w:t>
      </w:r>
      <w:proofErr w:type="gramStart"/>
      <w:r w:rsidRPr="0035237F">
        <w:rPr>
          <w:rFonts w:ascii="Palatino Linotype" w:eastAsia="Palatino Linotype" w:hAnsi="Palatino Linotype" w:cs="Palatino Linotype"/>
          <w:i/>
        </w:rPr>
        <w:t>que</w:t>
      </w:r>
      <w:proofErr w:type="gramEnd"/>
      <w:r w:rsidRPr="0035237F">
        <w:rPr>
          <w:rFonts w:ascii="Palatino Linotype" w:eastAsia="Palatino Linotype" w:hAnsi="Palatino Linotype" w:cs="Palatino Linotype"/>
          <w:i/>
        </w:rPr>
        <w:t xml:space="preserve"> en ejercicio de las atribuciones conferidas, sea generada por los Sujetos Obligados;</w:t>
      </w:r>
    </w:p>
    <w:p w14:paraId="6B54A615"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Que se trate de información registrada en cualquier soporte documental, </w:t>
      </w:r>
      <w:proofErr w:type="gramStart"/>
      <w:r w:rsidRPr="0035237F">
        <w:rPr>
          <w:rFonts w:ascii="Palatino Linotype" w:eastAsia="Palatino Linotype" w:hAnsi="Palatino Linotype" w:cs="Palatino Linotype"/>
          <w:i/>
        </w:rPr>
        <w:t>que</w:t>
      </w:r>
      <w:proofErr w:type="gramEnd"/>
      <w:r w:rsidRPr="0035237F">
        <w:rPr>
          <w:rFonts w:ascii="Palatino Linotype" w:eastAsia="Palatino Linotype" w:hAnsi="Palatino Linotype" w:cs="Palatino Linotype"/>
          <w:i/>
        </w:rPr>
        <w:t xml:space="preserve"> en ejercicio de las atribuciones conferidas, sea administrada por los Sujetos Obligados, y</w:t>
      </w:r>
    </w:p>
    <w:p w14:paraId="297474BB"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Que se trate de información registrada en cualquier soporte documental, </w:t>
      </w:r>
      <w:proofErr w:type="gramStart"/>
      <w:r w:rsidRPr="0035237F">
        <w:rPr>
          <w:rFonts w:ascii="Palatino Linotype" w:eastAsia="Palatino Linotype" w:hAnsi="Palatino Linotype" w:cs="Palatino Linotype"/>
          <w:i/>
        </w:rPr>
        <w:t>que</w:t>
      </w:r>
      <w:proofErr w:type="gramEnd"/>
      <w:r w:rsidRPr="0035237F">
        <w:rPr>
          <w:rFonts w:ascii="Palatino Linotype" w:eastAsia="Palatino Linotype" w:hAnsi="Palatino Linotype" w:cs="Palatino Linotype"/>
          <w:i/>
        </w:rPr>
        <w:t xml:space="preserve"> en ejercicio de las atribuciones conferidas, se encuentre en posesión de los Sujetos Obligados.”</w:t>
      </w:r>
    </w:p>
    <w:p w14:paraId="73AF0292" w14:textId="77777777" w:rsidR="00724E79" w:rsidRPr="0035237F" w:rsidRDefault="00724E79">
      <w:pPr>
        <w:pBdr>
          <w:top w:val="nil"/>
          <w:left w:val="nil"/>
          <w:bottom w:val="nil"/>
          <w:right w:val="nil"/>
          <w:between w:val="nil"/>
        </w:pBdr>
        <w:spacing w:after="0" w:line="360" w:lineRule="auto"/>
        <w:ind w:right="96"/>
        <w:jc w:val="both"/>
        <w:rPr>
          <w:rFonts w:ascii="Palatino Linotype" w:eastAsia="Palatino Linotype" w:hAnsi="Palatino Linotype" w:cs="Palatino Linotype"/>
          <w:sz w:val="24"/>
          <w:szCs w:val="24"/>
        </w:rPr>
      </w:pPr>
    </w:p>
    <w:p w14:paraId="1C0296AC" w14:textId="77777777" w:rsidR="00724E79" w:rsidRPr="0035237F" w:rsidRDefault="00312C60">
      <w:pPr>
        <w:pBdr>
          <w:top w:val="nil"/>
          <w:left w:val="nil"/>
          <w:bottom w:val="nil"/>
          <w:right w:val="nil"/>
          <w:between w:val="nil"/>
        </w:pBdr>
        <w:spacing w:after="0" w:line="360" w:lineRule="auto"/>
        <w:ind w:right="96"/>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De lo anterior se puede concluir que la distinción entre el derecho de petición y el derecho de acceso a la información descansa, principalmente, en que la pretensión del peticionario consiste generalmente en obligar a la autoridad responsable a que actúe en el sentido de contestar lo solicitado, mientras que en el derecho de acceso a la información pública la pretensión radica en que se permita el acceso a datos y todo tipo de documentación que tenga el carácter de información pública, que sea generada, administrada o se encuentre en posesión de los considerados Sujetos Obligados por la Ley de la Materia.</w:t>
      </w:r>
    </w:p>
    <w:p w14:paraId="2A5B133C" w14:textId="77777777" w:rsidR="00724E79" w:rsidRPr="0035237F" w:rsidRDefault="00724E79">
      <w:pPr>
        <w:pBdr>
          <w:top w:val="nil"/>
          <w:left w:val="nil"/>
          <w:bottom w:val="nil"/>
          <w:right w:val="nil"/>
          <w:between w:val="nil"/>
        </w:pBdr>
        <w:spacing w:after="0" w:line="360" w:lineRule="auto"/>
        <w:ind w:right="96"/>
        <w:jc w:val="both"/>
        <w:rPr>
          <w:rFonts w:ascii="Palatino Linotype" w:eastAsia="Palatino Linotype" w:hAnsi="Palatino Linotype" w:cs="Palatino Linotype"/>
          <w:sz w:val="24"/>
          <w:szCs w:val="24"/>
        </w:rPr>
      </w:pPr>
    </w:p>
    <w:p w14:paraId="02FDBAF8" w14:textId="77777777" w:rsidR="00724E79" w:rsidRPr="0035237F" w:rsidRDefault="00312C60">
      <w:pPr>
        <w:pBdr>
          <w:top w:val="nil"/>
          <w:left w:val="nil"/>
          <w:bottom w:val="nil"/>
          <w:right w:val="nil"/>
          <w:between w:val="nil"/>
        </w:pBdr>
        <w:spacing w:after="0" w:line="360" w:lineRule="auto"/>
        <w:ind w:right="96"/>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Con base a lo anterior, tenemos que </w:t>
      </w:r>
      <w:r w:rsidRPr="0035237F">
        <w:rPr>
          <w:rFonts w:ascii="Palatino Linotype" w:eastAsia="Palatino Linotype" w:hAnsi="Palatino Linotype" w:cs="Palatino Linotype"/>
          <w:b/>
          <w:sz w:val="24"/>
          <w:szCs w:val="24"/>
        </w:rPr>
        <w:t>LA PARTE</w:t>
      </w:r>
      <w:r w:rsidRPr="0035237F">
        <w:rPr>
          <w:rFonts w:ascii="Palatino Linotype" w:eastAsia="Palatino Linotype" w:hAnsi="Palatino Linotype" w:cs="Palatino Linotype"/>
          <w:sz w:val="24"/>
          <w:szCs w:val="24"/>
        </w:rPr>
        <w:t xml:space="preserve"> </w:t>
      </w:r>
      <w:r w:rsidRPr="0035237F">
        <w:rPr>
          <w:rFonts w:ascii="Palatino Linotype" w:eastAsia="Palatino Linotype" w:hAnsi="Palatino Linotype" w:cs="Palatino Linotype"/>
          <w:b/>
          <w:sz w:val="24"/>
          <w:szCs w:val="24"/>
        </w:rPr>
        <w:t>RECURRENTE</w:t>
      </w:r>
      <w:r w:rsidRPr="0035237F">
        <w:rPr>
          <w:rFonts w:ascii="Palatino Linotype" w:eastAsia="Palatino Linotype" w:hAnsi="Palatino Linotype" w:cs="Palatino Linotype"/>
          <w:sz w:val="24"/>
          <w:szCs w:val="24"/>
        </w:rPr>
        <w:t xml:space="preserve"> en su solicitud de información requiere información a la cual se puede acceder mediante el derecho de acceso a la información, siendo que los supuestos de desvío y robo de recursos es aplicable lo siguiente:</w:t>
      </w:r>
    </w:p>
    <w:p w14:paraId="5AFA6B39" w14:textId="77777777" w:rsidR="00724E79" w:rsidRPr="0035237F" w:rsidRDefault="00724E79">
      <w:pPr>
        <w:pBdr>
          <w:top w:val="nil"/>
          <w:left w:val="nil"/>
          <w:bottom w:val="nil"/>
          <w:right w:val="nil"/>
          <w:between w:val="nil"/>
        </w:pBdr>
        <w:spacing w:line="360" w:lineRule="auto"/>
        <w:ind w:right="96"/>
        <w:jc w:val="both"/>
        <w:rPr>
          <w:rFonts w:ascii="Palatino Linotype" w:eastAsia="Palatino Linotype" w:hAnsi="Palatino Linotype" w:cs="Palatino Linotype"/>
          <w:sz w:val="24"/>
          <w:szCs w:val="24"/>
        </w:rPr>
      </w:pPr>
    </w:p>
    <w:p w14:paraId="53F04D37" w14:textId="77777777" w:rsidR="00724E79" w:rsidRPr="0035237F" w:rsidRDefault="00312C60">
      <w:pPr>
        <w:pBdr>
          <w:top w:val="nil"/>
          <w:left w:val="nil"/>
          <w:bottom w:val="nil"/>
          <w:right w:val="nil"/>
          <w:between w:val="nil"/>
        </w:pBdr>
        <w:spacing w:before="240" w:after="0" w:line="276" w:lineRule="auto"/>
        <w:ind w:left="851" w:right="902"/>
        <w:jc w:val="both"/>
        <w:rPr>
          <w:rFonts w:ascii="Palatino Linotype" w:eastAsia="Palatino Linotype" w:hAnsi="Palatino Linotype" w:cs="Palatino Linotype"/>
          <w:b/>
          <w:i/>
        </w:rPr>
      </w:pPr>
      <w:r w:rsidRPr="0035237F">
        <w:rPr>
          <w:rFonts w:ascii="Palatino Linotype" w:eastAsia="Palatino Linotype" w:hAnsi="Palatino Linotype" w:cs="Palatino Linotype"/>
          <w:b/>
          <w:i/>
        </w:rPr>
        <w:t>“LEY DE RESPONSABILIDADES ADMINISTRATIVAS DEL ESTADO DE MÉXICO Y MUNICIPIOS</w:t>
      </w:r>
    </w:p>
    <w:p w14:paraId="44CF09DA" w14:textId="77777777" w:rsidR="00724E79" w:rsidRPr="0035237F" w:rsidRDefault="00724E79">
      <w:pPr>
        <w:pBdr>
          <w:top w:val="nil"/>
          <w:left w:val="nil"/>
          <w:bottom w:val="nil"/>
          <w:right w:val="nil"/>
          <w:between w:val="nil"/>
        </w:pBdr>
        <w:spacing w:after="0" w:line="276" w:lineRule="auto"/>
        <w:ind w:left="851" w:right="902"/>
        <w:jc w:val="both"/>
        <w:rPr>
          <w:rFonts w:ascii="Palatino Linotype" w:eastAsia="Palatino Linotype" w:hAnsi="Palatino Linotype" w:cs="Palatino Linotype"/>
          <w:b/>
          <w:i/>
        </w:rPr>
      </w:pPr>
    </w:p>
    <w:p w14:paraId="55B9C5FD" w14:textId="77777777" w:rsidR="00724E79" w:rsidRPr="0035237F" w:rsidRDefault="00312C60">
      <w:pPr>
        <w:pBdr>
          <w:top w:val="nil"/>
          <w:left w:val="nil"/>
          <w:bottom w:val="nil"/>
          <w:right w:val="nil"/>
          <w:between w:val="nil"/>
        </w:pBd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b/>
          <w:i/>
        </w:rPr>
        <w:t>Artículo 52.</w:t>
      </w:r>
      <w:r w:rsidRPr="0035237F">
        <w:rPr>
          <w:rFonts w:ascii="Palatino Linotype" w:eastAsia="Palatino Linotype" w:hAnsi="Palatino Linotype" w:cs="Palatino Linotype"/>
          <w:i/>
        </w:rPr>
        <w:t xml:space="preserve"> Para efectos de la presente Ley, se consideran faltas administrativas graves de los servidores públicos, mediante cualquier acto u omisión, las siguientes:</w:t>
      </w:r>
    </w:p>
    <w:p w14:paraId="52ED53ED" w14:textId="77777777" w:rsidR="00724E79" w:rsidRPr="0035237F" w:rsidRDefault="00312C60">
      <w:pPr>
        <w:pBdr>
          <w:top w:val="nil"/>
          <w:left w:val="nil"/>
          <w:bottom w:val="nil"/>
          <w:right w:val="nil"/>
          <w:between w:val="nil"/>
        </w:pBd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p>
    <w:p w14:paraId="75B97CD7" w14:textId="77777777" w:rsidR="00724E79" w:rsidRPr="0035237F" w:rsidRDefault="00312C60">
      <w:pPr>
        <w:pBdr>
          <w:top w:val="nil"/>
          <w:left w:val="nil"/>
          <w:bottom w:val="nil"/>
          <w:right w:val="nil"/>
          <w:between w:val="nil"/>
        </w:pBd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II. El peculado</w:t>
      </w:r>
    </w:p>
    <w:p w14:paraId="67F74AD3" w14:textId="77777777" w:rsidR="00724E79" w:rsidRPr="0035237F" w:rsidRDefault="00312C60">
      <w:pPr>
        <w:pBdr>
          <w:top w:val="nil"/>
          <w:left w:val="nil"/>
          <w:bottom w:val="nil"/>
          <w:right w:val="nil"/>
          <w:between w:val="nil"/>
        </w:pBd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III. El desvío de recursos públicos.</w:t>
      </w:r>
    </w:p>
    <w:p w14:paraId="14FE7146" w14:textId="77777777" w:rsidR="00724E79" w:rsidRPr="0035237F" w:rsidRDefault="00724E79">
      <w:pPr>
        <w:pBdr>
          <w:top w:val="nil"/>
          <w:left w:val="nil"/>
          <w:bottom w:val="nil"/>
          <w:right w:val="nil"/>
          <w:between w:val="nil"/>
        </w:pBdr>
        <w:spacing w:after="0" w:line="276" w:lineRule="auto"/>
        <w:ind w:left="851" w:right="902"/>
        <w:jc w:val="both"/>
        <w:rPr>
          <w:rFonts w:ascii="Palatino Linotype" w:eastAsia="Palatino Linotype" w:hAnsi="Palatino Linotype" w:cs="Palatino Linotype"/>
          <w:i/>
        </w:rPr>
      </w:pPr>
    </w:p>
    <w:p w14:paraId="004C3E22" w14:textId="77777777" w:rsidR="00724E79" w:rsidRPr="0035237F" w:rsidRDefault="00312C60">
      <w:pPr>
        <w:pBdr>
          <w:top w:val="nil"/>
          <w:left w:val="nil"/>
          <w:bottom w:val="nil"/>
          <w:right w:val="nil"/>
          <w:between w:val="nil"/>
        </w:pBd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b/>
          <w:i/>
        </w:rPr>
        <w:lastRenderedPageBreak/>
        <w:t>Artículo 54.</w:t>
      </w:r>
      <w:r w:rsidRPr="0035237F">
        <w:rPr>
          <w:rFonts w:ascii="Palatino Linotype" w:eastAsia="Palatino Linotype" w:hAnsi="Palatino Linotype" w:cs="Palatino Linotype"/>
          <w:i/>
        </w:rPr>
        <w:t xml:space="preserve"> Incurrirá en peculado el servidor público que autorice, solicite o realice actos para el uso o apropiación para sí o para su cónyuge, parientes consanguíneos, parientes civiles o para terceros con los que tenga relaciones profesionales, laborales o de negocios, o para socios o sociedades de las que el servidor público o las personas antes referidas formen parte, de recursos públicos, sean materiales, humanos o financieros, sin fundamento jurídico o en contraposición a las normas aplicables. </w:t>
      </w:r>
    </w:p>
    <w:p w14:paraId="07F85E92" w14:textId="77777777" w:rsidR="00724E79" w:rsidRPr="0035237F" w:rsidRDefault="00312C60">
      <w:pPr>
        <w:pBdr>
          <w:top w:val="nil"/>
          <w:left w:val="nil"/>
          <w:bottom w:val="nil"/>
          <w:right w:val="nil"/>
          <w:between w:val="nil"/>
        </w:pBd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Artículo 55. Incurrirá en desvío de recursos públicos el servidor público que autorice, solicite o realice actos para la asignación o desvío de recursos públicos, sean materiales, humanos o financieros, sin fundamento jurídico o en contraposición a las normas aplicables.”</w:t>
      </w:r>
    </w:p>
    <w:p w14:paraId="5E50ADB4" w14:textId="77777777" w:rsidR="00724E79" w:rsidRPr="0035237F" w:rsidRDefault="00724E79">
      <w:pPr>
        <w:pBdr>
          <w:top w:val="nil"/>
          <w:left w:val="nil"/>
          <w:bottom w:val="nil"/>
          <w:right w:val="nil"/>
          <w:between w:val="nil"/>
        </w:pBdr>
        <w:spacing w:after="0" w:line="360" w:lineRule="auto"/>
        <w:jc w:val="both"/>
        <w:rPr>
          <w:rFonts w:ascii="Palatino Linotype" w:eastAsia="Palatino Linotype" w:hAnsi="Palatino Linotype" w:cs="Palatino Linotype"/>
          <w:sz w:val="24"/>
          <w:szCs w:val="24"/>
        </w:rPr>
      </w:pPr>
    </w:p>
    <w:p w14:paraId="5824B01E" w14:textId="77777777" w:rsidR="00724E79" w:rsidRPr="0035237F" w:rsidRDefault="00312C60">
      <w:pPr>
        <w:pBdr>
          <w:top w:val="nil"/>
          <w:left w:val="nil"/>
          <w:bottom w:val="nil"/>
          <w:right w:val="nil"/>
          <w:between w:val="nil"/>
        </w:pBd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De acuerdo a lo anterior, se considera como falta administrativa grave el peculado que es la autorización, solicitud o realización de actos para el uso o apropiación para sí o para su cónyuge, parientes consanguíneos, parientes civiles o para terceros con los que tenga relaciones profesionales, laborales o de negocios, o para socios o sociedades de las que el servidor público o las personas antes referidas formen parte, de recursos públicos, sean materiales, humanos o financieros, sin fundamento jurídico o en contraposición a las normas aplicables, por su parte el desvío de recursos públicos es la acción en donde el servidor público autoriza, solicita o realice actos para la asignación o desvió de recursos públicos, sean materiales, humanos o financieros, sin fundamento jurídico o en contraposición a las normas aplicables, por ello se observa que la falta señalada por el Particular es considerada grave, además dicha Ley establece lo siguiente:</w:t>
      </w:r>
    </w:p>
    <w:p w14:paraId="1285425F" w14:textId="77777777" w:rsidR="00724E79" w:rsidRPr="0035237F" w:rsidRDefault="00724E79">
      <w:pPr>
        <w:pBdr>
          <w:top w:val="nil"/>
          <w:left w:val="nil"/>
          <w:bottom w:val="nil"/>
          <w:right w:val="nil"/>
          <w:between w:val="nil"/>
        </w:pBdr>
        <w:spacing w:after="240" w:line="360" w:lineRule="auto"/>
        <w:jc w:val="both"/>
        <w:rPr>
          <w:rFonts w:ascii="Palatino Linotype" w:eastAsia="Palatino Linotype" w:hAnsi="Palatino Linotype" w:cs="Palatino Linotype"/>
          <w:sz w:val="24"/>
          <w:szCs w:val="24"/>
        </w:rPr>
      </w:pPr>
    </w:p>
    <w:p w14:paraId="1D4FF754"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b/>
          <w:i/>
        </w:rPr>
        <w:t>Artículo 95</w:t>
      </w:r>
      <w:r w:rsidRPr="0035237F">
        <w:rPr>
          <w:rFonts w:ascii="Palatino Linotype" w:eastAsia="Palatino Linotype" w:hAnsi="Palatino Linotype" w:cs="Palatino Linotype"/>
          <w:i/>
        </w:rPr>
        <w:t>. La investigación por la presunta responsabilidad de faltas administrativas podrá iniciar:</w:t>
      </w:r>
    </w:p>
    <w:p w14:paraId="1FD00990"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i/>
        </w:rPr>
        <w:lastRenderedPageBreak/>
        <w:t>I. De oficio.</w:t>
      </w:r>
    </w:p>
    <w:p w14:paraId="0B0BAE0F"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i/>
        </w:rPr>
        <w:t>II. Por denuncia.</w:t>
      </w:r>
    </w:p>
    <w:p w14:paraId="5A2139A2"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i/>
        </w:rPr>
        <w:t>III. Derivado de las auditorías practicadas por parte de las autoridades competentes o en su caso, de auditores externos.</w:t>
      </w:r>
    </w:p>
    <w:p w14:paraId="47ACE0EE"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i/>
        </w:rPr>
        <w:t>Las denuncias podrán ser anónimas. En su caso, las autoridades investigadoras deberán garantizar, proteger y mantener el carácter de confidencial la identidad de las personas que denuncien las presuntas infracciones.</w:t>
      </w:r>
    </w:p>
    <w:p w14:paraId="4E3DE593"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b/>
          <w:i/>
        </w:rPr>
        <w:t>Artículo 99.</w:t>
      </w:r>
      <w:r w:rsidRPr="0035237F">
        <w:rPr>
          <w:rFonts w:ascii="Palatino Linotype" w:eastAsia="Palatino Linotype" w:hAnsi="Palatino Linotype" w:cs="Palatino Linotype"/>
          <w:i/>
        </w:rPr>
        <w:t xml:space="preserve"> Las autoridades investigadoras deberán tener acceso a toda la información necesaria para el esclarecimiento de los hechos, incluyendo aquélla que las disposiciones legales en la materia consideren con carácter de reservada o confidencial, siempre que esté relacionada con la comisión de infracciones a que se refiere la presente Ley, con la obligación de mantener la misma reserva o secrecía, conforme a lo que determinen las leyes.</w:t>
      </w:r>
    </w:p>
    <w:p w14:paraId="379D0D72" w14:textId="77777777" w:rsidR="00724E79" w:rsidRPr="0035237F" w:rsidRDefault="00724E79">
      <w:pPr>
        <w:tabs>
          <w:tab w:val="left" w:pos="8222"/>
        </w:tabs>
        <w:spacing w:after="0" w:line="276" w:lineRule="auto"/>
        <w:ind w:left="567" w:right="539"/>
        <w:jc w:val="both"/>
        <w:rPr>
          <w:rFonts w:ascii="Palatino Linotype" w:eastAsia="Palatino Linotype" w:hAnsi="Palatino Linotype" w:cs="Palatino Linotype"/>
          <w:i/>
        </w:rPr>
      </w:pPr>
    </w:p>
    <w:p w14:paraId="1F19AE79"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i/>
        </w:rPr>
        <w:t>Las autoridades investigadoras, durante el desarrollo de investigaciones por faltas administrativas graves, no les serán oponibles las disposiciones dirigidas a proteger la secrecía de la información en materia fiscal bursátil, fiduciario o la relacionada con operaciones de depósito, administración, ahorro e inversión de recursos monetarios. Esta información conservará su calidad en los expedientes correspondientes, para lo cual se deberán celebrar convenios de colaboración con las autoridades correspondientes.</w:t>
      </w:r>
    </w:p>
    <w:p w14:paraId="37472C8D" w14:textId="77777777" w:rsidR="00724E79" w:rsidRPr="0035237F" w:rsidRDefault="00724E79">
      <w:pPr>
        <w:tabs>
          <w:tab w:val="left" w:pos="8222"/>
        </w:tabs>
        <w:spacing w:after="0" w:line="276" w:lineRule="auto"/>
        <w:ind w:left="567" w:right="539"/>
        <w:jc w:val="both"/>
        <w:rPr>
          <w:rFonts w:ascii="Palatino Linotype" w:eastAsia="Palatino Linotype" w:hAnsi="Palatino Linotype" w:cs="Palatino Linotype"/>
          <w:i/>
        </w:rPr>
      </w:pPr>
    </w:p>
    <w:p w14:paraId="4084F9D6"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i/>
        </w:rPr>
        <w:t>Para efectos de lo previsto en el párrafo anterior, se observará lo dispuesto en el artículo 39 de la presente Ley.</w:t>
      </w:r>
    </w:p>
    <w:p w14:paraId="48714DB3" w14:textId="77777777" w:rsidR="00724E79" w:rsidRPr="0035237F" w:rsidRDefault="00724E79">
      <w:pPr>
        <w:tabs>
          <w:tab w:val="left" w:pos="8222"/>
        </w:tabs>
        <w:spacing w:after="0" w:line="276" w:lineRule="auto"/>
        <w:ind w:left="567" w:right="539"/>
        <w:jc w:val="both"/>
        <w:rPr>
          <w:rFonts w:ascii="Palatino Linotype" w:eastAsia="Palatino Linotype" w:hAnsi="Palatino Linotype" w:cs="Palatino Linotype"/>
          <w:i/>
        </w:rPr>
      </w:pPr>
    </w:p>
    <w:p w14:paraId="3DBEA664"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i/>
        </w:rPr>
        <w:t>Las autoridades encargadas de la investigación, por conducto de su titular, podrán ordenar la práctica de visitas de verificación, las cuales se sujetarán a lo previsto en el Código de Procedimientos Administrativos del Estado de México, incluyendo acciones encubiertas y usuario simulado con apego a la legalidad, la presente Ley y demás normatividad que para este fin sea expedida por los titulares de los entes públicos responsables.</w:t>
      </w:r>
    </w:p>
    <w:p w14:paraId="5602266A" w14:textId="77777777" w:rsidR="00724E79" w:rsidRPr="0035237F" w:rsidRDefault="00724E79">
      <w:pPr>
        <w:tabs>
          <w:tab w:val="left" w:pos="8222"/>
        </w:tabs>
        <w:spacing w:after="0" w:line="276" w:lineRule="auto"/>
        <w:ind w:left="567" w:right="539"/>
        <w:jc w:val="both"/>
        <w:rPr>
          <w:rFonts w:ascii="Palatino Linotype" w:eastAsia="Palatino Linotype" w:hAnsi="Palatino Linotype" w:cs="Palatino Linotype"/>
          <w:i/>
        </w:rPr>
      </w:pPr>
    </w:p>
    <w:p w14:paraId="2B88936A"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b/>
          <w:i/>
        </w:rPr>
        <w:t>Artículo 105.</w:t>
      </w:r>
      <w:r w:rsidRPr="0035237F">
        <w:rPr>
          <w:rFonts w:ascii="Palatino Linotype" w:eastAsia="Palatino Linotype" w:hAnsi="Palatino Linotype" w:cs="Palatino Linotype"/>
          <w:i/>
        </w:rPr>
        <w:t xml:space="preserve"> Las autoridades substanciadoras, o en su caso, las resolutoras podrán abstenerse de iniciar el procedimiento de responsabilidad administrativa previsto en la </w:t>
      </w:r>
      <w:r w:rsidRPr="0035237F">
        <w:rPr>
          <w:rFonts w:ascii="Palatino Linotype" w:eastAsia="Palatino Linotype" w:hAnsi="Palatino Linotype" w:cs="Palatino Linotype"/>
          <w:i/>
        </w:rPr>
        <w:lastRenderedPageBreak/>
        <w:t>presente Ley o de imponer sanciones administrativas a un servidor público, según sea el caso, en el supuesto que derivado de las investigaciones practicadas o de la valoración de las pruebas aportadas en el procedimiento referido, se advierta que no existe daño ni perjuicio a la Hacienda Pública Estatal o Municipal, o al patrimonio de los entes públicos y que se actualiza alguna de las siguientes hipótesis:</w:t>
      </w:r>
    </w:p>
    <w:p w14:paraId="318C1A5B"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p>
    <w:p w14:paraId="66DBEE85" w14:textId="77777777" w:rsidR="00724E79" w:rsidRPr="0035237F" w:rsidRDefault="00724E79">
      <w:pPr>
        <w:tabs>
          <w:tab w:val="left" w:pos="8222"/>
        </w:tabs>
        <w:spacing w:after="0" w:line="276" w:lineRule="auto"/>
        <w:ind w:left="567" w:right="539"/>
        <w:jc w:val="both"/>
        <w:rPr>
          <w:rFonts w:ascii="Palatino Linotype" w:eastAsia="Palatino Linotype" w:hAnsi="Palatino Linotype" w:cs="Palatino Linotype"/>
          <w:b/>
          <w:i/>
        </w:rPr>
      </w:pPr>
    </w:p>
    <w:p w14:paraId="1E5A5FE0"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b/>
          <w:i/>
        </w:rPr>
        <w:t>Artículo 106</w:t>
      </w:r>
      <w:r w:rsidRPr="0035237F">
        <w:rPr>
          <w:rFonts w:ascii="Palatino Linotype" w:eastAsia="Palatino Linotype" w:hAnsi="Palatino Linotype" w:cs="Palatino Linotype"/>
          <w:i/>
        </w:rPr>
        <w:t>. La calificación de los hechos como faltas administrativas no graves que realicen las autoridades investigadoras, será notificada al denunciante, cuando éste fuere identificable. Además de establecer la calificación que se le haya dado a la presunta falta, la notificación también contendrá de manera expresa la forma en que el notificado podrá acceder al expediente de presunta responsabilidad administrativa.</w:t>
      </w:r>
    </w:p>
    <w:p w14:paraId="0C1CDC03" w14:textId="77777777" w:rsidR="00724E79" w:rsidRPr="0035237F" w:rsidRDefault="00724E79">
      <w:pPr>
        <w:tabs>
          <w:tab w:val="left" w:pos="8222"/>
        </w:tabs>
        <w:spacing w:after="0" w:line="276" w:lineRule="auto"/>
        <w:ind w:left="567" w:right="539"/>
        <w:jc w:val="both"/>
        <w:rPr>
          <w:rFonts w:ascii="Palatino Linotype" w:eastAsia="Palatino Linotype" w:hAnsi="Palatino Linotype" w:cs="Palatino Linotype"/>
          <w:i/>
        </w:rPr>
      </w:pPr>
    </w:p>
    <w:p w14:paraId="4A310514"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i/>
        </w:rPr>
        <w:t>La calificación y la abstención de iniciar el procedimiento de responsabilidad administrativa a que se refiere el artículo 105, podrán ser impugnadas, en su caso, por el denunciante, a través del recurso de inconformidad conforme al presente Capítulo. La presentación del recurso de inconformidad tendrá como efecto la suspensión del inicio del procedimiento de responsabilidad administrativa hasta en tanto dicho recurso sea resuelto</w:t>
      </w:r>
    </w:p>
    <w:p w14:paraId="559CADA0" w14:textId="77777777" w:rsidR="00724E79" w:rsidRPr="0035237F" w:rsidRDefault="00724E79">
      <w:pPr>
        <w:tabs>
          <w:tab w:val="left" w:pos="8222"/>
        </w:tabs>
        <w:spacing w:after="0" w:line="276" w:lineRule="auto"/>
        <w:ind w:left="567" w:right="539"/>
        <w:jc w:val="both"/>
        <w:rPr>
          <w:rFonts w:ascii="Palatino Linotype" w:eastAsia="Palatino Linotype" w:hAnsi="Palatino Linotype" w:cs="Palatino Linotype"/>
          <w:i/>
        </w:rPr>
      </w:pPr>
    </w:p>
    <w:p w14:paraId="76BDB966"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b/>
          <w:i/>
        </w:rPr>
        <w:t>Artículo 116.</w:t>
      </w:r>
      <w:r w:rsidRPr="0035237F">
        <w:rPr>
          <w:rFonts w:ascii="Palatino Linotype" w:eastAsia="Palatino Linotype" w:hAnsi="Palatino Linotype" w:cs="Palatino Linotype"/>
          <w:i/>
        </w:rPr>
        <w:t xml:space="preserve"> El procedimiento de responsabilidad administrativa dará inicio cuando las autoridades substanciadoras, en el ámbito de su competencia, admitan el informe de presunta responsabilidad administrativa.</w:t>
      </w:r>
    </w:p>
    <w:p w14:paraId="677E7BEF" w14:textId="77777777" w:rsidR="00724E79" w:rsidRPr="0035237F" w:rsidRDefault="00724E79">
      <w:pPr>
        <w:tabs>
          <w:tab w:val="left" w:pos="8222"/>
        </w:tabs>
        <w:spacing w:after="0" w:line="276" w:lineRule="auto"/>
        <w:ind w:left="567" w:right="539"/>
        <w:jc w:val="both"/>
        <w:rPr>
          <w:rFonts w:ascii="Palatino Linotype" w:eastAsia="Palatino Linotype" w:hAnsi="Palatino Linotype" w:cs="Palatino Linotype"/>
          <w:i/>
        </w:rPr>
      </w:pPr>
    </w:p>
    <w:p w14:paraId="7A655FA7"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b/>
          <w:i/>
        </w:rPr>
        <w:t>Artículo 188.</w:t>
      </w:r>
      <w:r w:rsidRPr="0035237F">
        <w:rPr>
          <w:rFonts w:ascii="Palatino Linotype" w:eastAsia="Palatino Linotype" w:hAnsi="Palatino Linotype" w:cs="Palatino Linotype"/>
          <w:i/>
        </w:rPr>
        <w:t xml:space="preserve"> Las resoluciones serán:</w:t>
      </w:r>
    </w:p>
    <w:p w14:paraId="1E139616"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i/>
        </w:rPr>
        <w:t>I. Acuerdos, cuando se trate de resoluciones de trámite.</w:t>
      </w:r>
    </w:p>
    <w:p w14:paraId="70718CC0"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i/>
        </w:rPr>
        <w:t>II. Autos provisionales, los que se refieren a determinaciones que se ejecuten provisionalmente.</w:t>
      </w:r>
    </w:p>
    <w:p w14:paraId="4F319BE2"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i/>
        </w:rPr>
        <w:t>III. Autos preparatorios, a las resoluciones por las que se prepara el conocimiento y decisión de un asunto, se ordena la admisión, la preparación y desahogo de pruebas.</w:t>
      </w:r>
    </w:p>
    <w:p w14:paraId="3D3609F0"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i/>
        </w:rPr>
      </w:pPr>
      <w:r w:rsidRPr="0035237F">
        <w:rPr>
          <w:rFonts w:ascii="Palatino Linotype" w:eastAsia="Palatino Linotype" w:hAnsi="Palatino Linotype" w:cs="Palatino Linotype"/>
          <w:i/>
        </w:rPr>
        <w:t>IV. Sentencias interlocutorias, aquellas que resuelven sobre un incidente o una cuestión intraprocesal o accesoria al procedimiento.</w:t>
      </w:r>
    </w:p>
    <w:p w14:paraId="5D28180C" w14:textId="77777777" w:rsidR="00724E79" w:rsidRPr="0035237F" w:rsidRDefault="00312C60">
      <w:pPr>
        <w:tabs>
          <w:tab w:val="left" w:pos="8222"/>
        </w:tabs>
        <w:spacing w:after="0" w:line="276" w:lineRule="auto"/>
        <w:ind w:left="567" w:right="53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i/>
        </w:rPr>
        <w:lastRenderedPageBreak/>
        <w:t>V. Sentencias definitivas, las que resuelven el fondo del procedimiento de responsabilidad administrativa.</w:t>
      </w:r>
    </w:p>
    <w:p w14:paraId="662F78B9" w14:textId="77777777" w:rsidR="00724E79" w:rsidRPr="0035237F" w:rsidRDefault="00312C60">
      <w:pPr>
        <w:spacing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Conforme a lo anterior, se considera que existen tres etapas en el Procedimiento de Responsabilidad </w:t>
      </w:r>
      <w:r w:rsidRPr="0035237F">
        <w:rPr>
          <w:rFonts w:ascii="Palatino Linotype" w:eastAsia="Palatino Linotype" w:hAnsi="Palatino Linotype" w:cs="Palatino Linotype"/>
          <w:b/>
          <w:sz w:val="24"/>
          <w:szCs w:val="24"/>
        </w:rPr>
        <w:t>A</w:t>
      </w:r>
      <w:r w:rsidRPr="0035237F">
        <w:rPr>
          <w:rFonts w:ascii="Palatino Linotype" w:eastAsia="Palatino Linotype" w:hAnsi="Palatino Linotype" w:cs="Palatino Linotype"/>
          <w:sz w:val="24"/>
          <w:szCs w:val="24"/>
        </w:rPr>
        <w:t>dministrativa para determinar la falta en la que haya incurrido algún servidor público, a saber, las siguientes:</w:t>
      </w:r>
    </w:p>
    <w:p w14:paraId="46372E6B" w14:textId="77777777" w:rsidR="00724E79" w:rsidRPr="0035237F" w:rsidRDefault="00724E79">
      <w:pPr>
        <w:spacing w:line="360" w:lineRule="auto"/>
        <w:jc w:val="both"/>
        <w:rPr>
          <w:rFonts w:ascii="Palatino Linotype" w:eastAsia="Palatino Linotype" w:hAnsi="Palatino Linotype" w:cs="Palatino Linotype"/>
        </w:rPr>
      </w:pPr>
    </w:p>
    <w:p w14:paraId="4DFC9736" w14:textId="77777777" w:rsidR="00724E79" w:rsidRPr="0035237F" w:rsidRDefault="00312C60">
      <w:pPr>
        <w:numPr>
          <w:ilvl w:val="0"/>
          <w:numId w:val="6"/>
        </w:numPr>
        <w:pBdr>
          <w:top w:val="nil"/>
          <w:left w:val="nil"/>
          <w:bottom w:val="nil"/>
          <w:right w:val="nil"/>
          <w:between w:val="nil"/>
        </w:pBd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 xml:space="preserve">Investigación: </w:t>
      </w:r>
      <w:r w:rsidRPr="0035237F">
        <w:rPr>
          <w:rFonts w:ascii="Palatino Linotype" w:eastAsia="Palatino Linotype" w:hAnsi="Palatino Linotype" w:cs="Palatino Linotype"/>
          <w:sz w:val="24"/>
          <w:szCs w:val="24"/>
        </w:rPr>
        <w:t>la cual consiste en lo siguiente:</w:t>
      </w:r>
    </w:p>
    <w:p w14:paraId="6E41D25F" w14:textId="77777777" w:rsidR="00724E79" w:rsidRPr="0035237F" w:rsidRDefault="00312C60">
      <w:pPr>
        <w:numPr>
          <w:ilvl w:val="0"/>
          <w:numId w:val="8"/>
        </w:numPr>
        <w:pBdr>
          <w:top w:val="nil"/>
          <w:left w:val="nil"/>
          <w:bottom w:val="nil"/>
          <w:right w:val="nil"/>
          <w:between w:val="nil"/>
        </w:pBdr>
        <w:spacing w:after="0" w:line="360" w:lineRule="auto"/>
        <w:ind w:left="70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Inicia: </w:t>
      </w:r>
    </w:p>
    <w:p w14:paraId="6E308BF5" w14:textId="77777777" w:rsidR="00724E79" w:rsidRPr="0035237F" w:rsidRDefault="00312C60">
      <w:pPr>
        <w:pBdr>
          <w:top w:val="nil"/>
          <w:left w:val="nil"/>
          <w:bottom w:val="nil"/>
          <w:right w:val="nil"/>
          <w:between w:val="nil"/>
        </w:pBdr>
        <w:spacing w:after="0" w:line="360" w:lineRule="auto"/>
        <w:ind w:left="720"/>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De oficio </w:t>
      </w:r>
    </w:p>
    <w:p w14:paraId="5776232C" w14:textId="77777777" w:rsidR="00724E79" w:rsidRPr="0035237F" w:rsidRDefault="00312C60">
      <w:pPr>
        <w:pBdr>
          <w:top w:val="nil"/>
          <w:left w:val="nil"/>
          <w:bottom w:val="nil"/>
          <w:right w:val="nil"/>
          <w:between w:val="nil"/>
        </w:pBdr>
        <w:spacing w:after="0" w:line="360" w:lineRule="auto"/>
        <w:ind w:left="720"/>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Por denuncia </w:t>
      </w:r>
    </w:p>
    <w:p w14:paraId="6A3041D9" w14:textId="77777777" w:rsidR="00724E79" w:rsidRPr="0035237F" w:rsidRDefault="00312C60">
      <w:pPr>
        <w:pBdr>
          <w:top w:val="nil"/>
          <w:left w:val="nil"/>
          <w:bottom w:val="nil"/>
          <w:right w:val="nil"/>
          <w:between w:val="nil"/>
        </w:pBdr>
        <w:spacing w:after="0" w:line="360" w:lineRule="auto"/>
        <w:ind w:left="720"/>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Derivado de auditorías </w:t>
      </w:r>
    </w:p>
    <w:p w14:paraId="585B0D21" w14:textId="77777777" w:rsidR="00724E79" w:rsidRPr="0035237F" w:rsidRDefault="00312C60">
      <w:pPr>
        <w:numPr>
          <w:ilvl w:val="0"/>
          <w:numId w:val="8"/>
        </w:numPr>
        <w:pBdr>
          <w:top w:val="nil"/>
          <w:left w:val="nil"/>
          <w:bottom w:val="nil"/>
          <w:right w:val="nil"/>
          <w:between w:val="nil"/>
        </w:pBdr>
        <w:spacing w:after="0" w:line="360" w:lineRule="auto"/>
        <w:ind w:left="709"/>
        <w:jc w:val="both"/>
        <w:rPr>
          <w:rFonts w:ascii="Palatino Linotype" w:eastAsia="Palatino Linotype" w:hAnsi="Palatino Linotype" w:cs="Palatino Linotype"/>
          <w:b/>
          <w:sz w:val="24"/>
          <w:szCs w:val="24"/>
        </w:rPr>
      </w:pPr>
      <w:r w:rsidRPr="0035237F">
        <w:rPr>
          <w:rFonts w:ascii="Palatino Linotype" w:eastAsia="Palatino Linotype" w:hAnsi="Palatino Linotype" w:cs="Palatino Linotype"/>
          <w:sz w:val="24"/>
          <w:szCs w:val="24"/>
        </w:rPr>
        <w:t>Una vez determinada la calificación de la conducta, se incluirá la misma en el Informe de Presunta Responsabilidad Administrativa y éste se presentará ante la autoridad substanciadora a efecto de iniciar el procedimiento de responsabilidad administrativa correspondiente.</w:t>
      </w:r>
    </w:p>
    <w:p w14:paraId="38138906" w14:textId="77777777" w:rsidR="00724E79" w:rsidRPr="0035237F" w:rsidRDefault="00312C60">
      <w:pPr>
        <w:numPr>
          <w:ilvl w:val="0"/>
          <w:numId w:val="6"/>
        </w:numPr>
        <w:pBdr>
          <w:top w:val="nil"/>
          <w:left w:val="nil"/>
          <w:bottom w:val="nil"/>
          <w:right w:val="nil"/>
          <w:between w:val="nil"/>
        </w:pBdr>
        <w:spacing w:after="0" w:line="360" w:lineRule="auto"/>
        <w:jc w:val="both"/>
        <w:rPr>
          <w:rFonts w:ascii="Palatino Linotype" w:eastAsia="Palatino Linotype" w:hAnsi="Palatino Linotype" w:cs="Palatino Linotype"/>
          <w:b/>
          <w:sz w:val="24"/>
          <w:szCs w:val="24"/>
        </w:rPr>
      </w:pPr>
      <w:r w:rsidRPr="0035237F">
        <w:rPr>
          <w:rFonts w:ascii="Palatino Linotype" w:eastAsia="Palatino Linotype" w:hAnsi="Palatino Linotype" w:cs="Palatino Linotype"/>
          <w:b/>
          <w:sz w:val="24"/>
          <w:szCs w:val="24"/>
        </w:rPr>
        <w:t xml:space="preserve">Sustanciación: </w:t>
      </w:r>
      <w:r w:rsidRPr="0035237F">
        <w:rPr>
          <w:rFonts w:ascii="Palatino Linotype" w:eastAsia="Palatino Linotype" w:hAnsi="Palatino Linotype" w:cs="Palatino Linotype"/>
          <w:sz w:val="24"/>
          <w:szCs w:val="24"/>
        </w:rPr>
        <w:t>En este periodo se puede realizar lo siguiente:</w:t>
      </w:r>
    </w:p>
    <w:p w14:paraId="607C8372" w14:textId="77777777" w:rsidR="00724E79" w:rsidRPr="0035237F" w:rsidRDefault="00312C60">
      <w:pPr>
        <w:numPr>
          <w:ilvl w:val="0"/>
          <w:numId w:val="8"/>
        </w:numPr>
        <w:pBdr>
          <w:top w:val="nil"/>
          <w:left w:val="nil"/>
          <w:bottom w:val="nil"/>
          <w:right w:val="nil"/>
          <w:between w:val="nil"/>
        </w:pBdr>
        <w:spacing w:after="0" w:line="360" w:lineRule="auto"/>
        <w:ind w:left="709"/>
        <w:jc w:val="both"/>
        <w:rPr>
          <w:rFonts w:ascii="Palatino Linotype" w:eastAsia="Palatino Linotype" w:hAnsi="Palatino Linotype" w:cs="Palatino Linotype"/>
          <w:b/>
          <w:sz w:val="24"/>
          <w:szCs w:val="24"/>
        </w:rPr>
      </w:pPr>
      <w:r w:rsidRPr="0035237F">
        <w:rPr>
          <w:rFonts w:ascii="Palatino Linotype" w:eastAsia="Palatino Linotype" w:hAnsi="Palatino Linotype" w:cs="Palatino Linotype"/>
          <w:sz w:val="24"/>
          <w:szCs w:val="24"/>
        </w:rPr>
        <w:t>Se califican los hechos como faltas administrativas graves o no graves</w:t>
      </w:r>
    </w:p>
    <w:p w14:paraId="23CB8535" w14:textId="77777777" w:rsidR="00724E79" w:rsidRPr="0035237F" w:rsidRDefault="00312C60">
      <w:pPr>
        <w:numPr>
          <w:ilvl w:val="0"/>
          <w:numId w:val="8"/>
        </w:numPr>
        <w:pBdr>
          <w:top w:val="nil"/>
          <w:left w:val="nil"/>
          <w:bottom w:val="nil"/>
          <w:right w:val="nil"/>
          <w:between w:val="nil"/>
        </w:pBdr>
        <w:spacing w:after="0" w:line="360" w:lineRule="auto"/>
        <w:ind w:left="709"/>
        <w:jc w:val="both"/>
        <w:rPr>
          <w:rFonts w:ascii="Palatino Linotype" w:eastAsia="Palatino Linotype" w:hAnsi="Palatino Linotype" w:cs="Palatino Linotype"/>
          <w:b/>
          <w:sz w:val="24"/>
          <w:szCs w:val="24"/>
        </w:rPr>
      </w:pPr>
      <w:r w:rsidRPr="0035237F">
        <w:rPr>
          <w:rFonts w:ascii="Palatino Linotype" w:eastAsia="Palatino Linotype" w:hAnsi="Palatino Linotype" w:cs="Palatino Linotype"/>
          <w:sz w:val="24"/>
          <w:szCs w:val="24"/>
        </w:rPr>
        <w:t>La autoridad substanciadora podrá admitir el informe de presunta responsabilidad administrativa.</w:t>
      </w:r>
    </w:p>
    <w:p w14:paraId="51C1FF18" w14:textId="77777777" w:rsidR="00724E79" w:rsidRPr="0035237F" w:rsidRDefault="00312C60">
      <w:pPr>
        <w:numPr>
          <w:ilvl w:val="0"/>
          <w:numId w:val="8"/>
        </w:numPr>
        <w:pBdr>
          <w:top w:val="nil"/>
          <w:left w:val="nil"/>
          <w:bottom w:val="nil"/>
          <w:right w:val="nil"/>
          <w:between w:val="nil"/>
        </w:pBdr>
        <w:spacing w:after="0" w:line="360" w:lineRule="auto"/>
        <w:ind w:left="709"/>
        <w:jc w:val="both"/>
        <w:rPr>
          <w:rFonts w:ascii="Palatino Linotype" w:eastAsia="Palatino Linotype" w:hAnsi="Palatino Linotype" w:cs="Palatino Linotype"/>
          <w:b/>
          <w:sz w:val="24"/>
          <w:szCs w:val="24"/>
        </w:rPr>
      </w:pPr>
      <w:r w:rsidRPr="0035237F">
        <w:rPr>
          <w:rFonts w:ascii="Palatino Linotype" w:eastAsia="Palatino Linotype" w:hAnsi="Palatino Linotype" w:cs="Palatino Linotype"/>
          <w:sz w:val="24"/>
          <w:szCs w:val="24"/>
        </w:rPr>
        <w:t>Las partes, pueden presentar las pruebas o alegatos que consideren pertinentes,</w:t>
      </w:r>
    </w:p>
    <w:p w14:paraId="1A642871" w14:textId="77777777" w:rsidR="00724E79" w:rsidRPr="0035237F" w:rsidRDefault="00312C60">
      <w:pPr>
        <w:numPr>
          <w:ilvl w:val="0"/>
          <w:numId w:val="6"/>
        </w:numPr>
        <w:pBdr>
          <w:top w:val="nil"/>
          <w:left w:val="nil"/>
          <w:bottom w:val="nil"/>
          <w:right w:val="nil"/>
          <w:between w:val="nil"/>
        </w:pBdr>
        <w:spacing w:after="0" w:line="360" w:lineRule="auto"/>
        <w:jc w:val="both"/>
        <w:rPr>
          <w:rFonts w:ascii="Palatino Linotype" w:eastAsia="Palatino Linotype" w:hAnsi="Palatino Linotype" w:cs="Palatino Linotype"/>
          <w:b/>
          <w:sz w:val="24"/>
          <w:szCs w:val="24"/>
        </w:rPr>
      </w:pPr>
      <w:r w:rsidRPr="0035237F">
        <w:rPr>
          <w:rFonts w:ascii="Palatino Linotype" w:eastAsia="Palatino Linotype" w:hAnsi="Palatino Linotype" w:cs="Palatino Linotype"/>
          <w:b/>
          <w:sz w:val="24"/>
          <w:szCs w:val="24"/>
        </w:rPr>
        <w:t>Resolución:</w:t>
      </w:r>
    </w:p>
    <w:p w14:paraId="0F704009" w14:textId="77777777" w:rsidR="00724E79" w:rsidRPr="0035237F" w:rsidRDefault="00312C60">
      <w:pPr>
        <w:numPr>
          <w:ilvl w:val="0"/>
          <w:numId w:val="7"/>
        </w:numPr>
        <w:pBdr>
          <w:top w:val="nil"/>
          <w:left w:val="nil"/>
          <w:bottom w:val="nil"/>
          <w:right w:val="nil"/>
          <w:between w:val="nil"/>
        </w:pBdr>
        <w:spacing w:after="0" w:line="360" w:lineRule="auto"/>
        <w:ind w:left="993"/>
        <w:jc w:val="both"/>
        <w:rPr>
          <w:rFonts w:ascii="Palatino Linotype" w:eastAsia="Palatino Linotype" w:hAnsi="Palatino Linotype" w:cs="Palatino Linotype"/>
          <w:b/>
          <w:sz w:val="24"/>
          <w:szCs w:val="24"/>
        </w:rPr>
      </w:pPr>
      <w:r w:rsidRPr="0035237F">
        <w:rPr>
          <w:rFonts w:ascii="Palatino Linotype" w:eastAsia="Palatino Linotype" w:hAnsi="Palatino Linotype" w:cs="Palatino Linotype"/>
          <w:sz w:val="24"/>
          <w:szCs w:val="24"/>
        </w:rPr>
        <w:t>Se emite resolución y se notifica a las partes.</w:t>
      </w:r>
    </w:p>
    <w:p w14:paraId="60554999" w14:textId="77777777" w:rsidR="00724E79" w:rsidRPr="0035237F" w:rsidRDefault="00724E79">
      <w:pPr>
        <w:pBdr>
          <w:top w:val="nil"/>
          <w:left w:val="nil"/>
          <w:bottom w:val="nil"/>
          <w:right w:val="nil"/>
          <w:between w:val="nil"/>
        </w:pBdr>
        <w:spacing w:after="0" w:line="360" w:lineRule="auto"/>
        <w:ind w:left="993"/>
        <w:jc w:val="both"/>
        <w:rPr>
          <w:rFonts w:ascii="Palatino Linotype" w:eastAsia="Palatino Linotype" w:hAnsi="Palatino Linotype" w:cs="Palatino Linotype"/>
          <w:b/>
          <w:sz w:val="24"/>
          <w:szCs w:val="24"/>
        </w:rPr>
      </w:pPr>
    </w:p>
    <w:p w14:paraId="42F5527E" w14:textId="238A95E9" w:rsidR="00724E79" w:rsidRPr="0035237F" w:rsidRDefault="00312C60">
      <w:pPr>
        <w:spacing w:after="0" w:line="360" w:lineRule="auto"/>
        <w:ind w:right="-91"/>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De lo anterior, se advierte que </w:t>
      </w:r>
      <w:r w:rsidR="00035C88" w:rsidRPr="0035237F">
        <w:rPr>
          <w:rFonts w:ascii="Palatino Linotype" w:eastAsia="Palatino Linotype" w:hAnsi="Palatino Linotype" w:cs="Palatino Linotype"/>
          <w:sz w:val="24"/>
          <w:szCs w:val="24"/>
        </w:rPr>
        <w:t>el</w:t>
      </w:r>
      <w:r w:rsidRPr="0035237F">
        <w:rPr>
          <w:rFonts w:ascii="Palatino Linotype" w:eastAsia="Palatino Linotype" w:hAnsi="Palatino Linotype" w:cs="Palatino Linotype"/>
          <w:sz w:val="24"/>
          <w:szCs w:val="24"/>
        </w:rPr>
        <w:t xml:space="preserve"> </w:t>
      </w:r>
      <w:r w:rsidR="0020286B" w:rsidRPr="0035237F">
        <w:rPr>
          <w:rFonts w:ascii="Palatino Linotype" w:eastAsia="Palatino Linotype" w:hAnsi="Palatino Linotype" w:cs="Palatino Linotype"/>
          <w:sz w:val="24"/>
          <w:szCs w:val="24"/>
        </w:rPr>
        <w:t>Órgano Interno de Control</w:t>
      </w:r>
      <w:r w:rsidRPr="0035237F">
        <w:rPr>
          <w:rFonts w:ascii="Palatino Linotype" w:eastAsia="Palatino Linotype" w:hAnsi="Palatino Linotype" w:cs="Palatino Linotype"/>
          <w:sz w:val="24"/>
          <w:szCs w:val="24"/>
        </w:rPr>
        <w:t xml:space="preserve"> recibe para iniciar la investigación por alguna presunta responsabilidad de falta administrativa quejas o denuncias de las cuales realiza su investigación correspondiente a efecto de determinar si son faltas graves o no graves, así como si procede sancionar al servidor público o bien decreta que no existieron elementos suficientes para continuar a la etapa de sustanciación, por lo que al no tener certeza de que la servidora pública cuente o no con procedimientos instaurados en su contra o bien en qué etapa procesal se encuentren, por ello este Instituto considera que revelar dicha información podría generar una afectación al honor y buen nombre de dicha persona, por lo que, resulta necesario analizar si es clasificado el pronunciamiento sobre la existencia de un procedimiento de responsabilidad administrativa.</w:t>
      </w:r>
    </w:p>
    <w:p w14:paraId="586A726E" w14:textId="77777777" w:rsidR="00724E79" w:rsidRPr="0035237F" w:rsidRDefault="00724E79">
      <w:pPr>
        <w:spacing w:after="0" w:line="360" w:lineRule="auto"/>
        <w:ind w:right="-91"/>
        <w:jc w:val="both"/>
        <w:rPr>
          <w:rFonts w:ascii="Palatino Linotype" w:eastAsia="Palatino Linotype" w:hAnsi="Palatino Linotype" w:cs="Palatino Linotype"/>
          <w:sz w:val="24"/>
          <w:szCs w:val="24"/>
        </w:rPr>
      </w:pPr>
    </w:p>
    <w:p w14:paraId="06B4CAD1" w14:textId="77777777" w:rsidR="00724E79" w:rsidRPr="0035237F" w:rsidRDefault="00312C60">
      <w:pPr>
        <w:spacing w:after="0" w:line="360" w:lineRule="auto"/>
        <w:ind w:right="-93"/>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En principio, es relevante señalar que la protección de los datos personales se encuentra prevista desde la Constitución Política de los Estados Unidos Mexicanos, que establece lo siguiente:</w:t>
      </w:r>
    </w:p>
    <w:p w14:paraId="60D57A22" w14:textId="77777777" w:rsidR="00724E79" w:rsidRPr="0035237F" w:rsidRDefault="00724E79">
      <w:pPr>
        <w:spacing w:after="0" w:line="360" w:lineRule="auto"/>
        <w:ind w:right="-93"/>
        <w:jc w:val="both"/>
        <w:rPr>
          <w:rFonts w:ascii="Palatino Linotype" w:eastAsia="Palatino Linotype" w:hAnsi="Palatino Linotype" w:cs="Palatino Linotype"/>
          <w:sz w:val="24"/>
          <w:szCs w:val="24"/>
        </w:rPr>
      </w:pPr>
    </w:p>
    <w:p w14:paraId="78BB4BC1" w14:textId="77777777" w:rsidR="00724E79" w:rsidRPr="0035237F" w:rsidRDefault="00312C60">
      <w:pPr>
        <w:tabs>
          <w:tab w:val="left" w:pos="8364"/>
        </w:tabs>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r w:rsidRPr="0035237F">
        <w:rPr>
          <w:rFonts w:ascii="Palatino Linotype" w:eastAsia="Palatino Linotype" w:hAnsi="Palatino Linotype" w:cs="Palatino Linotype"/>
          <w:b/>
          <w:i/>
        </w:rPr>
        <w:t>Artículo 6.</w:t>
      </w:r>
      <w:r w:rsidRPr="0035237F">
        <w:rPr>
          <w:rFonts w:ascii="Palatino Linotype" w:eastAsia="Palatino Linotype" w:hAnsi="Palatino Linotype" w:cs="Palatino Linotype"/>
          <w:i/>
        </w:rPr>
        <w:t xml:space="preserve"> La manifestación de las ideas no será objeto de ninguna inquisición judicial o administrativa, sino en el caso de que ataque a la moral, los derechos de tercero, provoque algún delito, o perturbe el orden público; el derecho de réplica será ejercido en los términos dispuestos por la ley. El derecho a la información será garantizado por el Estado.</w:t>
      </w:r>
    </w:p>
    <w:p w14:paraId="44563069" w14:textId="77777777" w:rsidR="00724E79" w:rsidRPr="0035237F" w:rsidRDefault="00724E79">
      <w:pPr>
        <w:tabs>
          <w:tab w:val="left" w:pos="8364"/>
        </w:tabs>
        <w:spacing w:after="0" w:line="276" w:lineRule="auto"/>
        <w:ind w:left="567" w:right="760"/>
        <w:jc w:val="both"/>
        <w:rPr>
          <w:rFonts w:ascii="Palatino Linotype" w:eastAsia="Palatino Linotype" w:hAnsi="Palatino Linotype" w:cs="Palatino Linotype"/>
          <w:i/>
        </w:rPr>
      </w:pPr>
    </w:p>
    <w:p w14:paraId="398C0B61" w14:textId="77777777" w:rsidR="00724E79" w:rsidRPr="0035237F" w:rsidRDefault="00312C60">
      <w:pPr>
        <w:tabs>
          <w:tab w:val="left" w:pos="8364"/>
        </w:tabs>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b/>
          <w:i/>
        </w:rPr>
        <w:t>A.</w:t>
      </w:r>
      <w:r w:rsidRPr="0035237F">
        <w:rPr>
          <w:rFonts w:ascii="Palatino Linotype" w:eastAsia="Palatino Linotype" w:hAnsi="Palatino Linotype" w:cs="Palatino Linotype"/>
          <w:i/>
        </w:rPr>
        <w:t xml:space="preserve"> Para el ejercicio del derecho de acceso a la información, la Federación, los Estados y el Distrito Federal, en el ámbito de sus respectivas competencias, se regirán por los siguientes principios y bases:</w:t>
      </w:r>
    </w:p>
    <w:p w14:paraId="4C9D5CE8" w14:textId="77777777" w:rsidR="00724E79" w:rsidRPr="0035237F" w:rsidRDefault="00312C60">
      <w:pPr>
        <w:tabs>
          <w:tab w:val="center" w:pos="4324"/>
        </w:tabs>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i/>
        </w:rPr>
        <w:lastRenderedPageBreak/>
        <w:t>…</w:t>
      </w:r>
    </w:p>
    <w:p w14:paraId="4C0213DC" w14:textId="77777777" w:rsidR="00724E79" w:rsidRPr="0035237F" w:rsidRDefault="00724E79">
      <w:pPr>
        <w:tabs>
          <w:tab w:val="center" w:pos="4324"/>
        </w:tabs>
        <w:spacing w:after="0" w:line="276" w:lineRule="auto"/>
        <w:ind w:left="567" w:right="760"/>
        <w:jc w:val="both"/>
        <w:rPr>
          <w:rFonts w:ascii="Palatino Linotype" w:eastAsia="Palatino Linotype" w:hAnsi="Palatino Linotype" w:cs="Palatino Linotype"/>
          <w:i/>
        </w:rPr>
      </w:pPr>
    </w:p>
    <w:p w14:paraId="06C0C820" w14:textId="77777777" w:rsidR="00724E79" w:rsidRPr="0035237F" w:rsidRDefault="00312C60">
      <w:pPr>
        <w:tabs>
          <w:tab w:val="left" w:pos="993"/>
          <w:tab w:val="left" w:pos="8364"/>
        </w:tabs>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b/>
          <w:i/>
        </w:rPr>
        <w:t>II. La información que se refiere a la vida privada y los datos personales será protegida en los términos y con las excepciones que fijen las leyes.</w:t>
      </w:r>
    </w:p>
    <w:p w14:paraId="2CCA2800" w14:textId="77777777" w:rsidR="00724E79" w:rsidRPr="0035237F" w:rsidRDefault="00312C60">
      <w:pPr>
        <w:tabs>
          <w:tab w:val="left" w:pos="993"/>
          <w:tab w:val="left" w:pos="8364"/>
        </w:tabs>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p>
    <w:p w14:paraId="626D6090" w14:textId="77777777" w:rsidR="00724E79" w:rsidRPr="0035237F" w:rsidRDefault="00312C60">
      <w:pPr>
        <w:tabs>
          <w:tab w:val="left" w:pos="993"/>
          <w:tab w:val="left" w:pos="8364"/>
        </w:tabs>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b/>
          <w:i/>
        </w:rPr>
        <w:t>Artículo 16.</w:t>
      </w:r>
      <w:r w:rsidRPr="0035237F">
        <w:rPr>
          <w:rFonts w:ascii="Palatino Linotype" w:eastAsia="Palatino Linotype" w:hAnsi="Palatino Linotype" w:cs="Palatino Linotype"/>
          <w:i/>
        </w:rPr>
        <w:t xml:space="preserve"> …</w:t>
      </w:r>
    </w:p>
    <w:p w14:paraId="191E68FB" w14:textId="77777777" w:rsidR="00724E79" w:rsidRPr="0035237F" w:rsidRDefault="00724E79">
      <w:pPr>
        <w:tabs>
          <w:tab w:val="left" w:pos="993"/>
          <w:tab w:val="left" w:pos="8364"/>
        </w:tabs>
        <w:spacing w:after="0" w:line="276" w:lineRule="auto"/>
        <w:ind w:left="567" w:right="760"/>
        <w:jc w:val="both"/>
        <w:rPr>
          <w:rFonts w:ascii="Palatino Linotype" w:eastAsia="Palatino Linotype" w:hAnsi="Palatino Linotype" w:cs="Palatino Linotype"/>
          <w:i/>
        </w:rPr>
      </w:pPr>
    </w:p>
    <w:p w14:paraId="3EAE118B" w14:textId="77777777" w:rsidR="00724E79" w:rsidRPr="0035237F" w:rsidRDefault="00312C60">
      <w:pPr>
        <w:tabs>
          <w:tab w:val="left" w:pos="993"/>
          <w:tab w:val="left" w:pos="8364"/>
        </w:tabs>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b/>
          <w:i/>
        </w:rPr>
        <w:t>Toda persona tiene derecho a la protección de sus datos personales</w:t>
      </w:r>
      <w:r w:rsidRPr="0035237F">
        <w:rPr>
          <w:rFonts w:ascii="Palatino Linotype" w:eastAsia="Palatino Linotype" w:hAnsi="Palatino Linotype" w:cs="Palatino Linotype"/>
          <w:i/>
        </w:rPr>
        <w:t>, al acceso, rectificación y cancelación de los mismos, así como a manifestar su oposición, en los términos que fije la ley, la cual establecerá los supuestos de excepción a los principios que rijan el tratamiento de datos, por razones de seguridad nacional, disposiciones de orden público, seguridad y salud públicas o para proteger los derechos de terceros.</w:t>
      </w:r>
    </w:p>
    <w:p w14:paraId="36E3C95A" w14:textId="77777777" w:rsidR="00724E79" w:rsidRPr="0035237F" w:rsidRDefault="00312C60">
      <w:pPr>
        <w:tabs>
          <w:tab w:val="left" w:pos="993"/>
          <w:tab w:val="left" w:pos="8364"/>
        </w:tabs>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p>
    <w:p w14:paraId="5BB062F3" w14:textId="77777777" w:rsidR="00724E79" w:rsidRPr="0035237F" w:rsidRDefault="00724E79">
      <w:pPr>
        <w:spacing w:after="0" w:line="360" w:lineRule="auto"/>
        <w:ind w:right="-91"/>
        <w:jc w:val="both"/>
        <w:rPr>
          <w:rFonts w:ascii="Palatino Linotype" w:eastAsia="Palatino Linotype" w:hAnsi="Palatino Linotype" w:cs="Palatino Linotype"/>
          <w:sz w:val="24"/>
          <w:szCs w:val="24"/>
        </w:rPr>
      </w:pPr>
    </w:p>
    <w:p w14:paraId="18D0FBA4" w14:textId="77777777" w:rsidR="00724E79" w:rsidRPr="0035237F" w:rsidRDefault="00312C60">
      <w:pPr>
        <w:spacing w:after="0" w:line="360" w:lineRule="auto"/>
        <w:ind w:right="-91"/>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De la misma manera, el artículo 5° párrafo primero, vigésimo tercero, vigésimo noveno y trigésimo, de la Constitución Política del Estado Libre y Soberano de México, precisa lo siguiente:</w:t>
      </w:r>
    </w:p>
    <w:p w14:paraId="2452839E" w14:textId="77777777" w:rsidR="00724E79" w:rsidRPr="0035237F" w:rsidRDefault="00724E79">
      <w:pPr>
        <w:spacing w:after="0" w:line="360" w:lineRule="auto"/>
        <w:ind w:right="-91"/>
        <w:jc w:val="both"/>
        <w:rPr>
          <w:rFonts w:ascii="Palatino Linotype" w:eastAsia="Palatino Linotype" w:hAnsi="Palatino Linotype" w:cs="Palatino Linotype"/>
          <w:sz w:val="24"/>
          <w:szCs w:val="24"/>
        </w:rPr>
      </w:pPr>
    </w:p>
    <w:p w14:paraId="0C90115A" w14:textId="77777777" w:rsidR="00724E79" w:rsidRPr="0035237F" w:rsidRDefault="00312C60">
      <w:pPr>
        <w:tabs>
          <w:tab w:val="left" w:pos="993"/>
          <w:tab w:val="left" w:pos="8364"/>
        </w:tabs>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b/>
          <w:i/>
        </w:rPr>
        <w:t>“Artículo 5.-</w:t>
      </w:r>
      <w:r w:rsidRPr="0035237F">
        <w:t xml:space="preserve"> </w:t>
      </w:r>
      <w:r w:rsidRPr="0035237F">
        <w:rPr>
          <w:rFonts w:ascii="Palatino Linotype" w:eastAsia="Palatino Linotype" w:hAnsi="Palatino Linotype" w:cs="Palatino Linotype"/>
          <w:i/>
        </w:rPr>
        <w:t>En el Estado de México todas las personas gozarán de los derechos humanos reconocidos en la Constitución Política de los Estados Unidos Mexicanos, en los tratados internacionales en los que el Estado mexicano sea parte, en esta Constitución y en las leyes que de ésta emanen, por lo que gozarán de las garantías para su protección, las cuales no podrán restringirse ni suspenderse salvo en los casos y bajo las condiciones que la Constitución Política de los Estados Unidos Mexicanos establece.</w:t>
      </w:r>
    </w:p>
    <w:p w14:paraId="0DF67214" w14:textId="77777777" w:rsidR="00724E79" w:rsidRPr="0035237F" w:rsidRDefault="00312C60">
      <w:pPr>
        <w:tabs>
          <w:tab w:val="left" w:pos="993"/>
          <w:tab w:val="left" w:pos="8364"/>
        </w:tabs>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p>
    <w:p w14:paraId="42832E93" w14:textId="77777777" w:rsidR="00724E79" w:rsidRPr="0035237F" w:rsidRDefault="00312C60">
      <w:pPr>
        <w:tabs>
          <w:tab w:val="left" w:pos="993"/>
          <w:tab w:val="left" w:pos="8364"/>
        </w:tabs>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i/>
        </w:rPr>
        <w:t>La manifestación de las ideas no será objeto de ninguna inquisición judicial o administrativa, sino en el caso de que ataque a la moral, la vida privada o los derechos de tercero, provoque algún delito, o perturbe el orden público; el derecho de réplica será ejercido en los términos dispuestos por la ley.</w:t>
      </w:r>
    </w:p>
    <w:p w14:paraId="3D9E97EB" w14:textId="77777777" w:rsidR="00724E79" w:rsidRPr="0035237F" w:rsidRDefault="00312C60">
      <w:pPr>
        <w:tabs>
          <w:tab w:val="left" w:pos="993"/>
          <w:tab w:val="left" w:pos="8364"/>
        </w:tabs>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p>
    <w:p w14:paraId="0836D609" w14:textId="77777777" w:rsidR="00724E79" w:rsidRPr="0035237F" w:rsidRDefault="00312C60">
      <w:pPr>
        <w:tabs>
          <w:tab w:val="left" w:pos="993"/>
          <w:tab w:val="left" w:pos="8364"/>
        </w:tabs>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i/>
        </w:rPr>
        <w:lastRenderedPageBreak/>
        <w:t xml:space="preserve">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 </w:t>
      </w:r>
    </w:p>
    <w:p w14:paraId="3ABDCB92" w14:textId="77777777" w:rsidR="00724E79" w:rsidRPr="0035237F" w:rsidRDefault="00724E79">
      <w:pPr>
        <w:tabs>
          <w:tab w:val="left" w:pos="993"/>
          <w:tab w:val="left" w:pos="8364"/>
        </w:tabs>
        <w:spacing w:after="0" w:line="276" w:lineRule="auto"/>
        <w:ind w:left="567" w:right="760"/>
        <w:jc w:val="both"/>
        <w:rPr>
          <w:rFonts w:ascii="Palatino Linotype" w:eastAsia="Palatino Linotype" w:hAnsi="Palatino Linotype" w:cs="Palatino Linotype"/>
          <w:i/>
        </w:rPr>
      </w:pPr>
    </w:p>
    <w:p w14:paraId="1E3771A3" w14:textId="77777777" w:rsidR="00724E79" w:rsidRPr="0035237F" w:rsidRDefault="00312C60">
      <w:pPr>
        <w:tabs>
          <w:tab w:val="left" w:pos="993"/>
          <w:tab w:val="left" w:pos="8364"/>
        </w:tabs>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i/>
        </w:rPr>
        <w:t>Este derecho se regirá por los principios y bases siguientes:</w:t>
      </w:r>
    </w:p>
    <w:p w14:paraId="500F4CA3" w14:textId="77777777" w:rsidR="00724E79" w:rsidRPr="0035237F" w:rsidRDefault="00312C60">
      <w:pPr>
        <w:tabs>
          <w:tab w:val="left" w:pos="993"/>
          <w:tab w:val="left" w:pos="8364"/>
        </w:tabs>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p>
    <w:p w14:paraId="75FBDB8F" w14:textId="77777777" w:rsidR="00724E79" w:rsidRPr="0035237F" w:rsidRDefault="00312C60">
      <w:pPr>
        <w:tabs>
          <w:tab w:val="left" w:pos="993"/>
          <w:tab w:val="left" w:pos="8364"/>
        </w:tabs>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i/>
        </w:rPr>
        <w:t>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 Este derecho se regirá por los principios y bases siguientes:</w:t>
      </w:r>
    </w:p>
    <w:p w14:paraId="5A22EEB0" w14:textId="77777777" w:rsidR="00724E79" w:rsidRPr="0035237F" w:rsidRDefault="00312C60">
      <w:pPr>
        <w:tabs>
          <w:tab w:val="left" w:pos="993"/>
          <w:tab w:val="left" w:pos="8364"/>
        </w:tabs>
        <w:spacing w:after="0" w:line="276" w:lineRule="auto"/>
        <w:ind w:left="567" w:right="760"/>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p>
    <w:p w14:paraId="092BCBF4" w14:textId="77777777" w:rsidR="00724E79" w:rsidRPr="0035237F" w:rsidRDefault="00724E79">
      <w:pPr>
        <w:spacing w:after="0" w:line="360" w:lineRule="auto"/>
        <w:ind w:right="-91"/>
        <w:jc w:val="both"/>
        <w:rPr>
          <w:rFonts w:ascii="Palatino Linotype" w:eastAsia="Palatino Linotype" w:hAnsi="Palatino Linotype" w:cs="Palatino Linotype"/>
          <w:sz w:val="24"/>
          <w:szCs w:val="24"/>
        </w:rPr>
      </w:pPr>
    </w:p>
    <w:p w14:paraId="703C0656" w14:textId="77777777" w:rsidR="00724E79" w:rsidRPr="0035237F" w:rsidRDefault="00312C60">
      <w:pPr>
        <w:spacing w:after="0" w:line="360" w:lineRule="auto"/>
        <w:ind w:right="-91"/>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De las normas transcritas, se desprende que la información que se refiere al ámbito privado de las personas, así como los datos personales, debe estar protegida, en los términos y con las excepciones a los principios de tratamiento de datos que por razones de orden público fije la ley, por lo que toda persona tiene derecho a la protección de sus datos personales.</w:t>
      </w:r>
    </w:p>
    <w:p w14:paraId="49CC0202" w14:textId="77777777" w:rsidR="00724E79" w:rsidRPr="0035237F" w:rsidRDefault="00724E79">
      <w:pPr>
        <w:spacing w:after="0" w:line="360" w:lineRule="auto"/>
        <w:ind w:right="-91"/>
        <w:jc w:val="both"/>
        <w:rPr>
          <w:rFonts w:ascii="Palatino Linotype" w:eastAsia="Palatino Linotype" w:hAnsi="Palatino Linotype" w:cs="Palatino Linotype"/>
          <w:sz w:val="24"/>
          <w:szCs w:val="24"/>
        </w:rPr>
      </w:pPr>
    </w:p>
    <w:p w14:paraId="3275EECE" w14:textId="77777777" w:rsidR="00724E79" w:rsidRPr="0035237F" w:rsidRDefault="00312C60">
      <w:pPr>
        <w:spacing w:after="0" w:line="360" w:lineRule="auto"/>
        <w:ind w:right="-91"/>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En ese contexto, en el artículo 24, fracción VI, de la Ley General de Transparencia y Acceso a la Información Pública, relacionado con el 24, fracción XIV, de la Ley de Transparencia y Acceso a la Información Pública del Estado de México y Municipios, se señala que los sujetos obligados serán los responsables de proteger, resguardar y asegurar los datos personales en su posesión.</w:t>
      </w:r>
    </w:p>
    <w:p w14:paraId="715713C6" w14:textId="77777777" w:rsidR="00724E79" w:rsidRPr="0035237F" w:rsidRDefault="00724E79">
      <w:pPr>
        <w:spacing w:after="0" w:line="360" w:lineRule="auto"/>
        <w:ind w:right="-91"/>
        <w:jc w:val="both"/>
        <w:rPr>
          <w:rFonts w:ascii="Palatino Linotype" w:eastAsia="Palatino Linotype" w:hAnsi="Palatino Linotype" w:cs="Palatino Linotype"/>
          <w:sz w:val="24"/>
          <w:szCs w:val="24"/>
        </w:rPr>
      </w:pPr>
    </w:p>
    <w:p w14:paraId="349E82F3" w14:textId="77777777" w:rsidR="00724E79" w:rsidRPr="0035237F" w:rsidRDefault="00312C60">
      <w:pPr>
        <w:spacing w:after="0" w:line="360" w:lineRule="auto"/>
        <w:ind w:right="-93"/>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lastRenderedPageBreak/>
        <w:t>En concordancia de lo anterior, en el artículo 116 y 12 de la Ley General de Transparencia, se prevé:</w:t>
      </w:r>
    </w:p>
    <w:p w14:paraId="40126D08" w14:textId="77777777" w:rsidR="00724E79" w:rsidRPr="0035237F" w:rsidRDefault="00724E79">
      <w:pPr>
        <w:spacing w:after="0" w:line="360" w:lineRule="auto"/>
        <w:ind w:right="-93"/>
        <w:jc w:val="both"/>
        <w:rPr>
          <w:rFonts w:ascii="Palatino Linotype" w:eastAsia="Palatino Linotype" w:hAnsi="Palatino Linotype" w:cs="Palatino Linotype"/>
          <w:sz w:val="24"/>
          <w:szCs w:val="24"/>
        </w:rPr>
      </w:pPr>
    </w:p>
    <w:p w14:paraId="1DEDB40F"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b/>
          <w:i/>
        </w:rPr>
        <w:t>“Artículo 116.</w:t>
      </w:r>
      <w:r w:rsidRPr="0035237F">
        <w:rPr>
          <w:rFonts w:ascii="Palatino Linotype" w:eastAsia="Palatino Linotype" w:hAnsi="Palatino Linotype" w:cs="Palatino Linotype"/>
          <w:i/>
        </w:rPr>
        <w:t xml:space="preserve"> Se considera información confidencial la que contiene datos personales concernientes a una persona identificada o identificable.</w:t>
      </w:r>
    </w:p>
    <w:p w14:paraId="4321695C"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p>
    <w:p w14:paraId="73D3B3F4"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b/>
          <w:i/>
        </w:rPr>
        <w:t>Artículo 120.</w:t>
      </w:r>
      <w:r w:rsidRPr="0035237F">
        <w:rPr>
          <w:rFonts w:ascii="Palatino Linotype" w:eastAsia="Palatino Linotype" w:hAnsi="Palatino Linotype" w:cs="Palatino Linotype"/>
          <w:i/>
        </w:rPr>
        <w:t xml:space="preserve"> Para que los sujetos obligados puedan permitir el acceso a información confidencial requieren obtener el consentimiento de los particulares titulares de la información. </w:t>
      </w:r>
    </w:p>
    <w:p w14:paraId="1BAB8710" w14:textId="77777777" w:rsidR="00724E79" w:rsidRPr="0035237F" w:rsidRDefault="00724E79">
      <w:pPr>
        <w:spacing w:after="0" w:line="276" w:lineRule="auto"/>
        <w:ind w:left="567" w:right="567"/>
        <w:jc w:val="both"/>
        <w:rPr>
          <w:rFonts w:ascii="Palatino Linotype" w:eastAsia="Palatino Linotype" w:hAnsi="Palatino Linotype" w:cs="Palatino Linotype"/>
          <w:i/>
        </w:rPr>
      </w:pPr>
    </w:p>
    <w:p w14:paraId="1E692830"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No se requerirá el consentimiento del titular de la información confidencial cuando: </w:t>
      </w:r>
    </w:p>
    <w:p w14:paraId="433775D4"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I. La información se encuentre en registros públicos o fuentes de acceso público; </w:t>
      </w:r>
    </w:p>
    <w:p w14:paraId="41B02F4A"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II. Por ley tenga el carácter de pública; </w:t>
      </w:r>
    </w:p>
    <w:p w14:paraId="1F130B97"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III. Exista una orden judicial; </w:t>
      </w:r>
    </w:p>
    <w:p w14:paraId="38B0744D"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IV. Por razones de seguridad nacional y salubridad general, o para proteger los derechos de terceros, se requiera su publicación, o </w:t>
      </w:r>
    </w:p>
    <w:p w14:paraId="646A7CA5"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V. Cuando se transmita entre sujetos obligados y entre éstos y los sujetos de derecho internacional, en términos de los tratados y los acuerdos interinstitucionales, siempre y cuando la información se utilice para el ejercicio de facultades propias de los mismos.</w:t>
      </w:r>
    </w:p>
    <w:p w14:paraId="643CBB81"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p>
    <w:p w14:paraId="08F21D7B" w14:textId="77777777" w:rsidR="00724E79" w:rsidRPr="0035237F" w:rsidRDefault="00724E79">
      <w:pPr>
        <w:spacing w:after="0" w:line="360" w:lineRule="auto"/>
        <w:ind w:right="-93"/>
        <w:jc w:val="both"/>
        <w:rPr>
          <w:rFonts w:ascii="Palatino Linotype" w:eastAsia="Palatino Linotype" w:hAnsi="Palatino Linotype" w:cs="Palatino Linotype"/>
          <w:sz w:val="24"/>
          <w:szCs w:val="24"/>
        </w:rPr>
      </w:pPr>
    </w:p>
    <w:p w14:paraId="4B61B473" w14:textId="77777777" w:rsidR="00724E79" w:rsidRPr="0035237F" w:rsidRDefault="00312C60">
      <w:pPr>
        <w:spacing w:after="0" w:line="360" w:lineRule="auto"/>
        <w:ind w:right="-93"/>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Situación que retoma de manera similar la Ley Estatal de Transparencia, en los artículos 143, fracción I, 147 y 148, que señalan:</w:t>
      </w:r>
    </w:p>
    <w:p w14:paraId="7E548587" w14:textId="77777777" w:rsidR="00724E79" w:rsidRPr="0035237F" w:rsidRDefault="00724E79">
      <w:pPr>
        <w:spacing w:after="0" w:line="360" w:lineRule="auto"/>
        <w:ind w:right="-93"/>
        <w:jc w:val="both"/>
        <w:rPr>
          <w:rFonts w:ascii="Palatino Linotype" w:eastAsia="Palatino Linotype" w:hAnsi="Palatino Linotype" w:cs="Palatino Linotype"/>
          <w:sz w:val="24"/>
          <w:szCs w:val="24"/>
        </w:rPr>
      </w:pPr>
    </w:p>
    <w:p w14:paraId="0B937F83" w14:textId="77777777" w:rsidR="00724E79" w:rsidRPr="0035237F" w:rsidRDefault="00312C60">
      <w:pPr>
        <w:spacing w:after="0" w:line="276" w:lineRule="auto"/>
        <w:ind w:left="567" w:right="567"/>
        <w:jc w:val="both"/>
        <w:rPr>
          <w:rFonts w:ascii="Palatino Linotype" w:eastAsia="Palatino Linotype" w:hAnsi="Palatino Linotype" w:cs="Palatino Linotype"/>
          <w:b/>
          <w:i/>
        </w:rPr>
      </w:pPr>
      <w:r w:rsidRPr="0035237F">
        <w:rPr>
          <w:rFonts w:ascii="Palatino Linotype" w:eastAsia="Palatino Linotype" w:hAnsi="Palatino Linotype" w:cs="Palatino Linotype"/>
          <w:b/>
          <w:i/>
        </w:rPr>
        <w:t xml:space="preserve">“Artículo 143. </w:t>
      </w:r>
      <w:r w:rsidRPr="0035237F">
        <w:rPr>
          <w:rFonts w:ascii="Palatino Linotype" w:eastAsia="Palatino Linotype" w:hAnsi="Palatino Linotype" w:cs="Palatino Linotype"/>
          <w:i/>
        </w:rPr>
        <w:t>Para los efectos de esta Ley se considera información confidencial, la clasificada como tal, de manera permanente, por su naturaleza, cuando:</w:t>
      </w:r>
      <w:r w:rsidRPr="0035237F">
        <w:rPr>
          <w:rFonts w:ascii="Palatino Linotype" w:eastAsia="Palatino Linotype" w:hAnsi="Palatino Linotype" w:cs="Palatino Linotype"/>
          <w:b/>
          <w:i/>
        </w:rPr>
        <w:t xml:space="preserve"> </w:t>
      </w:r>
    </w:p>
    <w:p w14:paraId="348F749F" w14:textId="77777777" w:rsidR="00724E79" w:rsidRPr="0035237F" w:rsidRDefault="00724E79">
      <w:pPr>
        <w:spacing w:after="0" w:line="276" w:lineRule="auto"/>
        <w:ind w:left="567" w:right="567"/>
        <w:jc w:val="both"/>
        <w:rPr>
          <w:rFonts w:ascii="Palatino Linotype" w:eastAsia="Palatino Linotype" w:hAnsi="Palatino Linotype" w:cs="Palatino Linotype"/>
          <w:b/>
          <w:i/>
        </w:rPr>
      </w:pPr>
    </w:p>
    <w:p w14:paraId="7E79BBCB"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I. Se refiera a la información privada y los datos personales concernientes a una persona física o jurídica colectiva identificada o identificable;</w:t>
      </w:r>
    </w:p>
    <w:p w14:paraId="1F265841"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p>
    <w:p w14:paraId="1D1472AF"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b/>
          <w:i/>
        </w:rPr>
        <w:lastRenderedPageBreak/>
        <w:t>Artículo 147.</w:t>
      </w:r>
      <w:r w:rsidRPr="0035237F">
        <w:rPr>
          <w:rFonts w:ascii="Palatino Linotype" w:eastAsia="Palatino Linotype" w:hAnsi="Palatino Linotype" w:cs="Palatino Linotype"/>
          <w:i/>
        </w:rPr>
        <w:t xml:space="preserve"> Para que los sujetos obligados puedan permitir el acceso a información confidencial requieren obtener el consentimiento de los particulares titulares de la información. </w:t>
      </w:r>
    </w:p>
    <w:p w14:paraId="3480587A" w14:textId="77777777" w:rsidR="00724E79" w:rsidRPr="0035237F" w:rsidRDefault="00724E79">
      <w:pPr>
        <w:spacing w:after="0" w:line="276" w:lineRule="auto"/>
        <w:ind w:left="567" w:right="567"/>
        <w:jc w:val="both"/>
        <w:rPr>
          <w:rFonts w:ascii="Palatino Linotype" w:eastAsia="Palatino Linotype" w:hAnsi="Palatino Linotype" w:cs="Palatino Linotype"/>
          <w:i/>
        </w:rPr>
      </w:pPr>
    </w:p>
    <w:p w14:paraId="3ACEFCF0"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b/>
          <w:i/>
        </w:rPr>
        <w:t xml:space="preserve">Artículo 148. </w:t>
      </w:r>
      <w:r w:rsidRPr="0035237F">
        <w:rPr>
          <w:rFonts w:ascii="Palatino Linotype" w:eastAsia="Palatino Linotype" w:hAnsi="Palatino Linotype" w:cs="Palatino Linotype"/>
          <w:i/>
        </w:rPr>
        <w:t xml:space="preserve">No se requerirá el consentimiento del titular de la información confidencial cuando: </w:t>
      </w:r>
    </w:p>
    <w:p w14:paraId="31CA5B01" w14:textId="77777777" w:rsidR="00724E79" w:rsidRPr="0035237F" w:rsidRDefault="00724E79">
      <w:pPr>
        <w:spacing w:after="0" w:line="276" w:lineRule="auto"/>
        <w:ind w:left="567" w:right="567"/>
        <w:jc w:val="both"/>
        <w:rPr>
          <w:rFonts w:ascii="Palatino Linotype" w:eastAsia="Palatino Linotype" w:hAnsi="Palatino Linotype" w:cs="Palatino Linotype"/>
          <w:i/>
        </w:rPr>
      </w:pPr>
    </w:p>
    <w:p w14:paraId="3B120AB5"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I. La información se encuentre en registros públicos o fuentes de acceso público; </w:t>
      </w:r>
    </w:p>
    <w:p w14:paraId="3E319753"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II. Por Ley tenga el carácter de pública; </w:t>
      </w:r>
    </w:p>
    <w:p w14:paraId="0F870F44"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III. Exista una orden judicial; </w:t>
      </w:r>
    </w:p>
    <w:p w14:paraId="4B615B73"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IV. Por razones de seguridad pública, o para proteger los derechos de terceros, se requiera su publicación; o </w:t>
      </w:r>
    </w:p>
    <w:p w14:paraId="70FE2A02"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V. Cuando se transmita entre sujetos obligados y entre éstos y los sujetos de derecho internacional, en términos de los tratados y los acuerdos interinstitucionales, siempre y cuando la información se utilice para el ejercicio de facultades propias de los mismos.</w:t>
      </w:r>
    </w:p>
    <w:p w14:paraId="619E89C2"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p>
    <w:p w14:paraId="1A17BB35" w14:textId="77777777" w:rsidR="00724E79" w:rsidRPr="0035237F" w:rsidRDefault="00724E79">
      <w:pPr>
        <w:spacing w:after="0" w:line="360" w:lineRule="auto"/>
        <w:ind w:right="-93"/>
        <w:jc w:val="both"/>
        <w:rPr>
          <w:rFonts w:ascii="Palatino Linotype" w:eastAsia="Palatino Linotype" w:hAnsi="Palatino Linotype" w:cs="Palatino Linotype"/>
          <w:sz w:val="24"/>
          <w:szCs w:val="24"/>
        </w:rPr>
      </w:pPr>
    </w:p>
    <w:p w14:paraId="1B75B107" w14:textId="77777777" w:rsidR="00724E79" w:rsidRPr="0035237F" w:rsidRDefault="00312C60">
      <w:pPr>
        <w:spacing w:after="0" w:line="360" w:lineRule="auto"/>
        <w:ind w:right="-93"/>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Conforme a lo anterior, considero que la información confidencial, es aquella que refiera a información de la vida privada o que contenga datos personales concernientes a una persona identificada o identificable, misma que no estará sujeta a temporalidad alguna y sólo podrán tener acceso a ella los titulares de la misma, sus representantes y los servidores públicos facultados para ello.</w:t>
      </w:r>
    </w:p>
    <w:p w14:paraId="0D152C0B" w14:textId="77777777" w:rsidR="00724E79" w:rsidRPr="0035237F" w:rsidRDefault="00724E79">
      <w:pPr>
        <w:spacing w:after="0" w:line="360" w:lineRule="auto"/>
        <w:ind w:right="-93"/>
        <w:jc w:val="both"/>
        <w:rPr>
          <w:rFonts w:ascii="Palatino Linotype" w:eastAsia="Palatino Linotype" w:hAnsi="Palatino Linotype" w:cs="Palatino Linotype"/>
          <w:sz w:val="24"/>
          <w:szCs w:val="24"/>
        </w:rPr>
      </w:pPr>
    </w:p>
    <w:p w14:paraId="004754F4" w14:textId="77777777" w:rsidR="00724E79" w:rsidRPr="0035237F" w:rsidRDefault="00312C60">
      <w:pPr>
        <w:spacing w:after="0" w:line="360" w:lineRule="auto"/>
        <w:ind w:right="-93"/>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De igual forma, para que los sujetos obligados puedan permitir el acceso a información confidencial, requieren obtener el consentimiento de los particulares titulares de la información, excepto cuando i) la información se encuentre en registros públicos o fuentes de acceso público, </w:t>
      </w:r>
      <w:proofErr w:type="spellStart"/>
      <w:r w:rsidRPr="0035237F">
        <w:rPr>
          <w:rFonts w:ascii="Palatino Linotype" w:eastAsia="Palatino Linotype" w:hAnsi="Palatino Linotype" w:cs="Palatino Linotype"/>
          <w:sz w:val="24"/>
          <w:szCs w:val="24"/>
        </w:rPr>
        <w:t>ii</w:t>
      </w:r>
      <w:proofErr w:type="spellEnd"/>
      <w:r w:rsidRPr="0035237F">
        <w:rPr>
          <w:rFonts w:ascii="Palatino Linotype" w:eastAsia="Palatino Linotype" w:hAnsi="Palatino Linotype" w:cs="Palatino Linotype"/>
          <w:sz w:val="24"/>
          <w:szCs w:val="24"/>
        </w:rPr>
        <w:t xml:space="preserve">) por ley tenga el carácter de pública, </w:t>
      </w:r>
      <w:proofErr w:type="spellStart"/>
      <w:r w:rsidRPr="0035237F">
        <w:rPr>
          <w:rFonts w:ascii="Palatino Linotype" w:eastAsia="Palatino Linotype" w:hAnsi="Palatino Linotype" w:cs="Palatino Linotype"/>
          <w:sz w:val="24"/>
          <w:szCs w:val="24"/>
        </w:rPr>
        <w:t>iii</w:t>
      </w:r>
      <w:proofErr w:type="spellEnd"/>
      <w:r w:rsidRPr="0035237F">
        <w:rPr>
          <w:rFonts w:ascii="Palatino Linotype" w:eastAsia="Palatino Linotype" w:hAnsi="Palatino Linotype" w:cs="Palatino Linotype"/>
          <w:sz w:val="24"/>
          <w:szCs w:val="24"/>
        </w:rPr>
        <w:t xml:space="preserve">) exista una orden judicial, </w:t>
      </w:r>
      <w:proofErr w:type="spellStart"/>
      <w:r w:rsidRPr="0035237F">
        <w:rPr>
          <w:rFonts w:ascii="Palatino Linotype" w:eastAsia="Palatino Linotype" w:hAnsi="Palatino Linotype" w:cs="Palatino Linotype"/>
          <w:sz w:val="24"/>
          <w:szCs w:val="24"/>
        </w:rPr>
        <w:t>iv</w:t>
      </w:r>
      <w:proofErr w:type="spellEnd"/>
      <w:r w:rsidRPr="0035237F">
        <w:rPr>
          <w:rFonts w:ascii="Palatino Linotype" w:eastAsia="Palatino Linotype" w:hAnsi="Palatino Linotype" w:cs="Palatino Linotype"/>
          <w:sz w:val="24"/>
          <w:szCs w:val="24"/>
        </w:rPr>
        <w:t xml:space="preserve">) por razones de seguridad nacional y salubridad general o v) </w:t>
      </w:r>
      <w:r w:rsidRPr="0035237F">
        <w:rPr>
          <w:rFonts w:ascii="Palatino Linotype" w:eastAsia="Palatino Linotype" w:hAnsi="Palatino Linotype" w:cs="Palatino Linotype"/>
          <w:sz w:val="24"/>
          <w:szCs w:val="24"/>
        </w:rPr>
        <w:lastRenderedPageBreak/>
        <w:t>para proteger los derechos de terceros o cuando se transmita entre sujetos obligados en términos de los tratados y los acuerdos interinstitucionales.</w:t>
      </w:r>
    </w:p>
    <w:p w14:paraId="4B92B589" w14:textId="77777777" w:rsidR="00724E79" w:rsidRPr="0035237F" w:rsidRDefault="00724E79">
      <w:pPr>
        <w:spacing w:after="0" w:line="360" w:lineRule="auto"/>
        <w:ind w:right="-93"/>
        <w:jc w:val="both"/>
        <w:rPr>
          <w:rFonts w:ascii="Palatino Linotype" w:eastAsia="Palatino Linotype" w:hAnsi="Palatino Linotype" w:cs="Palatino Linotype"/>
          <w:sz w:val="24"/>
          <w:szCs w:val="24"/>
        </w:rPr>
      </w:pPr>
    </w:p>
    <w:p w14:paraId="564B18A5" w14:textId="77777777" w:rsidR="00724E79" w:rsidRPr="0035237F" w:rsidRDefault="00312C60">
      <w:pPr>
        <w:spacing w:after="0" w:line="360" w:lineRule="auto"/>
        <w:ind w:right="-93"/>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Asimismo, los sujetos obligados serán responsables de los datos personales y, en relación con éstos, deberán cumplir, con las obligaciones establecidas en las leyes de la materia y en la Ley General de Transparencia y Acceso a la Información Pública.</w:t>
      </w:r>
    </w:p>
    <w:p w14:paraId="19FD4BEF" w14:textId="77777777" w:rsidR="00724E79" w:rsidRPr="0035237F" w:rsidRDefault="00724E79">
      <w:pPr>
        <w:spacing w:after="0" w:line="360" w:lineRule="auto"/>
        <w:ind w:right="-93"/>
        <w:jc w:val="both"/>
        <w:rPr>
          <w:rFonts w:ascii="Palatino Linotype" w:eastAsia="Palatino Linotype" w:hAnsi="Palatino Linotype" w:cs="Palatino Linotype"/>
          <w:b/>
          <w:sz w:val="24"/>
          <w:szCs w:val="24"/>
        </w:rPr>
      </w:pPr>
    </w:p>
    <w:p w14:paraId="2556C912" w14:textId="77777777" w:rsidR="00724E79" w:rsidRPr="0035237F" w:rsidRDefault="00312C60">
      <w:pPr>
        <w:spacing w:after="0" w:line="360" w:lineRule="auto"/>
        <w:ind w:right="-93"/>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En términos de lo expuesto, la documentación y aquellos datos que se consideren confidenciales conforme a lo dispuesto en la fracción I, del artículo 143 de la Ley de Transparencia y Acceso a la Información Pública del Estado de México y Municipios, serán una limitante del derecho de acceso a la información, siempre y cuando:</w:t>
      </w:r>
    </w:p>
    <w:p w14:paraId="0D6C88B1" w14:textId="77777777" w:rsidR="00724E79" w:rsidRPr="0035237F" w:rsidRDefault="00724E79">
      <w:pPr>
        <w:spacing w:after="0" w:line="360" w:lineRule="auto"/>
        <w:ind w:right="-93"/>
        <w:jc w:val="both"/>
        <w:rPr>
          <w:rFonts w:ascii="Palatino Linotype" w:eastAsia="Palatino Linotype" w:hAnsi="Palatino Linotype" w:cs="Palatino Linotype"/>
          <w:sz w:val="24"/>
          <w:szCs w:val="24"/>
        </w:rPr>
      </w:pPr>
    </w:p>
    <w:p w14:paraId="17C496EA" w14:textId="77777777" w:rsidR="00724E79" w:rsidRPr="0035237F" w:rsidRDefault="00312C60">
      <w:pPr>
        <w:numPr>
          <w:ilvl w:val="0"/>
          <w:numId w:val="9"/>
        </w:numPr>
        <w:spacing w:after="0" w:line="360" w:lineRule="auto"/>
        <w:ind w:right="-93"/>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Se trate de datos personales, esto es, información concerniente a una persona física y que ésta sea identificada o identificable o bien, sea aquella que refiera aspectos de la vida privada o íntima de las personas. </w:t>
      </w:r>
    </w:p>
    <w:p w14:paraId="6BDE53B7" w14:textId="77777777" w:rsidR="00724E79" w:rsidRPr="0035237F" w:rsidRDefault="00724E79">
      <w:pPr>
        <w:spacing w:after="0" w:line="360" w:lineRule="auto"/>
        <w:ind w:right="-93"/>
        <w:jc w:val="both"/>
        <w:rPr>
          <w:rFonts w:ascii="Palatino Linotype" w:eastAsia="Palatino Linotype" w:hAnsi="Palatino Linotype" w:cs="Palatino Linotype"/>
          <w:sz w:val="24"/>
          <w:szCs w:val="24"/>
        </w:rPr>
      </w:pPr>
    </w:p>
    <w:p w14:paraId="4B3E82F9" w14:textId="77777777" w:rsidR="00724E79" w:rsidRPr="0035237F" w:rsidRDefault="00312C60">
      <w:pPr>
        <w:numPr>
          <w:ilvl w:val="0"/>
          <w:numId w:val="9"/>
        </w:numPr>
        <w:spacing w:after="0" w:line="360" w:lineRule="auto"/>
        <w:ind w:right="-93"/>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Para la difusión de los datos, se requiera el consentimiento del titular. </w:t>
      </w:r>
    </w:p>
    <w:p w14:paraId="38336F16"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283976A9"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En ese orden de ideas, el artículo 2°, fracción IX, de la Ley General de Protección de Datos Personales en Posesión de Sujetos Obligados y 2°, fracción XI, de la Ley de Protección de Datos Personales en Posesión de Sujetos Obligados del Estado de México y Municipios, establecen que los datos personales es cualquier información </w:t>
      </w:r>
      <w:r w:rsidRPr="0035237F">
        <w:rPr>
          <w:rFonts w:ascii="Palatino Linotype" w:eastAsia="Palatino Linotype" w:hAnsi="Palatino Linotype" w:cs="Palatino Linotype"/>
          <w:sz w:val="24"/>
          <w:szCs w:val="24"/>
        </w:rPr>
        <w:lastRenderedPageBreak/>
        <w:t>concerniente a una persona física identificada o identificable; mientras que los sensibles, son aquellos que refieran a la esfera más íntima de su titular.</w:t>
      </w:r>
    </w:p>
    <w:p w14:paraId="3F89F8CD"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2B1AAE49"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En ese contexto, el apartado ¿Qué son los datos personales?, de la página oficial de este Instituto (consultada en la liga </w:t>
      </w:r>
      <w:hyperlink r:id="rId9">
        <w:r w:rsidRPr="0035237F">
          <w:rPr>
            <w:rFonts w:ascii="Palatino Linotype" w:eastAsia="Palatino Linotype" w:hAnsi="Palatino Linotype" w:cs="Palatino Linotype"/>
            <w:sz w:val="24"/>
            <w:szCs w:val="24"/>
            <w:u w:val="single"/>
          </w:rPr>
          <w:t>https://www.infoem.org.mx/es/contenido/datos-personales</w:t>
        </w:r>
      </w:hyperlink>
      <w:r w:rsidRPr="0035237F">
        <w:rPr>
          <w:rFonts w:ascii="Palatino Linotype" w:eastAsia="Palatino Linotype" w:hAnsi="Palatino Linotype" w:cs="Palatino Linotype"/>
          <w:sz w:val="24"/>
          <w:szCs w:val="24"/>
        </w:rPr>
        <w:t>), establece como una categoría de datos personales, los datos sobre procedimientos administrativos y jurisdiccionales, los cuales se conforman de toda aquella información relacionada íntimamente a una persona identificada localizable en procedimientos administrativos o juicios de cualquier materia.</w:t>
      </w:r>
    </w:p>
    <w:p w14:paraId="399CE9E1" w14:textId="77777777" w:rsidR="00724E79" w:rsidRPr="0035237F" w:rsidRDefault="00724E79">
      <w:pPr>
        <w:spacing w:after="0" w:line="360" w:lineRule="auto"/>
        <w:jc w:val="both"/>
        <w:rPr>
          <w:rFonts w:ascii="Palatino Linotype" w:eastAsia="Palatino Linotype" w:hAnsi="Palatino Linotype" w:cs="Palatino Linotype"/>
          <w:b/>
          <w:sz w:val="24"/>
          <w:szCs w:val="24"/>
        </w:rPr>
      </w:pPr>
    </w:p>
    <w:p w14:paraId="53C541E4"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A su vez, en el Cuadragésimo octavo de los Lineamientos Generales, se señala que los documentos y expedientes clasificados como confidenciales sólo podrán ser comunicados a terceros siempre y cuando exista disposición legal expresa que lo justifique o cuando se cuente con el consentimiento del titular. </w:t>
      </w:r>
    </w:p>
    <w:p w14:paraId="517DA9E9"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5CEC2091"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Por lo que, en el presente caso, toda vez que la información está relacionada a una persona determinada, resulta necesario analizar si procede entregar el pronunciamiento respecto a la existencia o no de un procedimiento de responsabilidad, conforme a lo siguiente:</w:t>
      </w:r>
    </w:p>
    <w:p w14:paraId="69AA3B1B" w14:textId="77777777" w:rsidR="00724E79" w:rsidRPr="0035237F" w:rsidRDefault="00724E79">
      <w:pPr>
        <w:tabs>
          <w:tab w:val="left" w:pos="3962"/>
        </w:tabs>
        <w:spacing w:line="360" w:lineRule="auto"/>
        <w:jc w:val="both"/>
        <w:rPr>
          <w:rFonts w:ascii="Palatino Linotype" w:eastAsia="Palatino Linotype" w:hAnsi="Palatino Linotype" w:cs="Palatino Linotype"/>
          <w:sz w:val="24"/>
          <w:szCs w:val="24"/>
        </w:rPr>
      </w:pPr>
    </w:p>
    <w:p w14:paraId="42AA723F" w14:textId="77777777" w:rsidR="00724E79" w:rsidRPr="0035237F" w:rsidRDefault="00312C60">
      <w:pPr>
        <w:numPr>
          <w:ilvl w:val="0"/>
          <w:numId w:val="2"/>
        </w:numPr>
        <w:pBdr>
          <w:top w:val="nil"/>
          <w:left w:val="nil"/>
          <w:bottom w:val="nil"/>
          <w:right w:val="nil"/>
          <w:between w:val="nil"/>
        </w:pBd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Procedimiento en trámite, y</w:t>
      </w:r>
    </w:p>
    <w:p w14:paraId="1FEDA2E5" w14:textId="77777777" w:rsidR="00724E79" w:rsidRPr="0035237F" w:rsidRDefault="00312C60">
      <w:pPr>
        <w:numPr>
          <w:ilvl w:val="0"/>
          <w:numId w:val="2"/>
        </w:numPr>
        <w:pBdr>
          <w:top w:val="nil"/>
          <w:left w:val="nil"/>
          <w:bottom w:val="nil"/>
          <w:right w:val="nil"/>
          <w:between w:val="nil"/>
        </w:pBd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Procedimiento concluido de Responsabilidad grave. </w:t>
      </w:r>
    </w:p>
    <w:p w14:paraId="7A8EF405" w14:textId="77777777" w:rsidR="00724E79" w:rsidRPr="0035237F" w:rsidRDefault="00724E79">
      <w:pPr>
        <w:tabs>
          <w:tab w:val="left" w:pos="3962"/>
        </w:tabs>
        <w:spacing w:after="0" w:line="360" w:lineRule="auto"/>
        <w:jc w:val="both"/>
        <w:rPr>
          <w:rFonts w:ascii="Palatino Linotype" w:eastAsia="Palatino Linotype" w:hAnsi="Palatino Linotype" w:cs="Palatino Linotype"/>
          <w:b/>
          <w:sz w:val="24"/>
          <w:szCs w:val="24"/>
        </w:rPr>
      </w:pPr>
    </w:p>
    <w:p w14:paraId="593452EF" w14:textId="77777777" w:rsidR="00724E79" w:rsidRPr="0035237F" w:rsidRDefault="00312C60">
      <w:pPr>
        <w:tabs>
          <w:tab w:val="left" w:pos="3962"/>
        </w:tabs>
        <w:spacing w:after="0" w:line="360" w:lineRule="auto"/>
        <w:jc w:val="both"/>
        <w:rPr>
          <w:rFonts w:ascii="Palatino Linotype" w:eastAsia="Palatino Linotype" w:hAnsi="Palatino Linotype" w:cs="Palatino Linotype"/>
          <w:b/>
          <w:sz w:val="24"/>
          <w:szCs w:val="24"/>
        </w:rPr>
      </w:pPr>
      <w:r w:rsidRPr="0035237F">
        <w:rPr>
          <w:rFonts w:ascii="Palatino Linotype" w:eastAsia="Palatino Linotype" w:hAnsi="Palatino Linotype" w:cs="Palatino Linotype"/>
          <w:b/>
          <w:sz w:val="24"/>
          <w:szCs w:val="24"/>
        </w:rPr>
        <w:lastRenderedPageBreak/>
        <w:t>Procedimiento de responsabilidad en trámite.</w:t>
      </w:r>
    </w:p>
    <w:p w14:paraId="475E830D"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0FD6569A"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Al respecto, es necesario señalar que pronunciarse sobre la existencia de un procedimiento de posibles responsabilidades en trámite, podría afectar al posible responsable identificado, en el presente caso, ya que se daría a conocer la existencia de una investigación en contra, lo cual, generaría una percepción negativa de este, sin que se hubiere probado su responsabilidad o culpabilidad, lo cual dañaría, su honor y su derecho a la presunción inocencia e inclusive su actividad profesional, pues aún no se juntan los elementos necesarios para iniciar la segunda etapa del procedimiento.</w:t>
      </w:r>
    </w:p>
    <w:p w14:paraId="2CC5135C"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1F8479DB"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Al respecto, por lo que hace al derecho al honor, la jurisprudencia número 1a./J. 118/2013 (10a.), emitida por la Primera Sala de la Suprema Corte de Justicia de la Nación, publicada en la Gaceta del Semanario Judicial de la Federación, Tomo I, Libro 3, de febrero de 2014, página 470, de la Décima Época, materia constitucional, dispone: </w:t>
      </w:r>
    </w:p>
    <w:p w14:paraId="38437A56"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0FB8FC6D"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b/>
          <w:i/>
        </w:rPr>
        <w:t xml:space="preserve">“DERECHO FUNDAMENTAL AL HONOR. SU DIMENSIÓN SUBJETIVA Y OBJETIVA. </w:t>
      </w:r>
      <w:r w:rsidRPr="0035237F">
        <w:rPr>
          <w:rFonts w:ascii="Palatino Linotype" w:eastAsia="Palatino Linotype" w:hAnsi="Palatino Linotype" w:cs="Palatino Linotype"/>
          <w:i/>
        </w:rPr>
        <w:t xml:space="preserve">A juicio de esta Primera Sala de la Suprema Corte de Justicia de la Nación, es posible definir al honor como el concepto que la persona tiene de sí misma o que los demás se han formado de ella, en virtud de su proceder o de la expresión de su calidad ética y social. Todo individuo, al vivir en sociedad, tiene el derecho de ser respetado y considerado y, correlativamente, tiene la obligación de respetar a aquellos que lo rodean. En el campo jurídico esta necesidad se traduce en un derecho que involucra la facultad que tiene cada individuo de pedir que se le trate en forma decorosa y la obligación de los demás de responder a este tratamiento. Por lo general, existen dos formas de sentir y </w:t>
      </w:r>
      <w:r w:rsidRPr="0035237F">
        <w:rPr>
          <w:rFonts w:ascii="Palatino Linotype" w:eastAsia="Palatino Linotype" w:hAnsi="Palatino Linotype" w:cs="Palatino Linotype"/>
          <w:i/>
        </w:rPr>
        <w:lastRenderedPageBreak/>
        <w:t>entender el honor: a) en el aspecto subjetivo o ético, el honor se basa en un sentimiento íntimo que se exterioriza por la afirmación que la persona hace de su propia dignidad; y b) en el aspecto objetivo, externo o social, como la estimación interpersonal que la persona tiene por sus cualidades morales y profesionales dentro de la comunidad. En el aspecto subjetivo, el honor es lesionado por todo aquello que lastima el sentimiento de la propia dignidad. En el aspecto objetivo, el honor es lesionado por todo aquello que afecta a la reputación que la persona merece, es decir, el derecho a que otros no condicionen negativamente la opinión que los demás hayan de formarse de nosotros.”</w:t>
      </w:r>
    </w:p>
    <w:p w14:paraId="46B8AA81"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3571E697"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De la tesis transcrita se desprende que el honor es el concepto que la persona tiene de sí misma o que los demás se han formado de ella, en virtud de su proceder o de la expresión de su calidad ética y social. </w:t>
      </w:r>
    </w:p>
    <w:p w14:paraId="6DA7EC85"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5E2996F6"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Por lo que, en el campo jurídico, es un derecho humano que involucra la facultad de cada individuo de ser tratado de forma decorosa. Este derecho tiene dos elementos, el subjetivo, que se basa en un sentimiento íntimo que se exterioriza por la afirmación que la persona hace de su propia dignidad, y en un sentimiento objetivo, que es la estimación interpersonal que la persona tiene por sus cualidades morales y profesionales dentro de la comunidad. En el aspecto subjetivo, el honor es lesionado por todo aquello que lastima el sentimiento de la propia dignidad. En el aspecto objetivo, el honor es lesionado por todo aquello que afecta a la reputación que la persona merece.</w:t>
      </w:r>
    </w:p>
    <w:p w14:paraId="7C9143E4"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6BE66A93"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Por otra parte, debe señalarse que conforme al artículo 20, inciso B, numeral I, de la Constitución Política del os Estados Unidos Mexicanos, un derecho que tiene toda persona imputada, es a que se presuma su inocencia mientras no se declare su </w:t>
      </w:r>
      <w:r w:rsidRPr="0035237F">
        <w:rPr>
          <w:rFonts w:ascii="Palatino Linotype" w:eastAsia="Palatino Linotype" w:hAnsi="Palatino Linotype" w:cs="Palatino Linotype"/>
          <w:sz w:val="24"/>
          <w:szCs w:val="24"/>
        </w:rPr>
        <w:lastRenderedPageBreak/>
        <w:t>responsabilidad mediante una resolución, donde compruebe su culpabilidad. Dicha situación, se encuentra regulada, de la misma manera, en Declaración Universal de los Derechos Humanos, así como, el Pacto Internacional de Derechos Civiles y Políticos y la Convención Americana sobre Derechos Humanos.</w:t>
      </w:r>
    </w:p>
    <w:p w14:paraId="01938736"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13B6D532"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En ese contexto, la tesis aislada número 2a. XXXV/2007, emitida por la Segunda Sala de la Suprema Corte de Justicia de la Nación, publicada en la Gaceta del Semanario Judicial de la Federación, Tomo XXV, de mayo de dos mil siete, página 1186, de la Novena Época, materia constitucional y penal, establece:</w:t>
      </w:r>
    </w:p>
    <w:p w14:paraId="681DA9F1"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550D7288" w14:textId="77777777" w:rsidR="00724E79" w:rsidRPr="0035237F" w:rsidRDefault="00312C60">
      <w:pPr>
        <w:spacing w:after="0" w:line="276" w:lineRule="auto"/>
        <w:ind w:left="567" w:right="567"/>
        <w:jc w:val="both"/>
        <w:rPr>
          <w:rFonts w:ascii="Palatino Linotype" w:eastAsia="Palatino Linotype" w:hAnsi="Palatino Linotype" w:cs="Palatino Linotype"/>
          <w:i/>
        </w:rPr>
      </w:pPr>
      <w:r w:rsidRPr="0035237F">
        <w:rPr>
          <w:rFonts w:ascii="Palatino Linotype" w:eastAsia="Palatino Linotype" w:hAnsi="Palatino Linotype" w:cs="Palatino Linotype"/>
          <w:b/>
          <w:i/>
        </w:rPr>
        <w:t xml:space="preserve">“PRESUNCIÓN DE INOCENCIA. ALCANCES DE ESE PRINCIPIO CONSTITUCIONAL. </w:t>
      </w:r>
      <w:r w:rsidRPr="0035237F">
        <w:rPr>
          <w:rFonts w:ascii="Palatino Linotype" w:eastAsia="Palatino Linotype" w:hAnsi="Palatino Linotype" w:cs="Palatino Linotype"/>
          <w:i/>
        </w:rPr>
        <w:t>El principio de presunción de inocencia que en materia procesal penal impone la obligación de arrojar la carga de la prueba al acusador, es un derecho fundamental que la Constitución Política de los Estados Unidos Mexicanos reconoce y garantiza en general, cuyo alcance trasciende la órbita del debido proceso, pues con su aplicación se garantiza la protección de otros derechos fundamentales como son la dignidad humana, la libertad, la honra y el buen nombre, que podrían resultar vulnerados por actuaciones penales o disciplinarias irregulares. En consecuencia, este principio opera también en las situaciones extraprocesales y constituye el derecho a recibir la consideración y el trato de "no autor o no partícipe" en un hecho de carácter delictivo o en otro tipo de infracciones mientras no se demuestre la culpabilidad; por ende, otorga el derecho a que no se apliquen las consecuencias a los efectos jurídicos privativos vinculados a tales hechos, en cualquier materia.”</w:t>
      </w:r>
    </w:p>
    <w:p w14:paraId="7FEFA3D1"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276C9605"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Como se observa, el Alto Tribunal sostiene que el principio de presunción de inocencia va más allá del ámbito estrictamente procesal, en aras de proteger la esfera jurídica de las personas que se ve en peligro ante actuaciones arbitrarias por parte </w:t>
      </w:r>
      <w:r w:rsidRPr="0035237F">
        <w:rPr>
          <w:rFonts w:ascii="Palatino Linotype" w:eastAsia="Palatino Linotype" w:hAnsi="Palatino Linotype" w:cs="Palatino Linotype"/>
          <w:sz w:val="24"/>
          <w:szCs w:val="24"/>
        </w:rPr>
        <w:lastRenderedPageBreak/>
        <w:t>del poder público. Así, dicho principio guarda también una faceta “extraprocesal” que se materializa a través de un trato de inocente para el inculpado mientras no se demuestre su culpabilidad.</w:t>
      </w:r>
    </w:p>
    <w:p w14:paraId="0BC3F27F"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773A99D8"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Conforme a lo anterior, pronunciarse sobre la existencia de un procedimiento en trámite, se daría a conocer que la existencia de un procedimiento de probable responsabilidad, y la ciudadanía podría generar un juicio negativo, en contra de la servidora pública involucrada, sin que se hayan reunido los elementos para establecer </w:t>
      </w:r>
      <w:proofErr w:type="gramStart"/>
      <w:r w:rsidRPr="0035237F">
        <w:rPr>
          <w:rFonts w:ascii="Palatino Linotype" w:eastAsia="Palatino Linotype" w:hAnsi="Palatino Linotype" w:cs="Palatino Linotype"/>
          <w:sz w:val="24"/>
          <w:szCs w:val="24"/>
        </w:rPr>
        <w:t>que</w:t>
      </w:r>
      <w:proofErr w:type="gramEnd"/>
      <w:r w:rsidRPr="0035237F">
        <w:rPr>
          <w:rFonts w:ascii="Palatino Linotype" w:eastAsia="Palatino Linotype" w:hAnsi="Palatino Linotype" w:cs="Palatino Linotype"/>
          <w:sz w:val="24"/>
          <w:szCs w:val="24"/>
        </w:rPr>
        <w:t xml:space="preserve"> si son probables responsables, con lo cual, se vería afectado de manera directa, su honor y derecho a la presunción de inocencia.</w:t>
      </w:r>
    </w:p>
    <w:p w14:paraId="1E2CFE03"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3F198D62"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Así, toda vez que realizar el pronunciamiento afectaría el derecho al honor, buena imagen y presunción de inocencia de la servidora pública, se considera que deberá clasificarlo en términos del artículo 143, fracción I, de la Ley de Transparencia y Acceso a la Información Pública del Estado de México y Municipios.</w:t>
      </w:r>
    </w:p>
    <w:p w14:paraId="5251CFB4"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279A03D5" w14:textId="77777777" w:rsidR="00724E79" w:rsidRPr="0035237F" w:rsidRDefault="00312C60">
      <w:pPr>
        <w:spacing w:after="0" w:line="360" w:lineRule="auto"/>
        <w:jc w:val="both"/>
        <w:rPr>
          <w:rFonts w:ascii="Palatino Linotype" w:eastAsia="Palatino Linotype" w:hAnsi="Palatino Linotype" w:cs="Palatino Linotype"/>
          <w:b/>
          <w:sz w:val="24"/>
          <w:szCs w:val="24"/>
          <w:u w:val="single"/>
        </w:rPr>
      </w:pPr>
      <w:r w:rsidRPr="0035237F">
        <w:rPr>
          <w:rFonts w:ascii="Palatino Linotype" w:eastAsia="Palatino Linotype" w:hAnsi="Palatino Linotype" w:cs="Palatino Linotype"/>
          <w:sz w:val="24"/>
          <w:szCs w:val="24"/>
        </w:rPr>
        <w:t>Ahora bien, es necesario señalar que conforme a al artículo 115 de la Ley General de Transparencia y Acceso a la Información Pública, relacionado con el 142 de la Ley de Transparencia y Acceso a la Información Pública del Estado de México y Municipios y el Trigésimo Séptimo de los Lineamientos Generales, no podrá invocarse la clasificación de aquella información que se encuentre relacionada con posibles violaciones a derechos humanos o actos de corrupción.</w:t>
      </w:r>
    </w:p>
    <w:p w14:paraId="5A91DB3E" w14:textId="77777777" w:rsidR="00724E79" w:rsidRPr="0035237F" w:rsidRDefault="00724E79">
      <w:pPr>
        <w:spacing w:after="0" w:line="360" w:lineRule="auto"/>
        <w:jc w:val="both"/>
        <w:rPr>
          <w:rFonts w:ascii="Palatino Linotype" w:eastAsia="Palatino Linotype" w:hAnsi="Palatino Linotype" w:cs="Palatino Linotype"/>
          <w:b/>
          <w:sz w:val="24"/>
          <w:szCs w:val="24"/>
          <w:u w:val="single"/>
        </w:rPr>
      </w:pPr>
    </w:p>
    <w:p w14:paraId="2894C3B3"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lastRenderedPageBreak/>
        <w:t>En ese contexto, resulta necesario, los artículos 3°, fracción XII y 8°, fracción VI, de la Ley General de Transparencia y Acceso a la Información Pública, relacionados con los diversos 3°, fracción XXII y 9°, fracción VII, de la Ley de Transparencia y Acceso a la Información Pública del Estado de México, establecen lo siguiente:</w:t>
      </w:r>
    </w:p>
    <w:p w14:paraId="6E246C43" w14:textId="77777777" w:rsidR="00724E79" w:rsidRPr="0035237F" w:rsidRDefault="00724E79">
      <w:pPr>
        <w:spacing w:line="360" w:lineRule="auto"/>
        <w:jc w:val="both"/>
        <w:rPr>
          <w:rFonts w:ascii="Palatino Linotype" w:eastAsia="Palatino Linotype" w:hAnsi="Palatino Linotype" w:cs="Palatino Linotype"/>
          <w:sz w:val="24"/>
          <w:szCs w:val="24"/>
        </w:rPr>
      </w:pPr>
    </w:p>
    <w:p w14:paraId="065A3610" w14:textId="77777777" w:rsidR="00724E79" w:rsidRPr="0035237F" w:rsidRDefault="00312C60">
      <w:pPr>
        <w:numPr>
          <w:ilvl w:val="0"/>
          <w:numId w:val="3"/>
        </w:numPr>
        <w:pBdr>
          <w:top w:val="nil"/>
          <w:left w:val="nil"/>
          <w:bottom w:val="nil"/>
          <w:right w:val="nil"/>
          <w:between w:val="nil"/>
        </w:pBdr>
        <w:spacing w:after="0" w:line="360" w:lineRule="auto"/>
        <w:jc w:val="both"/>
        <w:rPr>
          <w:rFonts w:ascii="Palatino Linotype" w:eastAsia="Palatino Linotype" w:hAnsi="Palatino Linotype" w:cs="Palatino Linotype"/>
          <w:b/>
        </w:rPr>
      </w:pPr>
      <w:r w:rsidRPr="0035237F">
        <w:rPr>
          <w:rFonts w:ascii="Palatino Linotype" w:eastAsia="Palatino Linotype" w:hAnsi="Palatino Linotype" w:cs="Palatino Linotype"/>
          <w:b/>
        </w:rPr>
        <w:t xml:space="preserve">Principio de Máxima Publicidad: </w:t>
      </w:r>
      <w:r w:rsidRPr="0035237F">
        <w:rPr>
          <w:rFonts w:ascii="Palatino Linotype" w:eastAsia="Palatino Linotype" w:hAnsi="Palatino Linotype" w:cs="Palatino Linotype"/>
        </w:rPr>
        <w:t>Precisa que toda la información en posesión de los entes sujetos a las Leyes de Transparencia, es pública, completa, oportuna y accesible, sujeta a un claro régimen de excepciones.</w:t>
      </w:r>
    </w:p>
    <w:p w14:paraId="4DD8B0B2" w14:textId="77777777" w:rsidR="00724E79" w:rsidRPr="0035237F" w:rsidRDefault="00724E79">
      <w:pPr>
        <w:pBdr>
          <w:top w:val="nil"/>
          <w:left w:val="nil"/>
          <w:bottom w:val="nil"/>
          <w:right w:val="nil"/>
          <w:between w:val="nil"/>
        </w:pBdr>
        <w:spacing w:after="0" w:line="360" w:lineRule="auto"/>
        <w:ind w:left="720"/>
        <w:jc w:val="both"/>
        <w:rPr>
          <w:rFonts w:ascii="Palatino Linotype" w:eastAsia="Palatino Linotype" w:hAnsi="Palatino Linotype" w:cs="Palatino Linotype"/>
          <w:b/>
        </w:rPr>
      </w:pPr>
    </w:p>
    <w:p w14:paraId="0CFF6EF0" w14:textId="77777777" w:rsidR="00724E79" w:rsidRPr="0035237F" w:rsidRDefault="00312C60">
      <w:pPr>
        <w:numPr>
          <w:ilvl w:val="0"/>
          <w:numId w:val="3"/>
        </w:numPr>
        <w:pBdr>
          <w:top w:val="nil"/>
          <w:left w:val="nil"/>
          <w:bottom w:val="nil"/>
          <w:right w:val="nil"/>
          <w:between w:val="nil"/>
        </w:pBdr>
        <w:spacing w:after="0" w:line="360" w:lineRule="auto"/>
        <w:jc w:val="both"/>
        <w:rPr>
          <w:rFonts w:ascii="Palatino Linotype" w:eastAsia="Palatino Linotype" w:hAnsi="Palatino Linotype" w:cs="Palatino Linotype"/>
          <w:b/>
        </w:rPr>
      </w:pPr>
      <w:r w:rsidRPr="0035237F">
        <w:rPr>
          <w:rFonts w:ascii="Palatino Linotype" w:eastAsia="Palatino Linotype" w:hAnsi="Palatino Linotype" w:cs="Palatino Linotype"/>
          <w:b/>
        </w:rPr>
        <w:t xml:space="preserve">Información de Interés Público: </w:t>
      </w:r>
      <w:r w:rsidRPr="0035237F">
        <w:rPr>
          <w:rFonts w:ascii="Palatino Linotype" w:eastAsia="Palatino Linotype" w:hAnsi="Palatino Linotype" w:cs="Palatino Linotype"/>
        </w:rPr>
        <w:t>Es aquella que resulta relevante o beneficiosa para la sociedad y no simplemente de interés individual, cuya divulgación resulta útil para que el público comprenda las actividades que llevan a cabo los sujetos obligados.</w:t>
      </w:r>
    </w:p>
    <w:p w14:paraId="3E4FB199"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125D0E35"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Como se logra observar, el interés público está íntimamente relacionado, con el principio de máxima publicidad y las excepciones a la clasificación de la información; lo anterior, pues existe un interés general de la sociedad de conocer sobre los actos de corrupción y las posibles violaciones a derechos humanos, pues no son afectaciones que se dan en lo individual, sino que existe un detrimento en un grupo o en la población en general.</w:t>
      </w:r>
    </w:p>
    <w:p w14:paraId="16F6AFA5"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10BCFCC0"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Por tal motivo, se considera que en el presente caso, como ya se analizó el desvío y robo de recursos está considerado como falta grave por lo que está relacionado con la excepción establecida en la fracción IV del artículo 142 de la Ley de Transparencia </w:t>
      </w:r>
      <w:r w:rsidRPr="0035237F">
        <w:rPr>
          <w:rFonts w:ascii="Palatino Linotype" w:eastAsia="Palatino Linotype" w:hAnsi="Palatino Linotype" w:cs="Palatino Linotype"/>
          <w:sz w:val="24"/>
          <w:szCs w:val="24"/>
        </w:rPr>
        <w:lastRenderedPageBreak/>
        <w:t>y Acceso a la Información Pública del Estado de México y Municipios por tratarse de información relacionada con actos de corrupción, por lo que en todo caso deberá entregar, los documentos en donde conste el total de procedimientos instaurados en su contra.</w:t>
      </w:r>
    </w:p>
    <w:p w14:paraId="3D3900E1"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4EE39B3E" w14:textId="77777777" w:rsidR="00724E79" w:rsidRPr="0035237F" w:rsidRDefault="00312C60">
      <w:pPr>
        <w:tabs>
          <w:tab w:val="left" w:pos="3962"/>
        </w:tabs>
        <w:spacing w:after="0" w:line="360" w:lineRule="auto"/>
        <w:jc w:val="both"/>
        <w:rPr>
          <w:rFonts w:ascii="Palatino Linotype" w:eastAsia="Palatino Linotype" w:hAnsi="Palatino Linotype" w:cs="Palatino Linotype"/>
          <w:b/>
          <w:sz w:val="24"/>
          <w:szCs w:val="24"/>
        </w:rPr>
      </w:pPr>
      <w:r w:rsidRPr="0035237F">
        <w:rPr>
          <w:rFonts w:ascii="Palatino Linotype" w:eastAsia="Palatino Linotype" w:hAnsi="Palatino Linotype" w:cs="Palatino Linotype"/>
          <w:b/>
          <w:sz w:val="24"/>
          <w:szCs w:val="24"/>
        </w:rPr>
        <w:t>Procedimiento concluido por faltas administrativas graves.</w:t>
      </w:r>
    </w:p>
    <w:p w14:paraId="0CC77BC2"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5BE379F9" w14:textId="77777777" w:rsidR="00724E79" w:rsidRPr="0035237F" w:rsidRDefault="00312C60">
      <w:pPr>
        <w:tabs>
          <w:tab w:val="left" w:pos="3962"/>
        </w:tabs>
        <w:spacing w:after="0" w:line="360" w:lineRule="auto"/>
        <w:jc w:val="both"/>
        <w:rPr>
          <w:rFonts w:ascii="Palatino Linotype" w:eastAsia="Palatino Linotype" w:hAnsi="Palatino Linotype" w:cs="Palatino Linotype"/>
          <w:b/>
          <w:sz w:val="24"/>
          <w:szCs w:val="24"/>
        </w:rPr>
      </w:pPr>
      <w:r w:rsidRPr="0035237F">
        <w:rPr>
          <w:rFonts w:ascii="Palatino Linotype" w:eastAsia="Palatino Linotype" w:hAnsi="Palatino Linotype" w:cs="Palatino Linotype"/>
          <w:sz w:val="24"/>
          <w:szCs w:val="24"/>
        </w:rPr>
        <w:t xml:space="preserve">Al respecto, cabe señalar que, si bien entregar el pronunciamiento respecto a la existencia de un procedimiento de sanción administrativa, podría generar una percepción negativa de éste, ocasionando un perjuicio en su </w:t>
      </w:r>
      <w:r w:rsidRPr="0035237F">
        <w:rPr>
          <w:rFonts w:ascii="Palatino Linotype" w:eastAsia="Palatino Linotype" w:hAnsi="Palatino Linotype" w:cs="Palatino Linotype"/>
          <w:b/>
          <w:sz w:val="24"/>
          <w:szCs w:val="24"/>
        </w:rPr>
        <w:t xml:space="preserve">honor, intimidad, buena imagen y nombre, así como a su vida privada, </w:t>
      </w:r>
      <w:r w:rsidRPr="0035237F">
        <w:rPr>
          <w:rFonts w:ascii="Palatino Linotype" w:eastAsia="Palatino Linotype" w:hAnsi="Palatino Linotype" w:cs="Palatino Linotype"/>
          <w:sz w:val="24"/>
          <w:szCs w:val="24"/>
        </w:rPr>
        <w:t xml:space="preserve">también lo es, que en el presente caso se trataría de </w:t>
      </w:r>
      <w:r w:rsidRPr="0035237F">
        <w:rPr>
          <w:rFonts w:ascii="Palatino Linotype" w:eastAsia="Palatino Linotype" w:hAnsi="Palatino Linotype" w:cs="Palatino Linotype"/>
          <w:b/>
          <w:sz w:val="24"/>
          <w:szCs w:val="24"/>
        </w:rPr>
        <w:t>faltas graves.</w:t>
      </w:r>
    </w:p>
    <w:p w14:paraId="40CB1DA6" w14:textId="77777777" w:rsidR="00724E79" w:rsidRPr="0035237F" w:rsidRDefault="00724E79">
      <w:pPr>
        <w:tabs>
          <w:tab w:val="left" w:pos="3962"/>
        </w:tabs>
        <w:spacing w:after="0" w:line="360" w:lineRule="auto"/>
        <w:jc w:val="both"/>
        <w:rPr>
          <w:rFonts w:ascii="Palatino Linotype" w:eastAsia="Palatino Linotype" w:hAnsi="Palatino Linotype" w:cs="Palatino Linotype"/>
          <w:b/>
          <w:sz w:val="24"/>
          <w:szCs w:val="24"/>
        </w:rPr>
      </w:pPr>
    </w:p>
    <w:p w14:paraId="4B3D3B20"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Al respecto, en términos del artículo 52 y 82 de la Ley de Responsabilidades Administrativas del Estado de México y Municipios, establece que son faltas administrativas graves, cuando un servidor público cometa cohecho, peculado, desvío de recursos públicos, abuso de funciones, realizar hostigamiento y acoso sexual, enriquecimiento oculto, tráfico de influencias, entre otros, los cuales recaer en diversas sanciones, entre las que se encuentran la destitución o en su caso, la sanción económica.</w:t>
      </w:r>
    </w:p>
    <w:p w14:paraId="071221F4"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5DAD539F"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Además, cabe señalar que la mayoría de dichas conductas, se encuentran reguladas en el Título Sexto Delitos por Hechos de Corrupción, del Código Penal del Estado </w:t>
      </w:r>
      <w:r w:rsidRPr="0035237F">
        <w:rPr>
          <w:rFonts w:ascii="Palatino Linotype" w:eastAsia="Palatino Linotype" w:hAnsi="Palatino Linotype" w:cs="Palatino Linotype"/>
          <w:sz w:val="24"/>
          <w:szCs w:val="24"/>
        </w:rPr>
        <w:lastRenderedPageBreak/>
        <w:t>de México, en donde se prevé como delitos el abuso de autoridad, uso ilícito de atribuciones, ejercicio abusivo de funciones, cohecho, peculado y enriquecimiento ilícito.</w:t>
      </w:r>
    </w:p>
    <w:p w14:paraId="5D6DEDA0"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5D41FE6C"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Conforme a lo anterior, se logra vislumbrar que las faltas administrativas graves, causan un perjuicio de manera externa, esto es, a terceras personas o bien, a la hacienda o erario público; por lo que, se podría considerar que existe una trascendencia social, para dar a conocer dicha información, además que se relacionan dichas conductas con actos de corrupción, conforme a la normatividad citada en el párrafo previo.</w:t>
      </w:r>
    </w:p>
    <w:p w14:paraId="47CA5345"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37E95655"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En ese orden de ideas, si bien el nombre de los servidores públicos sancionados por un procedimientos de responsabilidades administrativas por faltas graves, en caso de existir, podrían generar una percepción negativa de éste, ocasionando un perjuicio en su honor, intimidad y buena imagen de un trabajador gubernamental, también lo es que existe un interés público en darlas a conocer, pues establecen que el actuar de un servidor público, en ejercicio de sus atribuciones, fue en contra de las disposiciones normativas aplicables y que causaron un perjuicio a otras personas o al erario público.</w:t>
      </w:r>
    </w:p>
    <w:p w14:paraId="0DA1D3AC"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14422A54"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Ante tales circunstancias, se desprende que, en el caso concreto, sobreviene una </w:t>
      </w:r>
      <w:r w:rsidRPr="0035237F">
        <w:rPr>
          <w:rFonts w:ascii="Palatino Linotype" w:eastAsia="Palatino Linotype" w:hAnsi="Palatino Linotype" w:cs="Palatino Linotype"/>
          <w:b/>
          <w:sz w:val="24"/>
          <w:szCs w:val="24"/>
        </w:rPr>
        <w:t>colisión de derechos fundamentales,</w:t>
      </w:r>
      <w:r w:rsidRPr="0035237F">
        <w:rPr>
          <w:rFonts w:ascii="Palatino Linotype" w:eastAsia="Palatino Linotype" w:hAnsi="Palatino Linotype" w:cs="Palatino Linotype"/>
          <w:sz w:val="24"/>
          <w:szCs w:val="24"/>
        </w:rPr>
        <w:t xml:space="preserve"> esto es, por una parte, se tiene el derecho de acceso a la información del Particular para conocer la información en análisis, y por </w:t>
      </w:r>
      <w:r w:rsidRPr="0035237F">
        <w:rPr>
          <w:rFonts w:ascii="Palatino Linotype" w:eastAsia="Palatino Linotype" w:hAnsi="Palatino Linotype" w:cs="Palatino Linotype"/>
          <w:sz w:val="24"/>
          <w:szCs w:val="24"/>
        </w:rPr>
        <w:lastRenderedPageBreak/>
        <w:t>la otra, el derecho a la protección de la vida privada de un servidor público, lo cual implica dar a conocer información confidencial consistente en dar a conocer que estuvo inmerso en un procedimiento de responsabilidad administrativa de falta grave.</w:t>
      </w:r>
    </w:p>
    <w:p w14:paraId="495E9EE0"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4E01C05B"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Sobre el particular, debe señalarse que, en un sistema jurídico racional, el contenido de ciertos derechos fundamentales no es absoluto y la colisión entre derechos fundamentales debe resolverse mediante una ponderación que determine el derecho que ha de prevalecer en el caso concretó, y no apelando a reglas de prioridad entre normas.</w:t>
      </w:r>
    </w:p>
    <w:p w14:paraId="343D39C0"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2BDD5AA9"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Por cuanto hace a la colisión entre el derecho a la información y el derecho a la intimidad o a la vida privada, el Poder Judicial de la Federación ha sostenido la </w:t>
      </w:r>
      <w:r w:rsidRPr="0035237F">
        <w:rPr>
          <w:rFonts w:ascii="Palatino Linotype" w:eastAsia="Palatino Linotype" w:hAnsi="Palatino Linotype" w:cs="Palatino Linotype"/>
          <w:b/>
          <w:sz w:val="24"/>
          <w:szCs w:val="24"/>
        </w:rPr>
        <w:t xml:space="preserve">necesidad de resolver el conflicto apuntado mediante el ejercicio de ponderación; además, que el interés público que tenga cierta información, será concepto legitimador de las intromisiones en la intimidad o la vida privada, en donde este derecho debe ceder a favor del derecho a comunicar y recibir información, atendiendo a las circunstancias de cada caso en concreto, </w:t>
      </w:r>
      <w:r w:rsidRPr="0035237F">
        <w:rPr>
          <w:rFonts w:ascii="Palatino Linotype" w:eastAsia="Palatino Linotype" w:hAnsi="Palatino Linotype" w:cs="Palatino Linotype"/>
          <w:sz w:val="24"/>
          <w:szCs w:val="24"/>
        </w:rPr>
        <w:t>tal y como se desprende de la tesis 1a. XLIII/2010, emitida por la Primera Sala de la Suprema Corte de Justicia de la Nación, publicada en el Semanario Judicial de la Federación y su Gaceta, Tomo XXXI, página 928, de marzo de 2010, Novena Época, materia constitucional.</w:t>
      </w:r>
    </w:p>
    <w:p w14:paraId="65EBCC0D"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21FFF394" w14:textId="77777777" w:rsidR="00724E79" w:rsidRPr="0035237F" w:rsidRDefault="00312C60">
      <w:pPr>
        <w:tabs>
          <w:tab w:val="left" w:pos="3962"/>
        </w:tabs>
        <w:spacing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lastRenderedPageBreak/>
        <w:t xml:space="preserve">En ese mismo sentido y atendiendo a la naturaleza del derecho a la protección de datos personales, por analogía, este debe ceder cuando exista un interés público mayor de acuerdo a las circunstancias del caso. Señalado lo anterior, resulta necesario realizar una ponderación de los dos intereses jurídicos tutelados que convergen en la controversia que se dirime; para lo cual, el artículo 184 de la Ley de Transparencia y Acceso a la Información Pública del Estado de México y Municipios prevé que cuando exista una colisión de derechos, este Instituto, al resolver el recurso de revisión, debe aplicar una prueba de interés público con base en elementos de idoneidad, necesidad y proporcionalidad. Para estos efectos, se entenderá por: </w:t>
      </w:r>
    </w:p>
    <w:p w14:paraId="73303AF8" w14:textId="77777777" w:rsidR="00724E79" w:rsidRPr="0035237F" w:rsidRDefault="00724E79">
      <w:pPr>
        <w:tabs>
          <w:tab w:val="left" w:pos="3962"/>
        </w:tabs>
        <w:spacing w:line="360" w:lineRule="auto"/>
        <w:jc w:val="both"/>
        <w:rPr>
          <w:rFonts w:ascii="Palatino Linotype" w:eastAsia="Palatino Linotype" w:hAnsi="Palatino Linotype" w:cs="Palatino Linotype"/>
        </w:rPr>
      </w:pPr>
    </w:p>
    <w:p w14:paraId="1C5343DE" w14:textId="77777777" w:rsidR="00724E79" w:rsidRPr="0035237F" w:rsidRDefault="00312C60">
      <w:pPr>
        <w:numPr>
          <w:ilvl w:val="0"/>
          <w:numId w:val="4"/>
        </w:numPr>
        <w:tabs>
          <w:tab w:val="left" w:pos="3962"/>
        </w:tabs>
        <w:spacing w:after="0" w:line="360" w:lineRule="auto"/>
        <w:jc w:val="both"/>
        <w:rPr>
          <w:rFonts w:ascii="Palatino Linotype" w:eastAsia="Palatino Linotype" w:hAnsi="Palatino Linotype" w:cs="Palatino Linotype"/>
        </w:rPr>
      </w:pPr>
      <w:r w:rsidRPr="0035237F">
        <w:rPr>
          <w:rFonts w:ascii="Palatino Linotype" w:eastAsia="Palatino Linotype" w:hAnsi="Palatino Linotype" w:cs="Palatino Linotype"/>
          <w:b/>
        </w:rPr>
        <w:t>Idoneidad:</w:t>
      </w:r>
      <w:r w:rsidRPr="0035237F">
        <w:rPr>
          <w:rFonts w:ascii="Palatino Linotype" w:eastAsia="Palatino Linotype" w:hAnsi="Palatino Linotype" w:cs="Palatino Linotype"/>
        </w:rPr>
        <w:t xml:space="preserve"> La legitimidad del derecho adoptado como preferente, que sea el adecuado para el logro de un fin constitucionalmente válido o apto para conseguir el fin pretendido;</w:t>
      </w:r>
    </w:p>
    <w:p w14:paraId="415F5438" w14:textId="77777777" w:rsidR="00724E79" w:rsidRPr="0035237F" w:rsidRDefault="00312C60">
      <w:pPr>
        <w:numPr>
          <w:ilvl w:val="0"/>
          <w:numId w:val="4"/>
        </w:numPr>
        <w:tabs>
          <w:tab w:val="left" w:pos="3962"/>
        </w:tabs>
        <w:spacing w:after="0" w:line="360" w:lineRule="auto"/>
        <w:jc w:val="both"/>
        <w:rPr>
          <w:rFonts w:ascii="Palatino Linotype" w:eastAsia="Palatino Linotype" w:hAnsi="Palatino Linotype" w:cs="Palatino Linotype"/>
        </w:rPr>
      </w:pPr>
      <w:r w:rsidRPr="0035237F">
        <w:rPr>
          <w:rFonts w:ascii="Palatino Linotype" w:eastAsia="Palatino Linotype" w:hAnsi="Palatino Linotype" w:cs="Palatino Linotype"/>
          <w:b/>
        </w:rPr>
        <w:t>Necesidad:</w:t>
      </w:r>
      <w:r w:rsidRPr="0035237F">
        <w:rPr>
          <w:rFonts w:ascii="Palatino Linotype" w:eastAsia="Palatino Linotype" w:hAnsi="Palatino Linotype" w:cs="Palatino Linotype"/>
        </w:rPr>
        <w:t xml:space="preserve"> La falta de un medio alternativo menos lesivo a la apertura de la información, para satisfacer el interés público, y</w:t>
      </w:r>
    </w:p>
    <w:p w14:paraId="012EC782" w14:textId="77777777" w:rsidR="00724E79" w:rsidRPr="0035237F" w:rsidRDefault="00312C60">
      <w:pPr>
        <w:numPr>
          <w:ilvl w:val="0"/>
          <w:numId w:val="4"/>
        </w:numPr>
        <w:tabs>
          <w:tab w:val="left" w:pos="3962"/>
        </w:tabs>
        <w:spacing w:after="0" w:line="360" w:lineRule="auto"/>
        <w:jc w:val="both"/>
        <w:rPr>
          <w:rFonts w:ascii="Palatino Linotype" w:eastAsia="Palatino Linotype" w:hAnsi="Palatino Linotype" w:cs="Palatino Linotype"/>
        </w:rPr>
      </w:pPr>
      <w:r w:rsidRPr="0035237F">
        <w:rPr>
          <w:rFonts w:ascii="Palatino Linotype" w:eastAsia="Palatino Linotype" w:hAnsi="Palatino Linotype" w:cs="Palatino Linotype"/>
          <w:b/>
        </w:rPr>
        <w:t>Proporcionalidad:</w:t>
      </w:r>
      <w:r w:rsidRPr="0035237F">
        <w:rPr>
          <w:rFonts w:ascii="Palatino Linotype" w:eastAsia="Palatino Linotype" w:hAnsi="Palatino Linotype" w:cs="Palatino Linotype"/>
        </w:rPr>
        <w:t xml:space="preserve"> El equilibrio entre perjuicio y beneficio a favor del interés público, a fin de que la decisión tomada represente un beneficio mayor al perjuicio que podría causar a la población.</w:t>
      </w:r>
    </w:p>
    <w:p w14:paraId="7AA86D90" w14:textId="77777777" w:rsidR="00724E79" w:rsidRPr="0035237F" w:rsidRDefault="00724E79">
      <w:pPr>
        <w:tabs>
          <w:tab w:val="left" w:pos="3962"/>
        </w:tabs>
        <w:spacing w:line="360" w:lineRule="auto"/>
        <w:jc w:val="both"/>
        <w:rPr>
          <w:rFonts w:ascii="Palatino Linotype" w:eastAsia="Palatino Linotype" w:hAnsi="Palatino Linotype" w:cs="Palatino Linotype"/>
          <w:sz w:val="24"/>
          <w:szCs w:val="24"/>
        </w:rPr>
      </w:pPr>
    </w:p>
    <w:p w14:paraId="2A801504"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En ese orden de ideas, resulta procedente analizar cada uno de los elementos referidos, partiendo de que, en el caso concreto, se estima como preferente el derecho de acceso a la información, bajo las consideraciones que se verterán a continuación.</w:t>
      </w:r>
    </w:p>
    <w:p w14:paraId="0EB30875"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0558275B" w14:textId="77777777" w:rsidR="00724E79" w:rsidRPr="0035237F" w:rsidRDefault="00312C60">
      <w:pPr>
        <w:tabs>
          <w:tab w:val="left" w:pos="3962"/>
        </w:tabs>
        <w:spacing w:after="0" w:line="360" w:lineRule="auto"/>
        <w:jc w:val="both"/>
        <w:rPr>
          <w:rFonts w:ascii="Palatino Linotype" w:eastAsia="Palatino Linotype" w:hAnsi="Palatino Linotype" w:cs="Palatino Linotype"/>
          <w:b/>
          <w:sz w:val="24"/>
          <w:szCs w:val="24"/>
        </w:rPr>
      </w:pPr>
      <w:r w:rsidRPr="0035237F">
        <w:rPr>
          <w:rFonts w:ascii="Palatino Linotype" w:eastAsia="Palatino Linotype" w:hAnsi="Palatino Linotype" w:cs="Palatino Linotype"/>
          <w:b/>
          <w:sz w:val="24"/>
          <w:szCs w:val="24"/>
        </w:rPr>
        <w:t>a) Idoneidad</w:t>
      </w:r>
      <w:r w:rsidRPr="0035237F">
        <w:rPr>
          <w:rFonts w:ascii="Palatino Linotype" w:eastAsia="Palatino Linotype" w:hAnsi="Palatino Linotype" w:cs="Palatino Linotype"/>
          <w:sz w:val="24"/>
          <w:szCs w:val="24"/>
        </w:rPr>
        <w:t>. El presente asunto representa un caso en el que el ejercicio del derecho de acceso a la información se contrapone al derecho a la vida privada; los cuales se encuentran reconocidos en el plano constitucional, en igualdad de características para los gobernados.</w:t>
      </w:r>
    </w:p>
    <w:p w14:paraId="21EA800A" w14:textId="77777777" w:rsidR="00724E79" w:rsidRPr="0035237F" w:rsidRDefault="00724E79">
      <w:pPr>
        <w:tabs>
          <w:tab w:val="left" w:pos="3962"/>
        </w:tabs>
        <w:spacing w:after="0" w:line="360" w:lineRule="auto"/>
        <w:jc w:val="both"/>
        <w:rPr>
          <w:rFonts w:ascii="Palatino Linotype" w:eastAsia="Palatino Linotype" w:hAnsi="Palatino Linotype" w:cs="Palatino Linotype"/>
          <w:b/>
          <w:sz w:val="24"/>
          <w:szCs w:val="24"/>
        </w:rPr>
      </w:pPr>
    </w:p>
    <w:p w14:paraId="3C3EB907"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Sin embargo, en el presente caso, existen dos fines válidos para otorgar los expedientes de procedimientos de responsabilidades administrativas graves, en caso de existir; los cuales, consisten en transparentar, por un lado, el desempeño de la extrabajadora en cuestión en el ejercicio de sus funciones, con la finalidad de calificar su actuar, ello con independencia de que tal funcionario también revista el carácter de persona física identificada e identificable, y por otro lado, la actividad desplegada por el Órgano Interno de Control de dicho ente y del Tribunal de Justicia Administrativa del Estado de México, en la investigación y determinación de los asuntos. Aunado, a que se relacionan dichas faltas, con actos de corrupción.</w:t>
      </w:r>
    </w:p>
    <w:p w14:paraId="4D4D20A0" w14:textId="77777777" w:rsidR="00724E79" w:rsidRPr="0035237F" w:rsidRDefault="00724E79">
      <w:pPr>
        <w:tabs>
          <w:tab w:val="left" w:pos="3962"/>
        </w:tabs>
        <w:spacing w:after="0" w:line="360" w:lineRule="auto"/>
        <w:jc w:val="both"/>
        <w:rPr>
          <w:rFonts w:ascii="Palatino Linotype" w:eastAsia="Palatino Linotype" w:hAnsi="Palatino Linotype" w:cs="Palatino Linotype"/>
          <w:b/>
          <w:sz w:val="24"/>
          <w:szCs w:val="24"/>
        </w:rPr>
      </w:pPr>
    </w:p>
    <w:p w14:paraId="22E98739"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Ahora bien, respecto al derecho al honor y a la privacidad, es establecido que cuando se hace referencia a servidores públicos, el umbral de protección del derecho a su honor debe permitir el más amplio control ciudadano sobre el ejercicio de sus funciones, porque el funcionario público se expone voluntariamente al escrutinio de la sociedad al asumir ciertas responsabilidades profesionales -lo que conlleva naturalmente mayores riesgos de sufrir afectaciones en su honor- y porque su condición le permite tener mayor influencia social y acceder con facilidad a los </w:t>
      </w:r>
      <w:r w:rsidRPr="0035237F">
        <w:rPr>
          <w:rFonts w:ascii="Palatino Linotype" w:eastAsia="Palatino Linotype" w:hAnsi="Palatino Linotype" w:cs="Palatino Linotype"/>
          <w:sz w:val="24"/>
          <w:szCs w:val="24"/>
        </w:rPr>
        <w:lastRenderedPageBreak/>
        <w:t>medios de comunicación para dar explicaciones o reaccionar ante hechos que lo involucren.</w:t>
      </w:r>
    </w:p>
    <w:p w14:paraId="73F55B2A"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26B742B6"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Así, se advierte que aquellas personas con responsabilidades públicas mantienen la protección derivada del derecho al honor incluso cuando no estén actuando en carácter de particulares, pero las implicaciones de esta protección deben ser ponderadas con las que derivan del interés en un debate abierto sobre los asuntos públicos.</w:t>
      </w:r>
    </w:p>
    <w:p w14:paraId="5F86FBAF"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587251EC"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En ese sentido, el hecho de que los servidores públicos concluyan sus funciones, no implica que termine el mayor nivel de tolerancia frente a la crítica de su desempeño, es decir, no significa que una vez que el servidor público termine su encargo, debe estar vedado publicar información </w:t>
      </w:r>
      <w:r w:rsidRPr="0035237F">
        <w:rPr>
          <w:rFonts w:ascii="Palatino Linotype" w:eastAsia="Palatino Linotype" w:hAnsi="Palatino Linotype" w:cs="Palatino Linotype"/>
          <w:b/>
          <w:sz w:val="24"/>
          <w:szCs w:val="24"/>
        </w:rPr>
        <w:t>respecto de su desempeño</w:t>
      </w:r>
      <w:r w:rsidRPr="0035237F">
        <w:rPr>
          <w:rFonts w:ascii="Palatino Linotype" w:eastAsia="Palatino Linotype" w:hAnsi="Palatino Linotype" w:cs="Palatino Linotype"/>
          <w:sz w:val="24"/>
          <w:szCs w:val="24"/>
        </w:rPr>
        <w:t xml:space="preserve"> o que se termine el mayor nivel de tolerancia que debe tener frente a la crítica, sino que ese mayor nivel de tolerancia, sólo se tiene frente a la información de interés público.</w:t>
      </w:r>
    </w:p>
    <w:p w14:paraId="34BDB369"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6C989377"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En ese contexto, dado que la información se relaciona con el actuar de los servidores públicos adscritos a</w:t>
      </w:r>
      <w:r w:rsidR="0020286B" w:rsidRPr="0035237F">
        <w:rPr>
          <w:rFonts w:ascii="Palatino Linotype" w:eastAsia="Palatino Linotype" w:hAnsi="Palatino Linotype" w:cs="Palatino Linotype"/>
          <w:sz w:val="24"/>
          <w:szCs w:val="24"/>
        </w:rPr>
        <w:t>l Órgano Interno de Control</w:t>
      </w:r>
      <w:r w:rsidRPr="0035237F">
        <w:rPr>
          <w:rFonts w:ascii="Palatino Linotype" w:eastAsia="Palatino Linotype" w:hAnsi="Palatino Linotype" w:cs="Palatino Linotype"/>
          <w:sz w:val="24"/>
          <w:szCs w:val="24"/>
        </w:rPr>
        <w:t xml:space="preserve">, </w:t>
      </w:r>
      <w:r w:rsidRPr="0035237F">
        <w:rPr>
          <w:rFonts w:ascii="Palatino Linotype" w:eastAsia="Palatino Linotype" w:hAnsi="Palatino Linotype" w:cs="Palatino Linotype"/>
          <w:b/>
          <w:sz w:val="24"/>
          <w:szCs w:val="24"/>
        </w:rPr>
        <w:t xml:space="preserve">existe un interés público por conocer </w:t>
      </w:r>
      <w:r w:rsidRPr="0035237F">
        <w:rPr>
          <w:rFonts w:ascii="Palatino Linotype" w:eastAsia="Palatino Linotype" w:hAnsi="Palatino Linotype" w:cs="Palatino Linotype"/>
          <w:sz w:val="24"/>
          <w:szCs w:val="24"/>
        </w:rPr>
        <w:t xml:space="preserve">si </w:t>
      </w:r>
      <w:r w:rsidR="0020286B" w:rsidRPr="0035237F">
        <w:rPr>
          <w:rFonts w:ascii="Palatino Linotype" w:eastAsia="Palatino Linotype" w:hAnsi="Palatino Linotype" w:cs="Palatino Linotype"/>
          <w:sz w:val="24"/>
          <w:szCs w:val="24"/>
        </w:rPr>
        <w:t>los servidores públicos referidos en la solicitud</w:t>
      </w:r>
      <w:r w:rsidRPr="0035237F">
        <w:rPr>
          <w:rFonts w:ascii="Palatino Linotype" w:eastAsia="Palatino Linotype" w:hAnsi="Palatino Linotype" w:cs="Palatino Linotype"/>
          <w:sz w:val="24"/>
          <w:szCs w:val="24"/>
        </w:rPr>
        <w:t xml:space="preserve"> fue</w:t>
      </w:r>
      <w:r w:rsidR="0020286B" w:rsidRPr="0035237F">
        <w:rPr>
          <w:rFonts w:ascii="Palatino Linotype" w:eastAsia="Palatino Linotype" w:hAnsi="Palatino Linotype" w:cs="Palatino Linotype"/>
          <w:sz w:val="24"/>
          <w:szCs w:val="24"/>
        </w:rPr>
        <w:t>ron sancionados</w:t>
      </w:r>
      <w:r w:rsidRPr="0035237F">
        <w:rPr>
          <w:rFonts w:ascii="Palatino Linotype" w:eastAsia="Palatino Linotype" w:hAnsi="Palatino Linotype" w:cs="Palatino Linotype"/>
          <w:sz w:val="24"/>
          <w:szCs w:val="24"/>
        </w:rPr>
        <w:t xml:space="preserve">, y, por lo tanto, la información del interés del Particular no es susceptible de protección en tanto que su vinculación con una persona determinada reviste un interés público mayor de ser dado a conocer. </w:t>
      </w:r>
    </w:p>
    <w:p w14:paraId="345E31A5"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1CA352B2"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lastRenderedPageBreak/>
        <w:t>Lo anterior, ya que como se precisó en párrafos anteriores, proporcionar la información de referencia, garantizaría la rendición de cuentas por parte del Órgano Interno de Control y del Tribunal de Justicia Administrativa del Estado de México, relativo a su actuación, teniendo como consecuencia que los ciudadanos tengan confianza en sus autoridades, al poder conocer el nombre de los servidores públicos que fueron sancionados por una falta grave.</w:t>
      </w:r>
    </w:p>
    <w:p w14:paraId="40A842A4"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12116E77"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Además, que, con dicha información, se estaría revelando que el desempeño de estos, no fue conforme a derecho, asimismo, de dar a conocer que los referidos acreditaron que había cometido faltas graves e inclusive actos de corrupción.</w:t>
      </w:r>
    </w:p>
    <w:p w14:paraId="41C77963"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1C88A09C"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Con base en lo anterior, se considera que el principio que se debe adoptar en el presente asunto es el que subyace en el derecho fundamental de acceso a la información, puesto que a través de éste se busca no sólo satisfacer un interés individual, sino la necesidad de la colectividad de estar en posibilidad de evaluar el desempeño de los servidores públicos y autoridades.</w:t>
      </w:r>
    </w:p>
    <w:p w14:paraId="40864BC0"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7B14DEBC"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 xml:space="preserve">b) Necesidad: </w:t>
      </w:r>
      <w:r w:rsidRPr="0035237F">
        <w:rPr>
          <w:rFonts w:ascii="Palatino Linotype" w:eastAsia="Palatino Linotype" w:hAnsi="Palatino Linotype" w:cs="Palatino Linotype"/>
          <w:sz w:val="24"/>
          <w:szCs w:val="24"/>
        </w:rPr>
        <w:t xml:space="preserve">Por otra parte, este Instituto observa que también se actualiza el principio de necesidad, ya que no existe un medio menos oneroso para lograr el fin válido, pues se estima necesaria la difusión, en caso de existir, de la información requerida, es decir, del nombre de los servidores públicos sancionados, pues se relacionan con el ejercicio de sus funciones de los cargos ocupados, a fin de que los ciudadanos identifiquen el tipo de desempeño efectuado por el trabajador, en el </w:t>
      </w:r>
      <w:r w:rsidRPr="0035237F">
        <w:rPr>
          <w:rFonts w:ascii="Palatino Linotype" w:eastAsia="Palatino Linotype" w:hAnsi="Palatino Linotype" w:cs="Palatino Linotype"/>
          <w:sz w:val="24"/>
          <w:szCs w:val="24"/>
        </w:rPr>
        <w:lastRenderedPageBreak/>
        <w:t>ejercicio de sus atribuciones, con la finalidad de calificar su actuar, ello con independencia de que el funcionario también revista el carácter de persona física identificada e identificable, pues, tal como se hizo alusión en el análisis que precede, la protección de sus datos personales queda supeditada al interés mayor de conocer los motivos y circunstancias que dieron origen a las posibles responsabilidades administrativas instauradas en su contra, que en su caso obren en los archivos.</w:t>
      </w:r>
    </w:p>
    <w:p w14:paraId="6AB1D844"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43C2A037"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Además, ello permite evaluar la actuación tanto del Tribunal de Justicia Administrativa del Estado de México, como del Órgano Interno de Control, pues se podrá advertir la forma en la que ejercieron las funciones que legalmente tiene conferidas.</w:t>
      </w:r>
    </w:p>
    <w:p w14:paraId="1C892CF5"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558E77B6"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Lo anterior, considerando que sólo por esta vía se podría lograr el acceso a la información correspondiente a los documentos del interés del Particular, para garantizar la rendición de cuentas sobre su actuación, así como, la de los servidores públicos sancionados.</w:t>
      </w:r>
    </w:p>
    <w:p w14:paraId="5593709C"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1453F54E"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Situación que se robustece, con el hecho de que el artículo 27 de la Ley General de Responsabilidades Administrativas, cuarto párrafo, específica que se hará público, las constancias de sanciones o de inhabilitación que se encuentren firmes, en contra de los servidores públicos que hayan sido sancionados por actos vinculados con faltas administrativas graves; de la misma manera, lo prevé el artículo 28, de la Ley de Responsabilidades Administrativas del Estado de México.</w:t>
      </w:r>
    </w:p>
    <w:p w14:paraId="73F662A3"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4E32F4FC"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En tal virtud, por la trascendencia social de la materia del requerimiento, el derecho de acceso a la información deberá prevalecer sobre el derecho a la privacidad; aunado, a que, por disposición legal, la información relacionada con faltas graves de servidores públicos, guardan el carácter de público.</w:t>
      </w:r>
    </w:p>
    <w:p w14:paraId="13ED456F" w14:textId="77777777" w:rsidR="00724E79" w:rsidRPr="0035237F" w:rsidRDefault="00724E79">
      <w:pPr>
        <w:tabs>
          <w:tab w:val="left" w:pos="3962"/>
        </w:tabs>
        <w:spacing w:after="0" w:line="360" w:lineRule="auto"/>
        <w:jc w:val="both"/>
        <w:rPr>
          <w:rFonts w:ascii="Palatino Linotype" w:eastAsia="Palatino Linotype" w:hAnsi="Palatino Linotype" w:cs="Palatino Linotype"/>
          <w:b/>
          <w:sz w:val="24"/>
          <w:szCs w:val="24"/>
        </w:rPr>
      </w:pPr>
    </w:p>
    <w:p w14:paraId="108D7DA8"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c) Proporcionalidad en sentido estricto:</w:t>
      </w:r>
      <w:r w:rsidRPr="0035237F">
        <w:rPr>
          <w:rFonts w:ascii="Palatino Linotype" w:eastAsia="Palatino Linotype" w:hAnsi="Palatino Linotype" w:cs="Palatino Linotype"/>
          <w:sz w:val="24"/>
          <w:szCs w:val="24"/>
        </w:rPr>
        <w:t xml:space="preserve"> El sacrificio de la protección del nombre de los servidores públicos, en caso de que haya sido sujeto a proceso y cuente con una resolución condenatoria por haber cometido faltas administrativas graves, relacionadas con el desempeño de sus funciones, como medio para lograr el fin válido señalado, se justifica en razón de que se satisface el interés público en conocer el desempeño de sus funciones como trabajador gubernamental, esto es, que no actuó conforme a derecho, así como, la actividad desplegada por las autoridades correspondientes, en el trámite de dichos asuntos. Además, que como se precisó en párrafos previos, dichas faltas recaen en una afectación, para terceras personas, o bien, al erario público.</w:t>
      </w:r>
    </w:p>
    <w:p w14:paraId="1F1A50B4"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4F96C57C"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De esta manera, se logra un mayor beneficio en proporción del otro derecho que se verá restringido, logrando publicitar información que es de interés público, por lo que, se advierte que el daño que se causaría con su difusión es menor a aquél que se causaría con su resguardo.</w:t>
      </w:r>
    </w:p>
    <w:p w14:paraId="6622F372"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65E24E9A"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lastRenderedPageBreak/>
        <w:t>En ese orden de ideas, es posible advertir un margen de beneficio mayor al favorecer el derecho de acceso a la información, respecto del derecho a la vida privada; por lo que, la intervención que subsume este ejercicio de ponderación apunta a la obtención de mayores efectos positivos y una afectación menor en la esfera de privacidad de los servidores públicos.</w:t>
      </w:r>
    </w:p>
    <w:p w14:paraId="35EE6341"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15629161"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Asimismo se robustece con el hecho de que la difusión de la información solicitada contribuiría a garantizar el ejercicio de acceso a la información, a favorecer la rendición de cuentas a los ciudadanos, de manera que puedan valorar el desempeño de los sujetos obligados y servidores públicos, además de fortalecer el escrutinio ciudadano sobre las actividades sustantivas de los sujetos obligados, en cumplimiento a los objetivos previstos en el artículo 2 de la Ley Federal de Transparencia y Acceso a la Información Pública.</w:t>
      </w:r>
    </w:p>
    <w:p w14:paraId="016FE4C6"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3CA82BB0" w14:textId="77777777" w:rsidR="00724E79" w:rsidRPr="0035237F" w:rsidRDefault="00312C60">
      <w:pPr>
        <w:tabs>
          <w:tab w:val="left" w:pos="3962"/>
        </w:tabs>
        <w:spacing w:after="0" w:line="360" w:lineRule="auto"/>
        <w:jc w:val="both"/>
        <w:rPr>
          <w:rFonts w:ascii="Palatino Linotype" w:eastAsia="Palatino Linotype" w:hAnsi="Palatino Linotype" w:cs="Palatino Linotype"/>
          <w:b/>
          <w:sz w:val="24"/>
          <w:szCs w:val="24"/>
        </w:rPr>
      </w:pPr>
      <w:r w:rsidRPr="0035237F">
        <w:rPr>
          <w:rFonts w:ascii="Palatino Linotype" w:eastAsia="Palatino Linotype" w:hAnsi="Palatino Linotype" w:cs="Palatino Linotype"/>
          <w:sz w:val="24"/>
          <w:szCs w:val="24"/>
        </w:rPr>
        <w:t xml:space="preserve">Por tanto, se concluye que, al tenor de la ponderación realizada, se cumple con los tres elementos para darle preminencia, en el caso concreto, </w:t>
      </w:r>
      <w:r w:rsidRPr="0035237F">
        <w:rPr>
          <w:rFonts w:ascii="Palatino Linotype" w:eastAsia="Palatino Linotype" w:hAnsi="Palatino Linotype" w:cs="Palatino Linotype"/>
          <w:b/>
          <w:sz w:val="24"/>
          <w:szCs w:val="24"/>
        </w:rPr>
        <w:t>al derecho de acceso a la información.</w:t>
      </w:r>
    </w:p>
    <w:p w14:paraId="1AA0DBC7" w14:textId="77777777" w:rsidR="00724E79" w:rsidRPr="0035237F" w:rsidRDefault="00724E79">
      <w:pPr>
        <w:tabs>
          <w:tab w:val="left" w:pos="3962"/>
        </w:tabs>
        <w:spacing w:after="0" w:line="360" w:lineRule="auto"/>
        <w:jc w:val="both"/>
        <w:rPr>
          <w:rFonts w:ascii="Palatino Linotype" w:eastAsia="Palatino Linotype" w:hAnsi="Palatino Linotype" w:cs="Palatino Linotype"/>
          <w:b/>
          <w:sz w:val="24"/>
          <w:szCs w:val="24"/>
        </w:rPr>
      </w:pPr>
    </w:p>
    <w:p w14:paraId="281C2242" w14:textId="77777777" w:rsidR="00724E79" w:rsidRPr="0035237F" w:rsidRDefault="00312C60">
      <w:pPr>
        <w:tabs>
          <w:tab w:val="left" w:pos="3962"/>
        </w:tabs>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Por lo expuesto, se determina que, en caso de existir procedimientos de responsabilidades administrativas por faltas graves concluidos, que se encuentren relacionados con el desempeño de las funciones del servidor público, si bien la difusión de la documentación afectaría los derechos a la confidencialidad, a la privacidad, al honor y a la propia imagen, también lo es que </w:t>
      </w:r>
      <w:r w:rsidRPr="0035237F">
        <w:rPr>
          <w:rFonts w:ascii="Palatino Linotype" w:eastAsia="Palatino Linotype" w:hAnsi="Palatino Linotype" w:cs="Palatino Linotype"/>
          <w:b/>
          <w:sz w:val="24"/>
          <w:szCs w:val="24"/>
        </w:rPr>
        <w:t xml:space="preserve">tratándose de asuntos </w:t>
      </w:r>
      <w:r w:rsidRPr="0035237F">
        <w:rPr>
          <w:rFonts w:ascii="Palatino Linotype" w:eastAsia="Palatino Linotype" w:hAnsi="Palatino Linotype" w:cs="Palatino Linotype"/>
          <w:b/>
          <w:sz w:val="24"/>
          <w:szCs w:val="24"/>
        </w:rPr>
        <w:lastRenderedPageBreak/>
        <w:t>relacionados con actos de corrupción, al ser faltas graves, tales prerrogativas quedan supeditadas al interés mayor de conocer tales eventualidades</w:t>
      </w:r>
      <w:r w:rsidRPr="0035237F">
        <w:rPr>
          <w:rFonts w:ascii="Palatino Linotype" w:eastAsia="Palatino Linotype" w:hAnsi="Palatino Linotype" w:cs="Palatino Linotype"/>
          <w:sz w:val="24"/>
          <w:szCs w:val="24"/>
        </w:rPr>
        <w:t xml:space="preserve"> y por lo tanto no procede su clasificación en términos del artículo 143, fracción I de la Ley de la materia.</w:t>
      </w:r>
    </w:p>
    <w:p w14:paraId="5A5B03F5" w14:textId="77777777" w:rsidR="00724E79" w:rsidRPr="0035237F" w:rsidRDefault="00724E79">
      <w:pPr>
        <w:tabs>
          <w:tab w:val="left" w:pos="3962"/>
        </w:tabs>
        <w:spacing w:after="0" w:line="360" w:lineRule="auto"/>
        <w:jc w:val="both"/>
        <w:rPr>
          <w:rFonts w:ascii="Palatino Linotype" w:eastAsia="Palatino Linotype" w:hAnsi="Palatino Linotype" w:cs="Palatino Linotype"/>
          <w:sz w:val="24"/>
          <w:szCs w:val="24"/>
        </w:rPr>
      </w:pPr>
    </w:p>
    <w:p w14:paraId="70B3C0DE" w14:textId="77777777" w:rsidR="00724E79" w:rsidRPr="0035237F" w:rsidRDefault="00312C60">
      <w:pPr>
        <w:spacing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Por lo tanto, se ordena el soporte documental que dé cuenta en términos del Criterio 03/19 emitido por el  Instituto Nacional de Transparencia, Acceso a la Información y Protección de Datos Personales de los procedimientos de responsabilidad administrativa instaurados en contra de los servidores públicos referidos en la solicitud, por desvío y robo de recursos públicos, así determinado, del trece de noviembre de dos mil veintitrés al trece de noviembre de dos mil veinticuatro, sin embargo, en caso de no contar con la información por no haberse generado bastará con que lo haga del conocimiento de </w:t>
      </w:r>
      <w:r w:rsidRPr="0035237F">
        <w:rPr>
          <w:rFonts w:ascii="Palatino Linotype" w:eastAsia="Palatino Linotype" w:hAnsi="Palatino Linotype" w:cs="Palatino Linotype"/>
          <w:b/>
          <w:sz w:val="24"/>
          <w:szCs w:val="24"/>
        </w:rPr>
        <w:t>LA PARTE RECURRENTE</w:t>
      </w:r>
      <w:r w:rsidRPr="0035237F">
        <w:rPr>
          <w:rFonts w:ascii="Palatino Linotype" w:eastAsia="Palatino Linotype" w:hAnsi="Palatino Linotype" w:cs="Palatino Linotype"/>
          <w:sz w:val="24"/>
          <w:szCs w:val="24"/>
        </w:rPr>
        <w:t xml:space="preserve"> de manera precisa y clara. </w:t>
      </w:r>
    </w:p>
    <w:tbl>
      <w:tblPr>
        <w:tblStyle w:val="a1"/>
        <w:tblW w:w="864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89"/>
        <w:gridCol w:w="4677"/>
        <w:gridCol w:w="1282"/>
      </w:tblGrid>
      <w:tr w:rsidR="00035C88" w:rsidRPr="0035237F" w14:paraId="38613B49" w14:textId="77777777">
        <w:trPr>
          <w:trHeight w:val="1257"/>
        </w:trPr>
        <w:tc>
          <w:tcPr>
            <w:tcW w:w="2689" w:type="dxa"/>
            <w:shd w:val="clear" w:color="auto" w:fill="AEAAAA"/>
          </w:tcPr>
          <w:p w14:paraId="3AFAEFF2" w14:textId="77777777" w:rsidR="00724E79" w:rsidRPr="0035237F" w:rsidRDefault="00312C60">
            <w:pPr>
              <w:spacing w:before="240" w:after="240" w:line="276" w:lineRule="auto"/>
              <w:jc w:val="both"/>
              <w:rPr>
                <w:rFonts w:ascii="Palatino Linotype" w:eastAsia="Palatino Linotype" w:hAnsi="Palatino Linotype" w:cs="Palatino Linotype"/>
                <w:sz w:val="20"/>
                <w:szCs w:val="20"/>
              </w:rPr>
            </w:pPr>
            <w:r w:rsidRPr="0035237F">
              <w:rPr>
                <w:rFonts w:ascii="Palatino Linotype" w:eastAsia="Palatino Linotype" w:hAnsi="Palatino Linotype" w:cs="Palatino Linotype"/>
                <w:b/>
                <w:sz w:val="20"/>
                <w:szCs w:val="20"/>
              </w:rPr>
              <w:t>Solicitud</w:t>
            </w:r>
            <w:r w:rsidRPr="0035237F">
              <w:rPr>
                <w:rFonts w:ascii="Palatino Linotype" w:eastAsia="Palatino Linotype" w:hAnsi="Palatino Linotype" w:cs="Palatino Linotype"/>
                <w:sz w:val="20"/>
                <w:szCs w:val="20"/>
              </w:rPr>
              <w:t xml:space="preserve"> </w:t>
            </w:r>
          </w:p>
        </w:tc>
        <w:tc>
          <w:tcPr>
            <w:tcW w:w="4677" w:type="dxa"/>
            <w:shd w:val="clear" w:color="auto" w:fill="AEAAAA"/>
          </w:tcPr>
          <w:p w14:paraId="47D3F4F3" w14:textId="77777777" w:rsidR="00724E79" w:rsidRPr="0035237F" w:rsidRDefault="00312C60">
            <w:pPr>
              <w:spacing w:before="240" w:after="240" w:line="360" w:lineRule="auto"/>
              <w:jc w:val="center"/>
              <w:rPr>
                <w:rFonts w:ascii="Palatino Linotype" w:eastAsia="Palatino Linotype" w:hAnsi="Palatino Linotype" w:cs="Palatino Linotype"/>
                <w:b/>
                <w:sz w:val="20"/>
                <w:szCs w:val="20"/>
              </w:rPr>
            </w:pPr>
            <w:r w:rsidRPr="0035237F">
              <w:rPr>
                <w:rFonts w:ascii="Palatino Linotype" w:eastAsia="Palatino Linotype" w:hAnsi="Palatino Linotype" w:cs="Palatino Linotype"/>
                <w:b/>
                <w:sz w:val="20"/>
                <w:szCs w:val="20"/>
              </w:rPr>
              <w:t>Respuesta</w:t>
            </w:r>
          </w:p>
        </w:tc>
        <w:tc>
          <w:tcPr>
            <w:tcW w:w="1282" w:type="dxa"/>
            <w:shd w:val="clear" w:color="auto" w:fill="AEAAAA"/>
          </w:tcPr>
          <w:p w14:paraId="2968E68B" w14:textId="77777777" w:rsidR="00724E79" w:rsidRPr="0035237F" w:rsidRDefault="00312C60">
            <w:pPr>
              <w:spacing w:before="240" w:after="240" w:line="360" w:lineRule="auto"/>
              <w:jc w:val="center"/>
              <w:rPr>
                <w:rFonts w:ascii="Palatino Linotype" w:eastAsia="Palatino Linotype" w:hAnsi="Palatino Linotype" w:cs="Palatino Linotype"/>
                <w:b/>
                <w:sz w:val="20"/>
                <w:szCs w:val="20"/>
              </w:rPr>
            </w:pPr>
            <w:r w:rsidRPr="0035237F">
              <w:rPr>
                <w:rFonts w:ascii="Palatino Linotype" w:eastAsia="Palatino Linotype" w:hAnsi="Palatino Linotype" w:cs="Palatino Linotype"/>
                <w:b/>
                <w:sz w:val="20"/>
                <w:szCs w:val="20"/>
              </w:rPr>
              <w:t>Informe Justificado</w:t>
            </w:r>
          </w:p>
        </w:tc>
      </w:tr>
      <w:tr w:rsidR="00035C88" w:rsidRPr="0035237F" w14:paraId="53E62A5A" w14:textId="77777777">
        <w:trPr>
          <w:trHeight w:val="2800"/>
        </w:trPr>
        <w:tc>
          <w:tcPr>
            <w:tcW w:w="2689" w:type="dxa"/>
            <w:shd w:val="clear" w:color="auto" w:fill="auto"/>
          </w:tcPr>
          <w:p w14:paraId="052C42BA" w14:textId="77777777" w:rsidR="00724E79" w:rsidRPr="0035237F" w:rsidRDefault="00312C60">
            <w:pPr>
              <w:spacing w:before="240" w:after="240" w:line="276" w:lineRule="auto"/>
              <w:jc w:val="both"/>
              <w:rPr>
                <w:rFonts w:ascii="Palatino Linotype" w:eastAsia="Palatino Linotype" w:hAnsi="Palatino Linotype" w:cs="Palatino Linotype"/>
                <w:sz w:val="20"/>
                <w:szCs w:val="20"/>
              </w:rPr>
            </w:pPr>
            <w:r w:rsidRPr="0035237F">
              <w:rPr>
                <w:rFonts w:ascii="Palatino Linotype" w:eastAsia="Palatino Linotype" w:hAnsi="Palatino Linotype" w:cs="Palatino Linotype"/>
                <w:sz w:val="20"/>
                <w:szCs w:val="20"/>
              </w:rPr>
              <w:t xml:space="preserve">El número de equipos de cómputo asignados a la UIPPE, características de cada uno, así como el nombre del </w:t>
            </w:r>
            <w:proofErr w:type="spellStart"/>
            <w:r w:rsidRPr="0035237F">
              <w:rPr>
                <w:rFonts w:ascii="Palatino Linotype" w:eastAsia="Palatino Linotype" w:hAnsi="Palatino Linotype" w:cs="Palatino Linotype"/>
                <w:sz w:val="20"/>
                <w:szCs w:val="20"/>
              </w:rPr>
              <w:t>resguardatario</w:t>
            </w:r>
            <w:proofErr w:type="spellEnd"/>
            <w:r w:rsidRPr="0035237F">
              <w:rPr>
                <w:rFonts w:ascii="Palatino Linotype" w:eastAsia="Palatino Linotype" w:hAnsi="Palatino Linotype" w:cs="Palatino Linotype"/>
                <w:sz w:val="20"/>
                <w:szCs w:val="20"/>
              </w:rPr>
              <w:t xml:space="preserve"> y usuario de cada uno.</w:t>
            </w:r>
          </w:p>
        </w:tc>
        <w:tc>
          <w:tcPr>
            <w:tcW w:w="4677" w:type="dxa"/>
            <w:shd w:val="clear" w:color="auto" w:fill="auto"/>
          </w:tcPr>
          <w:p w14:paraId="0E089FEE" w14:textId="77777777" w:rsidR="00724E79" w:rsidRPr="0035237F" w:rsidRDefault="00312C60">
            <w:pPr>
              <w:spacing w:before="240" w:after="240" w:line="360" w:lineRule="auto"/>
              <w:jc w:val="both"/>
              <w:rPr>
                <w:rFonts w:ascii="Palatino Linotype" w:eastAsia="Palatino Linotype" w:hAnsi="Palatino Linotype" w:cs="Palatino Linotype"/>
                <w:sz w:val="20"/>
                <w:szCs w:val="20"/>
              </w:rPr>
            </w:pPr>
            <w:r w:rsidRPr="0035237F">
              <w:rPr>
                <w:rFonts w:ascii="Palatino Linotype" w:eastAsia="Palatino Linotype" w:hAnsi="Palatino Linotype" w:cs="Palatino Linotype"/>
                <w:sz w:val="20"/>
                <w:szCs w:val="20"/>
              </w:rPr>
              <w:t>La Coordinación Administrativa, proporciona:</w:t>
            </w:r>
          </w:p>
          <w:p w14:paraId="7BEC3670" w14:textId="77777777" w:rsidR="00724E79" w:rsidRPr="0035237F" w:rsidRDefault="00312C60">
            <w:pPr>
              <w:spacing w:before="240" w:after="240" w:line="360" w:lineRule="auto"/>
              <w:jc w:val="both"/>
              <w:rPr>
                <w:rFonts w:ascii="Palatino Linotype" w:eastAsia="Palatino Linotype" w:hAnsi="Palatino Linotype" w:cs="Palatino Linotype"/>
                <w:sz w:val="20"/>
                <w:szCs w:val="20"/>
              </w:rPr>
            </w:pPr>
            <w:r w:rsidRPr="0035237F">
              <w:rPr>
                <w:rFonts w:ascii="Palatino Linotype" w:eastAsia="Palatino Linotype" w:hAnsi="Palatino Linotype" w:cs="Palatino Linotype"/>
                <w:sz w:val="20"/>
                <w:szCs w:val="20"/>
              </w:rPr>
              <w:t xml:space="preserve">Relación del equipo de cómputo propio asignado a la U.I.P.P.E. </w:t>
            </w:r>
          </w:p>
          <w:p w14:paraId="2FF163BE" w14:textId="77777777" w:rsidR="00724E79" w:rsidRPr="0035237F" w:rsidRDefault="00312C60">
            <w:pPr>
              <w:spacing w:before="240" w:after="240" w:line="360" w:lineRule="auto"/>
              <w:jc w:val="both"/>
              <w:rPr>
                <w:rFonts w:ascii="Palatino Linotype" w:eastAsia="Palatino Linotype" w:hAnsi="Palatino Linotype" w:cs="Palatino Linotype"/>
                <w:sz w:val="20"/>
                <w:szCs w:val="20"/>
              </w:rPr>
            </w:pPr>
            <w:r w:rsidRPr="0035237F">
              <w:rPr>
                <w:rFonts w:ascii="Palatino Linotype" w:eastAsia="Palatino Linotype" w:hAnsi="Palatino Linotype" w:cs="Palatino Linotype"/>
                <w:sz w:val="20"/>
                <w:szCs w:val="20"/>
              </w:rPr>
              <w:t>Relación de cómputo rentado asignado a la U.I.P.P.E.</w:t>
            </w:r>
          </w:p>
        </w:tc>
        <w:tc>
          <w:tcPr>
            <w:tcW w:w="1282" w:type="dxa"/>
          </w:tcPr>
          <w:p w14:paraId="5A8C5001" w14:textId="77777777" w:rsidR="00724E79" w:rsidRPr="0035237F" w:rsidRDefault="00312C60">
            <w:pPr>
              <w:spacing w:before="240" w:after="240" w:line="360" w:lineRule="auto"/>
              <w:jc w:val="both"/>
              <w:rPr>
                <w:rFonts w:ascii="Palatino Linotype" w:eastAsia="Palatino Linotype" w:hAnsi="Palatino Linotype" w:cs="Palatino Linotype"/>
                <w:sz w:val="20"/>
                <w:szCs w:val="20"/>
              </w:rPr>
            </w:pPr>
            <w:r w:rsidRPr="0035237F">
              <w:rPr>
                <w:rFonts w:ascii="Palatino Linotype" w:eastAsia="Palatino Linotype" w:hAnsi="Palatino Linotype" w:cs="Palatino Linotype"/>
                <w:sz w:val="20"/>
                <w:szCs w:val="20"/>
              </w:rPr>
              <w:t>Ratifica</w:t>
            </w:r>
          </w:p>
        </w:tc>
      </w:tr>
    </w:tbl>
    <w:p w14:paraId="3FF39F6E"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lastRenderedPageBreak/>
        <w:t>Aclarado lo antes citado, el responsable que atendió el presente punto de la solicitud fue la Coordinación Administrativa, quien cuenta con las siguientes atribuciones:</w:t>
      </w:r>
    </w:p>
    <w:p w14:paraId="0038058C" w14:textId="77777777" w:rsidR="00724E79" w:rsidRPr="0035237F" w:rsidRDefault="00724E79">
      <w:pPr>
        <w:spacing w:after="0" w:line="360" w:lineRule="auto"/>
        <w:jc w:val="both"/>
        <w:rPr>
          <w:rFonts w:ascii="Palatino Linotype" w:eastAsia="Palatino Linotype" w:hAnsi="Palatino Linotype" w:cs="Palatino Linotype"/>
          <w:b/>
          <w:sz w:val="24"/>
          <w:szCs w:val="24"/>
        </w:rPr>
      </w:pPr>
    </w:p>
    <w:p w14:paraId="00398363" w14:textId="77777777" w:rsidR="00724E79" w:rsidRPr="0035237F" w:rsidRDefault="00312C60">
      <w:pPr>
        <w:spacing w:after="0" w:line="276" w:lineRule="auto"/>
        <w:ind w:left="851" w:right="900"/>
        <w:jc w:val="both"/>
        <w:rPr>
          <w:rFonts w:ascii="Palatino Linotype" w:eastAsia="Palatino Linotype" w:hAnsi="Palatino Linotype" w:cs="Palatino Linotype"/>
          <w:b/>
          <w:i/>
        </w:rPr>
      </w:pPr>
      <w:r w:rsidRPr="0035237F">
        <w:rPr>
          <w:rFonts w:ascii="Palatino Linotype" w:eastAsia="Palatino Linotype" w:hAnsi="Palatino Linotype" w:cs="Palatino Linotype"/>
          <w:b/>
          <w:i/>
        </w:rPr>
        <w:t>“MANUAL GENERAL DE ORGANIZACIÓN DE LA SECRETARÍA DE FINANZAS</w:t>
      </w:r>
    </w:p>
    <w:p w14:paraId="397210EF" w14:textId="77777777" w:rsidR="00724E79" w:rsidRPr="0035237F" w:rsidRDefault="00312C60">
      <w:pPr>
        <w:spacing w:after="0" w:line="276" w:lineRule="auto"/>
        <w:ind w:left="851" w:right="900"/>
        <w:jc w:val="both"/>
        <w:rPr>
          <w:rFonts w:ascii="Palatino Linotype" w:eastAsia="Palatino Linotype" w:hAnsi="Palatino Linotype" w:cs="Palatino Linotype"/>
          <w:i/>
        </w:rPr>
      </w:pPr>
      <w:r w:rsidRPr="0035237F">
        <w:rPr>
          <w:rFonts w:ascii="Palatino Linotype" w:eastAsia="Palatino Linotype" w:hAnsi="Palatino Linotype" w:cs="Palatino Linotype"/>
          <w:i/>
        </w:rPr>
        <w:t>20700002000000S COORDINACIÓN ADMINISTRATIVA</w:t>
      </w:r>
    </w:p>
    <w:p w14:paraId="680069DD" w14:textId="77777777" w:rsidR="00724E79" w:rsidRPr="0035237F" w:rsidRDefault="00312C60">
      <w:pPr>
        <w:spacing w:after="0" w:line="276" w:lineRule="auto"/>
        <w:ind w:left="851" w:right="900"/>
        <w:jc w:val="both"/>
        <w:rPr>
          <w:rFonts w:ascii="Palatino Linotype" w:eastAsia="Palatino Linotype" w:hAnsi="Palatino Linotype" w:cs="Palatino Linotype"/>
          <w:i/>
        </w:rPr>
      </w:pPr>
      <w:r w:rsidRPr="0035237F">
        <w:rPr>
          <w:rFonts w:ascii="Palatino Linotype" w:eastAsia="Palatino Linotype" w:hAnsi="Palatino Linotype" w:cs="Palatino Linotype"/>
          <w:i/>
        </w:rPr>
        <w:t>FUNCIONES:</w:t>
      </w:r>
    </w:p>
    <w:p w14:paraId="72EA41B0" w14:textId="77777777" w:rsidR="00724E79" w:rsidRPr="0035237F" w:rsidRDefault="00312C60">
      <w:pPr>
        <w:spacing w:after="0" w:line="276" w:lineRule="auto"/>
        <w:ind w:left="851" w:right="900"/>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p>
    <w:p w14:paraId="1FE6E730" w14:textId="77777777" w:rsidR="00724E79" w:rsidRPr="0035237F" w:rsidRDefault="00312C60">
      <w:pPr>
        <w:spacing w:after="0" w:line="276" w:lineRule="auto"/>
        <w:ind w:left="851" w:right="900"/>
        <w:jc w:val="both"/>
        <w:rPr>
          <w:rFonts w:ascii="Palatino Linotype" w:eastAsia="Palatino Linotype" w:hAnsi="Palatino Linotype" w:cs="Palatino Linotype"/>
          <w:i/>
        </w:rPr>
      </w:pPr>
      <w:r w:rsidRPr="0035237F">
        <w:rPr>
          <w:rFonts w:ascii="Palatino Linotype" w:eastAsia="Palatino Linotype" w:hAnsi="Palatino Linotype" w:cs="Palatino Linotype"/>
          <w:i/>
        </w:rPr>
        <w:t>− Coordinar la sustanciación de los procedimientos de contrato pedido, así como la integración de los expedientes de solicitud de adquisición de bienes y servicios de las unidades administrativas de la Secretaría de Finanzas, conforme a la normatividad vigente en la materia, para remitirlos a la Dirección General de Recursos Materiales.”</w:t>
      </w:r>
    </w:p>
    <w:p w14:paraId="783FE5CA"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465F6FEB"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De conformidad a lo anterior, la Coordinación Administrativa, coordina la sustanciación de los procedimientos de contrato pedido, así como la integración de los expedientes de solicitud de adquisición de bienes y servicios de las unidades administrativas de la Secretaría de Finanzas, conforme a la normatividad vigente en la materia, para remitirlos a la Dirección General de Recursos Materiales, por lo tanto, se advierte que cumplió con lo expresado en el artículo 162 de la Ley de Transparencia y Acceso a la Información Pública del Estado de México y Municipios, citado con anterioridad. </w:t>
      </w:r>
    </w:p>
    <w:p w14:paraId="565555D3"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22CA561F"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En atención a lo proporcionado por </w:t>
      </w:r>
      <w:r w:rsidRPr="0035237F">
        <w:rPr>
          <w:rFonts w:ascii="Palatino Linotype" w:eastAsia="Palatino Linotype" w:hAnsi="Palatino Linotype" w:cs="Palatino Linotype"/>
          <w:b/>
          <w:sz w:val="24"/>
          <w:szCs w:val="24"/>
        </w:rPr>
        <w:t xml:space="preserve">EL SUJETO OBLIGADO </w:t>
      </w:r>
      <w:r w:rsidRPr="0035237F">
        <w:rPr>
          <w:rFonts w:ascii="Palatino Linotype" w:eastAsia="Palatino Linotype" w:hAnsi="Palatino Linotype" w:cs="Palatino Linotype"/>
          <w:sz w:val="24"/>
          <w:szCs w:val="24"/>
        </w:rPr>
        <w:t xml:space="preserve">en respuesta se ejemplifica las relaciones con las siguientes imágenes:  </w:t>
      </w:r>
    </w:p>
    <w:p w14:paraId="4756AE44"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636839B9" w14:textId="77777777" w:rsidR="00724E79" w:rsidRPr="0035237F" w:rsidRDefault="00312C60">
      <w:pPr>
        <w:spacing w:after="0" w:line="360" w:lineRule="auto"/>
        <w:jc w:val="center"/>
        <w:rPr>
          <w:rFonts w:ascii="Palatino Linotype" w:eastAsia="Palatino Linotype" w:hAnsi="Palatino Linotype" w:cs="Palatino Linotype"/>
          <w:sz w:val="24"/>
          <w:szCs w:val="24"/>
        </w:rPr>
      </w:pPr>
      <w:bookmarkStart w:id="0" w:name="_heading=h.gjdgxs" w:colFirst="0" w:colLast="0"/>
      <w:bookmarkEnd w:id="0"/>
      <w:r w:rsidRPr="0035237F">
        <w:rPr>
          <w:rFonts w:ascii="Palatino Linotype" w:eastAsia="Palatino Linotype" w:hAnsi="Palatino Linotype" w:cs="Palatino Linotype"/>
          <w:noProof/>
          <w:sz w:val="24"/>
          <w:szCs w:val="24"/>
        </w:rPr>
        <w:lastRenderedPageBreak/>
        <w:drawing>
          <wp:inline distT="0" distB="0" distL="0" distR="0" wp14:anchorId="14777408" wp14:editId="45AB2641">
            <wp:extent cx="4764003" cy="3489815"/>
            <wp:effectExtent l="0" t="0" r="0" b="0"/>
            <wp:docPr id="1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
                    <a:srcRect/>
                    <a:stretch>
                      <a:fillRect/>
                    </a:stretch>
                  </pic:blipFill>
                  <pic:spPr>
                    <a:xfrm>
                      <a:off x="0" y="0"/>
                      <a:ext cx="4764003" cy="3489815"/>
                    </a:xfrm>
                    <a:prstGeom prst="rect">
                      <a:avLst/>
                    </a:prstGeom>
                    <a:ln/>
                  </pic:spPr>
                </pic:pic>
              </a:graphicData>
            </a:graphic>
          </wp:inline>
        </w:drawing>
      </w:r>
      <w:r w:rsidRPr="0035237F">
        <w:rPr>
          <w:noProof/>
        </w:rPr>
        <mc:AlternateContent>
          <mc:Choice Requires="wpg">
            <w:drawing>
              <wp:anchor distT="0" distB="0" distL="114300" distR="114300" simplePos="0" relativeHeight="251658240" behindDoc="0" locked="0" layoutInCell="1" hidden="0" allowOverlap="1" wp14:anchorId="51E7732A" wp14:editId="3739ED26">
                <wp:simplePos x="0" y="0"/>
                <wp:positionH relativeFrom="column">
                  <wp:posOffset>431800</wp:posOffset>
                </wp:positionH>
                <wp:positionV relativeFrom="paragraph">
                  <wp:posOffset>444500</wp:posOffset>
                </wp:positionV>
                <wp:extent cx="4775215" cy="269801"/>
                <wp:effectExtent l="0" t="0" r="0" b="0"/>
                <wp:wrapNone/>
                <wp:docPr id="10" name="Rectángulo 10"/>
                <wp:cNvGraphicFramePr/>
                <a:graphic xmlns:a="http://schemas.openxmlformats.org/drawingml/2006/main">
                  <a:graphicData uri="http://schemas.microsoft.com/office/word/2010/wordprocessingShape">
                    <wps:wsp>
                      <wps:cNvSpPr/>
                      <wps:spPr>
                        <a:xfrm>
                          <a:off x="2986968" y="3673675"/>
                          <a:ext cx="4718065" cy="212651"/>
                        </a:xfrm>
                        <a:prstGeom prst="rect">
                          <a:avLst/>
                        </a:prstGeom>
                        <a:noFill/>
                        <a:ln w="57150" cap="flat" cmpd="sng">
                          <a:solidFill>
                            <a:srgbClr val="FF0000"/>
                          </a:solidFill>
                          <a:prstDash val="solid"/>
                          <a:miter lim="800000"/>
                          <a:headEnd type="none" w="sm" len="sm"/>
                          <a:tailEnd type="none" w="sm" len="sm"/>
                        </a:ln>
                      </wps:spPr>
                      <wps:txbx>
                        <w:txbxContent>
                          <w:p w14:paraId="495313A5" w14:textId="77777777" w:rsidR="00724E79" w:rsidRDefault="00724E79">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xmlns:oel="http://schemas.microsoft.com/office/2019/extlst"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w:drawing>
              <wp:anchor allowOverlap="1" behindDoc="0" distB="0" distT="0" distL="114300" distR="114300" hidden="0" layoutInCell="1" locked="0" relativeHeight="0" simplePos="0">
                <wp:simplePos x="0" y="0"/>
                <wp:positionH relativeFrom="column">
                  <wp:posOffset>431800</wp:posOffset>
                </wp:positionH>
                <wp:positionV relativeFrom="paragraph">
                  <wp:posOffset>444500</wp:posOffset>
                </wp:positionV>
                <wp:extent cx="4775215" cy="269801"/>
                <wp:effectExtent b="0" l="0" r="0" t="0"/>
                <wp:wrapNone/>
                <wp:docPr id="10" name="image8.png"/>
                <a:graphic>
                  <a:graphicData uri="http://schemas.openxmlformats.org/drawingml/2006/picture">
                    <pic:pic>
                      <pic:nvPicPr>
                        <pic:cNvPr id="0" name="image8.png"/>
                        <pic:cNvPicPr preferRelativeResize="0"/>
                      </pic:nvPicPr>
                      <pic:blipFill>
                        <a:blip r:embed="rId11"/>
                        <a:srcRect/>
                        <a:stretch>
                          <a:fillRect/>
                        </a:stretch>
                      </pic:blipFill>
                      <pic:spPr>
                        <a:xfrm>
                          <a:off x="0" y="0"/>
                          <a:ext cx="4775215" cy="269801"/>
                        </a:xfrm>
                        <a:prstGeom prst="rect"/>
                        <a:ln/>
                      </pic:spPr>
                    </pic:pic>
                  </a:graphicData>
                </a:graphic>
              </wp:anchor>
            </w:drawing>
          </mc:Fallback>
        </mc:AlternateContent>
      </w:r>
    </w:p>
    <w:p w14:paraId="307B51F0" w14:textId="77777777" w:rsidR="00724E79" w:rsidRPr="0035237F" w:rsidRDefault="00312C60">
      <w:pPr>
        <w:spacing w:after="0" w:line="360" w:lineRule="auto"/>
        <w:jc w:val="center"/>
        <w:rPr>
          <w:rFonts w:ascii="Palatino Linotype" w:eastAsia="Palatino Linotype" w:hAnsi="Palatino Linotype" w:cs="Palatino Linotype"/>
          <w:sz w:val="24"/>
          <w:szCs w:val="24"/>
        </w:rPr>
      </w:pPr>
      <w:r w:rsidRPr="0035237F">
        <w:rPr>
          <w:rFonts w:ascii="Palatino Linotype" w:eastAsia="Palatino Linotype" w:hAnsi="Palatino Linotype" w:cs="Palatino Linotype"/>
          <w:noProof/>
          <w:sz w:val="24"/>
          <w:szCs w:val="24"/>
        </w:rPr>
        <w:lastRenderedPageBreak/>
        <w:drawing>
          <wp:inline distT="0" distB="0" distL="0" distR="0" wp14:anchorId="444B8AF2" wp14:editId="211E2BF9">
            <wp:extent cx="4325781" cy="3818709"/>
            <wp:effectExtent l="0" t="0" r="0" b="0"/>
            <wp:docPr id="13"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2"/>
                    <a:srcRect/>
                    <a:stretch>
                      <a:fillRect/>
                    </a:stretch>
                  </pic:blipFill>
                  <pic:spPr>
                    <a:xfrm>
                      <a:off x="0" y="0"/>
                      <a:ext cx="4325781" cy="3818709"/>
                    </a:xfrm>
                    <a:prstGeom prst="rect">
                      <a:avLst/>
                    </a:prstGeom>
                    <a:ln/>
                  </pic:spPr>
                </pic:pic>
              </a:graphicData>
            </a:graphic>
          </wp:inline>
        </w:drawing>
      </w:r>
    </w:p>
    <w:p w14:paraId="060334F7"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Por lo expuesto previamente, </w:t>
      </w:r>
      <w:r w:rsidRPr="0035237F">
        <w:rPr>
          <w:rFonts w:ascii="Palatino Linotype" w:eastAsia="Palatino Linotype" w:hAnsi="Palatino Linotype" w:cs="Palatino Linotype"/>
          <w:b/>
          <w:sz w:val="24"/>
          <w:szCs w:val="24"/>
        </w:rPr>
        <w:t xml:space="preserve">EL SUJETO OBLIGADO </w:t>
      </w:r>
      <w:r w:rsidRPr="0035237F">
        <w:rPr>
          <w:rFonts w:ascii="Palatino Linotype" w:eastAsia="Palatino Linotype" w:hAnsi="Palatino Linotype" w:cs="Palatino Linotype"/>
          <w:sz w:val="24"/>
          <w:szCs w:val="24"/>
        </w:rPr>
        <w:t>colma concerniente al</w:t>
      </w:r>
      <w:r w:rsidRPr="0035237F">
        <w:t xml:space="preserve"> </w:t>
      </w:r>
      <w:r w:rsidRPr="0035237F">
        <w:rPr>
          <w:rFonts w:ascii="Palatino Linotype" w:eastAsia="Palatino Linotype" w:hAnsi="Palatino Linotype" w:cs="Palatino Linotype"/>
          <w:sz w:val="24"/>
          <w:szCs w:val="24"/>
        </w:rPr>
        <w:t xml:space="preserve">número, características y nombre del </w:t>
      </w:r>
      <w:proofErr w:type="spellStart"/>
      <w:r w:rsidRPr="0035237F">
        <w:rPr>
          <w:rFonts w:ascii="Palatino Linotype" w:eastAsia="Palatino Linotype" w:hAnsi="Palatino Linotype" w:cs="Palatino Linotype"/>
          <w:sz w:val="24"/>
          <w:szCs w:val="24"/>
        </w:rPr>
        <w:t>resguardatario</w:t>
      </w:r>
      <w:proofErr w:type="spellEnd"/>
      <w:r w:rsidRPr="0035237F">
        <w:rPr>
          <w:rFonts w:ascii="Palatino Linotype" w:eastAsia="Palatino Linotype" w:hAnsi="Palatino Linotype" w:cs="Palatino Linotype"/>
          <w:sz w:val="24"/>
          <w:szCs w:val="24"/>
        </w:rPr>
        <w:t xml:space="preserve"> de equipos de cómputo con los que cuenta la UIPPE.</w:t>
      </w:r>
    </w:p>
    <w:p w14:paraId="441393DD"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3E1C5E9A"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En cuanto al nombre del </w:t>
      </w:r>
      <w:proofErr w:type="gramStart"/>
      <w:r w:rsidRPr="0035237F">
        <w:rPr>
          <w:rFonts w:ascii="Palatino Linotype" w:eastAsia="Palatino Linotype" w:hAnsi="Palatino Linotype" w:cs="Palatino Linotype"/>
          <w:sz w:val="24"/>
          <w:szCs w:val="24"/>
        </w:rPr>
        <w:t>usuario,  si</w:t>
      </w:r>
      <w:proofErr w:type="gramEnd"/>
      <w:r w:rsidRPr="0035237F">
        <w:rPr>
          <w:rFonts w:ascii="Palatino Linotype" w:eastAsia="Palatino Linotype" w:hAnsi="Palatino Linotype" w:cs="Palatino Linotype"/>
          <w:sz w:val="24"/>
          <w:szCs w:val="24"/>
        </w:rPr>
        <w:t xml:space="preserve"> bien </w:t>
      </w:r>
      <w:r w:rsidRPr="0035237F">
        <w:rPr>
          <w:rFonts w:ascii="Palatino Linotype" w:eastAsia="Palatino Linotype" w:hAnsi="Palatino Linotype" w:cs="Palatino Linotype"/>
          <w:b/>
          <w:sz w:val="24"/>
          <w:szCs w:val="24"/>
        </w:rPr>
        <w:t xml:space="preserve">EL SUJETO OBLIGADO </w:t>
      </w:r>
      <w:r w:rsidRPr="0035237F">
        <w:rPr>
          <w:rFonts w:ascii="Palatino Linotype" w:eastAsia="Palatino Linotype" w:hAnsi="Palatino Linotype" w:cs="Palatino Linotype"/>
          <w:sz w:val="24"/>
          <w:szCs w:val="24"/>
        </w:rPr>
        <w:t>no lo proporciona, la normatividad aplicable establece lo siguiente:</w:t>
      </w:r>
    </w:p>
    <w:p w14:paraId="61660133"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2148F7C4" w14:textId="77777777" w:rsidR="00724E79" w:rsidRPr="0035237F" w:rsidRDefault="00312C60">
      <w:pPr>
        <w:spacing w:after="0" w:line="276" w:lineRule="auto"/>
        <w:ind w:left="851" w:right="902"/>
        <w:jc w:val="both"/>
        <w:rPr>
          <w:rFonts w:ascii="Palatino Linotype" w:eastAsia="Palatino Linotype" w:hAnsi="Palatino Linotype" w:cs="Palatino Linotype"/>
          <w:b/>
          <w:i/>
        </w:rPr>
      </w:pPr>
      <w:r w:rsidRPr="0035237F">
        <w:rPr>
          <w:rFonts w:ascii="Palatino Linotype" w:eastAsia="Palatino Linotype" w:hAnsi="Palatino Linotype" w:cs="Palatino Linotype"/>
          <w:b/>
          <w:i/>
        </w:rPr>
        <w:t>ACUERDO POR EL QUE SE ESTABLECEN LAS POLÍTICAS, BASES Y LINEAMIENTOS, EN MATERIA DE ADQUISICIONES, ENAJENACIONES, ARRENDAMIENTOS Y SERVICIOS DE LAS DEPENDENCIAS, ORGANISMOS AUXILIARES Y TRIBUNALES ADMINISTRATIVOS DEL PODER EJECUTIVO ESTATAL</w:t>
      </w:r>
    </w:p>
    <w:p w14:paraId="0755E5CF" w14:textId="77777777" w:rsidR="00724E79" w:rsidRPr="0035237F" w:rsidRDefault="00724E79">
      <w:pPr>
        <w:spacing w:after="0" w:line="276" w:lineRule="auto"/>
        <w:ind w:left="851" w:right="902"/>
        <w:jc w:val="both"/>
        <w:rPr>
          <w:rFonts w:ascii="Palatino Linotype" w:eastAsia="Palatino Linotype" w:hAnsi="Palatino Linotype" w:cs="Palatino Linotype"/>
          <w:i/>
        </w:rPr>
      </w:pPr>
    </w:p>
    <w:p w14:paraId="055DF43E"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POBALIN -003 (…)</w:t>
      </w:r>
    </w:p>
    <w:p w14:paraId="006FB14A" w14:textId="77777777" w:rsidR="00724E79" w:rsidRPr="0035237F" w:rsidRDefault="00724E79">
      <w:pPr>
        <w:spacing w:after="0" w:line="276" w:lineRule="auto"/>
        <w:ind w:left="851" w:right="902"/>
        <w:jc w:val="both"/>
        <w:rPr>
          <w:rFonts w:ascii="Palatino Linotype" w:eastAsia="Palatino Linotype" w:hAnsi="Palatino Linotype" w:cs="Palatino Linotype"/>
          <w:i/>
        </w:rPr>
      </w:pPr>
    </w:p>
    <w:p w14:paraId="57F1114A" w14:textId="77777777" w:rsidR="00724E79" w:rsidRPr="0035237F" w:rsidRDefault="00312C60">
      <w:pPr>
        <w:spacing w:after="0" w:line="276" w:lineRule="auto"/>
        <w:ind w:left="851" w:right="902"/>
        <w:jc w:val="both"/>
        <w:rPr>
          <w:rFonts w:ascii="Palatino Linotype" w:eastAsia="Palatino Linotype" w:hAnsi="Palatino Linotype" w:cs="Palatino Linotype"/>
          <w:i/>
        </w:rPr>
      </w:pPr>
      <w:r w:rsidRPr="0035237F">
        <w:rPr>
          <w:rFonts w:ascii="Palatino Linotype" w:eastAsia="Palatino Linotype" w:hAnsi="Palatino Linotype" w:cs="Palatino Linotype"/>
          <w:i/>
        </w:rPr>
        <w:t>La asignación de los bienes se formalizará por las áreas de administración mediante el formato de resguardo a cargo de los servidores públicos usuarios, quienes los destinarán únicamente a las funciones propias de la unidad administrativa respectiva, y serán los responsables directos del uso, así como de solicitar al área de administración el mantenimiento que requieran.</w:t>
      </w:r>
    </w:p>
    <w:p w14:paraId="56312092" w14:textId="77777777" w:rsidR="00724E79" w:rsidRPr="0035237F" w:rsidRDefault="00724E79">
      <w:pPr>
        <w:spacing w:after="0" w:line="276" w:lineRule="auto"/>
        <w:jc w:val="both"/>
        <w:rPr>
          <w:rFonts w:ascii="Palatino Linotype" w:eastAsia="Palatino Linotype" w:hAnsi="Palatino Linotype" w:cs="Palatino Linotype"/>
        </w:rPr>
      </w:pPr>
    </w:p>
    <w:p w14:paraId="35BB5A6E"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Acorde a lo aludido, la asignación de los bienes se formalizará por las áreas de administración mediante el formato de resguardo a cargo de los servidores públicos usuarios, quienes los destinaran únicamente a las funciones propias de la unidad administrativa respectiva, en este sentido, los </w:t>
      </w:r>
      <w:proofErr w:type="spellStart"/>
      <w:r w:rsidRPr="0035237F">
        <w:rPr>
          <w:rFonts w:ascii="Palatino Linotype" w:eastAsia="Palatino Linotype" w:hAnsi="Palatino Linotype" w:cs="Palatino Linotype"/>
          <w:sz w:val="24"/>
          <w:szCs w:val="24"/>
        </w:rPr>
        <w:t>resguardatarios</w:t>
      </w:r>
      <w:proofErr w:type="spellEnd"/>
      <w:r w:rsidRPr="0035237F">
        <w:rPr>
          <w:rFonts w:ascii="Palatino Linotype" w:eastAsia="Palatino Linotype" w:hAnsi="Palatino Linotype" w:cs="Palatino Linotype"/>
          <w:sz w:val="24"/>
          <w:szCs w:val="24"/>
        </w:rPr>
        <w:t xml:space="preserve"> son los usuarios de los bienes, es decir, </w:t>
      </w:r>
      <w:r w:rsidRPr="0035237F">
        <w:rPr>
          <w:rFonts w:ascii="Palatino Linotype" w:eastAsia="Palatino Linotype" w:hAnsi="Palatino Linotype" w:cs="Palatino Linotype"/>
          <w:b/>
          <w:sz w:val="24"/>
          <w:szCs w:val="24"/>
        </w:rPr>
        <w:t xml:space="preserve">EL SUJETO OBLIGADO </w:t>
      </w:r>
      <w:r w:rsidRPr="0035237F">
        <w:rPr>
          <w:rFonts w:ascii="Palatino Linotype" w:eastAsia="Palatino Linotype" w:hAnsi="Palatino Linotype" w:cs="Palatino Linotype"/>
          <w:sz w:val="24"/>
          <w:szCs w:val="24"/>
        </w:rPr>
        <w:t xml:space="preserve">al proporcionar el nombre de los </w:t>
      </w:r>
      <w:proofErr w:type="spellStart"/>
      <w:r w:rsidRPr="0035237F">
        <w:rPr>
          <w:rFonts w:ascii="Palatino Linotype" w:eastAsia="Palatino Linotype" w:hAnsi="Palatino Linotype" w:cs="Palatino Linotype"/>
          <w:sz w:val="24"/>
          <w:szCs w:val="24"/>
        </w:rPr>
        <w:t>resguardatarios</w:t>
      </w:r>
      <w:proofErr w:type="spellEnd"/>
      <w:r w:rsidRPr="0035237F">
        <w:rPr>
          <w:rFonts w:ascii="Palatino Linotype" w:eastAsia="Palatino Linotype" w:hAnsi="Palatino Linotype" w:cs="Palatino Linotype"/>
          <w:sz w:val="24"/>
          <w:szCs w:val="24"/>
        </w:rPr>
        <w:t xml:space="preserve"> colma lo tocante al nombre de los usuarios. </w:t>
      </w:r>
    </w:p>
    <w:p w14:paraId="6F88FC2F"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753F8930"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No obstante, respecto a las características del equipo de cómputo, se colma de manera parcial, ya que  se advierte que </w:t>
      </w:r>
      <w:r w:rsidRPr="0035237F">
        <w:rPr>
          <w:rFonts w:ascii="Palatino Linotype" w:eastAsia="Palatino Linotype" w:hAnsi="Palatino Linotype" w:cs="Palatino Linotype"/>
          <w:b/>
          <w:sz w:val="24"/>
          <w:szCs w:val="24"/>
        </w:rPr>
        <w:t xml:space="preserve">EL SUJETO OBLIGADO </w:t>
      </w:r>
      <w:r w:rsidRPr="0035237F">
        <w:rPr>
          <w:rFonts w:ascii="Palatino Linotype" w:eastAsia="Palatino Linotype" w:hAnsi="Palatino Linotype" w:cs="Palatino Linotype"/>
          <w:sz w:val="24"/>
          <w:szCs w:val="24"/>
        </w:rPr>
        <w:t xml:space="preserve">no proporciona dicha información de todos los equipos de cómputo, tal y como se observa en una de las imágenes antes señalados, para tal efecto, se considera oportuno señalar que el documento que puede dar cuenta de las características de manera enunciativa más no limitativa es el Inventario de Bienes Muebles que se encuentra en el Informe Trimestral Estatal como se expone a continuación: </w:t>
      </w:r>
    </w:p>
    <w:p w14:paraId="217EE8DB"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noProof/>
          <w:sz w:val="24"/>
          <w:szCs w:val="24"/>
        </w:rPr>
        <w:lastRenderedPageBreak/>
        <w:drawing>
          <wp:inline distT="0" distB="0" distL="0" distR="0" wp14:anchorId="1D89C2EE" wp14:editId="4907E546">
            <wp:extent cx="5612130" cy="2374265"/>
            <wp:effectExtent l="0" t="0" r="0" b="0"/>
            <wp:docPr id="16"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3"/>
                    <a:srcRect/>
                    <a:stretch>
                      <a:fillRect/>
                    </a:stretch>
                  </pic:blipFill>
                  <pic:spPr>
                    <a:xfrm>
                      <a:off x="0" y="0"/>
                      <a:ext cx="5612130" cy="2374265"/>
                    </a:xfrm>
                    <a:prstGeom prst="rect">
                      <a:avLst/>
                    </a:prstGeom>
                    <a:ln/>
                  </pic:spPr>
                </pic:pic>
              </a:graphicData>
            </a:graphic>
          </wp:inline>
        </w:drawing>
      </w:r>
    </w:p>
    <w:p w14:paraId="1CB7DB20"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noProof/>
          <w:sz w:val="24"/>
          <w:szCs w:val="24"/>
        </w:rPr>
        <w:drawing>
          <wp:inline distT="0" distB="0" distL="0" distR="0" wp14:anchorId="4EF38CD7" wp14:editId="706EE8D9">
            <wp:extent cx="5612130" cy="1135380"/>
            <wp:effectExtent l="0" t="0" r="0" b="0"/>
            <wp:docPr id="15"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4"/>
                    <a:srcRect/>
                    <a:stretch>
                      <a:fillRect/>
                    </a:stretch>
                  </pic:blipFill>
                  <pic:spPr>
                    <a:xfrm>
                      <a:off x="0" y="0"/>
                      <a:ext cx="5612130" cy="1135380"/>
                    </a:xfrm>
                    <a:prstGeom prst="rect">
                      <a:avLst/>
                    </a:prstGeom>
                    <a:ln/>
                  </pic:spPr>
                </pic:pic>
              </a:graphicData>
            </a:graphic>
          </wp:inline>
        </w:drawing>
      </w:r>
    </w:p>
    <w:p w14:paraId="545E0BA1"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noProof/>
          <w:sz w:val="24"/>
          <w:szCs w:val="24"/>
        </w:rPr>
        <w:drawing>
          <wp:inline distT="0" distB="0" distL="0" distR="0" wp14:anchorId="69E7B761" wp14:editId="7972E977">
            <wp:extent cx="5612130" cy="490855"/>
            <wp:effectExtent l="0" t="0" r="0" b="0"/>
            <wp:docPr id="17"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5"/>
                    <a:srcRect/>
                    <a:stretch>
                      <a:fillRect/>
                    </a:stretch>
                  </pic:blipFill>
                  <pic:spPr>
                    <a:xfrm>
                      <a:off x="0" y="0"/>
                      <a:ext cx="5612130" cy="490855"/>
                    </a:xfrm>
                    <a:prstGeom prst="rect">
                      <a:avLst/>
                    </a:prstGeom>
                    <a:ln/>
                  </pic:spPr>
                </pic:pic>
              </a:graphicData>
            </a:graphic>
          </wp:inline>
        </w:drawing>
      </w:r>
    </w:p>
    <w:p w14:paraId="36F0F163"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54692AE5"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Por lo tanto, se ordena de ser procedente en versión pública en términos del considerando quinto, el documento que dé cuenta de las características faltantes de los equipos de cómputo proporcionados en respuesta. </w:t>
      </w:r>
    </w:p>
    <w:p w14:paraId="619F7B6A"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3E4E84BF" w14:textId="77777777" w:rsidR="00724E79" w:rsidRPr="0035237F" w:rsidRDefault="00312C60">
      <w:pPr>
        <w:spacing w:after="0" w:line="360" w:lineRule="auto"/>
        <w:ind w:right="-91"/>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 xml:space="preserve">QUINTO. VERSIÓN PÚBLICA. </w:t>
      </w:r>
      <w:r w:rsidRPr="0035237F">
        <w:rPr>
          <w:rFonts w:ascii="Palatino Linotype" w:eastAsia="Palatino Linotype" w:hAnsi="Palatino Linotype" w:cs="Palatino Linotype"/>
          <w:sz w:val="24"/>
          <w:szCs w:val="24"/>
        </w:rPr>
        <w:t xml:space="preserve">Para la entrega de la información, en razón de que el derecho de acceso a la información pública no es absoluto, sino que encuentra como excepciones que la información sobre la cual se peticiona el acceso, sea o contenga datos que deban ser clasificados en los términos que la misma Ley de la Materia </w:t>
      </w:r>
      <w:r w:rsidRPr="0035237F">
        <w:rPr>
          <w:rFonts w:ascii="Palatino Linotype" w:eastAsia="Palatino Linotype" w:hAnsi="Palatino Linotype" w:cs="Palatino Linotype"/>
          <w:sz w:val="24"/>
          <w:szCs w:val="24"/>
        </w:rPr>
        <w:lastRenderedPageBreak/>
        <w:t>señala, el Sujeto Obligado tendrá que hacer la elaboración de una versión pública de los documentos que vaya entregar para dar cumplimiento a esta resolución, a fin de satisfacer el derecho de acceso a la información pública de</w:t>
      </w:r>
      <w:r w:rsidRPr="0035237F">
        <w:rPr>
          <w:rFonts w:ascii="Palatino Linotype" w:eastAsia="Palatino Linotype" w:hAnsi="Palatino Linotype" w:cs="Palatino Linotype"/>
          <w:b/>
          <w:sz w:val="24"/>
          <w:szCs w:val="24"/>
        </w:rPr>
        <w:t xml:space="preserve"> LA PARTE</w:t>
      </w:r>
      <w:r w:rsidRPr="0035237F">
        <w:rPr>
          <w:rFonts w:ascii="Palatino Linotype" w:eastAsia="Palatino Linotype" w:hAnsi="Palatino Linotype" w:cs="Palatino Linotype"/>
          <w:sz w:val="24"/>
          <w:szCs w:val="24"/>
        </w:rPr>
        <w:t xml:space="preserve"> </w:t>
      </w:r>
      <w:r w:rsidRPr="0035237F">
        <w:rPr>
          <w:rFonts w:ascii="Palatino Linotype" w:eastAsia="Palatino Linotype" w:hAnsi="Palatino Linotype" w:cs="Palatino Linotype"/>
          <w:b/>
          <w:sz w:val="24"/>
          <w:szCs w:val="24"/>
        </w:rPr>
        <w:t>RECURRENTE</w:t>
      </w:r>
      <w:r w:rsidRPr="0035237F">
        <w:rPr>
          <w:rFonts w:ascii="Palatino Linotype" w:eastAsia="Palatino Linotype" w:hAnsi="Palatino Linotype" w:cs="Palatino Linotype"/>
          <w:sz w:val="24"/>
          <w:szCs w:val="24"/>
        </w:rPr>
        <w:t xml:space="preserve"> sin menoscabar el derecho a la protección de los datos personales de terceros.</w:t>
      </w:r>
    </w:p>
    <w:p w14:paraId="65477B29" w14:textId="77777777" w:rsidR="00724E79" w:rsidRPr="0035237F" w:rsidRDefault="00724E79">
      <w:pPr>
        <w:spacing w:after="0" w:line="360" w:lineRule="auto"/>
        <w:ind w:right="-91"/>
        <w:jc w:val="both"/>
        <w:rPr>
          <w:rFonts w:ascii="Palatino Linotype" w:eastAsia="Palatino Linotype" w:hAnsi="Palatino Linotype" w:cs="Palatino Linotype"/>
          <w:sz w:val="24"/>
          <w:szCs w:val="24"/>
        </w:rPr>
      </w:pPr>
    </w:p>
    <w:p w14:paraId="024CC3B1" w14:textId="77777777" w:rsidR="00724E79" w:rsidRPr="0035237F" w:rsidRDefault="00312C60">
      <w:pPr>
        <w:pBdr>
          <w:top w:val="nil"/>
          <w:left w:val="nil"/>
          <w:bottom w:val="nil"/>
          <w:right w:val="nil"/>
          <w:between w:val="nil"/>
        </w:pBd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Lo anterior, de conformidad a lo que señalan los artículos 3, fracciones IX, XX, XXXII, XLV; 6, 137 y 143 fracción I, de la Ley de Transparencia y Acceso a la Información Pública del Estado de México y Municipios vigente, que se leen como sigue:</w:t>
      </w:r>
    </w:p>
    <w:p w14:paraId="55FC1113" w14:textId="77777777" w:rsidR="00724E79" w:rsidRPr="0035237F" w:rsidRDefault="00724E79">
      <w:pPr>
        <w:pBdr>
          <w:top w:val="nil"/>
          <w:left w:val="nil"/>
          <w:bottom w:val="nil"/>
          <w:right w:val="nil"/>
          <w:between w:val="nil"/>
        </w:pBdr>
        <w:spacing w:after="0" w:line="360" w:lineRule="auto"/>
        <w:jc w:val="both"/>
        <w:rPr>
          <w:rFonts w:ascii="Palatino Linotype" w:eastAsia="Palatino Linotype" w:hAnsi="Palatino Linotype" w:cs="Palatino Linotype"/>
          <w:sz w:val="24"/>
          <w:szCs w:val="24"/>
        </w:rPr>
      </w:pPr>
    </w:p>
    <w:p w14:paraId="4227F373" w14:textId="77777777" w:rsidR="00724E79" w:rsidRPr="0035237F" w:rsidRDefault="00312C60">
      <w:pPr>
        <w:spacing w:after="0" w:line="276" w:lineRule="auto"/>
        <w:ind w:left="992" w:right="1043"/>
        <w:jc w:val="both"/>
        <w:rPr>
          <w:rFonts w:ascii="Palatino Linotype" w:eastAsia="Palatino Linotype" w:hAnsi="Palatino Linotype" w:cs="Palatino Linotype"/>
          <w:b/>
          <w:i/>
        </w:rPr>
      </w:pPr>
      <w:r w:rsidRPr="0035237F">
        <w:rPr>
          <w:rFonts w:ascii="Palatino Linotype" w:eastAsia="Palatino Linotype" w:hAnsi="Palatino Linotype" w:cs="Palatino Linotype"/>
          <w:b/>
          <w:i/>
        </w:rPr>
        <w:t xml:space="preserve"> “Artículo 3. Para los efectos de la presente Ley se entenderá por:</w:t>
      </w:r>
    </w:p>
    <w:p w14:paraId="11B362B0" w14:textId="77777777" w:rsidR="00724E79" w:rsidRPr="0035237F" w:rsidRDefault="00312C60">
      <w:pPr>
        <w:spacing w:after="0" w:line="276" w:lineRule="auto"/>
        <w:ind w:left="992" w:right="1043"/>
        <w:jc w:val="both"/>
        <w:rPr>
          <w:rFonts w:ascii="Palatino Linotype" w:eastAsia="Palatino Linotype" w:hAnsi="Palatino Linotype" w:cs="Palatino Linotype"/>
          <w:i/>
        </w:rPr>
      </w:pPr>
      <w:r w:rsidRPr="0035237F">
        <w:rPr>
          <w:rFonts w:ascii="Palatino Linotype" w:eastAsia="Palatino Linotype" w:hAnsi="Palatino Linotype" w:cs="Palatino Linotype"/>
          <w:b/>
          <w:i/>
        </w:rPr>
        <w:t>IX. Datos personales:</w:t>
      </w:r>
      <w:r w:rsidRPr="0035237F">
        <w:rPr>
          <w:rFonts w:ascii="Palatino Linotype" w:eastAsia="Palatino Linotype" w:hAnsi="Palatino Linotype" w:cs="Palatino Linotype"/>
          <w:i/>
        </w:rPr>
        <w:t xml:space="preserve"> </w:t>
      </w:r>
      <w:r w:rsidRPr="0035237F">
        <w:rPr>
          <w:rFonts w:ascii="Palatino Linotype" w:eastAsia="Palatino Linotype" w:hAnsi="Palatino Linotype" w:cs="Palatino Linotype"/>
          <w:b/>
          <w:i/>
        </w:rPr>
        <w:t>La información concerniente a una persona, identificada o identificable</w:t>
      </w:r>
      <w:r w:rsidRPr="0035237F">
        <w:rPr>
          <w:rFonts w:ascii="Palatino Linotype" w:eastAsia="Palatino Linotype" w:hAnsi="Palatino Linotype" w:cs="Palatino Linotype"/>
          <w:i/>
        </w:rPr>
        <w:t xml:space="preserve"> según lo dispuesto por la Ley de Protección de Datos Personales del Estado de México;</w:t>
      </w:r>
    </w:p>
    <w:p w14:paraId="29DDC099" w14:textId="77777777" w:rsidR="00724E79" w:rsidRPr="0035237F" w:rsidRDefault="00312C60">
      <w:pPr>
        <w:spacing w:after="0" w:line="276" w:lineRule="auto"/>
        <w:ind w:left="992" w:right="1043"/>
        <w:jc w:val="both"/>
        <w:rPr>
          <w:rFonts w:ascii="Palatino Linotype" w:eastAsia="Palatino Linotype" w:hAnsi="Palatino Linotype" w:cs="Palatino Linotype"/>
          <w:i/>
        </w:rPr>
      </w:pPr>
      <w:r w:rsidRPr="0035237F">
        <w:rPr>
          <w:rFonts w:ascii="Palatino Linotype" w:eastAsia="Palatino Linotype" w:hAnsi="Palatino Linotype" w:cs="Palatino Linotype"/>
          <w:b/>
          <w:i/>
        </w:rPr>
        <w:t>XX. Información clasificada:</w:t>
      </w:r>
      <w:r w:rsidRPr="0035237F">
        <w:rPr>
          <w:rFonts w:ascii="Palatino Linotype" w:eastAsia="Palatino Linotype" w:hAnsi="Palatino Linotype" w:cs="Palatino Linotype"/>
          <w:i/>
        </w:rPr>
        <w:t xml:space="preserve"> Aquella considerada por la presente Ley como reservada o confidencial;</w:t>
      </w:r>
    </w:p>
    <w:p w14:paraId="3B326C13" w14:textId="77777777" w:rsidR="00724E79" w:rsidRPr="0035237F" w:rsidRDefault="00312C60">
      <w:pPr>
        <w:spacing w:after="0" w:line="276" w:lineRule="auto"/>
        <w:ind w:left="992" w:right="1043"/>
        <w:jc w:val="both"/>
        <w:rPr>
          <w:rFonts w:ascii="Palatino Linotype" w:eastAsia="Palatino Linotype" w:hAnsi="Palatino Linotype" w:cs="Palatino Linotype"/>
          <w:i/>
        </w:rPr>
      </w:pPr>
      <w:r w:rsidRPr="0035237F">
        <w:rPr>
          <w:rFonts w:ascii="Palatino Linotype" w:eastAsia="Palatino Linotype" w:hAnsi="Palatino Linotype" w:cs="Palatino Linotype"/>
          <w:b/>
          <w:i/>
        </w:rPr>
        <w:t>XXXII. Protección de Datos Personales:</w:t>
      </w:r>
      <w:r w:rsidRPr="0035237F">
        <w:rPr>
          <w:rFonts w:ascii="Palatino Linotype" w:eastAsia="Palatino Linotype" w:hAnsi="Palatino Linotype" w:cs="Palatino Linotype"/>
          <w:i/>
        </w:rPr>
        <w:t xml:space="preserve"> Derecho humano que tutela la privacidad de datos personales en poder de los sujetos obligados y sujetos particulares;</w:t>
      </w:r>
    </w:p>
    <w:p w14:paraId="1868DB1D" w14:textId="77777777" w:rsidR="00724E79" w:rsidRPr="0035237F" w:rsidRDefault="00312C60">
      <w:pPr>
        <w:spacing w:after="0" w:line="276" w:lineRule="auto"/>
        <w:ind w:left="992" w:right="1043"/>
        <w:jc w:val="both"/>
        <w:rPr>
          <w:rFonts w:ascii="Palatino Linotype" w:eastAsia="Palatino Linotype" w:hAnsi="Palatino Linotype" w:cs="Palatino Linotype"/>
          <w:i/>
        </w:rPr>
      </w:pPr>
      <w:r w:rsidRPr="0035237F">
        <w:rPr>
          <w:rFonts w:ascii="Palatino Linotype" w:eastAsia="Palatino Linotype" w:hAnsi="Palatino Linotype" w:cs="Palatino Linotype"/>
          <w:b/>
          <w:i/>
        </w:rPr>
        <w:t>XLV. Versión pública</w:t>
      </w:r>
      <w:r w:rsidRPr="0035237F">
        <w:rPr>
          <w:rFonts w:ascii="Palatino Linotype" w:eastAsia="Palatino Linotype" w:hAnsi="Palatino Linotype" w:cs="Palatino Linotype"/>
          <w:i/>
        </w:rPr>
        <w:t>: Documento en el que se elimine, suprime o borra la información clasificada como reservada o confidencial para permitir su acceso.”</w:t>
      </w:r>
    </w:p>
    <w:p w14:paraId="09AAA295" w14:textId="77777777" w:rsidR="00724E79" w:rsidRPr="0035237F" w:rsidRDefault="00312C60">
      <w:pPr>
        <w:spacing w:after="0" w:line="276" w:lineRule="auto"/>
        <w:ind w:left="992" w:right="1043"/>
        <w:jc w:val="both"/>
        <w:rPr>
          <w:rFonts w:ascii="Palatino Linotype" w:eastAsia="Palatino Linotype" w:hAnsi="Palatino Linotype" w:cs="Palatino Linotype"/>
          <w:i/>
        </w:rPr>
      </w:pPr>
      <w:r w:rsidRPr="0035237F">
        <w:rPr>
          <w:rFonts w:ascii="Palatino Linotype" w:eastAsia="Palatino Linotype" w:hAnsi="Palatino Linotype" w:cs="Palatino Linotype"/>
          <w:b/>
          <w:i/>
        </w:rPr>
        <w:t>“Artículo 6.</w:t>
      </w:r>
      <w:r w:rsidRPr="0035237F">
        <w:rPr>
          <w:rFonts w:ascii="Palatino Linotype" w:eastAsia="Palatino Linotype" w:hAnsi="Palatino Linotype" w:cs="Palatino Linotype"/>
          <w:i/>
        </w:rPr>
        <w:t xml:space="preserve"> Los datos personales son irrenunciables, intransferibles e indelegables, por lo que los sujetos obligados no deberán proporcionar o hacer pública la información que contenga, con excepción de aquellos casos en que deban hacerlo en observancia de las disposiciones aplicables. En el caso de los derechos de acceso, rectificación, cancelación u oposición; los principios, procedimientos, medidas de seguridad en el tratamiento y demás disposiciones </w:t>
      </w:r>
      <w:r w:rsidRPr="0035237F">
        <w:rPr>
          <w:rFonts w:ascii="Palatino Linotype" w:eastAsia="Palatino Linotype" w:hAnsi="Palatino Linotype" w:cs="Palatino Linotype"/>
          <w:i/>
        </w:rPr>
        <w:lastRenderedPageBreak/>
        <w:t>en materia de datos personales, se deberá estar a lo dispuesto en las leyes de la materia.”</w:t>
      </w:r>
    </w:p>
    <w:p w14:paraId="722BE6B2" w14:textId="77777777" w:rsidR="00724E79" w:rsidRPr="0035237F" w:rsidRDefault="00312C60">
      <w:pPr>
        <w:spacing w:after="0" w:line="276" w:lineRule="auto"/>
        <w:ind w:left="992" w:right="1043"/>
        <w:jc w:val="both"/>
        <w:rPr>
          <w:rFonts w:ascii="Palatino Linotype" w:eastAsia="Palatino Linotype" w:hAnsi="Palatino Linotype" w:cs="Palatino Linotype"/>
          <w:b/>
          <w:i/>
        </w:rPr>
      </w:pPr>
      <w:r w:rsidRPr="0035237F">
        <w:rPr>
          <w:rFonts w:ascii="Palatino Linotype" w:eastAsia="Palatino Linotype" w:hAnsi="Palatino Linotype" w:cs="Palatino Linotype"/>
          <w:b/>
          <w:i/>
        </w:rPr>
        <w:t>“Artículo 137.</w:t>
      </w:r>
      <w:r w:rsidRPr="0035237F">
        <w:rPr>
          <w:rFonts w:ascii="Palatino Linotype" w:eastAsia="Palatino Linotype" w:hAnsi="Palatino Linotype" w:cs="Palatino Linotype"/>
          <w:i/>
        </w:rPr>
        <w:t xml:space="preserve"> Cuando un mismo medio, impreso o electrónico, contenga información pública y reservada o confidencial, la Unidad de Transparencia para efectos de atender una solicitud de información, deberán elaborar una versión pública en la que se testen las partes o secciones clasificadas, indicando su contenido de manera genérica y fundando y motivando su clasificación.”</w:t>
      </w:r>
    </w:p>
    <w:p w14:paraId="193E4030" w14:textId="77777777" w:rsidR="00724E79" w:rsidRPr="0035237F" w:rsidRDefault="00724E79">
      <w:pPr>
        <w:spacing w:after="0" w:line="276" w:lineRule="auto"/>
        <w:ind w:left="992" w:right="1043"/>
        <w:jc w:val="both"/>
        <w:rPr>
          <w:rFonts w:ascii="Palatino Linotype" w:eastAsia="Palatino Linotype" w:hAnsi="Palatino Linotype" w:cs="Palatino Linotype"/>
          <w:b/>
          <w:i/>
        </w:rPr>
      </w:pPr>
    </w:p>
    <w:p w14:paraId="04313F4B" w14:textId="77777777" w:rsidR="00724E79" w:rsidRPr="0035237F" w:rsidRDefault="00312C60">
      <w:pPr>
        <w:spacing w:after="0" w:line="276" w:lineRule="auto"/>
        <w:ind w:left="992" w:right="1043"/>
        <w:jc w:val="both"/>
        <w:rPr>
          <w:rFonts w:ascii="Palatino Linotype" w:eastAsia="Palatino Linotype" w:hAnsi="Palatino Linotype" w:cs="Palatino Linotype"/>
          <w:i/>
        </w:rPr>
      </w:pPr>
      <w:r w:rsidRPr="0035237F">
        <w:rPr>
          <w:rFonts w:ascii="Palatino Linotype" w:eastAsia="Palatino Linotype" w:hAnsi="Palatino Linotype" w:cs="Palatino Linotype"/>
          <w:b/>
          <w:i/>
        </w:rPr>
        <w:t>“Artículo 143</w:t>
      </w:r>
      <w:r w:rsidRPr="0035237F">
        <w:rPr>
          <w:rFonts w:ascii="Palatino Linotype" w:eastAsia="Palatino Linotype" w:hAnsi="Palatino Linotype" w:cs="Palatino Linotype"/>
          <w:i/>
        </w:rPr>
        <w:t>. Para los efectos de esta Ley se considera información confidencial, la clasificada como tal, de manera permanente, por su naturaleza, cuando:</w:t>
      </w:r>
    </w:p>
    <w:p w14:paraId="7055C928" w14:textId="77777777" w:rsidR="00724E79" w:rsidRPr="0035237F" w:rsidRDefault="00312C60">
      <w:pPr>
        <w:spacing w:after="0" w:line="276" w:lineRule="auto"/>
        <w:ind w:left="992" w:right="1043"/>
        <w:jc w:val="both"/>
        <w:rPr>
          <w:rFonts w:ascii="Palatino Linotype" w:eastAsia="Palatino Linotype" w:hAnsi="Palatino Linotype" w:cs="Palatino Linotype"/>
          <w:i/>
        </w:rPr>
      </w:pPr>
      <w:r w:rsidRPr="0035237F">
        <w:rPr>
          <w:rFonts w:ascii="Palatino Linotype" w:eastAsia="Palatino Linotype" w:hAnsi="Palatino Linotype" w:cs="Palatino Linotype"/>
          <w:b/>
          <w:i/>
        </w:rPr>
        <w:t>I.</w:t>
      </w:r>
      <w:r w:rsidRPr="0035237F">
        <w:rPr>
          <w:rFonts w:ascii="Palatino Linotype" w:eastAsia="Palatino Linotype" w:hAnsi="Palatino Linotype" w:cs="Palatino Linotype"/>
          <w:i/>
        </w:rPr>
        <w:t xml:space="preserve"> Se refiera a la información privada y los datos personales concernientes a una persona física o jurídica colectiva identificada o identificable;</w:t>
      </w:r>
    </w:p>
    <w:p w14:paraId="2612E41E" w14:textId="77777777" w:rsidR="00724E79" w:rsidRPr="0035237F" w:rsidRDefault="00312C60">
      <w:pPr>
        <w:spacing w:after="0" w:line="276" w:lineRule="auto"/>
        <w:ind w:left="992" w:right="1043"/>
        <w:jc w:val="both"/>
        <w:rPr>
          <w:rFonts w:ascii="Palatino Linotype" w:eastAsia="Palatino Linotype" w:hAnsi="Palatino Linotype" w:cs="Palatino Linotype"/>
          <w:i/>
        </w:rPr>
      </w:pPr>
      <w:r w:rsidRPr="0035237F">
        <w:rPr>
          <w:rFonts w:ascii="Palatino Linotype" w:eastAsia="Palatino Linotype" w:hAnsi="Palatino Linotype" w:cs="Palatino Linotype"/>
          <w:i/>
        </w:rPr>
        <w:t>II. Los secretos bancario, fiduciario, industrial, comercial, fiscal, bursátil y postal, cuya titularidad corresponda a particulares, sujetos de derecho internacional o a sujetos obligados cuando no involucren el ejercicio de recursos públicos; y</w:t>
      </w:r>
    </w:p>
    <w:p w14:paraId="3DC60B9F" w14:textId="77777777" w:rsidR="00724E79" w:rsidRPr="0035237F" w:rsidRDefault="00312C60">
      <w:pPr>
        <w:spacing w:after="0" w:line="276" w:lineRule="auto"/>
        <w:ind w:left="992" w:right="1043"/>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III. La que presenten los particulares a los sujetos obligados, de conformidad con lo dispuesto por las leyes o los tratados internacionales.” </w:t>
      </w:r>
    </w:p>
    <w:p w14:paraId="71B8997E" w14:textId="77777777" w:rsidR="00724E79" w:rsidRPr="0035237F" w:rsidRDefault="00724E79">
      <w:pPr>
        <w:spacing w:after="0" w:line="360" w:lineRule="auto"/>
        <w:ind w:left="992" w:right="1043"/>
        <w:jc w:val="both"/>
        <w:rPr>
          <w:rFonts w:ascii="Palatino Linotype" w:eastAsia="Palatino Linotype" w:hAnsi="Palatino Linotype" w:cs="Palatino Linotype"/>
          <w:i/>
          <w:sz w:val="24"/>
          <w:szCs w:val="24"/>
        </w:rPr>
      </w:pPr>
    </w:p>
    <w:p w14:paraId="51E56298" w14:textId="77777777" w:rsidR="00724E79" w:rsidRPr="0035237F" w:rsidRDefault="00312C60">
      <w:pPr>
        <w:spacing w:after="0" w:line="360" w:lineRule="auto"/>
        <w:ind w:right="51"/>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De los preceptos anteriores se desprende que cuando un documento que vaya a ser entregado vía acceso a la información pública, contenga tanto información de interés público como información que debe ser clasificada, se hará la entrega del mismo, testando las secciones o datos que deban ser clasificados; por ende el Sujeto Obligado deberá proceder a testar los datos personales que se encuentren contenidos en los documentos a entregar por parte del </w:t>
      </w:r>
      <w:r w:rsidRPr="0035237F">
        <w:rPr>
          <w:rFonts w:ascii="Palatino Linotype" w:eastAsia="Palatino Linotype" w:hAnsi="Palatino Linotype" w:cs="Palatino Linotype"/>
          <w:b/>
          <w:sz w:val="24"/>
          <w:szCs w:val="24"/>
        </w:rPr>
        <w:t>SUJETO OBLIGADO</w:t>
      </w:r>
      <w:r w:rsidRPr="0035237F">
        <w:rPr>
          <w:rFonts w:ascii="Palatino Linotype" w:eastAsia="Palatino Linotype" w:hAnsi="Palatino Linotype" w:cs="Palatino Linotype"/>
          <w:sz w:val="24"/>
          <w:szCs w:val="24"/>
        </w:rPr>
        <w:t xml:space="preserve"> para satisfacer el derecho de acceso a la información pública de </w:t>
      </w:r>
      <w:r w:rsidRPr="0035237F">
        <w:rPr>
          <w:rFonts w:ascii="Palatino Linotype" w:eastAsia="Palatino Linotype" w:hAnsi="Palatino Linotype" w:cs="Palatino Linotype"/>
          <w:b/>
          <w:sz w:val="24"/>
          <w:szCs w:val="24"/>
        </w:rPr>
        <w:t>LA PARTE</w:t>
      </w:r>
      <w:r w:rsidRPr="0035237F">
        <w:rPr>
          <w:rFonts w:ascii="Palatino Linotype" w:eastAsia="Palatino Linotype" w:hAnsi="Palatino Linotype" w:cs="Palatino Linotype"/>
          <w:sz w:val="24"/>
          <w:szCs w:val="24"/>
        </w:rPr>
        <w:t xml:space="preserve"> </w:t>
      </w:r>
      <w:r w:rsidRPr="0035237F">
        <w:rPr>
          <w:rFonts w:ascii="Palatino Linotype" w:eastAsia="Palatino Linotype" w:hAnsi="Palatino Linotype" w:cs="Palatino Linotype"/>
          <w:b/>
          <w:sz w:val="24"/>
          <w:szCs w:val="24"/>
        </w:rPr>
        <w:t>RECURRENTE</w:t>
      </w:r>
      <w:r w:rsidRPr="0035237F">
        <w:rPr>
          <w:rFonts w:ascii="Palatino Linotype" w:eastAsia="Palatino Linotype" w:hAnsi="Palatino Linotype" w:cs="Palatino Linotype"/>
          <w:sz w:val="24"/>
          <w:szCs w:val="24"/>
        </w:rPr>
        <w:t xml:space="preserve">, esto es, los datos concernientes a una persona identificada o identificable, o aquellos datos que tengan el carácter de sensibles, es decir los que </w:t>
      </w:r>
      <w:r w:rsidRPr="0035237F">
        <w:rPr>
          <w:rFonts w:ascii="Palatino Linotype" w:eastAsia="Palatino Linotype" w:hAnsi="Palatino Linotype" w:cs="Palatino Linotype"/>
          <w:sz w:val="24"/>
          <w:szCs w:val="24"/>
        </w:rPr>
        <w:lastRenderedPageBreak/>
        <w:t>afectan la esfera más íntima de su titular o cuya utilización indebida pueda dar origen a discriminación o conlleven un riesgo grave para aquel de acuerdo a lo que señala la fracción XII del artículo 4 de la Ley de Protección de Datos Personales en Posesión de Sujetos Obligados del Estado de México.</w:t>
      </w:r>
    </w:p>
    <w:p w14:paraId="680449BE" w14:textId="77777777" w:rsidR="00724E79" w:rsidRPr="0035237F" w:rsidRDefault="00312C60">
      <w:pPr>
        <w:tabs>
          <w:tab w:val="left" w:pos="3265"/>
        </w:tabs>
        <w:spacing w:after="0" w:line="360" w:lineRule="auto"/>
        <w:ind w:right="51"/>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ab/>
      </w:r>
    </w:p>
    <w:p w14:paraId="078DE6C7" w14:textId="77777777" w:rsidR="00724E79" w:rsidRPr="0035237F" w:rsidRDefault="00312C60">
      <w:pPr>
        <w:spacing w:after="0" w:line="360" w:lineRule="auto"/>
        <w:ind w:right="50"/>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Datos que deberá clasificar como confidenciales por tratarse precisamente de información privada, puesto que los datos personales son irrenunciables, intransferibles e indelegables y los Sujetos Obligados no deberán hacer entrega de los mismos a personas ajenas a su titular.</w:t>
      </w:r>
    </w:p>
    <w:p w14:paraId="69DB1138" w14:textId="77777777" w:rsidR="00724E79" w:rsidRPr="0035237F" w:rsidRDefault="00724E79">
      <w:pPr>
        <w:spacing w:after="0" w:line="360" w:lineRule="auto"/>
        <w:ind w:right="50"/>
        <w:jc w:val="both"/>
        <w:rPr>
          <w:rFonts w:ascii="Palatino Linotype" w:eastAsia="Palatino Linotype" w:hAnsi="Palatino Linotype" w:cs="Palatino Linotype"/>
          <w:sz w:val="24"/>
          <w:szCs w:val="24"/>
        </w:rPr>
      </w:pPr>
    </w:p>
    <w:p w14:paraId="143082A3" w14:textId="77777777" w:rsidR="00724E79" w:rsidRPr="0035237F" w:rsidRDefault="00312C60">
      <w:pPr>
        <w:spacing w:after="0" w:line="360" w:lineRule="auto"/>
        <w:ind w:right="51"/>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En ese contexto, la clasificación de la información no opera con la simple supresión de datos que se haga en los documentos de que se trate o con la simple decisión que tome el Servidor Público Habilitado o el </w:t>
      </w:r>
      <w:proofErr w:type="gramStart"/>
      <w:r w:rsidRPr="0035237F">
        <w:rPr>
          <w:rFonts w:ascii="Palatino Linotype" w:eastAsia="Palatino Linotype" w:hAnsi="Palatino Linotype" w:cs="Palatino Linotype"/>
          <w:sz w:val="24"/>
          <w:szCs w:val="24"/>
        </w:rPr>
        <w:t>Responsable</w:t>
      </w:r>
      <w:proofErr w:type="gramEnd"/>
      <w:r w:rsidRPr="0035237F">
        <w:rPr>
          <w:rFonts w:ascii="Palatino Linotype" w:eastAsia="Palatino Linotype" w:hAnsi="Palatino Linotype" w:cs="Palatino Linotype"/>
          <w:sz w:val="24"/>
          <w:szCs w:val="24"/>
        </w:rPr>
        <w:t xml:space="preserve"> de la Unidad de Transparencia del Sujeto Obligado, sino que ello deberá realizarse en términos de lo que disponen los artículos 49 fracción VIII, 53, fracción X y 59, fracción V, de la Ley en consulta, cuyo sentido literal es el siguiente:</w:t>
      </w:r>
    </w:p>
    <w:p w14:paraId="24107345" w14:textId="77777777" w:rsidR="00724E79" w:rsidRPr="0035237F" w:rsidRDefault="00724E79">
      <w:pPr>
        <w:spacing w:after="0" w:line="360" w:lineRule="auto"/>
        <w:ind w:right="51"/>
        <w:jc w:val="both"/>
        <w:rPr>
          <w:rFonts w:ascii="Palatino Linotype" w:eastAsia="Palatino Linotype" w:hAnsi="Palatino Linotype" w:cs="Palatino Linotype"/>
          <w:sz w:val="24"/>
          <w:szCs w:val="24"/>
        </w:rPr>
      </w:pPr>
    </w:p>
    <w:p w14:paraId="2622DF8E" w14:textId="77777777" w:rsidR="00724E79" w:rsidRPr="0035237F" w:rsidRDefault="00312C60">
      <w:pPr>
        <w:spacing w:after="0" w:line="276" w:lineRule="auto"/>
        <w:ind w:left="992" w:right="1043"/>
        <w:jc w:val="both"/>
        <w:rPr>
          <w:rFonts w:ascii="Palatino Linotype" w:eastAsia="Palatino Linotype" w:hAnsi="Palatino Linotype" w:cs="Palatino Linotype"/>
          <w:i/>
        </w:rPr>
      </w:pPr>
      <w:r w:rsidRPr="0035237F">
        <w:rPr>
          <w:rFonts w:ascii="Palatino Linotype" w:eastAsia="Palatino Linotype" w:hAnsi="Palatino Linotype" w:cs="Palatino Linotype"/>
          <w:b/>
          <w:i/>
        </w:rPr>
        <w:t>“Artículo 49.</w:t>
      </w:r>
      <w:r w:rsidRPr="0035237F">
        <w:rPr>
          <w:rFonts w:ascii="Palatino Linotype" w:eastAsia="Palatino Linotype" w:hAnsi="Palatino Linotype" w:cs="Palatino Linotype"/>
          <w:i/>
        </w:rPr>
        <w:t xml:space="preserve"> </w:t>
      </w:r>
      <w:r w:rsidRPr="0035237F">
        <w:rPr>
          <w:rFonts w:ascii="Palatino Linotype" w:eastAsia="Palatino Linotype" w:hAnsi="Palatino Linotype" w:cs="Palatino Linotype"/>
          <w:b/>
          <w:i/>
        </w:rPr>
        <w:t>Los Comités de Transparencia</w:t>
      </w:r>
      <w:r w:rsidRPr="0035237F">
        <w:rPr>
          <w:rFonts w:ascii="Palatino Linotype" w:eastAsia="Palatino Linotype" w:hAnsi="Palatino Linotype" w:cs="Palatino Linotype"/>
          <w:i/>
        </w:rPr>
        <w:t xml:space="preserve"> tendrán las siguientes atribuciones:</w:t>
      </w:r>
    </w:p>
    <w:p w14:paraId="22E71AFC" w14:textId="77777777" w:rsidR="00724E79" w:rsidRPr="0035237F" w:rsidRDefault="00312C60">
      <w:pPr>
        <w:spacing w:after="0" w:line="276" w:lineRule="auto"/>
        <w:ind w:left="992" w:right="1043"/>
        <w:jc w:val="both"/>
        <w:rPr>
          <w:rFonts w:ascii="Palatino Linotype" w:eastAsia="Palatino Linotype" w:hAnsi="Palatino Linotype" w:cs="Palatino Linotype"/>
          <w:i/>
        </w:rPr>
      </w:pPr>
      <w:r w:rsidRPr="0035237F">
        <w:rPr>
          <w:rFonts w:ascii="Palatino Linotype" w:eastAsia="Palatino Linotype" w:hAnsi="Palatino Linotype" w:cs="Palatino Linotype"/>
          <w:b/>
          <w:i/>
        </w:rPr>
        <w:t>VIII. Aprobar, modificar o revocar la clasificación de la información</w:t>
      </w:r>
      <w:r w:rsidRPr="0035237F">
        <w:rPr>
          <w:rFonts w:ascii="Palatino Linotype" w:eastAsia="Palatino Linotype" w:hAnsi="Palatino Linotype" w:cs="Palatino Linotype"/>
          <w:i/>
        </w:rPr>
        <w:t>…”</w:t>
      </w:r>
    </w:p>
    <w:p w14:paraId="17030B91" w14:textId="77777777" w:rsidR="00724E79" w:rsidRPr="0035237F" w:rsidRDefault="00312C60">
      <w:pPr>
        <w:spacing w:after="0" w:line="276" w:lineRule="auto"/>
        <w:ind w:left="992" w:right="1043"/>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r w:rsidRPr="0035237F">
        <w:rPr>
          <w:rFonts w:ascii="Palatino Linotype" w:eastAsia="Palatino Linotype" w:hAnsi="Palatino Linotype" w:cs="Palatino Linotype"/>
          <w:b/>
          <w:i/>
        </w:rPr>
        <w:t>Artículo 53.</w:t>
      </w:r>
      <w:r w:rsidRPr="0035237F">
        <w:rPr>
          <w:rFonts w:ascii="Palatino Linotype" w:eastAsia="Palatino Linotype" w:hAnsi="Palatino Linotype" w:cs="Palatino Linotype"/>
          <w:i/>
        </w:rPr>
        <w:t xml:space="preserve"> Las </w:t>
      </w:r>
      <w:r w:rsidRPr="0035237F">
        <w:rPr>
          <w:rFonts w:ascii="Palatino Linotype" w:eastAsia="Palatino Linotype" w:hAnsi="Palatino Linotype" w:cs="Palatino Linotype"/>
          <w:b/>
          <w:i/>
        </w:rPr>
        <w:t>Unidades de Transparencia</w:t>
      </w:r>
      <w:r w:rsidRPr="0035237F">
        <w:rPr>
          <w:rFonts w:ascii="Palatino Linotype" w:eastAsia="Palatino Linotype" w:hAnsi="Palatino Linotype" w:cs="Palatino Linotype"/>
          <w:i/>
        </w:rPr>
        <w:t xml:space="preserve"> tendrán las siguientes </w:t>
      </w:r>
      <w:r w:rsidRPr="0035237F">
        <w:rPr>
          <w:rFonts w:ascii="Palatino Linotype" w:eastAsia="Palatino Linotype" w:hAnsi="Palatino Linotype" w:cs="Palatino Linotype"/>
          <w:b/>
          <w:i/>
        </w:rPr>
        <w:t>funciones</w:t>
      </w:r>
      <w:r w:rsidRPr="0035237F">
        <w:rPr>
          <w:rFonts w:ascii="Palatino Linotype" w:eastAsia="Palatino Linotype" w:hAnsi="Palatino Linotype" w:cs="Palatino Linotype"/>
          <w:i/>
        </w:rPr>
        <w:t>:</w:t>
      </w:r>
    </w:p>
    <w:p w14:paraId="6ADF813B" w14:textId="77777777" w:rsidR="00724E79" w:rsidRPr="0035237F" w:rsidRDefault="00312C60">
      <w:pPr>
        <w:spacing w:after="0" w:line="276" w:lineRule="auto"/>
        <w:ind w:left="992" w:right="1043"/>
        <w:jc w:val="both"/>
        <w:rPr>
          <w:rFonts w:ascii="Palatino Linotype" w:eastAsia="Palatino Linotype" w:hAnsi="Palatino Linotype" w:cs="Palatino Linotype"/>
          <w:i/>
        </w:rPr>
      </w:pPr>
      <w:r w:rsidRPr="0035237F">
        <w:rPr>
          <w:rFonts w:ascii="Palatino Linotype" w:eastAsia="Palatino Linotype" w:hAnsi="Palatino Linotype" w:cs="Palatino Linotype"/>
          <w:b/>
          <w:i/>
        </w:rPr>
        <w:t>X. Presentar ante el Comité, el proyecto de clasificación de información</w:t>
      </w:r>
      <w:r w:rsidRPr="0035237F">
        <w:rPr>
          <w:rFonts w:ascii="Palatino Linotype" w:eastAsia="Palatino Linotype" w:hAnsi="Palatino Linotype" w:cs="Palatino Linotype"/>
          <w:i/>
        </w:rPr>
        <w:t xml:space="preserve">…” </w:t>
      </w:r>
    </w:p>
    <w:p w14:paraId="1B6DA02F" w14:textId="77777777" w:rsidR="00724E79" w:rsidRPr="0035237F" w:rsidRDefault="00312C60">
      <w:pPr>
        <w:spacing w:after="0" w:line="276" w:lineRule="auto"/>
        <w:ind w:left="992" w:right="1043"/>
        <w:jc w:val="both"/>
        <w:rPr>
          <w:rFonts w:ascii="Palatino Linotype" w:eastAsia="Palatino Linotype" w:hAnsi="Palatino Linotype" w:cs="Palatino Linotype"/>
          <w:i/>
        </w:rPr>
      </w:pPr>
      <w:r w:rsidRPr="0035237F">
        <w:rPr>
          <w:rFonts w:ascii="Palatino Linotype" w:eastAsia="Palatino Linotype" w:hAnsi="Palatino Linotype" w:cs="Palatino Linotype"/>
          <w:b/>
          <w:i/>
        </w:rPr>
        <w:lastRenderedPageBreak/>
        <w:t>“Artículo 59.</w:t>
      </w:r>
      <w:r w:rsidRPr="0035237F">
        <w:rPr>
          <w:rFonts w:ascii="Palatino Linotype" w:eastAsia="Palatino Linotype" w:hAnsi="Palatino Linotype" w:cs="Palatino Linotype"/>
          <w:i/>
        </w:rPr>
        <w:t xml:space="preserve"> Los </w:t>
      </w:r>
      <w:r w:rsidRPr="0035237F">
        <w:rPr>
          <w:rFonts w:ascii="Palatino Linotype" w:eastAsia="Palatino Linotype" w:hAnsi="Palatino Linotype" w:cs="Palatino Linotype"/>
          <w:b/>
          <w:i/>
        </w:rPr>
        <w:t>servidores públicos habilitados</w:t>
      </w:r>
      <w:r w:rsidRPr="0035237F">
        <w:rPr>
          <w:rFonts w:ascii="Palatino Linotype" w:eastAsia="Palatino Linotype" w:hAnsi="Palatino Linotype" w:cs="Palatino Linotype"/>
          <w:i/>
        </w:rPr>
        <w:t xml:space="preserve"> tendrán las </w:t>
      </w:r>
      <w:r w:rsidRPr="0035237F">
        <w:rPr>
          <w:rFonts w:ascii="Palatino Linotype" w:eastAsia="Palatino Linotype" w:hAnsi="Palatino Linotype" w:cs="Palatino Linotype"/>
          <w:b/>
          <w:i/>
        </w:rPr>
        <w:t>funciones</w:t>
      </w:r>
      <w:r w:rsidRPr="0035237F">
        <w:rPr>
          <w:rFonts w:ascii="Palatino Linotype" w:eastAsia="Palatino Linotype" w:hAnsi="Palatino Linotype" w:cs="Palatino Linotype"/>
          <w:i/>
        </w:rPr>
        <w:t xml:space="preserve"> siguientes:</w:t>
      </w:r>
    </w:p>
    <w:p w14:paraId="57A6E657" w14:textId="77777777" w:rsidR="00724E79" w:rsidRPr="0035237F" w:rsidRDefault="00312C60">
      <w:pPr>
        <w:spacing w:after="0" w:line="276" w:lineRule="auto"/>
        <w:ind w:left="992" w:right="1043"/>
        <w:jc w:val="both"/>
        <w:rPr>
          <w:rFonts w:ascii="Palatino Linotype" w:eastAsia="Palatino Linotype" w:hAnsi="Palatino Linotype" w:cs="Palatino Linotype"/>
          <w:i/>
        </w:rPr>
      </w:pPr>
      <w:r w:rsidRPr="0035237F">
        <w:rPr>
          <w:rFonts w:ascii="Palatino Linotype" w:eastAsia="Palatino Linotype" w:hAnsi="Palatino Linotype" w:cs="Palatino Linotype"/>
          <w:b/>
          <w:i/>
        </w:rPr>
        <w:t>V. Integrar y presentar al responsable de la Unidad de Transparencia la propuesta de clasificación de información</w:t>
      </w:r>
      <w:r w:rsidRPr="0035237F">
        <w:rPr>
          <w:rFonts w:ascii="Palatino Linotype" w:eastAsia="Palatino Linotype" w:hAnsi="Palatino Linotype" w:cs="Palatino Linotype"/>
          <w:i/>
        </w:rPr>
        <w:t>, la cual tendrá los fundamentos y argumentos en que se basa dicha propuesta…”</w:t>
      </w:r>
    </w:p>
    <w:p w14:paraId="38DF8B72"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72F56735"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Denotándose de dichos elementos normativos que el determinar la clasificación de la información es un trabajo en conjunto tanto de los Servidores Públicos Habilitados, de las Unidades de Transparencia y del Comité de Transparencia del Sujeto Obligado, teniendo el deber los primeros de ellos de presentar ante la Unidad de Transparencia la propuesta de la clasificación de la información, para que luego ésta presente ante al Comité de Transparencia de así resultar procedente el proyecto de clasificación de la información y finalmente sea éste último quien apruebe, modifique o revoque la clasificación de la información solicitada.</w:t>
      </w:r>
    </w:p>
    <w:p w14:paraId="4B855171"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54923930"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Para lo cual, a su vez en el caso de información de carácter confidencial, se debe atender a lo que señala el artículo 149 de la Ley de Transparencia Local vigente, que se lee como sigue:</w:t>
      </w:r>
    </w:p>
    <w:p w14:paraId="08A8B7D0"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4BA06414" w14:textId="77777777" w:rsidR="00724E79" w:rsidRPr="0035237F" w:rsidRDefault="00312C60">
      <w:pPr>
        <w:spacing w:after="0" w:line="276" w:lineRule="auto"/>
        <w:ind w:left="992" w:right="1043"/>
        <w:jc w:val="both"/>
        <w:rPr>
          <w:rFonts w:ascii="Palatino Linotype" w:eastAsia="Palatino Linotype" w:hAnsi="Palatino Linotype" w:cs="Palatino Linotype"/>
          <w:i/>
        </w:rPr>
      </w:pPr>
      <w:r w:rsidRPr="0035237F">
        <w:rPr>
          <w:rFonts w:ascii="Palatino Linotype" w:eastAsia="Palatino Linotype" w:hAnsi="Palatino Linotype" w:cs="Palatino Linotype"/>
          <w:i/>
        </w:rPr>
        <w:t>“</w:t>
      </w:r>
      <w:r w:rsidRPr="0035237F">
        <w:rPr>
          <w:rFonts w:ascii="Palatino Linotype" w:eastAsia="Palatino Linotype" w:hAnsi="Palatino Linotype" w:cs="Palatino Linotype"/>
          <w:b/>
          <w:i/>
        </w:rPr>
        <w:t>Artículo 149.</w:t>
      </w:r>
      <w:r w:rsidRPr="0035237F">
        <w:rPr>
          <w:rFonts w:ascii="Palatino Linotype" w:eastAsia="Palatino Linotype" w:hAnsi="Palatino Linotype" w:cs="Palatino Linotype"/>
          <w:i/>
        </w:rPr>
        <w:t xml:space="preserve"> El </w:t>
      </w:r>
      <w:r w:rsidRPr="0035237F">
        <w:rPr>
          <w:rFonts w:ascii="Palatino Linotype" w:eastAsia="Palatino Linotype" w:hAnsi="Palatino Linotype" w:cs="Palatino Linotype"/>
          <w:b/>
          <w:i/>
        </w:rPr>
        <w:t>acuerdo que clasifique la información como confidencial</w:t>
      </w:r>
      <w:r w:rsidRPr="0035237F">
        <w:rPr>
          <w:rFonts w:ascii="Palatino Linotype" w:eastAsia="Palatino Linotype" w:hAnsi="Palatino Linotype" w:cs="Palatino Linotype"/>
          <w:i/>
        </w:rPr>
        <w:t xml:space="preserve"> deberá contener un razonamiento lógico en el que demuestre que la información se encuentra en alguna o algunas de las hipótesis previstas en la presente Ley.”</w:t>
      </w:r>
    </w:p>
    <w:p w14:paraId="632C31F9" w14:textId="77777777" w:rsidR="00724E79" w:rsidRPr="0035237F" w:rsidRDefault="00724E79">
      <w:pPr>
        <w:spacing w:after="0" w:line="360" w:lineRule="auto"/>
        <w:ind w:right="51"/>
        <w:jc w:val="both"/>
        <w:rPr>
          <w:rFonts w:ascii="Palatino Linotype" w:eastAsia="Palatino Linotype" w:hAnsi="Palatino Linotype" w:cs="Palatino Linotype"/>
          <w:sz w:val="24"/>
          <w:szCs w:val="24"/>
        </w:rPr>
      </w:pPr>
    </w:p>
    <w:p w14:paraId="31860E13" w14:textId="77777777" w:rsidR="00724E79" w:rsidRPr="0035237F" w:rsidRDefault="00312C60">
      <w:pPr>
        <w:spacing w:after="0" w:line="360" w:lineRule="auto"/>
        <w:ind w:right="51"/>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Es decir, </w:t>
      </w:r>
      <w:r w:rsidRPr="0035237F">
        <w:rPr>
          <w:rFonts w:ascii="Palatino Linotype" w:eastAsia="Palatino Linotype" w:hAnsi="Palatino Linotype" w:cs="Palatino Linotype"/>
          <w:b/>
          <w:sz w:val="24"/>
          <w:szCs w:val="24"/>
        </w:rPr>
        <w:t>EL</w:t>
      </w:r>
      <w:r w:rsidRPr="0035237F">
        <w:rPr>
          <w:rFonts w:ascii="Palatino Linotype" w:eastAsia="Palatino Linotype" w:hAnsi="Palatino Linotype" w:cs="Palatino Linotype"/>
          <w:sz w:val="24"/>
          <w:szCs w:val="24"/>
        </w:rPr>
        <w:t xml:space="preserve"> </w:t>
      </w:r>
      <w:r w:rsidRPr="0035237F">
        <w:rPr>
          <w:rFonts w:ascii="Palatino Linotype" w:eastAsia="Palatino Linotype" w:hAnsi="Palatino Linotype" w:cs="Palatino Linotype"/>
          <w:b/>
          <w:sz w:val="24"/>
          <w:szCs w:val="24"/>
        </w:rPr>
        <w:t>SUJETO OBLIGADO</w:t>
      </w:r>
      <w:r w:rsidRPr="0035237F">
        <w:rPr>
          <w:rFonts w:ascii="Palatino Linotype" w:eastAsia="Palatino Linotype" w:hAnsi="Palatino Linotype" w:cs="Palatino Linotype"/>
          <w:sz w:val="24"/>
          <w:szCs w:val="24"/>
        </w:rPr>
        <w:t xml:space="preserve"> a través de su Comité de Transparencia, deberá elaborar acuerdo que contenga un razonamiento lógico con el que se demuestre que </w:t>
      </w:r>
      <w:r w:rsidRPr="0035237F">
        <w:rPr>
          <w:rFonts w:ascii="Palatino Linotype" w:eastAsia="Palatino Linotype" w:hAnsi="Palatino Linotype" w:cs="Palatino Linotype"/>
          <w:sz w:val="24"/>
          <w:szCs w:val="24"/>
        </w:rPr>
        <w:lastRenderedPageBreak/>
        <w:t>la información que se testa de las versiones públicas que se sirva elaborar, encuadra en alguna de las hipótesis que contempla la Ley de la Materia en su artículo 143; ya que de lo contrario, se crearía la incertidumbre jurídica en relación a si lo entregado es formalmente una versión pública, o un documento ilegible, incompleto o tachado; en otras palabras si no se exponen de manera puntual las razones de la versión pública de la documentación entregada se estaría violentando el derecho de acceso a la información de la parte solicitante.</w:t>
      </w:r>
    </w:p>
    <w:p w14:paraId="7ED6C8F6" w14:textId="77777777" w:rsidR="00724E79" w:rsidRPr="0035237F" w:rsidRDefault="00724E79">
      <w:pPr>
        <w:spacing w:after="0" w:line="360" w:lineRule="auto"/>
        <w:ind w:right="51"/>
        <w:jc w:val="both"/>
        <w:rPr>
          <w:rFonts w:ascii="Palatino Linotype" w:eastAsia="Palatino Linotype" w:hAnsi="Palatino Linotype" w:cs="Palatino Linotype"/>
          <w:sz w:val="24"/>
          <w:szCs w:val="24"/>
        </w:rPr>
      </w:pPr>
    </w:p>
    <w:p w14:paraId="10E8924F"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Al respecto, se destaca que la versión pública que elabore </w:t>
      </w:r>
      <w:r w:rsidRPr="0035237F">
        <w:rPr>
          <w:rFonts w:ascii="Palatino Linotype" w:eastAsia="Palatino Linotype" w:hAnsi="Palatino Linotype" w:cs="Palatino Linotype"/>
          <w:b/>
          <w:sz w:val="24"/>
          <w:szCs w:val="24"/>
        </w:rPr>
        <w:t>EL</w:t>
      </w:r>
      <w:r w:rsidRPr="0035237F">
        <w:rPr>
          <w:rFonts w:ascii="Palatino Linotype" w:eastAsia="Palatino Linotype" w:hAnsi="Palatino Linotype" w:cs="Palatino Linotype"/>
          <w:sz w:val="24"/>
          <w:szCs w:val="24"/>
        </w:rPr>
        <w:t xml:space="preserve"> </w:t>
      </w:r>
      <w:r w:rsidRPr="0035237F">
        <w:rPr>
          <w:rFonts w:ascii="Palatino Linotype" w:eastAsia="Palatino Linotype" w:hAnsi="Palatino Linotype" w:cs="Palatino Linotype"/>
          <w:b/>
          <w:sz w:val="24"/>
          <w:szCs w:val="24"/>
        </w:rPr>
        <w:t>SUJETO OBLIGADO</w:t>
      </w:r>
      <w:r w:rsidRPr="0035237F">
        <w:rPr>
          <w:rFonts w:ascii="Palatino Linotype" w:eastAsia="Palatino Linotype" w:hAnsi="Palatino Linotype" w:cs="Palatino Linotype"/>
          <w:sz w:val="24"/>
          <w:szCs w:val="24"/>
        </w:rPr>
        <w:t xml:space="preserve"> debe cumplir con las formalidades exigidas en la Ley; es decir, resulta necesario que el Comité de Transparencia del Sujeto Obligado emita el Acuerdo de Clasificación correspondiente debidamente fundado y motivado, que sustente la versión pública, el cual deberá cumplir cabalmente con las formalidades previstas en el artículo 137 de la Ley de Transparencia y Acceso a la Información Pública del Estado de México y Municipios, ya expuesto; así como con los numerales aplicables de los </w:t>
      </w:r>
      <w:r w:rsidRPr="0035237F">
        <w:rPr>
          <w:rFonts w:ascii="Palatino Linotype" w:eastAsia="Palatino Linotype" w:hAnsi="Palatino Linotype" w:cs="Palatino Linotype"/>
          <w:b/>
          <w:sz w:val="24"/>
          <w:szCs w:val="24"/>
        </w:rPr>
        <w:t>LINEAMIENTOS GENERALES EN MATERIA DE CLASIFICACIÓN Y DESCLASIFICACIÓN DE LA INFORMACIÓN, ASÍ COMO PARA LA ELABORACIÓN DE VERSIONES PÚBLICAS</w:t>
      </w:r>
      <w:r w:rsidRPr="0035237F">
        <w:rPr>
          <w:rFonts w:ascii="Palatino Linotype" w:eastAsia="Palatino Linotype" w:hAnsi="Palatino Linotype" w:cs="Palatino Linotype"/>
          <w:sz w:val="24"/>
          <w:szCs w:val="24"/>
        </w:rPr>
        <w:t>, publicados en el Diario Oficial de la Federación en fecha dieciocho de noviembre del año dos mil veintidós, mediante Acuerdo del Consejo Nacional del Sistema Nacional de Transparencia, Acceso a la Información Pública y Protección de Datos Personales, que literalmente expresan:</w:t>
      </w:r>
    </w:p>
    <w:p w14:paraId="4541ADCD" w14:textId="77777777" w:rsidR="00724E79" w:rsidRPr="0035237F" w:rsidRDefault="00724E79">
      <w:pPr>
        <w:spacing w:after="0" w:line="360" w:lineRule="auto"/>
        <w:ind w:left="709" w:right="709"/>
        <w:jc w:val="both"/>
        <w:rPr>
          <w:rFonts w:ascii="Palatino Linotype" w:eastAsia="Palatino Linotype" w:hAnsi="Palatino Linotype" w:cs="Palatino Linotype"/>
          <w:b/>
          <w:i/>
          <w:sz w:val="24"/>
          <w:szCs w:val="24"/>
        </w:rPr>
      </w:pPr>
    </w:p>
    <w:p w14:paraId="03B567CB"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b/>
          <w:i/>
        </w:rPr>
        <w:t>“Lineamientos Generales en materia de Clasificación y Desclasificación de la Información, así como para la elaboración de Versiones Públicas</w:t>
      </w:r>
    </w:p>
    <w:p w14:paraId="615B93D0"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i/>
        </w:rPr>
        <w:lastRenderedPageBreak/>
        <w:t>“</w:t>
      </w:r>
      <w:proofErr w:type="gramStart"/>
      <w:r w:rsidRPr="0035237F">
        <w:rPr>
          <w:rFonts w:ascii="Palatino Linotype" w:eastAsia="Palatino Linotype" w:hAnsi="Palatino Linotype" w:cs="Palatino Linotype"/>
          <w:b/>
          <w:i/>
        </w:rPr>
        <w:t>Segundo.-</w:t>
      </w:r>
      <w:proofErr w:type="gramEnd"/>
      <w:r w:rsidRPr="0035237F">
        <w:rPr>
          <w:rFonts w:ascii="Palatino Linotype" w:eastAsia="Palatino Linotype" w:hAnsi="Palatino Linotype" w:cs="Palatino Linotype"/>
          <w:i/>
        </w:rPr>
        <w:t xml:space="preserve"> Para efectos de los presentes Lineamientos Generales, se entenderá por:</w:t>
      </w:r>
    </w:p>
    <w:p w14:paraId="11426DD4"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b/>
          <w:i/>
        </w:rPr>
        <w:t>XVIII.</w:t>
      </w:r>
      <w:r w:rsidRPr="0035237F">
        <w:rPr>
          <w:rFonts w:ascii="Palatino Linotype" w:eastAsia="Palatino Linotype" w:hAnsi="Palatino Linotype" w:cs="Palatino Linotype"/>
          <w:i/>
        </w:rPr>
        <w:t xml:space="preserve"> </w:t>
      </w:r>
      <w:r w:rsidRPr="0035237F">
        <w:rPr>
          <w:rFonts w:ascii="Palatino Linotype" w:eastAsia="Palatino Linotype" w:hAnsi="Palatino Linotype" w:cs="Palatino Linotype"/>
          <w:b/>
          <w:i/>
        </w:rPr>
        <w:t>Versión pública:</w:t>
      </w:r>
      <w:r w:rsidRPr="0035237F">
        <w:rPr>
          <w:rFonts w:ascii="Palatino Linotype" w:eastAsia="Palatino Linotype" w:hAnsi="Palatino Linotype" w:cs="Palatino Linotype"/>
          <w:i/>
        </w:rPr>
        <w:t xml:space="preserve"> El documento a partir del que se otorga acceso a la información, en el que se testan partes o secciones clasificadas, indicando el contenido de éstas de manera genérica, </w:t>
      </w:r>
      <w:r w:rsidRPr="0035237F">
        <w:rPr>
          <w:rFonts w:ascii="Palatino Linotype" w:eastAsia="Palatino Linotype" w:hAnsi="Palatino Linotype" w:cs="Palatino Linotype"/>
          <w:b/>
          <w:i/>
          <w:u w:val="single"/>
        </w:rPr>
        <w:t>fundando y motivando la</w:t>
      </w:r>
      <w:r w:rsidRPr="0035237F">
        <w:rPr>
          <w:rFonts w:ascii="Palatino Linotype" w:eastAsia="Palatino Linotype" w:hAnsi="Palatino Linotype" w:cs="Palatino Linotype"/>
          <w:i/>
        </w:rPr>
        <w:t xml:space="preserve"> reserva o </w:t>
      </w:r>
      <w:r w:rsidRPr="0035237F">
        <w:rPr>
          <w:rFonts w:ascii="Palatino Linotype" w:eastAsia="Palatino Linotype" w:hAnsi="Palatino Linotype" w:cs="Palatino Linotype"/>
          <w:b/>
          <w:i/>
          <w:u w:val="single"/>
        </w:rPr>
        <w:t>confidencialidad</w:t>
      </w:r>
      <w:r w:rsidRPr="0035237F">
        <w:rPr>
          <w:rFonts w:ascii="Palatino Linotype" w:eastAsia="Palatino Linotype" w:hAnsi="Palatino Linotype" w:cs="Palatino Linotype"/>
          <w:i/>
        </w:rPr>
        <w:t>, a través de la resolución que para tal efecto emita el Comité de Transparencia.</w:t>
      </w:r>
    </w:p>
    <w:p w14:paraId="3C7C1AA2"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b/>
          <w:i/>
        </w:rPr>
        <w:t>Cuarto.</w:t>
      </w:r>
      <w:r w:rsidRPr="0035237F">
        <w:rPr>
          <w:rFonts w:ascii="Palatino Linotype" w:eastAsia="Palatino Linotype" w:hAnsi="Palatino Linotype" w:cs="Palatino Linotype"/>
          <w:i/>
        </w:rPr>
        <w:t xml:space="preserve"> Para clasificar la información como reservada o confidencial, de manera total o parcial, el titular del área del sujeto obligado deberá atender lo dispuesto por el Título Sexto de la Ley General, en relación con las disposiciones contenidas en los presentes lineamientos, así como en aquellas disposiciones legales aplicables a la materia en el ámbito de sus respectivas competencias, en tanto estas últimas no contravengan lo dispuesto en la Ley General.</w:t>
      </w:r>
    </w:p>
    <w:p w14:paraId="001690AC"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i/>
        </w:rPr>
        <w:t>Los sujetos obligados deberán aplicar, de manera estricta, las excepciones al derecho de acceso a la información y sólo podrán invocarlas cuando acrediten su procedencia.</w:t>
      </w:r>
    </w:p>
    <w:p w14:paraId="7CB8C576"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b/>
          <w:i/>
        </w:rPr>
        <w:t>Quinto.</w:t>
      </w:r>
      <w:r w:rsidRPr="0035237F">
        <w:rPr>
          <w:rFonts w:ascii="Palatino Linotype" w:eastAsia="Palatino Linotype" w:hAnsi="Palatino Linotype" w:cs="Palatino Linotype"/>
          <w:i/>
        </w:rPr>
        <w:t xml:space="preserve"> La carga de la prueba para justificar toda negativa de acceso a la información, por actualizarse cualquiera de los supuestos de clasificación previstos en la Ley General, la Ley Federal y leyes estatales, corresponderá a los sujetos obligados, por lo que deberán fundar y motivar debidamente la clasificación de la información ante una solicitud de acceso o al momento en que generen versiones públicas para dar cumplimiento a las obligaciones de transparencia, observando lo dispuesto en la Ley General y las demás disposiciones aplicables en la materia.</w:t>
      </w:r>
    </w:p>
    <w:p w14:paraId="577C3BCD"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b/>
          <w:i/>
        </w:rPr>
        <w:t>…</w:t>
      </w:r>
    </w:p>
    <w:p w14:paraId="540EF95E"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b/>
          <w:i/>
        </w:rPr>
        <w:t>Séptimo.</w:t>
      </w:r>
      <w:r w:rsidRPr="0035237F">
        <w:rPr>
          <w:rFonts w:ascii="Palatino Linotype" w:eastAsia="Palatino Linotype" w:hAnsi="Palatino Linotype" w:cs="Palatino Linotype"/>
          <w:i/>
        </w:rPr>
        <w:t xml:space="preserve"> La clasificación de la información se llevará a cabo en el momento en que:</w:t>
      </w:r>
    </w:p>
    <w:p w14:paraId="5D817971"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b/>
          <w:i/>
        </w:rPr>
        <w:t>I.</w:t>
      </w:r>
      <w:r w:rsidRPr="0035237F">
        <w:rPr>
          <w:rFonts w:ascii="Palatino Linotype" w:eastAsia="Palatino Linotype" w:hAnsi="Palatino Linotype" w:cs="Palatino Linotype"/>
          <w:i/>
        </w:rPr>
        <w:t xml:space="preserve"> Se reciba una solicitud de acceso a la información;</w:t>
      </w:r>
    </w:p>
    <w:p w14:paraId="4B1CCC47"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b/>
          <w:i/>
        </w:rPr>
        <w:t>II.</w:t>
      </w:r>
      <w:r w:rsidRPr="0035237F">
        <w:rPr>
          <w:rFonts w:ascii="Palatino Linotype" w:eastAsia="Palatino Linotype" w:hAnsi="Palatino Linotype" w:cs="Palatino Linotype"/>
          <w:i/>
        </w:rPr>
        <w:t xml:space="preserve"> </w:t>
      </w:r>
      <w:proofErr w:type="gramStart"/>
      <w:r w:rsidRPr="0035237F">
        <w:rPr>
          <w:rFonts w:ascii="Palatino Linotype" w:eastAsia="Palatino Linotype" w:hAnsi="Palatino Linotype" w:cs="Palatino Linotype"/>
          <w:i/>
        </w:rPr>
        <w:t>Se  determine</w:t>
      </w:r>
      <w:proofErr w:type="gramEnd"/>
      <w:r w:rsidRPr="0035237F">
        <w:rPr>
          <w:rFonts w:ascii="Palatino Linotype" w:eastAsia="Palatino Linotype" w:hAnsi="Palatino Linotype" w:cs="Palatino Linotype"/>
          <w:i/>
        </w:rPr>
        <w:t xml:space="preserve"> mediante resolución del Comité de Transparencia, el órgano garante </w:t>
      </w:r>
    </w:p>
    <w:p w14:paraId="2AD58CAC"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i/>
        </w:rPr>
        <w:t>competente, o en cumplimiento a una sentencia del Poder Judicial; o</w:t>
      </w:r>
    </w:p>
    <w:p w14:paraId="5D8263E5"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b/>
          <w:i/>
        </w:rPr>
        <w:t>III.</w:t>
      </w:r>
      <w:r w:rsidRPr="0035237F">
        <w:rPr>
          <w:rFonts w:ascii="Palatino Linotype" w:eastAsia="Palatino Linotype" w:hAnsi="Palatino Linotype" w:cs="Palatino Linotype"/>
          <w:i/>
        </w:rPr>
        <w:t xml:space="preserve"> Se generen versiones públicas para dar cumplimiento a las obligaciones de transparencia previstas en la Ley General, la Ley Federal y las correspondientes de las entidades federativas.</w:t>
      </w:r>
    </w:p>
    <w:p w14:paraId="6E3F37FB"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i/>
        </w:rPr>
        <w:t>Los titulares de las áreas deberán revisar la clasificación al momento de la recepción de una solicitud de acceso a la información, para verificar si encuadra en una causal de reserva o de confidencialidad.</w:t>
      </w:r>
    </w:p>
    <w:p w14:paraId="0A5398B0"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b/>
          <w:i/>
        </w:rPr>
        <w:lastRenderedPageBreak/>
        <w:t>Octavo.</w:t>
      </w:r>
      <w:r w:rsidRPr="0035237F">
        <w:rPr>
          <w:rFonts w:ascii="Palatino Linotype" w:eastAsia="Palatino Linotype" w:hAnsi="Palatino Linotype" w:cs="Palatino Linotype"/>
          <w:i/>
        </w:rPr>
        <w:t xml:space="preserve"> Para fundar la clasificación de la información se debe señalar el artículo, fracción, inciso, párrafo o numeral de la ley o tratado internacional suscrito por el Estado mexicano que expresamente le otorga el carácter de reservada o confidencial.</w:t>
      </w:r>
    </w:p>
    <w:p w14:paraId="44155F32"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i/>
        </w:rPr>
        <w:t>Para motivar la clasificación se deberán señalar las razones o circunstancias especiales que lo llevaron a concluir que el caso particular se ajusta al supuesto previsto por la norma legal invocada como fundamento.</w:t>
      </w:r>
    </w:p>
    <w:p w14:paraId="02F1D10B"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En caso de referirse a información reservada, la motivación de la clasificación deberá comprender el análisis de la prueba de daño a que hace referencia el artículo 104 de la Ley General, en relación con el artículo trigésimo tercero de los presentes lineamientos, así como las circunstancias que justifican el establecimiento de determinado plazo de reserva. </w:t>
      </w:r>
    </w:p>
    <w:p w14:paraId="11ED383D"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b/>
          <w:i/>
        </w:rPr>
        <w:t>Noveno.</w:t>
      </w:r>
      <w:r w:rsidRPr="0035237F">
        <w:rPr>
          <w:rFonts w:ascii="Palatino Linotype" w:eastAsia="Palatino Linotype" w:hAnsi="Palatino Linotype" w:cs="Palatino Linotype"/>
          <w:i/>
        </w:rPr>
        <w:t xml:space="preserve"> En los casos en que se solicite un documento o expediente que contenga partes o secciones clasificadas, los titulares de las áreas deberán elaborar una versión pública fundando y motivando la clasificación de las partes o secciones que se testen, siguiendo los procedimientos establecidos en el Capítulo IX de los presentes lineamientos.</w:t>
      </w:r>
    </w:p>
    <w:p w14:paraId="54933A34"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b/>
          <w:i/>
        </w:rPr>
        <w:t>Décimo.</w:t>
      </w:r>
      <w:r w:rsidRPr="0035237F">
        <w:rPr>
          <w:rFonts w:ascii="Palatino Linotype" w:eastAsia="Palatino Linotype" w:hAnsi="Palatino Linotype" w:cs="Palatino Linotype"/>
          <w:i/>
        </w:rPr>
        <w:t xml:space="preserve"> Los titulares de las áreas, deberán tener conocimiento y llevar un registro del personal que, por la naturaleza de sus atribuciones, tenga acceso a los documentos clasificados. Asimismo, deberán asegurarse de que dicho personal cuente con los conocimientos técnicos y legales que le permitan manejar adecuadamente la información clasificada, en los términos de la Ley General de Archivos, Lineamientos para la Organización y Conservación de Archivos y demás normatividad aplicable.</w:t>
      </w:r>
    </w:p>
    <w:p w14:paraId="2F2CB6A8"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i/>
        </w:rPr>
        <w:t>En ausencia de los titulares de las áreas, la información será clasificada o desclasificada por la persona que lo supla, en términos de la normativa que rija la actuación del sujeto obligado.</w:t>
      </w:r>
    </w:p>
    <w:p w14:paraId="616815BC"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b/>
          <w:i/>
        </w:rPr>
        <w:t>Décimo primero.</w:t>
      </w:r>
      <w:r w:rsidRPr="0035237F">
        <w:rPr>
          <w:rFonts w:ascii="Palatino Linotype" w:eastAsia="Palatino Linotype" w:hAnsi="Palatino Linotype" w:cs="Palatino Linotype"/>
          <w:i/>
        </w:rPr>
        <w:t xml:space="preserve"> En el intercambio de información entre sujetos obligados para el ejercicio de sus atribuciones, los documentos que se encuentren clasificados deberán llevar la leyenda correspondiente de conformidad con lo dispuesto en el Capítulo VIII de los presentes lineamientos.</w:t>
      </w:r>
    </w:p>
    <w:p w14:paraId="7116AACE" w14:textId="77777777" w:rsidR="00724E79" w:rsidRPr="0035237F" w:rsidRDefault="00724E79">
      <w:pPr>
        <w:pBdr>
          <w:top w:val="nil"/>
          <w:left w:val="nil"/>
          <w:bottom w:val="nil"/>
          <w:right w:val="nil"/>
          <w:between w:val="nil"/>
        </w:pBdr>
        <w:spacing w:after="0" w:line="276" w:lineRule="auto"/>
        <w:ind w:right="709"/>
        <w:jc w:val="both"/>
        <w:rPr>
          <w:rFonts w:ascii="Palatino Linotype" w:eastAsia="Palatino Linotype" w:hAnsi="Palatino Linotype" w:cs="Palatino Linotype"/>
        </w:rPr>
      </w:pPr>
    </w:p>
    <w:p w14:paraId="0DA3950E"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i/>
        </w:rPr>
        <w:t>[…]</w:t>
      </w:r>
    </w:p>
    <w:p w14:paraId="5799E312" w14:textId="77777777" w:rsidR="00724E79" w:rsidRPr="0035237F" w:rsidRDefault="00312C60">
      <w:pPr>
        <w:pBdr>
          <w:top w:val="nil"/>
          <w:left w:val="nil"/>
          <w:bottom w:val="nil"/>
          <w:right w:val="nil"/>
          <w:between w:val="nil"/>
        </w:pBdr>
        <w:spacing w:after="0" w:line="276" w:lineRule="auto"/>
        <w:ind w:left="709" w:right="709"/>
        <w:jc w:val="center"/>
        <w:rPr>
          <w:rFonts w:ascii="Palatino Linotype" w:eastAsia="Palatino Linotype" w:hAnsi="Palatino Linotype" w:cs="Palatino Linotype"/>
        </w:rPr>
      </w:pPr>
      <w:r w:rsidRPr="0035237F">
        <w:rPr>
          <w:rFonts w:ascii="Palatino Linotype" w:eastAsia="Palatino Linotype" w:hAnsi="Palatino Linotype" w:cs="Palatino Linotype"/>
          <w:b/>
          <w:i/>
        </w:rPr>
        <w:t>CAPÍTULO VIII</w:t>
      </w:r>
    </w:p>
    <w:p w14:paraId="45A91117" w14:textId="77777777" w:rsidR="00724E79" w:rsidRPr="0035237F" w:rsidRDefault="00312C60">
      <w:pPr>
        <w:pBdr>
          <w:top w:val="nil"/>
          <w:left w:val="nil"/>
          <w:bottom w:val="nil"/>
          <w:right w:val="nil"/>
          <w:between w:val="nil"/>
        </w:pBdr>
        <w:spacing w:after="0" w:line="276" w:lineRule="auto"/>
        <w:ind w:left="709" w:right="709"/>
        <w:jc w:val="center"/>
        <w:rPr>
          <w:rFonts w:ascii="Palatino Linotype" w:eastAsia="Palatino Linotype" w:hAnsi="Palatino Linotype" w:cs="Palatino Linotype"/>
          <w:b/>
          <w:i/>
        </w:rPr>
      </w:pPr>
      <w:r w:rsidRPr="0035237F">
        <w:rPr>
          <w:rFonts w:ascii="Palatino Linotype" w:eastAsia="Palatino Linotype" w:hAnsi="Palatino Linotype" w:cs="Palatino Linotype"/>
          <w:b/>
          <w:i/>
        </w:rPr>
        <w:t>DE LOS ELEMENTOS PARA LA CLASIFICACIÓN</w:t>
      </w:r>
    </w:p>
    <w:p w14:paraId="02017A3F"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b/>
          <w:i/>
        </w:rPr>
        <w:lastRenderedPageBreak/>
        <w:t>Quincuagésimo</w:t>
      </w:r>
      <w:r w:rsidRPr="0035237F">
        <w:rPr>
          <w:rFonts w:ascii="Palatino Linotype" w:eastAsia="Palatino Linotype" w:hAnsi="Palatino Linotype" w:cs="Palatino Linotype"/>
          <w:i/>
        </w:rPr>
        <w:t>. Los titulares de las áreas de los sujetos obligados podrán establecer sus propios modelos o formatos para la elaboración de versiones públicas de documentos o expedientes, siempre y cuando cumplan lo establecido en los presentes Lineamientos, así como en las correspondientes Leyes Generales.</w:t>
      </w:r>
    </w:p>
    <w:p w14:paraId="0DBB8307"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b/>
          <w:i/>
        </w:rPr>
        <w:t>Quincuagésimo primero</w:t>
      </w:r>
      <w:r w:rsidRPr="0035237F">
        <w:rPr>
          <w:rFonts w:ascii="Palatino Linotype" w:eastAsia="Palatino Linotype" w:hAnsi="Palatino Linotype" w:cs="Palatino Linotype"/>
          <w:i/>
        </w:rPr>
        <w:t>. Toda acta del Comité de Transparencia deberá contener:</w:t>
      </w:r>
    </w:p>
    <w:p w14:paraId="6D9E699A"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I. El número de sesión y fecha; </w:t>
      </w:r>
    </w:p>
    <w:p w14:paraId="7146236A"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t>II. El nombre del área que solicitó la clasificación de información;</w:t>
      </w:r>
    </w:p>
    <w:p w14:paraId="2AC99E0F"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t>III. La fundamentación legal y motivación correspondiente;</w:t>
      </w:r>
    </w:p>
    <w:p w14:paraId="13C1655E"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t>IV. La resolución o resoluciones aprobadas; y</w:t>
      </w:r>
    </w:p>
    <w:p w14:paraId="7D5A784C"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V. La rúbrica o firma digital de cada integrante del Comité de Transparencia. </w:t>
      </w:r>
    </w:p>
    <w:p w14:paraId="12C601CF"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t>Las resoluciones del Comité en las que se haya determinado confirmar o modificar la clasificación de información pública como reservada, deberán incluir, cuando menos:</w:t>
      </w:r>
    </w:p>
    <w:p w14:paraId="514021F6"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t>I. Los motivos y razonamientos que sustenten la confirmación o modificación de la prueba de daño;</w:t>
      </w:r>
    </w:p>
    <w:p w14:paraId="2463CA50"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t>II. Descripción de las partes o secciones reservadas, en caso de clasificación parcial;</w:t>
      </w:r>
    </w:p>
    <w:p w14:paraId="235520C7"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t>III. El periodo por el que mantendrá su clasificación y fecha de expiración; y</w:t>
      </w:r>
    </w:p>
    <w:p w14:paraId="13D7313C"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t>IV. El nombre del titular y área encargada de realizar la versión pública del documento, en su caso.</w:t>
      </w:r>
    </w:p>
    <w:p w14:paraId="41889474"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En los casos en que se clasifique la información como reservada siempre se entregará o anexará la prueba de daño con la respuesta al solicitante. </w:t>
      </w:r>
    </w:p>
    <w:p w14:paraId="2FB3EED3"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t>En los casos de resoluciones del Comité de Transparencia en las que se confirme la clasificación de información confidencial solo se deberán de identificar los tipos de datos protegidos, de conformidad con el lineamiento trigésimo octavo.</w:t>
      </w:r>
    </w:p>
    <w:p w14:paraId="24DDCF79"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b/>
          <w:i/>
        </w:rPr>
        <w:t>Quincuagésimo segundo</w:t>
      </w:r>
      <w:r w:rsidRPr="0035237F">
        <w:rPr>
          <w:rFonts w:ascii="Palatino Linotype" w:eastAsia="Palatino Linotype" w:hAnsi="Palatino Linotype" w:cs="Palatino Linotype"/>
          <w:i/>
        </w:rPr>
        <w:t>. Para la clasificación y elaboración de versiones públicas de documentos que contengan información clasificada como reservada o confidencial, las áreas de los sujetos obligados deberán tomar las medidas pertinentes tendientes a asegurar que el espacio utilizado para testar la información no podrá ser empleado para la sobreposición de contenido distinto al autorizado por el Comité.</w:t>
      </w:r>
    </w:p>
    <w:p w14:paraId="6C6D1EFC"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t>En el caso específico de la clasificación y elaboración de versiones públicas de documentos que contengan información confidencial, las áreas de los sujetos obligados deberán:</w:t>
      </w:r>
    </w:p>
    <w:p w14:paraId="314A9512" w14:textId="77777777" w:rsidR="00724E79" w:rsidRPr="0035237F" w:rsidRDefault="00724E79">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p>
    <w:p w14:paraId="1545A032"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lastRenderedPageBreak/>
        <w:t>I. Fijar la fecha en que se elaboró la versión pública y la fecha en la cual el Comité de Transparencia confirmó dicha versión;</w:t>
      </w:r>
    </w:p>
    <w:p w14:paraId="2B1F4AAC"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t>II. Señalar dentro del documento el tipo de información confidencial que fue testada en cada caso específico, de conformidad con el lineamiento trigésimo octavo; y</w:t>
      </w:r>
    </w:p>
    <w:p w14:paraId="6A807E46"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t>III. Señalar las personas o instancias autorizadas a acceder a la información clasificada.</w:t>
      </w:r>
    </w:p>
    <w:p w14:paraId="5E7942CE"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t>En los documentos de difusión electrónica, señalar en la primera hoja y en el nombre del archivo, que la versión pública corresponde a un documento que contiene información confidencial.</w:t>
      </w:r>
    </w:p>
    <w:p w14:paraId="6D04D0F2"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35237F">
        <w:rPr>
          <w:rFonts w:ascii="Palatino Linotype" w:eastAsia="Palatino Linotype" w:hAnsi="Palatino Linotype" w:cs="Palatino Linotype"/>
          <w:i/>
        </w:rPr>
        <w:t>Quincuagésimo cuarto. Cuando el Comité de Transparencia confirme la clasificación de documentos reservados y/o confidenciales, sea total o parcialmente; se deberá anexar al expediente la resolución que determinó la clasificación o, en su defecto, identificar en la carátula del expediente del cual formen parte, la fecha y sesión del Comité de Transparencia en la que se confirmó dicha clasificación.</w:t>
      </w:r>
    </w:p>
    <w:p w14:paraId="6CD0B445"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rPr>
      </w:pPr>
      <w:r w:rsidRPr="0035237F">
        <w:rPr>
          <w:rFonts w:ascii="Palatino Linotype" w:eastAsia="Palatino Linotype" w:hAnsi="Palatino Linotype" w:cs="Palatino Linotype"/>
          <w:i/>
        </w:rPr>
        <w:t xml:space="preserve">Quincuagésimo quinto. Cada área del sujeto obligado podrá designar formalmente a una o más personas como responsables del </w:t>
      </w:r>
      <w:proofErr w:type="spellStart"/>
      <w:r w:rsidRPr="0035237F">
        <w:rPr>
          <w:rFonts w:ascii="Palatino Linotype" w:eastAsia="Palatino Linotype" w:hAnsi="Palatino Linotype" w:cs="Palatino Linotype"/>
          <w:i/>
        </w:rPr>
        <w:t>testado</w:t>
      </w:r>
      <w:proofErr w:type="spellEnd"/>
      <w:r w:rsidRPr="0035237F">
        <w:rPr>
          <w:rFonts w:ascii="Palatino Linotype" w:eastAsia="Palatino Linotype" w:hAnsi="Palatino Linotype" w:cs="Palatino Linotype"/>
          <w:i/>
        </w:rPr>
        <w:t xml:space="preserve">, que sean encargadas de la adecuada elaboración o supervisión de las versiones públicas de los documentos o expedientes, verificando que cumplan con los requisitos señalados en las Leyes Generales, los presentes Lineamientos y demás normativa aplicable antes de su confirmación por el Comité de Transparencia.” </w:t>
      </w:r>
    </w:p>
    <w:p w14:paraId="1DA0ABB0" w14:textId="77777777" w:rsidR="00724E79" w:rsidRPr="0035237F" w:rsidRDefault="00312C60">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rPr>
        <w:t xml:space="preserve"> </w:t>
      </w:r>
    </w:p>
    <w:p w14:paraId="37E732B7"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Efectivamente, cuando se clasifica información como confidencial es importante someterlo al Comité de Transparencia, quien debe confirmar, modificar o revocar la clasificación.</w:t>
      </w:r>
    </w:p>
    <w:p w14:paraId="3B915DAA"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52C30BAA" w14:textId="77777777" w:rsidR="00724E79" w:rsidRPr="0035237F" w:rsidRDefault="00312C60">
      <w:pPr>
        <w:shd w:val="clear" w:color="auto" w:fill="FFFFFF"/>
        <w:spacing w:after="0" w:line="360" w:lineRule="auto"/>
        <w:ind w:right="51"/>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Por lo tanto, la entrega de documentos en su versión pública debe acompañarse necesariamente del Acuerdo del Comité de Transparencia que la sustente, en el que se expongan los fundamentos y razonamientos que llevaron al Sujeto Obligado a testar, suprimir o eliminar datos de dicho soporte documental, ya que no hacerlo implica que lo entregado no es legal ni formalmente una versión pública, sino más </w:t>
      </w:r>
      <w:r w:rsidRPr="0035237F">
        <w:rPr>
          <w:rFonts w:ascii="Palatino Linotype" w:eastAsia="Palatino Linotype" w:hAnsi="Palatino Linotype" w:cs="Palatino Linotype"/>
          <w:sz w:val="24"/>
          <w:szCs w:val="24"/>
        </w:rPr>
        <w:lastRenderedPageBreak/>
        <w:t xml:space="preserve">bien una documentación ilegible, incompleta o tachada; pues no señalar las razones por las que no se aprecian determinados datos -ya sea porque se testan o suprimen- deja al solicitante en estado de incertidumbre, al no conocer o comprender porque no aparecen en la documentación respectiva, es decir, si no se exponen de manera puntual las razones de ello se estaría violentando desde un inicio el derecho de acceso a la información del solicitante, por lo que el acuerdo respectivo, deberá hacerse del conocimiento de </w:t>
      </w:r>
      <w:r w:rsidRPr="0035237F">
        <w:rPr>
          <w:rFonts w:ascii="Palatino Linotype" w:eastAsia="Palatino Linotype" w:hAnsi="Palatino Linotype" w:cs="Palatino Linotype"/>
          <w:b/>
          <w:sz w:val="24"/>
          <w:szCs w:val="24"/>
        </w:rPr>
        <w:t>LA PARTE</w:t>
      </w:r>
      <w:r w:rsidRPr="0035237F">
        <w:rPr>
          <w:rFonts w:ascii="Palatino Linotype" w:eastAsia="Palatino Linotype" w:hAnsi="Palatino Linotype" w:cs="Palatino Linotype"/>
          <w:sz w:val="24"/>
          <w:szCs w:val="24"/>
        </w:rPr>
        <w:t xml:space="preserve"> </w:t>
      </w:r>
      <w:r w:rsidRPr="0035237F">
        <w:rPr>
          <w:rFonts w:ascii="Palatino Linotype" w:eastAsia="Palatino Linotype" w:hAnsi="Palatino Linotype" w:cs="Palatino Linotype"/>
          <w:b/>
          <w:sz w:val="24"/>
          <w:szCs w:val="24"/>
        </w:rPr>
        <w:t>RECURRENTE</w:t>
      </w:r>
      <w:r w:rsidRPr="0035237F">
        <w:rPr>
          <w:rFonts w:ascii="Palatino Linotype" w:eastAsia="Palatino Linotype" w:hAnsi="Palatino Linotype" w:cs="Palatino Linotype"/>
          <w:sz w:val="24"/>
          <w:szCs w:val="24"/>
        </w:rPr>
        <w:t>.</w:t>
      </w:r>
    </w:p>
    <w:p w14:paraId="1FA3487C"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56207AB6" w14:textId="5DD0C99A"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De lo hasta aquí expuesto, se concluye que los motivos de inconformidad de </w:t>
      </w:r>
      <w:r w:rsidRPr="0035237F">
        <w:rPr>
          <w:rFonts w:ascii="Palatino Linotype" w:eastAsia="Palatino Linotype" w:hAnsi="Palatino Linotype" w:cs="Palatino Linotype"/>
          <w:b/>
          <w:sz w:val="24"/>
          <w:szCs w:val="24"/>
        </w:rPr>
        <w:t xml:space="preserve">LA PARTE RECURRENTE </w:t>
      </w:r>
      <w:r w:rsidRPr="0035237F">
        <w:rPr>
          <w:rFonts w:ascii="Palatino Linotype" w:eastAsia="Palatino Linotype" w:hAnsi="Palatino Linotype" w:cs="Palatino Linotype"/>
          <w:sz w:val="24"/>
          <w:szCs w:val="24"/>
        </w:rPr>
        <w:t xml:space="preserve">devienen fundados, siendo procedente </w:t>
      </w:r>
      <w:r w:rsidR="0020286B" w:rsidRPr="0035237F">
        <w:rPr>
          <w:rFonts w:ascii="Palatino Linotype" w:eastAsia="Palatino Linotype" w:hAnsi="Palatino Linotype" w:cs="Palatino Linotype"/>
          <w:b/>
          <w:sz w:val="24"/>
          <w:szCs w:val="24"/>
        </w:rPr>
        <w:t>MODIFICA</w:t>
      </w:r>
      <w:r w:rsidR="00035C88" w:rsidRPr="0035237F">
        <w:rPr>
          <w:rFonts w:ascii="Palatino Linotype" w:eastAsia="Palatino Linotype" w:hAnsi="Palatino Linotype" w:cs="Palatino Linotype"/>
          <w:b/>
          <w:sz w:val="24"/>
          <w:szCs w:val="24"/>
        </w:rPr>
        <w:t>R</w:t>
      </w:r>
      <w:r w:rsidRPr="0035237F">
        <w:rPr>
          <w:rFonts w:ascii="Palatino Linotype" w:eastAsia="Palatino Linotype" w:hAnsi="Palatino Linotype" w:cs="Palatino Linotype"/>
          <w:i/>
          <w:sz w:val="24"/>
          <w:szCs w:val="24"/>
        </w:rPr>
        <w:t xml:space="preserve"> </w:t>
      </w:r>
      <w:r w:rsidRPr="0035237F">
        <w:rPr>
          <w:rFonts w:ascii="Palatino Linotype" w:eastAsia="Palatino Linotype" w:hAnsi="Palatino Linotype" w:cs="Palatino Linotype"/>
          <w:sz w:val="24"/>
          <w:szCs w:val="24"/>
        </w:rPr>
        <w:t xml:space="preserve">la respuesta proporcionada por </w:t>
      </w:r>
      <w:r w:rsidRPr="0035237F">
        <w:rPr>
          <w:rFonts w:ascii="Palatino Linotype" w:eastAsia="Palatino Linotype" w:hAnsi="Palatino Linotype" w:cs="Palatino Linotype"/>
          <w:b/>
          <w:sz w:val="24"/>
          <w:szCs w:val="24"/>
        </w:rPr>
        <w:t xml:space="preserve">EL SUJETO OBLIGADO </w:t>
      </w:r>
      <w:r w:rsidRPr="0035237F">
        <w:rPr>
          <w:rFonts w:ascii="Palatino Linotype" w:eastAsia="Palatino Linotype" w:hAnsi="Palatino Linotype" w:cs="Palatino Linotype"/>
          <w:sz w:val="24"/>
          <w:szCs w:val="24"/>
        </w:rPr>
        <w:t>en términos del artículo 186 fracción III de la Ley de Transparencia y Acceso a la Información Pública del Estado de México y Municipios.</w:t>
      </w:r>
    </w:p>
    <w:p w14:paraId="371084C4"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0FC21538"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Así, con fundamento en lo prescrito en los artículos 5 párrafos trigésimo segundo, trigésimo tercero y trigésimo cuarto fracciones IV y V de la Constitución Política del Estado Libre y Soberano de México; 2, fracción II; 29, 36 fracciones I y II; 176, 178, 181, 185 de la Ley de Transparencia y Acceso a la Información Pública del Estado de México y Municipios, este Pleno:</w:t>
      </w:r>
    </w:p>
    <w:p w14:paraId="23B4B9CC" w14:textId="77777777" w:rsidR="0020286B" w:rsidRPr="0035237F" w:rsidRDefault="0020286B">
      <w:pPr>
        <w:spacing w:after="0" w:line="360" w:lineRule="auto"/>
        <w:jc w:val="both"/>
        <w:rPr>
          <w:rFonts w:ascii="Palatino Linotype" w:eastAsia="Palatino Linotype" w:hAnsi="Palatino Linotype" w:cs="Palatino Linotype"/>
          <w:sz w:val="24"/>
          <w:szCs w:val="24"/>
        </w:rPr>
      </w:pPr>
    </w:p>
    <w:p w14:paraId="67488047" w14:textId="77777777" w:rsidR="0020286B" w:rsidRPr="0035237F" w:rsidRDefault="0020286B">
      <w:pPr>
        <w:spacing w:after="0" w:line="360" w:lineRule="auto"/>
        <w:jc w:val="both"/>
        <w:rPr>
          <w:rFonts w:ascii="Palatino Linotype" w:eastAsia="Palatino Linotype" w:hAnsi="Palatino Linotype" w:cs="Palatino Linotype"/>
          <w:sz w:val="24"/>
          <w:szCs w:val="24"/>
        </w:rPr>
      </w:pPr>
    </w:p>
    <w:p w14:paraId="636E1455" w14:textId="77777777" w:rsidR="0020286B" w:rsidRPr="0035237F" w:rsidRDefault="0020286B">
      <w:pPr>
        <w:spacing w:after="0" w:line="360" w:lineRule="auto"/>
        <w:jc w:val="both"/>
        <w:rPr>
          <w:rFonts w:ascii="Palatino Linotype" w:eastAsia="Palatino Linotype" w:hAnsi="Palatino Linotype" w:cs="Palatino Linotype"/>
          <w:sz w:val="24"/>
          <w:szCs w:val="24"/>
        </w:rPr>
      </w:pPr>
    </w:p>
    <w:p w14:paraId="110EFA57" w14:textId="77777777" w:rsidR="0020286B" w:rsidRPr="0035237F" w:rsidRDefault="0020286B">
      <w:pPr>
        <w:spacing w:after="0" w:line="360" w:lineRule="auto"/>
        <w:jc w:val="both"/>
        <w:rPr>
          <w:rFonts w:ascii="Palatino Linotype" w:eastAsia="Palatino Linotype" w:hAnsi="Palatino Linotype" w:cs="Palatino Linotype"/>
          <w:sz w:val="24"/>
          <w:szCs w:val="24"/>
        </w:rPr>
      </w:pPr>
    </w:p>
    <w:p w14:paraId="06A69FF2" w14:textId="77777777" w:rsidR="00724E79" w:rsidRPr="0035237F" w:rsidRDefault="00312C60" w:rsidP="0020286B">
      <w:pPr>
        <w:spacing w:after="0" w:line="360" w:lineRule="auto"/>
        <w:ind w:right="-93"/>
        <w:jc w:val="center"/>
        <w:rPr>
          <w:rFonts w:ascii="Palatino Linotype" w:eastAsia="Palatino Linotype" w:hAnsi="Palatino Linotype" w:cs="Palatino Linotype"/>
          <w:b/>
          <w:sz w:val="24"/>
          <w:szCs w:val="24"/>
        </w:rPr>
      </w:pPr>
      <w:r w:rsidRPr="0035237F">
        <w:rPr>
          <w:rFonts w:ascii="Palatino Linotype" w:eastAsia="Palatino Linotype" w:hAnsi="Palatino Linotype" w:cs="Palatino Linotype"/>
          <w:b/>
          <w:sz w:val="24"/>
          <w:szCs w:val="24"/>
        </w:rPr>
        <w:lastRenderedPageBreak/>
        <w:t>R E S U E L V E:</w:t>
      </w:r>
    </w:p>
    <w:p w14:paraId="4152AD34" w14:textId="77777777" w:rsidR="0020286B" w:rsidRPr="0035237F" w:rsidRDefault="0020286B" w:rsidP="0020286B">
      <w:pPr>
        <w:spacing w:after="0" w:line="360" w:lineRule="auto"/>
        <w:ind w:right="-93"/>
        <w:jc w:val="center"/>
        <w:rPr>
          <w:rFonts w:ascii="Palatino Linotype" w:eastAsia="Palatino Linotype" w:hAnsi="Palatino Linotype" w:cs="Palatino Linotype"/>
          <w:b/>
          <w:sz w:val="24"/>
          <w:szCs w:val="24"/>
        </w:rPr>
      </w:pPr>
    </w:p>
    <w:p w14:paraId="1BCB76C4" w14:textId="77777777" w:rsidR="00724E79" w:rsidRPr="0035237F" w:rsidRDefault="00312C60">
      <w:pPr>
        <w:spacing w:after="0" w:line="360" w:lineRule="auto"/>
        <w:jc w:val="both"/>
        <w:rPr>
          <w:rFonts w:ascii="Palatino Linotype" w:eastAsia="Palatino Linotype" w:hAnsi="Palatino Linotype" w:cs="Palatino Linotype"/>
          <w:b/>
          <w:sz w:val="24"/>
          <w:szCs w:val="24"/>
        </w:rPr>
      </w:pPr>
      <w:r w:rsidRPr="0035237F">
        <w:rPr>
          <w:rFonts w:ascii="Palatino Linotype" w:eastAsia="Palatino Linotype" w:hAnsi="Palatino Linotype" w:cs="Palatino Linotype"/>
          <w:b/>
          <w:sz w:val="24"/>
          <w:szCs w:val="24"/>
        </w:rPr>
        <w:t xml:space="preserve">PRIMERO. </w:t>
      </w:r>
      <w:r w:rsidRPr="0035237F">
        <w:rPr>
          <w:rFonts w:ascii="Palatino Linotype" w:eastAsia="Palatino Linotype" w:hAnsi="Palatino Linotype" w:cs="Palatino Linotype"/>
          <w:sz w:val="24"/>
          <w:szCs w:val="24"/>
        </w:rPr>
        <w:t>Resultan</w:t>
      </w:r>
      <w:r w:rsidRPr="0035237F">
        <w:rPr>
          <w:rFonts w:ascii="Palatino Linotype" w:eastAsia="Palatino Linotype" w:hAnsi="Palatino Linotype" w:cs="Palatino Linotype"/>
          <w:b/>
          <w:sz w:val="24"/>
          <w:szCs w:val="24"/>
        </w:rPr>
        <w:t xml:space="preserve"> </w:t>
      </w:r>
      <w:r w:rsidRPr="0035237F">
        <w:rPr>
          <w:rFonts w:ascii="Palatino Linotype" w:eastAsia="Palatino Linotype" w:hAnsi="Palatino Linotype" w:cs="Palatino Linotype"/>
          <w:sz w:val="24"/>
          <w:szCs w:val="24"/>
        </w:rPr>
        <w:t>parcialmente</w:t>
      </w:r>
      <w:r w:rsidRPr="0035237F">
        <w:rPr>
          <w:rFonts w:ascii="Palatino Linotype" w:eastAsia="Palatino Linotype" w:hAnsi="Palatino Linotype" w:cs="Palatino Linotype"/>
          <w:b/>
          <w:sz w:val="24"/>
          <w:szCs w:val="24"/>
        </w:rPr>
        <w:t xml:space="preserve"> fundados</w:t>
      </w:r>
      <w:r w:rsidRPr="0035237F">
        <w:rPr>
          <w:rFonts w:ascii="Palatino Linotype" w:eastAsia="Palatino Linotype" w:hAnsi="Palatino Linotype" w:cs="Palatino Linotype"/>
          <w:sz w:val="24"/>
          <w:szCs w:val="24"/>
        </w:rPr>
        <w:t xml:space="preserve"> los motivos de inconformidad hechos valer por </w:t>
      </w:r>
      <w:r w:rsidRPr="0035237F">
        <w:rPr>
          <w:rFonts w:ascii="Palatino Linotype" w:eastAsia="Palatino Linotype" w:hAnsi="Palatino Linotype" w:cs="Palatino Linotype"/>
          <w:b/>
          <w:sz w:val="24"/>
          <w:szCs w:val="24"/>
        </w:rPr>
        <w:t xml:space="preserve">LA PARTE RECURRENTE </w:t>
      </w:r>
      <w:r w:rsidRPr="0035237F">
        <w:rPr>
          <w:rFonts w:ascii="Palatino Linotype" w:eastAsia="Palatino Linotype" w:hAnsi="Palatino Linotype" w:cs="Palatino Linotype"/>
          <w:sz w:val="24"/>
          <w:szCs w:val="24"/>
        </w:rPr>
        <w:t xml:space="preserve">en el recurso de revisión </w:t>
      </w:r>
      <w:r w:rsidRPr="0035237F">
        <w:rPr>
          <w:rFonts w:ascii="Palatino Linotype" w:eastAsia="Palatino Linotype" w:hAnsi="Palatino Linotype" w:cs="Palatino Linotype"/>
          <w:b/>
          <w:sz w:val="24"/>
          <w:szCs w:val="24"/>
        </w:rPr>
        <w:t xml:space="preserve">07589/INFOEM/IP/RR/2024 </w:t>
      </w:r>
      <w:r w:rsidRPr="0035237F">
        <w:rPr>
          <w:rFonts w:ascii="Palatino Linotype" w:eastAsia="Palatino Linotype" w:hAnsi="Palatino Linotype" w:cs="Palatino Linotype"/>
          <w:sz w:val="24"/>
          <w:szCs w:val="24"/>
        </w:rPr>
        <w:t xml:space="preserve">por lo que, en términos del Considerando </w:t>
      </w:r>
      <w:r w:rsidRPr="0035237F">
        <w:rPr>
          <w:rFonts w:ascii="Palatino Linotype" w:eastAsia="Palatino Linotype" w:hAnsi="Palatino Linotype" w:cs="Palatino Linotype"/>
          <w:b/>
          <w:sz w:val="24"/>
          <w:szCs w:val="24"/>
        </w:rPr>
        <w:t>Cuarto</w:t>
      </w:r>
      <w:r w:rsidRPr="0035237F">
        <w:rPr>
          <w:rFonts w:ascii="Palatino Linotype" w:eastAsia="Palatino Linotype" w:hAnsi="Palatino Linotype" w:cs="Palatino Linotype"/>
          <w:sz w:val="24"/>
          <w:szCs w:val="24"/>
        </w:rPr>
        <w:t xml:space="preserve"> de la presente resolución, se</w:t>
      </w:r>
      <w:r w:rsidRPr="0035237F">
        <w:rPr>
          <w:rFonts w:ascii="Palatino Linotype" w:eastAsia="Palatino Linotype" w:hAnsi="Palatino Linotype" w:cs="Palatino Linotype"/>
          <w:b/>
          <w:sz w:val="24"/>
          <w:szCs w:val="24"/>
        </w:rPr>
        <w:t xml:space="preserve"> MODIFICA </w:t>
      </w:r>
      <w:r w:rsidRPr="0035237F">
        <w:rPr>
          <w:rFonts w:ascii="Palatino Linotype" w:eastAsia="Palatino Linotype" w:hAnsi="Palatino Linotype" w:cs="Palatino Linotype"/>
          <w:sz w:val="24"/>
          <w:szCs w:val="24"/>
        </w:rPr>
        <w:t xml:space="preserve">la respuesta del </w:t>
      </w:r>
      <w:r w:rsidRPr="0035237F">
        <w:rPr>
          <w:rFonts w:ascii="Palatino Linotype" w:eastAsia="Palatino Linotype" w:hAnsi="Palatino Linotype" w:cs="Palatino Linotype"/>
          <w:b/>
          <w:sz w:val="24"/>
          <w:szCs w:val="24"/>
        </w:rPr>
        <w:t>SUJETO OBLIGADO.</w:t>
      </w:r>
    </w:p>
    <w:p w14:paraId="6797ECA1" w14:textId="77777777" w:rsidR="00724E79" w:rsidRPr="0035237F" w:rsidRDefault="00724E79">
      <w:pPr>
        <w:spacing w:after="0" w:line="360" w:lineRule="auto"/>
        <w:jc w:val="both"/>
        <w:rPr>
          <w:rFonts w:ascii="Palatino Linotype" w:eastAsia="Palatino Linotype" w:hAnsi="Palatino Linotype" w:cs="Palatino Linotype"/>
          <w:b/>
          <w:sz w:val="24"/>
          <w:szCs w:val="24"/>
        </w:rPr>
      </w:pPr>
    </w:p>
    <w:p w14:paraId="4A5DDBDE" w14:textId="77777777" w:rsidR="00724E79" w:rsidRPr="0035237F" w:rsidRDefault="00312C60">
      <w:pPr>
        <w:spacing w:after="240" w:line="360" w:lineRule="auto"/>
        <w:jc w:val="both"/>
        <w:rPr>
          <w:rFonts w:ascii="Palatino Linotype" w:eastAsia="Palatino Linotype" w:hAnsi="Palatino Linotype" w:cs="Palatino Linotype"/>
          <w:sz w:val="24"/>
          <w:szCs w:val="24"/>
        </w:rPr>
      </w:pPr>
      <w:bookmarkStart w:id="1" w:name="_heading=h.44sinio" w:colFirst="0" w:colLast="0"/>
      <w:bookmarkEnd w:id="1"/>
      <w:r w:rsidRPr="0035237F">
        <w:rPr>
          <w:rFonts w:ascii="Palatino Linotype" w:eastAsia="Palatino Linotype" w:hAnsi="Palatino Linotype" w:cs="Palatino Linotype"/>
          <w:b/>
          <w:sz w:val="24"/>
          <w:szCs w:val="24"/>
        </w:rPr>
        <w:t xml:space="preserve">SEGUNDO. </w:t>
      </w:r>
      <w:r w:rsidRPr="0035237F">
        <w:rPr>
          <w:rFonts w:ascii="Palatino Linotype" w:eastAsia="Palatino Linotype" w:hAnsi="Palatino Linotype" w:cs="Palatino Linotype"/>
          <w:sz w:val="24"/>
          <w:szCs w:val="24"/>
        </w:rPr>
        <w:t xml:space="preserve">Se </w:t>
      </w:r>
      <w:r w:rsidRPr="0035237F">
        <w:rPr>
          <w:rFonts w:ascii="Palatino Linotype" w:eastAsia="Palatino Linotype" w:hAnsi="Palatino Linotype" w:cs="Palatino Linotype"/>
          <w:b/>
          <w:sz w:val="24"/>
          <w:szCs w:val="24"/>
        </w:rPr>
        <w:t>Ordena</w:t>
      </w:r>
      <w:r w:rsidRPr="0035237F">
        <w:rPr>
          <w:rFonts w:ascii="Palatino Linotype" w:eastAsia="Palatino Linotype" w:hAnsi="Palatino Linotype" w:cs="Palatino Linotype"/>
          <w:sz w:val="24"/>
          <w:szCs w:val="24"/>
        </w:rPr>
        <w:t xml:space="preserve"> al </w:t>
      </w:r>
      <w:r w:rsidRPr="0035237F">
        <w:rPr>
          <w:rFonts w:ascii="Palatino Linotype" w:eastAsia="Palatino Linotype" w:hAnsi="Palatino Linotype" w:cs="Palatino Linotype"/>
          <w:b/>
          <w:sz w:val="24"/>
          <w:szCs w:val="24"/>
        </w:rPr>
        <w:t>SUJETO OBLIGADO</w:t>
      </w:r>
      <w:r w:rsidRPr="0035237F">
        <w:rPr>
          <w:rFonts w:ascii="Palatino Linotype" w:eastAsia="Palatino Linotype" w:hAnsi="Palatino Linotype" w:cs="Palatino Linotype"/>
          <w:sz w:val="24"/>
          <w:szCs w:val="24"/>
        </w:rPr>
        <w:t xml:space="preserve">, en términos de los </w:t>
      </w:r>
      <w:r w:rsidRPr="0035237F">
        <w:rPr>
          <w:rFonts w:ascii="Palatino Linotype" w:eastAsia="Palatino Linotype" w:hAnsi="Palatino Linotype" w:cs="Palatino Linotype"/>
          <w:b/>
          <w:sz w:val="24"/>
          <w:szCs w:val="24"/>
        </w:rPr>
        <w:t>Considerandos</w:t>
      </w:r>
      <w:r w:rsidRPr="0035237F">
        <w:rPr>
          <w:rFonts w:ascii="Palatino Linotype" w:eastAsia="Palatino Linotype" w:hAnsi="Palatino Linotype" w:cs="Palatino Linotype"/>
          <w:sz w:val="24"/>
          <w:szCs w:val="24"/>
        </w:rPr>
        <w:t xml:space="preserve"> </w:t>
      </w:r>
      <w:r w:rsidRPr="0035237F">
        <w:rPr>
          <w:rFonts w:ascii="Palatino Linotype" w:eastAsia="Palatino Linotype" w:hAnsi="Palatino Linotype" w:cs="Palatino Linotype"/>
          <w:b/>
          <w:sz w:val="24"/>
          <w:szCs w:val="24"/>
        </w:rPr>
        <w:t xml:space="preserve">Cuarto </w:t>
      </w:r>
      <w:r w:rsidRPr="0035237F">
        <w:rPr>
          <w:rFonts w:ascii="Palatino Linotype" w:eastAsia="Palatino Linotype" w:hAnsi="Palatino Linotype" w:cs="Palatino Linotype"/>
          <w:sz w:val="24"/>
          <w:szCs w:val="24"/>
        </w:rPr>
        <w:t xml:space="preserve">y </w:t>
      </w:r>
      <w:r w:rsidRPr="0035237F">
        <w:rPr>
          <w:rFonts w:ascii="Palatino Linotype" w:eastAsia="Palatino Linotype" w:hAnsi="Palatino Linotype" w:cs="Palatino Linotype"/>
          <w:b/>
          <w:sz w:val="24"/>
          <w:szCs w:val="24"/>
        </w:rPr>
        <w:t xml:space="preserve">Quinto </w:t>
      </w:r>
      <w:r w:rsidRPr="0035237F">
        <w:rPr>
          <w:rFonts w:ascii="Palatino Linotype" w:eastAsia="Palatino Linotype" w:hAnsi="Palatino Linotype" w:cs="Palatino Linotype"/>
          <w:sz w:val="24"/>
          <w:szCs w:val="24"/>
        </w:rPr>
        <w:t xml:space="preserve">de esta resolución, haga entrega, vía </w:t>
      </w:r>
      <w:r w:rsidRPr="0035237F">
        <w:rPr>
          <w:rFonts w:ascii="Palatino Linotype" w:eastAsia="Palatino Linotype" w:hAnsi="Palatino Linotype" w:cs="Palatino Linotype"/>
          <w:b/>
          <w:sz w:val="24"/>
          <w:szCs w:val="24"/>
        </w:rPr>
        <w:t>SAIMEX</w:t>
      </w:r>
      <w:r w:rsidRPr="0035237F">
        <w:rPr>
          <w:rFonts w:ascii="Palatino Linotype" w:eastAsia="Palatino Linotype" w:hAnsi="Palatino Linotype" w:cs="Palatino Linotype"/>
          <w:sz w:val="24"/>
          <w:szCs w:val="24"/>
        </w:rPr>
        <w:t xml:space="preserve">, de la documentación que dé </w:t>
      </w:r>
      <w:proofErr w:type="gramStart"/>
      <w:r w:rsidRPr="0035237F">
        <w:rPr>
          <w:rFonts w:ascii="Palatino Linotype" w:eastAsia="Palatino Linotype" w:hAnsi="Palatino Linotype" w:cs="Palatino Linotype"/>
          <w:sz w:val="24"/>
          <w:szCs w:val="24"/>
        </w:rPr>
        <w:t>cuenta  del</w:t>
      </w:r>
      <w:proofErr w:type="gramEnd"/>
      <w:r w:rsidRPr="0035237F">
        <w:rPr>
          <w:rFonts w:ascii="Palatino Linotype" w:eastAsia="Palatino Linotype" w:hAnsi="Palatino Linotype" w:cs="Palatino Linotype"/>
          <w:sz w:val="24"/>
          <w:szCs w:val="24"/>
        </w:rPr>
        <w:t xml:space="preserve"> trece de noviembre de dos mil veintitrés al trece de noviembre  de dos mil veinticuatro, de lo siguiente:</w:t>
      </w:r>
    </w:p>
    <w:p w14:paraId="0DC8A566" w14:textId="77777777" w:rsidR="00724E79" w:rsidRPr="0035237F" w:rsidRDefault="00312C60">
      <w:pPr>
        <w:numPr>
          <w:ilvl w:val="0"/>
          <w:numId w:val="5"/>
        </w:numPr>
        <w:pBdr>
          <w:top w:val="nil"/>
          <w:left w:val="nil"/>
          <w:bottom w:val="nil"/>
          <w:right w:val="nil"/>
          <w:between w:val="nil"/>
        </w:pBdr>
        <w:spacing w:before="240"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El resultado de las auditorías e inspecciones que el Órgano </w:t>
      </w:r>
      <w:r w:rsidR="0020286B" w:rsidRPr="0035237F">
        <w:rPr>
          <w:rFonts w:ascii="Palatino Linotype" w:eastAsia="Palatino Linotype" w:hAnsi="Palatino Linotype" w:cs="Palatino Linotype"/>
          <w:sz w:val="24"/>
          <w:szCs w:val="24"/>
        </w:rPr>
        <w:t xml:space="preserve">Interno </w:t>
      </w:r>
      <w:r w:rsidRPr="0035237F">
        <w:rPr>
          <w:rFonts w:ascii="Palatino Linotype" w:eastAsia="Palatino Linotype" w:hAnsi="Palatino Linotype" w:cs="Palatino Linotype"/>
          <w:sz w:val="24"/>
          <w:szCs w:val="24"/>
        </w:rPr>
        <w:t xml:space="preserve">de Control ha practicado a la UIPPE. </w:t>
      </w:r>
    </w:p>
    <w:p w14:paraId="657DF40C" w14:textId="77777777" w:rsidR="00724E79" w:rsidRPr="0035237F" w:rsidRDefault="00312C60">
      <w:pPr>
        <w:numPr>
          <w:ilvl w:val="0"/>
          <w:numId w:val="5"/>
        </w:numPr>
        <w:pBdr>
          <w:top w:val="nil"/>
          <w:left w:val="nil"/>
          <w:bottom w:val="nil"/>
          <w:right w:val="nil"/>
          <w:between w:val="nil"/>
        </w:pBd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Procedimientos de responsabilidad administrativa instaurados en contra de los servidores públicos referidos en la solicitud, por desvío y robo de recursos públicos.</w:t>
      </w:r>
    </w:p>
    <w:p w14:paraId="2C0860D4" w14:textId="77777777" w:rsidR="00724E79" w:rsidRPr="0035237F" w:rsidRDefault="00312C60">
      <w:pPr>
        <w:numPr>
          <w:ilvl w:val="0"/>
          <w:numId w:val="5"/>
        </w:numPr>
        <w:pBdr>
          <w:top w:val="nil"/>
          <w:left w:val="nil"/>
          <w:bottom w:val="nil"/>
          <w:right w:val="nil"/>
          <w:between w:val="nil"/>
        </w:pBdr>
        <w:spacing w:after="24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Características faltantes de los equipos de cómputo proporcionados en respuesta. </w:t>
      </w:r>
    </w:p>
    <w:p w14:paraId="58777124" w14:textId="77777777" w:rsidR="00724E79" w:rsidRPr="0035237F" w:rsidRDefault="00724E79">
      <w:pPr>
        <w:spacing w:after="0" w:line="276" w:lineRule="auto"/>
        <w:jc w:val="both"/>
        <w:rPr>
          <w:rFonts w:ascii="Palatino Linotype" w:eastAsia="Palatino Linotype" w:hAnsi="Palatino Linotype" w:cs="Palatino Linotype"/>
          <w:sz w:val="24"/>
          <w:szCs w:val="24"/>
        </w:rPr>
      </w:pPr>
    </w:p>
    <w:p w14:paraId="793C60E5" w14:textId="77777777" w:rsidR="00724E79" w:rsidRPr="0035237F" w:rsidRDefault="00312C60">
      <w:pPr>
        <w:spacing w:after="0" w:line="276" w:lineRule="auto"/>
        <w:jc w:val="both"/>
        <w:rPr>
          <w:rFonts w:ascii="Palatino Linotype" w:eastAsia="Palatino Linotype" w:hAnsi="Palatino Linotype" w:cs="Palatino Linotype"/>
          <w:i/>
        </w:rPr>
      </w:pPr>
      <w:r w:rsidRPr="0035237F">
        <w:rPr>
          <w:rFonts w:ascii="Palatino Linotype" w:eastAsia="Palatino Linotype" w:hAnsi="Palatino Linotype" w:cs="Palatino Linotype"/>
          <w:i/>
        </w:rPr>
        <w:t xml:space="preserve">Para la entrega en versión pública, deberá emitir el Acuerdo del Comité de Transparencia en términos de la Ley de Transparencia y Acceso a la Información Pública del Estado de México y Municipios, en el que funde y motive las razones sobre los datos que se supriman o eliminen, y se ponga a disposición de </w:t>
      </w:r>
      <w:r w:rsidRPr="0035237F">
        <w:rPr>
          <w:rFonts w:ascii="Palatino Linotype" w:eastAsia="Palatino Linotype" w:hAnsi="Palatino Linotype" w:cs="Palatino Linotype"/>
          <w:b/>
          <w:i/>
        </w:rPr>
        <w:t>LA PARTE RECURRENTE</w:t>
      </w:r>
      <w:r w:rsidRPr="0035237F">
        <w:rPr>
          <w:rFonts w:ascii="Palatino Linotype" w:eastAsia="Palatino Linotype" w:hAnsi="Palatino Linotype" w:cs="Palatino Linotype"/>
          <w:i/>
        </w:rPr>
        <w:t>.</w:t>
      </w:r>
    </w:p>
    <w:p w14:paraId="1C5E23D6" w14:textId="77777777" w:rsidR="00724E79" w:rsidRPr="0035237F" w:rsidRDefault="00724E79">
      <w:pPr>
        <w:pBdr>
          <w:top w:val="nil"/>
          <w:left w:val="nil"/>
          <w:bottom w:val="nil"/>
          <w:right w:val="nil"/>
          <w:between w:val="nil"/>
        </w:pBdr>
        <w:spacing w:after="0" w:line="276" w:lineRule="auto"/>
        <w:ind w:right="51"/>
        <w:jc w:val="both"/>
        <w:rPr>
          <w:rFonts w:ascii="Palatino Linotype" w:eastAsia="Palatino Linotype" w:hAnsi="Palatino Linotype" w:cs="Palatino Linotype"/>
          <w:i/>
        </w:rPr>
      </w:pPr>
    </w:p>
    <w:p w14:paraId="629178EB" w14:textId="77777777" w:rsidR="00724E79" w:rsidRPr="0035237F" w:rsidRDefault="00312C60">
      <w:pPr>
        <w:pBdr>
          <w:top w:val="nil"/>
          <w:left w:val="nil"/>
          <w:bottom w:val="nil"/>
          <w:right w:val="nil"/>
          <w:between w:val="nil"/>
        </w:pBdr>
        <w:spacing w:after="0" w:line="276" w:lineRule="auto"/>
        <w:jc w:val="both"/>
        <w:rPr>
          <w:rFonts w:ascii="Palatino Linotype" w:eastAsia="Palatino Linotype" w:hAnsi="Palatino Linotype" w:cs="Palatino Linotype"/>
          <w:i/>
        </w:rPr>
      </w:pPr>
      <w:r w:rsidRPr="0035237F">
        <w:rPr>
          <w:rFonts w:ascii="Palatino Linotype" w:eastAsia="Palatino Linotype" w:hAnsi="Palatino Linotype" w:cs="Palatino Linotype"/>
          <w:i/>
        </w:rPr>
        <w:lastRenderedPageBreak/>
        <w:t xml:space="preserve">Para el caso de que la información que se ordena en el inciso a) y b), no obre en los archivos del </w:t>
      </w:r>
      <w:r w:rsidRPr="0035237F">
        <w:rPr>
          <w:rFonts w:ascii="Palatino Linotype" w:eastAsia="Palatino Linotype" w:hAnsi="Palatino Linotype" w:cs="Palatino Linotype"/>
          <w:b/>
          <w:i/>
        </w:rPr>
        <w:t>SUJETO OBLIGADO</w:t>
      </w:r>
      <w:r w:rsidRPr="0035237F">
        <w:rPr>
          <w:rFonts w:ascii="Palatino Linotype" w:eastAsia="Palatino Linotype" w:hAnsi="Palatino Linotype" w:cs="Palatino Linotype"/>
          <w:i/>
        </w:rPr>
        <w:t xml:space="preserve">, por no haberse generado, poseído o administrado, este deberá hacerlo del conocimiento del Particular en términos del artículo 19, párrafo segundo, de la Ley de Transparencia y Acceso a la Información Pública del Estado de México y Municipios, para tenerse por colmado dicho requerimiento. </w:t>
      </w:r>
    </w:p>
    <w:p w14:paraId="01D8C7B6"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 </w:t>
      </w:r>
    </w:p>
    <w:p w14:paraId="747239A7"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 xml:space="preserve">TERCERO.  Notifíquese vía SAIMEX, </w:t>
      </w:r>
      <w:r w:rsidRPr="0035237F">
        <w:rPr>
          <w:rFonts w:ascii="Palatino Linotype" w:eastAsia="Palatino Linotype" w:hAnsi="Palatino Linotype" w:cs="Palatino Linotype"/>
          <w:sz w:val="24"/>
          <w:szCs w:val="24"/>
        </w:rPr>
        <w:t>la presente resolución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5D1A9FC6" w14:textId="77777777" w:rsidR="00724E79" w:rsidRPr="0035237F" w:rsidRDefault="00724E79">
      <w:pPr>
        <w:spacing w:after="0" w:line="360" w:lineRule="auto"/>
        <w:jc w:val="both"/>
        <w:rPr>
          <w:rFonts w:ascii="Palatino Linotype" w:eastAsia="Palatino Linotype" w:hAnsi="Palatino Linotype" w:cs="Palatino Linotype"/>
          <w:b/>
          <w:sz w:val="24"/>
          <w:szCs w:val="24"/>
        </w:rPr>
      </w:pPr>
      <w:bookmarkStart w:id="2" w:name="_heading=h.3znysh7" w:colFirst="0" w:colLast="0"/>
      <w:bookmarkEnd w:id="2"/>
    </w:p>
    <w:p w14:paraId="61705342"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 xml:space="preserve">CUARTO. </w:t>
      </w:r>
      <w:r w:rsidRPr="0035237F">
        <w:rPr>
          <w:rFonts w:ascii="Palatino Linotype" w:eastAsia="Palatino Linotype" w:hAnsi="Palatino Linotype" w:cs="Palatino Linotype"/>
          <w:sz w:val="24"/>
          <w:szCs w:val="24"/>
        </w:rPr>
        <w:t xml:space="preserve">De conformidad con el artículo 198 de la Ley de Transparencia y Acceso a la Información Pública del Estado de México y Municipios, de considerarlo procedente, </w:t>
      </w:r>
      <w:r w:rsidRPr="0035237F">
        <w:rPr>
          <w:rFonts w:ascii="Palatino Linotype" w:eastAsia="Palatino Linotype" w:hAnsi="Palatino Linotype" w:cs="Palatino Linotype"/>
          <w:b/>
          <w:sz w:val="24"/>
          <w:szCs w:val="24"/>
        </w:rPr>
        <w:t>EL SUJETO OBLIGADO</w:t>
      </w:r>
      <w:r w:rsidRPr="0035237F">
        <w:rPr>
          <w:rFonts w:ascii="Palatino Linotype" w:eastAsia="Palatino Linotype" w:hAnsi="Palatino Linotype" w:cs="Palatino Linotype"/>
          <w:sz w:val="24"/>
          <w:szCs w:val="24"/>
        </w:rPr>
        <w:t xml:space="preserve"> de manera fundada y motivada, podrá solicitar una ampliación de plazo para el cumplimiento de la presente resolución.</w:t>
      </w:r>
    </w:p>
    <w:p w14:paraId="2D36ED22"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2F34093E" w14:textId="77777777" w:rsidR="00724E79" w:rsidRPr="0035237F" w:rsidRDefault="00312C60">
      <w:pPr>
        <w:spacing w:after="0" w:line="360" w:lineRule="auto"/>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b/>
          <w:sz w:val="24"/>
          <w:szCs w:val="24"/>
        </w:rPr>
        <w:t xml:space="preserve">QUINTO. Notifíquese vía SAIMEX, </w:t>
      </w:r>
      <w:r w:rsidRPr="0035237F">
        <w:rPr>
          <w:rFonts w:ascii="Palatino Linotype" w:eastAsia="Palatino Linotype" w:hAnsi="Palatino Linotype" w:cs="Palatino Linotype"/>
          <w:sz w:val="24"/>
          <w:szCs w:val="24"/>
        </w:rPr>
        <w:t xml:space="preserve">a </w:t>
      </w:r>
      <w:r w:rsidRPr="0035237F">
        <w:rPr>
          <w:rFonts w:ascii="Palatino Linotype" w:eastAsia="Palatino Linotype" w:hAnsi="Palatino Linotype" w:cs="Palatino Linotype"/>
          <w:b/>
          <w:sz w:val="24"/>
          <w:szCs w:val="24"/>
        </w:rPr>
        <w:t>LA PARTE RECURRENTE</w:t>
      </w:r>
      <w:r w:rsidRPr="0035237F">
        <w:rPr>
          <w:rFonts w:ascii="Palatino Linotype" w:eastAsia="Palatino Linotype" w:hAnsi="Palatino Linotype" w:cs="Palatino Linotype"/>
          <w:sz w:val="24"/>
          <w:szCs w:val="24"/>
        </w:rPr>
        <w:t xml:space="preserve"> la presente resolución, así como que podrá impugnarla vía Juicio de Amparo en los términos de las leyes aplicables, de conformidad con lo establecido en el artículo 196 de la Ley </w:t>
      </w:r>
      <w:r w:rsidRPr="0035237F">
        <w:rPr>
          <w:rFonts w:ascii="Palatino Linotype" w:eastAsia="Palatino Linotype" w:hAnsi="Palatino Linotype" w:cs="Palatino Linotype"/>
          <w:sz w:val="24"/>
          <w:szCs w:val="24"/>
        </w:rPr>
        <w:lastRenderedPageBreak/>
        <w:t xml:space="preserve">de Transparencia y Acceso a la Información Pública del Estado de México y Municipios. </w:t>
      </w:r>
    </w:p>
    <w:p w14:paraId="7A536BD5" w14:textId="77777777" w:rsidR="00724E79" w:rsidRPr="0035237F" w:rsidRDefault="00724E79">
      <w:pPr>
        <w:spacing w:after="0" w:line="360" w:lineRule="auto"/>
        <w:jc w:val="both"/>
        <w:rPr>
          <w:rFonts w:ascii="Palatino Linotype" w:eastAsia="Palatino Linotype" w:hAnsi="Palatino Linotype" w:cs="Palatino Linotype"/>
          <w:sz w:val="24"/>
          <w:szCs w:val="24"/>
        </w:rPr>
      </w:pPr>
    </w:p>
    <w:p w14:paraId="6D5CC230" w14:textId="77777777" w:rsidR="00724E79" w:rsidRPr="00035C88" w:rsidRDefault="00312C60">
      <w:pPr>
        <w:spacing w:after="0" w:line="360" w:lineRule="auto"/>
        <w:ind w:right="49"/>
        <w:jc w:val="both"/>
        <w:rPr>
          <w:rFonts w:ascii="Palatino Linotype" w:eastAsia="Palatino Linotype" w:hAnsi="Palatino Linotype" w:cs="Palatino Linotype"/>
          <w:sz w:val="24"/>
          <w:szCs w:val="24"/>
        </w:rPr>
      </w:pPr>
      <w:r w:rsidRPr="0035237F">
        <w:rPr>
          <w:rFonts w:ascii="Palatino Linotype" w:eastAsia="Palatino Linotype" w:hAnsi="Palatino Linotype" w:cs="Palatino Linotype"/>
          <w:sz w:val="24"/>
          <w:szCs w:val="24"/>
        </w:rPr>
        <w:t xml:space="preserve"> 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SEGUNDA SESIÓN ORDINARIA CELEBRADA EL VEINTIDÓS DE ENERO DE DOS MIL VEINTICINCO, ANTE EL SECRETARIO TÉCNICO DEL PLENO ALEXIS TAPIA RAMÍREZ.</w:t>
      </w:r>
    </w:p>
    <w:p w14:paraId="1A92965D" w14:textId="77777777" w:rsidR="00724E79" w:rsidRPr="00035C88" w:rsidRDefault="00724E79">
      <w:pPr>
        <w:spacing w:line="360" w:lineRule="auto"/>
        <w:jc w:val="both"/>
        <w:rPr>
          <w:rFonts w:ascii="Palatino Linotype" w:eastAsia="Palatino Linotype" w:hAnsi="Palatino Linotype" w:cs="Palatino Linotype"/>
          <w:sz w:val="24"/>
          <w:szCs w:val="24"/>
        </w:rPr>
      </w:pPr>
    </w:p>
    <w:p w14:paraId="049F290F" w14:textId="77777777" w:rsidR="0020286B" w:rsidRPr="00035C88" w:rsidRDefault="0020286B">
      <w:pPr>
        <w:spacing w:line="360" w:lineRule="auto"/>
        <w:jc w:val="both"/>
        <w:rPr>
          <w:rFonts w:ascii="Palatino Linotype" w:eastAsia="Palatino Linotype" w:hAnsi="Palatino Linotype" w:cs="Palatino Linotype"/>
          <w:sz w:val="24"/>
          <w:szCs w:val="24"/>
        </w:rPr>
      </w:pPr>
    </w:p>
    <w:p w14:paraId="68F6CB8F" w14:textId="77777777" w:rsidR="0020286B" w:rsidRPr="00035C88" w:rsidRDefault="0020286B">
      <w:pPr>
        <w:spacing w:line="360" w:lineRule="auto"/>
        <w:jc w:val="both"/>
        <w:rPr>
          <w:rFonts w:ascii="Palatino Linotype" w:eastAsia="Palatino Linotype" w:hAnsi="Palatino Linotype" w:cs="Palatino Linotype"/>
          <w:sz w:val="24"/>
          <w:szCs w:val="24"/>
        </w:rPr>
      </w:pPr>
    </w:p>
    <w:p w14:paraId="5EEC261B" w14:textId="77777777" w:rsidR="0020286B" w:rsidRPr="00035C88" w:rsidRDefault="0020286B">
      <w:pPr>
        <w:spacing w:line="360" w:lineRule="auto"/>
        <w:jc w:val="both"/>
        <w:rPr>
          <w:rFonts w:ascii="Palatino Linotype" w:eastAsia="Palatino Linotype" w:hAnsi="Palatino Linotype" w:cs="Palatino Linotype"/>
          <w:sz w:val="24"/>
          <w:szCs w:val="24"/>
        </w:rPr>
      </w:pPr>
    </w:p>
    <w:p w14:paraId="247ECF00" w14:textId="77777777" w:rsidR="0020286B" w:rsidRPr="00035C88" w:rsidRDefault="0020286B">
      <w:pPr>
        <w:spacing w:line="360" w:lineRule="auto"/>
        <w:jc w:val="both"/>
        <w:rPr>
          <w:rFonts w:ascii="Palatino Linotype" w:eastAsia="Palatino Linotype" w:hAnsi="Palatino Linotype" w:cs="Palatino Linotype"/>
          <w:sz w:val="24"/>
          <w:szCs w:val="24"/>
        </w:rPr>
      </w:pPr>
    </w:p>
    <w:p w14:paraId="2FD7E9C6" w14:textId="77777777" w:rsidR="0020286B" w:rsidRPr="00035C88" w:rsidRDefault="0020286B">
      <w:pPr>
        <w:spacing w:line="360" w:lineRule="auto"/>
        <w:jc w:val="both"/>
        <w:rPr>
          <w:rFonts w:ascii="Palatino Linotype" w:eastAsia="Palatino Linotype" w:hAnsi="Palatino Linotype" w:cs="Palatino Linotype"/>
          <w:sz w:val="24"/>
          <w:szCs w:val="24"/>
        </w:rPr>
      </w:pPr>
    </w:p>
    <w:p w14:paraId="0930224E" w14:textId="77777777" w:rsidR="0020286B" w:rsidRPr="00035C88" w:rsidRDefault="0020286B">
      <w:pPr>
        <w:spacing w:line="360" w:lineRule="auto"/>
        <w:jc w:val="both"/>
        <w:rPr>
          <w:rFonts w:ascii="Palatino Linotype" w:eastAsia="Palatino Linotype" w:hAnsi="Palatino Linotype" w:cs="Palatino Linotype"/>
          <w:sz w:val="24"/>
          <w:szCs w:val="24"/>
        </w:rPr>
      </w:pPr>
    </w:p>
    <w:p w14:paraId="16A0C7DB" w14:textId="77777777" w:rsidR="0020286B" w:rsidRPr="00035C88" w:rsidRDefault="0020286B">
      <w:pPr>
        <w:spacing w:line="360" w:lineRule="auto"/>
        <w:jc w:val="both"/>
        <w:rPr>
          <w:rFonts w:ascii="Palatino Linotype" w:eastAsia="Palatino Linotype" w:hAnsi="Palatino Linotype" w:cs="Palatino Linotype"/>
          <w:sz w:val="24"/>
          <w:szCs w:val="24"/>
        </w:rPr>
      </w:pPr>
    </w:p>
    <w:p w14:paraId="311FD4E8" w14:textId="77777777" w:rsidR="0020286B" w:rsidRPr="00035C88" w:rsidRDefault="0020286B">
      <w:pPr>
        <w:spacing w:line="360" w:lineRule="auto"/>
        <w:jc w:val="both"/>
        <w:rPr>
          <w:rFonts w:ascii="Palatino Linotype" w:eastAsia="Palatino Linotype" w:hAnsi="Palatino Linotype" w:cs="Palatino Linotype"/>
          <w:sz w:val="24"/>
          <w:szCs w:val="24"/>
        </w:rPr>
      </w:pPr>
    </w:p>
    <w:p w14:paraId="2D379289" w14:textId="77777777" w:rsidR="0020286B" w:rsidRPr="00035C88" w:rsidRDefault="0020286B">
      <w:pPr>
        <w:spacing w:line="360" w:lineRule="auto"/>
        <w:jc w:val="both"/>
        <w:rPr>
          <w:rFonts w:ascii="Palatino Linotype" w:eastAsia="Palatino Linotype" w:hAnsi="Palatino Linotype" w:cs="Palatino Linotype"/>
          <w:sz w:val="24"/>
          <w:szCs w:val="24"/>
        </w:rPr>
      </w:pPr>
    </w:p>
    <w:sectPr w:rsidR="0020286B" w:rsidRPr="00035C88">
      <w:headerReference w:type="default" r:id="rId16"/>
      <w:footerReference w:type="default" r:id="rId17"/>
      <w:pgSz w:w="12240" w:h="15840"/>
      <w:pgMar w:top="141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277D32" w14:textId="77777777" w:rsidR="00C3314C" w:rsidRDefault="00C3314C">
      <w:pPr>
        <w:spacing w:after="0" w:line="240" w:lineRule="auto"/>
      </w:pPr>
      <w:r>
        <w:separator/>
      </w:r>
    </w:p>
  </w:endnote>
  <w:endnote w:type="continuationSeparator" w:id="0">
    <w:p w14:paraId="045A4C0B" w14:textId="77777777" w:rsidR="00C3314C" w:rsidRDefault="00C331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DBCFE" w14:textId="77777777" w:rsidR="00724E79" w:rsidRDefault="00312C60">
    <w:pPr>
      <w:pBdr>
        <w:top w:val="nil"/>
        <w:left w:val="nil"/>
        <w:bottom w:val="nil"/>
        <w:right w:val="nil"/>
        <w:between w:val="nil"/>
      </w:pBdr>
      <w:tabs>
        <w:tab w:val="center" w:pos="4419"/>
        <w:tab w:val="right" w:pos="8838"/>
      </w:tabs>
      <w:spacing w:after="0" w:line="240" w:lineRule="auto"/>
      <w:jc w:val="right"/>
      <w:rPr>
        <w:color w:val="000000"/>
      </w:rPr>
    </w:pPr>
    <w:r>
      <w:rPr>
        <w:rFonts w:ascii="Arial" w:eastAsia="Arial" w:hAnsi="Arial" w:cs="Arial"/>
        <w:b/>
        <w:color w:val="000000"/>
        <w:sz w:val="20"/>
        <w:szCs w:val="20"/>
      </w:rPr>
      <w:t xml:space="preserve">Página </w:t>
    </w:r>
    <w:r>
      <w:rPr>
        <w:rFonts w:ascii="Arial" w:eastAsia="Arial" w:hAnsi="Arial" w:cs="Arial"/>
        <w:b/>
        <w:color w:val="000000"/>
        <w:sz w:val="20"/>
        <w:szCs w:val="20"/>
      </w:rPr>
      <w:fldChar w:fldCharType="begin"/>
    </w:r>
    <w:r>
      <w:rPr>
        <w:rFonts w:ascii="Arial" w:eastAsia="Arial" w:hAnsi="Arial" w:cs="Arial"/>
        <w:b/>
        <w:color w:val="000000"/>
        <w:sz w:val="20"/>
        <w:szCs w:val="20"/>
      </w:rPr>
      <w:instrText>PAGE</w:instrText>
    </w:r>
    <w:r>
      <w:rPr>
        <w:rFonts w:ascii="Arial" w:eastAsia="Arial" w:hAnsi="Arial" w:cs="Arial"/>
        <w:b/>
        <w:color w:val="000000"/>
        <w:sz w:val="20"/>
        <w:szCs w:val="20"/>
      </w:rPr>
      <w:fldChar w:fldCharType="separate"/>
    </w:r>
    <w:r w:rsidR="0035237F">
      <w:rPr>
        <w:rFonts w:ascii="Arial" w:eastAsia="Arial" w:hAnsi="Arial" w:cs="Arial"/>
        <w:b/>
        <w:noProof/>
        <w:color w:val="000000"/>
        <w:sz w:val="20"/>
        <w:szCs w:val="20"/>
      </w:rPr>
      <w:t>75</w:t>
    </w:r>
    <w:r>
      <w:rPr>
        <w:rFonts w:ascii="Arial" w:eastAsia="Arial" w:hAnsi="Arial" w:cs="Arial"/>
        <w:b/>
        <w:color w:val="000000"/>
        <w:sz w:val="20"/>
        <w:szCs w:val="20"/>
      </w:rPr>
      <w:fldChar w:fldCharType="end"/>
    </w:r>
    <w:r>
      <w:rPr>
        <w:rFonts w:ascii="Arial" w:eastAsia="Arial" w:hAnsi="Arial" w:cs="Arial"/>
        <w:color w:val="000000"/>
        <w:sz w:val="20"/>
        <w:szCs w:val="20"/>
      </w:rPr>
      <w:t xml:space="preserve"> de </w:t>
    </w:r>
    <w:r>
      <w:rPr>
        <w:rFonts w:ascii="Arial" w:eastAsia="Arial" w:hAnsi="Arial" w:cs="Arial"/>
        <w:b/>
        <w:color w:val="000000"/>
        <w:sz w:val="20"/>
        <w:szCs w:val="20"/>
      </w:rPr>
      <w:fldChar w:fldCharType="begin"/>
    </w:r>
    <w:r>
      <w:rPr>
        <w:rFonts w:ascii="Arial" w:eastAsia="Arial" w:hAnsi="Arial" w:cs="Arial"/>
        <w:b/>
        <w:color w:val="000000"/>
        <w:sz w:val="20"/>
        <w:szCs w:val="20"/>
      </w:rPr>
      <w:instrText>NUMPAGES</w:instrText>
    </w:r>
    <w:r>
      <w:rPr>
        <w:rFonts w:ascii="Arial" w:eastAsia="Arial" w:hAnsi="Arial" w:cs="Arial"/>
        <w:b/>
        <w:color w:val="000000"/>
        <w:sz w:val="20"/>
        <w:szCs w:val="20"/>
      </w:rPr>
      <w:fldChar w:fldCharType="separate"/>
    </w:r>
    <w:r w:rsidR="0035237F">
      <w:rPr>
        <w:rFonts w:ascii="Arial" w:eastAsia="Arial" w:hAnsi="Arial" w:cs="Arial"/>
        <w:b/>
        <w:noProof/>
        <w:color w:val="000000"/>
        <w:sz w:val="20"/>
        <w:szCs w:val="20"/>
      </w:rPr>
      <w:t>77</w:t>
    </w:r>
    <w:r>
      <w:rPr>
        <w:rFonts w:ascii="Arial" w:eastAsia="Arial" w:hAnsi="Arial" w:cs="Arial"/>
        <w:b/>
        <w:color w:val="000000"/>
        <w:sz w:val="20"/>
        <w:szCs w:val="20"/>
      </w:rPr>
      <w:fldChar w:fldCharType="end"/>
    </w:r>
  </w:p>
  <w:p w14:paraId="46B817EB" w14:textId="77777777" w:rsidR="00724E79" w:rsidRDefault="00724E79">
    <w:pPr>
      <w:pBdr>
        <w:top w:val="nil"/>
        <w:left w:val="nil"/>
        <w:bottom w:val="nil"/>
        <w:right w:val="nil"/>
        <w:between w:val="nil"/>
      </w:pBdr>
      <w:tabs>
        <w:tab w:val="center" w:pos="4419"/>
        <w:tab w:val="right" w:pos="8838"/>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7364FA" w14:textId="77777777" w:rsidR="00C3314C" w:rsidRDefault="00C3314C">
      <w:pPr>
        <w:spacing w:after="0" w:line="240" w:lineRule="auto"/>
      </w:pPr>
      <w:r>
        <w:separator/>
      </w:r>
    </w:p>
  </w:footnote>
  <w:footnote w:type="continuationSeparator" w:id="0">
    <w:p w14:paraId="45A000C1" w14:textId="77777777" w:rsidR="00C3314C" w:rsidRDefault="00C3314C">
      <w:pPr>
        <w:spacing w:after="0" w:line="240" w:lineRule="auto"/>
      </w:pPr>
      <w:r>
        <w:continuationSeparator/>
      </w:r>
    </w:p>
  </w:footnote>
  <w:footnote w:id="1">
    <w:p w14:paraId="495E068E" w14:textId="77777777" w:rsidR="00724E79" w:rsidRDefault="00312C60">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w:t>
      </w:r>
      <w:r>
        <w:rPr>
          <w:rFonts w:ascii="Palatino Linotype" w:eastAsia="Palatino Linotype" w:hAnsi="Palatino Linotype" w:cs="Palatino Linotype"/>
          <w:color w:val="000000"/>
          <w:sz w:val="16"/>
          <w:szCs w:val="16"/>
        </w:rPr>
        <w:t>Artículo 92. 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que a continuación se señalan:</w:t>
      </w:r>
      <w:r>
        <w:rPr>
          <w:color w:val="000000"/>
          <w:sz w:val="20"/>
          <w:szCs w:val="20"/>
        </w:rPr>
        <w:t xml:space="preserve"> (…)</w:t>
      </w:r>
    </w:p>
  </w:footnote>
  <w:footnote w:id="2">
    <w:p w14:paraId="372E62D5" w14:textId="77777777" w:rsidR="00724E79" w:rsidRDefault="00312C60">
      <w:pPr>
        <w:pBdr>
          <w:top w:val="nil"/>
          <w:left w:val="nil"/>
          <w:bottom w:val="nil"/>
          <w:right w:val="nil"/>
          <w:between w:val="nil"/>
        </w:pBdr>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9"/>
          <w:szCs w:val="19"/>
        </w:rPr>
        <w:t xml:space="preserve"> </w:t>
      </w:r>
      <w:r>
        <w:rPr>
          <w:rFonts w:ascii="Palatino Linotype" w:eastAsia="Palatino Linotype" w:hAnsi="Palatino Linotype" w:cs="Palatino Linotype"/>
          <w:color w:val="000000"/>
          <w:sz w:val="16"/>
          <w:szCs w:val="16"/>
        </w:rPr>
        <w:t>“Artículo 3. Para los efectos de la presente Ley se entenderá por: (…) XXII. Información de interés público: Se refiere a la información que resulta relevante o beneficiosa para la sociedad y no simplemente de interés individual, cuya divulgación resulta útil para que el público comprenda las actividades que llevan a cabo los sujetos obligados…”</w:t>
      </w:r>
    </w:p>
  </w:footnote>
  <w:footnote w:id="3">
    <w:p w14:paraId="099258C7" w14:textId="77777777" w:rsidR="00724E79" w:rsidRDefault="00312C60">
      <w:pPr>
        <w:jc w:val="both"/>
        <w:rPr>
          <w:rFonts w:ascii="Palatino Linotype" w:eastAsia="Palatino Linotype" w:hAnsi="Palatino Linotype" w:cs="Palatino Linotype"/>
          <w:sz w:val="16"/>
          <w:szCs w:val="16"/>
        </w:rPr>
      </w:pPr>
      <w:r>
        <w:rPr>
          <w:vertAlign w:val="superscript"/>
        </w:rPr>
        <w:footnoteRef/>
      </w:r>
      <w:r>
        <w:rPr>
          <w:rFonts w:ascii="Palatino Linotype" w:eastAsia="Palatino Linotype" w:hAnsi="Palatino Linotype" w:cs="Palatino Linotype"/>
          <w:sz w:val="16"/>
          <w:szCs w:val="16"/>
        </w:rPr>
        <w:t xml:space="preserve"> BURGOA ORIHUELA Ignacio. Diccionario De Derecho Constitucional, Garantías y Amparo. Ed. Porrúa, S.A., México. 1992, p.115.</w:t>
      </w:r>
    </w:p>
  </w:footnote>
  <w:footnote w:id="4">
    <w:p w14:paraId="4E648423" w14:textId="77777777" w:rsidR="00724E79" w:rsidRDefault="00312C60">
      <w:pPr>
        <w:jc w:val="both"/>
        <w:rPr>
          <w:rFonts w:ascii="Palatino Linotype" w:eastAsia="Palatino Linotype" w:hAnsi="Palatino Linotype" w:cs="Palatino Linotype"/>
          <w:sz w:val="16"/>
          <w:szCs w:val="16"/>
        </w:rPr>
      </w:pPr>
      <w:r>
        <w:rPr>
          <w:vertAlign w:val="superscript"/>
        </w:rPr>
        <w:footnoteRef/>
      </w:r>
      <w:r>
        <w:rPr>
          <w:rFonts w:ascii="Palatino Linotype" w:eastAsia="Palatino Linotype" w:hAnsi="Palatino Linotype" w:cs="Palatino Linotype"/>
          <w:sz w:val="16"/>
          <w:szCs w:val="16"/>
        </w:rPr>
        <w:t xml:space="preserve"> CIENFUEGOS SALGADO David. El Derecho de Petición en México. Ed. Instituto de Investigaciones Jurídica UNAM. México 2004. p. 31</w:t>
      </w:r>
    </w:p>
  </w:footnote>
  <w:footnote w:id="5">
    <w:p w14:paraId="012E1540" w14:textId="77777777" w:rsidR="00724E79" w:rsidRDefault="00312C60">
      <w:pPr>
        <w:spacing w:before="240" w:after="240"/>
        <w:jc w:val="both"/>
        <w:rPr>
          <w:rFonts w:ascii="Palatino Linotype" w:eastAsia="Palatino Linotype" w:hAnsi="Palatino Linotype" w:cs="Palatino Linotype"/>
          <w:sz w:val="16"/>
          <w:szCs w:val="16"/>
        </w:rPr>
      </w:pPr>
      <w:r>
        <w:rPr>
          <w:vertAlign w:val="superscript"/>
        </w:rPr>
        <w:footnoteRef/>
      </w:r>
      <w:r>
        <w:rPr>
          <w:rFonts w:ascii="Palatino Linotype" w:eastAsia="Palatino Linotype" w:hAnsi="Palatino Linotype" w:cs="Palatino Linotype"/>
          <w:sz w:val="16"/>
          <w:szCs w:val="16"/>
        </w:rPr>
        <w:t xml:space="preserve"> Carbonell, M. (2004). Los Derechos Fundamentales (Primera Edición ed.), México: Instituto de investigaciones Jurídicas.</w:t>
      </w:r>
    </w:p>
  </w:footnote>
  <w:footnote w:id="6">
    <w:p w14:paraId="5FF1E641" w14:textId="77777777" w:rsidR="00724E79" w:rsidRDefault="00312C60">
      <w:pPr>
        <w:pBdr>
          <w:top w:val="nil"/>
          <w:left w:val="nil"/>
          <w:bottom w:val="nil"/>
          <w:right w:val="nil"/>
          <w:between w:val="nil"/>
        </w:pBdr>
        <w:spacing w:line="198" w:lineRule="auto"/>
        <w:ind w:left="93"/>
        <w:rPr>
          <w:rFonts w:ascii="Palatino Linotype" w:eastAsia="Palatino Linotype" w:hAnsi="Palatino Linotype" w:cs="Palatino Linotype"/>
          <w:color w:val="000000"/>
          <w:sz w:val="16"/>
          <w:szCs w:val="16"/>
        </w:rPr>
      </w:pPr>
      <w:r>
        <w:rPr>
          <w:vertAlign w:val="superscript"/>
        </w:rPr>
        <w:footnoteRef/>
      </w:r>
      <w:r>
        <w:rPr>
          <w:color w:val="000000"/>
          <w:sz w:val="23"/>
          <w:szCs w:val="23"/>
        </w:rPr>
        <w:t xml:space="preserve"> </w:t>
      </w:r>
      <w:r>
        <w:rPr>
          <w:rFonts w:ascii="Palatino Linotype" w:eastAsia="Palatino Linotype" w:hAnsi="Palatino Linotype" w:cs="Palatino Linotype"/>
          <w:color w:val="000000"/>
          <w:sz w:val="16"/>
          <w:szCs w:val="16"/>
        </w:rPr>
        <w:t>VILLANUEVA VILLANUEVA Ernesto, Derecho de la Información, Ed, Porrúa S.A., México. 2006, pág.270.</w:t>
      </w:r>
    </w:p>
  </w:footnote>
  <w:footnote w:id="7">
    <w:p w14:paraId="5E1B39AF" w14:textId="77777777" w:rsidR="00724E79" w:rsidRDefault="00312C60">
      <w:pPr>
        <w:pBdr>
          <w:top w:val="nil"/>
          <w:left w:val="nil"/>
          <w:bottom w:val="nil"/>
          <w:right w:val="nil"/>
          <w:between w:val="nil"/>
        </w:pBdr>
        <w:ind w:right="96"/>
        <w:jc w:val="both"/>
        <w:rPr>
          <w:rFonts w:ascii="Palatino Linotype" w:eastAsia="Palatino Linotype" w:hAnsi="Palatino Linotype" w:cs="Palatino Linotype"/>
          <w:color w:val="000000"/>
          <w:sz w:val="16"/>
          <w:szCs w:val="16"/>
        </w:rPr>
      </w:pPr>
      <w:r>
        <w:rPr>
          <w:vertAlign w:val="superscript"/>
        </w:rPr>
        <w:footnoteRef/>
      </w:r>
      <w:r>
        <w:rPr>
          <w:color w:val="000000"/>
          <w:sz w:val="23"/>
          <w:szCs w:val="23"/>
        </w:rPr>
        <w:t xml:space="preserve"> </w:t>
      </w:r>
      <w:r>
        <w:rPr>
          <w:rFonts w:ascii="Palatino Linotype" w:eastAsia="Palatino Linotype" w:hAnsi="Palatino Linotype" w:cs="Palatino Linotype"/>
          <w:color w:val="000000"/>
          <w:sz w:val="16"/>
          <w:szCs w:val="16"/>
        </w:rPr>
        <w:t>ROBLES HERNÁNDEZ José Guadalupe. Derecho de la Información y Comunicación Pública. Ed.Universidad de Occidente de México, 2004, pág.72.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D668D" w14:textId="77777777" w:rsidR="00724E79" w:rsidRDefault="00724E79">
    <w:pPr>
      <w:widowControl w:val="0"/>
      <w:pBdr>
        <w:top w:val="nil"/>
        <w:left w:val="nil"/>
        <w:bottom w:val="nil"/>
        <w:right w:val="nil"/>
        <w:between w:val="nil"/>
      </w:pBdr>
      <w:spacing w:after="0" w:line="276" w:lineRule="auto"/>
      <w:rPr>
        <w:rFonts w:ascii="Palatino Linotype" w:eastAsia="Palatino Linotype" w:hAnsi="Palatino Linotype" w:cs="Palatino Linotype"/>
        <w:color w:val="000000"/>
        <w:sz w:val="16"/>
        <w:szCs w:val="16"/>
      </w:rPr>
    </w:pPr>
  </w:p>
  <w:tbl>
    <w:tblPr>
      <w:tblStyle w:val="a2"/>
      <w:tblW w:w="10273" w:type="dxa"/>
      <w:tblInd w:w="-1281" w:type="dxa"/>
      <w:tblLayout w:type="fixed"/>
      <w:tblLook w:val="0400" w:firstRow="0" w:lastRow="0" w:firstColumn="0" w:lastColumn="0" w:noHBand="0" w:noVBand="1"/>
    </w:tblPr>
    <w:tblGrid>
      <w:gridCol w:w="5716"/>
      <w:gridCol w:w="4557"/>
    </w:tblGrid>
    <w:tr w:rsidR="00724E79" w14:paraId="64BF1D5E" w14:textId="77777777">
      <w:trPr>
        <w:trHeight w:val="246"/>
      </w:trPr>
      <w:tc>
        <w:tcPr>
          <w:tcW w:w="5716" w:type="dxa"/>
        </w:tcPr>
        <w:p w14:paraId="54A40191" w14:textId="77777777" w:rsidR="00724E79" w:rsidRDefault="00312C60">
          <w:pPr>
            <w:spacing w:after="12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 xml:space="preserve">Recurso de Revisión </w:t>
          </w:r>
          <w:proofErr w:type="spellStart"/>
          <w:r>
            <w:rPr>
              <w:rFonts w:ascii="Palatino Linotype" w:eastAsia="Palatino Linotype" w:hAnsi="Palatino Linotype" w:cs="Palatino Linotype"/>
              <w:b/>
              <w:sz w:val="24"/>
              <w:szCs w:val="24"/>
            </w:rPr>
            <w:t>N°</w:t>
          </w:r>
          <w:proofErr w:type="spellEnd"/>
          <w:r>
            <w:rPr>
              <w:rFonts w:ascii="Palatino Linotype" w:eastAsia="Palatino Linotype" w:hAnsi="Palatino Linotype" w:cs="Palatino Linotype"/>
              <w:b/>
              <w:sz w:val="24"/>
              <w:szCs w:val="24"/>
            </w:rPr>
            <w:t>:</w:t>
          </w:r>
        </w:p>
      </w:tc>
      <w:tc>
        <w:tcPr>
          <w:tcW w:w="4557" w:type="dxa"/>
        </w:tcPr>
        <w:p w14:paraId="32DD096B" w14:textId="77777777" w:rsidR="00724E79" w:rsidRDefault="00312C60">
          <w:pPr>
            <w:spacing w:after="120"/>
            <w:ind w:left="-486" w:right="214" w:firstLine="1408"/>
            <w:jc w:val="right"/>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07589/INFOEM/IP/RR/2024.</w:t>
          </w:r>
        </w:p>
      </w:tc>
    </w:tr>
    <w:tr w:rsidR="00724E79" w14:paraId="20CDF62D" w14:textId="77777777">
      <w:trPr>
        <w:trHeight w:val="212"/>
      </w:trPr>
      <w:tc>
        <w:tcPr>
          <w:tcW w:w="5716" w:type="dxa"/>
        </w:tcPr>
        <w:p w14:paraId="12D694A4" w14:textId="77777777" w:rsidR="00724E79" w:rsidRDefault="00312C60">
          <w:pPr>
            <w:spacing w:after="12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Recurrente:</w:t>
          </w:r>
        </w:p>
      </w:tc>
      <w:tc>
        <w:tcPr>
          <w:tcW w:w="4557" w:type="dxa"/>
        </w:tcPr>
        <w:p w14:paraId="4D1103DC" w14:textId="77777777" w:rsidR="00724E79" w:rsidRDefault="00724E79">
          <w:pPr>
            <w:spacing w:after="120"/>
            <w:ind w:left="-486" w:right="214" w:firstLine="567"/>
            <w:jc w:val="right"/>
            <w:rPr>
              <w:rFonts w:ascii="Palatino Linotype" w:eastAsia="Palatino Linotype" w:hAnsi="Palatino Linotype" w:cs="Palatino Linotype"/>
              <w:sz w:val="24"/>
              <w:szCs w:val="24"/>
            </w:rPr>
          </w:pPr>
        </w:p>
      </w:tc>
    </w:tr>
    <w:tr w:rsidR="00724E79" w14:paraId="232033B5" w14:textId="77777777">
      <w:trPr>
        <w:trHeight w:val="264"/>
      </w:trPr>
      <w:tc>
        <w:tcPr>
          <w:tcW w:w="5716" w:type="dxa"/>
        </w:tcPr>
        <w:p w14:paraId="1869DB5D" w14:textId="77777777" w:rsidR="00724E79" w:rsidRDefault="00312C60">
          <w:pPr>
            <w:spacing w:after="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Sujeto Obligado:</w:t>
          </w:r>
        </w:p>
      </w:tc>
      <w:tc>
        <w:tcPr>
          <w:tcW w:w="4557" w:type="dxa"/>
        </w:tcPr>
        <w:p w14:paraId="30114F69" w14:textId="77777777" w:rsidR="00724E79" w:rsidRDefault="00312C60">
          <w:pPr>
            <w:spacing w:after="0"/>
            <w:ind w:left="-495" w:right="214" w:firstLine="567"/>
            <w:jc w:val="right"/>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Secretaría de Finanzas.</w:t>
          </w:r>
        </w:p>
      </w:tc>
    </w:tr>
    <w:tr w:rsidR="00724E79" w14:paraId="0DDE8EF1" w14:textId="77777777">
      <w:trPr>
        <w:trHeight w:val="373"/>
      </w:trPr>
      <w:tc>
        <w:tcPr>
          <w:tcW w:w="5716" w:type="dxa"/>
        </w:tcPr>
        <w:p w14:paraId="256C61F3" w14:textId="77777777" w:rsidR="00724E79" w:rsidRDefault="00312C60">
          <w:pPr>
            <w:tabs>
              <w:tab w:val="left" w:pos="4892"/>
            </w:tabs>
            <w:spacing w:after="12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Comisionada Ponente:</w:t>
          </w:r>
        </w:p>
      </w:tc>
      <w:tc>
        <w:tcPr>
          <w:tcW w:w="4557" w:type="dxa"/>
        </w:tcPr>
        <w:p w14:paraId="49F66DC9" w14:textId="77777777" w:rsidR="00724E79" w:rsidRDefault="00312C60">
          <w:pPr>
            <w:spacing w:after="120"/>
            <w:ind w:left="-486" w:right="214" w:firstLine="567"/>
            <w:jc w:val="right"/>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Guadalupe Ramírez Peña.</w:t>
          </w:r>
        </w:p>
      </w:tc>
    </w:tr>
  </w:tbl>
  <w:p w14:paraId="2E1E5BA4" w14:textId="77777777" w:rsidR="00724E79" w:rsidRDefault="00312C60">
    <w:pPr>
      <w:pBdr>
        <w:top w:val="nil"/>
        <w:left w:val="nil"/>
        <w:bottom w:val="nil"/>
        <w:right w:val="nil"/>
        <w:between w:val="nil"/>
      </w:pBdr>
      <w:tabs>
        <w:tab w:val="center" w:pos="4419"/>
        <w:tab w:val="right" w:pos="8838"/>
      </w:tabs>
      <w:spacing w:after="0" w:line="240" w:lineRule="auto"/>
      <w:rPr>
        <w:color w:val="000000"/>
      </w:rPr>
    </w:pPr>
    <w:r>
      <w:rPr>
        <w:noProof/>
      </w:rPr>
      <w:drawing>
        <wp:anchor distT="0" distB="0" distL="0" distR="0" simplePos="0" relativeHeight="251658240" behindDoc="1" locked="0" layoutInCell="1" hidden="0" allowOverlap="1" wp14:anchorId="66D1B073" wp14:editId="156B1DAC">
          <wp:simplePos x="0" y="0"/>
          <wp:positionH relativeFrom="column">
            <wp:posOffset>-1080134</wp:posOffset>
          </wp:positionH>
          <wp:positionV relativeFrom="paragraph">
            <wp:posOffset>-1337415</wp:posOffset>
          </wp:positionV>
          <wp:extent cx="7353300" cy="8658225"/>
          <wp:effectExtent l="0" t="0" r="0" b="0"/>
          <wp:wrapNone/>
          <wp:docPr id="11" name="image7.jpg"/>
          <wp:cNvGraphicFramePr/>
          <a:graphic xmlns:a="http://schemas.openxmlformats.org/drawingml/2006/main">
            <a:graphicData uri="http://schemas.openxmlformats.org/drawingml/2006/picture">
              <pic:pic xmlns:pic="http://schemas.openxmlformats.org/drawingml/2006/picture">
                <pic:nvPicPr>
                  <pic:cNvPr id="0" name="image7.jpg"/>
                  <pic:cNvPicPr preferRelativeResize="0"/>
                </pic:nvPicPr>
                <pic:blipFill>
                  <a:blip r:embed="rId1"/>
                  <a:srcRect/>
                  <a:stretch>
                    <a:fillRect/>
                  </a:stretch>
                </pic:blipFill>
                <pic:spPr>
                  <a:xfrm>
                    <a:off x="0" y="0"/>
                    <a:ext cx="7353300" cy="8658225"/>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1C104E"/>
    <w:multiLevelType w:val="multilevel"/>
    <w:tmpl w:val="53927914"/>
    <w:lvl w:ilvl="0">
      <w:start w:val="1"/>
      <w:numFmt w:val="lowerLetter"/>
      <w:lvlText w:val="%1)"/>
      <w:lvlJc w:val="left"/>
      <w:pPr>
        <w:ind w:left="720" w:hanging="360"/>
      </w:pPr>
      <w:rPr>
        <w:b/>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61E5F2E"/>
    <w:multiLevelType w:val="multilevel"/>
    <w:tmpl w:val="49862352"/>
    <w:lvl w:ilvl="0">
      <w:start w:val="1"/>
      <w:numFmt w:val="lowerLetter"/>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85F603F"/>
    <w:multiLevelType w:val="multilevel"/>
    <w:tmpl w:val="37AAC244"/>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C3254A5"/>
    <w:multiLevelType w:val="multilevel"/>
    <w:tmpl w:val="051427E6"/>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B3133D5"/>
    <w:multiLevelType w:val="multilevel"/>
    <w:tmpl w:val="3FA4013C"/>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5" w15:restartNumberingAfterBreak="0">
    <w:nsid w:val="2B3719C4"/>
    <w:multiLevelType w:val="multilevel"/>
    <w:tmpl w:val="30BE32D8"/>
    <w:lvl w:ilvl="0">
      <w:start w:val="1"/>
      <w:numFmt w:val="lowerLetter"/>
      <w:lvlText w:val="%1)"/>
      <w:lvlJc w:val="left"/>
      <w:pPr>
        <w:ind w:left="720" w:hanging="360"/>
      </w:pPr>
      <w:rPr>
        <w:rFonts w:ascii="Palatino Linotype" w:eastAsia="Palatino Linotype" w:hAnsi="Palatino Linotype" w:cs="Palatino Linotyp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39F370E3"/>
    <w:multiLevelType w:val="multilevel"/>
    <w:tmpl w:val="2430ACB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4C466DC3"/>
    <w:multiLevelType w:val="multilevel"/>
    <w:tmpl w:val="460C950A"/>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8" w15:restartNumberingAfterBreak="0">
    <w:nsid w:val="60097931"/>
    <w:multiLevelType w:val="multilevel"/>
    <w:tmpl w:val="5A586A7A"/>
    <w:lvl w:ilvl="0">
      <w:start w:val="1"/>
      <w:numFmt w:val="bullet"/>
      <w:lvlText w:val="−"/>
      <w:lvlJc w:val="left"/>
      <w:pPr>
        <w:ind w:left="720" w:hanging="360"/>
      </w:pPr>
      <w:rPr>
        <w:rFonts w:ascii="Noto Sans Symbols" w:eastAsia="Noto Sans Symbols" w:hAnsi="Noto Sans Symbols" w:cs="Noto Sans Symbols"/>
        <w:b/>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3"/>
  </w:num>
  <w:num w:numId="2">
    <w:abstractNumId w:val="1"/>
  </w:num>
  <w:num w:numId="3">
    <w:abstractNumId w:val="6"/>
  </w:num>
  <w:num w:numId="4">
    <w:abstractNumId w:val="8"/>
  </w:num>
  <w:num w:numId="5">
    <w:abstractNumId w:val="5"/>
  </w:num>
  <w:num w:numId="6">
    <w:abstractNumId w:val="2"/>
  </w:num>
  <w:num w:numId="7">
    <w:abstractNumId w:val="4"/>
  </w:num>
  <w:num w:numId="8">
    <w:abstractNumId w:val="7"/>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4E79"/>
    <w:rsid w:val="00035C88"/>
    <w:rsid w:val="0020286B"/>
    <w:rsid w:val="00251AAD"/>
    <w:rsid w:val="00312C60"/>
    <w:rsid w:val="0035237F"/>
    <w:rsid w:val="004D04D0"/>
    <w:rsid w:val="004F540B"/>
    <w:rsid w:val="006723D4"/>
    <w:rsid w:val="006C51C8"/>
    <w:rsid w:val="00724E79"/>
    <w:rsid w:val="0090082A"/>
    <w:rsid w:val="00C331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2C96F6"/>
  <w15:docId w15:val="{2E48D84B-C6C7-44E1-A8B0-5B163FF627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379E"/>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Encabezado">
    <w:name w:val="header"/>
    <w:basedOn w:val="Normal"/>
    <w:link w:val="EncabezadoCar"/>
    <w:uiPriority w:val="99"/>
    <w:unhideWhenUsed/>
    <w:rsid w:val="008E379E"/>
    <w:pPr>
      <w:tabs>
        <w:tab w:val="center" w:pos="4419"/>
        <w:tab w:val="right" w:pos="8838"/>
      </w:tabs>
      <w:spacing w:after="0" w:line="240" w:lineRule="auto"/>
    </w:pPr>
    <w:rPr>
      <w:rFonts w:asciiTheme="minorHAnsi" w:eastAsiaTheme="minorHAnsi" w:hAnsiTheme="minorHAnsi" w:cstheme="minorBidi"/>
      <w:lang w:eastAsia="en-US"/>
    </w:rPr>
  </w:style>
  <w:style w:type="character" w:customStyle="1" w:styleId="EncabezadoCar">
    <w:name w:val="Encabezado Car"/>
    <w:basedOn w:val="Fuentedeprrafopredeter"/>
    <w:link w:val="Encabezado"/>
    <w:uiPriority w:val="99"/>
    <w:rsid w:val="008E379E"/>
  </w:style>
  <w:style w:type="paragraph" w:styleId="Piedepgina">
    <w:name w:val="footer"/>
    <w:basedOn w:val="Normal"/>
    <w:link w:val="PiedepginaCar"/>
    <w:uiPriority w:val="99"/>
    <w:unhideWhenUsed/>
    <w:rsid w:val="008E379E"/>
    <w:pPr>
      <w:tabs>
        <w:tab w:val="center" w:pos="4419"/>
        <w:tab w:val="right" w:pos="8838"/>
      </w:tabs>
      <w:spacing w:after="0" w:line="240" w:lineRule="auto"/>
    </w:pPr>
    <w:rPr>
      <w:rFonts w:asciiTheme="minorHAnsi" w:eastAsiaTheme="minorHAnsi" w:hAnsiTheme="minorHAnsi" w:cstheme="minorBidi"/>
      <w:lang w:eastAsia="en-US"/>
    </w:rPr>
  </w:style>
  <w:style w:type="character" w:customStyle="1" w:styleId="PiedepginaCar">
    <w:name w:val="Pie de página Car"/>
    <w:basedOn w:val="Fuentedeprrafopredeter"/>
    <w:link w:val="Piedepgina"/>
    <w:uiPriority w:val="99"/>
    <w:rsid w:val="008E379E"/>
  </w:style>
  <w:style w:type="paragraph" w:styleId="Textodeglobo">
    <w:name w:val="Balloon Text"/>
    <w:basedOn w:val="Normal"/>
    <w:link w:val="TextodegloboCar"/>
    <w:uiPriority w:val="99"/>
    <w:semiHidden/>
    <w:unhideWhenUsed/>
    <w:rsid w:val="00CC39F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C39F0"/>
    <w:rPr>
      <w:rFonts w:ascii="Segoe UI" w:eastAsia="Calibri" w:hAnsi="Segoe UI" w:cs="Segoe UI"/>
      <w:sz w:val="18"/>
      <w:szCs w:val="18"/>
      <w:lang w:eastAsia="es-MX"/>
    </w:rPr>
  </w:style>
  <w:style w:type="paragraph" w:styleId="NormalWeb">
    <w:name w:val="Normal (Web)"/>
    <w:basedOn w:val="Normal"/>
    <w:uiPriority w:val="99"/>
    <w:unhideWhenUsed/>
    <w:rsid w:val="00414231"/>
    <w:pPr>
      <w:spacing w:before="100" w:beforeAutospacing="1" w:after="100" w:afterAutospacing="1" w:line="240" w:lineRule="auto"/>
    </w:pPr>
    <w:rPr>
      <w:rFonts w:ascii="Times New Roman" w:eastAsia="Times New Roman" w:hAnsi="Times New Roman" w:cs="Times New Roman"/>
      <w:sz w:val="24"/>
      <w:szCs w:val="24"/>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C64C0E"/>
    <w:pPr>
      <w:ind w:left="720"/>
      <w:contextualSpacing/>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C64C0E"/>
    <w:rPr>
      <w:rFonts w:ascii="Calibri" w:eastAsia="Calibri" w:hAnsi="Calibri" w:cs="Calibri"/>
      <w:lang w:eastAsia="es-MX"/>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8.pn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infoem.org.mx/es/contenido/datos-personales" TargetMode="External"/><Relationship Id="rId14"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7.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zifjE4bw3W6iH+8e4E0q2yTLJjg==">CgMxLjAyCGguZ2pkZ3hzMgloLjQ0c2luaW8yCWguM3pueXNoNzgAciExOVY1b0ZkckgwT1VFTDFYV0FSVUVYZlJwMDZjRlpfbUI=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77</Pages>
  <Words>17176</Words>
  <Characters>94469</Characters>
  <Application>Microsoft Office Word</Application>
  <DocSecurity>0</DocSecurity>
  <Lines>787</Lines>
  <Paragraphs>222</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111423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INFOEM505</dc:creator>
  <cp:lastModifiedBy>Maricela Villagómez Martínez</cp:lastModifiedBy>
  <cp:revision>2</cp:revision>
  <cp:lastPrinted>2025-01-24T20:50:00Z</cp:lastPrinted>
  <dcterms:created xsi:type="dcterms:W3CDTF">2025-02-05T20:42:00Z</dcterms:created>
  <dcterms:modified xsi:type="dcterms:W3CDTF">2025-02-05T20:42:00Z</dcterms:modified>
</cp:coreProperties>
</file>