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C554F" w14:textId="181CB069" w:rsidR="00CD20B8" w:rsidRPr="00ED3DD9" w:rsidRDefault="00373EF6">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B090C" w:rsidRPr="00ED3DD9">
        <w:rPr>
          <w:rFonts w:ascii="Palatino Linotype" w:eastAsia="Palatino Linotype" w:hAnsi="Palatino Linotype" w:cs="Palatino Linotype"/>
          <w:b/>
        </w:rPr>
        <w:t>veinte de agosto</w:t>
      </w:r>
      <w:r w:rsidR="009D114A" w:rsidRPr="00ED3DD9">
        <w:rPr>
          <w:rFonts w:ascii="Palatino Linotype" w:eastAsia="Palatino Linotype" w:hAnsi="Palatino Linotype" w:cs="Palatino Linotype"/>
          <w:b/>
        </w:rPr>
        <w:t xml:space="preserve"> de dos ml veinticinco. </w:t>
      </w:r>
    </w:p>
    <w:p w14:paraId="35F17DFC" w14:textId="77777777" w:rsidR="00373EF6" w:rsidRPr="00ED3DD9" w:rsidRDefault="00373EF6">
      <w:pPr>
        <w:spacing w:after="0" w:line="360" w:lineRule="auto"/>
        <w:ind w:right="-112"/>
        <w:jc w:val="both"/>
        <w:rPr>
          <w:rFonts w:ascii="Palatino Linotype" w:eastAsia="Palatino Linotype" w:hAnsi="Palatino Linotype" w:cs="Palatino Linotype"/>
        </w:rPr>
      </w:pPr>
      <w:bookmarkStart w:id="0" w:name="_heading=h.30j0zll" w:colFirst="0" w:colLast="0"/>
      <w:bookmarkEnd w:id="0"/>
    </w:p>
    <w:p w14:paraId="0C7AEE90" w14:textId="43D4F65C" w:rsidR="00CD20B8" w:rsidRPr="00ED3DD9" w:rsidRDefault="00373EF6">
      <w:pPr>
        <w:spacing w:after="0" w:line="360" w:lineRule="auto"/>
        <w:ind w:right="-112"/>
        <w:jc w:val="both"/>
        <w:rPr>
          <w:rFonts w:ascii="Palatino Linotype" w:eastAsia="Palatino Linotype" w:hAnsi="Palatino Linotype" w:cs="Palatino Linotype"/>
          <w:b/>
        </w:rPr>
      </w:pPr>
      <w:r w:rsidRPr="00ED3DD9">
        <w:rPr>
          <w:rFonts w:ascii="Palatino Linotype" w:eastAsia="Palatino Linotype" w:hAnsi="Palatino Linotype" w:cs="Palatino Linotype"/>
          <w:b/>
        </w:rPr>
        <w:t xml:space="preserve">VISTOS </w:t>
      </w:r>
      <w:r w:rsidRPr="00ED3DD9">
        <w:rPr>
          <w:rFonts w:ascii="Palatino Linotype" w:eastAsia="Palatino Linotype" w:hAnsi="Palatino Linotype" w:cs="Palatino Linotype"/>
        </w:rPr>
        <w:t xml:space="preserve">los expedientes relativos a los recursos de revisión </w:t>
      </w:r>
      <w:r w:rsidR="00FE6C75" w:rsidRPr="00ED3DD9">
        <w:rPr>
          <w:rFonts w:ascii="Palatino Linotype" w:eastAsia="Palatino Linotype" w:hAnsi="Palatino Linotype" w:cs="Palatino Linotype"/>
          <w:b/>
        </w:rPr>
        <w:t>04814</w:t>
      </w:r>
      <w:r w:rsidR="00413633" w:rsidRPr="00ED3DD9">
        <w:rPr>
          <w:rFonts w:ascii="Palatino Linotype" w:eastAsia="Palatino Linotype" w:hAnsi="Palatino Linotype" w:cs="Palatino Linotype"/>
          <w:b/>
        </w:rPr>
        <w:t>/INFOEM/IP/RR/2025 y  04815</w:t>
      </w:r>
      <w:r w:rsidRPr="00ED3DD9">
        <w:rPr>
          <w:rFonts w:ascii="Palatino Linotype" w:eastAsia="Palatino Linotype" w:hAnsi="Palatino Linotype" w:cs="Palatino Linotype"/>
          <w:b/>
        </w:rPr>
        <w:t>/INFOEM/IP/RR/2025 acumulados,</w:t>
      </w:r>
      <w:r w:rsidRPr="00ED3DD9">
        <w:rPr>
          <w:rFonts w:ascii="Palatino Linotype" w:eastAsia="Palatino Linotype" w:hAnsi="Palatino Linotype" w:cs="Palatino Linotype"/>
        </w:rPr>
        <w:t xml:space="preserve"> interpuestos por</w:t>
      </w:r>
      <w:r w:rsidRPr="00ED3DD9">
        <w:rPr>
          <w:rFonts w:ascii="Palatino Linotype" w:eastAsia="Palatino Linotype" w:hAnsi="Palatino Linotype" w:cs="Palatino Linotype"/>
          <w:b/>
        </w:rPr>
        <w:t xml:space="preserve"> </w:t>
      </w:r>
      <w:r w:rsidR="00D927C4" w:rsidRPr="00D927C4">
        <w:rPr>
          <w:rFonts w:ascii="Palatino Linotype" w:eastAsia="Palatino Linotype" w:hAnsi="Palatino Linotype" w:cs="Palatino Linotype"/>
          <w:b/>
        </w:rPr>
        <w:t>XXXXX XXXXXX XXXXXXX</w:t>
      </w:r>
      <w:r w:rsidR="00D927C4">
        <w:rPr>
          <w:rFonts w:ascii="Palatino Linotype" w:eastAsia="Palatino Linotype" w:hAnsi="Palatino Linotype" w:cs="Palatino Linotype"/>
          <w:b/>
        </w:rPr>
        <w:t xml:space="preserve"> </w:t>
      </w:r>
      <w:r w:rsidRPr="00ED3DD9">
        <w:rPr>
          <w:rFonts w:ascii="Palatino Linotype" w:eastAsia="Palatino Linotype" w:hAnsi="Palatino Linotype" w:cs="Palatino Linotype"/>
        </w:rPr>
        <w:t xml:space="preserve">en lo sucesivo la parte </w:t>
      </w:r>
      <w:r w:rsidRPr="00ED3DD9">
        <w:rPr>
          <w:rFonts w:ascii="Palatino Linotype" w:eastAsia="Palatino Linotype" w:hAnsi="Palatino Linotype" w:cs="Palatino Linotype"/>
          <w:b/>
        </w:rPr>
        <w:t>Recurrente</w:t>
      </w:r>
      <w:r w:rsidRPr="00ED3DD9">
        <w:rPr>
          <w:rFonts w:ascii="Palatino Linotype" w:eastAsia="Palatino Linotype" w:hAnsi="Palatino Linotype" w:cs="Palatino Linotype"/>
        </w:rPr>
        <w:t>, en contra de las respuesta a sus solicitudes de información con números de folio</w:t>
      </w:r>
      <w:r w:rsidR="00413633" w:rsidRPr="00ED3DD9">
        <w:rPr>
          <w:rFonts w:ascii="Palatino Linotype" w:eastAsia="Palatino Linotype" w:hAnsi="Palatino Linotype" w:cs="Palatino Linotype"/>
          <w:b/>
        </w:rPr>
        <w:t xml:space="preserve">  00199</w:t>
      </w:r>
      <w:r w:rsidR="003B090C" w:rsidRPr="00ED3DD9">
        <w:rPr>
          <w:rFonts w:ascii="Palatino Linotype" w:eastAsia="Palatino Linotype" w:hAnsi="Palatino Linotype" w:cs="Palatino Linotype"/>
          <w:b/>
        </w:rPr>
        <w:t>/</w:t>
      </w:r>
      <w:r w:rsidR="00413633" w:rsidRPr="00ED3DD9">
        <w:rPr>
          <w:rFonts w:ascii="Palatino Linotype" w:eastAsia="Palatino Linotype" w:hAnsi="Palatino Linotype" w:cs="Palatino Linotype"/>
          <w:b/>
        </w:rPr>
        <w:t>ATIZARA/IP/2025 y 00200</w:t>
      </w:r>
      <w:r w:rsidRPr="00ED3DD9">
        <w:rPr>
          <w:rFonts w:ascii="Palatino Linotype" w:eastAsia="Palatino Linotype" w:hAnsi="Palatino Linotype" w:cs="Palatino Linotype"/>
          <w:b/>
        </w:rPr>
        <w:t>/</w:t>
      </w:r>
      <w:r w:rsidR="00413633" w:rsidRPr="00ED3DD9">
        <w:rPr>
          <w:rFonts w:ascii="Palatino Linotype" w:eastAsia="Palatino Linotype" w:hAnsi="Palatino Linotype" w:cs="Palatino Linotype"/>
          <w:b/>
        </w:rPr>
        <w:t>ATIZARA</w:t>
      </w:r>
      <w:r w:rsidRPr="00ED3DD9">
        <w:rPr>
          <w:rFonts w:ascii="Palatino Linotype" w:eastAsia="Palatino Linotype" w:hAnsi="Palatino Linotype" w:cs="Palatino Linotype"/>
          <w:b/>
        </w:rPr>
        <w:t xml:space="preserve">/IP/2025, </w:t>
      </w:r>
      <w:r w:rsidRPr="00ED3DD9">
        <w:rPr>
          <w:rFonts w:ascii="Palatino Linotype" w:eastAsia="Palatino Linotype" w:hAnsi="Palatino Linotype" w:cs="Palatino Linotype"/>
        </w:rPr>
        <w:t>respectivamente, por parte del</w:t>
      </w:r>
      <w:r w:rsidRPr="00ED3DD9">
        <w:rPr>
          <w:rFonts w:ascii="Palatino Linotype" w:hAnsi="Palatino Linotype"/>
        </w:rPr>
        <w:t xml:space="preserve"> </w:t>
      </w:r>
      <w:r w:rsidR="003B090C" w:rsidRPr="00ED3DD9">
        <w:rPr>
          <w:rFonts w:ascii="Palatino Linotype" w:eastAsia="Palatino Linotype" w:hAnsi="Palatino Linotype" w:cs="Palatino Linotype"/>
          <w:b/>
        </w:rPr>
        <w:t xml:space="preserve">Ayuntamiento de </w:t>
      </w:r>
      <w:r w:rsidR="00413633" w:rsidRPr="00ED3DD9">
        <w:rPr>
          <w:rFonts w:ascii="Palatino Linotype" w:eastAsia="Palatino Linotype" w:hAnsi="Palatino Linotype" w:cs="Palatino Linotype"/>
          <w:b/>
        </w:rPr>
        <w:t>Atizapán de Zaragoza</w:t>
      </w:r>
      <w:r w:rsidR="009D114A" w:rsidRPr="00ED3DD9">
        <w:rPr>
          <w:rFonts w:ascii="Palatino Linotype" w:eastAsia="Palatino Linotype" w:hAnsi="Palatino Linotype" w:cs="Palatino Linotype"/>
          <w:b/>
        </w:rPr>
        <w:t>,</w:t>
      </w:r>
      <w:r w:rsidRPr="00ED3DD9">
        <w:rPr>
          <w:rFonts w:ascii="Palatino Linotype" w:eastAsia="Palatino Linotype" w:hAnsi="Palatino Linotype" w:cs="Palatino Linotype"/>
          <w:b/>
        </w:rPr>
        <w:t xml:space="preserve"> </w:t>
      </w:r>
      <w:r w:rsidRPr="00ED3DD9">
        <w:rPr>
          <w:rFonts w:ascii="Palatino Linotype" w:eastAsia="Palatino Linotype" w:hAnsi="Palatino Linotype" w:cs="Palatino Linotype"/>
        </w:rPr>
        <w:t xml:space="preserve">en lo sucesivo el </w:t>
      </w:r>
      <w:r w:rsidRPr="00ED3DD9">
        <w:rPr>
          <w:rFonts w:ascii="Palatino Linotype" w:eastAsia="Palatino Linotype" w:hAnsi="Palatino Linotype" w:cs="Palatino Linotype"/>
          <w:b/>
        </w:rPr>
        <w:t xml:space="preserve">Sujeto Obligado; </w:t>
      </w:r>
      <w:r w:rsidRPr="00ED3DD9">
        <w:rPr>
          <w:rFonts w:ascii="Palatino Linotype" w:eastAsia="Palatino Linotype" w:hAnsi="Palatino Linotype" w:cs="Palatino Linotype"/>
        </w:rPr>
        <w:t xml:space="preserve">se procede a dictar la presente resolución, con base en lo siguiente. </w:t>
      </w:r>
    </w:p>
    <w:p w14:paraId="631EBEC3" w14:textId="77777777" w:rsidR="00CD20B8" w:rsidRPr="00ED3DD9" w:rsidRDefault="00CD20B8">
      <w:pPr>
        <w:spacing w:after="0" w:line="360" w:lineRule="auto"/>
        <w:ind w:right="-112"/>
        <w:jc w:val="both"/>
        <w:rPr>
          <w:rFonts w:ascii="Palatino Linotype" w:eastAsia="Palatino Linotype" w:hAnsi="Palatino Linotype" w:cs="Palatino Linotype"/>
        </w:rPr>
      </w:pPr>
    </w:p>
    <w:p w14:paraId="005F130F" w14:textId="77777777" w:rsidR="00CD20B8" w:rsidRPr="00ED3DD9" w:rsidRDefault="00373EF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ED3DD9">
        <w:rPr>
          <w:rFonts w:ascii="Palatino Linotype" w:eastAsia="Palatino Linotype" w:hAnsi="Palatino Linotype" w:cs="Palatino Linotype"/>
          <w:b/>
        </w:rPr>
        <w:t>I. A N T E C E D E N T E S:</w:t>
      </w:r>
    </w:p>
    <w:p w14:paraId="5A6AD32E" w14:textId="77777777" w:rsidR="00CD20B8" w:rsidRPr="00ED3DD9" w:rsidRDefault="00CD20B8">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4F347669" w14:textId="2EDE8DCD" w:rsidR="00CD20B8" w:rsidRPr="00ED3DD9" w:rsidRDefault="00373EF6">
      <w:pPr>
        <w:numPr>
          <w:ilvl w:val="0"/>
          <w:numId w:val="2"/>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color w:val="000000"/>
        </w:rPr>
      </w:pPr>
      <w:bookmarkStart w:id="1" w:name="_heading=h.2et92p0" w:colFirst="0" w:colLast="0"/>
      <w:bookmarkEnd w:id="1"/>
      <w:r w:rsidRPr="00ED3DD9">
        <w:rPr>
          <w:rFonts w:ascii="Palatino Linotype" w:eastAsia="Palatino Linotype" w:hAnsi="Palatino Linotype" w:cs="Palatino Linotype"/>
          <w:b/>
          <w:color w:val="000000"/>
        </w:rPr>
        <w:t>Solicitudes de acceso a la información.</w:t>
      </w:r>
      <w:r w:rsidRPr="00ED3DD9">
        <w:rPr>
          <w:rFonts w:ascii="Palatino Linotype" w:eastAsia="Palatino Linotype" w:hAnsi="Palatino Linotype" w:cs="Palatino Linotype"/>
          <w:color w:val="000000"/>
        </w:rPr>
        <w:t xml:space="preserve"> Con fechas </w:t>
      </w:r>
      <w:r w:rsidR="003B090C" w:rsidRPr="00ED3DD9">
        <w:rPr>
          <w:rFonts w:ascii="Palatino Linotype" w:eastAsia="Palatino Linotype" w:hAnsi="Palatino Linotype" w:cs="Palatino Linotype"/>
          <w:b/>
          <w:color w:val="000000"/>
        </w:rPr>
        <w:t>veintisiete de marzo</w:t>
      </w:r>
      <w:r w:rsidRPr="00ED3DD9">
        <w:rPr>
          <w:rFonts w:ascii="Palatino Linotype" w:eastAsia="Palatino Linotype" w:hAnsi="Palatino Linotype" w:cs="Palatino Linotype"/>
          <w:b/>
          <w:color w:val="000000"/>
        </w:rPr>
        <w:t xml:space="preserve"> de dos mil veinticinco, </w:t>
      </w:r>
      <w:r w:rsidRPr="00ED3DD9">
        <w:rPr>
          <w:rFonts w:ascii="Palatino Linotype" w:eastAsia="Palatino Linotype" w:hAnsi="Palatino Linotype" w:cs="Palatino Linotype"/>
          <w:color w:val="000000"/>
        </w:rPr>
        <w:t>la persona solicitante</w:t>
      </w:r>
      <w:r w:rsidRPr="00ED3DD9">
        <w:rPr>
          <w:rFonts w:ascii="Palatino Linotype" w:eastAsia="Palatino Linotype" w:hAnsi="Palatino Linotype" w:cs="Palatino Linotype"/>
          <w:b/>
          <w:color w:val="000000"/>
        </w:rPr>
        <w:t xml:space="preserve"> </w:t>
      </w:r>
      <w:r w:rsidRPr="00ED3DD9">
        <w:rPr>
          <w:rFonts w:ascii="Palatino Linotype" w:eastAsia="Palatino Linotype" w:hAnsi="Palatino Linotype" w:cs="Palatino Linotype"/>
          <w:color w:val="000000"/>
        </w:rPr>
        <w:t xml:space="preserve">presentó, a través del Sistema de Acceso a la Información Mexiquense, en lo subsecuente </w:t>
      </w:r>
      <w:r w:rsidRPr="00ED3DD9">
        <w:rPr>
          <w:rFonts w:ascii="Palatino Linotype" w:eastAsia="Palatino Linotype" w:hAnsi="Palatino Linotype" w:cs="Palatino Linotype"/>
          <w:b/>
          <w:color w:val="000000"/>
        </w:rPr>
        <w:t xml:space="preserve">SAIMEX, </w:t>
      </w:r>
      <w:r w:rsidRPr="00ED3DD9">
        <w:rPr>
          <w:rFonts w:ascii="Palatino Linotype" w:eastAsia="Palatino Linotype" w:hAnsi="Palatino Linotype" w:cs="Palatino Linotype"/>
          <w:color w:val="000000"/>
        </w:rPr>
        <w:t xml:space="preserve">ante el </w:t>
      </w:r>
      <w:r w:rsidRPr="00ED3DD9">
        <w:rPr>
          <w:rFonts w:ascii="Palatino Linotype" w:eastAsia="Palatino Linotype" w:hAnsi="Palatino Linotype" w:cs="Palatino Linotype"/>
          <w:b/>
          <w:color w:val="000000"/>
        </w:rPr>
        <w:t>Sujeto Obligado</w:t>
      </w:r>
      <w:r w:rsidRPr="00ED3DD9">
        <w:rPr>
          <w:rFonts w:ascii="Palatino Linotype" w:eastAsia="Palatino Linotype" w:hAnsi="Palatino Linotype" w:cs="Palatino Linotype"/>
          <w:color w:val="000000"/>
        </w:rPr>
        <w:t>, las solicitudes de acceso a la información pública, mediante las cuales requirió la información siguiente:</w:t>
      </w:r>
    </w:p>
    <w:p w14:paraId="2AAF752F" w14:textId="77777777" w:rsidR="00CD20B8" w:rsidRPr="00ED3DD9" w:rsidRDefault="00CD20B8">
      <w:pPr>
        <w:pBdr>
          <w:top w:val="nil"/>
          <w:left w:val="nil"/>
          <w:bottom w:val="nil"/>
          <w:right w:val="nil"/>
          <w:between w:val="nil"/>
        </w:pBdr>
        <w:tabs>
          <w:tab w:val="left" w:pos="567"/>
        </w:tabs>
        <w:spacing w:after="0" w:line="360" w:lineRule="auto"/>
        <w:jc w:val="center"/>
        <w:rPr>
          <w:rFonts w:ascii="Palatino Linotype" w:eastAsia="Palatino Linotype" w:hAnsi="Palatino Linotype" w:cs="Palatino Linotype"/>
          <w:color w:val="000000"/>
        </w:rPr>
      </w:pPr>
    </w:p>
    <w:tbl>
      <w:tblPr>
        <w:tblStyle w:val="af0"/>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1"/>
      </w:tblGrid>
      <w:tr w:rsidR="00CD20B8" w:rsidRPr="00ED3DD9" w14:paraId="5BB062C4" w14:textId="77777777">
        <w:tc>
          <w:tcPr>
            <w:tcW w:w="3114" w:type="dxa"/>
            <w:shd w:val="clear" w:color="auto" w:fill="D0CECE"/>
          </w:tcPr>
          <w:p w14:paraId="282F5A27" w14:textId="78080133" w:rsidR="00CD20B8" w:rsidRPr="00ED3DD9" w:rsidRDefault="000050D3" w:rsidP="000050D3">
            <w:pPr>
              <w:tabs>
                <w:tab w:val="right" w:pos="2898"/>
              </w:tabs>
              <w:jc w:val="center"/>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 xml:space="preserve">Solicitud de Información </w:t>
            </w:r>
          </w:p>
        </w:tc>
        <w:tc>
          <w:tcPr>
            <w:tcW w:w="5941" w:type="dxa"/>
            <w:shd w:val="clear" w:color="auto" w:fill="D0CECE"/>
          </w:tcPr>
          <w:p w14:paraId="3BA247FC" w14:textId="4BCEB316" w:rsidR="00CD20B8" w:rsidRPr="00ED3DD9" w:rsidRDefault="000050D3">
            <w:pPr>
              <w:jc w:val="center"/>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Requerimiento</w:t>
            </w:r>
          </w:p>
        </w:tc>
      </w:tr>
      <w:tr w:rsidR="00CD20B8" w:rsidRPr="00ED3DD9" w14:paraId="286A1E54" w14:textId="77777777">
        <w:tc>
          <w:tcPr>
            <w:tcW w:w="3114" w:type="dxa"/>
          </w:tcPr>
          <w:p w14:paraId="18C9D957" w14:textId="63C7C8F8" w:rsidR="00CD20B8" w:rsidRPr="00ED3DD9" w:rsidRDefault="00413633" w:rsidP="003B090C">
            <w:pPr>
              <w:tabs>
                <w:tab w:val="right" w:pos="2898"/>
              </w:tabs>
              <w:jc w:val="both"/>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00199/ATIZARA/IP/2025</w:t>
            </w:r>
            <w:r w:rsidR="00373EF6" w:rsidRPr="00ED3DD9">
              <w:rPr>
                <w:rFonts w:ascii="Palatino Linotype" w:eastAsia="Palatino Linotype" w:hAnsi="Palatino Linotype" w:cs="Palatino Linotype"/>
                <w:b/>
                <w:sz w:val="20"/>
              </w:rPr>
              <w:tab/>
            </w:r>
          </w:p>
        </w:tc>
        <w:tc>
          <w:tcPr>
            <w:tcW w:w="5941" w:type="dxa"/>
          </w:tcPr>
          <w:p w14:paraId="12A393CF" w14:textId="2F098B10" w:rsidR="00CD20B8" w:rsidRPr="00ED3DD9" w:rsidRDefault="00413633">
            <w:pPr>
              <w:jc w:val="both"/>
              <w:rPr>
                <w:rFonts w:ascii="Palatino Linotype" w:eastAsia="Palatino Linotype" w:hAnsi="Palatino Linotype" w:cs="Palatino Linotype"/>
                <w:sz w:val="20"/>
              </w:rPr>
            </w:pPr>
            <w:r w:rsidRPr="00ED3DD9">
              <w:rPr>
                <w:rFonts w:ascii="Palatino Linotype" w:eastAsia="Palatino Linotype" w:hAnsi="Palatino Linotype" w:cs="Palatino Linotype"/>
                <w:sz w:val="20"/>
              </w:rPr>
              <w:t xml:space="preserve">solicito copia simple digitalizada a través del sistema electrónico </w:t>
            </w:r>
            <w:proofErr w:type="spellStart"/>
            <w:r w:rsidRPr="00ED3DD9">
              <w:rPr>
                <w:rFonts w:ascii="Palatino Linotype" w:eastAsia="Palatino Linotype" w:hAnsi="Palatino Linotype" w:cs="Palatino Linotype"/>
                <w:sz w:val="20"/>
              </w:rPr>
              <w:t>saimex</w:t>
            </w:r>
            <w:proofErr w:type="spellEnd"/>
            <w:r w:rsidRPr="00ED3DD9">
              <w:rPr>
                <w:rFonts w:ascii="Palatino Linotype" w:eastAsia="Palatino Linotype" w:hAnsi="Palatino Linotype" w:cs="Palatino Linotype"/>
                <w:sz w:val="20"/>
              </w:rPr>
              <w:t xml:space="preserve"> de los comprobantes de todos los pagos realizados mediante transferencia electrónica por la tesorería municipal durante el mes de febrero de 2025</w:t>
            </w:r>
            <w:r w:rsidR="003B090C" w:rsidRPr="00ED3DD9">
              <w:rPr>
                <w:rFonts w:ascii="Palatino Linotype" w:eastAsia="Palatino Linotype" w:hAnsi="Palatino Linotype" w:cs="Palatino Linotype"/>
                <w:sz w:val="20"/>
              </w:rPr>
              <w:t>.</w:t>
            </w:r>
          </w:p>
        </w:tc>
      </w:tr>
      <w:tr w:rsidR="00CD20B8" w:rsidRPr="00ED3DD9" w14:paraId="05385E55" w14:textId="77777777">
        <w:tc>
          <w:tcPr>
            <w:tcW w:w="3114" w:type="dxa"/>
          </w:tcPr>
          <w:p w14:paraId="0A1A43DA" w14:textId="6580D810" w:rsidR="00CD20B8" w:rsidRPr="00ED3DD9" w:rsidRDefault="00413633" w:rsidP="000050D3">
            <w:pPr>
              <w:jc w:val="both"/>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00200/ATIZARA/IP/2025</w:t>
            </w:r>
          </w:p>
        </w:tc>
        <w:tc>
          <w:tcPr>
            <w:tcW w:w="5941" w:type="dxa"/>
          </w:tcPr>
          <w:p w14:paraId="2CA9B2AD" w14:textId="109333F7" w:rsidR="00CD20B8" w:rsidRPr="00ED3DD9" w:rsidRDefault="00413633" w:rsidP="009D114A">
            <w:pPr>
              <w:jc w:val="both"/>
              <w:rPr>
                <w:rFonts w:ascii="Palatino Linotype" w:hAnsi="Palatino Linotype"/>
                <w:sz w:val="20"/>
              </w:rPr>
            </w:pPr>
            <w:r w:rsidRPr="00ED3DD9">
              <w:rPr>
                <w:rFonts w:ascii="Palatino Linotype" w:hAnsi="Palatino Linotype"/>
                <w:sz w:val="20"/>
              </w:rPr>
              <w:t xml:space="preserve">solicito copia simple digitalizada a través del sistema electrónico </w:t>
            </w:r>
            <w:proofErr w:type="spellStart"/>
            <w:r w:rsidRPr="00ED3DD9">
              <w:rPr>
                <w:rFonts w:ascii="Palatino Linotype" w:hAnsi="Palatino Linotype"/>
                <w:sz w:val="20"/>
              </w:rPr>
              <w:t>saimex</w:t>
            </w:r>
            <w:proofErr w:type="spellEnd"/>
            <w:r w:rsidRPr="00ED3DD9">
              <w:rPr>
                <w:rFonts w:ascii="Palatino Linotype" w:hAnsi="Palatino Linotype"/>
                <w:sz w:val="20"/>
              </w:rPr>
              <w:t xml:space="preserve"> de los comprobantes en </w:t>
            </w:r>
            <w:proofErr w:type="spellStart"/>
            <w:r w:rsidRPr="00ED3DD9">
              <w:rPr>
                <w:rFonts w:ascii="Palatino Linotype" w:hAnsi="Palatino Linotype"/>
                <w:sz w:val="20"/>
              </w:rPr>
              <w:t>version</w:t>
            </w:r>
            <w:proofErr w:type="spellEnd"/>
            <w:r w:rsidRPr="00ED3DD9">
              <w:rPr>
                <w:rFonts w:ascii="Palatino Linotype" w:hAnsi="Palatino Linotype"/>
                <w:sz w:val="20"/>
              </w:rPr>
              <w:t xml:space="preserve"> pública de todos los pagos realizados a particulares a </w:t>
            </w:r>
            <w:proofErr w:type="spellStart"/>
            <w:r w:rsidRPr="00ED3DD9">
              <w:rPr>
                <w:rFonts w:ascii="Palatino Linotype" w:hAnsi="Palatino Linotype"/>
                <w:sz w:val="20"/>
              </w:rPr>
              <w:t>tarves</w:t>
            </w:r>
            <w:proofErr w:type="spellEnd"/>
            <w:r w:rsidRPr="00ED3DD9">
              <w:rPr>
                <w:rFonts w:ascii="Palatino Linotype" w:hAnsi="Palatino Linotype"/>
                <w:sz w:val="20"/>
              </w:rPr>
              <w:t xml:space="preserve"> de cheque o transferencia electrónica correspondientes a las partidas 3611 y 3612 del presupuesto de egresos correspondientes al ejercicio fiscal 2024</w:t>
            </w:r>
            <w:r w:rsidR="000050D3" w:rsidRPr="00ED3DD9">
              <w:rPr>
                <w:rFonts w:ascii="Palatino Linotype" w:eastAsia="Palatino Linotype" w:hAnsi="Palatino Linotype" w:cs="Palatino Linotype"/>
                <w:sz w:val="20"/>
              </w:rPr>
              <w:t>.</w:t>
            </w:r>
          </w:p>
        </w:tc>
      </w:tr>
    </w:tbl>
    <w:p w14:paraId="7A3D4CE4" w14:textId="77777777" w:rsidR="00413633" w:rsidRPr="00ED3DD9" w:rsidRDefault="00413633">
      <w:pPr>
        <w:spacing w:after="0" w:line="240" w:lineRule="auto"/>
        <w:ind w:right="560"/>
        <w:jc w:val="both"/>
        <w:rPr>
          <w:rFonts w:ascii="Palatino Linotype" w:eastAsia="Palatino Linotype" w:hAnsi="Palatino Linotype" w:cs="Palatino Linotype"/>
          <w:b/>
        </w:rPr>
      </w:pPr>
    </w:p>
    <w:p w14:paraId="14439FDA" w14:textId="77777777" w:rsidR="00CD20B8" w:rsidRPr="00ED3DD9" w:rsidRDefault="00373EF6">
      <w:pPr>
        <w:spacing w:after="0" w:line="240" w:lineRule="auto"/>
        <w:ind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 xml:space="preserve">Modalidad elegida para la entrega de la información: </w:t>
      </w:r>
      <w:r w:rsidRPr="00ED3DD9">
        <w:rPr>
          <w:rFonts w:ascii="Palatino Linotype" w:eastAsia="Palatino Linotype" w:hAnsi="Palatino Linotype" w:cs="Palatino Linotype"/>
        </w:rPr>
        <w:t>a través del SAIMEX.</w:t>
      </w:r>
    </w:p>
    <w:p w14:paraId="01582D5D" w14:textId="77777777" w:rsidR="00CD20B8" w:rsidRPr="00ED3DD9" w:rsidRDefault="00CD20B8">
      <w:pPr>
        <w:spacing w:after="0" w:line="360" w:lineRule="auto"/>
        <w:jc w:val="both"/>
        <w:rPr>
          <w:rFonts w:ascii="Palatino Linotype" w:eastAsia="Palatino Linotype" w:hAnsi="Palatino Linotype" w:cs="Palatino Linotype"/>
          <w:b/>
          <w:color w:val="000000"/>
        </w:rPr>
      </w:pPr>
    </w:p>
    <w:p w14:paraId="2ED100FC" w14:textId="3103B537" w:rsidR="00CD20B8" w:rsidRPr="00ED3DD9" w:rsidRDefault="00373EF6">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 xml:space="preserve">Respuestas. </w:t>
      </w:r>
      <w:r w:rsidRPr="00ED3DD9">
        <w:rPr>
          <w:rFonts w:ascii="Palatino Linotype" w:eastAsia="Palatino Linotype" w:hAnsi="Palatino Linotype" w:cs="Palatino Linotype"/>
          <w:color w:val="000000"/>
        </w:rPr>
        <w:t xml:space="preserve">Con fecha </w:t>
      </w:r>
      <w:r w:rsidR="00413633" w:rsidRPr="00ED3DD9">
        <w:rPr>
          <w:rFonts w:ascii="Palatino Linotype" w:eastAsia="Palatino Linotype" w:hAnsi="Palatino Linotype" w:cs="Palatino Linotype"/>
          <w:b/>
          <w:color w:val="000000"/>
        </w:rPr>
        <w:t>veinticinco</w:t>
      </w:r>
      <w:r w:rsidR="003B090C" w:rsidRPr="00ED3DD9">
        <w:rPr>
          <w:rFonts w:ascii="Palatino Linotype" w:eastAsia="Palatino Linotype" w:hAnsi="Palatino Linotype" w:cs="Palatino Linotype"/>
          <w:b/>
          <w:color w:val="000000"/>
        </w:rPr>
        <w:t xml:space="preserve"> de abril</w:t>
      </w:r>
      <w:r w:rsidRPr="00ED3DD9">
        <w:rPr>
          <w:rFonts w:ascii="Palatino Linotype" w:eastAsia="Palatino Linotype" w:hAnsi="Palatino Linotype" w:cs="Palatino Linotype"/>
          <w:b/>
          <w:color w:val="000000"/>
        </w:rPr>
        <w:t xml:space="preserve"> de dos mil veinticinco</w:t>
      </w:r>
      <w:r w:rsidRPr="00ED3DD9">
        <w:rPr>
          <w:rFonts w:ascii="Palatino Linotype" w:eastAsia="Palatino Linotype" w:hAnsi="Palatino Linotype" w:cs="Palatino Linotype"/>
          <w:color w:val="000000"/>
        </w:rPr>
        <w:t xml:space="preserve">, el </w:t>
      </w:r>
      <w:r w:rsidRPr="00ED3DD9">
        <w:rPr>
          <w:rFonts w:ascii="Palatino Linotype" w:eastAsia="Palatino Linotype" w:hAnsi="Palatino Linotype" w:cs="Palatino Linotype"/>
          <w:b/>
          <w:color w:val="000000"/>
        </w:rPr>
        <w:t xml:space="preserve">Sujeto Obligado </w:t>
      </w:r>
      <w:r w:rsidRPr="00ED3DD9">
        <w:rPr>
          <w:rFonts w:ascii="Palatino Linotype" w:eastAsia="Palatino Linotype" w:hAnsi="Palatino Linotype" w:cs="Palatino Linotype"/>
          <w:color w:val="000000"/>
        </w:rPr>
        <w:t>envió sus respuestas a las solicitudes de acceso a la información a través de SAIMEX, sustancialmente en los términos siguientes:</w:t>
      </w:r>
    </w:p>
    <w:p w14:paraId="211EB4DD" w14:textId="77777777" w:rsidR="00CD20B8" w:rsidRPr="00ED3DD9" w:rsidRDefault="00CD20B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tbl>
      <w:tblPr>
        <w:tblStyle w:val="af0"/>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08"/>
      </w:tblGrid>
      <w:tr w:rsidR="000050D3" w:rsidRPr="00ED3DD9" w14:paraId="1C3ED74C" w14:textId="77777777" w:rsidTr="000050D3">
        <w:tc>
          <w:tcPr>
            <w:tcW w:w="2547" w:type="dxa"/>
            <w:shd w:val="clear" w:color="auto" w:fill="D0CECE"/>
          </w:tcPr>
          <w:p w14:paraId="4E896488" w14:textId="77777777" w:rsidR="000050D3" w:rsidRPr="00ED3DD9" w:rsidRDefault="000050D3" w:rsidP="000050D3">
            <w:pPr>
              <w:tabs>
                <w:tab w:val="right" w:pos="2898"/>
              </w:tabs>
              <w:jc w:val="center"/>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 xml:space="preserve">Solicitud de Información </w:t>
            </w:r>
          </w:p>
        </w:tc>
        <w:tc>
          <w:tcPr>
            <w:tcW w:w="6508" w:type="dxa"/>
            <w:shd w:val="clear" w:color="auto" w:fill="D0CECE"/>
          </w:tcPr>
          <w:p w14:paraId="07E2A0C8" w14:textId="16AD45E8" w:rsidR="000050D3" w:rsidRPr="00ED3DD9" w:rsidRDefault="000050D3" w:rsidP="000050D3">
            <w:pPr>
              <w:jc w:val="center"/>
              <w:rPr>
                <w:rFonts w:ascii="Palatino Linotype" w:eastAsia="Palatino Linotype" w:hAnsi="Palatino Linotype" w:cs="Palatino Linotype"/>
                <w:b/>
                <w:sz w:val="20"/>
              </w:rPr>
            </w:pPr>
            <w:r w:rsidRPr="00ED3DD9">
              <w:rPr>
                <w:rFonts w:ascii="Palatino Linotype" w:eastAsia="Palatino Linotype" w:hAnsi="Palatino Linotype" w:cs="Palatino Linotype"/>
                <w:b/>
                <w:sz w:val="20"/>
              </w:rPr>
              <w:t>Respuesta</w:t>
            </w:r>
          </w:p>
        </w:tc>
      </w:tr>
      <w:tr w:rsidR="000050D3" w:rsidRPr="00ED3DD9" w14:paraId="3652767A" w14:textId="77777777" w:rsidTr="000050D3">
        <w:trPr>
          <w:trHeight w:val="1031"/>
        </w:trPr>
        <w:tc>
          <w:tcPr>
            <w:tcW w:w="2547" w:type="dxa"/>
          </w:tcPr>
          <w:p w14:paraId="31D652C1" w14:textId="544E7EE8" w:rsidR="000050D3" w:rsidRPr="00ED3DD9" w:rsidRDefault="00413633" w:rsidP="000050D3">
            <w:pPr>
              <w:tabs>
                <w:tab w:val="right" w:pos="2898"/>
              </w:tabs>
              <w:jc w:val="both"/>
              <w:rPr>
                <w:rFonts w:ascii="Palatino Linotype" w:eastAsia="Palatino Linotype" w:hAnsi="Palatino Linotype" w:cs="Palatino Linotype"/>
                <w:b/>
                <w:sz w:val="18"/>
              </w:rPr>
            </w:pPr>
            <w:r w:rsidRPr="00ED3DD9">
              <w:rPr>
                <w:rFonts w:ascii="Palatino Linotype" w:eastAsia="Palatino Linotype" w:hAnsi="Palatino Linotype" w:cs="Palatino Linotype"/>
                <w:b/>
                <w:sz w:val="20"/>
              </w:rPr>
              <w:t>00199/ATIZARA/IP/2025</w:t>
            </w:r>
            <w:r w:rsidR="000050D3" w:rsidRPr="00ED3DD9">
              <w:rPr>
                <w:rFonts w:ascii="Palatino Linotype" w:eastAsia="Palatino Linotype" w:hAnsi="Palatino Linotype" w:cs="Palatino Linotype"/>
                <w:b/>
                <w:sz w:val="18"/>
              </w:rPr>
              <w:tab/>
            </w:r>
          </w:p>
        </w:tc>
        <w:tc>
          <w:tcPr>
            <w:tcW w:w="6508" w:type="dxa"/>
          </w:tcPr>
          <w:p w14:paraId="06318F48" w14:textId="0FEAD289" w:rsidR="000050D3" w:rsidRPr="00ED3DD9" w:rsidRDefault="00413633" w:rsidP="00B80A92">
            <w:pPr>
              <w:pStyle w:val="Prrafodelista"/>
              <w:numPr>
                <w:ilvl w:val="0"/>
                <w:numId w:val="14"/>
              </w:numPr>
              <w:jc w:val="both"/>
              <w:rPr>
                <w:rFonts w:ascii="Palatino Linotype" w:eastAsia="Palatino Linotype" w:hAnsi="Palatino Linotype" w:cs="Palatino Linotype"/>
                <w:sz w:val="20"/>
              </w:rPr>
            </w:pPr>
            <w:r w:rsidRPr="00ED3DD9">
              <w:rPr>
                <w:rFonts w:ascii="Palatino Linotype" w:eastAsia="Palatino Linotype" w:hAnsi="Palatino Linotype" w:cs="Palatino Linotype"/>
                <w:sz w:val="20"/>
              </w:rPr>
              <w:t>Oficio de fecha uno de abril de dos mil veinticinco, signado por el Tesorero Municipal, quien refiere que la información se encuentra en trámite de su generación pues se trata de información del mes de febrero de dos mil veinticinco</w:t>
            </w:r>
            <w:r w:rsidR="00D767AA" w:rsidRPr="00ED3DD9">
              <w:rPr>
                <w:rFonts w:ascii="Palatino Linotype" w:eastAsia="Palatino Linotype" w:hAnsi="Palatino Linotype" w:cs="Palatino Linotype"/>
                <w:sz w:val="20"/>
              </w:rPr>
              <w:t xml:space="preserve">, para su integración y organización se requiere una serie de procedimientos internos, aunado a que esto implica un número significativos de días y horas, lo que obstaculiza la realización de otras actividades. </w:t>
            </w:r>
          </w:p>
        </w:tc>
      </w:tr>
      <w:tr w:rsidR="000050D3" w:rsidRPr="00ED3DD9" w14:paraId="3C8E6E95" w14:textId="77777777" w:rsidTr="000050D3">
        <w:tc>
          <w:tcPr>
            <w:tcW w:w="2547" w:type="dxa"/>
          </w:tcPr>
          <w:p w14:paraId="1497FE70" w14:textId="6BF230D1" w:rsidR="000050D3" w:rsidRPr="00ED3DD9" w:rsidRDefault="00413633" w:rsidP="000050D3">
            <w:pPr>
              <w:jc w:val="both"/>
              <w:rPr>
                <w:rFonts w:ascii="Palatino Linotype" w:eastAsia="Palatino Linotype" w:hAnsi="Palatino Linotype" w:cs="Palatino Linotype"/>
                <w:b/>
                <w:sz w:val="18"/>
              </w:rPr>
            </w:pPr>
            <w:r w:rsidRPr="00ED3DD9">
              <w:rPr>
                <w:rFonts w:ascii="Palatino Linotype" w:eastAsia="Palatino Linotype" w:hAnsi="Palatino Linotype" w:cs="Palatino Linotype"/>
                <w:b/>
                <w:sz w:val="20"/>
              </w:rPr>
              <w:t>00200/ATIZARA/IP/2025</w:t>
            </w:r>
          </w:p>
        </w:tc>
        <w:tc>
          <w:tcPr>
            <w:tcW w:w="6508" w:type="dxa"/>
          </w:tcPr>
          <w:p w14:paraId="2608D98B" w14:textId="5C84FFB0" w:rsidR="003B090C" w:rsidRPr="00ED3DD9" w:rsidRDefault="00D767AA" w:rsidP="00221B1F">
            <w:pPr>
              <w:pStyle w:val="Prrafodelista"/>
              <w:numPr>
                <w:ilvl w:val="0"/>
                <w:numId w:val="14"/>
              </w:numPr>
              <w:jc w:val="both"/>
              <w:rPr>
                <w:rFonts w:ascii="Palatino Linotype" w:eastAsia="Palatino Linotype" w:hAnsi="Palatino Linotype" w:cs="Palatino Linotype"/>
                <w:sz w:val="20"/>
              </w:rPr>
            </w:pPr>
            <w:r w:rsidRPr="00ED3DD9">
              <w:rPr>
                <w:rFonts w:ascii="Palatino Linotype" w:eastAsia="Palatino Linotype" w:hAnsi="Palatino Linotype" w:cs="Palatino Linotype"/>
                <w:sz w:val="20"/>
              </w:rPr>
              <w:t xml:space="preserve">Oficio de fecha treinta y uno de marzo de dos mil veinticinco, signado por el Tesorero Municipal, mediante el cual refiere que la información solicitada se encuentra publicada </w:t>
            </w:r>
            <w:r w:rsidR="00C14CCE" w:rsidRPr="00ED3DD9">
              <w:rPr>
                <w:rFonts w:ascii="Palatino Linotype" w:eastAsia="Palatino Linotype" w:hAnsi="Palatino Linotype" w:cs="Palatino Linotype"/>
                <w:sz w:val="20"/>
              </w:rPr>
              <w:t xml:space="preserve">en una liga electrónica, la cual se encuentra en formato cerrado. </w:t>
            </w:r>
          </w:p>
        </w:tc>
      </w:tr>
    </w:tbl>
    <w:p w14:paraId="465E70E0" w14:textId="77777777" w:rsidR="00CD20B8" w:rsidRPr="00ED3DD9" w:rsidRDefault="00CD20B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
          <w:color w:val="000000"/>
        </w:rPr>
      </w:pPr>
    </w:p>
    <w:p w14:paraId="301D1239" w14:textId="2D917CB0" w:rsidR="00CD20B8" w:rsidRPr="00ED3DD9" w:rsidRDefault="00373EF6">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rPr>
      </w:pPr>
      <w:bookmarkStart w:id="2" w:name="_heading=h.gjdgxs" w:colFirst="0" w:colLast="0"/>
      <w:bookmarkEnd w:id="2"/>
      <w:r w:rsidRPr="00ED3DD9">
        <w:rPr>
          <w:rFonts w:ascii="Palatino Linotype" w:eastAsia="Palatino Linotype" w:hAnsi="Palatino Linotype" w:cs="Palatino Linotype"/>
          <w:b/>
          <w:color w:val="000000"/>
        </w:rPr>
        <w:t xml:space="preserve">Interposición de los recursos de revisión. </w:t>
      </w:r>
      <w:r w:rsidRPr="00ED3DD9">
        <w:rPr>
          <w:rFonts w:ascii="Palatino Linotype" w:eastAsia="Palatino Linotype" w:hAnsi="Palatino Linotype" w:cs="Palatino Linotype"/>
          <w:color w:val="000000"/>
        </w:rPr>
        <w:t xml:space="preserve">Inconforme la persona solicitante con las respuestas emitidas por el </w:t>
      </w:r>
      <w:r w:rsidRPr="00ED3DD9">
        <w:rPr>
          <w:rFonts w:ascii="Palatino Linotype" w:eastAsia="Palatino Linotype" w:hAnsi="Palatino Linotype" w:cs="Palatino Linotype"/>
          <w:b/>
          <w:color w:val="000000"/>
        </w:rPr>
        <w:t xml:space="preserve">Sujeto Obligado </w:t>
      </w:r>
      <w:r w:rsidRPr="00ED3DD9">
        <w:rPr>
          <w:rFonts w:ascii="Palatino Linotype" w:eastAsia="Palatino Linotype" w:hAnsi="Palatino Linotype" w:cs="Palatino Linotype"/>
          <w:color w:val="000000"/>
        </w:rPr>
        <w:t xml:space="preserve">a sus solicitudes, en fecha </w:t>
      </w:r>
      <w:r w:rsidR="00C14CCE" w:rsidRPr="00ED3DD9">
        <w:rPr>
          <w:rFonts w:ascii="Palatino Linotype" w:eastAsia="Palatino Linotype" w:hAnsi="Palatino Linotype" w:cs="Palatino Linotype"/>
          <w:b/>
          <w:color w:val="000000"/>
        </w:rPr>
        <w:t>veinticinco</w:t>
      </w:r>
      <w:r w:rsidR="003B090C" w:rsidRPr="00ED3DD9">
        <w:rPr>
          <w:rFonts w:ascii="Palatino Linotype" w:eastAsia="Palatino Linotype" w:hAnsi="Palatino Linotype" w:cs="Palatino Linotype"/>
          <w:b/>
          <w:color w:val="000000"/>
        </w:rPr>
        <w:t xml:space="preserve"> de abril</w:t>
      </w:r>
      <w:r w:rsidRPr="00ED3DD9">
        <w:rPr>
          <w:rFonts w:ascii="Palatino Linotype" w:eastAsia="Palatino Linotype" w:hAnsi="Palatino Linotype" w:cs="Palatino Linotype"/>
          <w:b/>
          <w:color w:val="000000"/>
        </w:rPr>
        <w:t xml:space="preserve"> de dos mil veinticinco</w:t>
      </w:r>
      <w:r w:rsidRPr="00ED3DD9">
        <w:rPr>
          <w:rFonts w:ascii="Palatino Linotype" w:eastAsia="Palatino Linotype" w:hAnsi="Palatino Linotype" w:cs="Palatino Linotype"/>
          <w:color w:val="000000"/>
        </w:rPr>
        <w:t>, interpuso los recursos de revisión a través del SAIMEX, expresando lo siguiente:</w:t>
      </w:r>
    </w:p>
    <w:p w14:paraId="6650EE2B" w14:textId="77777777" w:rsidR="004D1174" w:rsidRPr="00ED3DD9" w:rsidRDefault="004D1174" w:rsidP="004D1174">
      <w:pPr>
        <w:pBdr>
          <w:top w:val="nil"/>
          <w:left w:val="nil"/>
          <w:bottom w:val="nil"/>
          <w:right w:val="nil"/>
          <w:between w:val="nil"/>
        </w:pBdr>
        <w:tabs>
          <w:tab w:val="left" w:pos="284"/>
        </w:tabs>
        <w:spacing w:after="0" w:line="360" w:lineRule="auto"/>
        <w:rPr>
          <w:rFonts w:ascii="Palatino Linotype" w:eastAsia="Palatino Linotype" w:hAnsi="Palatino Linotype" w:cs="Palatino Linotype"/>
          <w:color w:val="000000"/>
        </w:rPr>
      </w:pPr>
    </w:p>
    <w:p w14:paraId="7A912357" w14:textId="5F2A1CE8" w:rsidR="004D1174" w:rsidRPr="00ED3DD9" w:rsidRDefault="00C14CCE" w:rsidP="00B80A92">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b/>
        </w:rPr>
      </w:pPr>
      <w:r w:rsidRPr="00ED3DD9">
        <w:rPr>
          <w:rFonts w:ascii="Palatino Linotype" w:eastAsia="Palatino Linotype" w:hAnsi="Palatino Linotype" w:cs="Palatino Linotype"/>
          <w:b/>
        </w:rPr>
        <w:t>04814</w:t>
      </w:r>
      <w:r w:rsidR="00B80A92" w:rsidRPr="00ED3DD9">
        <w:rPr>
          <w:rFonts w:ascii="Palatino Linotype" w:eastAsia="Palatino Linotype" w:hAnsi="Palatino Linotype" w:cs="Palatino Linotype"/>
          <w:b/>
        </w:rPr>
        <w:t>/INFOEM/IP/RR/2025</w:t>
      </w:r>
    </w:p>
    <w:p w14:paraId="2D05B352" w14:textId="169BEB49" w:rsidR="004D1174" w:rsidRPr="00ED3DD9" w:rsidRDefault="004D1174" w:rsidP="002F40D1">
      <w:pPr>
        <w:pBdr>
          <w:top w:val="nil"/>
          <w:left w:val="nil"/>
          <w:bottom w:val="nil"/>
          <w:right w:val="nil"/>
          <w:between w:val="nil"/>
        </w:pBdr>
        <w:tabs>
          <w:tab w:val="left" w:pos="284"/>
        </w:tabs>
        <w:spacing w:after="0" w:line="276" w:lineRule="auto"/>
        <w:ind w:left="567"/>
        <w:rPr>
          <w:rFonts w:ascii="Palatino Linotype" w:eastAsia="Palatino Linotype" w:hAnsi="Palatino Linotype" w:cs="Palatino Linotype"/>
          <w:i/>
        </w:rPr>
      </w:pPr>
      <w:r w:rsidRPr="00ED3DD9">
        <w:rPr>
          <w:rFonts w:ascii="Palatino Linotype" w:eastAsia="Palatino Linotype" w:hAnsi="Palatino Linotype" w:cs="Palatino Linotype"/>
          <w:b/>
        </w:rPr>
        <w:t>Acto impugnado</w:t>
      </w:r>
      <w:r w:rsidRPr="00ED3DD9">
        <w:rPr>
          <w:rFonts w:ascii="Palatino Linotype" w:eastAsia="Palatino Linotype" w:hAnsi="Palatino Linotype" w:cs="Palatino Linotype"/>
        </w:rPr>
        <w:t xml:space="preserve">. </w:t>
      </w:r>
      <w:r w:rsidR="00C14CCE" w:rsidRPr="00ED3DD9">
        <w:rPr>
          <w:rFonts w:ascii="Palatino Linotype" w:eastAsia="Palatino Linotype" w:hAnsi="Palatino Linotype" w:cs="Palatino Linotype"/>
          <w:i/>
        </w:rPr>
        <w:t>NEGATIVA DEL SUJETO OBLIGADO A ENTREGAR LA INFORMACIÓN SOLICITADA EN LA PETICIÓN 00199/ATIZARA/IP/2025</w:t>
      </w:r>
      <w:r w:rsidR="00B80A92" w:rsidRPr="00ED3DD9">
        <w:rPr>
          <w:rFonts w:ascii="Palatino Linotype" w:eastAsia="Palatino Linotype" w:hAnsi="Palatino Linotype" w:cs="Palatino Linotype"/>
          <w:i/>
        </w:rPr>
        <w:t>.</w:t>
      </w:r>
    </w:p>
    <w:p w14:paraId="43576FDA" w14:textId="77777777" w:rsidR="002F40D1" w:rsidRPr="00ED3DD9" w:rsidRDefault="002F40D1" w:rsidP="002F40D1">
      <w:pPr>
        <w:pBdr>
          <w:top w:val="nil"/>
          <w:left w:val="nil"/>
          <w:bottom w:val="nil"/>
          <w:right w:val="nil"/>
          <w:between w:val="nil"/>
        </w:pBdr>
        <w:tabs>
          <w:tab w:val="left" w:pos="284"/>
        </w:tabs>
        <w:spacing w:after="0" w:line="276" w:lineRule="auto"/>
        <w:ind w:left="567"/>
        <w:rPr>
          <w:rFonts w:ascii="Palatino Linotype" w:eastAsia="Palatino Linotype" w:hAnsi="Palatino Linotype" w:cs="Palatino Linotype"/>
        </w:rPr>
      </w:pPr>
    </w:p>
    <w:p w14:paraId="4EBD2E39" w14:textId="1B129293" w:rsidR="004D1174" w:rsidRPr="00ED3DD9" w:rsidRDefault="004D1174" w:rsidP="002F40D1">
      <w:pPr>
        <w:pBdr>
          <w:top w:val="nil"/>
          <w:left w:val="nil"/>
          <w:bottom w:val="nil"/>
          <w:right w:val="nil"/>
          <w:between w:val="nil"/>
        </w:pBdr>
        <w:tabs>
          <w:tab w:val="left" w:pos="284"/>
        </w:tabs>
        <w:spacing w:after="0" w:line="276" w:lineRule="auto"/>
        <w:ind w:left="567"/>
        <w:jc w:val="both"/>
        <w:rPr>
          <w:rFonts w:ascii="Palatino Linotype" w:eastAsia="Palatino Linotype" w:hAnsi="Palatino Linotype" w:cs="Palatino Linotype"/>
        </w:rPr>
      </w:pPr>
      <w:r w:rsidRPr="00ED3DD9">
        <w:rPr>
          <w:rFonts w:ascii="Palatino Linotype" w:eastAsia="Palatino Linotype" w:hAnsi="Palatino Linotype" w:cs="Palatino Linotype"/>
          <w:b/>
        </w:rPr>
        <w:t>Motivos de inconformidad</w:t>
      </w:r>
      <w:r w:rsidRPr="00ED3DD9">
        <w:rPr>
          <w:rFonts w:ascii="Palatino Linotype" w:eastAsia="Palatino Linotype" w:hAnsi="Palatino Linotype" w:cs="Palatino Linotype"/>
        </w:rPr>
        <w:t xml:space="preserve">. </w:t>
      </w:r>
      <w:r w:rsidR="00C14CCE" w:rsidRPr="00ED3DD9">
        <w:rPr>
          <w:rFonts w:ascii="Palatino Linotype" w:eastAsia="Palatino Linotype" w:hAnsi="Palatino Linotype" w:cs="Palatino Linotype"/>
          <w:i/>
        </w:rPr>
        <w:t xml:space="preserve">Los argumentos expuestos por el sujeto obligado carecen de fundamento legal, ya que la información requerida no amerita </w:t>
      </w:r>
      <w:proofErr w:type="spellStart"/>
      <w:r w:rsidR="00C14CCE" w:rsidRPr="00ED3DD9">
        <w:rPr>
          <w:rFonts w:ascii="Palatino Linotype" w:eastAsia="Palatino Linotype" w:hAnsi="Palatino Linotype" w:cs="Palatino Linotype"/>
          <w:i/>
        </w:rPr>
        <w:t>ningun</w:t>
      </w:r>
      <w:proofErr w:type="spellEnd"/>
      <w:r w:rsidR="00C14CCE" w:rsidRPr="00ED3DD9">
        <w:rPr>
          <w:rFonts w:ascii="Palatino Linotype" w:eastAsia="Palatino Linotype" w:hAnsi="Palatino Linotype" w:cs="Palatino Linotype"/>
          <w:i/>
        </w:rPr>
        <w:t xml:space="preserve"> procesamiento adicional y </w:t>
      </w:r>
      <w:r w:rsidR="00C14CCE" w:rsidRPr="00ED3DD9">
        <w:rPr>
          <w:rFonts w:ascii="Palatino Linotype" w:eastAsia="Palatino Linotype" w:hAnsi="Palatino Linotype" w:cs="Palatino Linotype"/>
          <w:i/>
        </w:rPr>
        <w:lastRenderedPageBreak/>
        <w:t xml:space="preserve">debe estar disponible desde el mismo momento en que se generan los pagos correspondientes. Del mismo modo, la integración de los informes financieros al órgano fiscalizador no es justificante para negar la </w:t>
      </w:r>
      <w:proofErr w:type="spellStart"/>
      <w:r w:rsidR="00C14CCE" w:rsidRPr="00ED3DD9">
        <w:rPr>
          <w:rFonts w:ascii="Palatino Linotype" w:eastAsia="Palatino Linotype" w:hAnsi="Palatino Linotype" w:cs="Palatino Linotype"/>
          <w:i/>
        </w:rPr>
        <w:t>entrefga</w:t>
      </w:r>
      <w:proofErr w:type="spellEnd"/>
      <w:r w:rsidR="00C14CCE" w:rsidRPr="00ED3DD9">
        <w:rPr>
          <w:rFonts w:ascii="Palatino Linotype" w:eastAsia="Palatino Linotype" w:hAnsi="Palatino Linotype" w:cs="Palatino Linotype"/>
          <w:i/>
        </w:rPr>
        <w:t xml:space="preserve"> de la información pública, por lo que solicito se ordene la entrega de la información solicitada en los mismos términos expuestos en la petición.</w:t>
      </w:r>
      <w:r w:rsidR="002F40D1" w:rsidRPr="00ED3DD9">
        <w:rPr>
          <w:rFonts w:ascii="Palatino Linotype" w:eastAsia="Palatino Linotype" w:hAnsi="Palatino Linotype" w:cs="Palatino Linotype"/>
          <w:i/>
        </w:rPr>
        <w:t>.</w:t>
      </w:r>
      <w:r w:rsidR="00B80A92" w:rsidRPr="00ED3DD9">
        <w:rPr>
          <w:rFonts w:ascii="Palatino Linotype" w:eastAsia="Palatino Linotype" w:hAnsi="Palatino Linotype" w:cs="Palatino Linotype"/>
          <w:i/>
        </w:rPr>
        <w:t>.</w:t>
      </w:r>
    </w:p>
    <w:p w14:paraId="4AA32DF4" w14:textId="77777777" w:rsidR="004D1174" w:rsidRPr="00ED3DD9" w:rsidRDefault="004D1174" w:rsidP="00CD5F3B">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rPr>
      </w:pPr>
    </w:p>
    <w:p w14:paraId="762EE279" w14:textId="26D2CF93" w:rsidR="004D1174" w:rsidRPr="00ED3DD9" w:rsidRDefault="00C14CCE" w:rsidP="00B80A92">
      <w:pPr>
        <w:pBdr>
          <w:top w:val="nil"/>
          <w:left w:val="nil"/>
          <w:bottom w:val="nil"/>
          <w:right w:val="nil"/>
          <w:between w:val="nil"/>
        </w:pBdr>
        <w:tabs>
          <w:tab w:val="left" w:pos="284"/>
        </w:tabs>
        <w:spacing w:after="0" w:line="360" w:lineRule="auto"/>
        <w:ind w:left="567"/>
        <w:rPr>
          <w:rFonts w:ascii="Palatino Linotype" w:eastAsia="Palatino Linotype" w:hAnsi="Palatino Linotype" w:cs="Palatino Linotype"/>
          <w:b/>
          <w:color w:val="000000"/>
        </w:rPr>
      </w:pPr>
      <w:r w:rsidRPr="00ED3DD9">
        <w:rPr>
          <w:rFonts w:ascii="Palatino Linotype" w:eastAsia="Palatino Linotype" w:hAnsi="Palatino Linotype" w:cs="Palatino Linotype"/>
          <w:b/>
        </w:rPr>
        <w:t>04815</w:t>
      </w:r>
      <w:r w:rsidR="004D1174" w:rsidRPr="00ED3DD9">
        <w:rPr>
          <w:rFonts w:ascii="Palatino Linotype" w:eastAsia="Palatino Linotype" w:hAnsi="Palatino Linotype" w:cs="Palatino Linotype"/>
          <w:b/>
        </w:rPr>
        <w:t>/INFOEM/IP/RR/2025</w:t>
      </w:r>
    </w:p>
    <w:p w14:paraId="05E77535" w14:textId="1B882AD4" w:rsidR="00C14CCE" w:rsidRPr="00ED3DD9" w:rsidRDefault="004D1174" w:rsidP="00C14CCE">
      <w:pPr>
        <w:spacing w:after="0"/>
        <w:ind w:left="567"/>
        <w:jc w:val="both"/>
        <w:rPr>
          <w:rFonts w:ascii="Verdana" w:eastAsia="Times New Roman" w:hAnsi="Verdana" w:cs="Times New Roman"/>
          <w:i/>
          <w:sz w:val="14"/>
          <w:szCs w:val="14"/>
        </w:rPr>
      </w:pPr>
      <w:r w:rsidRPr="00ED3DD9">
        <w:rPr>
          <w:rFonts w:ascii="Palatino Linotype" w:eastAsia="Palatino Linotype" w:hAnsi="Palatino Linotype" w:cs="Palatino Linotype"/>
          <w:b/>
        </w:rPr>
        <w:t>Acto impugnado.</w:t>
      </w:r>
      <w:r w:rsidRPr="00ED3DD9">
        <w:rPr>
          <w:rFonts w:ascii="Palatino Linotype" w:eastAsia="Palatino Linotype" w:hAnsi="Palatino Linotype" w:cs="Palatino Linotype"/>
        </w:rPr>
        <w:t xml:space="preserve"> </w:t>
      </w:r>
      <w:r w:rsidR="00C14CCE" w:rsidRPr="00ED3DD9">
        <w:rPr>
          <w:rFonts w:ascii="Palatino Linotype" w:eastAsia="Palatino Linotype" w:hAnsi="Palatino Linotype" w:cs="Palatino Linotype"/>
          <w:i/>
        </w:rPr>
        <w:t>NEGATIVA DEL SUJETO OBLIGADO A ENTREGAR LA INFORMACIÓN SOLICITADA EN LA PETICIÓN 00200/ATIZARA/IP/2025</w:t>
      </w:r>
      <w:r w:rsidR="00221B1F" w:rsidRPr="00ED3DD9">
        <w:rPr>
          <w:rFonts w:ascii="Verdana" w:eastAsia="Times New Roman" w:hAnsi="Verdana" w:cs="Times New Roman"/>
          <w:i/>
          <w:sz w:val="14"/>
          <w:szCs w:val="14"/>
        </w:rPr>
        <w:t>.</w:t>
      </w:r>
    </w:p>
    <w:p w14:paraId="5EB229F1" w14:textId="77777777" w:rsidR="00C14CCE" w:rsidRPr="00ED3DD9" w:rsidRDefault="00C14CCE" w:rsidP="00C14CCE">
      <w:pPr>
        <w:spacing w:after="0"/>
        <w:ind w:left="567"/>
        <w:jc w:val="both"/>
        <w:rPr>
          <w:rFonts w:ascii="Times New Roman" w:eastAsia="Times New Roman" w:hAnsi="Times New Roman" w:cs="Times New Roman"/>
          <w:sz w:val="24"/>
          <w:szCs w:val="24"/>
        </w:rPr>
      </w:pPr>
    </w:p>
    <w:p w14:paraId="1B6533A4" w14:textId="5E2C25C7" w:rsidR="004D1174" w:rsidRPr="00ED3DD9" w:rsidRDefault="004D1174" w:rsidP="00C14CCE">
      <w:pPr>
        <w:pBdr>
          <w:top w:val="nil"/>
          <w:left w:val="nil"/>
          <w:bottom w:val="nil"/>
          <w:right w:val="nil"/>
          <w:between w:val="nil"/>
        </w:pBdr>
        <w:tabs>
          <w:tab w:val="left" w:pos="284"/>
        </w:tabs>
        <w:spacing w:after="0" w:line="276" w:lineRule="auto"/>
        <w:ind w:left="567"/>
        <w:jc w:val="both"/>
        <w:rPr>
          <w:rFonts w:ascii="Palatino Linotype" w:eastAsia="Palatino Linotype" w:hAnsi="Palatino Linotype" w:cs="Palatino Linotype"/>
          <w:i/>
        </w:rPr>
      </w:pPr>
      <w:r w:rsidRPr="00ED3DD9">
        <w:rPr>
          <w:rFonts w:ascii="Palatino Linotype" w:eastAsia="Palatino Linotype" w:hAnsi="Palatino Linotype" w:cs="Palatino Linotype"/>
          <w:b/>
        </w:rPr>
        <w:t>Motivos de inconformidad.</w:t>
      </w:r>
      <w:r w:rsidRPr="00ED3DD9">
        <w:rPr>
          <w:rFonts w:ascii="Palatino Linotype" w:eastAsia="Palatino Linotype" w:hAnsi="Palatino Linotype" w:cs="Palatino Linotype"/>
        </w:rPr>
        <w:t xml:space="preserve"> </w:t>
      </w:r>
      <w:r w:rsidR="002F40D1" w:rsidRPr="00ED3DD9">
        <w:rPr>
          <w:rFonts w:ascii="Palatino Linotype" w:eastAsia="Palatino Linotype" w:hAnsi="Palatino Linotype" w:cs="Palatino Linotype"/>
        </w:rPr>
        <w:t>“</w:t>
      </w:r>
      <w:r w:rsidR="00C14CCE" w:rsidRPr="00ED3DD9">
        <w:rPr>
          <w:rFonts w:ascii="Palatino Linotype" w:eastAsia="Palatino Linotype" w:hAnsi="Palatino Linotype" w:cs="Palatino Linotype"/>
          <w:i/>
        </w:rPr>
        <w:t xml:space="preserve">En su respuesta el sujeto obligado hace referencia a información cargada en la página web oficial del ayuntamiento de </w:t>
      </w:r>
      <w:proofErr w:type="spellStart"/>
      <w:r w:rsidR="00C14CCE" w:rsidRPr="00ED3DD9">
        <w:rPr>
          <w:rFonts w:ascii="Palatino Linotype" w:eastAsia="Palatino Linotype" w:hAnsi="Palatino Linotype" w:cs="Palatino Linotype"/>
          <w:i/>
        </w:rPr>
        <w:t>atizapan</w:t>
      </w:r>
      <w:proofErr w:type="spellEnd"/>
      <w:r w:rsidR="00C14CCE" w:rsidRPr="00ED3DD9">
        <w:rPr>
          <w:rFonts w:ascii="Palatino Linotype" w:eastAsia="Palatino Linotype" w:hAnsi="Palatino Linotype" w:cs="Palatino Linotype"/>
          <w:i/>
        </w:rPr>
        <w:t xml:space="preserve"> de zaragoza que de ninguna manera corresponde a la documentación solicitada en la presente petición. En la petición se señalan documentos muy específicos que no se encuentran dentro de las direcciones electrónicas proporcionadas por el sujeto obligado, por lo cual debe clasificarse esa respuesta como una negativa a entregar la información solicitada.</w:t>
      </w:r>
      <w:r w:rsidR="002F40D1" w:rsidRPr="00ED3DD9">
        <w:rPr>
          <w:rFonts w:ascii="Palatino Linotype" w:eastAsia="Palatino Linotype" w:hAnsi="Palatino Linotype" w:cs="Palatino Linotype"/>
          <w:i/>
        </w:rPr>
        <w:t>”.</w:t>
      </w:r>
    </w:p>
    <w:p w14:paraId="147AE955" w14:textId="77777777" w:rsidR="004D1174" w:rsidRPr="00ED3DD9" w:rsidRDefault="004D1174">
      <w:pPr>
        <w:pBdr>
          <w:top w:val="nil"/>
          <w:left w:val="nil"/>
          <w:bottom w:val="nil"/>
          <w:right w:val="nil"/>
          <w:between w:val="nil"/>
        </w:pBdr>
        <w:tabs>
          <w:tab w:val="left" w:pos="284"/>
        </w:tabs>
        <w:spacing w:after="0" w:line="360" w:lineRule="auto"/>
        <w:jc w:val="center"/>
        <w:rPr>
          <w:rFonts w:ascii="Palatino Linotype" w:eastAsia="Palatino Linotype" w:hAnsi="Palatino Linotype" w:cs="Palatino Linotype"/>
          <w:i/>
          <w:color w:val="000000"/>
        </w:rPr>
      </w:pPr>
    </w:p>
    <w:p w14:paraId="4A5611AF" w14:textId="168A400F" w:rsidR="00CD20B8" w:rsidRPr="00ED3DD9" w:rsidRDefault="00373EF6" w:rsidP="004D1174">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Turno.</w:t>
      </w:r>
      <w:r w:rsidRPr="00ED3DD9">
        <w:rPr>
          <w:rFonts w:ascii="Palatino Linotype" w:eastAsia="Palatino Linotype" w:hAnsi="Palatino Linotype" w:cs="Palatino Linotype"/>
          <w:color w:val="000000"/>
        </w:rPr>
        <w:t xml:space="preserve"> De conformidad con el artículo 185 fracción I de la Ley Transparencia y Acceso a la Información Pública, </w:t>
      </w:r>
      <w:r w:rsidR="004D1174" w:rsidRPr="00ED3DD9">
        <w:rPr>
          <w:rFonts w:ascii="Palatino Linotype" w:eastAsia="Palatino Linotype" w:hAnsi="Palatino Linotype" w:cs="Palatino Linotype"/>
          <w:color w:val="000000"/>
        </w:rPr>
        <w:t>el Recurso</w:t>
      </w:r>
      <w:r w:rsidRPr="00ED3DD9">
        <w:rPr>
          <w:rFonts w:ascii="Palatino Linotype" w:eastAsia="Palatino Linotype" w:hAnsi="Palatino Linotype" w:cs="Palatino Linotype"/>
          <w:color w:val="000000"/>
        </w:rPr>
        <w:t xml:space="preserve"> de Revisión </w:t>
      </w:r>
      <w:r w:rsidR="00141726" w:rsidRPr="00ED3DD9">
        <w:rPr>
          <w:rFonts w:ascii="Palatino Linotype" w:eastAsia="Palatino Linotype" w:hAnsi="Palatino Linotype" w:cs="Palatino Linotype"/>
          <w:b/>
          <w:color w:val="000000"/>
        </w:rPr>
        <w:t>04814</w:t>
      </w:r>
      <w:r w:rsidR="004D1174" w:rsidRPr="00ED3DD9">
        <w:rPr>
          <w:rFonts w:ascii="Palatino Linotype" w:eastAsia="Palatino Linotype" w:hAnsi="Palatino Linotype" w:cs="Palatino Linotype"/>
          <w:b/>
          <w:color w:val="000000"/>
        </w:rPr>
        <w:t xml:space="preserve">/INFOEM/IP/RR/2025 </w:t>
      </w:r>
      <w:r w:rsidR="004D1174" w:rsidRPr="00ED3DD9">
        <w:rPr>
          <w:rFonts w:ascii="Palatino Linotype" w:eastAsia="Palatino Linotype" w:hAnsi="Palatino Linotype" w:cs="Palatino Linotype"/>
          <w:color w:val="000000"/>
        </w:rPr>
        <w:t>fue turnado</w:t>
      </w:r>
      <w:r w:rsidRPr="00ED3DD9">
        <w:rPr>
          <w:rFonts w:ascii="Palatino Linotype" w:eastAsia="Palatino Linotype" w:hAnsi="Palatino Linotype" w:cs="Palatino Linotype"/>
          <w:color w:val="000000"/>
        </w:rPr>
        <w:t xml:space="preserve"> a la Comisionada Guadalupe Ramírez Peña, </w:t>
      </w:r>
      <w:r w:rsidR="004D1174" w:rsidRPr="00ED3DD9">
        <w:rPr>
          <w:rFonts w:ascii="Palatino Linotype" w:eastAsia="Palatino Linotype" w:hAnsi="Palatino Linotype" w:cs="Palatino Linotype"/>
          <w:color w:val="000000"/>
        </w:rPr>
        <w:t>el Recurso</w:t>
      </w:r>
      <w:r w:rsidRPr="00ED3DD9">
        <w:rPr>
          <w:rFonts w:ascii="Palatino Linotype" w:eastAsia="Palatino Linotype" w:hAnsi="Palatino Linotype" w:cs="Palatino Linotype"/>
          <w:color w:val="000000"/>
        </w:rPr>
        <w:t xml:space="preserve"> de Revisión </w:t>
      </w:r>
      <w:r w:rsidR="00141726" w:rsidRPr="00ED3DD9">
        <w:rPr>
          <w:rFonts w:ascii="Palatino Linotype" w:eastAsia="Palatino Linotype" w:hAnsi="Palatino Linotype" w:cs="Palatino Linotype"/>
          <w:b/>
          <w:color w:val="000000"/>
        </w:rPr>
        <w:t>04815</w:t>
      </w:r>
      <w:r w:rsidR="006742BB" w:rsidRPr="00ED3DD9">
        <w:rPr>
          <w:rFonts w:ascii="Palatino Linotype" w:eastAsia="Palatino Linotype" w:hAnsi="Palatino Linotype" w:cs="Palatino Linotype"/>
          <w:b/>
          <w:color w:val="000000"/>
        </w:rPr>
        <w:t>/INFOEM/IP/RR/2025</w:t>
      </w:r>
      <w:r w:rsidR="006742BB" w:rsidRPr="00ED3DD9">
        <w:rPr>
          <w:rFonts w:ascii="Palatino Linotype" w:eastAsia="Palatino Linotype" w:hAnsi="Palatino Linotype" w:cs="Palatino Linotype"/>
          <w:color w:val="000000"/>
        </w:rPr>
        <w:t>, al Comisionado</w:t>
      </w:r>
    </w:p>
    <w:p w14:paraId="62F13C11" w14:textId="77777777" w:rsidR="00CD20B8" w:rsidRPr="00ED3DD9" w:rsidRDefault="00CD20B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p w14:paraId="5B9A3BAE" w14:textId="22C20EE0" w:rsidR="00CD20B8" w:rsidRPr="00ED3DD9" w:rsidRDefault="00373EF6">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 xml:space="preserve"> Admisión de los Recursos de Revisión. </w:t>
      </w:r>
      <w:r w:rsidRPr="00ED3DD9">
        <w:rPr>
          <w:rFonts w:ascii="Palatino Linotype" w:eastAsia="Palatino Linotype" w:hAnsi="Palatino Linotype" w:cs="Palatino Linotype"/>
          <w:color w:val="000000"/>
        </w:rPr>
        <w:t xml:space="preserve">En fecha </w:t>
      </w:r>
      <w:r w:rsidR="00141726" w:rsidRPr="00ED3DD9">
        <w:rPr>
          <w:rFonts w:ascii="Palatino Linotype" w:eastAsia="Palatino Linotype" w:hAnsi="Palatino Linotype" w:cs="Palatino Linotype"/>
          <w:b/>
          <w:color w:val="000000"/>
        </w:rPr>
        <w:t>treinta de abril y dos de mayo</w:t>
      </w:r>
      <w:r w:rsidRPr="00ED3DD9">
        <w:rPr>
          <w:rFonts w:ascii="Palatino Linotype" w:eastAsia="Palatino Linotype" w:hAnsi="Palatino Linotype" w:cs="Palatino Linotype"/>
          <w:b/>
          <w:color w:val="000000"/>
        </w:rPr>
        <w:t xml:space="preserve"> de dos mil veinticinco</w:t>
      </w:r>
      <w:r w:rsidRPr="00ED3DD9">
        <w:rPr>
          <w:rFonts w:ascii="Palatino Linotype" w:eastAsia="Palatino Linotype" w:hAnsi="Palatino Linotype" w:cs="Palatino Linotype"/>
          <w:color w:val="000000"/>
        </w:rPr>
        <w:t xml:space="preserve"> en términos de lo dispuesto en el artículo 185 fracciones I, II y IV de la Ley de Transparencia y Acceso a la Información Pública del Estado de México y Municipios, se admitieron a trámite los recursos de revisión </w:t>
      </w:r>
      <w:r w:rsidR="00141726" w:rsidRPr="00ED3DD9">
        <w:rPr>
          <w:rFonts w:ascii="Palatino Linotype" w:eastAsia="Palatino Linotype" w:hAnsi="Palatino Linotype" w:cs="Palatino Linotype"/>
          <w:b/>
          <w:color w:val="000000"/>
        </w:rPr>
        <w:t>04814/INFOEM/IP/RR/2025 y 04815</w:t>
      </w:r>
      <w:r w:rsidRPr="00ED3DD9">
        <w:rPr>
          <w:rFonts w:ascii="Palatino Linotype" w:eastAsia="Palatino Linotype" w:hAnsi="Palatino Linotype" w:cs="Palatino Linotype"/>
          <w:b/>
          <w:color w:val="000000"/>
        </w:rPr>
        <w:t>/INFOEM/IP/RR/2025 acumulados.</w:t>
      </w:r>
    </w:p>
    <w:p w14:paraId="46F06471" w14:textId="77777777" w:rsidR="00CD20B8" w:rsidRPr="00ED3DD9" w:rsidRDefault="00CD20B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p w14:paraId="1BFB3E76" w14:textId="49723510" w:rsidR="001935FC" w:rsidRPr="00ED3DD9" w:rsidRDefault="00373EF6" w:rsidP="006742BB">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lastRenderedPageBreak/>
        <w:t xml:space="preserve"> Manifestaciones. </w:t>
      </w:r>
      <w:r w:rsidR="00AA6888" w:rsidRPr="00ED3DD9">
        <w:rPr>
          <w:rFonts w:ascii="Palatino Linotype" w:eastAsia="Palatino Linotype" w:hAnsi="Palatino Linotype" w:cs="Palatino Linotype"/>
          <w:color w:val="000000"/>
        </w:rPr>
        <w:t xml:space="preserve">En fecha </w:t>
      </w:r>
      <w:r w:rsidR="00141726" w:rsidRPr="00ED3DD9">
        <w:rPr>
          <w:rFonts w:ascii="Palatino Linotype" w:eastAsia="Palatino Linotype" w:hAnsi="Palatino Linotype" w:cs="Palatino Linotype"/>
          <w:b/>
          <w:color w:val="000000"/>
        </w:rPr>
        <w:t xml:space="preserve">siete y ocho de mayo </w:t>
      </w:r>
      <w:r w:rsidR="00AA6888" w:rsidRPr="00ED3DD9">
        <w:rPr>
          <w:rFonts w:ascii="Palatino Linotype" w:eastAsia="Palatino Linotype" w:hAnsi="Palatino Linotype" w:cs="Palatino Linotype"/>
          <w:b/>
          <w:color w:val="000000"/>
        </w:rPr>
        <w:t>de dos mil veinticinco</w:t>
      </w:r>
      <w:r w:rsidR="00AA6888" w:rsidRPr="00ED3DD9">
        <w:rPr>
          <w:rFonts w:ascii="Palatino Linotype" w:eastAsia="Palatino Linotype" w:hAnsi="Palatino Linotype" w:cs="Palatino Linotype"/>
          <w:color w:val="000000"/>
        </w:rPr>
        <w:t xml:space="preserve">, el </w:t>
      </w:r>
      <w:r w:rsidR="00AA6888" w:rsidRPr="00ED3DD9">
        <w:rPr>
          <w:rFonts w:ascii="Palatino Linotype" w:eastAsia="Palatino Linotype" w:hAnsi="Palatino Linotype" w:cs="Palatino Linotype"/>
          <w:b/>
          <w:color w:val="000000"/>
        </w:rPr>
        <w:t xml:space="preserve">SUJETO OBLIGADO </w:t>
      </w:r>
      <w:r w:rsidR="00AA6888" w:rsidRPr="00ED3DD9">
        <w:rPr>
          <w:rFonts w:ascii="Palatino Linotype" w:eastAsia="Palatino Linotype" w:hAnsi="Palatino Linotype" w:cs="Palatino Linotype"/>
          <w:color w:val="000000"/>
        </w:rPr>
        <w:t xml:space="preserve">hizo </w:t>
      </w:r>
      <w:r w:rsidR="00DB4D44" w:rsidRPr="00ED3DD9">
        <w:rPr>
          <w:rFonts w:ascii="Palatino Linotype" w:eastAsia="Palatino Linotype" w:hAnsi="Palatino Linotype" w:cs="Palatino Linotype"/>
          <w:color w:val="000000"/>
        </w:rPr>
        <w:t>entrega de su</w:t>
      </w:r>
      <w:r w:rsidR="001935FC" w:rsidRPr="00ED3DD9">
        <w:rPr>
          <w:rFonts w:ascii="Palatino Linotype" w:eastAsia="Palatino Linotype" w:hAnsi="Palatino Linotype" w:cs="Palatino Linotype"/>
          <w:color w:val="000000"/>
        </w:rPr>
        <w:t>s</w:t>
      </w:r>
      <w:r w:rsidR="00DB4D44" w:rsidRPr="00ED3DD9">
        <w:rPr>
          <w:rFonts w:ascii="Palatino Linotype" w:eastAsia="Palatino Linotype" w:hAnsi="Palatino Linotype" w:cs="Palatino Linotype"/>
          <w:color w:val="000000"/>
        </w:rPr>
        <w:t xml:space="preserve"> informe</w:t>
      </w:r>
      <w:r w:rsidR="001935FC" w:rsidRPr="00ED3DD9">
        <w:rPr>
          <w:rFonts w:ascii="Palatino Linotype" w:eastAsia="Palatino Linotype" w:hAnsi="Palatino Linotype" w:cs="Palatino Linotype"/>
          <w:color w:val="000000"/>
        </w:rPr>
        <w:t>s</w:t>
      </w:r>
      <w:r w:rsidR="00DB4D44" w:rsidRPr="00ED3DD9">
        <w:rPr>
          <w:rFonts w:ascii="Palatino Linotype" w:eastAsia="Palatino Linotype" w:hAnsi="Palatino Linotype" w:cs="Palatino Linotype"/>
          <w:color w:val="000000"/>
        </w:rPr>
        <w:t xml:space="preserve"> justificado</w:t>
      </w:r>
      <w:r w:rsidR="001935FC" w:rsidRPr="00ED3DD9">
        <w:rPr>
          <w:rFonts w:ascii="Palatino Linotype" w:eastAsia="Palatino Linotype" w:hAnsi="Palatino Linotype" w:cs="Palatino Linotype"/>
          <w:color w:val="000000"/>
        </w:rPr>
        <w:t>s</w:t>
      </w:r>
      <w:r w:rsidR="002F40D1" w:rsidRPr="00ED3DD9">
        <w:rPr>
          <w:rFonts w:ascii="Palatino Linotype" w:eastAsia="Palatino Linotype" w:hAnsi="Palatino Linotype" w:cs="Palatino Linotype"/>
          <w:color w:val="000000"/>
        </w:rPr>
        <w:t xml:space="preserve">, los cuales fueron del conocimiento de </w:t>
      </w:r>
      <w:r w:rsidR="006742BB" w:rsidRPr="00ED3DD9">
        <w:rPr>
          <w:rFonts w:ascii="Palatino Linotype" w:eastAsia="Palatino Linotype" w:hAnsi="Palatino Linotype" w:cs="Palatino Linotype"/>
          <w:color w:val="000000"/>
        </w:rPr>
        <w:t xml:space="preserve">la partes el </w:t>
      </w:r>
      <w:r w:rsidR="006742BB" w:rsidRPr="00ED3DD9">
        <w:rPr>
          <w:rFonts w:ascii="Palatino Linotype" w:eastAsia="Palatino Linotype" w:hAnsi="Palatino Linotype" w:cs="Palatino Linotype"/>
          <w:b/>
          <w:color w:val="000000"/>
        </w:rPr>
        <w:t xml:space="preserve">trece </w:t>
      </w:r>
      <w:r w:rsidR="002F40D1" w:rsidRPr="00ED3DD9">
        <w:rPr>
          <w:rFonts w:ascii="Palatino Linotype" w:eastAsia="Palatino Linotype" w:hAnsi="Palatino Linotype" w:cs="Palatino Linotype"/>
          <w:b/>
          <w:color w:val="000000"/>
        </w:rPr>
        <w:t>agosto de dos mil veinticinco.</w:t>
      </w:r>
    </w:p>
    <w:p w14:paraId="3D6A89B8" w14:textId="77777777" w:rsidR="006742BB" w:rsidRPr="00ED3DD9" w:rsidRDefault="006742BB" w:rsidP="006742BB">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p w14:paraId="3B3228B1" w14:textId="63E0549D" w:rsidR="006742BB" w:rsidRPr="00ED3DD9" w:rsidRDefault="006742BB" w:rsidP="006742BB">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En fecha </w:t>
      </w:r>
      <w:r w:rsidRPr="00ED3DD9">
        <w:rPr>
          <w:rFonts w:ascii="Palatino Linotype" w:eastAsia="Palatino Linotype" w:hAnsi="Palatino Linotype" w:cs="Palatino Linotype"/>
          <w:b/>
          <w:color w:val="000000"/>
        </w:rPr>
        <w:t>trece de agosto de dos mil veinticinco</w:t>
      </w:r>
      <w:r w:rsidRPr="00ED3DD9">
        <w:rPr>
          <w:rFonts w:ascii="Palatino Linotype" w:eastAsia="Palatino Linotype" w:hAnsi="Palatino Linotype" w:cs="Palatino Linotype"/>
          <w:color w:val="000000"/>
        </w:rPr>
        <w:t xml:space="preserve">, la parte Recurrente remitió sus manifestaciones al tenor de lo siguiente: </w:t>
      </w:r>
    </w:p>
    <w:p w14:paraId="301AEA32" w14:textId="77777777" w:rsidR="006742BB" w:rsidRPr="00ED3DD9" w:rsidRDefault="006742BB" w:rsidP="006742BB">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p w14:paraId="13974DDE" w14:textId="3A1F0952" w:rsidR="006742BB" w:rsidRPr="00ED3DD9" w:rsidRDefault="006742BB" w:rsidP="006742BB">
      <w:pPr>
        <w:pBdr>
          <w:top w:val="nil"/>
          <w:left w:val="nil"/>
          <w:bottom w:val="nil"/>
          <w:right w:val="nil"/>
          <w:between w:val="nil"/>
        </w:pBdr>
        <w:tabs>
          <w:tab w:val="left" w:pos="284"/>
        </w:tabs>
        <w:spacing w:after="0" w:line="360" w:lineRule="auto"/>
        <w:ind w:left="567" w:right="560"/>
        <w:jc w:val="both"/>
        <w:rPr>
          <w:rFonts w:ascii="Palatino Linotype" w:hAnsi="Palatino Linotype"/>
          <w:i/>
        </w:rPr>
      </w:pPr>
      <w:r w:rsidRPr="00ED3DD9">
        <w:rPr>
          <w:rFonts w:ascii="Palatino Linotype" w:hAnsi="Palatino Linotype"/>
          <w:i/>
        </w:rPr>
        <w:t>PERSISTE LA NEGATIVA DEL SUJETO OBLIGADO A PROPORCIONAR LA INFORMACIÓN QUE SE LE SOLICITO DE MANERA PUNTUAL Y PRECISA.</w:t>
      </w:r>
    </w:p>
    <w:p w14:paraId="53B570F2" w14:textId="77777777" w:rsidR="006742BB" w:rsidRPr="00ED3DD9" w:rsidRDefault="006742BB" w:rsidP="006742BB">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p>
    <w:p w14:paraId="59B5DC96" w14:textId="7E4D523F" w:rsidR="00CD20B8" w:rsidRPr="00ED3DD9" w:rsidRDefault="00373EF6">
      <w:pPr>
        <w:numPr>
          <w:ilvl w:val="0"/>
          <w:numId w:val="2"/>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 xml:space="preserve">Acumulación de los recursos de revisión. </w:t>
      </w:r>
      <w:r w:rsidRPr="00ED3DD9">
        <w:rPr>
          <w:rFonts w:ascii="Palatino Linotype" w:eastAsia="Palatino Linotype" w:hAnsi="Palatino Linotype" w:cs="Palatino Linotype"/>
          <w:color w:val="000000"/>
        </w:rPr>
        <w:t xml:space="preserve">Al respecto cabe señalar, que el Pleno de este Instituto, en la </w:t>
      </w:r>
      <w:r w:rsidR="001935FC" w:rsidRPr="00ED3DD9">
        <w:rPr>
          <w:rFonts w:ascii="Palatino Linotype" w:eastAsia="Palatino Linotype" w:hAnsi="Palatino Linotype" w:cs="Palatino Linotype"/>
          <w:b/>
          <w:color w:val="000000"/>
        </w:rPr>
        <w:t>Décima</w:t>
      </w:r>
      <w:r w:rsidRPr="00ED3DD9">
        <w:rPr>
          <w:rFonts w:ascii="Palatino Linotype" w:eastAsia="Palatino Linotype" w:hAnsi="Palatino Linotype" w:cs="Palatino Linotype"/>
          <w:b/>
          <w:color w:val="000000"/>
        </w:rPr>
        <w:t xml:space="preserve"> S</w:t>
      </w:r>
      <w:r w:rsidR="002F40D1" w:rsidRPr="00ED3DD9">
        <w:rPr>
          <w:rFonts w:ascii="Palatino Linotype" w:eastAsia="Palatino Linotype" w:hAnsi="Palatino Linotype" w:cs="Palatino Linotype"/>
          <w:b/>
          <w:color w:val="000000"/>
        </w:rPr>
        <w:t>exta S</w:t>
      </w:r>
      <w:r w:rsidRPr="00ED3DD9">
        <w:rPr>
          <w:rFonts w:ascii="Palatino Linotype" w:eastAsia="Palatino Linotype" w:hAnsi="Palatino Linotype" w:cs="Palatino Linotype"/>
          <w:b/>
          <w:color w:val="000000"/>
        </w:rPr>
        <w:t>esión</w:t>
      </w:r>
      <w:r w:rsidRPr="00ED3DD9">
        <w:rPr>
          <w:rFonts w:ascii="Palatino Linotype" w:eastAsia="Palatino Linotype" w:hAnsi="Palatino Linotype" w:cs="Palatino Linotype"/>
          <w:color w:val="000000"/>
        </w:rPr>
        <w:t xml:space="preserve"> </w:t>
      </w:r>
      <w:r w:rsidRPr="00ED3DD9">
        <w:rPr>
          <w:rFonts w:ascii="Palatino Linotype" w:eastAsia="Palatino Linotype" w:hAnsi="Palatino Linotype" w:cs="Palatino Linotype"/>
          <w:b/>
          <w:color w:val="000000"/>
        </w:rPr>
        <w:t>Ordinaria</w:t>
      </w:r>
      <w:r w:rsidRPr="00ED3DD9">
        <w:rPr>
          <w:rFonts w:ascii="Palatino Linotype" w:eastAsia="Palatino Linotype" w:hAnsi="Palatino Linotype" w:cs="Palatino Linotype"/>
          <w:color w:val="000000"/>
        </w:rPr>
        <w:t xml:space="preserve"> de fecha </w:t>
      </w:r>
      <w:r w:rsidR="002F40D1" w:rsidRPr="00ED3DD9">
        <w:rPr>
          <w:rFonts w:ascii="Palatino Linotype" w:eastAsia="Palatino Linotype" w:hAnsi="Palatino Linotype" w:cs="Palatino Linotype"/>
          <w:b/>
          <w:color w:val="000000"/>
        </w:rPr>
        <w:t>ocho de mayo</w:t>
      </w:r>
      <w:r w:rsidRPr="00ED3DD9">
        <w:rPr>
          <w:rFonts w:ascii="Palatino Linotype" w:eastAsia="Palatino Linotype" w:hAnsi="Palatino Linotype" w:cs="Palatino Linotype"/>
          <w:b/>
          <w:color w:val="000000"/>
        </w:rPr>
        <w:t xml:space="preserve"> de dos mil veinticinco,</w:t>
      </w:r>
      <w:r w:rsidRPr="00ED3DD9">
        <w:rPr>
          <w:rFonts w:ascii="Palatino Linotype" w:eastAsia="Palatino Linotype" w:hAnsi="Palatino Linotype" w:cs="Palatino Linotype"/>
          <w:color w:val="000000"/>
        </w:rPr>
        <w:t xml:space="preserve"> ordenó la acumulación de los expedientes citados, a efecto de que la </w:t>
      </w:r>
      <w:r w:rsidRPr="00ED3DD9">
        <w:rPr>
          <w:rFonts w:ascii="Palatino Linotype" w:eastAsia="Palatino Linotype" w:hAnsi="Palatino Linotype" w:cs="Palatino Linotype"/>
          <w:b/>
          <w:color w:val="000000"/>
        </w:rPr>
        <w:t xml:space="preserve">Comisionada Guadalupe Ramírez Peña </w:t>
      </w:r>
      <w:r w:rsidRPr="00ED3DD9">
        <w:rPr>
          <w:rFonts w:ascii="Palatino Linotype" w:eastAsia="Palatino Linotype" w:hAnsi="Palatino Linotype" w:cs="Palatino Linotype"/>
          <w:color w:val="000000"/>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0DC39BD" w14:textId="77777777" w:rsidR="00CD20B8" w:rsidRPr="00ED3DD9" w:rsidRDefault="00CD20B8">
      <w:pPr>
        <w:spacing w:after="0" w:line="360" w:lineRule="auto"/>
        <w:jc w:val="both"/>
        <w:rPr>
          <w:rFonts w:ascii="Palatino Linotype" w:hAnsi="Palatino Linotype"/>
        </w:rPr>
      </w:pPr>
    </w:p>
    <w:p w14:paraId="0B9FD9EF" w14:textId="77777777" w:rsidR="00CD20B8" w:rsidRPr="00ED3DD9" w:rsidRDefault="00373EF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ED3DD9">
        <w:rPr>
          <w:rFonts w:ascii="Palatino Linotype" w:eastAsia="Palatino Linotype" w:hAnsi="Palatino Linotype" w:cs="Palatino Linotype"/>
          <w:b/>
          <w:i/>
        </w:rPr>
        <w:t>Código de Procedimientos Administrativos del Estado de México</w:t>
      </w:r>
    </w:p>
    <w:p w14:paraId="0E786A3D" w14:textId="77777777" w:rsidR="00CD20B8" w:rsidRPr="00ED3DD9" w:rsidRDefault="00373EF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ED3DD9">
        <w:rPr>
          <w:rFonts w:ascii="Palatino Linotype" w:eastAsia="Palatino Linotype" w:hAnsi="Palatino Linotype" w:cs="Palatino Linotype"/>
          <w:b/>
          <w:i/>
        </w:rPr>
        <w:t>“Artículo 18.-</w:t>
      </w:r>
      <w:r w:rsidRPr="00ED3DD9">
        <w:rPr>
          <w:rFonts w:ascii="Palatino Linotype" w:eastAsia="Palatino Linotype" w:hAnsi="Palatino Linotype" w:cs="Palatino Linotype"/>
          <w:i/>
        </w:rPr>
        <w:t xml:space="preserve"> </w:t>
      </w:r>
      <w:r w:rsidRPr="00ED3DD9">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ED3DD9">
        <w:rPr>
          <w:rFonts w:ascii="Palatino Linotype" w:eastAsia="Palatino Linotype" w:hAnsi="Palatino Linotype" w:cs="Palatino Linotype"/>
          <w:i/>
        </w:rPr>
        <w:t xml:space="preserve"> o a petición de parte, </w:t>
      </w:r>
      <w:r w:rsidRPr="00ED3DD9">
        <w:rPr>
          <w:rFonts w:ascii="Palatino Linotype" w:eastAsia="Palatino Linotype" w:hAnsi="Palatino Linotype" w:cs="Palatino Linotype"/>
          <w:b/>
          <w:i/>
        </w:rPr>
        <w:t>cuando las partes</w:t>
      </w:r>
      <w:r w:rsidRPr="00ED3DD9">
        <w:rPr>
          <w:rFonts w:ascii="Palatino Linotype" w:eastAsia="Palatino Linotype" w:hAnsi="Palatino Linotype" w:cs="Palatino Linotype"/>
          <w:i/>
        </w:rPr>
        <w:t xml:space="preserve"> o los actos administrativos sean iguales, se trate de actos conexos o </w:t>
      </w:r>
      <w:r w:rsidRPr="00ED3DD9">
        <w:rPr>
          <w:rFonts w:ascii="Palatino Linotype" w:eastAsia="Palatino Linotype" w:hAnsi="Palatino Linotype" w:cs="Palatino Linotype"/>
          <w:b/>
          <w:i/>
        </w:rPr>
        <w:t>resulte conveniente el trámite unificado de los asuntos, para evitar la emisión de resoluciones contradictorias</w:t>
      </w:r>
      <w:r w:rsidRPr="00ED3DD9">
        <w:rPr>
          <w:rFonts w:ascii="Palatino Linotype" w:eastAsia="Palatino Linotype" w:hAnsi="Palatino Linotype" w:cs="Palatino Linotype"/>
          <w:i/>
        </w:rPr>
        <w:t>. La misma regla se aplicará, en lo conducente, para la separación de los expedientes.”</w:t>
      </w:r>
    </w:p>
    <w:p w14:paraId="3C90536B" w14:textId="77777777" w:rsidR="00CD20B8" w:rsidRPr="00ED3DD9" w:rsidRDefault="00373EF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ED3DD9">
        <w:rPr>
          <w:rFonts w:ascii="Palatino Linotype" w:eastAsia="Palatino Linotype" w:hAnsi="Palatino Linotype" w:cs="Palatino Linotype"/>
          <w:b/>
          <w:i/>
        </w:rPr>
        <w:lastRenderedPageBreak/>
        <w:t>Ley de Transparencia y Acceso a la Información Pública del Estado de México y Municipios</w:t>
      </w:r>
    </w:p>
    <w:p w14:paraId="4420EFEE" w14:textId="77592CD9" w:rsidR="00CD20B8" w:rsidRPr="00ED3DD9" w:rsidRDefault="00373EF6" w:rsidP="002F40D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ED3DD9">
        <w:rPr>
          <w:rFonts w:ascii="Palatino Linotype" w:eastAsia="Palatino Linotype" w:hAnsi="Palatino Linotype" w:cs="Palatino Linotype"/>
          <w:b/>
          <w:i/>
        </w:rPr>
        <w:t>“Artículo 195.-</w:t>
      </w:r>
      <w:r w:rsidRPr="00ED3DD9">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D1697DF" w14:textId="77777777" w:rsidR="006742BB" w:rsidRPr="00ED3DD9" w:rsidRDefault="006742BB" w:rsidP="002727A8">
      <w:pPr>
        <w:spacing w:after="0" w:line="360" w:lineRule="auto"/>
        <w:ind w:right="49"/>
        <w:jc w:val="both"/>
        <w:rPr>
          <w:rFonts w:ascii="Palatino Linotype" w:eastAsia="Palatino Linotype" w:hAnsi="Palatino Linotype" w:cs="Palatino Linotype"/>
        </w:rPr>
      </w:pPr>
    </w:p>
    <w:p w14:paraId="2B3F6F81" w14:textId="096C2596" w:rsidR="002727A8" w:rsidRPr="00ED3DD9" w:rsidRDefault="00373EF6"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ED3DD9">
        <w:rPr>
          <w:rFonts w:ascii="Palatino Linotype" w:eastAsia="Palatino Linotype" w:hAnsi="Palatino Linotype" w:cs="Palatino Linotype"/>
          <w:b/>
        </w:rPr>
        <w:t>Recurrente</w:t>
      </w:r>
      <w:r w:rsidRPr="00ED3DD9">
        <w:rPr>
          <w:rFonts w:ascii="Palatino Linotype" w:eastAsia="Palatino Linotype" w:hAnsi="Palatino Linotype" w:cs="Palatino Linotype"/>
        </w:rPr>
        <w:t xml:space="preserve"> ante el mismo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64CA46FE" w14:textId="77777777" w:rsidR="002727A8" w:rsidRPr="00ED3DD9" w:rsidRDefault="002727A8" w:rsidP="002727A8">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047A496F" w14:textId="18D64E78" w:rsidR="002727A8" w:rsidRPr="00ED3DD9" w:rsidRDefault="002727A8" w:rsidP="002727A8">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rPr>
        <w:t>8.</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b/>
          <w:color w:val="000000"/>
        </w:rPr>
        <w:t xml:space="preserve">Requerimiento de Información Adicional. </w:t>
      </w:r>
      <w:r w:rsidRPr="00ED3DD9">
        <w:rPr>
          <w:rFonts w:ascii="Palatino Linotype" w:eastAsia="Palatino Linotype" w:hAnsi="Palatino Linotype" w:cs="Palatino Linotype"/>
          <w:color w:val="000000"/>
        </w:rPr>
        <w:t xml:space="preserve">El </w:t>
      </w:r>
      <w:r w:rsidRPr="00ED3DD9">
        <w:rPr>
          <w:rFonts w:ascii="Palatino Linotype" w:eastAsia="Palatino Linotype" w:hAnsi="Palatino Linotype" w:cs="Palatino Linotype"/>
          <w:b/>
          <w:color w:val="000000"/>
        </w:rPr>
        <w:t xml:space="preserve">dieciocho de julio de dos mil veinticinco </w:t>
      </w:r>
      <w:r w:rsidRPr="00ED3DD9">
        <w:rPr>
          <w:rFonts w:ascii="Palatino Linotype" w:eastAsia="Palatino Linotype" w:hAnsi="Palatino Linotype" w:cs="Palatino Linotype"/>
          <w:color w:val="000000"/>
        </w:rPr>
        <w:t xml:space="preserve">se notificó al </w:t>
      </w:r>
      <w:r w:rsidRPr="00ED3DD9">
        <w:rPr>
          <w:rFonts w:ascii="Palatino Linotype" w:eastAsia="Palatino Linotype" w:hAnsi="Palatino Linotype" w:cs="Palatino Linotype"/>
          <w:b/>
          <w:color w:val="000000"/>
        </w:rPr>
        <w:t xml:space="preserve">SUJETO OBLIGADO </w:t>
      </w:r>
      <w:r w:rsidRPr="00ED3DD9">
        <w:rPr>
          <w:rFonts w:ascii="Palatino Linotype" w:eastAsia="Palatino Linotype" w:hAnsi="Palatino Linotype" w:cs="Palatino Linotype"/>
          <w:color w:val="000000"/>
        </w:rPr>
        <w:t xml:space="preserve">un requerimiento de información adicional, con la finalidad de que proporcionara mayores elementos para solventar el Recurso de Revisión. </w:t>
      </w:r>
    </w:p>
    <w:p w14:paraId="625FCA3D" w14:textId="77777777" w:rsidR="002727A8" w:rsidRPr="00ED3DD9" w:rsidRDefault="002727A8" w:rsidP="002727A8">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rPr>
      </w:pPr>
    </w:p>
    <w:p w14:paraId="056EBDF6" w14:textId="08AF952C" w:rsidR="002727A8" w:rsidRPr="00ED3DD9" w:rsidRDefault="002727A8" w:rsidP="002727A8">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 xml:space="preserve">9. Desahogo del Requerimiento de Información Adicional. </w:t>
      </w:r>
      <w:r w:rsidRPr="00ED3DD9">
        <w:rPr>
          <w:rFonts w:ascii="Palatino Linotype" w:eastAsia="Palatino Linotype" w:hAnsi="Palatino Linotype" w:cs="Palatino Linotype"/>
          <w:color w:val="000000"/>
        </w:rPr>
        <w:t xml:space="preserve">El </w:t>
      </w:r>
      <w:r w:rsidRPr="00ED3DD9">
        <w:rPr>
          <w:rFonts w:ascii="Palatino Linotype" w:eastAsia="Palatino Linotype" w:hAnsi="Palatino Linotype" w:cs="Palatino Linotype"/>
          <w:b/>
          <w:color w:val="000000"/>
        </w:rPr>
        <w:t xml:space="preserve">SUJETO OBLIGADO </w:t>
      </w:r>
      <w:r w:rsidRPr="00ED3DD9">
        <w:rPr>
          <w:rFonts w:ascii="Palatino Linotype" w:eastAsia="Palatino Linotype" w:hAnsi="Palatino Linotype" w:cs="Palatino Linotype"/>
          <w:color w:val="000000"/>
        </w:rPr>
        <w:t xml:space="preserve">fue omiso en desahogar el requerimiento de información adicional. </w:t>
      </w:r>
    </w:p>
    <w:p w14:paraId="53E710AB"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554D6429" w14:textId="436805B4"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10.</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b/>
          <w:color w:val="000000"/>
        </w:rPr>
        <w:t>Ampliación de plazo:</w:t>
      </w:r>
      <w:r w:rsidRPr="00ED3DD9">
        <w:rPr>
          <w:rFonts w:ascii="Palatino Linotype" w:eastAsia="Palatino Linotype" w:hAnsi="Palatino Linotype" w:cs="Palatino Linotype"/>
          <w:color w:val="000000"/>
        </w:rPr>
        <w:t xml:space="preserve"> El </w:t>
      </w:r>
      <w:r w:rsidRPr="00ED3DD9">
        <w:rPr>
          <w:rFonts w:ascii="Palatino Linotype" w:eastAsia="Palatino Linotype" w:hAnsi="Palatino Linotype" w:cs="Palatino Linotype"/>
          <w:b/>
          <w:color w:val="000000"/>
        </w:rPr>
        <w:t>trece de agosto de dos mil veinticinco</w:t>
      </w:r>
      <w:r w:rsidRPr="00ED3DD9">
        <w:rPr>
          <w:rFonts w:ascii="Palatino Linotype" w:eastAsia="Palatino Linotype" w:hAnsi="Palatino Linotype" w:cs="Palatino Linotype"/>
          <w:color w:val="000000"/>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5085163"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23C2DC74" w14:textId="71B6F4A1"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59015B3"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9D396A"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 </w:t>
      </w:r>
    </w:p>
    <w:p w14:paraId="41B052A0"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5EAA08"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5EADA994"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74F8734"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5102BA12"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0A918C1"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2227AA9D" w14:textId="77777777" w:rsidR="002727A8" w:rsidRPr="00ED3DD9" w:rsidRDefault="002727A8" w:rsidP="002727A8">
      <w:pPr>
        <w:tabs>
          <w:tab w:val="left" w:pos="709"/>
        </w:tabs>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a)    Complejidad del asunto:</w:t>
      </w:r>
      <w:r w:rsidRPr="00ED3DD9">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6C8FE4F" w14:textId="77777777" w:rsidR="002727A8" w:rsidRPr="00ED3DD9" w:rsidRDefault="002727A8" w:rsidP="002727A8">
      <w:pPr>
        <w:tabs>
          <w:tab w:val="left" w:pos="709"/>
        </w:tabs>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b)   Actividad Procesal del interesado</w:t>
      </w:r>
      <w:r w:rsidRPr="00ED3DD9">
        <w:rPr>
          <w:rFonts w:ascii="Palatino Linotype" w:eastAsia="Palatino Linotype" w:hAnsi="Palatino Linotype" w:cs="Palatino Linotype"/>
        </w:rPr>
        <w:t>: Acciones u omisiones del interesado.</w:t>
      </w:r>
    </w:p>
    <w:p w14:paraId="47D0FC28" w14:textId="77777777" w:rsidR="002727A8" w:rsidRPr="00ED3DD9" w:rsidRDefault="002727A8" w:rsidP="002727A8">
      <w:pPr>
        <w:tabs>
          <w:tab w:val="left" w:pos="851"/>
        </w:tabs>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c)  Conducta de la Autoridad:</w:t>
      </w:r>
      <w:r w:rsidRPr="00ED3DD9">
        <w:rPr>
          <w:rFonts w:ascii="Palatino Linotype" w:eastAsia="Palatino Linotype" w:hAnsi="Palatino Linotype" w:cs="Palatino Linotype"/>
        </w:rPr>
        <w:t xml:space="preserve"> Las Acciones u omisiones realizadas en el procedimiento. Así como si la autoridad actuó con la debida diligencia.</w:t>
      </w:r>
    </w:p>
    <w:p w14:paraId="3766741B" w14:textId="77777777" w:rsidR="002727A8" w:rsidRPr="00ED3DD9" w:rsidRDefault="002727A8" w:rsidP="002727A8">
      <w:pPr>
        <w:tabs>
          <w:tab w:val="left" w:pos="851"/>
        </w:tabs>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lastRenderedPageBreak/>
        <w:t>d) La afectación generada en la situación jurídica de la persona involucrada en el proceso:</w:t>
      </w:r>
      <w:r w:rsidRPr="00ED3DD9">
        <w:rPr>
          <w:rFonts w:ascii="Palatino Linotype" w:eastAsia="Palatino Linotype" w:hAnsi="Palatino Linotype" w:cs="Palatino Linotype"/>
        </w:rPr>
        <w:t xml:space="preserve"> Violación a sus derechos humanos.</w:t>
      </w:r>
    </w:p>
    <w:p w14:paraId="70810706"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p>
    <w:p w14:paraId="20F75B81"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7E341C"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 </w:t>
      </w:r>
    </w:p>
    <w:p w14:paraId="20A2049E"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Argumento que encuentra sustento en la jurisprudencia P./J. 32/92 emitida por el Pleno de la Suprema Corte de Justicia de la Nación de rubro “</w:t>
      </w:r>
      <w:r w:rsidRPr="00ED3DD9">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ED3DD9">
        <w:rPr>
          <w:rFonts w:ascii="Palatino Linotype" w:eastAsia="Palatino Linotype" w:hAnsi="Palatino Linotype" w:cs="Palatino Linotype"/>
        </w:rPr>
        <w:t>, visible en la Gaceta del Seminario Judicial de la Federación con el registro digital 205635.</w:t>
      </w:r>
    </w:p>
    <w:p w14:paraId="0297F133"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 </w:t>
      </w:r>
    </w:p>
    <w:p w14:paraId="7E4C6B6B" w14:textId="12D3BDA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C1E79F"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DDFB36D" w14:textId="77777777" w:rsidR="002727A8" w:rsidRPr="00ED3DD9" w:rsidRDefault="002727A8" w:rsidP="002727A8">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 </w:t>
      </w:r>
    </w:p>
    <w:p w14:paraId="79F32F51" w14:textId="77777777" w:rsidR="002727A8" w:rsidRPr="00ED3DD9" w:rsidRDefault="002727A8" w:rsidP="002727A8">
      <w:pPr>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 xml:space="preserve"> “PLAZO RAZONABLE PARA RESOLVER. DIMENSIÓN Y EFECTOS DE ESTE CONCEPTO CUANDO SE ADUCE EXCESIVA CARGA DE TRABAJO.”</w:t>
      </w:r>
      <w:r w:rsidRPr="00ED3DD9">
        <w:rPr>
          <w:rFonts w:ascii="Palatino Linotype" w:eastAsia="Palatino Linotype" w:hAnsi="Palatino Linotype" w:cs="Palatino Linotype"/>
        </w:rPr>
        <w:t xml:space="preserve"> consultable en el Seminario Judicial de la Federación y su gaceta, con el registro digital 2002351.</w:t>
      </w:r>
    </w:p>
    <w:p w14:paraId="016B24A6" w14:textId="77777777" w:rsidR="002727A8" w:rsidRPr="00ED3DD9" w:rsidRDefault="002727A8" w:rsidP="002727A8">
      <w:pPr>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 </w:t>
      </w:r>
    </w:p>
    <w:p w14:paraId="0669AF47" w14:textId="77777777" w:rsidR="002727A8" w:rsidRPr="00ED3DD9" w:rsidRDefault="002727A8" w:rsidP="002727A8">
      <w:pPr>
        <w:spacing w:after="0" w:line="360" w:lineRule="auto"/>
        <w:ind w:left="567" w:right="560"/>
        <w:jc w:val="both"/>
        <w:rPr>
          <w:rFonts w:ascii="Palatino Linotype" w:eastAsia="Palatino Linotype" w:hAnsi="Palatino Linotype" w:cs="Palatino Linotype"/>
        </w:rPr>
      </w:pPr>
      <w:r w:rsidRPr="00ED3DD9">
        <w:rPr>
          <w:rFonts w:ascii="Palatino Linotype" w:eastAsia="Palatino Linotype" w:hAnsi="Palatino Linotype" w:cs="Palatino Linotype"/>
          <w:b/>
        </w:rPr>
        <w:t>“PLAZO RAZONABLE PARA RESOLVER. CONCEPTO Y ELEMENTOS QUE LO INTEGRAN A LA LUZ DEL DERECHO INTERNACIONAL DE LOS DERECHOS HUMANOS.”,</w:t>
      </w:r>
      <w:r w:rsidRPr="00ED3DD9">
        <w:rPr>
          <w:rFonts w:ascii="Palatino Linotype" w:eastAsia="Palatino Linotype" w:hAnsi="Palatino Linotype" w:cs="Palatino Linotype"/>
        </w:rPr>
        <w:t xml:space="preserve"> visible en el Seminario Judicial de la Federación y su gaceta, con el registro digital 2002350.</w:t>
      </w:r>
    </w:p>
    <w:p w14:paraId="1F75E866" w14:textId="77777777" w:rsidR="002727A8" w:rsidRPr="00ED3DD9" w:rsidRDefault="002727A8" w:rsidP="002727A8">
      <w:pPr>
        <w:spacing w:after="0" w:line="360" w:lineRule="auto"/>
        <w:ind w:left="567" w:right="560"/>
        <w:jc w:val="both"/>
        <w:rPr>
          <w:rFonts w:ascii="Palatino Linotype" w:eastAsia="Palatino Linotype" w:hAnsi="Palatino Linotype" w:cs="Palatino Linotype"/>
        </w:rPr>
      </w:pPr>
    </w:p>
    <w:p w14:paraId="09615979" w14:textId="77777777" w:rsidR="002727A8" w:rsidRPr="00ED3DD9" w:rsidRDefault="002727A8" w:rsidP="002727A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0A2A7C5B" w14:textId="77777777" w:rsidR="002727A8" w:rsidRPr="00ED3DD9" w:rsidRDefault="002727A8" w:rsidP="002727A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73DBC428" w14:textId="711FE1E4" w:rsidR="00CD20B8" w:rsidRPr="00ED3DD9" w:rsidRDefault="002727A8" w:rsidP="002727A8">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rPr>
        <w:t>9.</w:t>
      </w:r>
      <w:r w:rsidRPr="00ED3DD9">
        <w:rPr>
          <w:rFonts w:ascii="Palatino Linotype" w:eastAsia="Palatino Linotype" w:hAnsi="Palatino Linotype" w:cs="Palatino Linotype"/>
        </w:rPr>
        <w:t xml:space="preserve"> </w:t>
      </w:r>
      <w:r w:rsidR="00373EF6" w:rsidRPr="00ED3DD9">
        <w:rPr>
          <w:rFonts w:ascii="Palatino Linotype" w:eastAsia="Palatino Linotype" w:hAnsi="Palatino Linotype" w:cs="Palatino Linotype"/>
          <w:b/>
          <w:color w:val="000000"/>
        </w:rPr>
        <w:t>Cierre de instrucción</w:t>
      </w:r>
      <w:r w:rsidR="00373EF6" w:rsidRPr="00ED3DD9">
        <w:rPr>
          <w:rFonts w:ascii="Palatino Linotype" w:eastAsia="Palatino Linotype" w:hAnsi="Palatino Linotype" w:cs="Palatino Linotype"/>
          <w:color w:val="000000"/>
        </w:rPr>
        <w:t xml:space="preserve">. En fecha </w:t>
      </w:r>
      <w:r w:rsidRPr="00ED3DD9">
        <w:rPr>
          <w:rFonts w:ascii="Palatino Linotype" w:eastAsia="Palatino Linotype" w:hAnsi="Palatino Linotype" w:cs="Palatino Linotype"/>
          <w:b/>
          <w:color w:val="000000"/>
        </w:rPr>
        <w:t>diecinueve</w:t>
      </w:r>
      <w:r w:rsidR="002F40D1" w:rsidRPr="00ED3DD9">
        <w:rPr>
          <w:rFonts w:ascii="Palatino Linotype" w:eastAsia="Palatino Linotype" w:hAnsi="Palatino Linotype" w:cs="Palatino Linotype"/>
          <w:b/>
          <w:color w:val="000000"/>
        </w:rPr>
        <w:t xml:space="preserve"> de agosto</w:t>
      </w:r>
      <w:r w:rsidR="00373EF6" w:rsidRPr="00ED3DD9">
        <w:rPr>
          <w:rFonts w:ascii="Palatino Linotype" w:eastAsia="Palatino Linotype" w:hAnsi="Palatino Linotype" w:cs="Palatino Linotype"/>
          <w:b/>
          <w:color w:val="000000"/>
        </w:rPr>
        <w:t xml:space="preserve"> de dos mil veinticinco</w:t>
      </w:r>
      <w:r w:rsidR="00373EF6" w:rsidRPr="00ED3DD9">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14:paraId="51012ACA" w14:textId="77777777" w:rsidR="00CD20B8" w:rsidRPr="00ED3DD9" w:rsidRDefault="00CD20B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34D375C1"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 xml:space="preserve">Debido a que fueron debidamente sustanciados los expedientes electrónicos y no existe diligencia pendiente de desahogo, se emite la Resolución que conforme a Derecho proceda, de acuerdo con los siguientes: </w:t>
      </w:r>
    </w:p>
    <w:p w14:paraId="2F5935F2" w14:textId="77777777" w:rsidR="00CD20B8" w:rsidRPr="00ED3DD9" w:rsidRDefault="00CD20B8">
      <w:pPr>
        <w:spacing w:after="0" w:line="360" w:lineRule="auto"/>
        <w:ind w:right="49"/>
        <w:jc w:val="both"/>
        <w:rPr>
          <w:rFonts w:ascii="Palatino Linotype" w:eastAsia="Palatino Linotype" w:hAnsi="Palatino Linotype" w:cs="Palatino Linotype"/>
        </w:rPr>
      </w:pPr>
    </w:p>
    <w:p w14:paraId="0C774DAC" w14:textId="77777777" w:rsidR="00CD20B8" w:rsidRPr="00ED3DD9" w:rsidRDefault="00373EF6">
      <w:pPr>
        <w:spacing w:after="0" w:line="360" w:lineRule="auto"/>
        <w:ind w:right="49"/>
        <w:jc w:val="center"/>
        <w:rPr>
          <w:rFonts w:ascii="Palatino Linotype" w:eastAsia="Palatino Linotype" w:hAnsi="Palatino Linotype" w:cs="Palatino Linotype"/>
          <w:b/>
        </w:rPr>
      </w:pPr>
      <w:r w:rsidRPr="00ED3DD9">
        <w:rPr>
          <w:rFonts w:ascii="Palatino Linotype" w:eastAsia="Palatino Linotype" w:hAnsi="Palatino Linotype" w:cs="Palatino Linotype"/>
          <w:b/>
        </w:rPr>
        <w:t>II.</w:t>
      </w:r>
      <w:r w:rsidRPr="00ED3DD9">
        <w:rPr>
          <w:rFonts w:ascii="Palatino Linotype" w:eastAsia="Palatino Linotype" w:hAnsi="Palatino Linotype" w:cs="Palatino Linotype"/>
          <w:b/>
        </w:rPr>
        <w:tab/>
        <w:t>C O N S I D E R A N D O:</w:t>
      </w:r>
    </w:p>
    <w:p w14:paraId="57EB8145" w14:textId="77777777" w:rsidR="00CD20B8" w:rsidRPr="00ED3DD9" w:rsidRDefault="00CD20B8">
      <w:pPr>
        <w:spacing w:after="0" w:line="360" w:lineRule="auto"/>
        <w:ind w:right="49"/>
        <w:jc w:val="both"/>
        <w:rPr>
          <w:rFonts w:ascii="Palatino Linotype" w:eastAsia="Palatino Linotype" w:hAnsi="Palatino Linotype" w:cs="Palatino Linotype"/>
        </w:rPr>
      </w:pPr>
    </w:p>
    <w:p w14:paraId="7578F267" w14:textId="77777777" w:rsidR="006742BB" w:rsidRPr="00ED3DD9" w:rsidRDefault="006742BB" w:rsidP="006742BB">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b/>
        </w:rPr>
        <w:t>Primero. Competencia.</w:t>
      </w:r>
      <w:r w:rsidRPr="00ED3DD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B56B0AC" w14:textId="77777777" w:rsidR="006B7799" w:rsidRPr="00ED3DD9" w:rsidRDefault="006B7799" w:rsidP="006B7799">
      <w:pPr>
        <w:spacing w:after="0" w:line="360" w:lineRule="auto"/>
        <w:ind w:right="49"/>
        <w:jc w:val="both"/>
        <w:rPr>
          <w:rFonts w:ascii="Palatino Linotype" w:eastAsia="Palatino Linotype" w:hAnsi="Palatino Linotype" w:cs="Palatino Linotype"/>
        </w:rPr>
      </w:pPr>
    </w:p>
    <w:p w14:paraId="3E488123"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Segundo. Oportunidad y Procedibilidad del Recurso de Revisión.</w:t>
      </w:r>
      <w:r w:rsidRPr="00ED3DD9">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E8EDE83"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xml:space="preserve"> remitió las respuestas a las </w:t>
      </w:r>
      <w:r w:rsidRPr="00ED3DD9">
        <w:rPr>
          <w:rFonts w:ascii="Palatino Linotype" w:eastAsia="Palatino Linotype" w:hAnsi="Palatino Linotype" w:cs="Palatino Linotype"/>
        </w:rPr>
        <w:lastRenderedPageBreak/>
        <w:t xml:space="preserve">solicitudes de información y los recursos de revisión fueron interpuestos por la parte </w:t>
      </w:r>
      <w:r w:rsidRPr="00ED3DD9">
        <w:rPr>
          <w:rFonts w:ascii="Palatino Linotype" w:eastAsia="Palatino Linotype" w:hAnsi="Palatino Linotype" w:cs="Palatino Linotype"/>
          <w:b/>
        </w:rPr>
        <w:t xml:space="preserve">RECURRENTE </w:t>
      </w:r>
      <w:r w:rsidRPr="00ED3DD9">
        <w:rPr>
          <w:rFonts w:ascii="Palatino Linotype" w:eastAsia="Palatino Linotype" w:hAnsi="Palatino Linotype" w:cs="Palatino Linotype"/>
        </w:rPr>
        <w:t>en los siguientes días:</w:t>
      </w:r>
    </w:p>
    <w:p w14:paraId="49FB31FD" w14:textId="77777777" w:rsidR="00CD20B8" w:rsidRPr="00ED3DD9" w:rsidRDefault="00CD20B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4B98E0D" w14:textId="1EE35F5E" w:rsidR="00CD20B8" w:rsidRPr="00ED3DD9" w:rsidRDefault="00373EF6" w:rsidP="002727A8">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El Sujeto Obligado emitió respuestas el </w:t>
      </w:r>
      <w:r w:rsidR="00141726" w:rsidRPr="00ED3DD9">
        <w:rPr>
          <w:rFonts w:ascii="Palatino Linotype" w:eastAsia="Palatino Linotype" w:hAnsi="Palatino Linotype" w:cs="Palatino Linotype"/>
          <w:b/>
          <w:color w:val="000000"/>
        </w:rPr>
        <w:t>veinticinco</w:t>
      </w:r>
      <w:r w:rsidR="002F40D1" w:rsidRPr="00ED3DD9">
        <w:rPr>
          <w:rFonts w:ascii="Palatino Linotype" w:eastAsia="Palatino Linotype" w:hAnsi="Palatino Linotype" w:cs="Palatino Linotype"/>
          <w:b/>
          <w:color w:val="000000"/>
        </w:rPr>
        <w:t xml:space="preserve"> de abril</w:t>
      </w:r>
      <w:r w:rsidR="001935FC" w:rsidRPr="00ED3DD9">
        <w:rPr>
          <w:rFonts w:ascii="Palatino Linotype" w:eastAsia="Palatino Linotype" w:hAnsi="Palatino Linotype" w:cs="Palatino Linotype"/>
          <w:b/>
          <w:color w:val="000000"/>
        </w:rPr>
        <w:t xml:space="preserve"> </w:t>
      </w:r>
      <w:r w:rsidR="00C86653" w:rsidRPr="00ED3DD9">
        <w:rPr>
          <w:rFonts w:ascii="Palatino Linotype" w:eastAsia="Palatino Linotype" w:hAnsi="Palatino Linotype" w:cs="Palatino Linotype"/>
          <w:b/>
          <w:color w:val="000000"/>
        </w:rPr>
        <w:t>de dos mil veinticinco</w:t>
      </w:r>
      <w:r w:rsidRPr="00ED3DD9">
        <w:rPr>
          <w:rFonts w:ascii="Palatino Linotype" w:eastAsia="Palatino Linotype" w:hAnsi="Palatino Linotype" w:cs="Palatino Linotype"/>
          <w:b/>
          <w:color w:val="000000"/>
        </w:rPr>
        <w:t xml:space="preserve"> </w:t>
      </w:r>
      <w:r w:rsidRPr="00ED3DD9">
        <w:rPr>
          <w:rFonts w:ascii="Palatino Linotype" w:eastAsia="Palatino Linotype" w:hAnsi="Palatino Linotype" w:cs="Palatino Linotype"/>
          <w:color w:val="000000"/>
        </w:rPr>
        <w:t xml:space="preserve">y la parte Recurrente interpuso su recurso de revisión el </w:t>
      </w:r>
      <w:r w:rsidR="00141726" w:rsidRPr="00ED3DD9">
        <w:rPr>
          <w:rFonts w:ascii="Palatino Linotype" w:eastAsia="Palatino Linotype" w:hAnsi="Palatino Linotype" w:cs="Palatino Linotype"/>
          <w:b/>
          <w:color w:val="000000"/>
        </w:rPr>
        <w:t>veinticinco</w:t>
      </w:r>
      <w:r w:rsidR="002F40D1" w:rsidRPr="00ED3DD9">
        <w:rPr>
          <w:rFonts w:ascii="Palatino Linotype" w:eastAsia="Palatino Linotype" w:hAnsi="Palatino Linotype" w:cs="Palatino Linotype"/>
          <w:b/>
          <w:color w:val="000000"/>
        </w:rPr>
        <w:t xml:space="preserve"> de abril</w:t>
      </w:r>
      <w:r w:rsidRPr="00ED3DD9">
        <w:rPr>
          <w:rFonts w:ascii="Palatino Linotype" w:eastAsia="Palatino Linotype" w:hAnsi="Palatino Linotype" w:cs="Palatino Linotype"/>
          <w:b/>
          <w:color w:val="000000"/>
        </w:rPr>
        <w:t xml:space="preserve"> de dos mil </w:t>
      </w:r>
      <w:r w:rsidR="006E7ADF" w:rsidRPr="00ED3DD9">
        <w:rPr>
          <w:rFonts w:ascii="Palatino Linotype" w:eastAsia="Palatino Linotype" w:hAnsi="Palatino Linotype" w:cs="Palatino Linotype"/>
          <w:b/>
          <w:color w:val="000000"/>
        </w:rPr>
        <w:t xml:space="preserve">veinte </w:t>
      </w:r>
      <w:r w:rsidR="001935FC" w:rsidRPr="00ED3DD9">
        <w:rPr>
          <w:rFonts w:ascii="Palatino Linotype" w:eastAsia="Palatino Linotype" w:hAnsi="Palatino Linotype" w:cs="Palatino Linotype"/>
          <w:b/>
          <w:color w:val="000000"/>
        </w:rPr>
        <w:t xml:space="preserve">esto es el mismo día </w:t>
      </w:r>
      <w:r w:rsidR="001935FC" w:rsidRPr="00ED3DD9">
        <w:rPr>
          <w:rFonts w:ascii="Palatino Linotype" w:eastAsia="Palatino Linotype" w:hAnsi="Palatino Linotype" w:cs="Palatino Linotype"/>
          <w:color w:val="000000"/>
        </w:rPr>
        <w:t xml:space="preserve">hábil </w:t>
      </w:r>
      <w:r w:rsidRPr="00ED3DD9">
        <w:rPr>
          <w:rFonts w:ascii="Palatino Linotype" w:eastAsia="Palatino Linotype" w:hAnsi="Palatino Linotype" w:cs="Palatino Linotype"/>
          <w:color w:val="000000"/>
        </w:rPr>
        <w:t xml:space="preserve">en que tuvo conocimiento de la respuesta. </w:t>
      </w:r>
    </w:p>
    <w:p w14:paraId="1D8B6C14" w14:textId="77777777" w:rsidR="00CD20B8" w:rsidRPr="00ED3DD9" w:rsidRDefault="00CD20B8" w:rsidP="002727A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547644C3" w14:textId="77777777" w:rsidR="002727A8" w:rsidRPr="00ED3DD9" w:rsidRDefault="002727A8" w:rsidP="002727A8">
      <w:pPr>
        <w:spacing w:after="0" w:line="360" w:lineRule="auto"/>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6D78B09" w14:textId="77777777" w:rsidR="002727A8" w:rsidRPr="00ED3DD9" w:rsidRDefault="002727A8" w:rsidP="002727A8">
      <w:pPr>
        <w:spacing w:after="0" w:line="360" w:lineRule="auto"/>
        <w:jc w:val="both"/>
        <w:rPr>
          <w:rFonts w:ascii="Times New Roman" w:eastAsia="Times New Roman" w:hAnsi="Times New Roman" w:cs="Times New Roman"/>
        </w:rPr>
      </w:pPr>
    </w:p>
    <w:p w14:paraId="18F0A76F" w14:textId="0EAF0661" w:rsidR="002727A8" w:rsidRPr="00ED3DD9" w:rsidRDefault="002727A8" w:rsidP="002727A8">
      <w:pPr>
        <w:tabs>
          <w:tab w:val="left" w:pos="4536"/>
        </w:tabs>
        <w:spacing w:after="0" w:line="276" w:lineRule="auto"/>
        <w:ind w:left="567" w:right="560"/>
        <w:jc w:val="both"/>
        <w:rPr>
          <w:rFonts w:ascii="Times New Roman" w:eastAsia="Times New Roman" w:hAnsi="Times New Roman" w:cs="Times New Roman"/>
        </w:rPr>
      </w:pPr>
      <w:r w:rsidRPr="00ED3DD9">
        <w:rPr>
          <w:rFonts w:ascii="Palatino Linotype" w:eastAsia="Times New Roman" w:hAnsi="Palatino Linotype" w:cs="Times New Roman"/>
          <w:b/>
          <w:bCs/>
          <w:i/>
          <w:iCs/>
          <w:color w:val="000000"/>
        </w:rPr>
        <w:t>“RECURSO DE RECLAMACIÓN. SU INTERPOSICIÓN NO ES EXTEMPORÁNEA SI SE REALIZA ANTES DE QUE INICIE EL PLAZO PARA HACERLO</w:t>
      </w:r>
      <w:r w:rsidRPr="00ED3DD9">
        <w:rPr>
          <w:rFonts w:ascii="Palatino Linotype" w:eastAsia="Times New Roman" w:hAnsi="Palatino Linotype" w:cs="Times New Roman"/>
          <w:i/>
          <w:iCs/>
          <w:color w:val="000000"/>
        </w:rPr>
        <w:t>.</w:t>
      </w:r>
      <w:r w:rsidRPr="00ED3DD9">
        <w:rPr>
          <w:rFonts w:ascii="Times New Roman" w:eastAsia="Times New Roman" w:hAnsi="Times New Roman" w:cs="Times New Roman"/>
        </w:rPr>
        <w:t xml:space="preserve"> </w:t>
      </w:r>
      <w:r w:rsidRPr="00ED3DD9">
        <w:rPr>
          <w:rFonts w:ascii="Palatino Linotype" w:eastAsia="Times New Roman" w:hAnsi="Palatino Linotype" w:cs="Times New Roman"/>
          <w:i/>
          <w:iCs/>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5A8ED60" w14:textId="77777777" w:rsidR="002727A8" w:rsidRPr="00ED3DD9" w:rsidRDefault="002727A8" w:rsidP="002727A8">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7E67C80C" w14:textId="6F29E7A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ED3DD9">
        <w:rPr>
          <w:rFonts w:ascii="Palatino Linotype" w:eastAsia="Palatino Linotype" w:hAnsi="Palatino Linotype" w:cs="Palatino Linotype"/>
          <w:b/>
        </w:rPr>
        <w:t>SAIMEX</w:t>
      </w:r>
      <w:r w:rsidRPr="00ED3DD9">
        <w:rPr>
          <w:rFonts w:ascii="Palatino Linotype" w:eastAsia="Palatino Linotype" w:hAnsi="Palatino Linotype" w:cs="Palatino Linotype"/>
        </w:rPr>
        <w:t xml:space="preserve">.  </w:t>
      </w:r>
    </w:p>
    <w:p w14:paraId="4790685E" w14:textId="77777777" w:rsidR="002727A8" w:rsidRPr="00ED3DD9" w:rsidRDefault="002727A8">
      <w:pPr>
        <w:spacing w:after="0" w:line="360" w:lineRule="auto"/>
        <w:ind w:right="49"/>
        <w:jc w:val="both"/>
        <w:rPr>
          <w:rFonts w:ascii="Palatino Linotype" w:eastAsia="Palatino Linotype" w:hAnsi="Palatino Linotype" w:cs="Palatino Linotype"/>
        </w:rPr>
      </w:pPr>
    </w:p>
    <w:p w14:paraId="6E727229" w14:textId="6619A4D0"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Finalmente, resulta procedente la interposición de los recursos de revisión al rubro anotado, toda vez que se actualiza la hipótesis de procedencia previst</w:t>
      </w:r>
      <w:r w:rsidR="00924BE6" w:rsidRPr="00ED3DD9">
        <w:rPr>
          <w:rFonts w:ascii="Palatino Linotype" w:eastAsia="Palatino Linotype" w:hAnsi="Palatino Linotype" w:cs="Palatino Linotype"/>
        </w:rPr>
        <w:t xml:space="preserve">a en el artículo 179, fracción </w:t>
      </w:r>
      <w:r w:rsidR="002F40D1" w:rsidRPr="00ED3DD9">
        <w:rPr>
          <w:rFonts w:ascii="Palatino Linotype" w:eastAsia="Palatino Linotype" w:hAnsi="Palatino Linotype" w:cs="Palatino Linotype"/>
        </w:rPr>
        <w:t>I</w:t>
      </w:r>
      <w:r w:rsidR="006742BB"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rPr>
        <w:t>de la Ley de la materia, que a la letra dice:</w:t>
      </w:r>
    </w:p>
    <w:p w14:paraId="37928E33" w14:textId="77777777" w:rsidR="00CD20B8" w:rsidRPr="00ED3DD9" w:rsidRDefault="00CD20B8">
      <w:pPr>
        <w:spacing w:after="0" w:line="360" w:lineRule="auto"/>
        <w:ind w:right="49"/>
        <w:jc w:val="both"/>
        <w:rPr>
          <w:rFonts w:ascii="Palatino Linotype" w:eastAsia="Palatino Linotype" w:hAnsi="Palatino Linotype" w:cs="Palatino Linotype"/>
        </w:rPr>
      </w:pPr>
    </w:p>
    <w:p w14:paraId="0C660562"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Artículo 179.</w:t>
      </w:r>
      <w:r w:rsidRPr="00ED3DD9">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0E945B0"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5023368C" w14:textId="71A3F5BE" w:rsidR="00CD20B8" w:rsidRPr="00ED3DD9" w:rsidRDefault="002F40D1">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I</w:t>
      </w:r>
      <w:r w:rsidR="00373EF6" w:rsidRPr="00ED3DD9">
        <w:rPr>
          <w:rFonts w:ascii="Palatino Linotype" w:eastAsia="Palatino Linotype" w:hAnsi="Palatino Linotype" w:cs="Palatino Linotype"/>
          <w:i/>
        </w:rPr>
        <w:t>. La</w:t>
      </w:r>
      <w:r w:rsidRPr="00ED3DD9">
        <w:rPr>
          <w:rFonts w:ascii="Palatino Linotype" w:eastAsia="Palatino Linotype" w:hAnsi="Palatino Linotype" w:cs="Palatino Linotype"/>
          <w:i/>
        </w:rPr>
        <w:t xml:space="preserve"> negativa de entrega de la información</w:t>
      </w:r>
      <w:r w:rsidR="00373EF6" w:rsidRPr="00ED3DD9">
        <w:rPr>
          <w:rFonts w:ascii="Palatino Linotype" w:eastAsia="Palatino Linotype" w:hAnsi="Palatino Linotype" w:cs="Palatino Linotype"/>
          <w:i/>
        </w:rPr>
        <w:t>;</w:t>
      </w:r>
    </w:p>
    <w:p w14:paraId="74D192D0" w14:textId="1CB2DE30" w:rsidR="0081081E" w:rsidRPr="00ED3DD9" w:rsidRDefault="0081081E" w:rsidP="001935FC">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26FA2668" w14:textId="77777777" w:rsidR="00CD20B8" w:rsidRPr="00ED3DD9" w:rsidRDefault="00CD20B8">
      <w:pPr>
        <w:spacing w:after="0" w:line="360" w:lineRule="auto"/>
        <w:ind w:right="49"/>
        <w:jc w:val="both"/>
        <w:rPr>
          <w:rFonts w:ascii="Palatino Linotype" w:eastAsia="Palatino Linotype" w:hAnsi="Palatino Linotype" w:cs="Palatino Linotype"/>
          <w:b/>
        </w:rPr>
      </w:pPr>
    </w:p>
    <w:p w14:paraId="65A02C89" w14:textId="2DCB5B9A"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Tercero. Materia de la revisión</w:t>
      </w:r>
      <w:r w:rsidRPr="00ED3DD9">
        <w:rPr>
          <w:rFonts w:ascii="Palatino Linotype" w:eastAsia="Palatino Linotype" w:hAnsi="Palatino Linotype" w:cs="Palatino Linotype"/>
        </w:rPr>
        <w:t>. De la revisión a las constancias y documentos que obran en los expedientes electrónicos se advierte, que el tema sobre el que este Organismo Garante de Transparencia y Acceso a la Información se pronunciará será  determinar, si se actualiza la hipót</w:t>
      </w:r>
      <w:r w:rsidR="0081081E" w:rsidRPr="00ED3DD9">
        <w:rPr>
          <w:rFonts w:ascii="Palatino Linotype" w:eastAsia="Palatino Linotype" w:hAnsi="Palatino Linotype" w:cs="Palatino Linotype"/>
        </w:rPr>
        <w:t xml:space="preserve">esis prevista en la fracción </w:t>
      </w:r>
      <w:r w:rsidR="002F40D1" w:rsidRPr="00ED3DD9">
        <w:rPr>
          <w:rFonts w:ascii="Palatino Linotype" w:eastAsia="Palatino Linotype" w:hAnsi="Palatino Linotype" w:cs="Palatino Linotype"/>
        </w:rPr>
        <w:t>I</w:t>
      </w:r>
      <w:r w:rsidRPr="00ED3DD9">
        <w:rPr>
          <w:rFonts w:ascii="Palatino Linotype" w:eastAsia="Palatino Linotype" w:hAnsi="Palatino Linotype" w:cs="Palatino Linotype"/>
        </w:rPr>
        <w:t xml:space="preserve"> del artículo 179 de la Ley en la materia. </w:t>
      </w:r>
    </w:p>
    <w:p w14:paraId="4CD96BEB" w14:textId="77777777" w:rsidR="00CD20B8" w:rsidRPr="00ED3DD9" w:rsidRDefault="00CD20B8">
      <w:pPr>
        <w:spacing w:after="0" w:line="360" w:lineRule="auto"/>
        <w:ind w:right="49"/>
        <w:jc w:val="both"/>
        <w:rPr>
          <w:rFonts w:ascii="Palatino Linotype" w:eastAsia="Palatino Linotype" w:hAnsi="Palatino Linotype" w:cs="Palatino Linotype"/>
        </w:rPr>
      </w:pPr>
    </w:p>
    <w:p w14:paraId="4C0E02A4"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Cuarto.</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b/>
        </w:rPr>
        <w:t>Estudio de fondo del asunto.</w:t>
      </w:r>
      <w:r w:rsidRPr="00ED3DD9">
        <w:rPr>
          <w:rFonts w:ascii="Palatino Linotype" w:eastAsia="Palatino Linotype" w:hAnsi="Palatino Linotype" w:cs="Palatino Linotype"/>
        </w:rPr>
        <w:t xml:space="preserve">  Antes de entrar al análisis de los pronunciamientos del Sujeto Obligado en las respuestas proporcionadas</w:t>
      </w:r>
      <w:r w:rsidR="00924BE6" w:rsidRPr="00ED3DD9">
        <w:rPr>
          <w:rFonts w:ascii="Palatino Linotype" w:eastAsia="Palatino Linotype" w:hAnsi="Palatino Linotype" w:cs="Palatino Linotype"/>
        </w:rPr>
        <w:t xml:space="preserve"> y lo enviado mediante informe justificado</w:t>
      </w:r>
      <w:r w:rsidRPr="00ED3DD9">
        <w:rPr>
          <w:rFonts w:ascii="Palatino Linotype" w:eastAsia="Palatino Linotype" w:hAnsi="Palatino Linotype" w:cs="Palatino Linotype"/>
        </w:rPr>
        <w:t xml:space="preserve">,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ED3DD9">
        <w:rPr>
          <w:rFonts w:ascii="Palatino Linotype" w:eastAsia="Palatino Linotype" w:hAnsi="Palatino Linotype" w:cs="Palatino Linotype"/>
        </w:rPr>
        <w:lastRenderedPageBreak/>
        <w:t>específicamente a nivel Constitucional, tal y como lo prevén los arábigos 1 párrafos primero, segundo y tercero y 6°.</w:t>
      </w:r>
    </w:p>
    <w:p w14:paraId="50883979" w14:textId="77777777" w:rsidR="00CD20B8" w:rsidRPr="00ED3DD9" w:rsidRDefault="00CD20B8">
      <w:pPr>
        <w:spacing w:after="0" w:line="360" w:lineRule="auto"/>
        <w:ind w:right="49"/>
        <w:jc w:val="both"/>
        <w:rPr>
          <w:rFonts w:ascii="Palatino Linotype" w:eastAsia="Palatino Linotype" w:hAnsi="Palatino Linotype" w:cs="Palatino Linotype"/>
        </w:rPr>
      </w:pPr>
    </w:p>
    <w:p w14:paraId="65F42E89" w14:textId="0A00ADF3"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D4B25B" w14:textId="77777777" w:rsidR="006742BB" w:rsidRPr="00ED3DD9" w:rsidRDefault="006742BB">
      <w:pPr>
        <w:spacing w:after="0" w:line="360" w:lineRule="auto"/>
        <w:ind w:right="49"/>
        <w:jc w:val="both"/>
        <w:rPr>
          <w:rFonts w:ascii="Palatino Linotype" w:eastAsia="Palatino Linotype" w:hAnsi="Palatino Linotype" w:cs="Palatino Linotype"/>
        </w:rPr>
      </w:pPr>
    </w:p>
    <w:p w14:paraId="63AA198E"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Artículo 4.</w:t>
      </w:r>
      <w:r w:rsidRPr="00ED3DD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A349FC"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65A0385"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4645B6EB" w14:textId="77777777" w:rsidR="00CD20B8" w:rsidRPr="00ED3DD9" w:rsidRDefault="00CD20B8">
      <w:pPr>
        <w:spacing w:after="0" w:line="360" w:lineRule="auto"/>
        <w:ind w:left="567" w:right="560"/>
        <w:jc w:val="both"/>
        <w:rPr>
          <w:rFonts w:ascii="Palatino Linotype" w:eastAsia="Palatino Linotype" w:hAnsi="Palatino Linotype" w:cs="Palatino Linotype"/>
          <w:i/>
        </w:rPr>
      </w:pPr>
    </w:p>
    <w:p w14:paraId="7B8738A6"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D952BFF" w14:textId="77777777" w:rsidR="00CD20B8" w:rsidRPr="00ED3DD9" w:rsidRDefault="00CD20B8">
      <w:pPr>
        <w:spacing w:after="0" w:line="360" w:lineRule="auto"/>
        <w:ind w:right="49"/>
        <w:jc w:val="both"/>
        <w:rPr>
          <w:rFonts w:ascii="Palatino Linotype" w:eastAsia="Palatino Linotype" w:hAnsi="Palatino Linotype" w:cs="Palatino Linotype"/>
        </w:rPr>
      </w:pPr>
    </w:p>
    <w:p w14:paraId="2EC59A7F"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Artículo 12.</w:t>
      </w:r>
      <w:r w:rsidRPr="00ED3DD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DC4D133"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9A9447" w14:textId="77777777" w:rsidR="00CD20B8" w:rsidRPr="00ED3DD9" w:rsidRDefault="00CD20B8">
      <w:pPr>
        <w:spacing w:after="0" w:line="360" w:lineRule="auto"/>
        <w:ind w:right="49"/>
        <w:jc w:val="both"/>
        <w:rPr>
          <w:rFonts w:ascii="Palatino Linotype" w:eastAsia="Palatino Linotype" w:hAnsi="Palatino Linotype" w:cs="Palatino Linotype"/>
        </w:rPr>
      </w:pPr>
    </w:p>
    <w:p w14:paraId="6F374048"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w:t>
      </w:r>
      <w:r w:rsidR="00C1528F" w:rsidRPr="00ED3DD9">
        <w:rPr>
          <w:rFonts w:ascii="Palatino Linotype" w:eastAsia="Palatino Linotype" w:hAnsi="Palatino Linotype" w:cs="Palatino Linotype"/>
        </w:rPr>
        <w:t xml:space="preserve">entonces </w:t>
      </w:r>
      <w:r w:rsidRPr="00ED3DD9">
        <w:rPr>
          <w:rFonts w:ascii="Palatino Linotype" w:eastAsia="Palatino Linotype" w:hAnsi="Palatino Linotype" w:cs="Palatino Linotype"/>
        </w:rPr>
        <w:t>Instituto Nacional de Transparencia, Acceso a la Información Pública y Protección de Datos Personales, el cual señala lo siguiente:</w:t>
      </w:r>
    </w:p>
    <w:p w14:paraId="35A9F7DA" w14:textId="77777777" w:rsidR="00924BE6" w:rsidRPr="00ED3DD9" w:rsidRDefault="00924BE6">
      <w:pPr>
        <w:spacing w:after="0" w:line="360" w:lineRule="auto"/>
        <w:ind w:right="49"/>
        <w:jc w:val="both"/>
        <w:rPr>
          <w:rFonts w:ascii="Palatino Linotype" w:eastAsia="Palatino Linotype" w:hAnsi="Palatino Linotype" w:cs="Palatino Linotype"/>
        </w:rPr>
      </w:pPr>
    </w:p>
    <w:p w14:paraId="54963D09" w14:textId="77777777" w:rsidR="00CD20B8" w:rsidRPr="00ED3DD9" w:rsidRDefault="00373EF6">
      <w:pPr>
        <w:spacing w:after="0"/>
        <w:ind w:left="567" w:right="560"/>
        <w:jc w:val="both"/>
        <w:rPr>
          <w:rFonts w:ascii="Palatino Linotype" w:eastAsia="Palatino Linotype" w:hAnsi="Palatino Linotype" w:cs="Palatino Linotype"/>
          <w:b/>
          <w:i/>
        </w:rPr>
      </w:pPr>
      <w:r w:rsidRPr="00ED3DD9">
        <w:rPr>
          <w:rFonts w:ascii="Palatino Linotype" w:eastAsia="Palatino Linotype" w:hAnsi="Palatino Linotype" w:cs="Palatino Linotype"/>
          <w:b/>
          <w:i/>
        </w:rPr>
        <w:t>Criterio 03/17</w:t>
      </w:r>
    </w:p>
    <w:p w14:paraId="22B0701E"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b/>
          <w:i/>
        </w:rPr>
        <w:t xml:space="preserve">“NO EXISTE OBLIGACIÓN DE ELABORAR DOCUMENTOS AD HOC PARA ATENDER LAS SOLICITUDES DE ACCESO A LA INFORMACIÓN. </w:t>
      </w:r>
      <w:r w:rsidRPr="00ED3DD9">
        <w:rPr>
          <w:rFonts w:ascii="Palatino Linotype" w:eastAsia="Palatino Linotype" w:hAnsi="Palatino Linotype" w:cs="Palatino Linotype"/>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ED3DD9">
        <w:rPr>
          <w:rFonts w:ascii="Palatino Linotype" w:eastAsia="Palatino Linotype" w:hAnsi="Palatino Linotype" w:cs="Palatino Linotype"/>
          <w:i/>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C9ED50" w14:textId="77777777" w:rsidR="00CD20B8" w:rsidRPr="00ED3DD9" w:rsidRDefault="00CD20B8">
      <w:pPr>
        <w:spacing w:after="0" w:line="360" w:lineRule="auto"/>
        <w:ind w:left="567" w:right="560"/>
        <w:jc w:val="both"/>
        <w:rPr>
          <w:rFonts w:ascii="Palatino Linotype" w:eastAsia="Palatino Linotype" w:hAnsi="Palatino Linotype" w:cs="Palatino Linotype"/>
          <w:b/>
          <w:i/>
        </w:rPr>
      </w:pPr>
    </w:p>
    <w:p w14:paraId="0EA1FBAB"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7408E48"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9F6515" w14:textId="77777777" w:rsidR="00CD20B8" w:rsidRPr="00ED3DD9" w:rsidRDefault="00CD20B8">
      <w:pPr>
        <w:spacing w:after="0" w:line="360" w:lineRule="auto"/>
        <w:ind w:right="49"/>
        <w:jc w:val="both"/>
        <w:rPr>
          <w:rFonts w:ascii="Palatino Linotype" w:eastAsia="Palatino Linotype" w:hAnsi="Palatino Linotype" w:cs="Palatino Linotype"/>
        </w:rPr>
      </w:pPr>
    </w:p>
    <w:p w14:paraId="6318EFF6" w14:textId="7ACB0B05"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EBAA4F4"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lastRenderedPageBreak/>
        <w:t>“</w:t>
      </w:r>
      <w:r w:rsidRPr="00ED3DD9">
        <w:rPr>
          <w:rFonts w:ascii="Palatino Linotype" w:eastAsia="Palatino Linotype" w:hAnsi="Palatino Linotype" w:cs="Palatino Linotype"/>
          <w:b/>
          <w:i/>
        </w:rPr>
        <w:t>Artículo 3.</w:t>
      </w:r>
      <w:r w:rsidRPr="00ED3DD9">
        <w:rPr>
          <w:rFonts w:ascii="Palatino Linotype" w:eastAsia="Palatino Linotype" w:hAnsi="Palatino Linotype" w:cs="Palatino Linotype"/>
          <w:i/>
        </w:rPr>
        <w:t xml:space="preserve"> Para los efectos de la presente Ley se entenderá por:</w:t>
      </w:r>
    </w:p>
    <w:p w14:paraId="695716C1"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4D10DC74"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b/>
          <w:i/>
        </w:rPr>
        <w:t>XI. Documento:</w:t>
      </w:r>
      <w:r w:rsidRPr="00ED3DD9">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AE62F07" w14:textId="77777777" w:rsidR="00CD20B8" w:rsidRPr="00ED3DD9" w:rsidRDefault="00CD20B8">
      <w:pPr>
        <w:spacing w:after="0" w:line="360" w:lineRule="auto"/>
        <w:ind w:right="49"/>
        <w:jc w:val="both"/>
        <w:rPr>
          <w:rFonts w:ascii="Palatino Linotype" w:eastAsia="Palatino Linotype" w:hAnsi="Palatino Linotype" w:cs="Palatino Linotype"/>
        </w:rPr>
      </w:pPr>
    </w:p>
    <w:p w14:paraId="192E21AC" w14:textId="571E07E9"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A72C756" w14:textId="77777777" w:rsidR="006742BB" w:rsidRPr="00ED3DD9" w:rsidRDefault="006742BB">
      <w:pPr>
        <w:spacing w:after="0" w:line="360" w:lineRule="auto"/>
        <w:ind w:right="49"/>
        <w:jc w:val="both"/>
        <w:rPr>
          <w:rFonts w:ascii="Palatino Linotype" w:eastAsia="Palatino Linotype" w:hAnsi="Palatino Linotype" w:cs="Palatino Linotype"/>
        </w:rPr>
      </w:pPr>
    </w:p>
    <w:p w14:paraId="19CE8E91" w14:textId="77777777" w:rsidR="00CD20B8" w:rsidRPr="00ED3DD9" w:rsidRDefault="00373EF6">
      <w:pPr>
        <w:spacing w:after="0"/>
        <w:ind w:left="567" w:right="560"/>
        <w:jc w:val="both"/>
        <w:rPr>
          <w:rFonts w:ascii="Palatino Linotype" w:eastAsia="Palatino Linotype" w:hAnsi="Palatino Linotype" w:cs="Palatino Linotype"/>
          <w:b/>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CRITERIO 0002-11</w:t>
      </w:r>
    </w:p>
    <w:p w14:paraId="2440044E"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D3DD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F1DD95"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En consecuencia el acceso a la información se refiere a que se cumplan cualquiera de los siguientes tres supuestos:</w:t>
      </w:r>
    </w:p>
    <w:p w14:paraId="47CE6E47"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1)</w:t>
      </w:r>
      <w:r w:rsidRPr="00ED3DD9">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556968C4" w14:textId="77777777" w:rsidR="00CD20B8" w:rsidRPr="00ED3DD9" w:rsidRDefault="00373EF6">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2)</w:t>
      </w:r>
      <w:r w:rsidRPr="00ED3DD9">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39FAF6EC" w14:textId="005611AD" w:rsidR="00CD20B8" w:rsidRPr="00ED3DD9" w:rsidRDefault="00373EF6" w:rsidP="006742BB">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BDFA05C"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D17E773" w14:textId="77777777" w:rsidR="00CD20B8" w:rsidRPr="00ED3DD9" w:rsidRDefault="00CD20B8">
      <w:pPr>
        <w:spacing w:after="0" w:line="360" w:lineRule="auto"/>
        <w:ind w:right="49"/>
        <w:jc w:val="both"/>
        <w:rPr>
          <w:rFonts w:ascii="Palatino Linotype" w:eastAsia="Palatino Linotype" w:hAnsi="Palatino Linotype" w:cs="Palatino Linotype"/>
        </w:rPr>
      </w:pPr>
    </w:p>
    <w:p w14:paraId="191714B3" w14:textId="77777777" w:rsidR="00CD20B8" w:rsidRPr="00ED3DD9" w:rsidRDefault="00373EF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Ahora bien, es de recordar que la parte Recurrente solicitó la siguiente información:</w:t>
      </w:r>
    </w:p>
    <w:p w14:paraId="2581DC7D" w14:textId="77777777" w:rsidR="00CD20B8" w:rsidRPr="00ED3DD9" w:rsidRDefault="006E7ADF" w:rsidP="006E7ADF">
      <w:pPr>
        <w:pBdr>
          <w:top w:val="nil"/>
          <w:left w:val="nil"/>
          <w:bottom w:val="nil"/>
          <w:right w:val="nil"/>
          <w:between w:val="nil"/>
        </w:pBdr>
        <w:tabs>
          <w:tab w:val="left" w:pos="567"/>
        </w:tabs>
        <w:spacing w:after="0" w:line="276"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 </w:t>
      </w:r>
    </w:p>
    <w:p w14:paraId="2FB9D81C" w14:textId="03FAA09F" w:rsidR="006F1D2D" w:rsidRPr="00ED3DD9" w:rsidRDefault="00141726" w:rsidP="00141726">
      <w:pPr>
        <w:pStyle w:val="Listaconvietas"/>
        <w:spacing w:line="360" w:lineRule="auto"/>
        <w:rPr>
          <w:rFonts w:ascii="Palatino Linotype" w:eastAsia="Palatino Linotype" w:hAnsi="Palatino Linotype" w:cs="Palatino Linotype"/>
          <w:color w:val="000000"/>
        </w:rPr>
      </w:pPr>
      <w:r w:rsidRPr="00ED3DD9">
        <w:rPr>
          <w:rFonts w:ascii="Palatino Linotype" w:eastAsia="Palatino Linotype" w:hAnsi="Palatino Linotype"/>
          <w:sz w:val="22"/>
          <w:szCs w:val="22"/>
        </w:rPr>
        <w:t>Comprobantes de todos los pagos realizados mediante transferencia electrónica por la Tesorería Municipal durante el mes de febrero de 2025</w:t>
      </w:r>
      <w:r w:rsidR="006F1D2D" w:rsidRPr="00ED3DD9">
        <w:rPr>
          <w:rFonts w:ascii="Palatino Linotype" w:eastAsia="Palatino Linotype" w:hAnsi="Palatino Linotype" w:cs="Palatino Linotype"/>
          <w:color w:val="000000"/>
        </w:rPr>
        <w:t xml:space="preserve">. </w:t>
      </w:r>
    </w:p>
    <w:p w14:paraId="4F43B837" w14:textId="2BD5879D" w:rsidR="006F1D2D" w:rsidRPr="00ED3DD9" w:rsidRDefault="00141726" w:rsidP="00141726">
      <w:pPr>
        <w:pStyle w:val="Listaconvietas"/>
        <w:spacing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sz w:val="22"/>
          <w:szCs w:val="22"/>
        </w:rPr>
        <w:t>Comprobantes de todos los pagos realizados a particulares a través de cheque o transferencia electrónica correspondientes a las partidas 3611 y 3612 del presupuesto de egresos correspondientes al ejercicio fiscal 2024.</w:t>
      </w:r>
    </w:p>
    <w:p w14:paraId="4B6C4957" w14:textId="77777777" w:rsidR="006F1D2D" w:rsidRPr="00ED3DD9" w:rsidRDefault="006F1D2D" w:rsidP="006F1D2D">
      <w:pPr>
        <w:pStyle w:val="Listaconvietas"/>
        <w:numPr>
          <w:ilvl w:val="0"/>
          <w:numId w:val="0"/>
        </w:numPr>
        <w:pBdr>
          <w:top w:val="nil"/>
          <w:left w:val="nil"/>
          <w:bottom w:val="nil"/>
          <w:right w:val="nil"/>
          <w:between w:val="nil"/>
        </w:pBdr>
        <w:spacing w:line="360" w:lineRule="auto"/>
        <w:ind w:left="360"/>
        <w:jc w:val="both"/>
        <w:rPr>
          <w:rFonts w:ascii="Palatino Linotype" w:eastAsia="Palatino Linotype" w:hAnsi="Palatino Linotype"/>
          <w:sz w:val="22"/>
          <w:szCs w:val="22"/>
        </w:rPr>
      </w:pPr>
    </w:p>
    <w:p w14:paraId="53E381F5" w14:textId="77777777" w:rsidR="00AA22B4" w:rsidRPr="00ED3DD9" w:rsidRDefault="006F1D2D" w:rsidP="00141726">
      <w:pPr>
        <w:pStyle w:val="Listaconvietas"/>
        <w:numPr>
          <w:ilvl w:val="0"/>
          <w:numId w:val="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D3DD9">
        <w:rPr>
          <w:rFonts w:ascii="Palatino Linotype" w:eastAsia="Palatino Linotype" w:hAnsi="Palatino Linotype" w:cs="Palatino Linotype"/>
          <w:color w:val="000000"/>
          <w:sz w:val="22"/>
          <w:szCs w:val="22"/>
        </w:rPr>
        <w:t>En respuesta, en lo que respecta a los co</w:t>
      </w:r>
      <w:r w:rsidRPr="00ED3DD9">
        <w:rPr>
          <w:rFonts w:ascii="Palatino Linotype" w:eastAsia="Palatino Linotype" w:hAnsi="Palatino Linotype" w:cs="Palatino Linotype"/>
          <w:b/>
          <w:color w:val="000000"/>
          <w:sz w:val="22"/>
          <w:szCs w:val="22"/>
          <w:u w:val="single"/>
        </w:rPr>
        <w:t xml:space="preserve">mprobantes de los pagos realizados </w:t>
      </w:r>
      <w:r w:rsidR="00141726" w:rsidRPr="00ED3DD9">
        <w:rPr>
          <w:rFonts w:ascii="Palatino Linotype" w:eastAsia="Palatino Linotype" w:hAnsi="Palatino Linotype" w:cs="Palatino Linotype"/>
          <w:b/>
          <w:color w:val="000000"/>
          <w:sz w:val="22"/>
          <w:szCs w:val="22"/>
          <w:u w:val="single"/>
        </w:rPr>
        <w:t>mediante transferencia electrónica por la Tesorería Municipal</w:t>
      </w:r>
      <w:r w:rsidR="00D62013" w:rsidRPr="00ED3DD9">
        <w:rPr>
          <w:rFonts w:ascii="Palatino Linotype" w:eastAsia="Palatino Linotype" w:hAnsi="Palatino Linotype" w:cs="Palatino Linotype"/>
          <w:b/>
          <w:color w:val="000000"/>
          <w:sz w:val="22"/>
          <w:szCs w:val="22"/>
          <w:u w:val="single"/>
        </w:rPr>
        <w:t xml:space="preserve"> en el mes de febrero de dos mil veinticinco</w:t>
      </w:r>
      <w:r w:rsidR="00141726" w:rsidRPr="00ED3DD9">
        <w:rPr>
          <w:rFonts w:ascii="Palatino Linotype" w:eastAsia="Palatino Linotype" w:hAnsi="Palatino Linotype" w:cs="Palatino Linotype"/>
          <w:b/>
          <w:color w:val="000000"/>
          <w:sz w:val="22"/>
          <w:szCs w:val="22"/>
          <w:u w:val="single"/>
        </w:rPr>
        <w:t xml:space="preserve">, </w:t>
      </w:r>
      <w:r w:rsidR="00141726" w:rsidRPr="00ED3DD9">
        <w:rPr>
          <w:rFonts w:ascii="Palatino Linotype" w:eastAsia="Palatino Linotype" w:hAnsi="Palatino Linotype" w:cs="Palatino Linotype"/>
          <w:color w:val="000000"/>
          <w:sz w:val="22"/>
          <w:szCs w:val="22"/>
        </w:rPr>
        <w:t xml:space="preserve">el Sujeto Obligado informó que, </w:t>
      </w:r>
      <w:r w:rsidR="00141726" w:rsidRPr="00ED3DD9">
        <w:rPr>
          <w:rFonts w:ascii="Palatino Linotype" w:eastAsia="Palatino Linotype" w:hAnsi="Palatino Linotype" w:cs="Palatino Linotype"/>
          <w:sz w:val="22"/>
          <w:szCs w:val="22"/>
        </w:rPr>
        <w:t xml:space="preserve">la información se encuentra en trámite de su generación pues se trata de información del mes de febrero de dos mil veinticinco y que para su integración y organización se requiere una serie de procedimientos internos, lo cual implica un número significativos de días y horas, lo que obstaculiza la realización de otras actividades, </w:t>
      </w:r>
    </w:p>
    <w:p w14:paraId="6CB06F04" w14:textId="77777777" w:rsidR="00AA22B4" w:rsidRPr="00ED3DD9" w:rsidRDefault="00AA22B4" w:rsidP="00141726">
      <w:pPr>
        <w:pStyle w:val="Listaconvietas"/>
        <w:numPr>
          <w:ilvl w:val="0"/>
          <w:numId w:val="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C9E4C8" w14:textId="137B5BCB" w:rsidR="006E7ADF" w:rsidRPr="00ED3DD9" w:rsidRDefault="00AA22B4" w:rsidP="00141726">
      <w:pPr>
        <w:pStyle w:val="Listaconvietas"/>
        <w:numPr>
          <w:ilvl w:val="0"/>
          <w:numId w:val="0"/>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ED3DD9">
        <w:rPr>
          <w:rFonts w:ascii="Palatino Linotype" w:eastAsia="Palatino Linotype" w:hAnsi="Palatino Linotype" w:cs="Palatino Linotype"/>
          <w:sz w:val="22"/>
          <w:szCs w:val="22"/>
        </w:rPr>
        <w:t>P</w:t>
      </w:r>
      <w:r w:rsidR="000D660A" w:rsidRPr="00ED3DD9">
        <w:rPr>
          <w:rFonts w:ascii="Palatino Linotype" w:eastAsia="Palatino Linotype" w:hAnsi="Palatino Linotype" w:cs="Palatino Linotype"/>
          <w:sz w:val="22"/>
        </w:rPr>
        <w:t xml:space="preserve">or otro lado, en lo que respecta a los </w:t>
      </w:r>
      <w:r w:rsidR="000D660A" w:rsidRPr="00ED3DD9">
        <w:rPr>
          <w:rFonts w:ascii="Palatino Linotype" w:eastAsia="Palatino Linotype" w:hAnsi="Palatino Linotype" w:cs="Palatino Linotype"/>
          <w:b/>
          <w:sz w:val="22"/>
          <w:u w:val="single"/>
        </w:rPr>
        <w:t>pagos realizados</w:t>
      </w:r>
      <w:r w:rsidR="00141726" w:rsidRPr="00ED3DD9">
        <w:rPr>
          <w:rFonts w:ascii="Palatino Linotype" w:eastAsia="Palatino Linotype" w:hAnsi="Palatino Linotype" w:cs="Palatino Linotype"/>
          <w:b/>
          <w:sz w:val="22"/>
          <w:u w:val="single"/>
        </w:rPr>
        <w:t xml:space="preserve"> a particulares a través de cheque o transferencia electrónica</w:t>
      </w:r>
      <w:r w:rsidR="006742BB" w:rsidRPr="00ED3DD9">
        <w:rPr>
          <w:rFonts w:ascii="Palatino Linotype" w:eastAsia="Palatino Linotype" w:hAnsi="Palatino Linotype" w:cs="Palatino Linotype"/>
          <w:b/>
          <w:sz w:val="22"/>
          <w:u w:val="single"/>
        </w:rPr>
        <w:t xml:space="preserve"> correspondiente a las partidas 3611 y 3612 del ejercicio fiscal 2024</w:t>
      </w:r>
      <w:r w:rsidR="00EF001D" w:rsidRPr="00ED3DD9">
        <w:rPr>
          <w:rFonts w:ascii="Palatino Linotype" w:eastAsia="Palatino Linotype" w:hAnsi="Palatino Linotype" w:cs="Palatino Linotype"/>
          <w:sz w:val="22"/>
        </w:rPr>
        <w:t xml:space="preserve">, </w:t>
      </w:r>
      <w:r w:rsidR="00EF001D" w:rsidRPr="00ED3DD9">
        <w:rPr>
          <w:rFonts w:ascii="Palatino Linotype" w:eastAsia="Palatino Linotype" w:hAnsi="Palatino Linotype" w:cs="Palatino Linotype"/>
          <w:sz w:val="22"/>
        </w:rPr>
        <w:lastRenderedPageBreak/>
        <w:t>el Sujeto Obligado</w:t>
      </w:r>
      <w:r w:rsidR="00141726" w:rsidRPr="00ED3DD9">
        <w:rPr>
          <w:rFonts w:ascii="Palatino Linotype" w:eastAsia="Palatino Linotype" w:hAnsi="Palatino Linotype" w:cs="Palatino Linotype"/>
          <w:sz w:val="22"/>
        </w:rPr>
        <w:t xml:space="preserve"> refirió que la información se encontraba en una liga electrónica, la cual se proporcionó en formato cerrado. </w:t>
      </w:r>
    </w:p>
    <w:p w14:paraId="36225E2C" w14:textId="77777777" w:rsidR="002727A8" w:rsidRPr="00ED3DD9" w:rsidRDefault="002727A8" w:rsidP="00141726">
      <w:pPr>
        <w:pStyle w:val="Listaconvietas"/>
        <w:numPr>
          <w:ilvl w:val="0"/>
          <w:numId w:val="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380BB54" w14:textId="0DEF16F2" w:rsidR="00FE6965" w:rsidRPr="00ED3DD9" w:rsidRDefault="00FE6965" w:rsidP="00EF001D">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La parte Recurrente se inconformó arguyendo </w:t>
      </w:r>
      <w:r w:rsidR="00EF001D" w:rsidRPr="00ED3DD9">
        <w:rPr>
          <w:rFonts w:ascii="Palatino Linotype" w:eastAsia="Palatino Linotype" w:hAnsi="Palatino Linotype" w:cs="Palatino Linotype"/>
          <w:color w:val="000000"/>
        </w:rPr>
        <w:t xml:space="preserve">por la negativa de entrega de la información. </w:t>
      </w:r>
    </w:p>
    <w:p w14:paraId="3C9F67F9" w14:textId="77777777" w:rsidR="00CD20B8" w:rsidRPr="00ED3DD9" w:rsidRDefault="00CD20B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F0FE2A5" w14:textId="5C8CEEDD" w:rsidR="00141726" w:rsidRPr="00ED3DD9" w:rsidRDefault="00FE6965">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En atención a ello, mediante informe justificado, el Sujeto Obligado en el Recurso de Revisión </w:t>
      </w:r>
      <w:r w:rsidR="00141726" w:rsidRPr="00ED3DD9">
        <w:rPr>
          <w:rFonts w:ascii="Palatino Linotype" w:eastAsia="Palatino Linotype" w:hAnsi="Palatino Linotype" w:cs="Palatino Linotype"/>
          <w:b/>
          <w:color w:val="000000"/>
        </w:rPr>
        <w:t>04814</w:t>
      </w:r>
      <w:r w:rsidRPr="00ED3DD9">
        <w:rPr>
          <w:rFonts w:ascii="Palatino Linotype" w:eastAsia="Palatino Linotype" w:hAnsi="Palatino Linotype" w:cs="Palatino Linotype"/>
          <w:b/>
          <w:color w:val="000000"/>
        </w:rPr>
        <w:t>/INFOEM/IP/RR/2025</w:t>
      </w:r>
      <w:r w:rsidRPr="00ED3DD9">
        <w:rPr>
          <w:rFonts w:ascii="Palatino Linotype" w:eastAsia="Palatino Linotype" w:hAnsi="Palatino Linotype" w:cs="Palatino Linotype"/>
          <w:color w:val="000000"/>
        </w:rPr>
        <w:t xml:space="preserve"> </w:t>
      </w:r>
      <w:r w:rsidR="00EA3620" w:rsidRPr="00ED3DD9">
        <w:rPr>
          <w:rFonts w:ascii="Palatino Linotype" w:eastAsia="Palatino Linotype" w:hAnsi="Palatino Linotype" w:cs="Palatino Linotype"/>
          <w:color w:val="000000"/>
        </w:rPr>
        <w:t>el Sujeto Obligado, cambió la modalidad de entrega de la información, señalando que, la información relacionada con las pólizas de egresos de febrero de dos mil veinticinco, las cuales contienen los comprobantes de pagos realizados, requiere un análisis, estudio y procesamiento de más de 10,000 fojas</w:t>
      </w:r>
      <w:r w:rsidR="001122BC" w:rsidRPr="00ED3DD9">
        <w:rPr>
          <w:rFonts w:ascii="Palatino Linotype" w:eastAsia="Palatino Linotype" w:hAnsi="Palatino Linotype" w:cs="Palatino Linotype"/>
          <w:color w:val="000000"/>
        </w:rPr>
        <w:t xml:space="preserve">. Asimismo, refirió que derivado de las múltiples solicitudes de información, las cuales requieren de realizar una serie de procedimientos internos como su obtención, separación y clasificación de la información, así como para la elaboración de versiones públicas, la cuales implica destinar un número significativo de días y horas, lo que obstaculizaría la realización de otras actividades, aunado a que el no dispones de recursos humanos y materiales como se mencionó, podría derivar en el incumplimiento de responsabilidades. </w:t>
      </w:r>
    </w:p>
    <w:p w14:paraId="25B4741F" w14:textId="77777777" w:rsidR="001122BC" w:rsidRPr="00ED3DD9" w:rsidRDefault="001122BC">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0C22F15D" w14:textId="155D64DF" w:rsidR="00616E3C" w:rsidRPr="00ED3DD9" w:rsidRDefault="001122BC">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r w:rsidRPr="00ED3DD9">
        <w:rPr>
          <w:rFonts w:ascii="Palatino Linotype" w:eastAsia="Palatino Linotype" w:hAnsi="Palatino Linotype" w:cs="Palatino Linotype"/>
          <w:color w:val="000000"/>
        </w:rPr>
        <w:t xml:space="preserve">Por cuanto hace al Recurso de Revisión </w:t>
      </w:r>
      <w:r w:rsidRPr="00ED3DD9">
        <w:rPr>
          <w:rFonts w:ascii="Palatino Linotype" w:eastAsia="Palatino Linotype" w:hAnsi="Palatino Linotype" w:cs="Palatino Linotype"/>
          <w:b/>
          <w:color w:val="000000"/>
        </w:rPr>
        <w:t>04815/INFOEM/IP/RR/2025</w:t>
      </w:r>
      <w:r w:rsidRPr="00ED3DD9">
        <w:rPr>
          <w:rFonts w:ascii="Palatino Linotype" w:eastAsia="Palatino Linotype" w:hAnsi="Palatino Linotype" w:cs="Palatino Linotype"/>
          <w:color w:val="000000"/>
        </w:rPr>
        <w:t>, el Sujeto Obligado ratificó su respuesta inicial.</w:t>
      </w:r>
      <w:r w:rsidR="00D62013" w:rsidRPr="00ED3DD9">
        <w:rPr>
          <w:rFonts w:ascii="Palatino Linotype" w:eastAsia="Palatino Linotype" w:hAnsi="Palatino Linotype" w:cs="Palatino Linotype"/>
          <w:color w:val="000000"/>
        </w:rPr>
        <w:t xml:space="preserve"> </w:t>
      </w:r>
    </w:p>
    <w:p w14:paraId="0DE32BC1" w14:textId="77777777" w:rsidR="00CD20B8" w:rsidRPr="00ED3DD9" w:rsidRDefault="00CD20B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5F1237B2" w14:textId="77777777" w:rsidR="00E07CDC" w:rsidRPr="00ED3DD9" w:rsidRDefault="00E07CDC">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La parte Recurrente fue omisa en rendir manifestaciones en ambos Recursos de Revisión. </w:t>
      </w:r>
    </w:p>
    <w:p w14:paraId="58EF846D" w14:textId="77777777" w:rsidR="00E07CDC" w:rsidRPr="00ED3DD9" w:rsidRDefault="00E07CDC">
      <w:pPr>
        <w:spacing w:after="0" w:line="360" w:lineRule="auto"/>
        <w:ind w:right="49"/>
        <w:jc w:val="both"/>
        <w:rPr>
          <w:rFonts w:ascii="Palatino Linotype" w:eastAsia="Palatino Linotype" w:hAnsi="Palatino Linotype" w:cs="Palatino Linotype"/>
        </w:rPr>
      </w:pPr>
    </w:p>
    <w:p w14:paraId="115ECF3C" w14:textId="77777777" w:rsidR="007C15D3" w:rsidRPr="00ED3DD9" w:rsidRDefault="007C15D3" w:rsidP="007C15D3">
      <w:pP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Dicho lo anterior, se procede a contextualizar la información solicitada, para ello, </w:t>
      </w:r>
      <w:r w:rsidRPr="00ED3DD9">
        <w:rPr>
          <w:rFonts w:ascii="Palatino Linotype" w:eastAsia="Palatino Linotype" w:hAnsi="Palatino Linotype" w:cs="Palatino Linotype"/>
        </w:rPr>
        <w:t xml:space="preserve">es de mencionar lo que establece el Glosario de Términos Hacendarios que emite el Instituto </w:t>
      </w:r>
      <w:r w:rsidRPr="00ED3DD9">
        <w:rPr>
          <w:rFonts w:ascii="Palatino Linotype" w:eastAsia="Palatino Linotype" w:hAnsi="Palatino Linotype" w:cs="Palatino Linotype"/>
        </w:rPr>
        <w:lastRenderedPageBreak/>
        <w:t xml:space="preserve">Hacendario del Estado de México, el cual define como </w:t>
      </w:r>
      <w:r w:rsidRPr="00ED3DD9">
        <w:rPr>
          <w:rFonts w:ascii="Palatino Linotype" w:eastAsia="Palatino Linotype" w:hAnsi="Palatino Linotype" w:cs="Palatino Linotype"/>
          <w:i/>
        </w:rPr>
        <w:t>“factura” al</w:t>
      </w:r>
      <w:r w:rsidRPr="00ED3DD9">
        <w:rPr>
          <w:rFonts w:ascii="Palatino Linotype" w:eastAsia="Palatino Linotype" w:hAnsi="Palatino Linotype" w:cs="Palatino Linotype"/>
          <w:b/>
          <w:i/>
        </w:rPr>
        <w:t xml:space="preserve"> documento fiscal que emite la persona física o moral para comprobar la venta o adquisición de un bien y/o servicio.</w:t>
      </w:r>
    </w:p>
    <w:p w14:paraId="7D40D97B" w14:textId="77777777" w:rsidR="007C15D3" w:rsidRPr="00ED3DD9" w:rsidRDefault="007C15D3" w:rsidP="007C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CEDE5BB" w14:textId="5786D4F4" w:rsidR="007C15D3" w:rsidRPr="00ED3DD9" w:rsidRDefault="007C15D3" w:rsidP="007C15D3">
      <w:pPr>
        <w:spacing w:after="0" w:line="360" w:lineRule="auto"/>
        <w:ind w:right="-7"/>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49100A0C" w14:textId="77777777" w:rsidR="001122BC" w:rsidRPr="00ED3DD9" w:rsidRDefault="001122BC" w:rsidP="007C15D3">
      <w:pPr>
        <w:spacing w:after="0" w:line="360" w:lineRule="auto"/>
        <w:ind w:right="-7"/>
        <w:jc w:val="both"/>
        <w:rPr>
          <w:rFonts w:ascii="Palatino Linotype" w:eastAsia="Palatino Linotype" w:hAnsi="Palatino Linotype" w:cs="Palatino Linotype"/>
        </w:rPr>
      </w:pPr>
    </w:p>
    <w:p w14:paraId="0D930384"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Asimismo, el Código Financiero del Estado de México, establece en su artículo 344 lo siguiente: </w:t>
      </w:r>
    </w:p>
    <w:p w14:paraId="5BFA847E"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p>
    <w:p w14:paraId="34B9AFB0" w14:textId="77777777" w:rsidR="007C15D3" w:rsidRPr="00ED3DD9" w:rsidRDefault="007C15D3" w:rsidP="007C15D3">
      <w:pPr>
        <w:spacing w:after="0"/>
        <w:ind w:left="567" w:right="843"/>
        <w:jc w:val="both"/>
        <w:rPr>
          <w:rFonts w:ascii="Palatino Linotype" w:eastAsia="Palatino Linotype" w:hAnsi="Palatino Linotype" w:cs="Palatino Linotype"/>
          <w:i/>
        </w:rPr>
      </w:pPr>
      <w:r w:rsidRPr="00ED3DD9">
        <w:rPr>
          <w:rFonts w:ascii="Palatino Linotype" w:eastAsia="Palatino Linotype" w:hAnsi="Palatino Linotype" w:cs="Palatino Linotype"/>
          <w:b/>
          <w:i/>
        </w:rPr>
        <w:t>Artículo 344.-</w:t>
      </w:r>
      <w:r w:rsidRPr="00ED3DD9">
        <w:rPr>
          <w:rFonts w:ascii="Palatino Linotype" w:eastAsia="Palatino Linotype" w:hAnsi="Palatino Linotype" w:cs="Palatino Linotype"/>
          <w:i/>
        </w:rPr>
        <w:t xml:space="preserve"> </w:t>
      </w:r>
      <w:r w:rsidRPr="00ED3DD9">
        <w:rPr>
          <w:rFonts w:ascii="Palatino Linotype" w:eastAsia="Palatino Linotype" w:hAnsi="Palatino Linotype" w:cs="Palatino Linotype"/>
          <w:b/>
          <w:i/>
          <w:u w:val="single"/>
        </w:rPr>
        <w:t>Los Entes Públicos, a través de cualquiera de sus unidades administrativas</w:t>
      </w:r>
      <w:r w:rsidRPr="00ED3DD9">
        <w:rPr>
          <w:rFonts w:ascii="Palatino Linotype" w:eastAsia="Palatino Linotype" w:hAnsi="Palatino Linotype" w:cs="Palatino Linotype"/>
          <w:i/>
        </w:rPr>
        <w:t xml:space="preserve">, de acuerdo con su naturaleza jurídica y según corresponda, </w:t>
      </w:r>
      <w:r w:rsidRPr="00ED3DD9">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w:t>
      </w:r>
      <w:r w:rsidRPr="00ED3DD9">
        <w:rPr>
          <w:rFonts w:ascii="Palatino Linotype" w:eastAsia="Palatino Linotype" w:hAnsi="Palatino Linotype" w:cs="Palatino Linotype"/>
          <w:i/>
        </w:rPr>
        <w:t>, en el caso de los Municipios</w:t>
      </w:r>
      <w:r w:rsidRPr="00ED3DD9">
        <w:rPr>
          <w:rFonts w:ascii="Palatino Linotype" w:eastAsia="Palatino Linotype" w:hAnsi="Palatino Linotype" w:cs="Palatino Linotype"/>
          <w:b/>
          <w:i/>
          <w:u w:val="single"/>
        </w:rPr>
        <w:t>, se hará por la Tesorería.</w:t>
      </w:r>
      <w:r w:rsidRPr="00ED3DD9">
        <w:rPr>
          <w:rFonts w:ascii="Palatino Linotype" w:eastAsia="Palatino Linotype" w:hAnsi="Palatino Linotype" w:cs="Palatino Linotype"/>
          <w:i/>
        </w:rPr>
        <w:t xml:space="preserve"> </w:t>
      </w:r>
    </w:p>
    <w:p w14:paraId="5295CB94" w14:textId="77777777" w:rsidR="007C15D3" w:rsidRPr="00ED3DD9" w:rsidRDefault="007C15D3" w:rsidP="007C15D3">
      <w:pPr>
        <w:spacing w:after="0"/>
        <w:ind w:left="567" w:right="843"/>
        <w:jc w:val="both"/>
        <w:rPr>
          <w:rFonts w:ascii="Palatino Linotype" w:eastAsia="Palatino Linotype" w:hAnsi="Palatino Linotype" w:cs="Palatino Linotype"/>
          <w:i/>
        </w:rPr>
      </w:pPr>
    </w:p>
    <w:p w14:paraId="57AFC208" w14:textId="77777777" w:rsidR="007C15D3" w:rsidRPr="00ED3DD9" w:rsidRDefault="007C15D3" w:rsidP="007C15D3">
      <w:pPr>
        <w:spacing w:after="0"/>
        <w:ind w:left="567" w:right="843"/>
        <w:jc w:val="both"/>
        <w:rPr>
          <w:rFonts w:ascii="Palatino Linotype" w:eastAsia="Palatino Linotype" w:hAnsi="Palatino Linotype" w:cs="Palatino Linotype"/>
          <w:i/>
        </w:rPr>
      </w:pPr>
      <w:r w:rsidRPr="00ED3DD9">
        <w:rPr>
          <w:rFonts w:ascii="Palatino Linotype" w:eastAsia="Palatino Linotype" w:hAnsi="Palatino Linotype" w:cs="Palatino Linotype"/>
          <w:b/>
          <w:i/>
          <w:u w:val="single"/>
        </w:rPr>
        <w:t>Todo registro contable y presupuestal deberá estar soportado con los documentos comprobatorios originales o en medios electrónicos, los que deberán permanecer en custodia y conservación</w:t>
      </w:r>
      <w:r w:rsidRPr="00ED3DD9">
        <w:rPr>
          <w:rFonts w:ascii="Palatino Linotype" w:eastAsia="Palatino Linotype" w:hAnsi="Palatino Linotype" w:cs="Palatino Linotype"/>
          <w:i/>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0CB3A1DF" w14:textId="77777777" w:rsidR="007C15D3" w:rsidRPr="00ED3DD9" w:rsidRDefault="007C15D3" w:rsidP="007C15D3">
      <w:pPr>
        <w:spacing w:after="0"/>
        <w:ind w:left="567" w:right="843"/>
        <w:jc w:val="both"/>
        <w:rPr>
          <w:rFonts w:ascii="Palatino Linotype" w:eastAsia="Palatino Linotype" w:hAnsi="Palatino Linotype" w:cs="Palatino Linotype"/>
          <w:i/>
        </w:rPr>
      </w:pPr>
    </w:p>
    <w:p w14:paraId="6255B03E" w14:textId="77777777" w:rsidR="007C15D3" w:rsidRPr="00ED3DD9" w:rsidRDefault="007C15D3" w:rsidP="007C15D3">
      <w:pPr>
        <w:spacing w:after="0"/>
        <w:ind w:left="567" w:right="843"/>
        <w:jc w:val="both"/>
        <w:rPr>
          <w:rFonts w:ascii="Palatino Linotype" w:eastAsia="Palatino Linotype" w:hAnsi="Palatino Linotype" w:cs="Palatino Linotype"/>
          <w:i/>
        </w:rPr>
      </w:pPr>
      <w:r w:rsidRPr="00ED3DD9">
        <w:rPr>
          <w:rFonts w:ascii="Palatino Linotype" w:eastAsia="Palatino Linotype" w:hAnsi="Palatino Linotype" w:cs="Palatino Linotype"/>
          <w:i/>
        </w:rPr>
        <w:t>Tratándose de documentos de carácter histórico, se estará a lo dispuesto por la legislación de la materia.</w:t>
      </w:r>
    </w:p>
    <w:p w14:paraId="0C571843" w14:textId="77777777" w:rsidR="007C15D3" w:rsidRPr="00ED3DD9" w:rsidRDefault="007C15D3" w:rsidP="007C15D3">
      <w:pPr>
        <w:spacing w:after="0" w:line="360" w:lineRule="auto"/>
        <w:ind w:right="49"/>
        <w:jc w:val="both"/>
      </w:pPr>
    </w:p>
    <w:p w14:paraId="044A7EBC"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w:t>
      </w:r>
      <w:r w:rsidRPr="00ED3DD9">
        <w:rPr>
          <w:rFonts w:ascii="Palatino Linotype" w:eastAsia="Palatino Linotype" w:hAnsi="Palatino Linotype" w:cs="Palatino Linotype"/>
        </w:rPr>
        <w:lastRenderedPageBreak/>
        <w:t xml:space="preserve">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ED3DD9">
        <w:rPr>
          <w:rFonts w:ascii="Palatino Linotype" w:eastAsia="Palatino Linotype" w:hAnsi="Palatino Linotype" w:cs="Palatino Linotype"/>
          <w:i/>
        </w:rPr>
        <w:t>Glosario de Términos Administrativos</w:t>
      </w:r>
      <w:r w:rsidRPr="00ED3DD9">
        <w:rPr>
          <w:rFonts w:ascii="Palatino Linotype" w:eastAsia="Palatino Linotype" w:hAnsi="Palatino Linotype" w:cs="Palatino Linotype"/>
        </w:rPr>
        <w:t xml:space="preserve"> y el </w:t>
      </w:r>
      <w:r w:rsidRPr="00ED3DD9">
        <w:rPr>
          <w:rFonts w:ascii="Palatino Linotype" w:eastAsia="Palatino Linotype" w:hAnsi="Palatino Linotype" w:cs="Palatino Linotype"/>
          <w:i/>
        </w:rPr>
        <w:t>Glosario de Términos para el Proceso de Planeación, Programación, Presupuestación y Evaluación en la Administración Pública</w:t>
      </w:r>
      <w:r w:rsidRPr="00ED3DD9">
        <w:rPr>
          <w:rFonts w:ascii="Palatino Linotype" w:eastAsia="Palatino Linotype" w:hAnsi="Palatino Linotype" w:cs="Palatino Linotype"/>
        </w:rPr>
        <w:t xml:space="preserve">, definen los registros como: </w:t>
      </w:r>
    </w:p>
    <w:p w14:paraId="38ECB535" w14:textId="77777777" w:rsidR="007C15D3" w:rsidRPr="00ED3DD9" w:rsidRDefault="007C15D3" w:rsidP="007C15D3">
      <w:pPr>
        <w:spacing w:after="0" w:line="360" w:lineRule="auto"/>
        <w:ind w:left="567" w:right="560"/>
        <w:jc w:val="both"/>
        <w:rPr>
          <w:rFonts w:ascii="Palatino Linotype" w:eastAsia="Palatino Linotype" w:hAnsi="Palatino Linotype" w:cs="Palatino Linotype"/>
          <w:i/>
        </w:rPr>
      </w:pPr>
    </w:p>
    <w:p w14:paraId="6BF093F5" w14:textId="77777777" w:rsidR="007C15D3" w:rsidRPr="00ED3DD9" w:rsidRDefault="007C15D3" w:rsidP="007C15D3">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b/>
          <w:i/>
        </w:rPr>
        <w:t xml:space="preserve">Registro contable. </w:t>
      </w:r>
      <w:r w:rsidRPr="00ED3DD9">
        <w:rPr>
          <w:rFonts w:ascii="Palatino Linotype" w:eastAsia="Palatino Linotype" w:hAnsi="Palatino Linotype" w:cs="Palatino Linotype"/>
          <w:i/>
        </w:rPr>
        <w:t xml:space="preserve">Asiento que se realiza en los libros de contabilidad de las actividades relacionadas con el ingreso y egreso de un ente económico. </w:t>
      </w:r>
    </w:p>
    <w:p w14:paraId="076918D1" w14:textId="77777777" w:rsidR="007C15D3" w:rsidRPr="00ED3DD9" w:rsidRDefault="007C15D3" w:rsidP="007C15D3">
      <w:pPr>
        <w:spacing w:after="0"/>
        <w:ind w:left="567" w:right="560"/>
        <w:jc w:val="both"/>
        <w:rPr>
          <w:rFonts w:ascii="Palatino Linotype" w:eastAsia="Palatino Linotype" w:hAnsi="Palatino Linotype" w:cs="Palatino Linotype"/>
          <w:i/>
        </w:rPr>
      </w:pPr>
    </w:p>
    <w:p w14:paraId="65E9B24F" w14:textId="77777777" w:rsidR="007C15D3" w:rsidRPr="00ED3DD9" w:rsidRDefault="007C15D3" w:rsidP="007C15D3">
      <w:pPr>
        <w:spacing w:after="0"/>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b/>
          <w:i/>
        </w:rPr>
        <w:t xml:space="preserve">Registro Presupuestario. </w:t>
      </w:r>
      <w:r w:rsidRPr="00ED3DD9">
        <w:rPr>
          <w:rFonts w:ascii="Palatino Linotype" w:eastAsia="Palatino Linotype" w:hAnsi="Palatino Linotype" w:cs="Palatino Linotype"/>
          <w:i/>
        </w:rPr>
        <w:t xml:space="preserve">Asiento contable de las erogaciones realizadas por las dependencias y entidades con relación a la asignación, modificación y ejercicio de los recursos presupuestarios que se les hayan autorizado. </w:t>
      </w:r>
    </w:p>
    <w:p w14:paraId="516A7D3B"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p>
    <w:p w14:paraId="7D5315EC"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De los preceptos citados, se colige que los entes fiscalizables</w:t>
      </w:r>
      <w:r w:rsidRPr="00ED3DD9">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ED3DD9">
        <w:rPr>
          <w:rFonts w:ascii="Palatino Linotype" w:eastAsia="Palatino Linotype" w:hAnsi="Palatino Linotype" w:cs="Palatino Linotype"/>
        </w:rPr>
        <w:t xml:space="preserve"> que realizan y por lo general, se encuentran en las denominadas </w:t>
      </w:r>
      <w:r w:rsidRPr="00ED3DD9">
        <w:rPr>
          <w:rFonts w:ascii="Palatino Linotype" w:eastAsia="Palatino Linotype" w:hAnsi="Palatino Linotype" w:cs="Palatino Linotype"/>
          <w:i/>
        </w:rPr>
        <w:t xml:space="preserve">pólizas contables </w:t>
      </w:r>
      <w:r w:rsidRPr="00ED3DD9">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777D0899" w14:textId="77777777" w:rsidR="007C15D3" w:rsidRPr="00ED3DD9" w:rsidRDefault="007C15D3" w:rsidP="007C15D3">
      <w:pPr>
        <w:spacing w:after="0" w:line="360" w:lineRule="auto"/>
        <w:ind w:right="49"/>
        <w:jc w:val="both"/>
        <w:rPr>
          <w:rFonts w:ascii="Palatino Linotype" w:eastAsia="Palatino Linotype" w:hAnsi="Palatino Linotype" w:cs="Palatino Linotype"/>
        </w:rPr>
      </w:pPr>
    </w:p>
    <w:p w14:paraId="65BB4348" w14:textId="7E7D3D6E" w:rsidR="007C15D3" w:rsidRPr="00ED3DD9" w:rsidRDefault="007C15D3" w:rsidP="007C15D3">
      <w:pPr>
        <w:spacing w:after="0" w:line="360" w:lineRule="auto"/>
        <w:ind w:right="-93"/>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En lo que corresponde al procedimiento de búsqueda de la información solicitada, es necesario precisar que de las constancias que obran en el expediente se logra vislumbrar que el Sujeto Obligad, turnó la solicitud de información a la unidad admin</w:t>
      </w:r>
      <w:r w:rsidR="009B46F9" w:rsidRPr="00ED3DD9">
        <w:rPr>
          <w:rFonts w:ascii="Palatino Linotype" w:eastAsia="Palatino Linotype" w:hAnsi="Palatino Linotype" w:cs="Palatino Linotype"/>
          <w:color w:val="000000"/>
        </w:rPr>
        <w:t>ist</w:t>
      </w:r>
      <w:r w:rsidR="004E0B03" w:rsidRPr="00ED3DD9">
        <w:rPr>
          <w:rFonts w:ascii="Palatino Linotype" w:eastAsia="Palatino Linotype" w:hAnsi="Palatino Linotype" w:cs="Palatino Linotype"/>
          <w:color w:val="000000"/>
        </w:rPr>
        <w:t>rativa competente, a saber la Tesorería Municipal</w:t>
      </w:r>
      <w:r w:rsidRPr="00ED3DD9">
        <w:rPr>
          <w:rFonts w:ascii="Palatino Linotype" w:eastAsia="Palatino Linotype" w:hAnsi="Palatino Linotype" w:cs="Palatino Linotype"/>
          <w:color w:val="000000"/>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5C110050" w14:textId="77777777" w:rsidR="007C15D3" w:rsidRPr="00ED3DD9" w:rsidRDefault="007C15D3" w:rsidP="007C15D3">
      <w:pPr>
        <w:pStyle w:val="Prrafodelista"/>
        <w:numPr>
          <w:ilvl w:val="3"/>
          <w:numId w:val="9"/>
        </w:numPr>
        <w:spacing w:after="0" w:line="360" w:lineRule="auto"/>
        <w:ind w:left="567" w:right="56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345F121" w14:textId="77777777" w:rsidR="007C15D3" w:rsidRPr="00ED3DD9" w:rsidRDefault="007C15D3" w:rsidP="007C15D3">
      <w:pPr>
        <w:pStyle w:val="Prrafodelista"/>
        <w:numPr>
          <w:ilvl w:val="3"/>
          <w:numId w:val="9"/>
        </w:numPr>
        <w:spacing w:after="0" w:line="360" w:lineRule="auto"/>
        <w:ind w:left="567" w:right="56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D404053" w14:textId="77777777" w:rsidR="007C15D3" w:rsidRPr="00ED3DD9" w:rsidRDefault="007C15D3" w:rsidP="007C15D3">
      <w:pPr>
        <w:spacing w:after="0" w:line="360" w:lineRule="auto"/>
        <w:ind w:right="49"/>
        <w:jc w:val="both"/>
        <w:rPr>
          <w:rFonts w:ascii="Palatino Linotype" w:eastAsia="Palatino Linotype" w:hAnsi="Palatino Linotype" w:cs="Palatino Linotype"/>
          <w:color w:val="000000"/>
        </w:rPr>
      </w:pPr>
    </w:p>
    <w:p w14:paraId="24F098FB" w14:textId="0338F3F1" w:rsidR="007C15D3" w:rsidRPr="00ED3DD9" w:rsidRDefault="007C15D3" w:rsidP="007C15D3">
      <w:pP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Así,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w:t>
      </w:r>
      <w:r w:rsidRPr="00ED3DD9">
        <w:rPr>
          <w:rFonts w:ascii="Palatino Linotype" w:eastAsia="Palatino Linotype" w:hAnsi="Palatino Linotype" w:cs="Palatino Linotype"/>
        </w:rPr>
        <w:t xml:space="preserve">, en razón de </w:t>
      </w:r>
      <w:r w:rsidRPr="00ED3DD9">
        <w:rPr>
          <w:rFonts w:ascii="Palatino Linotype" w:eastAsia="Palatino Linotype" w:hAnsi="Palatino Linotype" w:cs="Palatino Linotype"/>
          <w:color w:val="000000"/>
        </w:rPr>
        <w:t xml:space="preserve">lo que establece el </w:t>
      </w:r>
      <w:r w:rsidR="004E0B03" w:rsidRPr="00ED3DD9">
        <w:rPr>
          <w:rFonts w:ascii="Palatino Linotype" w:eastAsia="Palatino Linotype" w:hAnsi="Palatino Linotype" w:cs="Palatino Linotype"/>
          <w:color w:val="000000"/>
        </w:rPr>
        <w:t>Bando Municipal de Atizapán de Zaragoza</w:t>
      </w:r>
      <w:r w:rsidRPr="00ED3DD9">
        <w:rPr>
          <w:rFonts w:ascii="Palatino Linotype" w:eastAsia="Palatino Linotype" w:hAnsi="Palatino Linotype" w:cs="Palatino Linotype"/>
          <w:color w:val="000000"/>
        </w:rPr>
        <w:t xml:space="preserve">, el cual refiere lo siguiente: </w:t>
      </w:r>
    </w:p>
    <w:p w14:paraId="3D298D28" w14:textId="77777777" w:rsidR="007C15D3" w:rsidRPr="00ED3DD9" w:rsidRDefault="007C15D3" w:rsidP="007C15D3">
      <w:pPr>
        <w:spacing w:after="0" w:line="360" w:lineRule="auto"/>
        <w:ind w:right="49"/>
        <w:jc w:val="both"/>
        <w:rPr>
          <w:rFonts w:ascii="Palatino Linotype" w:eastAsia="Palatino Linotype" w:hAnsi="Palatino Linotype" w:cs="Palatino Linotype"/>
          <w:b/>
        </w:rPr>
      </w:pPr>
    </w:p>
    <w:p w14:paraId="41D6E4C4" w14:textId="05494C42" w:rsidR="009B46F9" w:rsidRPr="00ED3DD9" w:rsidRDefault="004E0B03" w:rsidP="004E0B03">
      <w:pPr>
        <w:spacing w:after="0" w:line="276" w:lineRule="auto"/>
        <w:ind w:left="567" w:right="560"/>
        <w:jc w:val="both"/>
        <w:rPr>
          <w:rFonts w:ascii="Palatino Linotype" w:hAnsi="Palatino Linotype"/>
          <w:i/>
        </w:rPr>
      </w:pPr>
      <w:r w:rsidRPr="00ED3DD9">
        <w:rPr>
          <w:rFonts w:ascii="Palatino Linotype" w:hAnsi="Palatino Linotype"/>
          <w:b/>
          <w:i/>
        </w:rPr>
        <w:t>ARTÍCULO 53.-</w:t>
      </w:r>
      <w:r w:rsidRPr="00ED3DD9">
        <w:rPr>
          <w:rFonts w:ascii="Palatino Linotype" w:hAnsi="Palatino Linotype"/>
          <w:i/>
        </w:rPr>
        <w:t xml:space="preserve"> La Tesorería Municipal, en términos de la Ley Orgánica Municipal del Estado de México, es la Dependencia encargada de la Administración de la Hacienda Pública Municipal, de conformidad con las disposiciones legales aplicables, que le facultan para establecer políticas de administración de las finanzas públicas, garantizando equilibrio, disciplina presupuestaria así como capacidad administrativa, necesaria para asegurar la viabilidad financiera que permita la consolidación de los planes, programas y proyectos de la Administración Municipal.</w:t>
      </w:r>
    </w:p>
    <w:p w14:paraId="67FF2B95" w14:textId="77777777" w:rsidR="004E0B03" w:rsidRPr="00ED3DD9" w:rsidRDefault="004E0B03" w:rsidP="007C15D3">
      <w:pPr>
        <w:spacing w:after="0" w:line="360" w:lineRule="auto"/>
        <w:ind w:right="-7"/>
        <w:jc w:val="both"/>
        <w:rPr>
          <w:rFonts w:ascii="Palatino Linotype" w:hAnsi="Palatino Linotype"/>
        </w:rPr>
      </w:pPr>
    </w:p>
    <w:p w14:paraId="6B771317" w14:textId="69DA7A15" w:rsidR="007C15D3" w:rsidRPr="00ED3DD9" w:rsidRDefault="007C15D3" w:rsidP="007C15D3">
      <w:pPr>
        <w:spacing w:after="0" w:line="360" w:lineRule="auto"/>
        <w:ind w:right="-7"/>
        <w:jc w:val="both"/>
        <w:rPr>
          <w:rFonts w:ascii="Palatino Linotype" w:hAnsi="Palatino Linotype"/>
        </w:rPr>
      </w:pPr>
      <w:r w:rsidRPr="00ED3DD9">
        <w:rPr>
          <w:rFonts w:ascii="Palatino Linotype" w:hAnsi="Palatino Linotype"/>
        </w:rPr>
        <w:t xml:space="preserve">Señalado lo anterior, se procede al análisis </w:t>
      </w:r>
      <w:r w:rsidR="009B46F9" w:rsidRPr="00ED3DD9">
        <w:rPr>
          <w:rFonts w:ascii="Palatino Linotype" w:hAnsi="Palatino Linotype"/>
        </w:rPr>
        <w:t xml:space="preserve">de los Recursos de Revisión que ahora nos ocupan: </w:t>
      </w:r>
    </w:p>
    <w:p w14:paraId="255B922E" w14:textId="77777777" w:rsidR="009B46F9" w:rsidRPr="00ED3DD9" w:rsidRDefault="009B46F9" w:rsidP="007C15D3">
      <w:pPr>
        <w:spacing w:after="0" w:line="360" w:lineRule="auto"/>
        <w:ind w:right="-7"/>
        <w:jc w:val="both"/>
        <w:rPr>
          <w:rFonts w:ascii="Palatino Linotype" w:hAnsi="Palatino Linotype"/>
        </w:rPr>
      </w:pPr>
    </w:p>
    <w:p w14:paraId="49FB1066" w14:textId="731EDE72" w:rsidR="004E0B03" w:rsidRPr="00ED3DD9" w:rsidRDefault="009B46F9" w:rsidP="009B46F9">
      <w:pPr>
        <w:spacing w:after="0" w:line="360" w:lineRule="auto"/>
        <w:ind w:right="-7"/>
        <w:jc w:val="both"/>
        <w:rPr>
          <w:rFonts w:ascii="Palatino Linotype" w:eastAsia="Palatino Linotype" w:hAnsi="Palatino Linotype" w:cs="Palatino Linotype"/>
          <w:color w:val="000000"/>
        </w:rPr>
      </w:pPr>
      <w:r w:rsidRPr="00ED3DD9">
        <w:rPr>
          <w:rFonts w:ascii="Palatino Linotype" w:hAnsi="Palatino Linotype"/>
        </w:rPr>
        <w:lastRenderedPageBreak/>
        <w:t xml:space="preserve">En lo que respecta al Recurso de Revisión </w:t>
      </w:r>
      <w:r w:rsidR="004E0B03" w:rsidRPr="00ED3DD9">
        <w:rPr>
          <w:rFonts w:ascii="Palatino Linotype" w:eastAsia="Palatino Linotype" w:hAnsi="Palatino Linotype" w:cs="Palatino Linotype"/>
          <w:b/>
          <w:color w:val="000000"/>
        </w:rPr>
        <w:t>04814</w:t>
      </w:r>
      <w:r w:rsidRPr="00ED3DD9">
        <w:rPr>
          <w:rFonts w:ascii="Palatino Linotype" w:eastAsia="Palatino Linotype" w:hAnsi="Palatino Linotype" w:cs="Palatino Linotype"/>
          <w:b/>
          <w:color w:val="000000"/>
        </w:rPr>
        <w:t>/INFOEM/IP/RR/2025</w:t>
      </w:r>
      <w:r w:rsidRPr="00ED3DD9">
        <w:rPr>
          <w:rFonts w:ascii="Palatino Linotype" w:eastAsia="Palatino Linotype" w:hAnsi="Palatino Linotype" w:cs="Palatino Linotype"/>
          <w:color w:val="000000"/>
        </w:rPr>
        <w:t xml:space="preserve">, es de recordar que se requirieron los </w:t>
      </w:r>
      <w:r w:rsidR="004E0B03" w:rsidRPr="00ED3DD9">
        <w:rPr>
          <w:rFonts w:ascii="Palatino Linotype" w:eastAsia="Palatino Linotype" w:hAnsi="Palatino Linotype" w:cs="Palatino Linotype"/>
          <w:b/>
          <w:color w:val="000000"/>
          <w:u w:val="single"/>
        </w:rPr>
        <w:t>pagos realizados mediante transferencia electrónica por la Tesorería Municipal, durante el mes de febrero de dos mil veinticinco</w:t>
      </w:r>
      <w:r w:rsidR="004E0B03" w:rsidRPr="00ED3DD9">
        <w:rPr>
          <w:rFonts w:ascii="Palatino Linotype" w:eastAsia="Palatino Linotype" w:hAnsi="Palatino Linotype" w:cs="Palatino Linotype"/>
          <w:color w:val="000000"/>
        </w:rPr>
        <w:t>, en respuesta, la Tesorería Municipal informó que, para su entrega se requiere de una serie de procedimientos internos, lo cual esto implica un número significativo de horas y días lo cual obstaculiza la realización de otras actividades, situación por la cual, el particular se inconformó.</w:t>
      </w:r>
    </w:p>
    <w:p w14:paraId="0248B8EC" w14:textId="6C128BE7" w:rsidR="004E0B03" w:rsidRPr="00ED3DD9" w:rsidRDefault="004E0B03" w:rsidP="009B46F9">
      <w:pPr>
        <w:spacing w:after="0" w:line="360" w:lineRule="auto"/>
        <w:ind w:right="-7"/>
        <w:jc w:val="both"/>
        <w:rPr>
          <w:rFonts w:ascii="Palatino Linotype" w:eastAsia="Palatino Linotype" w:hAnsi="Palatino Linotype" w:cs="Palatino Linotype"/>
          <w:color w:val="000000"/>
        </w:rPr>
      </w:pPr>
    </w:p>
    <w:p w14:paraId="4B078002" w14:textId="695E9B6E" w:rsidR="004E0B03" w:rsidRPr="00ED3DD9" w:rsidRDefault="004E0B03" w:rsidP="004E0B03">
      <w:pPr>
        <w:spacing w:after="0" w:line="360" w:lineRule="auto"/>
        <w:ind w:right="-7"/>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Posteriormente, mediante informe justificado, el Sujeto Obligado cambió la modalidad de entrega de la información, argumentando que, la información relacionada con las pólizas de egresos de febrero de dos mil veinticinco, </w:t>
      </w:r>
      <w:r w:rsidR="005C6707" w:rsidRPr="00ED3DD9">
        <w:rPr>
          <w:rFonts w:ascii="Palatino Linotype" w:eastAsia="Palatino Linotype" w:hAnsi="Palatino Linotype" w:cs="Palatino Linotype"/>
          <w:color w:val="000000"/>
        </w:rPr>
        <w:t>que</w:t>
      </w:r>
      <w:r w:rsidRPr="00ED3DD9">
        <w:rPr>
          <w:rFonts w:ascii="Palatino Linotype" w:eastAsia="Palatino Linotype" w:hAnsi="Palatino Linotype" w:cs="Palatino Linotype"/>
          <w:color w:val="000000"/>
        </w:rPr>
        <w:t xml:space="preserve"> contienen los comprobantes de pagos realizados, requiere un análisis, estudio y procesamiento de más de 10,000 fojas. Asimismo, refirió que derivado de las múltiples solicitudes de información, las cuales requieren de realizar una serie de procedimientos internos como su obtención, separación y clasificación de la información, así como para la elaboración de versiones públicas, la cuales implica destinar un número significativo de días y horas, lo que obstaculizaría la realización de otras actividades, aunado a que el no dispones de recursos humanos y materiales como se mencionó, podría derivar en el incumplimiento de responsabilidades. </w:t>
      </w:r>
    </w:p>
    <w:p w14:paraId="79C6A7FC" w14:textId="77777777" w:rsidR="004E0B03" w:rsidRPr="00ED3DD9" w:rsidRDefault="004E0B03" w:rsidP="004E0B03">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1D9A5EA" w14:textId="1E14C870" w:rsidR="005C6707" w:rsidRPr="00ED3DD9" w:rsidRDefault="005C6707" w:rsidP="005C6707">
      <w:pPr>
        <w:spacing w:line="360" w:lineRule="auto"/>
        <w:jc w:val="both"/>
        <w:rPr>
          <w:rFonts w:ascii="Palatino Linotype" w:hAnsi="Palatino Linotype"/>
        </w:rPr>
      </w:pPr>
      <w:r w:rsidRPr="00ED3DD9">
        <w:rPr>
          <w:rFonts w:ascii="Palatino Linotype" w:hAnsi="Palatino Linotype"/>
        </w:rPr>
        <w:t xml:space="preserve">Por lo que, en principio, es de recordar que el Recurrente al momento de presentar la solicitud </w:t>
      </w:r>
      <w:r w:rsidR="002727A8" w:rsidRPr="00ED3DD9">
        <w:rPr>
          <w:rFonts w:ascii="Palatino Linotype" w:hAnsi="Palatino Linotype"/>
        </w:rPr>
        <w:t>de información que dio origen al</w:t>
      </w:r>
      <w:r w:rsidRPr="00ED3DD9">
        <w:rPr>
          <w:rFonts w:ascii="Palatino Linotype" w:hAnsi="Palatino Linotype"/>
        </w:rPr>
        <w:t xml:space="preserve"> Recurso de Revisión que nos ocupa, eligió como modalidad de entrega </w:t>
      </w:r>
      <w:r w:rsidRPr="00ED3DD9">
        <w:rPr>
          <w:rFonts w:ascii="Palatino Linotype" w:hAnsi="Palatino Linotype"/>
          <w:i/>
        </w:rPr>
        <w:t>“Sistema de Acceso a la Información Pública Mexiquense”</w:t>
      </w:r>
      <w:r w:rsidRPr="00ED3DD9">
        <w:rPr>
          <w:rFonts w:ascii="Palatino Linotype" w:hAnsi="Palatino Linotype"/>
        </w:rPr>
        <w:t xml:space="preserve">. </w:t>
      </w:r>
      <w:r w:rsidRPr="00ED3DD9">
        <w:rPr>
          <w:noProof/>
        </w:rPr>
        <w:t xml:space="preserve"> </w:t>
      </w:r>
    </w:p>
    <w:p w14:paraId="05BEC047" w14:textId="77777777" w:rsidR="005C6707" w:rsidRPr="00ED3DD9" w:rsidRDefault="005C6707" w:rsidP="005C6707">
      <w:pPr>
        <w:pStyle w:val="Prrafodelista"/>
        <w:spacing w:after="0" w:line="360" w:lineRule="auto"/>
        <w:ind w:left="0"/>
        <w:jc w:val="both"/>
        <w:rPr>
          <w:noProof/>
        </w:rPr>
      </w:pPr>
    </w:p>
    <w:p w14:paraId="01E3151A" w14:textId="77777777" w:rsidR="005C6707" w:rsidRPr="00ED3DD9" w:rsidRDefault="005C6707" w:rsidP="005C6707">
      <w:pPr>
        <w:spacing w:after="0" w:line="360" w:lineRule="auto"/>
        <w:ind w:right="49"/>
        <w:jc w:val="both"/>
        <w:rPr>
          <w:rFonts w:ascii="Palatino Linotype" w:hAnsi="Palatino Linotype"/>
        </w:rPr>
      </w:pPr>
      <w:r w:rsidRPr="00ED3DD9">
        <w:rPr>
          <w:rFonts w:ascii="Palatino Linotype" w:hAnsi="Palatino Linotype"/>
        </w:rPr>
        <w:t xml:space="preserve">De tal forma, resulta necesario traer a colación que el artículo 155, fracción V de la Ley de Transparencia y Acceso a la Información Pública del Estado de México y Municipios precisa </w:t>
      </w:r>
      <w:r w:rsidRPr="00ED3DD9">
        <w:rPr>
          <w:rFonts w:ascii="Palatino Linotype" w:hAnsi="Palatino Linotype"/>
        </w:rPr>
        <w:lastRenderedPageBreak/>
        <w:t>que, para presentar una solicitud de información, el particular podrá señalar la modalidad en la que prefiere se otorgue el acceso a esta, tal como se observa a la literalidad:</w:t>
      </w:r>
    </w:p>
    <w:p w14:paraId="7FAD277C" w14:textId="77777777" w:rsidR="005C6707" w:rsidRPr="00ED3DD9" w:rsidRDefault="005C6707" w:rsidP="005C6707">
      <w:pPr>
        <w:spacing w:after="0" w:line="360" w:lineRule="auto"/>
        <w:ind w:right="49"/>
        <w:jc w:val="both"/>
        <w:rPr>
          <w:rFonts w:ascii="Palatino Linotype" w:hAnsi="Palatino Linotype"/>
        </w:rPr>
      </w:pPr>
    </w:p>
    <w:p w14:paraId="30D0C439" w14:textId="77777777" w:rsidR="005C6707" w:rsidRPr="00ED3DD9" w:rsidRDefault="005C6707" w:rsidP="005C6707">
      <w:pPr>
        <w:spacing w:after="0" w:line="276" w:lineRule="auto"/>
        <w:ind w:left="567" w:right="567"/>
        <w:jc w:val="both"/>
        <w:rPr>
          <w:rFonts w:ascii="Palatino Linotype" w:hAnsi="Palatino Linotype"/>
          <w:i/>
        </w:rPr>
      </w:pPr>
      <w:r w:rsidRPr="00ED3DD9">
        <w:rPr>
          <w:rFonts w:ascii="Palatino Linotype" w:hAnsi="Palatino Linotype"/>
          <w:b/>
          <w:i/>
        </w:rPr>
        <w:t>Artículo 155.</w:t>
      </w:r>
      <w:r w:rsidRPr="00ED3DD9">
        <w:rPr>
          <w:rFonts w:ascii="Palatino Linotype" w:hAnsi="Palatino Linotype"/>
          <w:i/>
        </w:rPr>
        <w:t xml:space="preserve"> Para presentar una solicitud por escrito, no se podrán exigir mayores requisitos que los siguientes:</w:t>
      </w:r>
    </w:p>
    <w:p w14:paraId="54049925" w14:textId="77777777" w:rsidR="005C6707" w:rsidRPr="00ED3DD9" w:rsidRDefault="005C6707" w:rsidP="005C6707">
      <w:pPr>
        <w:spacing w:after="0" w:line="276" w:lineRule="auto"/>
        <w:ind w:left="567" w:right="567"/>
        <w:jc w:val="both"/>
        <w:rPr>
          <w:rFonts w:ascii="Palatino Linotype" w:hAnsi="Palatino Linotype"/>
          <w:i/>
        </w:rPr>
      </w:pPr>
      <w:r w:rsidRPr="00ED3DD9">
        <w:rPr>
          <w:rFonts w:ascii="Palatino Linotype" w:hAnsi="Palatino Linotype"/>
          <w:i/>
        </w:rPr>
        <w:t>…</w:t>
      </w:r>
    </w:p>
    <w:p w14:paraId="4F74037F" w14:textId="77777777" w:rsidR="005C6707" w:rsidRPr="00ED3DD9" w:rsidRDefault="005C6707" w:rsidP="005C6707">
      <w:pPr>
        <w:spacing w:after="0" w:line="276" w:lineRule="auto"/>
        <w:ind w:left="567" w:right="567"/>
        <w:jc w:val="both"/>
        <w:rPr>
          <w:rFonts w:ascii="Palatino Linotype" w:hAnsi="Palatino Linotype"/>
          <w:i/>
        </w:rPr>
      </w:pPr>
      <w:r w:rsidRPr="00ED3DD9">
        <w:rPr>
          <w:rFonts w:ascii="Palatino Linotype" w:hAnsi="Palatino Linotype"/>
          <w:i/>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0B6FDEC" w14:textId="77777777" w:rsidR="005C6707" w:rsidRPr="00ED3DD9" w:rsidRDefault="005C6707" w:rsidP="005C6707">
      <w:pPr>
        <w:spacing w:after="0" w:line="276" w:lineRule="auto"/>
        <w:ind w:left="567" w:right="567"/>
        <w:jc w:val="both"/>
        <w:rPr>
          <w:rFonts w:ascii="Palatino Linotype" w:hAnsi="Palatino Linotype"/>
          <w:i/>
        </w:rPr>
      </w:pPr>
      <w:r w:rsidRPr="00ED3DD9">
        <w:rPr>
          <w:rFonts w:ascii="Palatino Linotype" w:hAnsi="Palatino Linotype"/>
          <w:i/>
        </w:rPr>
        <w:t>…</w:t>
      </w:r>
    </w:p>
    <w:p w14:paraId="773817F4" w14:textId="77777777" w:rsidR="005C6707" w:rsidRPr="00ED3DD9" w:rsidRDefault="005C6707" w:rsidP="005C6707">
      <w:pPr>
        <w:spacing w:after="0" w:line="360" w:lineRule="auto"/>
        <w:ind w:right="-28"/>
        <w:contextualSpacing/>
        <w:jc w:val="both"/>
        <w:rPr>
          <w:rFonts w:ascii="Palatino Linotype" w:eastAsia="Palatino Linotype" w:hAnsi="Palatino Linotype" w:cs="Palatino Linotype"/>
        </w:rPr>
      </w:pPr>
    </w:p>
    <w:p w14:paraId="03FE15F2" w14:textId="1E5A27FD" w:rsidR="005C6707" w:rsidRPr="00ED3DD9" w:rsidRDefault="005C6707" w:rsidP="002727A8">
      <w:pPr>
        <w:spacing w:after="0" w:line="360" w:lineRule="auto"/>
        <w:ind w:right="-28"/>
        <w:contextualSpacing/>
        <w:jc w:val="both"/>
        <w:rPr>
          <w:rFonts w:ascii="Palatino Linotype" w:eastAsia="Palatino Linotype" w:hAnsi="Palatino Linotype" w:cs="Palatino Linotype"/>
          <w:b/>
        </w:rPr>
      </w:pPr>
      <w:r w:rsidRPr="00ED3DD9">
        <w:rPr>
          <w:rFonts w:ascii="Palatino Linotype" w:eastAsia="Palatino Linotype" w:hAnsi="Palatino Linotype" w:cs="Palatino Linotype"/>
        </w:rPr>
        <w:t xml:space="preserve">El artículo 158, dispone que, de manera excepcional, cuando de manera fundada y motivada lo determine el Sujeto Obligado, </w:t>
      </w:r>
      <w:r w:rsidRPr="00ED3DD9">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AF36932" w14:textId="77777777" w:rsidR="00AA22B4" w:rsidRPr="00ED3DD9" w:rsidRDefault="00AA22B4" w:rsidP="002727A8">
      <w:pPr>
        <w:spacing w:after="0" w:line="360" w:lineRule="auto"/>
        <w:ind w:right="-28"/>
        <w:contextualSpacing/>
        <w:jc w:val="both"/>
        <w:rPr>
          <w:rFonts w:ascii="Palatino Linotype" w:eastAsia="Palatino Linotype" w:hAnsi="Palatino Linotype" w:cs="Palatino Linotype"/>
          <w:b/>
        </w:rPr>
      </w:pPr>
    </w:p>
    <w:p w14:paraId="459C8F06" w14:textId="77777777" w:rsidR="005C6707" w:rsidRPr="00ED3DD9" w:rsidRDefault="005C6707" w:rsidP="005C6707">
      <w:pPr>
        <w:spacing w:after="0" w:line="360" w:lineRule="auto"/>
        <w:ind w:right="49"/>
        <w:jc w:val="both"/>
        <w:rPr>
          <w:rFonts w:ascii="Palatino Linotype" w:hAnsi="Palatino Linotype"/>
        </w:rPr>
      </w:pPr>
      <w:r w:rsidRPr="00ED3DD9">
        <w:rPr>
          <w:rFonts w:ascii="Palatino Linotype" w:hAnsi="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ED3DD9">
        <w:rPr>
          <w:rFonts w:ascii="Palatino Linotype" w:hAnsi="Palatino Linotype"/>
          <w:b/>
        </w:rPr>
        <w:t>se deberá fundar y motivar dicha necesidad</w:t>
      </w:r>
      <w:r w:rsidRPr="00ED3DD9">
        <w:rPr>
          <w:rFonts w:ascii="Palatino Linotype" w:hAnsi="Palatino Linotype"/>
        </w:rPr>
        <w:t xml:space="preserve">, como se advierte a continuación: </w:t>
      </w:r>
    </w:p>
    <w:p w14:paraId="2227B62B" w14:textId="77777777" w:rsidR="005C6707" w:rsidRPr="00ED3DD9" w:rsidRDefault="005C6707" w:rsidP="005C6707">
      <w:pPr>
        <w:spacing w:after="0" w:line="360" w:lineRule="auto"/>
        <w:ind w:right="49"/>
        <w:jc w:val="both"/>
        <w:rPr>
          <w:rFonts w:ascii="Palatino Linotype" w:hAnsi="Palatino Linotype"/>
        </w:rPr>
      </w:pPr>
    </w:p>
    <w:p w14:paraId="6884530E" w14:textId="77777777" w:rsidR="005C6707" w:rsidRPr="00ED3DD9" w:rsidRDefault="005C6707" w:rsidP="005C6707">
      <w:pPr>
        <w:spacing w:after="0" w:line="276" w:lineRule="auto"/>
        <w:ind w:left="567" w:right="567"/>
        <w:jc w:val="both"/>
        <w:rPr>
          <w:rFonts w:ascii="Palatino Linotype" w:hAnsi="Palatino Linotype"/>
          <w:i/>
        </w:rPr>
      </w:pPr>
      <w:r w:rsidRPr="00ED3DD9">
        <w:rPr>
          <w:rFonts w:ascii="Palatino Linotype" w:hAnsi="Palatino Linotype"/>
          <w:b/>
          <w:i/>
        </w:rPr>
        <w:t>Artículo 164.</w:t>
      </w:r>
      <w:r w:rsidRPr="00ED3DD9">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873CB36" w14:textId="25AAAF21" w:rsidR="005C6707" w:rsidRPr="00ED3DD9" w:rsidRDefault="005C6707" w:rsidP="006742BB">
      <w:pPr>
        <w:spacing w:after="0" w:line="276" w:lineRule="auto"/>
        <w:ind w:left="567" w:right="567"/>
        <w:jc w:val="both"/>
        <w:rPr>
          <w:rFonts w:ascii="Palatino Linotype" w:hAnsi="Palatino Linotype"/>
          <w:i/>
        </w:rPr>
      </w:pPr>
      <w:r w:rsidRPr="00ED3DD9">
        <w:rPr>
          <w:rFonts w:ascii="Palatino Linotype" w:hAnsi="Palatino Linotype"/>
          <w:i/>
        </w:rPr>
        <w:t>En cualquier caso, se deberá fundar y motivar la necesidad de ofrecer otras modalidades.</w:t>
      </w:r>
    </w:p>
    <w:p w14:paraId="6D47CE46" w14:textId="77777777" w:rsidR="005C6707" w:rsidRPr="00ED3DD9" w:rsidRDefault="005C6707" w:rsidP="005C6707">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76C156B3" w14:textId="77777777" w:rsidR="005C6707" w:rsidRPr="00ED3DD9" w:rsidRDefault="005C6707" w:rsidP="005C6707">
      <w:pPr>
        <w:spacing w:after="0" w:line="360" w:lineRule="auto"/>
        <w:ind w:right="49"/>
        <w:jc w:val="both"/>
        <w:rPr>
          <w:rFonts w:ascii="Palatino Linotype" w:eastAsia="Palatino Linotype" w:hAnsi="Palatino Linotype" w:cs="Palatino Linotype"/>
        </w:rPr>
      </w:pPr>
    </w:p>
    <w:p w14:paraId="72281A38" w14:textId="77777777" w:rsidR="005C6707" w:rsidRPr="00ED3DD9" w:rsidRDefault="005C6707" w:rsidP="005C6707">
      <w:pPr>
        <w:spacing w:after="0" w:line="360" w:lineRule="auto"/>
        <w:ind w:right="49"/>
        <w:jc w:val="both"/>
        <w:rPr>
          <w:rFonts w:ascii="Palatino Linotype" w:hAnsi="Palatino Linotype"/>
          <w:b/>
        </w:rPr>
      </w:pPr>
      <w:r w:rsidRPr="00ED3DD9">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ED3DD9">
        <w:rPr>
          <w:rFonts w:ascii="Palatino Linotype" w:hAnsi="Palatino Linotype"/>
          <w:b/>
        </w:rPr>
        <w:t xml:space="preserve">se acredite la imposibilidad de atenderla. </w:t>
      </w:r>
    </w:p>
    <w:p w14:paraId="0782C6AA" w14:textId="77777777" w:rsidR="005C6707" w:rsidRPr="00ED3DD9" w:rsidRDefault="005C6707" w:rsidP="005C6707">
      <w:pPr>
        <w:spacing w:after="0" w:line="360" w:lineRule="auto"/>
        <w:ind w:right="49"/>
        <w:jc w:val="both"/>
        <w:rPr>
          <w:rFonts w:ascii="Palatino Linotype" w:hAnsi="Palatino Linotype"/>
          <w:b/>
        </w:rPr>
      </w:pPr>
    </w:p>
    <w:p w14:paraId="3F0C2606" w14:textId="77777777" w:rsidR="005C6707" w:rsidRPr="00ED3DD9" w:rsidRDefault="005C6707" w:rsidP="005C6707">
      <w:pPr>
        <w:spacing w:after="0" w:line="360" w:lineRule="auto"/>
        <w:ind w:right="49"/>
        <w:jc w:val="both"/>
        <w:rPr>
          <w:rFonts w:ascii="Palatino Linotype" w:hAnsi="Palatino Linotype"/>
        </w:rPr>
      </w:pPr>
      <w:r w:rsidRPr="00ED3DD9">
        <w:rPr>
          <w:rFonts w:ascii="Palatino Linotype" w:hAnsi="Palatino Linotype"/>
        </w:rPr>
        <w:t xml:space="preserve">Por lo anterior, en caso de impedimento, los sujetos obligados deberán ofrecer al particular otras modalidades de entrega a la solicitada, tal como lo establece el Criterio orientador  08/17 emitido por el entonces pleno del Instituto Nacional de Transparencia, Acceso a la Información y Protección de Datos Personales, el cual establece lo siguiente: </w:t>
      </w:r>
    </w:p>
    <w:p w14:paraId="501B8BD8" w14:textId="77777777" w:rsidR="005C6707" w:rsidRPr="00ED3DD9" w:rsidRDefault="005C6707" w:rsidP="005C6707">
      <w:pPr>
        <w:spacing w:after="0" w:line="360" w:lineRule="auto"/>
        <w:ind w:right="49"/>
        <w:jc w:val="both"/>
        <w:rPr>
          <w:rFonts w:ascii="Palatino Linotype" w:hAnsi="Palatino Linotype"/>
        </w:rPr>
      </w:pPr>
    </w:p>
    <w:p w14:paraId="4BD0CB3D" w14:textId="77777777" w:rsidR="005C6707" w:rsidRPr="00ED3DD9" w:rsidRDefault="005C6707" w:rsidP="005C6707">
      <w:pPr>
        <w:spacing w:after="0" w:line="276" w:lineRule="auto"/>
        <w:ind w:left="567" w:right="567"/>
        <w:jc w:val="both"/>
        <w:rPr>
          <w:rFonts w:ascii="Palatino Linotype" w:hAnsi="Palatino Linotype"/>
          <w:b/>
          <w:i/>
          <w:u w:val="single"/>
        </w:rPr>
      </w:pPr>
      <w:r w:rsidRPr="00ED3DD9">
        <w:rPr>
          <w:rFonts w:ascii="Palatino Linotype" w:hAnsi="Palatino Linotype"/>
          <w:b/>
          <w:i/>
        </w:rPr>
        <w:t>Modalidad de entrega. Procedencia de proporcionar la información solicitada en una diversa a la elegida por el solicitante.</w:t>
      </w:r>
      <w:r w:rsidRPr="00ED3DD9">
        <w:rPr>
          <w:rFonts w:ascii="Palatino Linotype" w:hAnsi="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ED3DD9">
        <w:rPr>
          <w:rFonts w:ascii="Palatino Linotype" w:hAnsi="Palatino Linotype"/>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2411C0F9" w14:textId="77777777" w:rsidR="005C6707" w:rsidRPr="00ED3DD9" w:rsidRDefault="005C6707" w:rsidP="005C6707">
      <w:pPr>
        <w:spacing w:after="0" w:line="360" w:lineRule="auto"/>
        <w:ind w:left="567" w:right="567"/>
        <w:jc w:val="both"/>
        <w:rPr>
          <w:rFonts w:ascii="Palatino Linotype" w:hAnsi="Palatino Linotype"/>
          <w:i/>
        </w:rPr>
      </w:pPr>
    </w:p>
    <w:p w14:paraId="5824D3D1" w14:textId="77777777" w:rsidR="005C6707" w:rsidRPr="00ED3DD9" w:rsidRDefault="005C6707" w:rsidP="005C6707">
      <w:pPr>
        <w:spacing w:after="0" w:line="360" w:lineRule="auto"/>
        <w:ind w:right="49"/>
        <w:jc w:val="both"/>
        <w:rPr>
          <w:rFonts w:ascii="Palatino Linotype" w:hAnsi="Palatino Linotype"/>
        </w:rPr>
      </w:pPr>
      <w:r w:rsidRPr="00ED3DD9">
        <w:rPr>
          <w:rFonts w:ascii="Palatino Linotype" w:hAnsi="Palatino Linotype"/>
        </w:rPr>
        <w:t xml:space="preserve">Es así que, se desprende que, cuando no sea posible atender la modalidad elegida por los solicitantes, el sujeto obligado deberá justificar el impedimento para atender esta y notificar </w:t>
      </w:r>
      <w:r w:rsidRPr="00ED3DD9">
        <w:rPr>
          <w:rFonts w:ascii="Palatino Linotype" w:hAnsi="Palatino Linotype"/>
        </w:rPr>
        <w:lastRenderedPageBreak/>
        <w:t>al particular la puesta a disposición de la información en todas las modalidades que lo permitan, procurando reducir los costos de entrega.</w:t>
      </w:r>
    </w:p>
    <w:p w14:paraId="17DEDE15" w14:textId="77777777" w:rsidR="005C6707" w:rsidRPr="00ED3DD9" w:rsidRDefault="005C6707" w:rsidP="005C6707">
      <w:pPr>
        <w:spacing w:after="0" w:line="360" w:lineRule="auto"/>
        <w:ind w:right="49"/>
        <w:jc w:val="both"/>
        <w:rPr>
          <w:rFonts w:ascii="Palatino Linotype" w:hAnsi="Palatino Linotype"/>
        </w:rPr>
      </w:pPr>
    </w:p>
    <w:p w14:paraId="5BFA8758" w14:textId="77777777" w:rsidR="005C6707" w:rsidRPr="00ED3DD9" w:rsidRDefault="005C6707" w:rsidP="005C6707">
      <w:pPr>
        <w:spacing w:after="0" w:line="360" w:lineRule="auto"/>
        <w:ind w:right="49"/>
        <w:jc w:val="both"/>
        <w:rPr>
          <w:rFonts w:ascii="Palatino Linotype" w:hAnsi="Palatino Linotype"/>
          <w:strike/>
          <w:color w:val="FF0000"/>
        </w:rPr>
      </w:pPr>
      <w:r w:rsidRPr="00ED3DD9">
        <w:rPr>
          <w:rFonts w:ascii="Palatino Linotype" w:hAnsi="Palatino Linotype"/>
        </w:rPr>
        <w:t xml:space="preserve">En el caso que ahora nos ocupa, este Organismo Garante notificó al Sujeto Obligado un requerimiento de información adicional, con la finalidad de obtener mayores elementos para resolver el presente asunto, no obstante, este fue omiso en desahogarlo. </w:t>
      </w:r>
    </w:p>
    <w:p w14:paraId="35273241" w14:textId="77777777" w:rsidR="005C6707" w:rsidRPr="00ED3DD9" w:rsidRDefault="005C6707" w:rsidP="005C6707">
      <w:pPr>
        <w:spacing w:after="0" w:line="360" w:lineRule="auto"/>
        <w:ind w:right="49"/>
        <w:jc w:val="both"/>
        <w:rPr>
          <w:rFonts w:ascii="Palatino Linotype" w:hAnsi="Palatino Linotype"/>
        </w:rPr>
      </w:pPr>
    </w:p>
    <w:p w14:paraId="3BBFC80C" w14:textId="77777777" w:rsidR="005C6707" w:rsidRPr="00ED3DD9" w:rsidRDefault="005C6707" w:rsidP="005C6707">
      <w:pPr>
        <w:spacing w:after="0" w:line="360" w:lineRule="auto"/>
        <w:ind w:right="49"/>
        <w:jc w:val="both"/>
        <w:rPr>
          <w:rFonts w:ascii="Palatino Linotype" w:hAnsi="Palatino Linotype"/>
        </w:rPr>
      </w:pPr>
      <w:r w:rsidRPr="00ED3DD9">
        <w:rPr>
          <w:rFonts w:ascii="Palatino Linotype" w:hAnsi="Palatino Linotype"/>
        </w:rPr>
        <w:t xml:space="preserve">Por otro lado, esta Ponencia solicitó a la Dirección General de Informática tuviera a bien informar si existía algún reporte de incidencias por parte del Sujeto Obligado; unidad administrativa que refirió que </w:t>
      </w:r>
      <w:r w:rsidRPr="00ED3DD9">
        <w:rPr>
          <w:rFonts w:ascii="Palatino Linotype" w:hAnsi="Palatino Linotype"/>
          <w:b/>
          <w:u w:val="single"/>
        </w:rPr>
        <w:t>no se había encontrado llamado o el registro correspondiente</w:t>
      </w:r>
      <w:r w:rsidRPr="00ED3DD9">
        <w:rPr>
          <w:rFonts w:ascii="Palatino Linotype" w:hAnsi="Palatino Linotype"/>
        </w:rPr>
        <w:t xml:space="preserve">, aunado a que, tampoco se advierte que se haya remitido el Acuerdo del Comité de Transparencia, mediante el cual se aprobó el cambio de modalidad de entrega de la información. </w:t>
      </w:r>
    </w:p>
    <w:p w14:paraId="476A456F" w14:textId="77777777" w:rsidR="005C6707" w:rsidRPr="00ED3DD9" w:rsidRDefault="005C6707" w:rsidP="005C6707">
      <w:pPr>
        <w:spacing w:after="0" w:line="360" w:lineRule="auto"/>
        <w:ind w:right="49"/>
        <w:jc w:val="both"/>
        <w:rPr>
          <w:rFonts w:ascii="Palatino Linotype" w:hAnsi="Palatino Linotype"/>
        </w:rPr>
      </w:pPr>
    </w:p>
    <w:p w14:paraId="52F67B54" w14:textId="24E8F011" w:rsidR="005C6707" w:rsidRPr="00ED3DD9" w:rsidRDefault="005C6707" w:rsidP="005C6707">
      <w:pPr>
        <w:spacing w:after="0" w:line="360" w:lineRule="auto"/>
        <w:ind w:right="49"/>
        <w:jc w:val="both"/>
        <w:rPr>
          <w:rFonts w:ascii="Palatino Linotype" w:eastAsia="Palatino Linotype" w:hAnsi="Palatino Linotype" w:cs="Palatino Linotype"/>
          <w:color w:val="000000"/>
        </w:rPr>
      </w:pPr>
      <w:r w:rsidRPr="00ED3DD9">
        <w:rPr>
          <w:rFonts w:ascii="Palatino Linotype" w:hAnsi="Palatino Linotype"/>
        </w:rPr>
        <w:t xml:space="preserve">Dicho lo anterior, se destaca que si bien, el Sujeto Obligado </w:t>
      </w:r>
      <w:r w:rsidRPr="00ED3DD9">
        <w:rPr>
          <w:rFonts w:ascii="Palatino Linotype" w:eastAsia="Palatino Linotype" w:hAnsi="Palatino Linotype" w:cs="Palatino Linotype"/>
          <w:color w:val="000000"/>
        </w:rPr>
        <w:t>argumentó que no se podía proporcionar la información requerid</w:t>
      </w:r>
      <w:r w:rsidR="006742BB" w:rsidRPr="00ED3DD9">
        <w:rPr>
          <w:rFonts w:ascii="Palatino Linotype" w:eastAsia="Palatino Linotype" w:hAnsi="Palatino Linotype" w:cs="Palatino Linotype"/>
          <w:color w:val="000000"/>
        </w:rPr>
        <w:t xml:space="preserve">a bajo la modalidad solicitada, </w:t>
      </w:r>
      <w:r w:rsidRPr="00ED3DD9">
        <w:rPr>
          <w:rFonts w:ascii="Palatino Linotype" w:eastAsia="Palatino Linotype" w:hAnsi="Palatino Linotype" w:cs="Palatino Linotype"/>
          <w:color w:val="000000"/>
        </w:rPr>
        <w:t>se considera que no son argumentos suficientes para sustentar el cambio de modalidad a consulta directa.</w:t>
      </w:r>
    </w:p>
    <w:p w14:paraId="54E634B5" w14:textId="77777777" w:rsidR="005C6707" w:rsidRPr="00ED3DD9" w:rsidRDefault="005C6707" w:rsidP="005C6707">
      <w:pPr>
        <w:spacing w:after="0" w:line="360" w:lineRule="auto"/>
        <w:ind w:right="49"/>
        <w:jc w:val="both"/>
        <w:rPr>
          <w:rFonts w:ascii="Palatino Linotype" w:eastAsia="Palatino Linotype" w:hAnsi="Palatino Linotype" w:cs="Palatino Linotype"/>
          <w:color w:val="000000"/>
        </w:rPr>
      </w:pPr>
    </w:p>
    <w:p w14:paraId="53F23D29" w14:textId="174E7772" w:rsidR="005C6707" w:rsidRPr="00ED3DD9" w:rsidRDefault="005C6707" w:rsidP="005C6707">
      <w:pP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Asimismo, es de mencionar que, la notificación del requerimiento de información adicional y el reporte de incidencias, se realiza con la finalidad de que, los sujetos obligados justifiquen adecuadamente las razones por las cuales no se puede entregar la información a través del sistema habilitado para tal efecto, sin embargo, cuando los sujetos obligados son omisos en su atención no permiten que este Organismo Garante cuente con elementos suficientes e indispensables para avalar una restricción de acceso a la información solicitada bajo la modalidad de preferencia de los particulares. </w:t>
      </w:r>
    </w:p>
    <w:p w14:paraId="4CA76F93" w14:textId="3047367D" w:rsidR="00AA22B4" w:rsidRPr="00ED3DD9" w:rsidRDefault="005C6707" w:rsidP="005C6707">
      <w:pP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lastRenderedPageBreak/>
        <w:t>En ese sentido, se invita al Sujeto Obligado a que en futuras ocasiones desahogue el requerimiento de información adicional que se le hacen llegar y, cuando se trate de cambio de modalidad, registe su incidencia ante la Dirección General de Infor</w:t>
      </w:r>
      <w:r w:rsidR="00AA22B4" w:rsidRPr="00ED3DD9">
        <w:rPr>
          <w:rFonts w:ascii="Palatino Linotype" w:eastAsia="Palatino Linotype" w:hAnsi="Palatino Linotype" w:cs="Palatino Linotype"/>
          <w:color w:val="000000"/>
        </w:rPr>
        <w:t xml:space="preserve">mática de este Organismo Garante. </w:t>
      </w:r>
    </w:p>
    <w:p w14:paraId="08C14929" w14:textId="77777777" w:rsidR="005C6707" w:rsidRPr="00ED3DD9" w:rsidRDefault="005C6707" w:rsidP="005C6707">
      <w:pPr>
        <w:spacing w:after="0" w:line="360" w:lineRule="auto"/>
        <w:jc w:val="both"/>
        <w:rPr>
          <w:rFonts w:ascii="Palatino Linotype" w:eastAsia="Palatino Linotype" w:hAnsi="Palatino Linotype" w:cs="Palatino Linotype"/>
        </w:rPr>
      </w:pPr>
    </w:p>
    <w:p w14:paraId="7A204C95" w14:textId="77777777" w:rsidR="005C6707" w:rsidRPr="00ED3DD9" w:rsidRDefault="005C6707" w:rsidP="005C6707">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Es así que, se concluye que respecto al cambio de modalidad, el Sujeto Obligado no justificó y tampoco </w:t>
      </w:r>
      <w:r w:rsidRPr="00ED3DD9">
        <w:rPr>
          <w:rFonts w:ascii="Palatino Linotype" w:eastAsia="Palatino Linotype" w:hAnsi="Palatino Linotype" w:cs="Palatino Linotype"/>
          <w:b/>
          <w:color w:val="000000"/>
        </w:rPr>
        <w:t xml:space="preserve">aportó elementos suficientes que permitan determinar que efectivamente existen impedimentos administrativos, técnicos y humanos para entregar la información requerida a través del medio solicitado. </w:t>
      </w:r>
    </w:p>
    <w:p w14:paraId="4426F427" w14:textId="77777777" w:rsidR="005C6707" w:rsidRPr="00ED3DD9" w:rsidRDefault="005C6707" w:rsidP="005C6707">
      <w:pPr>
        <w:spacing w:after="0" w:line="360" w:lineRule="auto"/>
        <w:jc w:val="both"/>
        <w:rPr>
          <w:rFonts w:ascii="Palatino Linotype" w:eastAsia="Palatino Linotype" w:hAnsi="Palatino Linotype" w:cs="Palatino Linotype"/>
          <w:color w:val="000000"/>
        </w:rPr>
      </w:pPr>
    </w:p>
    <w:p w14:paraId="2571581B" w14:textId="77777777" w:rsidR="005C6707" w:rsidRPr="00ED3DD9" w:rsidRDefault="005C6707" w:rsidP="005C6707">
      <w:pPr>
        <w:widowControl w:val="0"/>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Aunado a lo anterior, Calero, Natalia (2016), en la entonces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84DD8C8" w14:textId="77777777" w:rsidR="005C6707" w:rsidRPr="00ED3DD9" w:rsidRDefault="005C6707" w:rsidP="005C6707">
      <w:pPr>
        <w:widowControl w:val="0"/>
        <w:spacing w:after="0" w:line="360" w:lineRule="auto"/>
        <w:jc w:val="both"/>
        <w:rPr>
          <w:rFonts w:ascii="Palatino Linotype" w:eastAsia="Palatino Linotype" w:hAnsi="Palatino Linotype" w:cs="Palatino Linotype"/>
        </w:rPr>
      </w:pPr>
    </w:p>
    <w:p w14:paraId="2D822362" w14:textId="77777777" w:rsidR="005C6707" w:rsidRPr="00ED3DD9" w:rsidRDefault="005C6707" w:rsidP="005C6707">
      <w:pPr>
        <w:numPr>
          <w:ilvl w:val="0"/>
          <w:numId w:val="18"/>
        </w:numPr>
        <w:spacing w:after="0" w:line="360" w:lineRule="auto"/>
        <w:ind w:right="900"/>
        <w:jc w:val="both"/>
        <w:rPr>
          <w:rFonts w:ascii="Palatino Linotype" w:eastAsia="Palatino Linotype" w:hAnsi="Palatino Linotype" w:cs="Palatino Linotype"/>
        </w:rPr>
      </w:pPr>
      <w:r w:rsidRPr="00ED3DD9">
        <w:rPr>
          <w:rFonts w:ascii="Palatino Linotype" w:eastAsia="Palatino Linotype" w:hAnsi="Palatino Linotype" w:cs="Palatino Linotype"/>
        </w:rPr>
        <w:t>Las razones por las cuales la información implicaba un análisis, estudio o procesamiento de datos;</w:t>
      </w:r>
    </w:p>
    <w:p w14:paraId="74943F50" w14:textId="77777777" w:rsidR="005C6707" w:rsidRPr="00ED3DD9" w:rsidRDefault="005C6707" w:rsidP="005C6707">
      <w:pPr>
        <w:numPr>
          <w:ilvl w:val="0"/>
          <w:numId w:val="18"/>
        </w:numPr>
        <w:spacing w:after="0" w:line="360" w:lineRule="auto"/>
        <w:ind w:right="900"/>
        <w:jc w:val="both"/>
        <w:rPr>
          <w:rFonts w:ascii="Palatino Linotype" w:eastAsia="Palatino Linotype" w:hAnsi="Palatino Linotype" w:cs="Palatino Linotype"/>
        </w:rPr>
      </w:pPr>
      <w:r w:rsidRPr="00ED3DD9">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764DE2A9" w14:textId="77777777" w:rsidR="005C6707" w:rsidRPr="00ED3DD9" w:rsidRDefault="005C6707" w:rsidP="005C6707">
      <w:pPr>
        <w:numPr>
          <w:ilvl w:val="0"/>
          <w:numId w:val="18"/>
        </w:numPr>
        <w:spacing w:after="0" w:line="360" w:lineRule="auto"/>
        <w:ind w:right="900"/>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La </w:t>
      </w:r>
      <w:r w:rsidRPr="00ED3DD9">
        <w:rPr>
          <w:rFonts w:ascii="Palatino Linotype" w:eastAsia="Palatino Linotype" w:hAnsi="Palatino Linotype" w:cs="Palatino Linotype"/>
          <w:b/>
          <w:u w:val="single"/>
        </w:rPr>
        <w:t>cantidad de recursos humanos y materiales</w:t>
      </w:r>
      <w:r w:rsidRPr="00ED3DD9">
        <w:rPr>
          <w:rFonts w:ascii="Palatino Linotype" w:eastAsia="Palatino Linotype" w:hAnsi="Palatino Linotype" w:cs="Palatino Linotype"/>
        </w:rPr>
        <w:t xml:space="preserve"> con los que cuenta el Sujeto Obligado son insuficientes.</w:t>
      </w:r>
    </w:p>
    <w:p w14:paraId="24FD5E50" w14:textId="77777777" w:rsidR="005C6707" w:rsidRPr="00ED3DD9" w:rsidRDefault="005C6707" w:rsidP="005C6707">
      <w:pPr>
        <w:spacing w:after="0" w:line="360" w:lineRule="auto"/>
        <w:ind w:left="720" w:right="900"/>
        <w:jc w:val="both"/>
        <w:rPr>
          <w:rFonts w:ascii="Palatino Linotype" w:eastAsia="Palatino Linotype" w:hAnsi="Palatino Linotype" w:cs="Palatino Linotype"/>
        </w:rPr>
      </w:pPr>
    </w:p>
    <w:p w14:paraId="2717F2B7" w14:textId="77777777" w:rsidR="005C6707" w:rsidRPr="00ED3DD9" w:rsidRDefault="005C6707" w:rsidP="005C670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 xml:space="preserve">En ese contexto, es de señalar que 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xml:space="preserve"> no señaló de manera puntual</w:t>
      </w:r>
      <w:r w:rsidRPr="00ED3DD9">
        <w:t xml:space="preserve"> las </w:t>
      </w:r>
      <w:r w:rsidRPr="00ED3DD9">
        <w:rPr>
          <w:rFonts w:ascii="Palatino Linotype" w:eastAsia="Palatino Linotype" w:hAnsi="Palatino Linotype" w:cs="Palatino Linotype"/>
        </w:rPr>
        <w:t>imposibilidades para dar atención a la solicitud, esto en observancia a las siguientes circunstancias:</w:t>
      </w:r>
    </w:p>
    <w:p w14:paraId="5CC70D2D" w14:textId="77777777" w:rsidR="005C6707" w:rsidRPr="00ED3DD9" w:rsidRDefault="005C6707" w:rsidP="005C6707">
      <w:pPr>
        <w:spacing w:after="0" w:line="360" w:lineRule="auto"/>
        <w:jc w:val="both"/>
        <w:rPr>
          <w:rFonts w:ascii="Palatino Linotype" w:eastAsia="Palatino Linotype" w:hAnsi="Palatino Linotype" w:cs="Palatino Linotype"/>
        </w:rPr>
      </w:pPr>
    </w:p>
    <w:p w14:paraId="5B51681D" w14:textId="77777777" w:rsidR="005C6707" w:rsidRPr="00ED3DD9" w:rsidRDefault="005C6707" w:rsidP="005C6707">
      <w:pPr>
        <w:numPr>
          <w:ilvl w:val="0"/>
          <w:numId w:val="19"/>
        </w:numPr>
        <w:pBdr>
          <w:top w:val="nil"/>
          <w:left w:val="nil"/>
          <w:bottom w:val="nil"/>
          <w:right w:val="nil"/>
          <w:between w:val="nil"/>
        </w:pBdr>
        <w:spacing w:after="0" w:line="360" w:lineRule="auto"/>
        <w:ind w:right="900"/>
        <w:jc w:val="both"/>
        <w:rPr>
          <w:rFonts w:ascii="Palatino Linotype" w:eastAsia="Palatino Linotype" w:hAnsi="Palatino Linotype" w:cs="Palatino Linotype"/>
          <w:b/>
        </w:rPr>
      </w:pPr>
      <w:r w:rsidRPr="00ED3DD9">
        <w:rPr>
          <w:rFonts w:ascii="Palatino Linotype" w:eastAsia="Palatino Linotype" w:hAnsi="Palatino Linotype" w:cs="Palatino Linotype"/>
        </w:rPr>
        <w:t xml:space="preserve">No se acreditó que lo peticionado implicaba un análisis, procesamiento o estudio de documentos cuya reproducción sobrepasará las capacidades técnicas, administrativas y humanas del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pues como se refirió, no se precisó el número de personas que se encontraban en las áreas, ni el formato; esto es, no proporcionó los elementos necesarios para acreditar el cambio de modalidad, pues no justificó dicho cambio.</w:t>
      </w:r>
    </w:p>
    <w:p w14:paraId="5D140889" w14:textId="77777777" w:rsidR="005C6707" w:rsidRPr="00ED3DD9" w:rsidRDefault="005C6707" w:rsidP="005C6707">
      <w:pPr>
        <w:pBdr>
          <w:top w:val="nil"/>
          <w:left w:val="nil"/>
          <w:bottom w:val="nil"/>
          <w:right w:val="nil"/>
          <w:between w:val="nil"/>
        </w:pBdr>
        <w:spacing w:after="0" w:line="360" w:lineRule="auto"/>
        <w:ind w:left="780" w:right="900"/>
        <w:jc w:val="both"/>
        <w:rPr>
          <w:rFonts w:ascii="Palatino Linotype" w:eastAsia="Palatino Linotype" w:hAnsi="Palatino Linotype" w:cs="Palatino Linotype"/>
          <w:b/>
        </w:rPr>
      </w:pPr>
    </w:p>
    <w:p w14:paraId="64984E1A" w14:textId="77777777" w:rsidR="005C6707" w:rsidRPr="00ED3DD9" w:rsidRDefault="005C6707" w:rsidP="005C670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que permitieran tener como imposibilidad la entrega de la información en el medio elegido por los solicitantes. </w:t>
      </w:r>
    </w:p>
    <w:p w14:paraId="41F92F96" w14:textId="77777777" w:rsidR="005C6707" w:rsidRPr="00ED3DD9" w:rsidRDefault="005C6707" w:rsidP="005C6707">
      <w:pPr>
        <w:spacing w:after="0" w:line="360" w:lineRule="auto"/>
        <w:jc w:val="both"/>
        <w:rPr>
          <w:rFonts w:ascii="Palatino Linotype" w:eastAsia="Palatino Linotype" w:hAnsi="Palatino Linotype" w:cs="Palatino Linotype"/>
        </w:rPr>
      </w:pPr>
    </w:p>
    <w:p w14:paraId="0FA355CD" w14:textId="77777777" w:rsidR="005C6707" w:rsidRPr="00ED3DD9" w:rsidRDefault="005C6707" w:rsidP="005C670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Además, precisan que no se debe ceñir el cambio de modalidad, directamente a consulta directa, sino que los Sujetos Obligados, deben de buscar la posibilidad de proporcionarla en las otras formas que establecen en la Ley, ya sean electrónicas o físicas. </w:t>
      </w:r>
    </w:p>
    <w:p w14:paraId="073ED9FA" w14:textId="77777777" w:rsidR="0093705A" w:rsidRPr="00ED3DD9" w:rsidRDefault="0093705A" w:rsidP="005C6707">
      <w:pPr>
        <w:spacing w:after="0" w:line="360" w:lineRule="auto"/>
        <w:jc w:val="both"/>
        <w:rPr>
          <w:rFonts w:ascii="Palatino Linotype" w:eastAsia="Palatino Linotype" w:hAnsi="Palatino Linotype" w:cs="Palatino Linotype"/>
        </w:rPr>
      </w:pPr>
    </w:p>
    <w:p w14:paraId="113CF6E8" w14:textId="4AEEFAC2" w:rsidR="0093705A" w:rsidRPr="00ED3DD9" w:rsidRDefault="0093705A" w:rsidP="005C6707">
      <w:pPr>
        <w:spacing w:after="0" w:line="360" w:lineRule="auto"/>
        <w:jc w:val="both"/>
        <w:rPr>
          <w:rFonts w:ascii="Palatino Linotype" w:eastAsia="Palatino Linotype" w:hAnsi="Palatino Linotype" w:cs="Palatino Linotype"/>
          <w:b/>
        </w:rPr>
      </w:pPr>
      <w:r w:rsidRPr="00ED3DD9">
        <w:rPr>
          <w:rFonts w:ascii="Palatino Linotype" w:eastAsia="Palatino Linotype" w:hAnsi="Palatino Linotype" w:cs="Palatino Linotype"/>
          <w:b/>
        </w:rPr>
        <w:t xml:space="preserve">Por lo anterior, debido a que no se acreditó el cambio de modalidad de entrega de la información, se considera que, el Sujeto Obligado deberá hacer entrega de la información </w:t>
      </w:r>
      <w:r w:rsidRPr="00ED3DD9">
        <w:rPr>
          <w:rFonts w:ascii="Palatino Linotype" w:eastAsia="Palatino Linotype" w:hAnsi="Palatino Linotype" w:cs="Palatino Linotype"/>
          <w:b/>
        </w:rPr>
        <w:lastRenderedPageBreak/>
        <w:t xml:space="preserve">solicitada a través del Sistema de Acceso a la Información Mexiquense, de ser el caso en versión pública. </w:t>
      </w:r>
    </w:p>
    <w:p w14:paraId="0DFBFB07" w14:textId="77777777" w:rsidR="005C6707" w:rsidRPr="00ED3DD9" w:rsidRDefault="005C6707" w:rsidP="004E0B03">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620A723" w14:textId="6B6E12A9" w:rsidR="009B46F9" w:rsidRPr="00ED3DD9" w:rsidRDefault="004E0B03"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Por cuanto hace al Recurso de Revisión </w:t>
      </w:r>
      <w:r w:rsidRPr="00ED3DD9">
        <w:rPr>
          <w:rFonts w:ascii="Palatino Linotype" w:eastAsia="Palatino Linotype" w:hAnsi="Palatino Linotype" w:cs="Palatino Linotype"/>
          <w:b/>
          <w:color w:val="000000"/>
        </w:rPr>
        <w:t>04815/INFOEM/IP/RR/2025</w:t>
      </w:r>
      <w:r w:rsidRPr="00ED3DD9">
        <w:rPr>
          <w:rFonts w:ascii="Palatino Linotype" w:eastAsia="Palatino Linotype" w:hAnsi="Palatino Linotype" w:cs="Palatino Linotype"/>
          <w:color w:val="000000"/>
        </w:rPr>
        <w:t xml:space="preserve">, </w:t>
      </w:r>
      <w:r w:rsidR="0093705A" w:rsidRPr="00ED3DD9">
        <w:rPr>
          <w:rFonts w:ascii="Palatino Linotype" w:eastAsia="Palatino Linotype" w:hAnsi="Palatino Linotype" w:cs="Palatino Linotype"/>
          <w:color w:val="000000"/>
        </w:rPr>
        <w:t xml:space="preserve">el Sujeto Obligado solicitó los pagos realizados a particulares a través de cheque o transferencia electrónica </w:t>
      </w:r>
      <w:r w:rsidR="006742BB" w:rsidRPr="00ED3DD9">
        <w:rPr>
          <w:rFonts w:ascii="Palatino Linotype" w:eastAsia="Palatino Linotype" w:hAnsi="Palatino Linotype" w:cs="Palatino Linotype"/>
          <w:color w:val="000000"/>
        </w:rPr>
        <w:t xml:space="preserve">correspondientes a las partidas 3611 </w:t>
      </w:r>
      <w:r w:rsidR="0093705A" w:rsidRPr="00ED3DD9">
        <w:rPr>
          <w:rFonts w:ascii="Palatino Linotype" w:eastAsia="Palatino Linotype" w:hAnsi="Palatino Linotype" w:cs="Palatino Linotype"/>
          <w:color w:val="000000"/>
        </w:rPr>
        <w:t xml:space="preserve">y 3612 del presupuesto de egresos del ejercicio fiscal 2024. En respuesta, el Sujeto Obligado refirió que la información se encontraba publicada en una liga electrónica, - la cual se advierte que se encuentra en formato cerrado-, sin embargo, el particular se inconformó arguyendo que, la información no se encontraba en las ligas electrónicas proporcionados. </w:t>
      </w:r>
    </w:p>
    <w:p w14:paraId="58797A32" w14:textId="77777777" w:rsidR="0093705A" w:rsidRPr="00ED3DD9" w:rsidRDefault="0093705A"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4751A5A8" w14:textId="44BCF151" w:rsidR="0093705A" w:rsidRPr="00ED3DD9" w:rsidRDefault="0093705A" w:rsidP="00C225C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Es así que, mediante informe justificado, el Sujeto Obligado ratificó su respuesta inicial.</w:t>
      </w:r>
    </w:p>
    <w:p w14:paraId="092EA128" w14:textId="77777777" w:rsidR="00B837BF" w:rsidRPr="00ED3DD9" w:rsidRDefault="00B837BF" w:rsidP="006742BB">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p>
    <w:p w14:paraId="6DDF7A56"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 xml:space="preserve">Una vez establecidas las posturas de las partes, se procede al análisis del requerimiento de información, así como la información proporcionada por el </w:t>
      </w:r>
      <w:r w:rsidRPr="00ED3DD9">
        <w:rPr>
          <w:rFonts w:ascii="Palatino Linotype" w:eastAsia="Times New Roman" w:hAnsi="Palatino Linotype" w:cs="Times New Roman"/>
          <w:b/>
          <w:bCs/>
          <w:color w:val="000000"/>
        </w:rPr>
        <w:t xml:space="preserve">Sujeto Obligado, </w:t>
      </w:r>
      <w:r w:rsidRPr="00ED3DD9">
        <w:rPr>
          <w:rFonts w:ascii="Palatino Linotype" w:eastAsia="Times New Roman" w:hAnsi="Palatino Linotype" w:cs="Times New Roman"/>
          <w:color w:val="000000"/>
        </w:rPr>
        <w:t xml:space="preserve">en contraposición con el motivo de inconformidad alegado por la parte </w:t>
      </w:r>
      <w:r w:rsidRPr="00ED3DD9">
        <w:rPr>
          <w:rFonts w:ascii="Palatino Linotype" w:eastAsia="Times New Roman" w:hAnsi="Palatino Linotype" w:cs="Times New Roman"/>
          <w:b/>
          <w:bCs/>
          <w:color w:val="000000"/>
        </w:rPr>
        <w:t xml:space="preserve">Recurrente, </w:t>
      </w:r>
      <w:r w:rsidRPr="00ED3DD9">
        <w:rPr>
          <w:rFonts w:ascii="Palatino Linotype" w:eastAsia="Times New Roman" w:hAnsi="Palatino Linotype" w:cs="Times New Roman"/>
          <w:color w:val="000000"/>
        </w:rPr>
        <w:t>con la finalidad de determinar si el Derecho de acceso de esta se satisfizo, o, en su defecto, ordenar el soporte documental correspondiente, en caso de ser procedente.</w:t>
      </w:r>
    </w:p>
    <w:p w14:paraId="31652F27"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11CEB307" w14:textId="1A3AF4DD" w:rsidR="00B837BF" w:rsidRPr="00ED3DD9" w:rsidRDefault="00B837BF" w:rsidP="006742BB">
      <w:pPr>
        <w:spacing w:after="0" w:line="360" w:lineRule="auto"/>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 xml:space="preserve">En este tenor, se debe resaltar, en primer lugar, que la parte </w:t>
      </w:r>
      <w:r w:rsidRPr="00ED3DD9">
        <w:rPr>
          <w:rFonts w:ascii="Palatino Linotype" w:eastAsia="Times New Roman" w:hAnsi="Palatino Linotype" w:cs="Times New Roman"/>
          <w:b/>
          <w:bCs/>
          <w:color w:val="000000"/>
        </w:rPr>
        <w:t>Recurrente</w:t>
      </w:r>
      <w:r w:rsidRPr="00ED3DD9">
        <w:rPr>
          <w:rFonts w:ascii="Palatino Linotype" w:eastAsia="Times New Roman" w:hAnsi="Palatino Linotype" w:cs="Times New Roman"/>
          <w:color w:val="000000"/>
        </w:rPr>
        <w:t xml:space="preserve"> desea conocer únicamente los comprobantes de pago de las partidas presupuestales 3611 y 3612, para tal efecto, conviene traer a colación el contenido del Manual para la Planeación, Programación y Presupuesto de Egresos Municipal para el ejercicio fiscal 2024, el cual integra como anexo el “Clasificador por objeto del gasto”, mismo que constituye un elemento fundamental del sistema general de cuentas donde cada componente destaca aspectos concretos del </w:t>
      </w:r>
      <w:r w:rsidRPr="00ED3DD9">
        <w:rPr>
          <w:rFonts w:ascii="Palatino Linotype" w:eastAsia="Times New Roman" w:hAnsi="Palatino Linotype" w:cs="Times New Roman"/>
          <w:color w:val="000000"/>
        </w:rPr>
        <w:lastRenderedPageBreak/>
        <w:t>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238402FD" w14:textId="77777777" w:rsidR="006742BB" w:rsidRPr="00ED3DD9" w:rsidRDefault="006742BB" w:rsidP="006742BB">
      <w:pPr>
        <w:spacing w:after="0" w:line="360" w:lineRule="auto"/>
        <w:jc w:val="both"/>
        <w:rPr>
          <w:rFonts w:ascii="Times New Roman" w:eastAsia="Times New Roman" w:hAnsi="Times New Roman" w:cs="Times New Roman"/>
          <w:sz w:val="24"/>
          <w:szCs w:val="24"/>
        </w:rPr>
      </w:pPr>
    </w:p>
    <w:p w14:paraId="41B6CE70" w14:textId="77777777" w:rsidR="00B837BF" w:rsidRPr="00ED3DD9" w:rsidRDefault="00B837BF" w:rsidP="006742BB">
      <w:pPr>
        <w:spacing w:after="0" w:line="360" w:lineRule="auto"/>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De este modo, 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1A7356CA" w14:textId="77777777" w:rsidR="006742BB" w:rsidRPr="00ED3DD9" w:rsidRDefault="006742BB" w:rsidP="006742BB">
      <w:pPr>
        <w:spacing w:after="0" w:line="360" w:lineRule="auto"/>
        <w:jc w:val="both"/>
        <w:rPr>
          <w:rFonts w:ascii="Times New Roman" w:eastAsia="Times New Roman" w:hAnsi="Times New Roman" w:cs="Times New Roman"/>
          <w:sz w:val="24"/>
          <w:szCs w:val="24"/>
        </w:rPr>
      </w:pPr>
    </w:p>
    <w:p w14:paraId="1D1A6FB0" w14:textId="2D20D1F0" w:rsidR="00B837BF" w:rsidRPr="00ED3DD9" w:rsidRDefault="00B837BF" w:rsidP="006742BB">
      <w:pPr>
        <w:spacing w:after="0" w:line="360" w:lineRule="auto"/>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45CA1184" wp14:editId="60475F53">
            <wp:extent cx="4907280" cy="688340"/>
            <wp:effectExtent l="0" t="0" r="7620" b="0"/>
            <wp:docPr id="5" name="Imagen 5" descr="https://lh7-rt.googleusercontent.com/docsz/AD_4nXcL8rXQcgTJgNNGd3p547mgmOl3Zf2PW7qOaKD7Kpt0fBtc5NWDBVDD-S_7Z8Raz30KIgZYilFxQHfi1hzMP7CLFhEwAzPNKXMd47KxYUNVpmE2DnWSg2xGM1hIZPVjzIS3gFD2mrG-tY1D3Rz2gg?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L8rXQcgTJgNNGd3p547mgmOl3Zf2PW7qOaKD7Kpt0fBtc5NWDBVDD-S_7Z8Raz30KIgZYilFxQHfi1hzMP7CLFhEwAzPNKXMd47KxYUNVpmE2DnWSg2xGM1hIZPVjzIS3gFD2mrG-tY1D3Rz2gg?key=7xS28zO0RiOKgqV_e-Oa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280" cy="688340"/>
                    </a:xfrm>
                    <a:prstGeom prst="rect">
                      <a:avLst/>
                    </a:prstGeom>
                    <a:noFill/>
                    <a:ln>
                      <a:noFill/>
                    </a:ln>
                  </pic:spPr>
                </pic:pic>
              </a:graphicData>
            </a:graphic>
          </wp:inline>
        </w:drawing>
      </w:r>
    </w:p>
    <w:p w14:paraId="55D54F2C" w14:textId="77777777" w:rsidR="006742BB" w:rsidRPr="00ED3DD9" w:rsidRDefault="006742BB" w:rsidP="006742BB">
      <w:pPr>
        <w:spacing w:after="0" w:line="360" w:lineRule="auto"/>
        <w:jc w:val="both"/>
        <w:rPr>
          <w:rFonts w:ascii="Palatino Linotype" w:eastAsia="Times New Roman" w:hAnsi="Palatino Linotype" w:cs="Times New Roman"/>
          <w:color w:val="000000"/>
        </w:rPr>
      </w:pPr>
    </w:p>
    <w:p w14:paraId="1A3B73FA" w14:textId="77777777" w:rsidR="00B837BF" w:rsidRPr="00ED3DD9" w:rsidRDefault="00B837BF" w:rsidP="006742BB">
      <w:pPr>
        <w:spacing w:after="0" w:line="360" w:lineRule="auto"/>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Debiendo definir cada una de las partes que lo integran como sigue:</w:t>
      </w:r>
    </w:p>
    <w:p w14:paraId="734B2DA0" w14:textId="77777777" w:rsidR="006742BB" w:rsidRPr="00ED3DD9" w:rsidRDefault="006742BB" w:rsidP="006742BB">
      <w:pPr>
        <w:spacing w:after="0" w:line="360" w:lineRule="auto"/>
        <w:jc w:val="both"/>
        <w:rPr>
          <w:rFonts w:ascii="Times New Roman" w:eastAsia="Times New Roman" w:hAnsi="Times New Roman" w:cs="Times New Roman"/>
          <w:sz w:val="24"/>
          <w:szCs w:val="24"/>
        </w:rPr>
      </w:pPr>
    </w:p>
    <w:p w14:paraId="75DD0AC5"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w:t>
      </w:r>
      <w:r w:rsidRPr="00ED3DD9">
        <w:rPr>
          <w:rFonts w:ascii="Palatino Linotype" w:eastAsia="Times New Roman" w:hAnsi="Palatino Linotype" w:cs="Times New Roman"/>
          <w:color w:val="000000"/>
        </w:rPr>
        <w:tab/>
      </w:r>
      <w:r w:rsidRPr="00ED3DD9">
        <w:rPr>
          <w:rFonts w:ascii="Palatino Linotype" w:eastAsia="Times New Roman" w:hAnsi="Palatino Linotype" w:cs="Times New Roman"/>
          <w:b/>
          <w:bCs/>
          <w:color w:val="000000"/>
        </w:rPr>
        <w:t>Capítulo:</w:t>
      </w:r>
      <w:r w:rsidRPr="00ED3DD9">
        <w:rPr>
          <w:rFonts w:ascii="Palatino Linotype" w:eastAsia="Times New Roman" w:hAnsi="Palatino Linotype" w:cs="Times New Roman"/>
          <w:color w:val="000000"/>
        </w:rPr>
        <w:t xml:space="preserve"> Es el mayor nivel de agregación que identifica el conjunto homogéneo y ordenado de los bienes y servicios requeridos por los entes públicos. </w:t>
      </w:r>
    </w:p>
    <w:p w14:paraId="3BF31650"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w:t>
      </w:r>
      <w:r w:rsidRPr="00ED3DD9">
        <w:rPr>
          <w:rFonts w:ascii="Palatino Linotype" w:eastAsia="Times New Roman" w:hAnsi="Palatino Linotype" w:cs="Times New Roman"/>
          <w:color w:val="000000"/>
        </w:rPr>
        <w:tab/>
      </w:r>
      <w:r w:rsidRPr="00ED3DD9">
        <w:rPr>
          <w:rFonts w:ascii="Palatino Linotype" w:eastAsia="Times New Roman" w:hAnsi="Palatino Linotype" w:cs="Times New Roman"/>
          <w:b/>
          <w:bCs/>
          <w:color w:val="000000"/>
        </w:rPr>
        <w:t>Concepto:</w:t>
      </w:r>
      <w:r w:rsidRPr="00ED3DD9">
        <w:rPr>
          <w:rFonts w:ascii="Palatino Linotype" w:eastAsia="Times New Roman" w:hAnsi="Palatino Linotype" w:cs="Times New Roman"/>
          <w:color w:val="000000"/>
        </w:rPr>
        <w:t xml:space="preserve"> Son subconjuntos homogéneos y ordenados en forma específica, producto de la desagregación de los bienes y servicios, incluidos en cada capítulo. </w:t>
      </w:r>
    </w:p>
    <w:p w14:paraId="77ABC085"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w:t>
      </w:r>
      <w:r w:rsidRPr="00ED3DD9">
        <w:rPr>
          <w:rFonts w:ascii="Palatino Linotype" w:eastAsia="Times New Roman" w:hAnsi="Palatino Linotype" w:cs="Times New Roman"/>
          <w:color w:val="000000"/>
        </w:rPr>
        <w:tab/>
      </w:r>
      <w:r w:rsidRPr="00ED3DD9">
        <w:rPr>
          <w:rFonts w:ascii="Palatino Linotype" w:eastAsia="Times New Roman" w:hAnsi="Palatino Linotype" w:cs="Times New Roman"/>
          <w:b/>
          <w:bCs/>
          <w:color w:val="000000"/>
        </w:rPr>
        <w:t>Partida:</w:t>
      </w:r>
      <w:r w:rsidRPr="00ED3DD9">
        <w:rPr>
          <w:rFonts w:ascii="Palatino Linotype" w:eastAsia="Times New Roman" w:hAnsi="Palatino Linotype" w:cs="Times New Roman"/>
          <w:color w:val="000000"/>
        </w:rPr>
        <w:t xml:space="preserve"> Es el nivel de agregación más específico en el cual se describen las expresiones concretas y detalladas de los bienes y servicios que se adquieren y se compone de: </w:t>
      </w:r>
    </w:p>
    <w:p w14:paraId="130596C5" w14:textId="77777777" w:rsidR="00B837BF" w:rsidRPr="00ED3DD9" w:rsidRDefault="00B837BF" w:rsidP="006742BB">
      <w:pPr>
        <w:spacing w:after="0" w:line="360" w:lineRule="auto"/>
        <w:ind w:firstLine="720"/>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lastRenderedPageBreak/>
        <w:t>a)</w:t>
      </w:r>
      <w:r w:rsidRPr="00ED3DD9">
        <w:rPr>
          <w:rFonts w:ascii="Palatino Linotype" w:eastAsia="Times New Roman" w:hAnsi="Palatino Linotype" w:cs="Times New Roman"/>
          <w:color w:val="000000"/>
        </w:rPr>
        <w:tab/>
      </w:r>
      <w:r w:rsidRPr="00ED3DD9">
        <w:rPr>
          <w:rFonts w:ascii="Palatino Linotype" w:eastAsia="Times New Roman" w:hAnsi="Palatino Linotype" w:cs="Times New Roman"/>
          <w:b/>
          <w:bCs/>
          <w:color w:val="000000"/>
        </w:rPr>
        <w:t>La Partida Genérica</w:t>
      </w:r>
      <w:r w:rsidRPr="00ED3DD9">
        <w:rPr>
          <w:rFonts w:ascii="Palatino Linotype" w:eastAsia="Times New Roman" w:hAnsi="Palatino Linotype" w:cs="Times New Roman"/>
          <w:color w:val="000000"/>
        </w:rPr>
        <w:t xml:space="preserve"> se refiere al tercer dígito, el cual logrará la armonización a todos los niveles de gobierno.</w:t>
      </w:r>
    </w:p>
    <w:p w14:paraId="5875BF22" w14:textId="77777777" w:rsidR="00B837BF" w:rsidRPr="00ED3DD9" w:rsidRDefault="00B837BF" w:rsidP="006742BB">
      <w:pPr>
        <w:spacing w:after="0" w:line="360" w:lineRule="auto"/>
        <w:ind w:left="720"/>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b)</w:t>
      </w:r>
      <w:r w:rsidRPr="00ED3DD9">
        <w:rPr>
          <w:rFonts w:ascii="Palatino Linotype" w:eastAsia="Times New Roman" w:hAnsi="Palatino Linotype" w:cs="Times New Roman"/>
          <w:color w:val="000000"/>
        </w:rPr>
        <w:tab/>
      </w:r>
      <w:r w:rsidRPr="00ED3DD9">
        <w:rPr>
          <w:rFonts w:ascii="Palatino Linotype" w:eastAsia="Times New Roman" w:hAnsi="Palatino Linotype" w:cs="Times New Roman"/>
          <w:b/>
          <w:bCs/>
          <w:color w:val="000000"/>
        </w:rPr>
        <w:t>La Partida Específica</w:t>
      </w:r>
      <w:r w:rsidRPr="00ED3DD9">
        <w:rPr>
          <w:rFonts w:ascii="Palatino Linotype" w:eastAsia="Times New Roman" w:hAnsi="Palatino Linotype" w:cs="Times New Roman"/>
          <w:color w:val="000000"/>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622452B" w14:textId="77777777" w:rsidR="006742BB" w:rsidRPr="00ED3DD9" w:rsidRDefault="006742BB" w:rsidP="006742BB">
      <w:pPr>
        <w:spacing w:after="0" w:line="360" w:lineRule="auto"/>
        <w:jc w:val="both"/>
        <w:rPr>
          <w:rFonts w:ascii="Palatino Linotype" w:eastAsia="Times New Roman" w:hAnsi="Palatino Linotype" w:cs="Times New Roman"/>
          <w:color w:val="000000"/>
        </w:rPr>
      </w:pPr>
    </w:p>
    <w:p w14:paraId="383264B4"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 xml:space="preserve">De acuerdo con este nivel de desagregación del Clasificador por Objeto del Gasto Estatal y Municipal, la definición al Capítulo de gasto que corresponde al presente caso, es el </w:t>
      </w:r>
      <w:r w:rsidRPr="00ED3DD9">
        <w:rPr>
          <w:rFonts w:ascii="Palatino Linotype" w:eastAsia="Times New Roman" w:hAnsi="Palatino Linotype" w:cs="Times New Roman"/>
          <w:b/>
          <w:bCs/>
          <w:i/>
          <w:iCs/>
          <w:color w:val="000000"/>
        </w:rPr>
        <w:t xml:space="preserve">3000 SERVICIOS GENERALES </w:t>
      </w:r>
      <w:r w:rsidRPr="00ED3DD9">
        <w:rPr>
          <w:rFonts w:ascii="Palatino Linotype" w:eastAsia="Times New Roman" w:hAnsi="Palatino Linotype" w:cs="Times New Roman"/>
          <w:color w:val="000000"/>
        </w:rPr>
        <w:t>que son las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004E0FB5"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4DBD3CB7"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 xml:space="preserve">Ahora bien de la estructura de dicha codificación se deriva el </w:t>
      </w:r>
      <w:r w:rsidRPr="00ED3DD9">
        <w:rPr>
          <w:rFonts w:ascii="Palatino Linotype" w:eastAsia="Times New Roman" w:hAnsi="Palatino Linotype" w:cs="Times New Roman"/>
          <w:b/>
          <w:bCs/>
          <w:color w:val="000000"/>
        </w:rPr>
        <w:t xml:space="preserve">Subcapítulo 3600 Servicios de Comunicación Social y Publicidad, </w:t>
      </w:r>
      <w:r w:rsidRPr="00ED3DD9">
        <w:rPr>
          <w:rFonts w:ascii="Palatino Linotype" w:eastAsia="Times New Roman" w:hAnsi="Palatino Linotype" w:cs="Times New Roman"/>
          <w:color w:val="000000"/>
        </w:rPr>
        <w:t>correspondiente a las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incluyendo la contratación de servicios de impresión y publicación de información; así como al montaje de espectáculos culturales y celebraciones que demanden los entes públicos, cuyas partidas específicas son las siguientes: </w:t>
      </w:r>
    </w:p>
    <w:p w14:paraId="6FCF0787" w14:textId="41446177" w:rsidR="00B837BF" w:rsidRPr="00ED3DD9" w:rsidRDefault="00B837BF" w:rsidP="006742BB">
      <w:pPr>
        <w:spacing w:after="0" w:line="360" w:lineRule="auto"/>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lastRenderedPageBreak/>
        <w:drawing>
          <wp:inline distT="0" distB="0" distL="0" distR="0" wp14:anchorId="740EBDB5" wp14:editId="24C5546B">
            <wp:extent cx="4563110" cy="3512820"/>
            <wp:effectExtent l="0" t="0" r="8890" b="0"/>
            <wp:docPr id="4" name="Imagen 4" descr="https://lh7-rt.googleusercontent.com/docsz/AD_4nXcs3M6utOIVlUPfaWDR4EpFQuu40HL0eE2SfK9f6I71CDiEJ3o8q3q_s0mfd_0Cgok9BkRhxhHzZjBRzMOP8L7w4udSdHlR8y2ZGxafGZZ3U46snf1mHHmcqvBHf2sul09gKfBYE0DaNtZbqSIstw?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s3M6utOIVlUPfaWDR4EpFQuu40HL0eE2SfK9f6I71CDiEJ3o8q3q_s0mfd_0Cgok9BkRhxhHzZjBRzMOP8L7w4udSdHlR8y2ZGxafGZZ3U46snf1mHHmcqvBHf2sul09gKfBYE0DaNtZbqSIstw?key=7xS28zO0RiOKgqV_e-Oa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110" cy="3512820"/>
                    </a:xfrm>
                    <a:prstGeom prst="rect">
                      <a:avLst/>
                    </a:prstGeom>
                    <a:noFill/>
                    <a:ln>
                      <a:noFill/>
                    </a:ln>
                  </pic:spPr>
                </pic:pic>
              </a:graphicData>
            </a:graphic>
          </wp:inline>
        </w:drawing>
      </w:r>
    </w:p>
    <w:p w14:paraId="7460C678" w14:textId="23538EF5" w:rsidR="00B837BF" w:rsidRPr="00ED3DD9" w:rsidRDefault="00B837BF" w:rsidP="006742BB">
      <w:pPr>
        <w:spacing w:after="0" w:line="360" w:lineRule="auto"/>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7490B0E7" wp14:editId="1EF11F89">
            <wp:extent cx="5024755" cy="3232150"/>
            <wp:effectExtent l="0" t="0" r="4445" b="6350"/>
            <wp:docPr id="3" name="Imagen 3" descr="https://lh7-rt.googleusercontent.com/docsz/AD_4nXfbGiOWI8yHzhzrtsqkpMglGNemYBnNwTM43bmcmcVH3XJzqlSLAYGO1LO-YC76PDd8t9BAQcvpGTkJXHuUA6qObSwNt3Ef4guGkOlzf0pyN8xS5K3lAoGX1h1RWtea04iZHzBcTOsS_f2k6tL9-w?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bGiOWI8yHzhzrtsqkpMglGNemYBnNwTM43bmcmcVH3XJzqlSLAYGO1LO-YC76PDd8t9BAQcvpGTkJXHuUA6qObSwNt3Ef4guGkOlzf0pyN8xS5K3lAoGX1h1RWtea04iZHzBcTOsS_f2k6tL9-w?key=7xS28zO0RiOKgqV_e-OaA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4755" cy="3232150"/>
                    </a:xfrm>
                    <a:prstGeom prst="rect">
                      <a:avLst/>
                    </a:prstGeom>
                    <a:noFill/>
                    <a:ln>
                      <a:noFill/>
                    </a:ln>
                  </pic:spPr>
                </pic:pic>
              </a:graphicData>
            </a:graphic>
          </wp:inline>
        </w:drawing>
      </w:r>
    </w:p>
    <w:p w14:paraId="3FAAD052"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1706B4D4"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lastRenderedPageBreak/>
        <w:t xml:space="preserve">Dicho lo anterior, se advierte que las partidas presupuestales 3611 y 3612 señaladas por la parte </w:t>
      </w:r>
      <w:r w:rsidRPr="00ED3DD9">
        <w:rPr>
          <w:rFonts w:ascii="Palatino Linotype" w:eastAsia="Times New Roman" w:hAnsi="Palatino Linotype" w:cs="Times New Roman"/>
          <w:b/>
          <w:bCs/>
          <w:color w:val="000000"/>
        </w:rPr>
        <w:t>Recurrente</w:t>
      </w:r>
      <w:r w:rsidRPr="00ED3DD9">
        <w:rPr>
          <w:rFonts w:ascii="Palatino Linotype" w:eastAsia="Times New Roman" w:hAnsi="Palatino Linotype" w:cs="Times New Roman"/>
          <w:color w:val="000000"/>
        </w:rPr>
        <w:t>, corresponden a los Gastos de publicidad y propaganda; así como, a las publicaciones oficiales y de información en general para difusión.</w:t>
      </w:r>
    </w:p>
    <w:p w14:paraId="7753F716"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6B3B1188" w14:textId="5A8E5C12" w:rsidR="00B837BF" w:rsidRPr="00ED3DD9" w:rsidRDefault="00B837BF" w:rsidP="006742BB">
      <w:pPr>
        <w:spacing w:after="0" w:line="360" w:lineRule="auto"/>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 xml:space="preserve">De este modo, se procede al análisis de los requerimientos del particular, los cuales versarán sobre los comprobantes de pago (cheques, recibos, transferencias, etc.) de las partidas presupuestales 3611 </w:t>
      </w:r>
      <w:r w:rsidRPr="00ED3DD9">
        <w:rPr>
          <w:rFonts w:ascii="Palatino Linotype" w:eastAsia="Times New Roman" w:hAnsi="Palatino Linotype" w:cs="Times New Roman"/>
          <w:i/>
          <w:iCs/>
          <w:color w:val="000000"/>
        </w:rPr>
        <w:t>“Gastos de publicidad y propaganda”</w:t>
      </w:r>
      <w:r w:rsidRPr="00ED3DD9">
        <w:rPr>
          <w:rFonts w:ascii="Palatino Linotype" w:eastAsia="Times New Roman" w:hAnsi="Palatino Linotype" w:cs="Times New Roman"/>
          <w:color w:val="000000"/>
        </w:rPr>
        <w:t xml:space="preserve"> y 3612 </w:t>
      </w:r>
      <w:r w:rsidRPr="00ED3DD9">
        <w:rPr>
          <w:rFonts w:ascii="Palatino Linotype" w:eastAsia="Times New Roman" w:hAnsi="Palatino Linotype" w:cs="Times New Roman"/>
          <w:i/>
          <w:iCs/>
          <w:color w:val="000000"/>
        </w:rPr>
        <w:t>“Publicaciones oficiales y de información en general para difusión“</w:t>
      </w:r>
      <w:r w:rsidRPr="00ED3DD9">
        <w:rPr>
          <w:rFonts w:ascii="Palatino Linotype" w:eastAsia="Times New Roman" w:hAnsi="Palatino Linotype" w:cs="Times New Roman"/>
          <w:color w:val="000000"/>
        </w:rPr>
        <w:t xml:space="preserve">, del ejercicio fiscal 2024. En primera instancia, tiene que en la presente solicitud se pronunció el Tesorero Municipal, en virtud de que es el órgano encargado de la obtención y aplicación del recurso financiero de acuerdo con la Ley de Ingresos, Código Financiero del Estado de México y Municipios y demás disposiciones aplicables vigentes. </w:t>
      </w:r>
    </w:p>
    <w:p w14:paraId="226F0F9C" w14:textId="77777777" w:rsidR="00B837BF" w:rsidRPr="00ED3DD9" w:rsidRDefault="00B837BF" w:rsidP="006742BB">
      <w:pPr>
        <w:spacing w:after="0" w:line="360" w:lineRule="auto"/>
        <w:jc w:val="both"/>
        <w:rPr>
          <w:rFonts w:ascii="Palatino Linotype" w:eastAsia="Times New Roman" w:hAnsi="Palatino Linotype" w:cs="Times New Roman"/>
          <w:color w:val="000000"/>
        </w:rPr>
      </w:pPr>
    </w:p>
    <w:p w14:paraId="78724C6A" w14:textId="77777777" w:rsidR="00B837BF" w:rsidRPr="00ED3DD9" w:rsidRDefault="00B837BF" w:rsidP="006742BB">
      <w:pPr>
        <w:spacing w:after="0" w:line="360" w:lineRule="auto"/>
        <w:ind w:right="49"/>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De lo anteriormente citado, se advierte que la Tesorería Municipal es la unidad administrativa competente para atender el requerimiento de información concerniente a los comprobantes de pago de las partidas presupuestales solicitadas, pues es la encargada de la recaudación de los ingresos municipales, y responsable de realizar las erogaciones que haga el Ayuntamiento y la Administración Pública. </w:t>
      </w:r>
    </w:p>
    <w:p w14:paraId="19B68AD2"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p>
    <w:p w14:paraId="716EECAA" w14:textId="77777777" w:rsidR="00B837BF" w:rsidRPr="00ED3DD9" w:rsidRDefault="00B837BF" w:rsidP="006742BB">
      <w:pPr>
        <w:spacing w:after="0" w:line="360" w:lineRule="auto"/>
        <w:ind w:right="49"/>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 xml:space="preserve">De tal circunstancia, se logra colegir que el </w:t>
      </w:r>
      <w:r w:rsidRPr="00ED3DD9">
        <w:rPr>
          <w:rFonts w:ascii="Palatino Linotype" w:eastAsia="Times New Roman" w:hAnsi="Palatino Linotype" w:cs="Times New Roman"/>
          <w:b/>
          <w:bCs/>
          <w:color w:val="000000"/>
        </w:rPr>
        <w:t>Sujeto Obligado</w:t>
      </w:r>
      <w:r w:rsidRPr="00ED3DD9">
        <w:rPr>
          <w:rFonts w:ascii="Palatino Linotype" w:eastAsia="Times New Roman" w:hAnsi="Palatino Linotype" w:cs="Times New Roman"/>
          <w:color w:val="000000"/>
        </w:rPr>
        <w:t xml:space="preserve"> cumplió con el procedimiento de búsqueda establecido en el artículo 162 de la Ley de Transparencia y Acceso a la Información Pública del Estado de México y Municipios. </w:t>
      </w:r>
    </w:p>
    <w:p w14:paraId="477A30A4"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35A8D939" w14:textId="77777777" w:rsidR="00B837BF" w:rsidRPr="00ED3DD9" w:rsidRDefault="00B837BF" w:rsidP="006742BB">
      <w:pPr>
        <w:spacing w:after="0" w:line="360" w:lineRule="auto"/>
        <w:ind w:right="49"/>
        <w:jc w:val="both"/>
        <w:rPr>
          <w:rFonts w:ascii="Palatino Linotype" w:eastAsia="Times New Roman" w:hAnsi="Palatino Linotype" w:cs="Times New Roman"/>
          <w:color w:val="000000"/>
        </w:rPr>
      </w:pPr>
      <w:r w:rsidRPr="00ED3DD9">
        <w:rPr>
          <w:rFonts w:ascii="Palatino Linotype" w:eastAsia="Times New Roman" w:hAnsi="Palatino Linotype" w:cs="Times New Roman"/>
          <w:color w:val="000000"/>
        </w:rPr>
        <w:t xml:space="preserve">No obstante se procede al análisis la naturaleza de la información, por ello se debe partir de lo dispuesto en los artículos 342, 343, 344 y 345 del Código Financiero del Estado de México y </w:t>
      </w:r>
      <w:r w:rsidRPr="00ED3DD9">
        <w:rPr>
          <w:rFonts w:ascii="Palatino Linotype" w:eastAsia="Times New Roman" w:hAnsi="Palatino Linotype" w:cs="Times New Roman"/>
          <w:color w:val="000000"/>
        </w:rPr>
        <w:lastRenderedPageBreak/>
        <w:t>Municipios, los cuales disponen el sistema y las políticas que deben seguirse para llevar el registro contable y presupuestal de las operaciones financieras, en los siguientes términos:</w:t>
      </w:r>
    </w:p>
    <w:p w14:paraId="712F1330" w14:textId="77777777" w:rsidR="006742BB" w:rsidRPr="00ED3DD9" w:rsidRDefault="006742BB" w:rsidP="006742BB">
      <w:pPr>
        <w:spacing w:after="0" w:line="360" w:lineRule="auto"/>
        <w:ind w:right="49"/>
        <w:jc w:val="both"/>
        <w:rPr>
          <w:rFonts w:ascii="Times New Roman" w:eastAsia="Times New Roman" w:hAnsi="Times New Roman" w:cs="Times New Roman"/>
          <w:sz w:val="24"/>
          <w:szCs w:val="24"/>
        </w:rPr>
      </w:pPr>
    </w:p>
    <w:p w14:paraId="29A22AC9"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t>“</w:t>
      </w:r>
      <w:r w:rsidRPr="00ED3DD9">
        <w:rPr>
          <w:rFonts w:ascii="Palatino Linotype" w:eastAsia="Times New Roman" w:hAnsi="Palatino Linotype" w:cs="Times New Roman"/>
          <w:b/>
          <w:bCs/>
          <w:i/>
          <w:iCs/>
          <w:color w:val="000000"/>
        </w:rPr>
        <w:t>Artículo 342.-</w:t>
      </w:r>
      <w:r w:rsidRPr="00ED3DD9">
        <w:rPr>
          <w:rFonts w:ascii="Palatino Linotype" w:eastAsia="Times New Roman" w:hAnsi="Palatino Linotype" w:cs="Times New Roman"/>
          <w:i/>
          <w:iCs/>
          <w:color w:val="00000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D503B02"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b/>
          <w:bCs/>
          <w:i/>
          <w:iCs/>
          <w:color w:val="000000"/>
        </w:rPr>
        <w:t>En el caso de los municipios,</w:t>
      </w:r>
      <w:r w:rsidRPr="00ED3DD9">
        <w:rPr>
          <w:rFonts w:ascii="Palatino Linotype" w:eastAsia="Times New Roman" w:hAnsi="Palatino Linotype" w:cs="Times New Roman"/>
          <w:i/>
          <w:iCs/>
          <w:color w:val="000000"/>
        </w:rPr>
        <w:t xml:space="preserve"> el registro a que se refiere el párrafo anterior, se realizará conforme al sistema y a las disposiciones en materia de </w:t>
      </w:r>
      <w:r w:rsidRPr="00ED3DD9">
        <w:rPr>
          <w:rFonts w:ascii="Palatino Linotype" w:eastAsia="Times New Roman" w:hAnsi="Palatino Linotype" w:cs="Times New Roman"/>
          <w:b/>
          <w:bCs/>
          <w:i/>
          <w:iCs/>
          <w:color w:val="000000"/>
        </w:rPr>
        <w:t>planeación, programación, presupuestación, evaluación y contabilidad gubernamental</w:t>
      </w:r>
      <w:r w:rsidRPr="00ED3DD9">
        <w:rPr>
          <w:rFonts w:ascii="Palatino Linotype" w:eastAsia="Times New Roman" w:hAnsi="Palatino Linotype" w:cs="Times New Roman"/>
          <w:i/>
          <w:iCs/>
          <w:color w:val="000000"/>
        </w:rPr>
        <w:t>, que se aprueben en el marco del Sistema de Coordinación Hacendaria del Estado de México.</w:t>
      </w:r>
    </w:p>
    <w:p w14:paraId="19F49B56"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b/>
          <w:bCs/>
          <w:i/>
          <w:iCs/>
          <w:color w:val="000000"/>
        </w:rPr>
        <w:t>Artículo 343.-</w:t>
      </w:r>
      <w:r w:rsidRPr="00ED3DD9">
        <w:rPr>
          <w:rFonts w:ascii="Palatino Linotype" w:eastAsia="Times New Roman" w:hAnsi="Palatino Linotype" w:cs="Times New Roman"/>
          <w:i/>
          <w:iCs/>
          <w:color w:val="00000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7F80363"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t>El sistema de contabilidad sobre base acumulativa total, se sustentará en las normas emitidas por el Consejo Nacional de Armonización Contable.</w:t>
      </w:r>
    </w:p>
    <w:p w14:paraId="60A6E24D"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b/>
          <w:bCs/>
          <w:i/>
          <w:iCs/>
          <w:color w:val="000000"/>
        </w:rPr>
        <w:t xml:space="preserve">Artículo 344.- Los Entes Públicos, a través de cualquiera de sus unidades administrativas, de acuerdo con su naturaleza jurídica y según corresponda, </w:t>
      </w:r>
      <w:r w:rsidRPr="00ED3DD9">
        <w:rPr>
          <w:rFonts w:ascii="Palatino Linotype" w:eastAsia="Times New Roman" w:hAnsi="Palatino Linotype" w:cs="Times New Roman"/>
          <w:b/>
          <w:bCs/>
          <w:i/>
          <w:iCs/>
          <w:color w:val="000000"/>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ED3DD9">
        <w:rPr>
          <w:rFonts w:ascii="Palatino Linotype" w:eastAsia="Times New Roman" w:hAnsi="Palatino Linotype" w:cs="Times New Roman"/>
          <w:b/>
          <w:bCs/>
          <w:i/>
          <w:iCs/>
          <w:color w:val="000000"/>
        </w:rPr>
        <w:t>.</w:t>
      </w:r>
    </w:p>
    <w:p w14:paraId="7D448F0B"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b/>
          <w:bCs/>
          <w:i/>
          <w:iCs/>
          <w:color w:val="000000"/>
        </w:rPr>
        <w:t xml:space="preserve">Todo registro contable y presupuestal deberá estar </w:t>
      </w:r>
      <w:r w:rsidRPr="00ED3DD9">
        <w:rPr>
          <w:rFonts w:ascii="Palatino Linotype" w:eastAsia="Times New Roman" w:hAnsi="Palatino Linotype" w:cs="Times New Roman"/>
          <w:b/>
          <w:bCs/>
          <w:i/>
          <w:iCs/>
          <w:color w:val="000000"/>
          <w:u w:val="single"/>
        </w:rPr>
        <w:t>soportado con los documentos comprobatorios originales o en medios electrónicos</w:t>
      </w:r>
      <w:r w:rsidRPr="00ED3DD9">
        <w:rPr>
          <w:rFonts w:ascii="Palatino Linotype" w:eastAsia="Times New Roman" w:hAnsi="Palatino Linotype" w:cs="Times New Roman"/>
          <w:b/>
          <w:bCs/>
          <w:i/>
          <w:iCs/>
          <w:color w:val="000000"/>
        </w:rPr>
        <w:t xml:space="preserve">, los que deberán permanecer en custodia y conservación de los Entes Públicos a través de las unidades administrativas que ejercieron el gasto y a disposición de los Órganos de Fiscalización locales y federales, </w:t>
      </w:r>
      <w:r w:rsidRPr="00ED3DD9">
        <w:rPr>
          <w:rFonts w:ascii="Palatino Linotype" w:eastAsia="Times New Roman" w:hAnsi="Palatino Linotype" w:cs="Times New Roman"/>
          <w:i/>
          <w:iCs/>
          <w:color w:val="000000"/>
        </w:rPr>
        <w:t>según corresponda, así como de los órganos internos de control, por un término de cinco años, contados a partir del ejercicio presupuestal siguiente al que corresponda,</w:t>
      </w:r>
      <w:r w:rsidRPr="00ED3DD9">
        <w:rPr>
          <w:rFonts w:ascii="Palatino Linotype" w:eastAsia="Times New Roman" w:hAnsi="Palatino Linotype" w:cs="Times New Roman"/>
          <w:b/>
          <w:bCs/>
          <w:i/>
          <w:iCs/>
          <w:color w:val="000000"/>
        </w:rPr>
        <w:t xml:space="preserve"> en el caso de los Municipios, dicha obligación corresponderá a la Tesorería.</w:t>
      </w:r>
    </w:p>
    <w:p w14:paraId="4A30887D"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lastRenderedPageBreak/>
        <w:t>Tratándose de documentos de carácter histórico, se estará a lo dispuesto por la legislación de la materia.</w:t>
      </w:r>
    </w:p>
    <w:p w14:paraId="42F1080A"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t>…</w:t>
      </w:r>
    </w:p>
    <w:p w14:paraId="33CE3F4D"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b/>
          <w:bCs/>
          <w:i/>
          <w:iCs/>
          <w:color w:val="000000"/>
        </w:rPr>
        <w:t>Artículo 345.-</w:t>
      </w:r>
      <w:r w:rsidRPr="00ED3DD9">
        <w:rPr>
          <w:rFonts w:ascii="Palatino Linotype" w:eastAsia="Times New Roman" w:hAnsi="Palatino Linotype" w:cs="Times New Roman"/>
          <w:i/>
          <w:iCs/>
          <w:color w:val="000000"/>
        </w:rPr>
        <w:t xml:space="preserve"> </w:t>
      </w:r>
      <w:r w:rsidRPr="00ED3DD9">
        <w:rPr>
          <w:rFonts w:ascii="Palatino Linotype" w:eastAsia="Times New Roman" w:hAnsi="Palatino Linotype" w:cs="Times New Roman"/>
          <w:b/>
          <w:bCs/>
          <w:i/>
          <w:iCs/>
          <w:color w:val="00000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ED3DD9">
        <w:rPr>
          <w:rFonts w:ascii="Palatino Linotype" w:eastAsia="Times New Roman" w:hAnsi="Palatino Linotype" w:cs="Times New Roman"/>
          <w:b/>
          <w:bCs/>
          <w:i/>
          <w:iCs/>
          <w:color w:val="000000"/>
          <w:u w:val="single"/>
        </w:rPr>
        <w:t>Tratándose de los comprobantes fiscales digitales, estos deberán estar agregados en forma electrónica a cada póliza de registro contable</w:t>
      </w:r>
      <w:r w:rsidRPr="00ED3DD9">
        <w:rPr>
          <w:rFonts w:ascii="Palatino Linotype" w:eastAsia="Times New Roman" w:hAnsi="Palatino Linotype" w:cs="Times New Roman"/>
          <w:b/>
          <w:bCs/>
          <w:i/>
          <w:iCs/>
          <w:color w:val="000000"/>
        </w:rPr>
        <w:t>.</w:t>
      </w:r>
    </w:p>
    <w:p w14:paraId="0A5F3462"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ED3DD9">
        <w:rPr>
          <w:rFonts w:ascii="Palatino Linotype" w:eastAsia="Times New Roman" w:hAnsi="Palatino Linotype" w:cs="Times New Roman"/>
          <w:b/>
          <w:bCs/>
          <w:i/>
          <w:iCs/>
          <w:color w:val="000000"/>
        </w:rPr>
        <w:t>deberán estar agregados en forma electrónica a cada póliza de registro contable</w:t>
      </w:r>
      <w:r w:rsidRPr="00ED3DD9">
        <w:rPr>
          <w:rFonts w:ascii="Palatino Linotype" w:eastAsia="Times New Roman" w:hAnsi="Palatino Linotype" w:cs="Times New Roman"/>
          <w:i/>
          <w:iCs/>
          <w:color w:val="000000"/>
        </w:rPr>
        <w:t>.</w:t>
      </w:r>
    </w:p>
    <w:p w14:paraId="01694B0D" w14:textId="77777777" w:rsidR="00B837BF" w:rsidRPr="00ED3DD9" w:rsidRDefault="00B837BF" w:rsidP="006742BB">
      <w:pPr>
        <w:spacing w:after="0" w:line="276" w:lineRule="auto"/>
        <w:ind w:left="567" w:right="616"/>
        <w:jc w:val="both"/>
        <w:rPr>
          <w:rFonts w:ascii="Times New Roman" w:eastAsia="Times New Roman" w:hAnsi="Times New Roman" w:cs="Times New Roman"/>
          <w:sz w:val="24"/>
          <w:szCs w:val="24"/>
        </w:rPr>
      </w:pPr>
      <w:r w:rsidRPr="00ED3DD9">
        <w:rPr>
          <w:rFonts w:ascii="Palatino Linotype" w:eastAsia="Times New Roman" w:hAnsi="Palatino Linotype" w:cs="Times New Roman"/>
          <w:i/>
          <w:iCs/>
          <w:color w:val="000000"/>
        </w:rPr>
        <w:t>El plazo señalado en este artículo empezará a contar a partir de la publicación en el Periódico Oficial, del decreto correspondiente.</w:t>
      </w:r>
      <w:r w:rsidRPr="00ED3DD9">
        <w:rPr>
          <w:rFonts w:ascii="Palatino Linotype" w:eastAsia="Times New Roman" w:hAnsi="Palatino Linotype" w:cs="Times New Roman"/>
          <w:b/>
          <w:bCs/>
          <w:i/>
          <w:iCs/>
          <w:color w:val="000000"/>
        </w:rPr>
        <w:t>”</w:t>
      </w:r>
    </w:p>
    <w:p w14:paraId="3F70F515"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6B770BC8"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ACB24F0"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1E54D944" w14:textId="688C6E2D"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Asimismo, los Lineamientos para la integración y entrega d</w:t>
      </w:r>
      <w:r w:rsidR="00A06FD6" w:rsidRPr="00ED3DD9">
        <w:rPr>
          <w:rFonts w:ascii="Palatino Linotype" w:eastAsia="Times New Roman" w:hAnsi="Palatino Linotype" w:cs="Times New Roman"/>
          <w:color w:val="000000"/>
        </w:rPr>
        <w:t xml:space="preserve">el Informe Trimestral Municipal </w:t>
      </w:r>
      <w:r w:rsidRPr="00ED3DD9">
        <w:rPr>
          <w:rFonts w:ascii="Palatino Linotype" w:eastAsia="Times New Roman" w:hAnsi="Palatino Linotype" w:cs="Times New Roman"/>
          <w:color w:val="000000"/>
        </w:rPr>
        <w:t xml:space="preserve">2024,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ED3DD9">
        <w:rPr>
          <w:rFonts w:ascii="Palatino Linotype" w:eastAsia="Times New Roman" w:hAnsi="Palatino Linotype" w:cs="Times New Roman"/>
          <w:b/>
          <w:bCs/>
          <w:i/>
          <w:iCs/>
          <w:color w:val="000000"/>
        </w:rPr>
        <w:t>pólizas de egresos</w:t>
      </w:r>
      <w:r w:rsidRPr="00ED3DD9">
        <w:rPr>
          <w:rFonts w:ascii="Palatino Linotype" w:eastAsia="Times New Roman" w:hAnsi="Palatino Linotype" w:cs="Times New Roman"/>
          <w:i/>
          <w:iCs/>
          <w:color w:val="000000"/>
        </w:rPr>
        <w:t xml:space="preserve">, </w:t>
      </w:r>
      <w:r w:rsidRPr="00ED3DD9">
        <w:rPr>
          <w:rFonts w:ascii="Palatino Linotype" w:eastAsia="Times New Roman" w:hAnsi="Palatino Linotype" w:cs="Times New Roman"/>
          <w:color w:val="000000"/>
        </w:rPr>
        <w:t xml:space="preserve">de tal manera que, dichos formatos constituyen un soporte documental con el cual de manera enunciativa más no limitativa, el </w:t>
      </w:r>
      <w:r w:rsidRPr="00ED3DD9">
        <w:rPr>
          <w:rFonts w:ascii="Palatino Linotype" w:eastAsia="Times New Roman" w:hAnsi="Palatino Linotype" w:cs="Times New Roman"/>
          <w:b/>
          <w:bCs/>
          <w:color w:val="000000"/>
        </w:rPr>
        <w:t xml:space="preserve">Sujeto </w:t>
      </w:r>
      <w:r w:rsidRPr="00ED3DD9">
        <w:rPr>
          <w:rFonts w:ascii="Palatino Linotype" w:eastAsia="Times New Roman" w:hAnsi="Palatino Linotype" w:cs="Times New Roman"/>
          <w:b/>
          <w:bCs/>
          <w:color w:val="000000"/>
        </w:rPr>
        <w:lastRenderedPageBreak/>
        <w:t xml:space="preserve">Obligado </w:t>
      </w:r>
      <w:r w:rsidRPr="00ED3DD9">
        <w:rPr>
          <w:rFonts w:ascii="Palatino Linotype" w:eastAsia="Times New Roman" w:hAnsi="Palatino Linotype" w:cs="Times New Roman"/>
          <w:color w:val="000000"/>
        </w:rPr>
        <w:t>pudiera atender los requerimientos de información, para una mayor referencia se inserta la captura de pantalla del formato correspondiente al año 2024: </w:t>
      </w:r>
    </w:p>
    <w:p w14:paraId="381FC385" w14:textId="77777777" w:rsidR="00B837BF" w:rsidRPr="00ED3DD9" w:rsidRDefault="00B837BF" w:rsidP="006742BB">
      <w:pPr>
        <w:spacing w:after="0" w:line="360" w:lineRule="auto"/>
        <w:rPr>
          <w:rFonts w:ascii="Times New Roman" w:eastAsia="Times New Roman" w:hAnsi="Times New Roman" w:cs="Times New Roman"/>
          <w:sz w:val="24"/>
          <w:szCs w:val="24"/>
        </w:rPr>
      </w:pPr>
    </w:p>
    <w:p w14:paraId="359C9989" w14:textId="768EDB65" w:rsidR="00B837BF" w:rsidRPr="00ED3DD9" w:rsidRDefault="00B837BF" w:rsidP="006742BB">
      <w:pPr>
        <w:spacing w:after="0" w:line="360" w:lineRule="auto"/>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3512A54C" wp14:editId="776589DF">
            <wp:extent cx="3235960" cy="537471"/>
            <wp:effectExtent l="0" t="0" r="2540" b="0"/>
            <wp:docPr id="11" name="Imagen 11" descr="https://lh7-rt.googleusercontent.com/docsz/AD_4nXcrHJ1hYdty8ygKwF0pHLwMWog5PPEn9kW0QOhNP3Qw5SmbvkRTaKylgW6C3L4HyK-mvTSFdL8okFwv2j4dvDpriD_OhTIblBJNOb5Lafk8SS65Oj7aTgDwIqnBImJmznWKkjM-s4v2IYRZB5ZS?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crHJ1hYdty8ygKwF0pHLwMWog5PPEn9kW0QOhNP3Qw5SmbvkRTaKylgW6C3L4HyK-mvTSFdL8okFwv2j4dvDpriD_OhTIblBJNOb5Lafk8SS65Oj7aTgDwIqnBImJmznWKkjM-s4v2IYRZB5ZS?key=7xS28zO0RiOKgqV_e-Oa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6416" cy="542529"/>
                    </a:xfrm>
                    <a:prstGeom prst="rect">
                      <a:avLst/>
                    </a:prstGeom>
                    <a:noFill/>
                    <a:ln>
                      <a:noFill/>
                    </a:ln>
                  </pic:spPr>
                </pic:pic>
              </a:graphicData>
            </a:graphic>
          </wp:inline>
        </w:drawing>
      </w:r>
    </w:p>
    <w:p w14:paraId="53BAFCE7" w14:textId="77777777" w:rsidR="00B837BF" w:rsidRPr="00ED3DD9" w:rsidRDefault="00B837BF" w:rsidP="006742BB">
      <w:pPr>
        <w:spacing w:after="0" w:line="360" w:lineRule="auto"/>
        <w:jc w:val="center"/>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w:t>
      </w:r>
    </w:p>
    <w:p w14:paraId="4785057B" w14:textId="1ACD170F" w:rsidR="00B837BF" w:rsidRPr="00ED3DD9" w:rsidRDefault="00B837BF" w:rsidP="006742BB">
      <w:pPr>
        <w:spacing w:after="0" w:line="360" w:lineRule="auto"/>
        <w:ind w:right="51"/>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275C2648" wp14:editId="745051B3">
            <wp:extent cx="4156672" cy="1743075"/>
            <wp:effectExtent l="0" t="0" r="0" b="0"/>
            <wp:docPr id="10" name="Imagen 10" descr="https://lh7-rt.googleusercontent.com/docsz/AD_4nXeZ8bnqb5sJMljcGqmxojct1_MVJs4IdMwFp_3JcQwxMws-u0COF8HHSpK5_hzQdQai92mDOQDXP168lIj9oBJsAuxtyw77S504_zfF7tQmYBRyxBQksH7peYlHw8DPGC1q0a63DPk1Amor0b3p4A?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eZ8bnqb5sJMljcGqmxojct1_MVJs4IdMwFp_3JcQwxMws-u0COF8HHSpK5_hzQdQai92mDOQDXP168lIj9oBJsAuxtyw77S504_zfF7tQmYBRyxBQksH7peYlHw8DPGC1q0a63DPk1Amor0b3p4A?key=7xS28zO0RiOKgqV_e-OaA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054" cy="1745332"/>
                    </a:xfrm>
                    <a:prstGeom prst="rect">
                      <a:avLst/>
                    </a:prstGeom>
                    <a:noFill/>
                    <a:ln>
                      <a:noFill/>
                    </a:ln>
                  </pic:spPr>
                </pic:pic>
              </a:graphicData>
            </a:graphic>
          </wp:inline>
        </w:drawing>
      </w:r>
    </w:p>
    <w:p w14:paraId="5530182C" w14:textId="2A540B77" w:rsidR="00B837BF" w:rsidRPr="00ED3DD9" w:rsidRDefault="00B837BF" w:rsidP="006742BB">
      <w:pPr>
        <w:spacing w:after="0" w:line="360" w:lineRule="auto"/>
        <w:ind w:right="51"/>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1535718C" wp14:editId="62E6A950">
            <wp:extent cx="3820862" cy="3467100"/>
            <wp:effectExtent l="0" t="0" r="8255" b="0"/>
            <wp:docPr id="9" name="Imagen 9" descr="https://lh7-rt.googleusercontent.com/docsz/AD_4nXcW1tzciySzZfYtH2Vt3otJI-kRJVrI2z-BUXnovO5KXcaGBC2KjMrL9EGuW17szmjr8fWBEVuAhyvfafk5DHyvDlGYYqZ0xFzaCN5N7jUCqUNw2CV6X1mbtlUsbT1NMk4nHiux0aFVJCeEZxgSEg?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W1tzciySzZfYtH2Vt3otJI-kRJVrI2z-BUXnovO5KXcaGBC2KjMrL9EGuW17szmjr8fWBEVuAhyvfafk5DHyvDlGYYqZ0xFzaCN5N7jUCqUNw2CV6X1mbtlUsbT1NMk4nHiux0aFVJCeEZxgSEg?key=7xS28zO0RiOKgqV_e-OaA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605" cy="3475034"/>
                    </a:xfrm>
                    <a:prstGeom prst="rect">
                      <a:avLst/>
                    </a:prstGeom>
                    <a:noFill/>
                    <a:ln>
                      <a:noFill/>
                    </a:ln>
                  </pic:spPr>
                </pic:pic>
              </a:graphicData>
            </a:graphic>
          </wp:inline>
        </w:drawing>
      </w:r>
    </w:p>
    <w:p w14:paraId="311C3DAE" w14:textId="20141898" w:rsidR="00B837BF" w:rsidRPr="00ED3DD9" w:rsidRDefault="00B837BF" w:rsidP="006742BB">
      <w:pPr>
        <w:spacing w:after="0" w:line="360" w:lineRule="auto"/>
        <w:ind w:right="51"/>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lastRenderedPageBreak/>
        <w:drawing>
          <wp:inline distT="0" distB="0" distL="0" distR="0" wp14:anchorId="3E51D616" wp14:editId="58AA8097">
            <wp:extent cx="3775075" cy="3485515"/>
            <wp:effectExtent l="0" t="0" r="0" b="635"/>
            <wp:docPr id="8" name="Imagen 8" descr="https://lh7-rt.googleusercontent.com/docsz/AD_4nXcY6kyAezkEOLKidZo1TbmsWBx-unnczoI7Pi3AuOzskzVEoJJT1lMbcOhWnPQn-4DoR0MpMdPoLrtTdrY97bxFZrugDNxaNgQ0SM0qnrkuZEPvevcoQ0vRF6lzab5X-07YvYUFakVy4eyIokqA?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cY6kyAezkEOLKidZo1TbmsWBx-unnczoI7Pi3AuOzskzVEoJJT1lMbcOhWnPQn-4DoR0MpMdPoLrtTdrY97bxFZrugDNxaNgQ0SM0qnrkuZEPvevcoQ0vRF6lzab5X-07YvYUFakVy4eyIokqA?key=7xS28zO0RiOKgqV_e-OaA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5075" cy="3485515"/>
                    </a:xfrm>
                    <a:prstGeom prst="rect">
                      <a:avLst/>
                    </a:prstGeom>
                    <a:noFill/>
                    <a:ln>
                      <a:noFill/>
                    </a:ln>
                  </pic:spPr>
                </pic:pic>
              </a:graphicData>
            </a:graphic>
          </wp:inline>
        </w:drawing>
      </w:r>
    </w:p>
    <w:p w14:paraId="2377130E" w14:textId="0D1C7941" w:rsidR="00B837BF" w:rsidRPr="00ED3DD9" w:rsidRDefault="00B837BF" w:rsidP="006742BB">
      <w:pPr>
        <w:spacing w:after="0" w:line="360" w:lineRule="auto"/>
        <w:ind w:right="51"/>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drawing>
          <wp:inline distT="0" distB="0" distL="0" distR="0" wp14:anchorId="648ED5BE" wp14:editId="1AAD8037">
            <wp:extent cx="3540125" cy="977900"/>
            <wp:effectExtent l="0" t="0" r="3175" b="0"/>
            <wp:docPr id="7" name="Imagen 7" descr="https://lh7-rt.googleusercontent.com/docsz/AD_4nXdngiES0EAP22-3Rwz7om8T4HFjHWWOga1mAZXrEZPEqX3GSoGuhydRVW4Waj9aavLKNnYDCnSd1G-sTQBBPsuyw1FCcuAYbd6vMIenQPRTbiwxJ4HMNpvOa0krRKeER7SnhlmuqW6KJ1hC2HZo7w?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ngiES0EAP22-3Rwz7om8T4HFjHWWOga1mAZXrEZPEqX3GSoGuhydRVW4Waj9aavLKNnYDCnSd1G-sTQBBPsuyw1FCcuAYbd6vMIenQPRTbiwxJ4HMNpvOa0krRKeER7SnhlmuqW6KJ1hC2HZo7w?key=7xS28zO0RiOKgqV_e-Oa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125" cy="977900"/>
                    </a:xfrm>
                    <a:prstGeom prst="rect">
                      <a:avLst/>
                    </a:prstGeom>
                    <a:noFill/>
                    <a:ln>
                      <a:noFill/>
                    </a:ln>
                  </pic:spPr>
                </pic:pic>
              </a:graphicData>
            </a:graphic>
          </wp:inline>
        </w:drawing>
      </w:r>
    </w:p>
    <w:p w14:paraId="2A22C792" w14:textId="0218869F" w:rsidR="00B837BF" w:rsidRPr="00ED3DD9" w:rsidRDefault="00B837BF" w:rsidP="006742BB">
      <w:pPr>
        <w:spacing w:after="0" w:line="360" w:lineRule="auto"/>
        <w:ind w:right="51"/>
        <w:jc w:val="center"/>
        <w:rPr>
          <w:rFonts w:ascii="Times New Roman" w:eastAsia="Times New Roman" w:hAnsi="Times New Roman" w:cs="Times New Roman"/>
          <w:sz w:val="24"/>
          <w:szCs w:val="24"/>
        </w:rPr>
      </w:pPr>
      <w:r w:rsidRPr="00ED3DD9">
        <w:rPr>
          <w:rFonts w:ascii="Palatino Linotype" w:eastAsia="Times New Roman" w:hAnsi="Palatino Linotype" w:cs="Times New Roman"/>
          <w:noProof/>
          <w:color w:val="000000"/>
          <w:bdr w:val="none" w:sz="0" w:space="0" w:color="auto" w:frame="1"/>
        </w:rPr>
        <w:lastRenderedPageBreak/>
        <w:drawing>
          <wp:inline distT="0" distB="0" distL="0" distR="0" wp14:anchorId="56AACC5D" wp14:editId="6395BA4A">
            <wp:extent cx="3566795" cy="2788285"/>
            <wp:effectExtent l="0" t="0" r="0" b="0"/>
            <wp:docPr id="6" name="Imagen 6" descr="https://lh7-rt.googleusercontent.com/docsz/AD_4nXd18M-9AEYSMgQQxsaYqvbWoKdI4KQabPCxkVxgXuSjdBx7cpyinPj2uwCOBuWTrcK66JEW3yuedgGSxqxgTbyxTN73qhNevJ4RSTOnvczVFvsBqJFxzL5NjNBPU8PZCQ62aBSIrE1MHwOKkHTi?key=7xS28zO0RiOKgqV_e-O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d18M-9AEYSMgQQxsaYqvbWoKdI4KQabPCxkVxgXuSjdBx7cpyinPj2uwCOBuWTrcK66JEW3yuedgGSxqxgTbyxTN73qhNevJ4RSTOnvczVFvsBqJFxzL5NjNBPU8PZCQ62aBSIrE1MHwOKkHTi?key=7xS28zO0RiOKgqV_e-Oa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6795" cy="2788285"/>
                    </a:xfrm>
                    <a:prstGeom prst="rect">
                      <a:avLst/>
                    </a:prstGeom>
                    <a:noFill/>
                    <a:ln>
                      <a:noFill/>
                    </a:ln>
                  </pic:spPr>
                </pic:pic>
              </a:graphicData>
            </a:graphic>
          </wp:inline>
        </w:drawing>
      </w:r>
    </w:p>
    <w:p w14:paraId="45FA3E73" w14:textId="77777777" w:rsidR="006742BB" w:rsidRPr="00ED3DD9" w:rsidRDefault="006742BB" w:rsidP="006742BB">
      <w:pPr>
        <w:spacing w:after="0" w:line="360" w:lineRule="auto"/>
        <w:jc w:val="both"/>
        <w:rPr>
          <w:rFonts w:ascii="Palatino Linotype" w:eastAsia="Times New Roman" w:hAnsi="Palatino Linotype" w:cs="Times New Roman"/>
          <w:color w:val="000000"/>
        </w:rPr>
      </w:pPr>
    </w:p>
    <w:p w14:paraId="134EEA75" w14:textId="77777777" w:rsidR="00B837BF" w:rsidRPr="00ED3DD9" w:rsidRDefault="00B837BF" w:rsidP="006742BB">
      <w:pPr>
        <w:spacing w:after="0" w:line="360" w:lineRule="auto"/>
        <w:jc w:val="both"/>
        <w:rPr>
          <w:rFonts w:ascii="Times New Roman" w:eastAsia="Times New Roman" w:hAnsi="Times New Roman" w:cs="Times New Roman"/>
          <w:sz w:val="24"/>
          <w:szCs w:val="24"/>
        </w:rPr>
      </w:pPr>
      <w:r w:rsidRPr="00ED3DD9">
        <w:rPr>
          <w:rFonts w:ascii="Palatino Linotype" w:eastAsia="Times New Roman" w:hAnsi="Palatino Linotype" w:cs="Times New Roman"/>
          <w:color w:val="000000"/>
        </w:rPr>
        <w:t>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5CE93D04" w14:textId="77777777" w:rsidR="00B837BF" w:rsidRPr="00ED3DD9" w:rsidRDefault="00B837BF" w:rsidP="00C225C7">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p>
    <w:p w14:paraId="0C3B122B" w14:textId="795C9457" w:rsidR="00C225C7" w:rsidRPr="00ED3DD9" w:rsidRDefault="00C225C7" w:rsidP="00C225C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A</w:t>
      </w:r>
      <w:r w:rsidR="006742BB" w:rsidRPr="00ED3DD9">
        <w:rPr>
          <w:rFonts w:ascii="Palatino Linotype" w:eastAsia="Palatino Linotype" w:hAnsi="Palatino Linotype" w:cs="Palatino Linotype"/>
          <w:color w:val="000000"/>
        </w:rPr>
        <w:t>hora bien, en relación con los agravios hechos valer por la parte Recurrente</w:t>
      </w:r>
      <w:r w:rsidRPr="00ED3DD9">
        <w:rPr>
          <w:rFonts w:ascii="Palatino Linotype" w:eastAsia="Palatino Linotype" w:hAnsi="Palatino Linotype" w:cs="Palatino Linotype"/>
          <w:color w:val="000000"/>
        </w:rPr>
        <w:t xml:space="preserve"> es necesario precisar que la Ley de Transparencia y Acceso a la Información Pública del Estado de México y Municipios establece en su artículo 11 que en </w:t>
      </w:r>
      <w:r w:rsidRPr="00ED3DD9">
        <w:rPr>
          <w:rFonts w:ascii="Palatino Linotype" w:eastAsia="Palatino Linotype" w:hAnsi="Palatino Linotype" w:cs="Palatino Linotype"/>
          <w:i/>
          <w:color w:val="000000"/>
        </w:rPr>
        <w:t xml:space="preserve">la entrega de la información se deberá garantizar que ésta sea </w:t>
      </w:r>
      <w:r w:rsidRPr="00ED3DD9">
        <w:rPr>
          <w:rFonts w:ascii="Palatino Linotype" w:eastAsia="Palatino Linotype" w:hAnsi="Palatino Linotype" w:cs="Palatino Linotype"/>
          <w:b/>
          <w:i/>
          <w:color w:val="000000"/>
        </w:rPr>
        <w:t>accesible</w:t>
      </w:r>
      <w:r w:rsidRPr="00ED3DD9">
        <w:rPr>
          <w:rFonts w:ascii="Palatino Linotype" w:eastAsia="Palatino Linotype" w:hAnsi="Palatino Linotype" w:cs="Palatino Linotype"/>
          <w:i/>
          <w:color w:val="000000"/>
        </w:rPr>
        <w:t xml:space="preserve">, </w:t>
      </w:r>
      <w:r w:rsidRPr="00ED3DD9">
        <w:rPr>
          <w:rFonts w:ascii="Palatino Linotype" w:eastAsia="Palatino Linotype" w:hAnsi="Palatino Linotype" w:cs="Palatino Linotype"/>
          <w:b/>
          <w:i/>
          <w:color w:val="000000"/>
        </w:rPr>
        <w:t>actualizada, completa,</w:t>
      </w:r>
      <w:r w:rsidRPr="00ED3DD9">
        <w:rPr>
          <w:rFonts w:ascii="Palatino Linotype" w:eastAsia="Palatino Linotype" w:hAnsi="Palatino Linotype" w:cs="Palatino Linotype"/>
          <w:i/>
          <w:color w:val="000000"/>
        </w:rPr>
        <w:t xml:space="preserve"> congruente, confiable, </w:t>
      </w:r>
      <w:r w:rsidRPr="00ED3DD9">
        <w:rPr>
          <w:rFonts w:ascii="Palatino Linotype" w:eastAsia="Palatino Linotype" w:hAnsi="Palatino Linotype" w:cs="Palatino Linotype"/>
          <w:b/>
          <w:i/>
          <w:color w:val="000000"/>
        </w:rPr>
        <w:t>verificable</w:t>
      </w:r>
      <w:r w:rsidRPr="00ED3DD9">
        <w:rPr>
          <w:rFonts w:ascii="Palatino Linotype" w:eastAsia="Palatino Linotype" w:hAnsi="Palatino Linotype" w:cs="Palatino Linotype"/>
          <w:i/>
          <w:color w:val="000000"/>
        </w:rPr>
        <w:t xml:space="preserve">, veraz, integral, oportuna y expedita. </w:t>
      </w:r>
      <w:r w:rsidRPr="00ED3DD9">
        <w:rPr>
          <w:rFonts w:ascii="Palatino Linotype" w:eastAsia="Palatino Linotype" w:hAnsi="Palatino Linotype" w:cs="Palatino Linotype"/>
          <w:color w:val="000000"/>
        </w:rPr>
        <w:t>Asimismo, el artículo 161 de la Ley en comento, refiere lo siguiente:</w:t>
      </w:r>
    </w:p>
    <w:p w14:paraId="5134BE9B" w14:textId="77777777" w:rsidR="00C225C7" w:rsidRPr="00ED3DD9" w:rsidRDefault="00C225C7" w:rsidP="00C225C7">
      <w:pPr>
        <w:pBdr>
          <w:top w:val="nil"/>
          <w:left w:val="nil"/>
          <w:bottom w:val="nil"/>
          <w:right w:val="nil"/>
          <w:between w:val="nil"/>
        </w:pBdr>
        <w:spacing w:after="0" w:line="360" w:lineRule="auto"/>
        <w:ind w:left="708"/>
        <w:jc w:val="both"/>
        <w:rPr>
          <w:rFonts w:ascii="Palatino Linotype" w:eastAsia="Palatino Linotype" w:hAnsi="Palatino Linotype" w:cs="Palatino Linotype"/>
          <w:color w:val="000000"/>
        </w:rPr>
      </w:pPr>
    </w:p>
    <w:p w14:paraId="3D500910" w14:textId="2764AB4E" w:rsidR="00C225C7" w:rsidRPr="00ED3DD9" w:rsidRDefault="00C225C7" w:rsidP="002727A8">
      <w:pPr>
        <w:spacing w:after="0" w:line="276" w:lineRule="auto"/>
        <w:ind w:left="567" w:right="567"/>
        <w:jc w:val="both"/>
        <w:rPr>
          <w:rFonts w:ascii="Palatino Linotype" w:eastAsia="Palatino Linotype" w:hAnsi="Palatino Linotype" w:cs="Palatino Linotype"/>
          <w:b/>
          <w:i/>
        </w:rPr>
      </w:pPr>
      <w:r w:rsidRPr="00ED3DD9">
        <w:rPr>
          <w:rFonts w:ascii="Palatino Linotype" w:eastAsia="Palatino Linotype" w:hAnsi="Palatino Linotype" w:cs="Palatino Linotype"/>
          <w:b/>
          <w:i/>
        </w:rPr>
        <w:t xml:space="preserve">Artículo 161. Cuando la información requerida por el solicitante ya esté disponible al público </w:t>
      </w:r>
      <w:r w:rsidRPr="00ED3DD9">
        <w:rPr>
          <w:rFonts w:ascii="Palatino Linotype" w:eastAsia="Palatino Linotype" w:hAnsi="Palatino Linotype" w:cs="Palatino Linotype"/>
          <w:i/>
        </w:rPr>
        <w:t xml:space="preserve">en medios impresos, tales como libros, compendios, trípticos, registros públicos, </w:t>
      </w:r>
      <w:r w:rsidRPr="00ED3DD9">
        <w:rPr>
          <w:rFonts w:ascii="Palatino Linotype" w:eastAsia="Palatino Linotype" w:hAnsi="Palatino Linotype" w:cs="Palatino Linotype"/>
          <w:b/>
          <w:i/>
        </w:rPr>
        <w:t>en formatos electrónicos</w:t>
      </w:r>
      <w:r w:rsidRPr="00ED3DD9">
        <w:rPr>
          <w:rFonts w:ascii="Palatino Linotype" w:eastAsia="Palatino Linotype" w:hAnsi="Palatino Linotype" w:cs="Palatino Linotype"/>
          <w:i/>
        </w:rPr>
        <w:t xml:space="preserve"> disponibles en Internet o en cualquier otro medio, </w:t>
      </w:r>
      <w:r w:rsidRPr="00ED3DD9">
        <w:rPr>
          <w:rFonts w:ascii="Palatino Linotype" w:eastAsia="Palatino Linotype" w:hAnsi="Palatino Linotype" w:cs="Palatino Linotype"/>
          <w:b/>
          <w:i/>
        </w:rPr>
        <w:t xml:space="preserve">se le hará saber por el medio requerido por el solicitante la fuente, el lugar </w:t>
      </w:r>
      <w:r w:rsidRPr="00ED3DD9">
        <w:rPr>
          <w:rFonts w:ascii="Palatino Linotype" w:eastAsia="Palatino Linotype" w:hAnsi="Palatino Linotype" w:cs="Palatino Linotype"/>
          <w:b/>
          <w:i/>
        </w:rPr>
        <w:lastRenderedPageBreak/>
        <w:t>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FB3D779" w14:textId="77777777" w:rsidR="006742BB" w:rsidRPr="00ED3DD9" w:rsidRDefault="006742BB" w:rsidP="00C225C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4278767E" w14:textId="77777777" w:rsidR="00C225C7" w:rsidRPr="00ED3DD9" w:rsidRDefault="00C225C7" w:rsidP="00C225C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ED3DD9">
        <w:rPr>
          <w:rFonts w:ascii="Palatino Linotype" w:eastAsia="Palatino Linotype" w:hAnsi="Palatino Linotype" w:cs="Palatino Linotype"/>
          <w:b/>
          <w:color w:val="000000"/>
        </w:rPr>
        <w:t>Esta dirección electrónica debe ser precisa, de tal modo que no implique realizar una búsqueda en toda la información que ahí se encuentre, debiendo cumplir</w:t>
      </w:r>
      <w:r w:rsidRPr="00ED3DD9">
        <w:rPr>
          <w:rFonts w:ascii="Palatino Linotype" w:eastAsia="Palatino Linotype" w:hAnsi="Palatino Linotype" w:cs="Palatino Linotype"/>
          <w:color w:val="000000"/>
        </w:rPr>
        <w:t xml:space="preserve"> una serie de requisitos, a saber:</w:t>
      </w:r>
    </w:p>
    <w:p w14:paraId="226684C9" w14:textId="77777777" w:rsidR="00C225C7" w:rsidRPr="00ED3DD9" w:rsidRDefault="00C225C7" w:rsidP="00C225C7">
      <w:pPr>
        <w:pBdr>
          <w:top w:val="nil"/>
          <w:left w:val="nil"/>
          <w:bottom w:val="nil"/>
          <w:right w:val="nil"/>
          <w:between w:val="nil"/>
        </w:pBdr>
        <w:spacing w:after="0" w:line="360" w:lineRule="auto"/>
        <w:ind w:left="720" w:right="48"/>
        <w:jc w:val="both"/>
        <w:rPr>
          <w:rFonts w:ascii="Palatino Linotype" w:eastAsia="Palatino Linotype" w:hAnsi="Palatino Linotype" w:cs="Palatino Linotype"/>
          <w:b/>
          <w:color w:val="000000"/>
        </w:rPr>
      </w:pPr>
    </w:p>
    <w:p w14:paraId="5200D1A9" w14:textId="77777777" w:rsidR="00C225C7" w:rsidRPr="00ED3DD9" w:rsidRDefault="00C225C7" w:rsidP="00C225C7">
      <w:pPr>
        <w:numPr>
          <w:ilvl w:val="0"/>
          <w:numId w:val="21"/>
        </w:numPr>
        <w:pBdr>
          <w:top w:val="nil"/>
          <w:left w:val="nil"/>
          <w:bottom w:val="nil"/>
          <w:right w:val="nil"/>
          <w:between w:val="nil"/>
        </w:pBdr>
        <w:spacing w:after="0" w:line="360" w:lineRule="auto"/>
        <w:ind w:right="48"/>
        <w:jc w:val="both"/>
        <w:rPr>
          <w:rFonts w:ascii="Palatino Linotype" w:eastAsia="Palatino Linotype" w:hAnsi="Palatino Linotype" w:cs="Palatino Linotype"/>
          <w:b/>
          <w:color w:val="000000"/>
        </w:rPr>
      </w:pPr>
      <w:r w:rsidRPr="00ED3DD9">
        <w:rPr>
          <w:rFonts w:ascii="Palatino Linotype" w:eastAsia="Palatino Linotype" w:hAnsi="Palatino Linotype" w:cs="Palatino Linotype"/>
          <w:b/>
          <w:color w:val="000000"/>
        </w:rPr>
        <w:t>La dirección electrónica debe señalarse en un plazo no mayor a cinco días hábiles;</w:t>
      </w:r>
    </w:p>
    <w:p w14:paraId="0478148B" w14:textId="77777777" w:rsidR="00C225C7" w:rsidRPr="00ED3DD9" w:rsidRDefault="00C225C7" w:rsidP="00C225C7">
      <w:pPr>
        <w:numPr>
          <w:ilvl w:val="0"/>
          <w:numId w:val="21"/>
        </w:numPr>
        <w:pBdr>
          <w:top w:val="nil"/>
          <w:left w:val="nil"/>
          <w:bottom w:val="nil"/>
          <w:right w:val="nil"/>
          <w:between w:val="nil"/>
        </w:pBdr>
        <w:spacing w:after="0" w:line="360" w:lineRule="auto"/>
        <w:ind w:right="48"/>
        <w:jc w:val="both"/>
        <w:rPr>
          <w:rFonts w:ascii="Palatino Linotype" w:eastAsia="Palatino Linotype" w:hAnsi="Palatino Linotype" w:cs="Palatino Linotype"/>
          <w:b/>
          <w:color w:val="000000"/>
        </w:rPr>
      </w:pPr>
      <w:r w:rsidRPr="00ED3DD9">
        <w:rPr>
          <w:rFonts w:ascii="Palatino Linotype" w:eastAsia="Palatino Linotype" w:hAnsi="Palatino Linotype" w:cs="Palatino Linotype"/>
          <w:b/>
          <w:color w:val="000000"/>
        </w:rPr>
        <w:t>La dirección electrónica debe ser precisa, de tal modo que no implique realizar una búsqueda en toda la información que ahí se encuentre; y,</w:t>
      </w:r>
    </w:p>
    <w:p w14:paraId="0DB8CB4D" w14:textId="77777777" w:rsidR="00C225C7" w:rsidRPr="00ED3DD9" w:rsidRDefault="00C225C7" w:rsidP="00C225C7">
      <w:pPr>
        <w:numPr>
          <w:ilvl w:val="0"/>
          <w:numId w:val="21"/>
        </w:numPr>
        <w:pBdr>
          <w:top w:val="nil"/>
          <w:left w:val="nil"/>
          <w:bottom w:val="nil"/>
          <w:right w:val="nil"/>
          <w:between w:val="nil"/>
        </w:pBdr>
        <w:spacing w:after="0" w:line="360" w:lineRule="auto"/>
        <w:ind w:right="48"/>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t>La dirección electrónica debe ir acompañada del procedimiento a seguir, en caso de que la información se encuentre en distintos puntos del sitio electrónico referido; y,</w:t>
      </w:r>
    </w:p>
    <w:p w14:paraId="055C024C" w14:textId="77777777" w:rsidR="00C225C7" w:rsidRPr="00ED3DD9" w:rsidRDefault="00C225C7" w:rsidP="00C225C7">
      <w:pPr>
        <w:numPr>
          <w:ilvl w:val="0"/>
          <w:numId w:val="21"/>
        </w:numPr>
        <w:pBdr>
          <w:top w:val="nil"/>
          <w:left w:val="nil"/>
          <w:bottom w:val="nil"/>
          <w:right w:val="nil"/>
          <w:between w:val="nil"/>
        </w:pBdr>
        <w:spacing w:after="0" w:line="360" w:lineRule="auto"/>
        <w:ind w:right="48"/>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u w:val="single"/>
        </w:rPr>
        <w:t>La dirección electrónica se debe entregar en formato abierto,</w:t>
      </w:r>
      <w:r w:rsidRPr="00ED3DD9">
        <w:rPr>
          <w:rFonts w:ascii="Palatino Linotype" w:eastAsia="Palatino Linotype" w:hAnsi="Palatino Linotype" w:cs="Palatino Linotype"/>
          <w:b/>
          <w:color w:val="000000"/>
        </w:rPr>
        <w:t xml:space="preserve"> para que el Recurrente pueda copiar y pegar sin la necesidad de transcribir la liga electrónica.</w:t>
      </w:r>
    </w:p>
    <w:p w14:paraId="2B59A72B" w14:textId="77777777" w:rsidR="00C225C7" w:rsidRPr="00ED3DD9" w:rsidRDefault="00C225C7" w:rsidP="00C225C7">
      <w:pPr>
        <w:pBdr>
          <w:top w:val="nil"/>
          <w:left w:val="nil"/>
          <w:bottom w:val="nil"/>
          <w:right w:val="nil"/>
          <w:between w:val="nil"/>
        </w:pBdr>
        <w:spacing w:after="0" w:line="360" w:lineRule="auto"/>
        <w:ind w:left="720" w:right="48"/>
        <w:jc w:val="both"/>
        <w:rPr>
          <w:rFonts w:ascii="Palatino Linotype" w:eastAsia="Palatino Linotype" w:hAnsi="Palatino Linotype" w:cs="Palatino Linotype"/>
          <w:color w:val="000000"/>
        </w:rPr>
      </w:pPr>
    </w:p>
    <w:p w14:paraId="26AFEDA4" w14:textId="4F354BFE" w:rsidR="00C225C7" w:rsidRPr="00ED3DD9" w:rsidRDefault="00C225C7" w:rsidP="00C225C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Ahora bien, de la revisión de esta, se logra vislumbrar que la liga electrónica proporcionada se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w:t>
      </w:r>
      <w:r w:rsidRPr="00ED3DD9">
        <w:rPr>
          <w:rFonts w:ascii="Palatino Linotype" w:eastAsia="Palatino Linotype" w:hAnsi="Palatino Linotype" w:cs="Palatino Linotype"/>
        </w:rPr>
        <w:lastRenderedPageBreak/>
        <w:t>cual se traduce al hecho a que la información contenga datos en formatos y estándares abiertos para su reproducción y reutilización electrónica de manera libre y sin ninguna restricción.</w:t>
      </w:r>
    </w:p>
    <w:p w14:paraId="463C71A9" w14:textId="77777777" w:rsidR="00C225C7" w:rsidRPr="00ED3DD9" w:rsidRDefault="00C225C7" w:rsidP="00C225C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7E14C5E" w14:textId="77777777" w:rsidR="00C225C7" w:rsidRPr="00ED3DD9" w:rsidRDefault="00C225C7" w:rsidP="00C225C7">
      <w:pPr>
        <w:spacing w:after="0" w:line="360" w:lineRule="auto"/>
        <w:jc w:val="both"/>
        <w:rPr>
          <w:rFonts w:ascii="Palatino Linotype" w:eastAsia="Palatino Linotype" w:hAnsi="Palatino Linotype" w:cs="Palatino Linotype"/>
        </w:rPr>
      </w:pPr>
    </w:p>
    <w:p w14:paraId="393B822C" w14:textId="77777777" w:rsidR="00C225C7" w:rsidRPr="00ED3DD9" w:rsidRDefault="00C225C7" w:rsidP="00C225C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En ese contexto, el artículo 3°, fracción VI y X, de la Ley General de Transparencia y Acceso a la Información Pública vigente a la fecha de la solicitud, con relación, al diverso 3°, fracciones VIII y XVI de la Ley de Transparencia y Acceso a la Información Pública del Estado de México y Municipios, precisan lo siguiente:</w:t>
      </w:r>
    </w:p>
    <w:p w14:paraId="3AFDAB86" w14:textId="77777777" w:rsidR="00C225C7" w:rsidRPr="00ED3DD9" w:rsidRDefault="00C225C7" w:rsidP="00C225C7">
      <w:pPr>
        <w:spacing w:after="0" w:line="360" w:lineRule="auto"/>
        <w:jc w:val="both"/>
        <w:rPr>
          <w:rFonts w:ascii="Palatino Linotype" w:eastAsia="Palatino Linotype" w:hAnsi="Palatino Linotype" w:cs="Palatino Linotype"/>
        </w:rPr>
      </w:pPr>
    </w:p>
    <w:p w14:paraId="30AA0FD8" w14:textId="77777777" w:rsidR="00C225C7" w:rsidRPr="00ED3DD9" w:rsidRDefault="00C225C7" w:rsidP="00C225C7">
      <w:pPr>
        <w:numPr>
          <w:ilvl w:val="0"/>
          <w:numId w:val="20"/>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ED3DD9">
        <w:rPr>
          <w:rFonts w:ascii="Palatino Linotype" w:eastAsia="Palatino Linotype" w:hAnsi="Palatino Linotype" w:cs="Palatino Linotype"/>
          <w:b/>
          <w:color w:val="000000"/>
        </w:rPr>
        <w:t xml:space="preserve">Dato abierto: </w:t>
      </w:r>
      <w:r w:rsidRPr="00ED3DD9">
        <w:rPr>
          <w:rFonts w:ascii="Palatino Linotype" w:eastAsia="Palatino Linotype" w:hAnsi="Palatino Linotype" w:cs="Palatino Linotype"/>
          <w:color w:val="000000"/>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72E94FC" w14:textId="77777777" w:rsidR="00C225C7" w:rsidRPr="00ED3DD9" w:rsidRDefault="00C225C7" w:rsidP="00C225C7">
      <w:pPr>
        <w:pBdr>
          <w:top w:val="nil"/>
          <w:left w:val="nil"/>
          <w:bottom w:val="nil"/>
          <w:right w:val="nil"/>
          <w:between w:val="nil"/>
        </w:pBdr>
        <w:spacing w:after="0" w:line="360" w:lineRule="auto"/>
        <w:ind w:left="720"/>
        <w:jc w:val="both"/>
        <w:rPr>
          <w:rFonts w:ascii="Palatino Linotype" w:eastAsia="Palatino Linotype" w:hAnsi="Palatino Linotype" w:cs="Palatino Linotype"/>
          <w:b/>
          <w:color w:val="000000"/>
        </w:rPr>
      </w:pPr>
    </w:p>
    <w:p w14:paraId="21162DEA" w14:textId="77777777" w:rsidR="00C225C7" w:rsidRPr="00ED3DD9" w:rsidRDefault="00C225C7" w:rsidP="00C225C7">
      <w:pPr>
        <w:numPr>
          <w:ilvl w:val="0"/>
          <w:numId w:val="20"/>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ED3DD9">
        <w:rPr>
          <w:rFonts w:ascii="Palatino Linotype" w:eastAsia="Palatino Linotype" w:hAnsi="Palatino Linotype" w:cs="Palatino Linotype"/>
          <w:b/>
          <w:color w:val="000000"/>
        </w:rPr>
        <w:t xml:space="preserve">Formato accesible: </w:t>
      </w:r>
      <w:r w:rsidRPr="00ED3DD9">
        <w:rPr>
          <w:rFonts w:ascii="Palatino Linotype" w:eastAsia="Palatino Linotype" w:hAnsi="Palatino Linotype" w:cs="Palatino Linotype"/>
          <w:color w:val="000000"/>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AEC1D7B" w14:textId="77777777" w:rsidR="00C225C7" w:rsidRPr="00ED3DD9" w:rsidRDefault="00C225C7" w:rsidP="00C225C7">
      <w:pPr>
        <w:spacing w:after="0" w:line="360" w:lineRule="auto"/>
        <w:jc w:val="both"/>
        <w:rPr>
          <w:rFonts w:ascii="Palatino Linotype" w:eastAsia="Palatino Linotype" w:hAnsi="Palatino Linotype" w:cs="Palatino Linotype"/>
        </w:rPr>
      </w:pPr>
    </w:p>
    <w:p w14:paraId="7F33EFB7" w14:textId="77777777" w:rsidR="00C225C7" w:rsidRPr="00ED3DD9" w:rsidRDefault="00C225C7" w:rsidP="00C225C7">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Conforme a lo anterior, se considera que en el caso de que la información peticionada obre en ligas electrónicas, el Sujeto Obligado deberá privilegiar la entrega de estas, en datos abiertos, </w:t>
      </w:r>
      <w:r w:rsidRPr="00ED3DD9">
        <w:rPr>
          <w:rFonts w:ascii="Palatino Linotype" w:eastAsia="Palatino Linotype" w:hAnsi="Palatino Linotype" w:cs="Palatino Linotype"/>
        </w:rPr>
        <w:lastRenderedPageBreak/>
        <w:t>es decir, en un formato que permita la accesibilidad y facilidad a los Particulares, para obtener la información contenida estas.</w:t>
      </w:r>
    </w:p>
    <w:p w14:paraId="06803F63" w14:textId="77777777" w:rsidR="00C225C7" w:rsidRPr="00ED3DD9" w:rsidRDefault="00C225C7" w:rsidP="00C225C7">
      <w:pPr>
        <w:pBdr>
          <w:top w:val="nil"/>
          <w:left w:val="nil"/>
          <w:bottom w:val="nil"/>
          <w:right w:val="nil"/>
          <w:between w:val="nil"/>
        </w:pBdr>
        <w:spacing w:after="0" w:line="360" w:lineRule="auto"/>
        <w:ind w:left="720"/>
        <w:rPr>
          <w:rFonts w:ascii="Palatino Linotype" w:eastAsia="Palatino Linotype" w:hAnsi="Palatino Linotype" w:cs="Palatino Linotype"/>
          <w:b/>
          <w:color w:val="000000"/>
        </w:rPr>
      </w:pPr>
    </w:p>
    <w:p w14:paraId="010C6ED8" w14:textId="77777777" w:rsidR="00C225C7" w:rsidRPr="00ED3DD9" w:rsidRDefault="00C225C7" w:rsidP="00C225C7">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ED3DD9">
        <w:rPr>
          <w:rFonts w:ascii="Palatino Linotype" w:eastAsia="Palatino Linotype" w:hAnsi="Palatino Linotype" w:cs="Palatino Linotype"/>
        </w:rPr>
        <w:t>En el presente asunto, el Sujeto Obligado en el oficio de respuesta entregó la dirección electrónica en formato cerrado, lo que propicia que el Recurrente deba transcribir cada uno de los caracteres, lo que facilita a errores y con ello la imposibilidad o dificultad para acceder a la información.</w:t>
      </w:r>
    </w:p>
    <w:p w14:paraId="4AB13A6C" w14:textId="77777777" w:rsidR="00C225C7" w:rsidRPr="00ED3DD9" w:rsidRDefault="00C225C7" w:rsidP="00C225C7">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C1B2857" w14:textId="1B9B21C4" w:rsidR="00C225C7" w:rsidRPr="00ED3DD9" w:rsidRDefault="00C225C7" w:rsidP="00C225C7">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ED3DD9">
        <w:rPr>
          <w:rFonts w:ascii="Palatino Linotype" w:eastAsia="Palatino Linotype" w:hAnsi="Palatino Linotype" w:cs="Palatino Linotype"/>
        </w:rPr>
        <w:t xml:space="preserve">Ahora bien, es de mencionar que, el particular en su medio de impugnación refirió que, la información solicitada no se había encontrado en las ligas electrónicas remitidas, por lo que, se procedió a ingresar a las ligas electrónicas y se obtuvo lo siguiente: </w:t>
      </w:r>
    </w:p>
    <w:p w14:paraId="097EF4CE" w14:textId="77777777" w:rsidR="00C225C7" w:rsidRPr="00ED3DD9" w:rsidRDefault="00C225C7"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5261EA34" w14:textId="32E3577D" w:rsidR="00C225C7" w:rsidRPr="00ED3DD9" w:rsidRDefault="00D927C4"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hyperlink r:id="rId18" w:history="1">
        <w:r w:rsidR="00C225C7" w:rsidRPr="00ED3DD9">
          <w:rPr>
            <w:rStyle w:val="Hipervnculo"/>
            <w:rFonts w:ascii="Palatino Linotype" w:eastAsia="Palatino Linotype" w:hAnsi="Palatino Linotype" w:cs="Palatino Linotype"/>
          </w:rPr>
          <w:t>https://atizapan.gob.mx/wp-content/uploads/2025/02/ESTADO-COMPARATIVO-PRESUPUESTAL-DE-EGRESOS.pdf</w:t>
        </w:r>
      </w:hyperlink>
      <w:r w:rsidR="00C225C7" w:rsidRPr="00ED3DD9">
        <w:rPr>
          <w:rFonts w:ascii="Palatino Linotype" w:eastAsia="Palatino Linotype" w:hAnsi="Palatino Linotype" w:cs="Palatino Linotype"/>
          <w:color w:val="000000"/>
        </w:rPr>
        <w:t xml:space="preserve"> </w:t>
      </w:r>
    </w:p>
    <w:p w14:paraId="1016A913" w14:textId="77777777" w:rsidR="0093705A" w:rsidRPr="00ED3DD9" w:rsidRDefault="0093705A"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695BF05C" w14:textId="56F731B8" w:rsidR="00C225C7" w:rsidRPr="00ED3DD9" w:rsidRDefault="00C225C7"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noProof/>
          <w:color w:val="000000"/>
        </w:rPr>
        <w:drawing>
          <wp:inline distT="0" distB="0" distL="0" distR="0" wp14:anchorId="643B399B" wp14:editId="37A2F833">
            <wp:extent cx="5756275" cy="16757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275" cy="1675765"/>
                    </a:xfrm>
                    <a:prstGeom prst="rect">
                      <a:avLst/>
                    </a:prstGeom>
                  </pic:spPr>
                </pic:pic>
              </a:graphicData>
            </a:graphic>
          </wp:inline>
        </w:drawing>
      </w:r>
    </w:p>
    <w:p w14:paraId="00A05FB3" w14:textId="77777777" w:rsidR="006742BB" w:rsidRPr="00ED3DD9" w:rsidRDefault="006742BB"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2046BE23" w14:textId="3CD2DE21" w:rsidR="00B837BF" w:rsidRPr="00ED3DD9" w:rsidRDefault="00C225C7"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En ese sentido</w:t>
      </w:r>
      <w:r w:rsidR="006742BB" w:rsidRPr="00ED3DD9">
        <w:rPr>
          <w:rFonts w:ascii="Palatino Linotype" w:eastAsia="Palatino Linotype" w:hAnsi="Palatino Linotype" w:cs="Palatino Linotype"/>
          <w:color w:val="000000"/>
        </w:rPr>
        <w:t>, se observa que, se remitió el</w:t>
      </w:r>
      <w:r w:rsidR="00B837BF" w:rsidRPr="00ED3DD9">
        <w:rPr>
          <w:rFonts w:ascii="Palatino Linotype" w:eastAsia="Palatino Linotype" w:hAnsi="Palatino Linotype" w:cs="Palatino Linotype"/>
          <w:color w:val="FF0000"/>
        </w:rPr>
        <w:t xml:space="preserve"> </w:t>
      </w:r>
      <w:r w:rsidR="00B837BF" w:rsidRPr="00ED3DD9">
        <w:rPr>
          <w:rFonts w:ascii="Palatino Linotype" w:eastAsia="Palatino Linotype" w:hAnsi="Palatino Linotype" w:cs="Palatino Linotype"/>
        </w:rPr>
        <w:t xml:space="preserve">estado </w:t>
      </w:r>
      <w:r w:rsidR="006742BB" w:rsidRPr="00ED3DD9">
        <w:rPr>
          <w:rFonts w:ascii="Palatino Linotype" w:eastAsia="Palatino Linotype" w:hAnsi="Palatino Linotype" w:cs="Palatino Linotype"/>
        </w:rPr>
        <w:t>comparativo</w:t>
      </w:r>
      <w:r w:rsidR="00B837BF" w:rsidRPr="00ED3DD9">
        <w:rPr>
          <w:rFonts w:ascii="Palatino Linotype" w:eastAsia="Palatino Linotype" w:hAnsi="Palatino Linotype" w:cs="Palatino Linotype"/>
        </w:rPr>
        <w:t xml:space="preserve"> presupuestal de egresos </w:t>
      </w:r>
      <w:r w:rsidR="00A06FD6" w:rsidRPr="00ED3DD9">
        <w:rPr>
          <w:rFonts w:ascii="Palatino Linotype" w:eastAsia="Palatino Linotype" w:hAnsi="Palatino Linotype" w:cs="Palatino Linotype"/>
        </w:rPr>
        <w:t xml:space="preserve">en el que si bien se advierte erogaciones </w:t>
      </w:r>
      <w:r w:rsidR="00A06FD6" w:rsidRPr="00ED3DD9">
        <w:rPr>
          <w:rFonts w:ascii="Palatino Linotype" w:eastAsia="Palatino Linotype" w:hAnsi="Palatino Linotype" w:cs="Palatino Linotype"/>
          <w:color w:val="000000"/>
        </w:rPr>
        <w:t>correspondientes a las partidas 3611 y 3612 del presupuesto de egresos correspondiente del ejercicio fiscal 2024,</w:t>
      </w:r>
    </w:p>
    <w:p w14:paraId="61CD2594" w14:textId="77777777" w:rsidR="00A06FD6" w:rsidRPr="00ED3DD9" w:rsidRDefault="00A06FD6"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16277A08" w14:textId="1D63E602" w:rsidR="00A06FD6" w:rsidRPr="00ED3DD9" w:rsidRDefault="00A06FD6"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r w:rsidRPr="00ED3DD9">
        <w:rPr>
          <w:rFonts w:ascii="Palatino Linotype" w:eastAsia="Palatino Linotype" w:hAnsi="Palatino Linotype" w:cs="Palatino Linotype"/>
          <w:noProof/>
          <w:color w:val="000000"/>
        </w:rPr>
        <w:drawing>
          <wp:inline distT="0" distB="0" distL="0" distR="0" wp14:anchorId="1C7B9A1F" wp14:editId="3010BE03">
            <wp:extent cx="5756275" cy="438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275" cy="438150"/>
                    </a:xfrm>
                    <a:prstGeom prst="rect">
                      <a:avLst/>
                    </a:prstGeom>
                  </pic:spPr>
                </pic:pic>
              </a:graphicData>
            </a:graphic>
          </wp:inline>
        </w:drawing>
      </w:r>
    </w:p>
    <w:p w14:paraId="6CE7C906" w14:textId="1317EA1C" w:rsidR="00A06FD6" w:rsidRPr="00ED3DD9" w:rsidRDefault="00A06FD6"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FF0000"/>
        </w:rPr>
      </w:pPr>
      <w:r w:rsidRPr="00ED3DD9">
        <w:rPr>
          <w:rFonts w:ascii="Palatino Linotype" w:eastAsia="Palatino Linotype" w:hAnsi="Palatino Linotype" w:cs="Palatino Linotype"/>
          <w:color w:val="FF0000"/>
        </w:rPr>
        <w:t xml:space="preserve"> </w:t>
      </w:r>
    </w:p>
    <w:p w14:paraId="6AFCE9A4" w14:textId="678A2669" w:rsidR="00C225C7" w:rsidRPr="00ED3DD9" w:rsidRDefault="00A06FD6" w:rsidP="0093705A">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ED3DD9">
        <w:rPr>
          <w:rFonts w:ascii="Palatino Linotype" w:eastAsia="Palatino Linotype" w:hAnsi="Palatino Linotype" w:cs="Palatino Linotype"/>
          <w:color w:val="000000"/>
        </w:rPr>
        <w:t xml:space="preserve">Dicha información </w:t>
      </w:r>
      <w:r w:rsidR="00C225C7" w:rsidRPr="00ED3DD9">
        <w:rPr>
          <w:rFonts w:ascii="Palatino Linotype" w:eastAsia="Palatino Linotype" w:hAnsi="Palatino Linotype" w:cs="Palatino Linotype"/>
          <w:color w:val="000000"/>
        </w:rPr>
        <w:t xml:space="preserve"> </w:t>
      </w:r>
      <w:r w:rsidR="00C225C7" w:rsidRPr="00ED3DD9">
        <w:rPr>
          <w:rFonts w:ascii="Palatino Linotype" w:eastAsia="Palatino Linotype" w:hAnsi="Palatino Linotype" w:cs="Palatino Linotype"/>
          <w:b/>
          <w:color w:val="000000"/>
        </w:rPr>
        <w:t>no corresponde con lo solicitado por la parte Recurrente</w:t>
      </w:r>
      <w:r w:rsidR="00C225C7" w:rsidRPr="00ED3DD9">
        <w:rPr>
          <w:rFonts w:ascii="Palatino Linotype" w:eastAsia="Palatino Linotype" w:hAnsi="Palatino Linotype" w:cs="Palatino Linotype"/>
          <w:color w:val="000000"/>
        </w:rPr>
        <w:t>, pues como se señaló, esta requirió los</w:t>
      </w:r>
      <w:r w:rsidR="00C225C7" w:rsidRPr="00ED3DD9">
        <w:rPr>
          <w:rFonts w:ascii="Palatino Linotype" w:eastAsia="Palatino Linotype" w:hAnsi="Palatino Linotype" w:cs="Palatino Linotype"/>
          <w:b/>
          <w:color w:val="000000"/>
        </w:rPr>
        <w:t xml:space="preserve"> comprobantes de los pagos realizados, es decir, las facturas. </w:t>
      </w:r>
    </w:p>
    <w:p w14:paraId="1C6AC06E" w14:textId="77777777" w:rsidR="00C225C7" w:rsidRPr="00ED3DD9" w:rsidRDefault="00C225C7" w:rsidP="0093705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18B1ACED" w14:textId="1D42F706" w:rsidR="00CD20B8" w:rsidRPr="00ED3DD9" w:rsidRDefault="00657BF6">
      <w:pPr>
        <w:spacing w:after="0" w:line="360" w:lineRule="auto"/>
        <w:ind w:right="49"/>
        <w:jc w:val="both"/>
        <w:rPr>
          <w:rFonts w:ascii="Palatino Linotype" w:eastAsia="Palatino Linotype" w:hAnsi="Palatino Linotype"/>
        </w:rPr>
      </w:pPr>
      <w:r w:rsidRPr="00ED3DD9">
        <w:rPr>
          <w:rFonts w:ascii="Palatino Linotype" w:eastAsia="Palatino Linotype" w:hAnsi="Palatino Linotype" w:cs="Palatino Linotype"/>
        </w:rPr>
        <w:t xml:space="preserve">Por todo lo anterior, </w:t>
      </w:r>
      <w:r w:rsidR="00373EF6" w:rsidRPr="00ED3DD9">
        <w:rPr>
          <w:rFonts w:ascii="Palatino Linotype" w:eastAsia="Palatino Linotype" w:hAnsi="Palatino Linotype" w:cs="Palatino Linotype"/>
        </w:rPr>
        <w:t xml:space="preserve">se determina que los agravios hechos valer por el Solicitante </w:t>
      </w:r>
      <w:r w:rsidR="004E0CB0" w:rsidRPr="00ED3DD9">
        <w:rPr>
          <w:rFonts w:ascii="Palatino Linotype" w:eastAsia="Palatino Linotype" w:hAnsi="Palatino Linotype" w:cs="Palatino Linotype"/>
        </w:rPr>
        <w:t xml:space="preserve">en </w:t>
      </w:r>
      <w:r w:rsidR="00C1528F" w:rsidRPr="00ED3DD9">
        <w:rPr>
          <w:rFonts w:ascii="Palatino Linotype" w:eastAsia="Palatino Linotype" w:hAnsi="Palatino Linotype" w:cs="Palatino Linotype"/>
        </w:rPr>
        <w:t>los</w:t>
      </w:r>
      <w:r w:rsidR="004E0CB0" w:rsidRPr="00ED3DD9">
        <w:rPr>
          <w:rFonts w:ascii="Palatino Linotype" w:eastAsia="Palatino Linotype" w:hAnsi="Palatino Linotype" w:cs="Palatino Linotype"/>
        </w:rPr>
        <w:t xml:space="preserve"> Recurso</w:t>
      </w:r>
      <w:r w:rsidR="00C1528F" w:rsidRPr="00ED3DD9">
        <w:rPr>
          <w:rFonts w:ascii="Palatino Linotype" w:eastAsia="Palatino Linotype" w:hAnsi="Palatino Linotype" w:cs="Palatino Linotype"/>
        </w:rPr>
        <w:t>s</w:t>
      </w:r>
      <w:r w:rsidR="004E0CB0" w:rsidRPr="00ED3DD9">
        <w:rPr>
          <w:rFonts w:ascii="Palatino Linotype" w:eastAsia="Palatino Linotype" w:hAnsi="Palatino Linotype" w:cs="Palatino Linotype"/>
        </w:rPr>
        <w:t xml:space="preserve"> de Revisión  </w:t>
      </w:r>
      <w:r w:rsidR="00C225C7" w:rsidRPr="00ED3DD9">
        <w:rPr>
          <w:rFonts w:ascii="Palatino Linotype" w:eastAsia="Palatino Linotype" w:hAnsi="Palatino Linotype"/>
          <w:b/>
        </w:rPr>
        <w:t>04814</w:t>
      </w:r>
      <w:r w:rsidR="00C1528F" w:rsidRPr="00ED3DD9">
        <w:rPr>
          <w:rFonts w:ascii="Palatino Linotype" w:eastAsia="Palatino Linotype" w:hAnsi="Palatino Linotype"/>
          <w:b/>
        </w:rPr>
        <w:t xml:space="preserve">/INFOEM/IP/RR/2025 </w:t>
      </w:r>
      <w:r w:rsidR="00C1528F" w:rsidRPr="00ED3DD9">
        <w:rPr>
          <w:rFonts w:ascii="Palatino Linotype" w:eastAsia="Palatino Linotype" w:hAnsi="Palatino Linotype"/>
        </w:rPr>
        <w:t>y</w:t>
      </w:r>
      <w:r w:rsidR="00C1528F" w:rsidRPr="00ED3DD9">
        <w:rPr>
          <w:rFonts w:ascii="Palatino Linotype" w:eastAsia="Palatino Linotype" w:hAnsi="Palatino Linotype"/>
          <w:b/>
        </w:rPr>
        <w:t xml:space="preserve"> </w:t>
      </w:r>
      <w:r w:rsidR="00C225C7" w:rsidRPr="00ED3DD9">
        <w:rPr>
          <w:rFonts w:ascii="Palatino Linotype" w:eastAsia="Palatino Linotype" w:hAnsi="Palatino Linotype"/>
          <w:b/>
        </w:rPr>
        <w:t>04815</w:t>
      </w:r>
      <w:r w:rsidR="004E0CB0" w:rsidRPr="00ED3DD9">
        <w:rPr>
          <w:rFonts w:ascii="Palatino Linotype" w:eastAsia="Palatino Linotype" w:hAnsi="Palatino Linotype"/>
          <w:b/>
        </w:rPr>
        <w:t xml:space="preserve">/INFOEM/IP/RR/2025 </w:t>
      </w:r>
      <w:r w:rsidR="004E0CB0" w:rsidRPr="00ED3DD9">
        <w:rPr>
          <w:rFonts w:ascii="Palatino Linotype" w:eastAsia="Palatino Linotype" w:hAnsi="Palatino Linotype"/>
        </w:rPr>
        <w:t xml:space="preserve">devienen </w:t>
      </w:r>
      <w:r w:rsidR="004E0CB0" w:rsidRPr="00ED3DD9">
        <w:rPr>
          <w:rFonts w:ascii="Palatino Linotype" w:eastAsia="Palatino Linotype" w:hAnsi="Palatino Linotype"/>
          <w:b/>
        </w:rPr>
        <w:t>FUNDADOS</w:t>
      </w:r>
      <w:r w:rsidR="00373EF6" w:rsidRPr="00ED3DD9">
        <w:rPr>
          <w:rFonts w:ascii="Palatino Linotype" w:eastAsia="Palatino Linotype" w:hAnsi="Palatino Linotype" w:cs="Palatino Linotype"/>
        </w:rPr>
        <w:t xml:space="preserve">, en consecuencia, se </w:t>
      </w:r>
      <w:r w:rsidR="00373EF6" w:rsidRPr="00ED3DD9">
        <w:rPr>
          <w:rFonts w:ascii="Palatino Linotype" w:eastAsia="Palatino Linotype" w:hAnsi="Palatino Linotype" w:cs="Palatino Linotype"/>
          <w:b/>
        </w:rPr>
        <w:t xml:space="preserve">MODIFICAN </w:t>
      </w:r>
      <w:r w:rsidR="00373EF6" w:rsidRPr="00ED3DD9">
        <w:rPr>
          <w:rFonts w:ascii="Palatino Linotype" w:eastAsia="Palatino Linotype" w:hAnsi="Palatino Linotype" w:cs="Palatino Linotype"/>
        </w:rPr>
        <w:t xml:space="preserve">las respuestas otorgadas </w:t>
      </w:r>
      <w:r w:rsidR="004E0CB0" w:rsidRPr="00ED3DD9">
        <w:rPr>
          <w:rFonts w:ascii="Palatino Linotype" w:eastAsia="Palatino Linotype" w:hAnsi="Palatino Linotype" w:cs="Palatino Linotype"/>
        </w:rPr>
        <w:t>y se</w:t>
      </w:r>
      <w:r w:rsidR="00373EF6" w:rsidRPr="00ED3DD9">
        <w:rPr>
          <w:rFonts w:ascii="Palatino Linotype" w:eastAsia="Palatino Linotype" w:hAnsi="Palatino Linotype" w:cs="Palatino Linotype"/>
        </w:rPr>
        <w:t xml:space="preserve"> </w:t>
      </w:r>
      <w:r w:rsidR="00373EF6" w:rsidRPr="00ED3DD9">
        <w:rPr>
          <w:rFonts w:ascii="Palatino Linotype" w:eastAsia="Palatino Linotype" w:hAnsi="Palatino Linotype" w:cs="Palatino Linotype"/>
          <w:b/>
        </w:rPr>
        <w:t xml:space="preserve">ORDENA </w:t>
      </w:r>
      <w:r w:rsidR="00373EF6" w:rsidRPr="00ED3DD9">
        <w:rPr>
          <w:rFonts w:ascii="Palatino Linotype" w:eastAsia="Palatino Linotype" w:hAnsi="Palatino Linotype" w:cs="Palatino Linotype"/>
        </w:rPr>
        <w:t xml:space="preserve">haga entrega, vía Sistema de Acceso a la Información Mexiquense, </w:t>
      </w:r>
      <w:r w:rsidRPr="00ED3DD9">
        <w:rPr>
          <w:rFonts w:ascii="Palatino Linotype" w:eastAsia="Palatino Linotype" w:hAnsi="Palatino Linotype" w:cs="Palatino Linotype"/>
        </w:rPr>
        <w:t>de ser el caso en versión pública</w:t>
      </w:r>
      <w:r w:rsidR="004E0CB0" w:rsidRPr="00ED3DD9">
        <w:rPr>
          <w:rFonts w:ascii="Palatino Linotype" w:eastAsia="Palatino Linotype" w:hAnsi="Palatino Linotype" w:cs="Palatino Linotype"/>
        </w:rPr>
        <w:t xml:space="preserve"> </w:t>
      </w:r>
      <w:r w:rsidR="00373EF6" w:rsidRPr="00ED3DD9">
        <w:rPr>
          <w:rFonts w:ascii="Palatino Linotype" w:eastAsia="Palatino Linotype" w:hAnsi="Palatino Linotype" w:cs="Palatino Linotype"/>
        </w:rPr>
        <w:t>de la siguiente información:</w:t>
      </w:r>
    </w:p>
    <w:p w14:paraId="7343CDDF" w14:textId="77777777" w:rsidR="00CD20B8" w:rsidRPr="00ED3DD9" w:rsidRDefault="00CD20B8" w:rsidP="00657BF6">
      <w:pPr>
        <w:pBdr>
          <w:top w:val="nil"/>
          <w:left w:val="nil"/>
          <w:bottom w:val="nil"/>
          <w:right w:val="nil"/>
          <w:between w:val="nil"/>
        </w:pBdr>
        <w:spacing w:after="0" w:line="360" w:lineRule="auto"/>
        <w:ind w:right="560"/>
        <w:jc w:val="both"/>
        <w:rPr>
          <w:rFonts w:ascii="Palatino Linotype" w:eastAsia="Palatino Linotype" w:hAnsi="Palatino Linotype" w:cs="Palatino Linotype"/>
          <w:color w:val="000000"/>
        </w:rPr>
      </w:pPr>
    </w:p>
    <w:p w14:paraId="3B904C5D" w14:textId="77777777" w:rsidR="00EB7094" w:rsidRPr="00ED3DD9" w:rsidRDefault="00C225C7" w:rsidP="00C225C7">
      <w:pPr>
        <w:pStyle w:val="Listaconvietas"/>
        <w:numPr>
          <w:ilvl w:val="0"/>
          <w:numId w:val="16"/>
        </w:numPr>
        <w:spacing w:line="360" w:lineRule="auto"/>
        <w:ind w:left="567" w:right="560"/>
        <w:jc w:val="both"/>
        <w:rPr>
          <w:rFonts w:ascii="Palatino Linotype" w:eastAsia="Palatino Linotype" w:hAnsi="Palatino Linotype"/>
          <w:sz w:val="22"/>
        </w:rPr>
      </w:pPr>
      <w:r w:rsidRPr="00ED3DD9">
        <w:rPr>
          <w:rFonts w:ascii="Palatino Linotype" w:eastAsia="Palatino Linotype" w:hAnsi="Palatino Linotype"/>
          <w:sz w:val="22"/>
        </w:rPr>
        <w:t xml:space="preserve">Comprobantes de todos los pagos realizados mediante transferencia electrónica por la </w:t>
      </w:r>
      <w:r w:rsidR="00EB7094" w:rsidRPr="00ED3DD9">
        <w:rPr>
          <w:rFonts w:ascii="Palatino Linotype" w:eastAsia="Palatino Linotype" w:hAnsi="Palatino Linotype"/>
          <w:sz w:val="22"/>
        </w:rPr>
        <w:t>Tesorería M</w:t>
      </w:r>
      <w:r w:rsidRPr="00ED3DD9">
        <w:rPr>
          <w:rFonts w:ascii="Palatino Linotype" w:eastAsia="Palatino Linotype" w:hAnsi="Palatino Linotype"/>
          <w:sz w:val="22"/>
        </w:rPr>
        <w:t xml:space="preserve">unicipal </w:t>
      </w:r>
      <w:r w:rsidR="00EB7094" w:rsidRPr="00ED3DD9">
        <w:rPr>
          <w:rFonts w:ascii="Palatino Linotype" w:eastAsia="Palatino Linotype" w:hAnsi="Palatino Linotype"/>
          <w:sz w:val="22"/>
        </w:rPr>
        <w:t xml:space="preserve">del uno al veintiocho de febrero de dos mil veinticinco. </w:t>
      </w:r>
    </w:p>
    <w:p w14:paraId="6D47F3A0" w14:textId="5C701F4F" w:rsidR="00EB7094" w:rsidRPr="00ED3DD9" w:rsidRDefault="00EB7094" w:rsidP="00A06FD6">
      <w:pPr>
        <w:pStyle w:val="Listaconvietas"/>
        <w:numPr>
          <w:ilvl w:val="0"/>
          <w:numId w:val="16"/>
        </w:numPr>
        <w:spacing w:line="360" w:lineRule="auto"/>
        <w:ind w:left="720" w:right="560" w:hanging="513"/>
        <w:jc w:val="both"/>
        <w:rPr>
          <w:rFonts w:ascii="Palatino Linotype" w:eastAsia="Palatino Linotype" w:hAnsi="Palatino Linotype"/>
          <w:sz w:val="22"/>
        </w:rPr>
      </w:pPr>
      <w:r w:rsidRPr="00ED3DD9">
        <w:rPr>
          <w:rFonts w:ascii="Palatino Linotype" w:eastAsia="Palatino Linotype" w:hAnsi="Palatino Linotype"/>
          <w:sz w:val="22"/>
        </w:rPr>
        <w:t>Comprobantes de todos los pagos realizados a particulares a través de cheque o transferencia electrónica correspondientes a las partidas 3611 y 3612 del presupuesto de egresos correspondientes al ejercicio fiscal 2024.</w:t>
      </w:r>
    </w:p>
    <w:p w14:paraId="546DFF73" w14:textId="77777777" w:rsidR="00EB7094" w:rsidRPr="00ED3DD9" w:rsidRDefault="00EB7094" w:rsidP="00EB7094">
      <w:pPr>
        <w:pStyle w:val="Listaconvietas"/>
        <w:numPr>
          <w:ilvl w:val="0"/>
          <w:numId w:val="0"/>
        </w:numPr>
        <w:spacing w:line="360" w:lineRule="auto"/>
        <w:ind w:left="567" w:right="560"/>
        <w:jc w:val="both"/>
        <w:rPr>
          <w:rFonts w:ascii="Palatino Linotype" w:eastAsia="Palatino Linotype" w:hAnsi="Palatino Linotype"/>
          <w:sz w:val="22"/>
        </w:rPr>
      </w:pPr>
    </w:p>
    <w:p w14:paraId="66986C83" w14:textId="77777777" w:rsidR="00CD20B8" w:rsidRPr="00ED3DD9" w:rsidRDefault="00373EF6" w:rsidP="00657BF6">
      <w:pPr>
        <w:spacing w:after="0" w:line="276" w:lineRule="auto"/>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w:t>
      </w:r>
      <w:r w:rsidR="004E0CB0" w:rsidRPr="00ED3DD9">
        <w:rPr>
          <w:rFonts w:ascii="Palatino Linotype" w:eastAsia="Palatino Linotype" w:hAnsi="Palatino Linotype" w:cs="Palatino Linotype"/>
          <w:i/>
        </w:rPr>
        <w:t>, así como respecto de los documentos entregados en respuesta</w:t>
      </w:r>
      <w:r w:rsidRPr="00ED3DD9">
        <w:rPr>
          <w:rFonts w:ascii="Palatino Linotype" w:eastAsia="Palatino Linotype" w:hAnsi="Palatino Linotype" w:cs="Palatino Linotype"/>
          <w:i/>
        </w:rPr>
        <w:t xml:space="preserve"> y se pongan a disposición de la parte Recurrente, mismo que igu</w:t>
      </w:r>
      <w:r w:rsidR="004E0CB0" w:rsidRPr="00ED3DD9">
        <w:rPr>
          <w:rFonts w:ascii="Palatino Linotype" w:eastAsia="Palatino Linotype" w:hAnsi="Palatino Linotype" w:cs="Palatino Linotype"/>
          <w:i/>
        </w:rPr>
        <w:t xml:space="preserve">almente hará de su conocimiento. </w:t>
      </w:r>
    </w:p>
    <w:p w14:paraId="4A4F05E9" w14:textId="77777777" w:rsidR="009564A9" w:rsidRPr="00ED3DD9" w:rsidRDefault="009564A9" w:rsidP="009564A9">
      <w:pPr>
        <w:spacing w:after="0" w:line="360" w:lineRule="auto"/>
        <w:jc w:val="both"/>
        <w:rPr>
          <w:rFonts w:ascii="Palatino Linotype" w:eastAsia="Palatino Linotype" w:hAnsi="Palatino Linotype" w:cs="Palatino Linotype"/>
        </w:rPr>
      </w:pPr>
    </w:p>
    <w:p w14:paraId="54A28AEB"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color w:val="000000"/>
        </w:rPr>
        <w:lastRenderedPageBreak/>
        <w:t>Quinto. Versión Pública.</w:t>
      </w:r>
      <w:r w:rsidRPr="00ED3DD9">
        <w:rPr>
          <w:rFonts w:ascii="Palatino Linotype" w:eastAsia="Palatino Linotype" w:hAnsi="Palatino Linotype" w:cs="Palatino Linotype"/>
          <w:color w:val="000000"/>
        </w:rPr>
        <w:t xml:space="preserve"> Finalmente, debe señalarse que de ser el caso en que los documentos que vayan a ser entregados para dar cumplimiento a la presente resolución, contengan datos que deban ser clasificados, el </w:t>
      </w:r>
      <w:r w:rsidRPr="00ED3DD9">
        <w:rPr>
          <w:rFonts w:ascii="Palatino Linotype" w:eastAsia="Palatino Linotype" w:hAnsi="Palatino Linotype" w:cs="Palatino Linotype"/>
          <w:b/>
          <w:color w:val="000000"/>
        </w:rPr>
        <w:t>Sujeto Obligado</w:t>
      </w:r>
      <w:r w:rsidRPr="00ED3DD9">
        <w:rPr>
          <w:rFonts w:ascii="Palatino Linotype" w:eastAsia="Palatino Linotype" w:hAnsi="Palatino Linotype" w:cs="Palatino Linotype"/>
          <w:color w:val="000000"/>
        </w:rPr>
        <w:t xml:space="preserve"> deberá hacer la elaboración de la versión pública de los mismos a fin de satisfacer el derecho de acceso a la información pública de la parte </w:t>
      </w:r>
      <w:r w:rsidRPr="00ED3DD9">
        <w:rPr>
          <w:rFonts w:ascii="Palatino Linotype" w:eastAsia="Palatino Linotype" w:hAnsi="Palatino Linotype" w:cs="Palatino Linotype"/>
          <w:b/>
          <w:color w:val="000000"/>
        </w:rPr>
        <w:t>Recurrente</w:t>
      </w:r>
      <w:r w:rsidRPr="00ED3DD9">
        <w:rPr>
          <w:rFonts w:ascii="Palatino Linotype" w:eastAsia="Palatino Linotype" w:hAnsi="Palatino Linotype" w:cs="Palatino Linotype"/>
          <w:color w:val="000000"/>
        </w:rPr>
        <w:t xml:space="preserve"> sin menoscabo al derecho a la protección de los datos personales de terceros.</w:t>
      </w:r>
    </w:p>
    <w:p w14:paraId="7AB839F3"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p>
    <w:p w14:paraId="089424A7"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w:t>
      </w:r>
      <w:r w:rsidRPr="00ED3DD9">
        <w:rPr>
          <w:rFonts w:ascii="Palatino Linotype" w:eastAsia="Palatino Linotype" w:hAnsi="Palatino Linotype" w:cs="Palatino Linotype"/>
        </w:rPr>
        <w:t>número</w:t>
      </w:r>
      <w:r w:rsidRPr="00ED3DD9">
        <w:rPr>
          <w:rFonts w:ascii="Palatino Linotype" w:eastAsia="Palatino Linotype" w:hAnsi="Palatino Linotype" w:cs="Palatino Linotype"/>
          <w:color w:val="000000"/>
        </w:rPr>
        <w:t xml:space="preserve"> de OCR, CURP, el número de cuenta bancaria, que sean exclusivamente de particulares, entre otros.</w:t>
      </w:r>
    </w:p>
    <w:p w14:paraId="364EDA6F"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0A1E9DE8"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La </w:t>
      </w:r>
      <w:r w:rsidRPr="00ED3DD9">
        <w:rPr>
          <w:rFonts w:ascii="Palatino Linotype" w:eastAsia="Palatino Linotype" w:hAnsi="Palatino Linotype" w:cs="Palatino Linotype"/>
          <w:b/>
          <w:color w:val="000000"/>
        </w:rPr>
        <w:t>clave de elector</w:t>
      </w:r>
      <w:r w:rsidRPr="00ED3DD9">
        <w:rPr>
          <w:rFonts w:ascii="Palatino Linotype" w:eastAsia="Palatino Linotype" w:hAnsi="Palatino Linotype" w:cs="Palatino Linotype"/>
          <w:color w:val="000000"/>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ED3DD9">
        <w:rPr>
          <w:rFonts w:ascii="Palatino Linotype" w:eastAsia="Palatino Linotype" w:hAnsi="Palatino Linotype" w:cs="Palatino Linotype"/>
          <w:color w:val="000000"/>
        </w:rPr>
        <w:t>homoclave</w:t>
      </w:r>
      <w:proofErr w:type="spellEnd"/>
      <w:r w:rsidRPr="00ED3DD9">
        <w:rPr>
          <w:rFonts w:ascii="Palatino Linotype" w:eastAsia="Palatino Linotype" w:hAnsi="Palatino Linotype" w:cs="Palatino Linotype"/>
          <w:color w:val="000000"/>
        </w:rPr>
        <w:t xml:space="preserve"> que distingue a su titular de cualquier otro homónimo, por lo tanto, se trata de un dato personal que debe ser protegido.</w:t>
      </w:r>
    </w:p>
    <w:p w14:paraId="539C8EFE"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38268B94"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El </w:t>
      </w:r>
      <w:r w:rsidRPr="00ED3DD9">
        <w:rPr>
          <w:rFonts w:ascii="Palatino Linotype" w:eastAsia="Palatino Linotype" w:hAnsi="Palatino Linotype" w:cs="Palatino Linotype"/>
          <w:b/>
          <w:color w:val="000000"/>
        </w:rPr>
        <w:t>número de OCR,</w:t>
      </w:r>
      <w:r w:rsidRPr="00ED3DD9">
        <w:rPr>
          <w:rFonts w:ascii="Palatino Linotype" w:eastAsia="Palatino Linotype" w:hAnsi="Palatino Linotype" w:cs="Palatino Linotype"/>
          <w:color w:val="00000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ED3DD9">
        <w:rPr>
          <w:rFonts w:ascii="Palatino Linotype" w:eastAsia="Palatino Linotype" w:hAnsi="Palatino Linotype" w:cs="Palatino Linotype"/>
          <w:color w:val="000000"/>
        </w:rPr>
        <w:t>geoelectoral</w:t>
      </w:r>
      <w:proofErr w:type="spellEnd"/>
      <w:r w:rsidRPr="00ED3DD9">
        <w:rPr>
          <w:rFonts w:ascii="Palatino Linotype" w:eastAsia="Palatino Linotype" w:hAnsi="Palatino Linotype" w:cs="Palatino Linotype"/>
          <w:color w:val="000000"/>
        </w:rPr>
        <w:t xml:space="preserve"> ahí contenida, por lo que es susceptible de resguardarse.</w:t>
      </w:r>
    </w:p>
    <w:p w14:paraId="39C5766C"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675CD5EA"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La </w:t>
      </w:r>
      <w:r w:rsidRPr="00ED3DD9">
        <w:rPr>
          <w:rFonts w:ascii="Palatino Linotype" w:eastAsia="Palatino Linotype" w:hAnsi="Palatino Linotype" w:cs="Palatino Linotype"/>
          <w:b/>
          <w:color w:val="000000"/>
        </w:rPr>
        <w:t>clave única del registro de población,</w:t>
      </w:r>
      <w:r w:rsidRPr="00ED3DD9">
        <w:rPr>
          <w:rFonts w:ascii="Palatino Linotype" w:eastAsia="Palatino Linotype" w:hAnsi="Palatino Linotype" w:cs="Palatino Linotype"/>
          <w:i/>
          <w:color w:val="000000"/>
        </w:rPr>
        <w:t xml:space="preserve"> </w:t>
      </w:r>
      <w:r w:rsidRPr="00ED3DD9">
        <w:rPr>
          <w:rFonts w:ascii="Palatino Linotype" w:eastAsia="Palatino Linotype" w:hAnsi="Palatino Linotype" w:cs="Palatino Linotype"/>
          <w:color w:val="000000"/>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6F875330"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358F48D5"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Igualmente, resulta importante destacar que el </w:t>
      </w:r>
      <w:r w:rsidRPr="00ED3DD9">
        <w:rPr>
          <w:rFonts w:ascii="Palatino Linotype" w:eastAsia="Palatino Linotype" w:hAnsi="Palatino Linotype" w:cs="Palatino Linotype"/>
          <w:i/>
          <w:color w:val="000000"/>
        </w:rPr>
        <w:t>número de cuenta bancaria</w:t>
      </w:r>
      <w:r w:rsidRPr="00ED3DD9">
        <w:rPr>
          <w:rFonts w:ascii="Palatino Linotype" w:eastAsia="Palatino Linotype" w:hAnsi="Palatino Linotype" w:cs="Palatino Linotype"/>
          <w:color w:val="00000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4E9D889"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2A24F2B6"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67FFC04"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56F425BB"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F584F92"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29F18FAC"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lastRenderedPageBreak/>
        <w:t>En esa virtud, este Pleno determina que dicha información no puede ser del dominio público, toda vez que se podría dar un uso inadecuado a la misma o cometer algún ilícito o fraude como ya ha sido expuesto. </w:t>
      </w:r>
    </w:p>
    <w:p w14:paraId="3321883C"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28743BF7"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r w:rsidRPr="00ED3DD9">
        <w:rPr>
          <w:rFonts w:ascii="Palatino Linotype" w:eastAsia="Palatino Linotype" w:hAnsi="Palatino Linotype" w:cs="Palatino Linotype"/>
          <w:color w:val="000000"/>
        </w:rPr>
        <w:t>Es por esta razón que se debe omitir el o los números de cuentas bancarias de particulares en las versiones públicas que de las facturas se hagan, para ser entregadas.</w:t>
      </w:r>
    </w:p>
    <w:p w14:paraId="0E2D483A"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14:paraId="7A389635"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67E777D9"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Lo argumentado encuentra sustento en los criterios orientadores 10/17 y 11/17 emitidos por el entonces Instituto Nacional de Transparencia, Acceso a la Información y Protección de Datos Personales, INAI, que llevan por rubro y texto los siguientes:</w:t>
      </w:r>
    </w:p>
    <w:p w14:paraId="35ED9EC4" w14:textId="77777777" w:rsidR="009564A9" w:rsidRPr="00ED3DD9" w:rsidRDefault="009564A9" w:rsidP="009564A9">
      <w:pPr>
        <w:spacing w:after="0" w:line="276" w:lineRule="auto"/>
        <w:ind w:right="50"/>
        <w:jc w:val="both"/>
        <w:rPr>
          <w:rFonts w:ascii="Times New Roman" w:eastAsia="Times New Roman" w:hAnsi="Times New Roman" w:cs="Times New Roman"/>
          <w:color w:val="000000"/>
        </w:rPr>
      </w:pPr>
    </w:p>
    <w:p w14:paraId="77F0A45C" w14:textId="77777777" w:rsidR="009564A9" w:rsidRPr="00ED3DD9" w:rsidRDefault="009564A9" w:rsidP="009564A9">
      <w:pPr>
        <w:spacing w:after="0" w:line="276" w:lineRule="auto"/>
        <w:ind w:left="851" w:right="900"/>
        <w:jc w:val="both"/>
        <w:rPr>
          <w:rFonts w:ascii="Times New Roman" w:eastAsia="Times New Roman" w:hAnsi="Times New Roman" w:cs="Times New Roman"/>
          <w:color w:val="000000"/>
        </w:rPr>
      </w:pPr>
      <w:r w:rsidRPr="00ED3DD9">
        <w:rPr>
          <w:rFonts w:ascii="Palatino Linotype" w:eastAsia="Palatino Linotype" w:hAnsi="Palatino Linotype" w:cs="Palatino Linotype"/>
          <w:b/>
          <w:i/>
          <w:color w:val="000000"/>
        </w:rPr>
        <w:t>“Cuentas bancarias y/o CLABE interbancaria de personas físicas y morales privadas.</w:t>
      </w:r>
      <w:r w:rsidRPr="00ED3DD9">
        <w:rPr>
          <w:rFonts w:ascii="Palatino Linotype" w:eastAsia="Palatino Linotype" w:hAnsi="Palatino Linotype" w:cs="Palatino Linotype"/>
          <w:i/>
          <w:color w:val="00000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5DE517C" w14:textId="77777777" w:rsidR="009564A9" w:rsidRPr="00ED3DD9" w:rsidRDefault="009564A9" w:rsidP="009564A9">
      <w:pPr>
        <w:spacing w:after="0" w:line="276" w:lineRule="auto"/>
        <w:ind w:left="851" w:right="900"/>
        <w:jc w:val="both"/>
        <w:rPr>
          <w:rFonts w:ascii="Times New Roman" w:eastAsia="Times New Roman" w:hAnsi="Times New Roman" w:cs="Times New Roman"/>
          <w:color w:val="000000"/>
        </w:rPr>
      </w:pPr>
      <w:r w:rsidRPr="00ED3DD9">
        <w:rPr>
          <w:rFonts w:ascii="Palatino Linotype" w:eastAsia="Palatino Linotype" w:hAnsi="Palatino Linotype" w:cs="Palatino Linotype"/>
          <w:b/>
          <w:i/>
          <w:color w:val="000000"/>
        </w:rPr>
        <w:t>Cuentas bancarias y/o CLABE interbancaria de sujetos obligados que reciben y/o transfieren recursos públicos, son información pública</w:t>
      </w:r>
      <w:r w:rsidRPr="00ED3DD9">
        <w:rPr>
          <w:rFonts w:ascii="Palatino Linotype" w:eastAsia="Palatino Linotype" w:hAnsi="Palatino Linotype" w:cs="Palatino Linotype"/>
          <w:i/>
          <w:color w:val="000000"/>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CE8E9D3"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p>
    <w:p w14:paraId="2E5F0D15"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lastRenderedPageBreak/>
        <w:t xml:space="preserve">Por cuanto hace al </w:t>
      </w:r>
      <w:r w:rsidRPr="00ED3DD9">
        <w:rPr>
          <w:rFonts w:ascii="Palatino Linotype" w:eastAsia="Palatino Linotype" w:hAnsi="Palatino Linotype" w:cs="Palatino Linotype"/>
          <w:b/>
          <w:color w:val="000000"/>
        </w:rPr>
        <w:t xml:space="preserve">Registro Federal de Contribuyentes (RFC) </w:t>
      </w:r>
      <w:r w:rsidRPr="00ED3DD9">
        <w:rPr>
          <w:rFonts w:ascii="Palatino Linotype" w:eastAsia="Palatino Linotype" w:hAnsi="Palatino Linotype" w:cs="Palatino Linotype"/>
          <w:color w:val="000000"/>
        </w:rPr>
        <w:t>y</w:t>
      </w:r>
      <w:r w:rsidRPr="00ED3DD9">
        <w:rPr>
          <w:rFonts w:ascii="Palatino Linotype" w:eastAsia="Palatino Linotype" w:hAnsi="Palatino Linotype" w:cs="Palatino Linotype"/>
          <w:b/>
          <w:color w:val="000000"/>
        </w:rPr>
        <w:t xml:space="preserve"> el domicilio fiscal </w:t>
      </w:r>
      <w:r w:rsidRPr="00ED3DD9">
        <w:rPr>
          <w:rFonts w:ascii="Palatino Linotype" w:eastAsia="Palatino Linotype" w:hAnsi="Palatino Linotype" w:cs="Palatino Linotype"/>
          <w:color w:val="000000"/>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F85B8C5"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180E24C0"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1A4A2A7"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5400D6C1"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ED3DD9">
        <w:rPr>
          <w:rFonts w:ascii="Palatino Linotype" w:eastAsia="Palatino Linotype" w:hAnsi="Palatino Linotype" w:cs="Palatino Linotype"/>
          <w:b/>
          <w:color w:val="000000"/>
        </w:rPr>
        <w:t>no puede considerarse como información clasificada lo relativo a su nombre, registro federal de contribuyentes y domicilio fiscal</w:t>
      </w:r>
      <w:r w:rsidRPr="00ED3DD9">
        <w:rPr>
          <w:rFonts w:ascii="Palatino Linotype" w:eastAsia="Palatino Linotype" w:hAnsi="Palatino Linotype" w:cs="Palatino Linotype"/>
          <w:color w:val="000000"/>
        </w:rPr>
        <w:t>, atento a que dicha información es la que puede generar certeza en los gobernados en que se está ejerciendo debidamente el presupuesto.</w:t>
      </w:r>
    </w:p>
    <w:p w14:paraId="3F3B8E25"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6AC8E7B9"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Robustece lo anterior el criterio orientador 04/21 emitido por el entonces Instituto Nacional de Transparencia, Acceso a la Información y Protección de Datos Personales, INAI, el cual refiere:</w:t>
      </w:r>
    </w:p>
    <w:p w14:paraId="386E8C95"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04140B05" w14:textId="77777777" w:rsidR="009564A9" w:rsidRPr="00ED3DD9" w:rsidRDefault="009564A9" w:rsidP="009564A9">
      <w:pPr>
        <w:spacing w:after="0" w:line="276" w:lineRule="auto"/>
        <w:ind w:left="851" w:right="902"/>
        <w:jc w:val="both"/>
        <w:rPr>
          <w:rFonts w:ascii="Palatino Linotype" w:eastAsia="Palatino Linotype" w:hAnsi="Palatino Linotype" w:cs="Palatino Linotype"/>
          <w:i/>
          <w:color w:val="000000"/>
        </w:rPr>
      </w:pPr>
      <w:r w:rsidRPr="00ED3DD9">
        <w:rPr>
          <w:rFonts w:ascii="Palatino Linotype" w:eastAsia="Palatino Linotype" w:hAnsi="Palatino Linotype" w:cs="Palatino Linotype"/>
          <w:b/>
          <w:i/>
          <w:color w:val="000000"/>
        </w:rPr>
        <w:t xml:space="preserve">“Registro Federal de Contribuyentes (RFC) de personas físicas proveedoras o contratistas. </w:t>
      </w:r>
      <w:r w:rsidRPr="00ED3DD9">
        <w:rPr>
          <w:rFonts w:ascii="Palatino Linotype" w:eastAsia="Palatino Linotype" w:hAnsi="Palatino Linotype" w:cs="Palatino Linotype"/>
          <w:i/>
          <w:color w:val="000000"/>
        </w:rPr>
        <w:t xml:space="preserve">El RFC de contratistas o proveedores de los sujetos obligados debe </w:t>
      </w:r>
      <w:r w:rsidRPr="00ED3DD9">
        <w:rPr>
          <w:rFonts w:ascii="Palatino Linotype" w:eastAsia="Palatino Linotype" w:hAnsi="Palatino Linotype" w:cs="Palatino Linotype"/>
          <w:i/>
          <w:color w:val="000000"/>
        </w:rPr>
        <w:lastRenderedPageBreak/>
        <w:t>ser público, ya que al tratarse de personas con contrataciones públicas, su difusión favorece la transparencia con la que deben administrarse los recursos públicos, en términos del artículo 134 de la Constitución Política de los Estados Unidos Mexicanos.”</w:t>
      </w:r>
    </w:p>
    <w:p w14:paraId="0FF77EF5" w14:textId="77777777" w:rsidR="009564A9" w:rsidRPr="00ED3DD9" w:rsidRDefault="009564A9" w:rsidP="009564A9">
      <w:pPr>
        <w:spacing w:after="0" w:line="360" w:lineRule="auto"/>
        <w:ind w:left="851" w:right="902"/>
        <w:jc w:val="both"/>
        <w:rPr>
          <w:rFonts w:ascii="Times New Roman" w:eastAsia="Times New Roman" w:hAnsi="Times New Roman" w:cs="Times New Roman"/>
          <w:color w:val="000000"/>
        </w:rPr>
      </w:pPr>
    </w:p>
    <w:p w14:paraId="24CE4310"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Relacionado con lo anterior, el </w:t>
      </w:r>
      <w:r w:rsidRPr="00ED3DD9">
        <w:rPr>
          <w:rFonts w:ascii="Palatino Linotype" w:eastAsia="Palatino Linotype" w:hAnsi="Palatino Linotype" w:cs="Palatino Linotype"/>
          <w:b/>
          <w:color w:val="000000"/>
        </w:rPr>
        <w:t>nombre de las personas físicas</w:t>
      </w:r>
      <w:r w:rsidRPr="00ED3DD9">
        <w:rPr>
          <w:rFonts w:ascii="Palatino Linotype" w:eastAsia="Palatino Linotype" w:hAnsi="Palatino Linotype" w:cs="Palatino Linotype"/>
          <w:color w:val="000000"/>
        </w:rPr>
        <w:t xml:space="preserve"> o los </w:t>
      </w:r>
      <w:r w:rsidRPr="00ED3DD9">
        <w:rPr>
          <w:rFonts w:ascii="Palatino Linotype" w:eastAsia="Palatino Linotype" w:hAnsi="Palatino Linotype" w:cs="Palatino Linotype"/>
          <w:b/>
          <w:color w:val="000000"/>
        </w:rPr>
        <w:t>representantes legales de las personas morales</w:t>
      </w:r>
      <w:r w:rsidRPr="00ED3DD9">
        <w:rPr>
          <w:rFonts w:ascii="Palatino Linotype" w:eastAsia="Palatino Linotype" w:hAnsi="Palatino Linotype" w:cs="Palatino Linotype"/>
          <w:color w:val="000000"/>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7EF9049"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5C7F0155" w14:textId="77777777" w:rsidR="009564A9" w:rsidRPr="00ED3DD9" w:rsidRDefault="009564A9" w:rsidP="009564A9">
      <w:pPr>
        <w:spacing w:after="0" w:line="360" w:lineRule="auto"/>
        <w:ind w:right="50"/>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Argumentación que guarda sustento en lo estipulado por el artículo 23 de la Ley de Transparencia y Acceso a la Información Pública del Estado de México y Municipios en su penúltimo párrafo, mismo que es del tenor literal siguiente:</w:t>
      </w:r>
    </w:p>
    <w:p w14:paraId="0F62F84B" w14:textId="77777777" w:rsidR="009564A9" w:rsidRPr="00ED3DD9" w:rsidRDefault="009564A9" w:rsidP="009564A9">
      <w:pPr>
        <w:spacing w:after="0" w:line="360" w:lineRule="auto"/>
        <w:ind w:right="50"/>
        <w:jc w:val="both"/>
        <w:rPr>
          <w:rFonts w:ascii="Times New Roman" w:eastAsia="Times New Roman" w:hAnsi="Times New Roman" w:cs="Times New Roman"/>
          <w:color w:val="000000"/>
        </w:rPr>
      </w:pPr>
    </w:p>
    <w:p w14:paraId="62DC03A0" w14:textId="77777777" w:rsidR="009564A9" w:rsidRPr="00ED3DD9" w:rsidRDefault="009564A9" w:rsidP="009564A9">
      <w:pPr>
        <w:spacing w:after="0" w:line="276" w:lineRule="auto"/>
        <w:ind w:left="851" w:right="902"/>
        <w:jc w:val="both"/>
        <w:rPr>
          <w:rFonts w:ascii="Times New Roman" w:eastAsia="Times New Roman" w:hAnsi="Times New Roman" w:cs="Times New Roman"/>
          <w:color w:val="000000"/>
        </w:rPr>
      </w:pPr>
      <w:r w:rsidRPr="00ED3DD9">
        <w:rPr>
          <w:rFonts w:ascii="Palatino Linotype" w:eastAsia="Palatino Linotype" w:hAnsi="Palatino Linotype" w:cs="Palatino Linotype"/>
          <w:i/>
          <w:color w:val="000000"/>
        </w:rPr>
        <w:t>“</w:t>
      </w:r>
      <w:r w:rsidRPr="00ED3DD9">
        <w:rPr>
          <w:rFonts w:ascii="Palatino Linotype" w:eastAsia="Palatino Linotype" w:hAnsi="Palatino Linotype" w:cs="Palatino Linotype"/>
          <w:b/>
          <w:i/>
          <w:color w:val="000000"/>
        </w:rPr>
        <w:t>Artículo 23.</w:t>
      </w:r>
      <w:r w:rsidRPr="00ED3DD9">
        <w:rPr>
          <w:rFonts w:ascii="Palatino Linotype" w:eastAsia="Palatino Linotype" w:hAnsi="Palatino Linotype" w:cs="Palatino Linotype"/>
          <w:i/>
          <w:color w:val="000000"/>
        </w:rPr>
        <w:t xml:space="preserve"> (…)</w:t>
      </w:r>
    </w:p>
    <w:p w14:paraId="2D83FBAD" w14:textId="77777777" w:rsidR="009564A9" w:rsidRPr="00ED3DD9" w:rsidRDefault="009564A9" w:rsidP="009564A9">
      <w:pPr>
        <w:spacing w:after="0" w:line="276" w:lineRule="auto"/>
        <w:ind w:left="851" w:right="902"/>
        <w:jc w:val="both"/>
        <w:rPr>
          <w:rFonts w:ascii="Times New Roman" w:eastAsia="Times New Roman" w:hAnsi="Times New Roman" w:cs="Times New Roman"/>
          <w:color w:val="000000"/>
        </w:rPr>
      </w:pPr>
      <w:r w:rsidRPr="00ED3DD9">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5ADA90"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p>
    <w:p w14:paraId="277FA16D"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6660A7A4"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250C1EA3" w14:textId="77777777" w:rsidR="009564A9" w:rsidRPr="00ED3DD9" w:rsidRDefault="009564A9" w:rsidP="009564A9">
      <w:pPr>
        <w:spacing w:after="0" w:line="276" w:lineRule="auto"/>
        <w:ind w:left="851" w:right="900"/>
        <w:jc w:val="both"/>
        <w:rPr>
          <w:rFonts w:ascii="Times New Roman" w:eastAsia="Times New Roman" w:hAnsi="Times New Roman" w:cs="Times New Roman"/>
          <w:color w:val="000000"/>
        </w:rPr>
      </w:pPr>
      <w:r w:rsidRPr="00ED3DD9">
        <w:rPr>
          <w:rFonts w:ascii="Palatino Linotype" w:eastAsia="Palatino Linotype" w:hAnsi="Palatino Linotype" w:cs="Palatino Linotype"/>
          <w:b/>
          <w:i/>
          <w:color w:val="000000"/>
        </w:rPr>
        <w:t>“Datos de identificación del representante o apoderado legal.</w:t>
      </w:r>
      <w:r w:rsidRPr="00ED3DD9">
        <w:rPr>
          <w:rFonts w:ascii="Palatino Linotype" w:eastAsia="Palatino Linotype" w:hAnsi="Palatino Linotype" w:cs="Palatino Linotype"/>
          <w:i/>
          <w:color w:val="000000"/>
        </w:rPr>
        <w:t xml:space="preserve"> </w:t>
      </w:r>
      <w:r w:rsidRPr="00ED3DD9">
        <w:rPr>
          <w:rFonts w:ascii="Palatino Linotype" w:eastAsia="Palatino Linotype" w:hAnsi="Palatino Linotype" w:cs="Palatino Linotype"/>
          <w:b/>
          <w:i/>
          <w:color w:val="000000"/>
        </w:rPr>
        <w:t xml:space="preserve">Naturaleza jurídica. </w:t>
      </w:r>
      <w:r w:rsidRPr="00ED3DD9">
        <w:rPr>
          <w:rFonts w:ascii="Palatino Linotype" w:eastAsia="Palatino Linotype" w:hAnsi="Palatino Linotype" w:cs="Palatino Linotype"/>
          <w:i/>
          <w:color w:val="000000"/>
        </w:rPr>
        <w:t xml:space="preserve">El nombre, la firma y la rúbrica de una persona física, que actúe como representante o apoderado legal de un tercero que haya celebrado un acto jurídico, con algún sujeto obligado, </w:t>
      </w:r>
      <w:r w:rsidRPr="00ED3DD9">
        <w:rPr>
          <w:rFonts w:ascii="Palatino Linotype" w:eastAsia="Palatino Linotype" w:hAnsi="Palatino Linotype" w:cs="Palatino Linotype"/>
          <w:b/>
          <w:i/>
          <w:color w:val="000000"/>
        </w:rPr>
        <w:t>es información pública, en razón de que tales datos fueron proporcionados con el objeto de expresar el consentimiento obligacional del tercero y otorgar validez a dicho instrumento jurídico</w:t>
      </w:r>
      <w:r w:rsidRPr="00ED3DD9">
        <w:rPr>
          <w:rFonts w:ascii="Palatino Linotype" w:eastAsia="Palatino Linotype" w:hAnsi="Palatino Linotype" w:cs="Palatino Linotype"/>
          <w:i/>
          <w:color w:val="000000"/>
        </w:rPr>
        <w:t>.”</w:t>
      </w:r>
    </w:p>
    <w:p w14:paraId="5D0027CF" w14:textId="77777777" w:rsidR="009564A9" w:rsidRPr="00ED3DD9" w:rsidRDefault="009564A9" w:rsidP="009564A9">
      <w:pPr>
        <w:spacing w:after="0" w:line="360" w:lineRule="auto"/>
        <w:jc w:val="both"/>
        <w:rPr>
          <w:rFonts w:ascii="Palatino Linotype" w:eastAsia="Palatino Linotype" w:hAnsi="Palatino Linotype" w:cs="Palatino Linotype"/>
          <w:color w:val="FF0000"/>
        </w:rPr>
      </w:pPr>
    </w:p>
    <w:p w14:paraId="6A040CCF"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 xml:space="preserve">Mientras que en el caso del </w:t>
      </w:r>
      <w:r w:rsidRPr="00ED3DD9">
        <w:rPr>
          <w:rFonts w:ascii="Palatino Linotype" w:eastAsia="Palatino Linotype" w:hAnsi="Palatino Linotype" w:cs="Palatino Linotype"/>
          <w:b/>
          <w:color w:val="000000"/>
        </w:rPr>
        <w:t>folio fiscal</w:t>
      </w:r>
      <w:r w:rsidRPr="00ED3DD9">
        <w:rPr>
          <w:rFonts w:ascii="Palatino Linotype" w:eastAsia="Palatino Linotype" w:hAnsi="Palatino Linotype" w:cs="Palatino Linotype"/>
          <w:color w:val="000000"/>
        </w:rPr>
        <w:t xml:space="preserve">, la </w:t>
      </w:r>
      <w:r w:rsidRPr="00ED3DD9">
        <w:rPr>
          <w:rFonts w:ascii="Palatino Linotype" w:eastAsia="Palatino Linotype" w:hAnsi="Palatino Linotype" w:cs="Palatino Linotype"/>
          <w:b/>
          <w:color w:val="000000"/>
        </w:rPr>
        <w:t xml:space="preserve">cadena original, </w:t>
      </w:r>
      <w:r w:rsidRPr="00ED3DD9">
        <w:rPr>
          <w:rFonts w:ascii="Palatino Linotype" w:eastAsia="Palatino Linotype" w:hAnsi="Palatino Linotype" w:cs="Palatino Linotype"/>
          <w:color w:val="000000"/>
        </w:rPr>
        <w:t>los</w:t>
      </w:r>
      <w:r w:rsidRPr="00ED3DD9">
        <w:rPr>
          <w:rFonts w:ascii="Palatino Linotype" w:eastAsia="Palatino Linotype" w:hAnsi="Palatino Linotype" w:cs="Palatino Linotype"/>
          <w:b/>
          <w:color w:val="000000"/>
        </w:rPr>
        <w:t xml:space="preserve"> códigos bidimensionales o códigos QR,</w:t>
      </w:r>
      <w:r w:rsidRPr="00ED3DD9">
        <w:rPr>
          <w:rFonts w:ascii="Palatino Linotype" w:eastAsia="Palatino Linotype" w:hAnsi="Palatino Linotype" w:cs="Palatino Linotype"/>
          <w:color w:val="000000"/>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386C4E85" w14:textId="77777777" w:rsidR="009564A9" w:rsidRPr="00ED3DD9" w:rsidRDefault="009564A9" w:rsidP="009564A9">
      <w:pPr>
        <w:spacing w:after="0" w:line="360" w:lineRule="auto"/>
        <w:jc w:val="both"/>
        <w:rPr>
          <w:rFonts w:ascii="Times New Roman" w:eastAsia="Times New Roman" w:hAnsi="Times New Roman" w:cs="Times New Roman"/>
          <w:color w:val="000000"/>
        </w:rPr>
      </w:pPr>
    </w:p>
    <w:p w14:paraId="2E0D1EAE" w14:textId="77777777" w:rsidR="009564A9" w:rsidRPr="00ED3DD9" w:rsidRDefault="009564A9" w:rsidP="009564A9">
      <w:pPr>
        <w:spacing w:after="0" w:line="360" w:lineRule="auto"/>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color w:val="000000"/>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71CDD11" w14:textId="77777777" w:rsidR="006B7799" w:rsidRPr="00ED3DD9" w:rsidRDefault="006B7799" w:rsidP="009564A9">
      <w:pPr>
        <w:spacing w:after="0" w:line="360" w:lineRule="auto"/>
        <w:jc w:val="both"/>
        <w:rPr>
          <w:rFonts w:ascii="Palatino Linotype" w:eastAsia="Palatino Linotype" w:hAnsi="Palatino Linotype" w:cs="Palatino Linotype"/>
          <w:color w:val="000000"/>
        </w:rPr>
      </w:pPr>
    </w:p>
    <w:p w14:paraId="485ED54C" w14:textId="77777777" w:rsidR="009564A9" w:rsidRPr="00ED3DD9" w:rsidRDefault="009564A9" w:rsidP="009564A9">
      <w:pPr>
        <w:spacing w:after="0" w:line="360" w:lineRule="auto"/>
        <w:jc w:val="both"/>
        <w:rPr>
          <w:rFonts w:ascii="Times New Roman" w:eastAsia="Times New Roman" w:hAnsi="Times New Roman" w:cs="Times New Roman"/>
          <w:color w:val="000000"/>
        </w:rPr>
      </w:pPr>
      <w:r w:rsidRPr="00ED3DD9">
        <w:rPr>
          <w:rFonts w:ascii="Palatino Linotype" w:eastAsia="Palatino Linotype" w:hAnsi="Palatino Linotype" w:cs="Palatino Linotype"/>
          <w:color w:val="000000"/>
        </w:rPr>
        <w:lastRenderedPageBreak/>
        <w:t xml:space="preserve">Asimismo, se destaca que la versión pública que elabore el </w:t>
      </w:r>
      <w:r w:rsidRPr="00ED3DD9">
        <w:rPr>
          <w:rFonts w:ascii="Palatino Linotype" w:eastAsia="Palatino Linotype" w:hAnsi="Palatino Linotype" w:cs="Palatino Linotype"/>
          <w:b/>
          <w:color w:val="000000"/>
        </w:rPr>
        <w:t>Sujeto Obligado</w:t>
      </w:r>
      <w:r w:rsidRPr="00ED3DD9">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D3DD9">
        <w:rPr>
          <w:rFonts w:ascii="Palatino Linotype" w:eastAsia="Palatino Linotype" w:hAnsi="Palatino Linotype" w:cs="Palatino Linotype"/>
          <w:b/>
          <w:color w:val="000000"/>
        </w:rPr>
        <w:t>Recurrente</w:t>
      </w:r>
      <w:r w:rsidRPr="00ED3DD9">
        <w:rPr>
          <w:rFonts w:ascii="Palatino Linotype" w:eastAsia="Palatino Linotype" w:hAnsi="Palatino Linotype" w:cs="Palatino Linotype"/>
          <w:color w:val="000000"/>
        </w:rPr>
        <w:t>.</w:t>
      </w:r>
    </w:p>
    <w:p w14:paraId="7929A783" w14:textId="77777777" w:rsidR="009564A9" w:rsidRPr="00ED3DD9" w:rsidRDefault="009564A9" w:rsidP="009564A9">
      <w:pPr>
        <w:spacing w:after="0" w:line="240" w:lineRule="auto"/>
        <w:rPr>
          <w:rFonts w:ascii="Times New Roman" w:eastAsia="Times New Roman" w:hAnsi="Times New Roman" w:cs="Times New Roman"/>
          <w:sz w:val="24"/>
          <w:szCs w:val="24"/>
        </w:rPr>
      </w:pPr>
    </w:p>
    <w:p w14:paraId="4E0C43CD" w14:textId="77777777" w:rsidR="009564A9" w:rsidRPr="00ED3DD9" w:rsidRDefault="009564A9" w:rsidP="009564A9">
      <w:pPr>
        <w:spacing w:after="0" w:line="360" w:lineRule="auto"/>
        <w:ind w:right="50"/>
        <w:jc w:val="both"/>
        <w:rPr>
          <w:rFonts w:ascii="Palatino Linotype" w:eastAsia="Palatino Linotype" w:hAnsi="Palatino Linotype" w:cs="Palatino Linotype"/>
        </w:rPr>
      </w:pPr>
      <w:r w:rsidRPr="00ED3DD9">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4791E903" w14:textId="77777777" w:rsidR="009564A9" w:rsidRPr="00ED3DD9" w:rsidRDefault="009564A9" w:rsidP="009564A9">
      <w:pPr>
        <w:spacing w:after="0" w:line="360" w:lineRule="auto"/>
        <w:ind w:right="50"/>
        <w:jc w:val="both"/>
        <w:rPr>
          <w:rFonts w:ascii="Palatino Linotype" w:eastAsia="Palatino Linotype" w:hAnsi="Palatino Linotype" w:cs="Palatino Linotype"/>
        </w:rPr>
      </w:pPr>
    </w:p>
    <w:p w14:paraId="43A4F440"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Artículo 3.</w:t>
      </w:r>
      <w:r w:rsidRPr="00ED3DD9">
        <w:rPr>
          <w:rFonts w:ascii="Palatino Linotype" w:eastAsia="Palatino Linotype" w:hAnsi="Palatino Linotype" w:cs="Palatino Linotype"/>
          <w:i/>
        </w:rPr>
        <w:t xml:space="preserve"> Para los efectos de la presente Ley se entenderá por:</w:t>
      </w:r>
    </w:p>
    <w:p w14:paraId="2A3B2520"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3A0C095A"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7ACF9B88"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XX. Información clasificada: Aquella considerada por la presente Ley como reservada o confidencial;</w:t>
      </w:r>
    </w:p>
    <w:p w14:paraId="098EA872"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E0D09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0BAF0D05"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lastRenderedPageBreak/>
        <w:t>[…]</w:t>
      </w:r>
    </w:p>
    <w:p w14:paraId="55933C53"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Artículo 91.</w:t>
      </w:r>
      <w:r w:rsidRPr="00ED3DD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C7E2F3F"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Artículo 132.</w:t>
      </w:r>
      <w:r w:rsidRPr="00ED3DD9">
        <w:rPr>
          <w:rFonts w:ascii="Palatino Linotype" w:eastAsia="Palatino Linotype" w:hAnsi="Palatino Linotype" w:cs="Palatino Linotype"/>
          <w:i/>
        </w:rPr>
        <w:t xml:space="preserve"> La clasificación de la información se llevará a cabo en el momento en que:</w:t>
      </w:r>
    </w:p>
    <w:p w14:paraId="5FE7375C" w14:textId="77777777" w:rsidR="009564A9" w:rsidRPr="00ED3DD9" w:rsidRDefault="009564A9" w:rsidP="009564A9">
      <w:pPr>
        <w:tabs>
          <w:tab w:val="left" w:pos="1134"/>
        </w:tabs>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 Se reciba una solicitud de acceso a la información;</w:t>
      </w:r>
    </w:p>
    <w:p w14:paraId="4443BC75" w14:textId="77777777" w:rsidR="009564A9" w:rsidRPr="00ED3DD9" w:rsidRDefault="009564A9" w:rsidP="009564A9">
      <w:pPr>
        <w:tabs>
          <w:tab w:val="left" w:pos="1134"/>
        </w:tabs>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 Se determine mediante resolución de autoridad competente; o</w:t>
      </w:r>
    </w:p>
    <w:p w14:paraId="75A1ADE4" w14:textId="77777777" w:rsidR="009564A9" w:rsidRPr="00ED3DD9" w:rsidRDefault="009564A9" w:rsidP="009564A9">
      <w:pPr>
        <w:tabs>
          <w:tab w:val="left" w:pos="1134"/>
        </w:tabs>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III. Se generen versiones públicas para dar cumplimiento a las obligaciones de transparencia previstas en esta Ley.</w:t>
      </w:r>
    </w:p>
    <w:p w14:paraId="5698F86A"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457EECA0"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Artículo 143</w:t>
      </w:r>
      <w:r w:rsidRPr="00ED3DD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148821A"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45B40054"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57D6B09"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III. La que presenten los particulares a los sujetos obligados, de conformidad con lo dispuesto por las leyes o los tratados internacionales.</w:t>
      </w:r>
    </w:p>
    <w:p w14:paraId="57800DE9"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6A29515"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63E46FC" w14:textId="77777777" w:rsidR="009564A9" w:rsidRPr="00ED3DD9" w:rsidRDefault="009564A9" w:rsidP="009564A9">
      <w:pPr>
        <w:spacing w:after="0"/>
        <w:ind w:left="567" w:right="616"/>
        <w:jc w:val="both"/>
        <w:rPr>
          <w:rFonts w:ascii="Palatino Linotype" w:eastAsia="Palatino Linotype" w:hAnsi="Palatino Linotype" w:cs="Palatino Linotype"/>
          <w:i/>
        </w:rPr>
      </w:pPr>
    </w:p>
    <w:p w14:paraId="157D3EE5" w14:textId="5C0C8CDA" w:rsidR="009564A9" w:rsidRPr="00ED3DD9" w:rsidRDefault="009564A9" w:rsidP="002727A8">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0E2A62C" w14:textId="77777777" w:rsidR="009564A9" w:rsidRPr="00ED3DD9" w:rsidRDefault="009564A9" w:rsidP="009564A9">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lastRenderedPageBreak/>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688465E7" w14:textId="77777777" w:rsidR="002727A8" w:rsidRPr="00ED3DD9" w:rsidRDefault="002727A8" w:rsidP="009564A9">
      <w:pPr>
        <w:spacing w:after="0" w:line="360" w:lineRule="auto"/>
        <w:jc w:val="both"/>
        <w:rPr>
          <w:rFonts w:ascii="Palatino Linotype" w:eastAsia="Palatino Linotype" w:hAnsi="Palatino Linotype" w:cs="Palatino Linotype"/>
        </w:rPr>
      </w:pPr>
    </w:p>
    <w:p w14:paraId="120D8455"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 “</w:t>
      </w:r>
      <w:r w:rsidRPr="00ED3DD9">
        <w:rPr>
          <w:rFonts w:ascii="Palatino Linotype" w:eastAsia="Palatino Linotype" w:hAnsi="Palatino Linotype" w:cs="Palatino Linotype"/>
          <w:b/>
          <w:i/>
        </w:rPr>
        <w:t>Quincuagésimo</w:t>
      </w:r>
      <w:r w:rsidRPr="00ED3DD9">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B9A7A03"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Quincuagésimo primero.</w:t>
      </w:r>
      <w:r w:rsidRPr="00ED3DD9">
        <w:rPr>
          <w:rFonts w:ascii="Palatino Linotype" w:eastAsia="Palatino Linotype" w:hAnsi="Palatino Linotype" w:cs="Palatino Linotype"/>
          <w:i/>
        </w:rPr>
        <w:t xml:space="preserve"> Toda acta del Comité de Transparencia deberá contener: </w:t>
      </w:r>
    </w:p>
    <w:p w14:paraId="60478EDB"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 El número de sesión y fecha; </w:t>
      </w:r>
    </w:p>
    <w:p w14:paraId="34404DE0"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II. El nombre del área que solicitó la clasificación de información; </w:t>
      </w:r>
    </w:p>
    <w:p w14:paraId="21F85229"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III. La fundamentación legal y motivación correspondiente; </w:t>
      </w:r>
    </w:p>
    <w:p w14:paraId="4E74A2D2"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IV. La resolución o resoluciones aprobadas; y </w:t>
      </w:r>
    </w:p>
    <w:p w14:paraId="6B972768"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V. La rúbrica o firma digital de cada integrante del Comité de Transparencia. </w:t>
      </w:r>
    </w:p>
    <w:p w14:paraId="20CFA7CF"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96580BF"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 Los motivos y razonamientos que sustenten la confirmación o modificación de la prueba de daño;</w:t>
      </w:r>
    </w:p>
    <w:p w14:paraId="26090358"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II. Descripción de las partes o secciones reservadas, en caso de clasificación parcial; </w:t>
      </w:r>
    </w:p>
    <w:p w14:paraId="42D20649"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III. El periodo por el que mantendrá su clasificación y fecha de expiración; y </w:t>
      </w:r>
    </w:p>
    <w:p w14:paraId="0E47E4A8"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IV. El nombre del titular y área encargada de realizar la versión pública del documento, en su caso. </w:t>
      </w:r>
    </w:p>
    <w:p w14:paraId="771BB51A"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CFFAFDC"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780A903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Quincuagésimo segundo.</w:t>
      </w:r>
      <w:r w:rsidRPr="00ED3DD9">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w:t>
      </w:r>
      <w:r w:rsidRPr="00ED3DD9">
        <w:rPr>
          <w:rFonts w:ascii="Palatino Linotype" w:eastAsia="Palatino Linotype" w:hAnsi="Palatino Linotype" w:cs="Palatino Linotype"/>
          <w:i/>
        </w:rPr>
        <w:lastRenderedPageBreak/>
        <w:t>que el espacio utilizado para testar la información no podrá ser empleado para la sobreposición de contenido distinto al autorizado por el Comité.</w:t>
      </w:r>
    </w:p>
    <w:p w14:paraId="484B9394"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16696983"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 Fijar la fecha en que se elaboró la versión pública y la fecha en la cual el Comité de Transparencia confirmó dicha versión;</w:t>
      </w:r>
    </w:p>
    <w:p w14:paraId="65018AC6"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735B303"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III. Señalar las personas o instancias autorizadas a acceder a la información clasificada.</w:t>
      </w:r>
    </w:p>
    <w:p w14:paraId="32212ED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C3A9A32" w14:textId="77777777" w:rsidR="006742BB" w:rsidRPr="00ED3DD9" w:rsidRDefault="006742BB" w:rsidP="009564A9">
      <w:pPr>
        <w:spacing w:after="0"/>
        <w:ind w:left="567" w:right="616"/>
        <w:jc w:val="both"/>
        <w:rPr>
          <w:rFonts w:ascii="Palatino Linotype" w:eastAsia="Palatino Linotype" w:hAnsi="Palatino Linotype" w:cs="Palatino Linotype"/>
          <w:i/>
        </w:rPr>
      </w:pPr>
    </w:p>
    <w:p w14:paraId="3E0EC326" w14:textId="77777777" w:rsidR="009564A9" w:rsidRPr="00ED3DD9" w:rsidRDefault="009564A9" w:rsidP="009564A9">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576168DD" w14:textId="77777777" w:rsidR="009564A9" w:rsidRPr="00ED3DD9" w:rsidRDefault="009564A9" w:rsidP="009564A9">
      <w:pPr>
        <w:spacing w:after="0" w:line="360" w:lineRule="auto"/>
        <w:jc w:val="both"/>
        <w:rPr>
          <w:rFonts w:ascii="Palatino Linotype" w:eastAsia="Palatino Linotype" w:hAnsi="Palatino Linotype" w:cs="Palatino Linotype"/>
        </w:rPr>
      </w:pPr>
    </w:p>
    <w:p w14:paraId="4F00BAE1" w14:textId="77777777" w:rsidR="009564A9" w:rsidRPr="00ED3DD9" w:rsidRDefault="009564A9" w:rsidP="009564A9">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r w:rsidRPr="00ED3DD9">
        <w:rPr>
          <w:rFonts w:ascii="Palatino Linotype" w:eastAsia="Palatino Linotype" w:hAnsi="Palatino Linotype" w:cs="Palatino Linotype"/>
          <w:b/>
          <w:i/>
        </w:rPr>
        <w:t>Quincuagésimo cuarto.</w:t>
      </w:r>
      <w:r w:rsidRPr="00ED3DD9">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A0E2659"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Quincuagésimo quinto.</w:t>
      </w:r>
      <w:r w:rsidRPr="00ED3DD9">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ED3DD9">
        <w:rPr>
          <w:rFonts w:ascii="Palatino Linotype" w:eastAsia="Palatino Linotype" w:hAnsi="Palatino Linotype" w:cs="Palatino Linotype"/>
          <w:i/>
        </w:rPr>
        <w:t>testado</w:t>
      </w:r>
      <w:proofErr w:type="spellEnd"/>
      <w:r w:rsidRPr="00ED3DD9">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BE211A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w:t>
      </w:r>
    </w:p>
    <w:p w14:paraId="6ACC0E0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b/>
          <w:i/>
        </w:rPr>
        <w:t>Quincuagésimo séptimo.</w:t>
      </w:r>
      <w:r w:rsidRPr="00ED3DD9">
        <w:rPr>
          <w:rFonts w:ascii="Palatino Linotype" w:eastAsia="Palatino Linotype" w:hAnsi="Palatino Linotype" w:cs="Palatino Linotype"/>
          <w:i/>
        </w:rPr>
        <w:t xml:space="preserve"> Se considera, en principio, como información pública y no podrá omitirse de las versiones públicas la siguiente: </w:t>
      </w:r>
    </w:p>
    <w:p w14:paraId="314324FF"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77EF0740"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lastRenderedPageBreak/>
        <w:t>II. El nombre de los integrantes de los sujetos obligados en los documentos, y sus firmas autógrafas o digitales, cuando sean utilizados en el ejercicio de las facultades conferidas para el desempeño del servicio público, y</w:t>
      </w:r>
    </w:p>
    <w:p w14:paraId="27F6206E"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846F14E"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4A412E7" w14:textId="77777777" w:rsidR="009564A9" w:rsidRPr="00ED3DD9" w:rsidRDefault="009564A9" w:rsidP="009564A9">
      <w:pPr>
        <w:spacing w:after="0"/>
        <w:ind w:left="567" w:right="616"/>
        <w:jc w:val="both"/>
        <w:rPr>
          <w:rFonts w:ascii="Palatino Linotype" w:eastAsia="Palatino Linotype" w:hAnsi="Palatino Linotype" w:cs="Palatino Linotype"/>
          <w:i/>
        </w:rPr>
      </w:pPr>
      <w:r w:rsidRPr="00ED3DD9">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65761264" w14:textId="77777777" w:rsidR="009564A9" w:rsidRPr="00ED3DD9" w:rsidRDefault="009564A9" w:rsidP="009564A9">
      <w:pPr>
        <w:spacing w:after="0" w:line="360" w:lineRule="auto"/>
        <w:ind w:left="567" w:right="616"/>
        <w:jc w:val="both"/>
        <w:rPr>
          <w:rFonts w:ascii="Palatino Linotype" w:eastAsia="Palatino Linotype" w:hAnsi="Palatino Linotype" w:cs="Palatino Linotype"/>
          <w:i/>
        </w:rPr>
      </w:pPr>
    </w:p>
    <w:p w14:paraId="7DAC646F" w14:textId="77777777" w:rsidR="009564A9" w:rsidRPr="00ED3DD9" w:rsidRDefault="009564A9" w:rsidP="009564A9">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3C8689A" w14:textId="77777777" w:rsidR="00CD20B8" w:rsidRPr="00ED3DD9" w:rsidRDefault="00CD20B8">
      <w:pPr>
        <w:spacing w:after="0" w:line="360" w:lineRule="auto"/>
        <w:jc w:val="both"/>
        <w:rPr>
          <w:rFonts w:ascii="Palatino Linotype" w:eastAsia="Palatino Linotype" w:hAnsi="Palatino Linotype" w:cs="Palatino Linotype"/>
        </w:rPr>
      </w:pPr>
    </w:p>
    <w:p w14:paraId="7A61ABBE" w14:textId="63E8D507" w:rsidR="004E0CB0" w:rsidRPr="00ED3DD9" w:rsidRDefault="00373EF6">
      <w:pPr>
        <w:spacing w:after="0" w:line="360" w:lineRule="auto"/>
        <w:ind w:right="49"/>
        <w:jc w:val="both"/>
        <w:rPr>
          <w:rFonts w:ascii="Palatino Linotype" w:eastAsia="Palatino Linotype" w:hAnsi="Palatino Linotype" w:cs="Palatino Linotype"/>
          <w:b/>
        </w:rPr>
      </w:pPr>
      <w:r w:rsidRPr="00ED3DD9">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sidRPr="00ED3DD9">
        <w:rPr>
          <w:rFonts w:ascii="Palatino Linotype" w:eastAsia="Palatino Linotype" w:hAnsi="Palatino Linotype" w:cs="Palatino Linotype"/>
          <w:b/>
        </w:rPr>
        <w:t>RECURRENTE</w:t>
      </w:r>
      <w:r w:rsidRPr="00ED3DD9">
        <w:rPr>
          <w:rFonts w:ascii="Palatino Linotype" w:eastAsia="Palatino Linotype" w:hAnsi="Palatino Linotype" w:cs="Palatino Linotype"/>
        </w:rPr>
        <w:t xml:space="preserve"> dentro de los recursos de revisión </w:t>
      </w:r>
      <w:r w:rsidR="00EB7094" w:rsidRPr="00ED3DD9">
        <w:rPr>
          <w:rFonts w:ascii="Palatino Linotype" w:eastAsia="Palatino Linotype" w:hAnsi="Palatino Linotype" w:cs="Palatino Linotype"/>
          <w:b/>
        </w:rPr>
        <w:t>04814</w:t>
      </w:r>
      <w:r w:rsidR="004E0CB0" w:rsidRPr="00ED3DD9">
        <w:rPr>
          <w:rFonts w:ascii="Palatino Linotype" w:eastAsia="Palatino Linotype" w:hAnsi="Palatino Linotype" w:cs="Palatino Linotype"/>
          <w:b/>
        </w:rPr>
        <w:t xml:space="preserve">/INFOEM/IP/RR/2025 </w:t>
      </w:r>
      <w:r w:rsidR="004E0CB0" w:rsidRPr="00ED3DD9">
        <w:rPr>
          <w:rFonts w:ascii="Palatino Linotype" w:eastAsia="Palatino Linotype" w:hAnsi="Palatino Linotype" w:cs="Palatino Linotype"/>
        </w:rPr>
        <w:t>y</w:t>
      </w:r>
      <w:r w:rsidR="00EB7094" w:rsidRPr="00ED3DD9">
        <w:rPr>
          <w:rFonts w:ascii="Palatino Linotype" w:eastAsia="Palatino Linotype" w:hAnsi="Palatino Linotype" w:cs="Palatino Linotype"/>
          <w:b/>
        </w:rPr>
        <w:t xml:space="preserve"> 04815</w:t>
      </w:r>
      <w:r w:rsidRPr="00ED3DD9">
        <w:rPr>
          <w:rFonts w:ascii="Palatino Linotype" w:eastAsia="Palatino Linotype" w:hAnsi="Palatino Linotype" w:cs="Palatino Linotype"/>
          <w:b/>
        </w:rPr>
        <w:t>/INFOEM/IP/RR/2025</w:t>
      </w:r>
      <w:r w:rsidRPr="00ED3DD9">
        <w:rPr>
          <w:rFonts w:ascii="Palatino Linotype" w:eastAsia="Palatino Linotype" w:hAnsi="Palatino Linotype" w:cs="Palatino Linotype"/>
        </w:rPr>
        <w:t xml:space="preserve">; por ello, y con </w:t>
      </w:r>
      <w:r w:rsidR="002727A8" w:rsidRPr="00ED3DD9">
        <w:rPr>
          <w:rFonts w:ascii="Palatino Linotype" w:eastAsia="Palatino Linotype" w:hAnsi="Palatino Linotype" w:cs="Palatino Linotype"/>
        </w:rPr>
        <w:t>fundamento en la fracción III</w:t>
      </w:r>
      <w:r w:rsidRPr="00ED3DD9">
        <w:rPr>
          <w:rFonts w:ascii="Palatino Linotype" w:eastAsia="Palatino Linotype" w:hAnsi="Palatino Linotype" w:cs="Palatino Linotype"/>
        </w:rPr>
        <w:t xml:space="preserve"> del numeral 186 de la Ley de Transparencia y Acceso a la Información Pública del Estado de México y Municipios, se </w:t>
      </w:r>
      <w:r w:rsidRPr="00ED3DD9">
        <w:rPr>
          <w:rFonts w:ascii="Palatino Linotype" w:eastAsia="Palatino Linotype" w:hAnsi="Palatino Linotype" w:cs="Palatino Linotype"/>
          <w:b/>
        </w:rPr>
        <w:t xml:space="preserve">MODIFICAN </w:t>
      </w:r>
      <w:r w:rsidRPr="00ED3DD9">
        <w:rPr>
          <w:rFonts w:ascii="Palatino Linotype" w:eastAsia="Palatino Linotype" w:hAnsi="Palatino Linotype" w:cs="Palatino Linotype"/>
        </w:rPr>
        <w:t xml:space="preserve">las respuestas del </w:t>
      </w:r>
      <w:r w:rsidRPr="00ED3DD9">
        <w:rPr>
          <w:rFonts w:ascii="Palatino Linotype" w:eastAsia="Palatino Linotype" w:hAnsi="Palatino Linotype" w:cs="Palatino Linotype"/>
          <w:b/>
        </w:rPr>
        <w:lastRenderedPageBreak/>
        <w:t xml:space="preserve">SUJETO OBLIGADO </w:t>
      </w:r>
      <w:r w:rsidRPr="00ED3DD9">
        <w:rPr>
          <w:rFonts w:ascii="Palatino Linotype" w:eastAsia="Palatino Linotype" w:hAnsi="Palatino Linotype" w:cs="Palatino Linotype"/>
        </w:rPr>
        <w:t xml:space="preserve">a las solicitudes de información </w:t>
      </w:r>
      <w:r w:rsidR="00EB7094" w:rsidRPr="00ED3DD9">
        <w:rPr>
          <w:rFonts w:ascii="Palatino Linotype" w:eastAsia="Palatino Linotype" w:hAnsi="Palatino Linotype" w:cs="Palatino Linotype"/>
          <w:b/>
        </w:rPr>
        <w:t>00199</w:t>
      </w:r>
      <w:r w:rsidRPr="00ED3DD9">
        <w:rPr>
          <w:rFonts w:ascii="Palatino Linotype" w:eastAsia="Palatino Linotype" w:hAnsi="Palatino Linotype" w:cs="Palatino Linotype"/>
          <w:b/>
        </w:rPr>
        <w:t>/</w:t>
      </w:r>
      <w:r w:rsidR="00EB7094" w:rsidRPr="00ED3DD9">
        <w:rPr>
          <w:rFonts w:ascii="Palatino Linotype" w:eastAsia="Palatino Linotype" w:hAnsi="Palatino Linotype" w:cs="Palatino Linotype"/>
          <w:b/>
        </w:rPr>
        <w:t>ATIZARA</w:t>
      </w:r>
      <w:r w:rsidRPr="00ED3DD9">
        <w:rPr>
          <w:rFonts w:ascii="Palatino Linotype" w:eastAsia="Palatino Linotype" w:hAnsi="Palatino Linotype" w:cs="Palatino Linotype"/>
          <w:b/>
        </w:rPr>
        <w:t>/IP/2025</w:t>
      </w:r>
      <w:r w:rsidR="00EB7094" w:rsidRPr="00ED3DD9">
        <w:rPr>
          <w:rFonts w:ascii="Palatino Linotype" w:eastAsia="Palatino Linotype" w:hAnsi="Palatino Linotype" w:cs="Palatino Linotype"/>
          <w:b/>
        </w:rPr>
        <w:t xml:space="preserve"> y 00200</w:t>
      </w:r>
      <w:r w:rsidR="004E0CB0" w:rsidRPr="00ED3DD9">
        <w:rPr>
          <w:rFonts w:ascii="Palatino Linotype" w:eastAsia="Palatino Linotype" w:hAnsi="Palatino Linotype" w:cs="Palatino Linotype"/>
          <w:b/>
        </w:rPr>
        <w:t>/</w:t>
      </w:r>
      <w:r w:rsidR="00EB7094" w:rsidRPr="00ED3DD9">
        <w:rPr>
          <w:rFonts w:ascii="Palatino Linotype" w:eastAsia="Palatino Linotype" w:hAnsi="Palatino Linotype" w:cs="Palatino Linotype"/>
          <w:b/>
        </w:rPr>
        <w:t>ATIZARA</w:t>
      </w:r>
      <w:r w:rsidR="004E0CB0" w:rsidRPr="00ED3DD9">
        <w:rPr>
          <w:rFonts w:ascii="Palatino Linotype" w:eastAsia="Palatino Linotype" w:hAnsi="Palatino Linotype" w:cs="Palatino Linotype"/>
          <w:b/>
        </w:rPr>
        <w:t xml:space="preserve">/IP/2025. </w:t>
      </w:r>
    </w:p>
    <w:p w14:paraId="10068306" w14:textId="77777777" w:rsidR="004E0CB0" w:rsidRPr="00ED3DD9" w:rsidRDefault="004E0CB0">
      <w:pPr>
        <w:spacing w:after="0" w:line="360" w:lineRule="auto"/>
        <w:ind w:right="49"/>
        <w:jc w:val="both"/>
        <w:rPr>
          <w:rFonts w:ascii="Palatino Linotype" w:eastAsia="Palatino Linotype" w:hAnsi="Palatino Linotype" w:cs="Palatino Linotype"/>
          <w:b/>
        </w:rPr>
      </w:pPr>
    </w:p>
    <w:p w14:paraId="7AB40226" w14:textId="77777777" w:rsidR="006B7799" w:rsidRPr="00ED3DD9" w:rsidRDefault="006B7799" w:rsidP="006B7799">
      <w:pPr>
        <w:spacing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7D7B3DD" w14:textId="77777777" w:rsidR="00657BF6" w:rsidRPr="00ED3DD9" w:rsidRDefault="00657BF6">
      <w:pPr>
        <w:spacing w:after="0" w:line="360" w:lineRule="auto"/>
        <w:ind w:right="49"/>
        <w:jc w:val="both"/>
        <w:rPr>
          <w:rFonts w:ascii="Palatino Linotype" w:eastAsia="Palatino Linotype" w:hAnsi="Palatino Linotype" w:cs="Palatino Linotype"/>
        </w:rPr>
      </w:pPr>
    </w:p>
    <w:p w14:paraId="16D3D55C" w14:textId="77777777" w:rsidR="00CD20B8" w:rsidRPr="00ED3DD9" w:rsidRDefault="00373EF6">
      <w:pPr>
        <w:spacing w:after="0" w:line="360" w:lineRule="auto"/>
        <w:ind w:right="49"/>
        <w:jc w:val="center"/>
        <w:rPr>
          <w:rFonts w:ascii="Palatino Linotype" w:eastAsia="Palatino Linotype" w:hAnsi="Palatino Linotype" w:cs="Palatino Linotype"/>
          <w:b/>
        </w:rPr>
      </w:pPr>
      <w:r w:rsidRPr="00ED3DD9">
        <w:rPr>
          <w:rFonts w:ascii="Palatino Linotype" w:eastAsia="Palatino Linotype" w:hAnsi="Palatino Linotype" w:cs="Palatino Linotype"/>
          <w:b/>
        </w:rPr>
        <w:t>III.</w:t>
      </w:r>
      <w:r w:rsidRPr="00ED3DD9">
        <w:rPr>
          <w:rFonts w:ascii="Palatino Linotype" w:eastAsia="Palatino Linotype" w:hAnsi="Palatino Linotype" w:cs="Palatino Linotype"/>
          <w:b/>
        </w:rPr>
        <w:tab/>
        <w:t>R E S U E L V E:</w:t>
      </w:r>
    </w:p>
    <w:p w14:paraId="57ACDB59" w14:textId="77777777" w:rsidR="00CD20B8" w:rsidRPr="00ED3DD9" w:rsidRDefault="00CD20B8">
      <w:pPr>
        <w:spacing w:after="0" w:line="360" w:lineRule="auto"/>
        <w:ind w:right="49"/>
        <w:jc w:val="both"/>
        <w:rPr>
          <w:rFonts w:ascii="Palatino Linotype" w:eastAsia="Palatino Linotype" w:hAnsi="Palatino Linotype" w:cs="Palatino Linotype"/>
        </w:rPr>
      </w:pPr>
    </w:p>
    <w:p w14:paraId="1D67D6A0" w14:textId="2ECD4E43" w:rsidR="00CD20B8" w:rsidRPr="00ED3DD9" w:rsidRDefault="00373EF6">
      <w:pPr>
        <w:spacing w:after="0" w:line="360" w:lineRule="auto"/>
        <w:ind w:right="49"/>
        <w:jc w:val="both"/>
        <w:rPr>
          <w:rFonts w:ascii="Palatino Linotype" w:eastAsia="Palatino Linotype" w:hAnsi="Palatino Linotype" w:cs="Palatino Linotype"/>
          <w:b/>
        </w:rPr>
      </w:pPr>
      <w:r w:rsidRPr="00ED3DD9">
        <w:rPr>
          <w:rFonts w:ascii="Palatino Linotype" w:eastAsia="Palatino Linotype" w:hAnsi="Palatino Linotype" w:cs="Palatino Linotype"/>
          <w:b/>
        </w:rPr>
        <w:t>Primero.</w:t>
      </w:r>
      <w:r w:rsidRPr="00ED3DD9">
        <w:rPr>
          <w:rFonts w:ascii="Palatino Linotype" w:eastAsia="Palatino Linotype" w:hAnsi="Palatino Linotype" w:cs="Palatino Linotype"/>
        </w:rPr>
        <w:t xml:space="preserve"> Resultan</w:t>
      </w:r>
      <w:r w:rsidRPr="00ED3DD9">
        <w:rPr>
          <w:rFonts w:ascii="Palatino Linotype" w:eastAsia="Palatino Linotype" w:hAnsi="Palatino Linotype" w:cs="Palatino Linotype"/>
          <w:b/>
        </w:rPr>
        <w:t xml:space="preserve"> FUNDADOS</w:t>
      </w:r>
      <w:r w:rsidRPr="00ED3DD9">
        <w:rPr>
          <w:rFonts w:ascii="Palatino Linotype" w:eastAsia="Palatino Linotype" w:hAnsi="Palatino Linotype" w:cs="Palatino Linotype"/>
        </w:rPr>
        <w:t xml:space="preserve"> los motivos de inconformidad hechos valer por la parte </w:t>
      </w:r>
      <w:r w:rsidRPr="00ED3DD9">
        <w:rPr>
          <w:rFonts w:ascii="Palatino Linotype" w:eastAsia="Palatino Linotype" w:hAnsi="Palatino Linotype" w:cs="Palatino Linotype"/>
          <w:b/>
        </w:rPr>
        <w:t>RECURRENTE</w:t>
      </w:r>
      <w:r w:rsidRPr="00ED3DD9">
        <w:rPr>
          <w:rFonts w:ascii="Palatino Linotype" w:eastAsia="Palatino Linotype" w:hAnsi="Palatino Linotype" w:cs="Palatino Linotype"/>
        </w:rPr>
        <w:t xml:space="preserve"> en los Recursos de Revisión </w:t>
      </w:r>
      <w:r w:rsidR="00EB7094" w:rsidRPr="00ED3DD9">
        <w:rPr>
          <w:rFonts w:ascii="Palatino Linotype" w:eastAsia="Palatino Linotype" w:hAnsi="Palatino Linotype" w:cs="Palatino Linotype"/>
          <w:b/>
        </w:rPr>
        <w:t>04814</w:t>
      </w:r>
      <w:r w:rsidR="004E0CB0" w:rsidRPr="00ED3DD9">
        <w:rPr>
          <w:rFonts w:ascii="Palatino Linotype" w:eastAsia="Palatino Linotype" w:hAnsi="Palatino Linotype" w:cs="Palatino Linotype"/>
          <w:b/>
        </w:rPr>
        <w:t xml:space="preserve">/INFOEM/IP/RR/2025 </w:t>
      </w:r>
      <w:r w:rsidR="004E0CB0" w:rsidRPr="00ED3DD9">
        <w:rPr>
          <w:rFonts w:ascii="Palatino Linotype" w:eastAsia="Palatino Linotype" w:hAnsi="Palatino Linotype" w:cs="Palatino Linotype"/>
        </w:rPr>
        <w:t>y</w:t>
      </w:r>
      <w:r w:rsidR="00EB7094" w:rsidRPr="00ED3DD9">
        <w:rPr>
          <w:rFonts w:ascii="Palatino Linotype" w:eastAsia="Palatino Linotype" w:hAnsi="Palatino Linotype" w:cs="Palatino Linotype"/>
          <w:b/>
        </w:rPr>
        <w:t xml:space="preserve"> 04815</w:t>
      </w:r>
      <w:r w:rsidR="004E0CB0" w:rsidRPr="00ED3DD9">
        <w:rPr>
          <w:rFonts w:ascii="Palatino Linotype" w:eastAsia="Palatino Linotype" w:hAnsi="Palatino Linotype" w:cs="Palatino Linotype"/>
          <w:b/>
        </w:rPr>
        <w:t>/INFOEM/IP/RR/2025</w:t>
      </w:r>
      <w:r w:rsidR="004E0CB0" w:rsidRPr="00ED3DD9">
        <w:rPr>
          <w:rFonts w:ascii="Palatino Linotype" w:eastAsia="Palatino Linotype" w:hAnsi="Palatino Linotype" w:cs="Palatino Linotype"/>
        </w:rPr>
        <w:t>,</w:t>
      </w:r>
      <w:r w:rsidR="004E0CB0" w:rsidRPr="00ED3DD9">
        <w:rPr>
          <w:rFonts w:ascii="Palatino Linotype" w:eastAsia="Palatino Linotype" w:hAnsi="Palatino Linotype" w:cs="Palatino Linotype"/>
          <w:b/>
        </w:rPr>
        <w:t xml:space="preserve"> </w:t>
      </w:r>
      <w:r w:rsidRPr="00ED3DD9">
        <w:rPr>
          <w:rFonts w:ascii="Palatino Linotype" w:eastAsia="Palatino Linotype" w:hAnsi="Palatino Linotype" w:cs="Palatino Linotype"/>
        </w:rPr>
        <w:t xml:space="preserve">por lo que, en términos del </w:t>
      </w:r>
      <w:r w:rsidRPr="00ED3DD9">
        <w:rPr>
          <w:rFonts w:ascii="Palatino Linotype" w:eastAsia="Palatino Linotype" w:hAnsi="Palatino Linotype" w:cs="Palatino Linotype"/>
          <w:b/>
        </w:rPr>
        <w:t>Considerando Cuarto</w:t>
      </w:r>
      <w:r w:rsidRPr="00ED3DD9">
        <w:rPr>
          <w:rFonts w:ascii="Palatino Linotype" w:eastAsia="Palatino Linotype" w:hAnsi="Palatino Linotype" w:cs="Palatino Linotype"/>
        </w:rPr>
        <w:t xml:space="preserve"> de esta resolución, se </w:t>
      </w:r>
      <w:r w:rsidRPr="00ED3DD9">
        <w:rPr>
          <w:rFonts w:ascii="Palatino Linotype" w:eastAsia="Palatino Linotype" w:hAnsi="Palatino Linotype" w:cs="Palatino Linotype"/>
          <w:b/>
        </w:rPr>
        <w:t xml:space="preserve">MODIFICAN </w:t>
      </w:r>
      <w:r w:rsidRPr="00ED3DD9">
        <w:rPr>
          <w:rFonts w:ascii="Palatino Linotype" w:eastAsia="Palatino Linotype" w:hAnsi="Palatino Linotype" w:cs="Palatino Linotype"/>
        </w:rPr>
        <w:t xml:space="preserve">las respuestas emitidas por 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w:t>
      </w:r>
    </w:p>
    <w:p w14:paraId="33A1842E" w14:textId="77777777" w:rsidR="00CD20B8" w:rsidRPr="00ED3DD9" w:rsidRDefault="00CD20B8">
      <w:pPr>
        <w:spacing w:after="0" w:line="360" w:lineRule="auto"/>
        <w:ind w:right="49"/>
        <w:jc w:val="both"/>
        <w:rPr>
          <w:rFonts w:ascii="Palatino Linotype" w:eastAsia="Palatino Linotype" w:hAnsi="Palatino Linotype" w:cs="Palatino Linotype"/>
        </w:rPr>
      </w:pPr>
    </w:p>
    <w:p w14:paraId="56589A32" w14:textId="3DE61D9D" w:rsidR="00CD20B8" w:rsidRPr="00ED3DD9" w:rsidRDefault="00373EF6" w:rsidP="004E0CB0">
      <w:pPr>
        <w:spacing w:after="0" w:line="360" w:lineRule="auto"/>
        <w:ind w:right="49"/>
        <w:jc w:val="both"/>
        <w:rPr>
          <w:rFonts w:ascii="Palatino Linotype" w:eastAsia="Palatino Linotype" w:hAnsi="Palatino Linotype" w:cs="Palatino Linotype"/>
          <w:color w:val="000000"/>
        </w:rPr>
      </w:pPr>
      <w:r w:rsidRPr="00ED3DD9">
        <w:rPr>
          <w:rFonts w:ascii="Palatino Linotype" w:eastAsia="Palatino Linotype" w:hAnsi="Palatino Linotype" w:cs="Palatino Linotype"/>
          <w:b/>
        </w:rPr>
        <w:t>Segundo</w:t>
      </w:r>
      <w:r w:rsidRPr="00ED3DD9">
        <w:rPr>
          <w:rFonts w:ascii="Palatino Linotype" w:eastAsia="Palatino Linotype" w:hAnsi="Palatino Linotype" w:cs="Palatino Linotype"/>
        </w:rPr>
        <w:t xml:space="preserve">. Se </w:t>
      </w:r>
      <w:r w:rsidRPr="00ED3DD9">
        <w:rPr>
          <w:rFonts w:ascii="Palatino Linotype" w:eastAsia="Palatino Linotype" w:hAnsi="Palatino Linotype" w:cs="Palatino Linotype"/>
          <w:b/>
        </w:rPr>
        <w:t>ORDENA</w:t>
      </w:r>
      <w:r w:rsidRPr="00ED3DD9">
        <w:rPr>
          <w:rFonts w:ascii="Palatino Linotype" w:eastAsia="Palatino Linotype" w:hAnsi="Palatino Linotype" w:cs="Palatino Linotype"/>
        </w:rPr>
        <w:t xml:space="preserve"> al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xml:space="preserve"> a que, en términos del Considerando Cuarto y Quinto, haga entrega, vía Sistema de Acceso a la Información Mexiquense</w:t>
      </w:r>
      <w:r w:rsidR="004E0CB0" w:rsidRPr="00ED3DD9">
        <w:rPr>
          <w:rFonts w:ascii="Palatino Linotype" w:eastAsia="Palatino Linotype" w:hAnsi="Palatino Linotype" w:cs="Palatino Linotype"/>
        </w:rPr>
        <w:t>, en versión pública</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color w:val="000000"/>
        </w:rPr>
        <w:t xml:space="preserve">de lo siguiente: </w:t>
      </w:r>
    </w:p>
    <w:p w14:paraId="202066ED" w14:textId="77777777" w:rsidR="004E0CB0" w:rsidRPr="00ED3DD9" w:rsidRDefault="004E0CB0" w:rsidP="004E0CB0">
      <w:pPr>
        <w:spacing w:after="0" w:line="360" w:lineRule="auto"/>
        <w:ind w:right="49"/>
        <w:jc w:val="both"/>
        <w:rPr>
          <w:rFonts w:ascii="Palatino Linotype" w:eastAsia="Palatino Linotype" w:hAnsi="Palatino Linotype" w:cs="Palatino Linotype"/>
        </w:rPr>
      </w:pPr>
    </w:p>
    <w:p w14:paraId="1540202F" w14:textId="77777777" w:rsidR="00EB7094" w:rsidRPr="00ED3DD9" w:rsidRDefault="00EB7094" w:rsidP="00EB7094">
      <w:pPr>
        <w:pStyle w:val="Listaconvietas"/>
        <w:numPr>
          <w:ilvl w:val="0"/>
          <w:numId w:val="22"/>
        </w:numPr>
        <w:spacing w:line="360" w:lineRule="auto"/>
        <w:ind w:left="567" w:right="560"/>
        <w:jc w:val="both"/>
        <w:rPr>
          <w:rFonts w:ascii="Palatino Linotype" w:eastAsia="Palatino Linotype" w:hAnsi="Palatino Linotype"/>
          <w:sz w:val="22"/>
        </w:rPr>
      </w:pPr>
      <w:r w:rsidRPr="00ED3DD9">
        <w:rPr>
          <w:rFonts w:ascii="Palatino Linotype" w:eastAsia="Palatino Linotype" w:hAnsi="Palatino Linotype"/>
          <w:sz w:val="22"/>
        </w:rPr>
        <w:t xml:space="preserve">Comprobantes de todos los pagos realizados mediante transferencia electrónica por la Tesorería Municipal del uno al veintiocho de febrero de dos mil veinticinco. </w:t>
      </w:r>
    </w:p>
    <w:p w14:paraId="4516A8EE" w14:textId="3FA14311" w:rsidR="00EB7094" w:rsidRPr="00ED3DD9" w:rsidRDefault="00EB7094" w:rsidP="00EB7094">
      <w:pPr>
        <w:pStyle w:val="Listaconvietas"/>
        <w:numPr>
          <w:ilvl w:val="0"/>
          <w:numId w:val="22"/>
        </w:numPr>
        <w:spacing w:line="360" w:lineRule="auto"/>
        <w:ind w:left="567" w:right="560"/>
        <w:jc w:val="both"/>
        <w:rPr>
          <w:rFonts w:ascii="Palatino Linotype" w:eastAsia="Palatino Linotype" w:hAnsi="Palatino Linotype"/>
          <w:sz w:val="22"/>
        </w:rPr>
      </w:pPr>
      <w:r w:rsidRPr="00ED3DD9">
        <w:rPr>
          <w:rFonts w:ascii="Palatino Linotype" w:eastAsia="Palatino Linotype" w:hAnsi="Palatino Linotype"/>
          <w:sz w:val="22"/>
        </w:rPr>
        <w:t>Comprobantes de todos los pagos realizados a particulares a través de cheque o transferencia electrónica correspondientes a las partidas 3611 y 3612 del presupuesto de egresos correspondientes al ejercicio fiscal 2024.</w:t>
      </w:r>
    </w:p>
    <w:p w14:paraId="13813DA6" w14:textId="77777777" w:rsidR="00657BF6" w:rsidRPr="00ED3DD9" w:rsidRDefault="00657BF6" w:rsidP="00657BF6">
      <w:pPr>
        <w:spacing w:after="0" w:line="276" w:lineRule="auto"/>
        <w:ind w:left="567" w:right="560"/>
        <w:jc w:val="both"/>
        <w:rPr>
          <w:rFonts w:ascii="Palatino Linotype" w:eastAsia="Palatino Linotype" w:hAnsi="Palatino Linotype" w:cs="Palatino Linotype"/>
          <w:i/>
        </w:rPr>
      </w:pPr>
      <w:r w:rsidRPr="00ED3DD9">
        <w:rPr>
          <w:rFonts w:ascii="Palatino Linotype" w:eastAsia="Palatino Linotype" w:hAnsi="Palatino Linotype" w:cs="Palatino Linotype"/>
          <w:i/>
        </w:rPr>
        <w:lastRenderedPageBreak/>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así como respecto de los documentos entregados en respuesta y se pongan a disposición de la parte Recurrente, mismo que igualmente hará de su conocimiento. </w:t>
      </w:r>
    </w:p>
    <w:p w14:paraId="6F26F310" w14:textId="77777777" w:rsidR="006B7799" w:rsidRPr="00ED3DD9" w:rsidRDefault="006B7799" w:rsidP="00657BF6">
      <w:pPr>
        <w:spacing w:after="0" w:line="276" w:lineRule="auto"/>
        <w:ind w:left="567" w:right="560"/>
        <w:jc w:val="both"/>
        <w:rPr>
          <w:rFonts w:ascii="Palatino Linotype" w:eastAsia="Palatino Linotype" w:hAnsi="Palatino Linotype" w:cs="Palatino Linotype"/>
          <w:i/>
        </w:rPr>
      </w:pPr>
    </w:p>
    <w:p w14:paraId="681A3C66" w14:textId="77777777" w:rsidR="00657BF6" w:rsidRPr="00ED3DD9" w:rsidRDefault="00657BF6" w:rsidP="002727A8">
      <w:pPr>
        <w:spacing w:after="0" w:line="276" w:lineRule="auto"/>
        <w:ind w:right="560"/>
        <w:jc w:val="both"/>
        <w:rPr>
          <w:rFonts w:ascii="Palatino Linotype" w:eastAsia="Palatino Linotype" w:hAnsi="Palatino Linotype" w:cs="Palatino Linotype"/>
          <w:i/>
        </w:rPr>
      </w:pPr>
    </w:p>
    <w:p w14:paraId="097815D2"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Tercero.</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b/>
        </w:rPr>
        <w:t xml:space="preserve">Notifíquese vía SAIMEX </w:t>
      </w:r>
      <w:r w:rsidRPr="00ED3DD9">
        <w:rPr>
          <w:rFonts w:ascii="Palatino Linotype" w:eastAsia="Palatino Linotype" w:hAnsi="Palatino Linotype" w:cs="Palatino Linotype"/>
        </w:rPr>
        <w:t>la presente resolución al T</w:t>
      </w:r>
      <w:r w:rsidRPr="00ED3DD9">
        <w:rPr>
          <w:rFonts w:ascii="Palatino Linotype" w:eastAsia="Palatino Linotype" w:hAnsi="Palatino Linotype" w:cs="Palatino Linotype"/>
          <w:b/>
        </w:rPr>
        <w:t xml:space="preserve">itular de la Unidad de Transparencia </w:t>
      </w:r>
      <w:r w:rsidRPr="00ED3DD9">
        <w:rPr>
          <w:rFonts w:ascii="Palatino Linotype" w:eastAsia="Palatino Linotype" w:hAnsi="Palatino Linotype" w:cs="Palatino Linotype"/>
        </w:rPr>
        <w:t xml:space="preserve">del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E9CDF6" w14:textId="77777777" w:rsidR="00CD20B8" w:rsidRPr="00ED3DD9" w:rsidRDefault="00CD20B8">
      <w:pPr>
        <w:spacing w:after="0" w:line="360" w:lineRule="auto"/>
        <w:ind w:right="49"/>
        <w:jc w:val="both"/>
        <w:rPr>
          <w:rFonts w:ascii="Palatino Linotype" w:eastAsia="Palatino Linotype" w:hAnsi="Palatino Linotype" w:cs="Palatino Linotype"/>
        </w:rPr>
      </w:pPr>
    </w:p>
    <w:p w14:paraId="4A8F4ACE" w14:textId="77777777" w:rsidR="00CD20B8" w:rsidRPr="00ED3DD9" w:rsidRDefault="00373EF6">
      <w:pPr>
        <w:spacing w:after="0" w:line="360" w:lineRule="auto"/>
        <w:jc w:val="both"/>
        <w:rPr>
          <w:rFonts w:ascii="Palatino Linotype" w:eastAsia="Palatino Linotype" w:hAnsi="Palatino Linotype" w:cs="Palatino Linotype"/>
        </w:rPr>
      </w:pPr>
      <w:r w:rsidRPr="00ED3DD9">
        <w:rPr>
          <w:rFonts w:ascii="Palatino Linotype" w:eastAsia="Palatino Linotype" w:hAnsi="Palatino Linotype" w:cs="Palatino Linotype"/>
          <w:b/>
        </w:rPr>
        <w:t xml:space="preserve">Cuarto. Notifíquese vía SAIMEX </w:t>
      </w:r>
      <w:r w:rsidRPr="00ED3DD9">
        <w:rPr>
          <w:rFonts w:ascii="Palatino Linotype" w:eastAsia="Palatino Linotype" w:hAnsi="Palatino Linotype" w:cs="Palatino Linotype"/>
        </w:rPr>
        <w:t xml:space="preserve">a la parte </w:t>
      </w:r>
      <w:r w:rsidRPr="00ED3DD9">
        <w:rPr>
          <w:rFonts w:ascii="Palatino Linotype" w:eastAsia="Palatino Linotype" w:hAnsi="Palatino Linotype" w:cs="Palatino Linotype"/>
          <w:b/>
        </w:rPr>
        <w:t xml:space="preserve">Recurrente </w:t>
      </w:r>
      <w:r w:rsidRPr="00ED3DD9">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635A503" w14:textId="77777777" w:rsidR="00CD20B8" w:rsidRPr="00ED3DD9" w:rsidRDefault="00CD20B8">
      <w:pPr>
        <w:spacing w:after="0" w:line="360" w:lineRule="auto"/>
        <w:jc w:val="both"/>
        <w:rPr>
          <w:rFonts w:ascii="Palatino Linotype" w:eastAsia="Palatino Linotype" w:hAnsi="Palatino Linotype" w:cs="Palatino Linotype"/>
        </w:rPr>
      </w:pPr>
    </w:p>
    <w:p w14:paraId="03085EAD" w14:textId="77777777" w:rsidR="00CD20B8" w:rsidRPr="00ED3DD9" w:rsidRDefault="00373EF6">
      <w:pPr>
        <w:spacing w:after="0" w:line="360" w:lineRule="auto"/>
        <w:ind w:right="49"/>
        <w:jc w:val="both"/>
        <w:rPr>
          <w:rFonts w:ascii="Palatino Linotype" w:eastAsia="Palatino Linotype" w:hAnsi="Palatino Linotype" w:cs="Palatino Linotype"/>
        </w:rPr>
      </w:pPr>
      <w:r w:rsidRPr="00ED3DD9">
        <w:rPr>
          <w:rFonts w:ascii="Palatino Linotype" w:eastAsia="Palatino Linotype" w:hAnsi="Palatino Linotype" w:cs="Palatino Linotype"/>
          <w:b/>
        </w:rPr>
        <w:t>Quinto.</w:t>
      </w:r>
      <w:r w:rsidRPr="00ED3DD9">
        <w:rPr>
          <w:rFonts w:ascii="Palatino Linotype" w:eastAsia="Palatino Linotype" w:hAnsi="Palatino Linotype" w:cs="Palatino Linotype"/>
        </w:rPr>
        <w:t xml:space="preserve"> </w:t>
      </w:r>
      <w:r w:rsidRPr="00ED3DD9">
        <w:rPr>
          <w:rFonts w:ascii="Palatino Linotype" w:eastAsia="Palatino Linotype" w:hAnsi="Palatino Linotype" w:cs="Palatino Linotype"/>
          <w:b/>
        </w:rPr>
        <w:t xml:space="preserve">Notifíquese vía SAIMEX </w:t>
      </w:r>
      <w:r w:rsidRPr="00ED3DD9">
        <w:rPr>
          <w:rFonts w:ascii="Palatino Linotype" w:eastAsia="Palatino Linotype" w:hAnsi="Palatino Linotype" w:cs="Palatino Linotype"/>
        </w:rPr>
        <w:t>la presente resolución al T</w:t>
      </w:r>
      <w:r w:rsidRPr="00ED3DD9">
        <w:rPr>
          <w:rFonts w:ascii="Palatino Linotype" w:eastAsia="Palatino Linotype" w:hAnsi="Palatino Linotype" w:cs="Palatino Linotype"/>
          <w:b/>
        </w:rPr>
        <w:t xml:space="preserve">itular de la Unidad de Transparencia </w:t>
      </w:r>
      <w:r w:rsidRPr="00ED3DD9">
        <w:rPr>
          <w:rFonts w:ascii="Palatino Linotype" w:eastAsia="Palatino Linotype" w:hAnsi="Palatino Linotype" w:cs="Palatino Linotype"/>
        </w:rPr>
        <w:t xml:space="preserve">del </w:t>
      </w:r>
      <w:r w:rsidRPr="00ED3DD9">
        <w:rPr>
          <w:rFonts w:ascii="Palatino Linotype" w:eastAsia="Palatino Linotype" w:hAnsi="Palatino Linotype" w:cs="Palatino Linotype"/>
          <w:b/>
        </w:rPr>
        <w:t>SUJETO OBLIGADO</w:t>
      </w:r>
      <w:r w:rsidRPr="00ED3DD9">
        <w:rPr>
          <w:rFonts w:ascii="Palatino Linotype" w:eastAsia="Palatino Linotype" w:hAnsi="Palatino Linotype" w:cs="Palatino Linotype"/>
        </w:rPr>
        <w:t xml:space="preserve"> para que de conformidad con el artículo 198 de la Ley de Transparencia y Acceso a la Información Pública del Estado de México y Municipios, </w:t>
      </w:r>
      <w:r w:rsidRPr="00ED3DD9">
        <w:rPr>
          <w:rFonts w:ascii="Palatino Linotype" w:eastAsia="Palatino Linotype" w:hAnsi="Palatino Linotype" w:cs="Palatino Linotype"/>
        </w:rPr>
        <w:lastRenderedPageBreak/>
        <w:t>de considerarlo procedente, de manera fundada y motivada, solicite una ampliación de plazo para el cumplimiento de la presente resolución.</w:t>
      </w:r>
    </w:p>
    <w:p w14:paraId="7324CC9D" w14:textId="77777777" w:rsidR="00CD20B8" w:rsidRPr="00ED3DD9" w:rsidRDefault="00CD20B8">
      <w:pPr>
        <w:spacing w:after="0" w:line="360" w:lineRule="auto"/>
        <w:ind w:right="49"/>
        <w:jc w:val="both"/>
        <w:rPr>
          <w:rFonts w:ascii="Palatino Linotype" w:eastAsia="Palatino Linotype" w:hAnsi="Palatino Linotype" w:cs="Palatino Linotype"/>
        </w:rPr>
      </w:pPr>
    </w:p>
    <w:p w14:paraId="65CAA4F6" w14:textId="1D672D49" w:rsidR="00CD20B8" w:rsidRDefault="00373EF6">
      <w:pPr>
        <w:spacing w:after="0" w:line="360" w:lineRule="auto"/>
        <w:ind w:right="49"/>
        <w:jc w:val="both"/>
        <w:rPr>
          <w:rFonts w:ascii="Palatino Linotype" w:eastAsia="Palatino Linotype" w:hAnsi="Palatino Linotype" w:cs="Palatino Linotype"/>
        </w:rPr>
      </w:pPr>
      <w:bookmarkStart w:id="3" w:name="_heading=h.kfadj32g3ock" w:colFirst="0" w:colLast="0"/>
      <w:bookmarkEnd w:id="3"/>
      <w:r w:rsidRPr="00ED3DD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ED3DD9">
        <w:rPr>
          <w:rFonts w:ascii="Palatino Linotype" w:eastAsia="Palatino Linotype" w:hAnsi="Palatino Linotype" w:cs="Palatino Linotype"/>
        </w:rPr>
        <w:t xml:space="preserve"> </w:t>
      </w:r>
      <w:r w:rsidR="00ED3DD9">
        <w:rPr>
          <w:rFonts w:ascii="Palatino Linotype" w:hAnsi="Palatino Linotype"/>
        </w:rPr>
        <w:t>(AUSENCIA JUSTIFICADA)</w:t>
      </w:r>
      <w:r w:rsidRPr="00ED3DD9">
        <w:rPr>
          <w:rFonts w:ascii="Palatino Linotype" w:eastAsia="Palatino Linotype" w:hAnsi="Palatino Linotype" w:cs="Palatino Linotype"/>
        </w:rPr>
        <w:t xml:space="preserve">, MARÍA DEL ROSARIO MEJÍA AYALA, SHARON CRISTINA MORALES MARTÍNEZ, LUIS GUSTAVO PARRA NORIEGA Y GUADALUPE RAMÍREZ PEÑA; EN LA </w:t>
      </w:r>
      <w:r w:rsidR="00657BF6" w:rsidRPr="00ED3DD9">
        <w:rPr>
          <w:rFonts w:ascii="Palatino Linotype" w:eastAsia="Palatino Linotype" w:hAnsi="Palatino Linotype" w:cs="Palatino Linotype"/>
        </w:rPr>
        <w:t>VIGÉSIMA NOVENA</w:t>
      </w:r>
      <w:r w:rsidRPr="00ED3DD9">
        <w:rPr>
          <w:rFonts w:ascii="Palatino Linotype" w:eastAsia="Palatino Linotype" w:hAnsi="Palatino Linotype" w:cs="Palatino Linotype"/>
        </w:rPr>
        <w:t xml:space="preserve"> SESIÓN ORDINARIA CELEBRADA EL </w:t>
      </w:r>
      <w:r w:rsidR="00657BF6" w:rsidRPr="00ED3DD9">
        <w:rPr>
          <w:rFonts w:ascii="Palatino Linotype" w:eastAsia="Palatino Linotype" w:hAnsi="Palatino Linotype" w:cs="Palatino Linotype"/>
        </w:rPr>
        <w:t>VEINTE DE AGOSTO</w:t>
      </w:r>
      <w:r w:rsidR="004E0CB0" w:rsidRPr="00ED3DD9">
        <w:rPr>
          <w:rFonts w:ascii="Palatino Linotype" w:eastAsia="Palatino Linotype" w:hAnsi="Palatino Linotype" w:cs="Palatino Linotype"/>
        </w:rPr>
        <w:t xml:space="preserve"> DE DOS MIL VEINTICINCO</w:t>
      </w:r>
      <w:r w:rsidRPr="00ED3DD9">
        <w:rPr>
          <w:rFonts w:ascii="Palatino Linotype" w:eastAsia="Palatino Linotype" w:hAnsi="Palatino Linotype" w:cs="Palatino Linotype"/>
        </w:rPr>
        <w:t>, ANTE EL SECRETARIO TÉCNICO DEL PLENO ALEXIS TAPIA RAMÍREZ.</w:t>
      </w:r>
      <w:r w:rsidRPr="00E03A15">
        <w:rPr>
          <w:rFonts w:ascii="Palatino Linotype" w:eastAsia="Palatino Linotype" w:hAnsi="Palatino Linotype" w:cs="Palatino Linotype"/>
        </w:rPr>
        <w:t xml:space="preserve"> </w:t>
      </w:r>
    </w:p>
    <w:p w14:paraId="21D32CC9" w14:textId="77777777" w:rsidR="00D21F30" w:rsidRDefault="00D21F30">
      <w:pPr>
        <w:spacing w:after="0" w:line="360" w:lineRule="auto"/>
        <w:ind w:right="49"/>
        <w:jc w:val="both"/>
        <w:rPr>
          <w:rFonts w:ascii="Palatino Linotype" w:eastAsia="Palatino Linotype" w:hAnsi="Palatino Linotype" w:cs="Palatino Linotype"/>
        </w:rPr>
      </w:pPr>
    </w:p>
    <w:p w14:paraId="3D69DD2F" w14:textId="77777777" w:rsidR="00D21F30" w:rsidRDefault="00D21F30">
      <w:pPr>
        <w:spacing w:after="0" w:line="360" w:lineRule="auto"/>
        <w:ind w:right="49"/>
        <w:jc w:val="both"/>
        <w:rPr>
          <w:rFonts w:ascii="Palatino Linotype" w:eastAsia="Palatino Linotype" w:hAnsi="Palatino Linotype" w:cs="Palatino Linotype"/>
        </w:rPr>
      </w:pPr>
    </w:p>
    <w:p w14:paraId="21571676" w14:textId="77777777" w:rsidR="00D21F30" w:rsidRDefault="00D21F30">
      <w:pPr>
        <w:spacing w:after="0" w:line="360" w:lineRule="auto"/>
        <w:ind w:right="49"/>
        <w:jc w:val="both"/>
        <w:rPr>
          <w:rFonts w:ascii="Palatino Linotype" w:eastAsia="Palatino Linotype" w:hAnsi="Palatino Linotype" w:cs="Palatino Linotype"/>
        </w:rPr>
      </w:pPr>
    </w:p>
    <w:p w14:paraId="25058429" w14:textId="77777777" w:rsidR="00D21F30" w:rsidRDefault="00D21F30">
      <w:pPr>
        <w:spacing w:after="0" w:line="360" w:lineRule="auto"/>
        <w:ind w:right="49"/>
        <w:jc w:val="both"/>
        <w:rPr>
          <w:rFonts w:ascii="Palatino Linotype" w:eastAsia="Palatino Linotype" w:hAnsi="Palatino Linotype" w:cs="Palatino Linotype"/>
        </w:rPr>
      </w:pPr>
    </w:p>
    <w:p w14:paraId="5FABE3D2" w14:textId="77777777" w:rsidR="00D21F30" w:rsidRDefault="00D21F30">
      <w:pPr>
        <w:spacing w:after="0" w:line="360" w:lineRule="auto"/>
        <w:ind w:right="49"/>
        <w:jc w:val="both"/>
        <w:rPr>
          <w:rFonts w:ascii="Palatino Linotype" w:eastAsia="Palatino Linotype" w:hAnsi="Palatino Linotype" w:cs="Palatino Linotype"/>
        </w:rPr>
      </w:pPr>
    </w:p>
    <w:p w14:paraId="604FE1B4" w14:textId="77777777" w:rsidR="00D21F30" w:rsidRDefault="00D21F30">
      <w:pPr>
        <w:spacing w:after="0" w:line="360" w:lineRule="auto"/>
        <w:ind w:right="49"/>
        <w:jc w:val="both"/>
        <w:rPr>
          <w:rFonts w:ascii="Palatino Linotype" w:eastAsia="Palatino Linotype" w:hAnsi="Palatino Linotype" w:cs="Palatino Linotype"/>
        </w:rPr>
      </w:pPr>
    </w:p>
    <w:p w14:paraId="73929E3D" w14:textId="77777777" w:rsidR="00D21F30" w:rsidRDefault="00D21F30">
      <w:pPr>
        <w:spacing w:after="0" w:line="360" w:lineRule="auto"/>
        <w:ind w:right="49"/>
        <w:jc w:val="both"/>
        <w:rPr>
          <w:rFonts w:ascii="Palatino Linotype" w:eastAsia="Palatino Linotype" w:hAnsi="Palatino Linotype" w:cs="Palatino Linotype"/>
        </w:rPr>
      </w:pPr>
    </w:p>
    <w:p w14:paraId="5ACD80EC" w14:textId="77777777" w:rsidR="00D21F30" w:rsidRDefault="00D21F30">
      <w:pPr>
        <w:spacing w:after="0" w:line="360" w:lineRule="auto"/>
        <w:ind w:right="49"/>
        <w:jc w:val="both"/>
        <w:rPr>
          <w:rFonts w:ascii="Palatino Linotype" w:eastAsia="Palatino Linotype" w:hAnsi="Palatino Linotype" w:cs="Palatino Linotype"/>
        </w:rPr>
      </w:pPr>
    </w:p>
    <w:p w14:paraId="18D7B3D4" w14:textId="77777777" w:rsidR="00D21F30" w:rsidRDefault="00D21F30">
      <w:pPr>
        <w:spacing w:after="0" w:line="360" w:lineRule="auto"/>
        <w:ind w:right="49"/>
        <w:jc w:val="both"/>
        <w:rPr>
          <w:rFonts w:ascii="Palatino Linotype" w:eastAsia="Palatino Linotype" w:hAnsi="Palatino Linotype" w:cs="Palatino Linotype"/>
        </w:rPr>
      </w:pPr>
    </w:p>
    <w:p w14:paraId="261A9A8B" w14:textId="77777777" w:rsidR="00D21F30" w:rsidRDefault="00D21F30">
      <w:pPr>
        <w:spacing w:after="0" w:line="360" w:lineRule="auto"/>
        <w:ind w:right="49"/>
        <w:jc w:val="both"/>
        <w:rPr>
          <w:rFonts w:ascii="Palatino Linotype" w:eastAsia="Palatino Linotype" w:hAnsi="Palatino Linotype" w:cs="Palatino Linotype"/>
        </w:rPr>
      </w:pPr>
    </w:p>
    <w:p w14:paraId="65A787C2" w14:textId="77777777" w:rsidR="00D21F30" w:rsidRDefault="00D21F30">
      <w:pPr>
        <w:spacing w:after="0" w:line="360" w:lineRule="auto"/>
        <w:ind w:right="49"/>
        <w:jc w:val="both"/>
        <w:rPr>
          <w:rFonts w:ascii="Palatino Linotype" w:eastAsia="Palatino Linotype" w:hAnsi="Palatino Linotype" w:cs="Palatino Linotype"/>
        </w:rPr>
      </w:pPr>
    </w:p>
    <w:p w14:paraId="670FFF55" w14:textId="77777777" w:rsidR="00D21F30" w:rsidRDefault="00D21F30">
      <w:pPr>
        <w:spacing w:after="0" w:line="360" w:lineRule="auto"/>
        <w:ind w:right="49"/>
        <w:jc w:val="both"/>
        <w:rPr>
          <w:rFonts w:ascii="Palatino Linotype" w:eastAsia="Palatino Linotype" w:hAnsi="Palatino Linotype" w:cs="Palatino Linotype"/>
        </w:rPr>
      </w:pPr>
    </w:p>
    <w:p w14:paraId="6BC34242" w14:textId="77777777" w:rsidR="00D21F30" w:rsidRDefault="00D21F30">
      <w:pPr>
        <w:spacing w:after="0" w:line="360" w:lineRule="auto"/>
        <w:ind w:right="49"/>
        <w:jc w:val="both"/>
        <w:rPr>
          <w:rFonts w:ascii="Palatino Linotype" w:eastAsia="Palatino Linotype" w:hAnsi="Palatino Linotype" w:cs="Palatino Linotype"/>
        </w:rPr>
      </w:pPr>
    </w:p>
    <w:p w14:paraId="3CD1CAC6" w14:textId="77777777" w:rsidR="00D21F30" w:rsidRDefault="00D21F30">
      <w:pPr>
        <w:spacing w:after="0" w:line="360" w:lineRule="auto"/>
        <w:ind w:right="49"/>
        <w:jc w:val="both"/>
        <w:rPr>
          <w:rFonts w:ascii="Palatino Linotype" w:eastAsia="Palatino Linotype" w:hAnsi="Palatino Linotype" w:cs="Palatino Linotype"/>
        </w:rPr>
      </w:pPr>
    </w:p>
    <w:p w14:paraId="575CDDE1" w14:textId="77777777" w:rsidR="00D21F30" w:rsidRDefault="00D21F30">
      <w:pPr>
        <w:spacing w:after="0" w:line="360" w:lineRule="auto"/>
        <w:ind w:right="49"/>
        <w:jc w:val="both"/>
        <w:rPr>
          <w:rFonts w:ascii="Palatino Linotype" w:eastAsia="Palatino Linotype" w:hAnsi="Palatino Linotype" w:cs="Palatino Linotype"/>
        </w:rPr>
      </w:pPr>
    </w:p>
    <w:p w14:paraId="20B8D350" w14:textId="77777777" w:rsidR="00D21F30" w:rsidRPr="00E03A15" w:rsidRDefault="00D21F30">
      <w:pPr>
        <w:spacing w:after="0" w:line="360" w:lineRule="auto"/>
        <w:ind w:right="49"/>
        <w:jc w:val="both"/>
        <w:rPr>
          <w:rFonts w:ascii="Palatino Linotype" w:eastAsia="Palatino Linotype" w:hAnsi="Palatino Linotype" w:cs="Palatino Linotype"/>
        </w:rPr>
      </w:pPr>
    </w:p>
    <w:sectPr w:rsidR="00D21F30" w:rsidRPr="00E03A15">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9E71" w14:textId="77777777" w:rsidR="009331CC" w:rsidRDefault="009331CC">
      <w:pPr>
        <w:spacing w:after="0" w:line="240" w:lineRule="auto"/>
      </w:pPr>
      <w:r>
        <w:separator/>
      </w:r>
    </w:p>
  </w:endnote>
  <w:endnote w:type="continuationSeparator" w:id="0">
    <w:p w14:paraId="19A8100D" w14:textId="77777777" w:rsidR="009331CC" w:rsidRDefault="00933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4727" w14:textId="77777777" w:rsidR="00AA22B4" w:rsidRDefault="00AA22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06CE5">
      <w:rPr>
        <w:b/>
        <w:noProof/>
        <w:color w:val="000000"/>
        <w:sz w:val="24"/>
        <w:szCs w:val="24"/>
      </w:rPr>
      <w:t>53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06CE5">
      <w:rPr>
        <w:b/>
        <w:noProof/>
        <w:color w:val="000000"/>
        <w:sz w:val="24"/>
        <w:szCs w:val="24"/>
      </w:rPr>
      <w:t>55</w:t>
    </w:r>
    <w:r>
      <w:rPr>
        <w:b/>
        <w:color w:val="000000"/>
        <w:sz w:val="24"/>
        <w:szCs w:val="24"/>
      </w:rPr>
      <w:fldChar w:fldCharType="end"/>
    </w:r>
  </w:p>
  <w:p w14:paraId="58346DCC" w14:textId="77777777" w:rsidR="00AA22B4" w:rsidRDefault="00AA22B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E1ED" w14:textId="77777777" w:rsidR="00AA22B4" w:rsidRDefault="00AA22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06CE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06CE5">
      <w:rPr>
        <w:b/>
        <w:noProof/>
        <w:color w:val="000000"/>
        <w:sz w:val="24"/>
        <w:szCs w:val="24"/>
      </w:rPr>
      <w:t>55</w:t>
    </w:r>
    <w:r>
      <w:rPr>
        <w:b/>
        <w:color w:val="000000"/>
        <w:sz w:val="24"/>
        <w:szCs w:val="24"/>
      </w:rPr>
      <w:fldChar w:fldCharType="end"/>
    </w:r>
  </w:p>
  <w:p w14:paraId="5392414D" w14:textId="77777777" w:rsidR="00AA22B4" w:rsidRDefault="00AA22B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7EA60" w14:textId="77777777" w:rsidR="009331CC" w:rsidRDefault="009331CC">
      <w:pPr>
        <w:spacing w:after="0" w:line="240" w:lineRule="auto"/>
      </w:pPr>
      <w:r>
        <w:separator/>
      </w:r>
    </w:p>
  </w:footnote>
  <w:footnote w:type="continuationSeparator" w:id="0">
    <w:p w14:paraId="1EC934FC" w14:textId="77777777" w:rsidR="009331CC" w:rsidRDefault="00933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3005" w14:textId="77777777" w:rsidR="00AA22B4" w:rsidRDefault="00AA22B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7CA13FF" wp14:editId="3E6DE9C4">
          <wp:simplePos x="0" y="0"/>
          <wp:positionH relativeFrom="column">
            <wp:posOffset>-746119</wp:posOffset>
          </wp:positionH>
          <wp:positionV relativeFrom="paragraph">
            <wp:posOffset>-448304</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603" w:type="dxa"/>
      <w:tblInd w:w="3611" w:type="dxa"/>
      <w:tblLayout w:type="fixed"/>
      <w:tblLook w:val="0400" w:firstRow="0" w:lastRow="0" w:firstColumn="0" w:lastColumn="0" w:noHBand="0" w:noVBand="1"/>
    </w:tblPr>
    <w:tblGrid>
      <w:gridCol w:w="2551"/>
      <w:gridCol w:w="3052"/>
    </w:tblGrid>
    <w:tr w:rsidR="00AA22B4" w14:paraId="5A876F12" w14:textId="77777777">
      <w:tc>
        <w:tcPr>
          <w:tcW w:w="2551" w:type="dxa"/>
          <w:vAlign w:val="center"/>
        </w:tcPr>
        <w:p w14:paraId="0CD7F91A"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47C0048"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423BFF2" w14:textId="2CEE3CCA"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04814/INFOEM/IP/RR/2025y acumulado</w:t>
          </w:r>
        </w:p>
      </w:tc>
    </w:tr>
    <w:tr w:rsidR="00AA22B4" w14:paraId="18229785" w14:textId="77777777">
      <w:trPr>
        <w:trHeight w:val="228"/>
      </w:trPr>
      <w:tc>
        <w:tcPr>
          <w:tcW w:w="2551" w:type="dxa"/>
          <w:vAlign w:val="center"/>
        </w:tcPr>
        <w:p w14:paraId="1366F7FF"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8BCDC4F"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05C8337" w14:textId="789CF857" w:rsidR="00AA22B4" w:rsidRDefault="00AA22B4" w:rsidP="00FE6C75">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Atizapán de Zaragoza </w:t>
          </w:r>
        </w:p>
      </w:tc>
    </w:tr>
    <w:tr w:rsidR="00AA22B4" w14:paraId="54CF46A5" w14:textId="77777777">
      <w:tc>
        <w:tcPr>
          <w:tcW w:w="2551" w:type="dxa"/>
          <w:vAlign w:val="center"/>
        </w:tcPr>
        <w:p w14:paraId="021B882F"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54435C2"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ED5F964" w14:textId="77777777" w:rsidR="00AA22B4" w:rsidRDefault="00AA22B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35A4" w14:textId="77777777" w:rsidR="00AA22B4" w:rsidRDefault="00AA22B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9ADCCA9" wp14:editId="3B913BAC">
          <wp:simplePos x="0" y="0"/>
          <wp:positionH relativeFrom="column">
            <wp:posOffset>-683893</wp:posOffset>
          </wp:positionH>
          <wp:positionV relativeFrom="paragraph">
            <wp:posOffset>-249552</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AA22B4" w14:paraId="65B31E7D" w14:textId="77777777">
      <w:tc>
        <w:tcPr>
          <w:tcW w:w="2551" w:type="dxa"/>
          <w:vAlign w:val="center"/>
        </w:tcPr>
        <w:p w14:paraId="13FFA3A1"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135232A"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E92EDA0" w14:textId="2F9375BF"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04814/INFOEM/IP/RR/2025 y acumulado</w:t>
          </w:r>
        </w:p>
      </w:tc>
    </w:tr>
    <w:tr w:rsidR="00AA22B4" w14:paraId="036CEA75" w14:textId="77777777">
      <w:tc>
        <w:tcPr>
          <w:tcW w:w="2551" w:type="dxa"/>
          <w:vAlign w:val="center"/>
        </w:tcPr>
        <w:p w14:paraId="23A59BEC"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35B5F8A" w14:textId="75B9DF73" w:rsidR="00AA22B4" w:rsidRDefault="00D927C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sidRPr="00D927C4">
            <w:rPr>
              <w:rFonts w:ascii="Palatino Linotype" w:eastAsia="Palatino Linotype" w:hAnsi="Palatino Linotype" w:cs="Palatino Linotype"/>
              <w:b/>
              <w:color w:val="000000"/>
            </w:rPr>
            <w:t>XXXXX XXXXXX XXXXXXX</w:t>
          </w:r>
        </w:p>
      </w:tc>
    </w:tr>
    <w:tr w:rsidR="00AA22B4" w14:paraId="37BC0277" w14:textId="77777777">
      <w:trPr>
        <w:trHeight w:val="228"/>
      </w:trPr>
      <w:tc>
        <w:tcPr>
          <w:tcW w:w="2551" w:type="dxa"/>
          <w:vAlign w:val="center"/>
        </w:tcPr>
        <w:p w14:paraId="360D5A05"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46B3C43"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0F37AD5" w14:textId="61F8681F" w:rsidR="00AA22B4" w:rsidRDefault="00AA22B4" w:rsidP="00FE6C75">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Atizapán de Zaragoza  </w:t>
          </w:r>
        </w:p>
      </w:tc>
    </w:tr>
    <w:tr w:rsidR="00AA22B4" w14:paraId="1092A788" w14:textId="77777777">
      <w:tc>
        <w:tcPr>
          <w:tcW w:w="2551" w:type="dxa"/>
          <w:vAlign w:val="center"/>
        </w:tcPr>
        <w:p w14:paraId="42B754D7"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E3E8C22" w14:textId="77777777" w:rsidR="00AA22B4" w:rsidRDefault="00AA22B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531C234" w14:textId="77777777" w:rsidR="00AA22B4" w:rsidRDefault="00AA22B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B1027D9"/>
    <w:multiLevelType w:val="multilevel"/>
    <w:tmpl w:val="CA000D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B01E8"/>
    <w:multiLevelType w:val="hybridMultilevel"/>
    <w:tmpl w:val="063A61C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3973415"/>
    <w:multiLevelType w:val="hybridMultilevel"/>
    <w:tmpl w:val="CA7A592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43FFC"/>
    <w:multiLevelType w:val="multilevel"/>
    <w:tmpl w:val="ADAE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50771"/>
    <w:multiLevelType w:val="multilevel"/>
    <w:tmpl w:val="76B0C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4101E"/>
    <w:multiLevelType w:val="hybridMultilevel"/>
    <w:tmpl w:val="2736A38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799405C"/>
    <w:multiLevelType w:val="multilevel"/>
    <w:tmpl w:val="A6B04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323826"/>
    <w:multiLevelType w:val="hybridMultilevel"/>
    <w:tmpl w:val="CA7A592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5734F9"/>
    <w:multiLevelType w:val="multilevel"/>
    <w:tmpl w:val="C6621E90"/>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655448"/>
    <w:multiLevelType w:val="multilevel"/>
    <w:tmpl w:val="22C8A1F2"/>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8452D0"/>
    <w:multiLevelType w:val="multilevel"/>
    <w:tmpl w:val="9376A48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264CEA"/>
    <w:multiLevelType w:val="hybridMultilevel"/>
    <w:tmpl w:val="063A61C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113D56"/>
    <w:multiLevelType w:val="hybridMultilevel"/>
    <w:tmpl w:val="A798EFFC"/>
    <w:lvl w:ilvl="0" w:tplc="41E07D4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F47AF6"/>
    <w:multiLevelType w:val="multilevel"/>
    <w:tmpl w:val="EDF2F8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DD28A0"/>
    <w:multiLevelType w:val="hybridMultilevel"/>
    <w:tmpl w:val="DEC6E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A27472"/>
    <w:multiLevelType w:val="hybridMultilevel"/>
    <w:tmpl w:val="063A61C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973C2F"/>
    <w:multiLevelType w:val="multilevel"/>
    <w:tmpl w:val="22707D12"/>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2411E1"/>
    <w:multiLevelType w:val="multilevel"/>
    <w:tmpl w:val="4E36DAC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1"/>
  </w:num>
  <w:num w:numId="3">
    <w:abstractNumId w:val="13"/>
  </w:num>
  <w:num w:numId="4">
    <w:abstractNumId w:val="17"/>
  </w:num>
  <w:num w:numId="5">
    <w:abstractNumId w:val="8"/>
  </w:num>
  <w:num w:numId="6">
    <w:abstractNumId w:val="12"/>
  </w:num>
  <w:num w:numId="7">
    <w:abstractNumId w:val="5"/>
  </w:num>
  <w:num w:numId="8">
    <w:abstractNumId w:val="3"/>
  </w:num>
  <w:num w:numId="9">
    <w:abstractNumId w:val="20"/>
  </w:num>
  <w:num w:numId="10">
    <w:abstractNumId w:val="6"/>
  </w:num>
  <w:num w:numId="11">
    <w:abstractNumId w:val="18"/>
  </w:num>
  <w:num w:numId="12">
    <w:abstractNumId w:val="9"/>
  </w:num>
  <w:num w:numId="13">
    <w:abstractNumId w:val="4"/>
  </w:num>
  <w:num w:numId="14">
    <w:abstractNumId w:val="16"/>
  </w:num>
  <w:num w:numId="15">
    <w:abstractNumId w:val="7"/>
  </w:num>
  <w:num w:numId="16">
    <w:abstractNumId w:val="19"/>
  </w:num>
  <w:num w:numId="17">
    <w:abstractNumId w:val="14"/>
  </w:num>
  <w:num w:numId="18">
    <w:abstractNumId w:val="10"/>
  </w:num>
  <w:num w:numId="19">
    <w:abstractNumId w:val="0"/>
  </w:num>
  <w:num w:numId="20">
    <w:abstractNumId w:val="21"/>
  </w:num>
  <w:num w:numId="21">
    <w:abstractNumId w:val="15"/>
  </w:num>
  <w:num w:numId="22">
    <w:abstractNumId w:val="2"/>
  </w:num>
  <w:num w:numId="23">
    <w:abstractNumId w:val="2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0B8"/>
    <w:rsid w:val="000050D3"/>
    <w:rsid w:val="000D660A"/>
    <w:rsid w:val="001122BC"/>
    <w:rsid w:val="00141726"/>
    <w:rsid w:val="001935FC"/>
    <w:rsid w:val="001F2B2A"/>
    <w:rsid w:val="00221B1F"/>
    <w:rsid w:val="002727A8"/>
    <w:rsid w:val="002B2D7C"/>
    <w:rsid w:val="002F40D1"/>
    <w:rsid w:val="00373EF6"/>
    <w:rsid w:val="003B090C"/>
    <w:rsid w:val="00413633"/>
    <w:rsid w:val="004A424F"/>
    <w:rsid w:val="004D1174"/>
    <w:rsid w:val="004E0B03"/>
    <w:rsid w:val="004E0CB0"/>
    <w:rsid w:val="004F37DF"/>
    <w:rsid w:val="00503EFA"/>
    <w:rsid w:val="00575AC6"/>
    <w:rsid w:val="005C6707"/>
    <w:rsid w:val="005F07A0"/>
    <w:rsid w:val="005F3022"/>
    <w:rsid w:val="00616E3C"/>
    <w:rsid w:val="00630147"/>
    <w:rsid w:val="00646862"/>
    <w:rsid w:val="00657BF6"/>
    <w:rsid w:val="006742BB"/>
    <w:rsid w:val="006A1146"/>
    <w:rsid w:val="006B7799"/>
    <w:rsid w:val="006E7ADF"/>
    <w:rsid w:val="006F1D2D"/>
    <w:rsid w:val="00742FAE"/>
    <w:rsid w:val="00794C5B"/>
    <w:rsid w:val="007C15D3"/>
    <w:rsid w:val="0081081E"/>
    <w:rsid w:val="00843E50"/>
    <w:rsid w:val="00884A48"/>
    <w:rsid w:val="0090444A"/>
    <w:rsid w:val="00924BE6"/>
    <w:rsid w:val="009331CC"/>
    <w:rsid w:val="0093705A"/>
    <w:rsid w:val="009564A9"/>
    <w:rsid w:val="009A28FE"/>
    <w:rsid w:val="009B46F9"/>
    <w:rsid w:val="009D114A"/>
    <w:rsid w:val="009E235A"/>
    <w:rsid w:val="00A06FD6"/>
    <w:rsid w:val="00A8294E"/>
    <w:rsid w:val="00A85400"/>
    <w:rsid w:val="00AA22B4"/>
    <w:rsid w:val="00AA6888"/>
    <w:rsid w:val="00B80A92"/>
    <w:rsid w:val="00B837BF"/>
    <w:rsid w:val="00C06CE5"/>
    <w:rsid w:val="00C14CCE"/>
    <w:rsid w:val="00C1528F"/>
    <w:rsid w:val="00C225C7"/>
    <w:rsid w:val="00C240D4"/>
    <w:rsid w:val="00C3759A"/>
    <w:rsid w:val="00C43BAB"/>
    <w:rsid w:val="00C86653"/>
    <w:rsid w:val="00CB35EA"/>
    <w:rsid w:val="00CD20B8"/>
    <w:rsid w:val="00CD5F3B"/>
    <w:rsid w:val="00D21F30"/>
    <w:rsid w:val="00D3092D"/>
    <w:rsid w:val="00D62013"/>
    <w:rsid w:val="00D767AA"/>
    <w:rsid w:val="00D927C4"/>
    <w:rsid w:val="00DB4D44"/>
    <w:rsid w:val="00E03A15"/>
    <w:rsid w:val="00E03D7F"/>
    <w:rsid w:val="00E07CDC"/>
    <w:rsid w:val="00E5495C"/>
    <w:rsid w:val="00E97AA1"/>
    <w:rsid w:val="00EA3620"/>
    <w:rsid w:val="00EB7094"/>
    <w:rsid w:val="00EC7799"/>
    <w:rsid w:val="00ED3DD9"/>
    <w:rsid w:val="00EF001D"/>
    <w:rsid w:val="00EF3727"/>
    <w:rsid w:val="00EF5298"/>
    <w:rsid w:val="00FA7363"/>
    <w:rsid w:val="00FD5F41"/>
    <w:rsid w:val="00FE6965"/>
    <w:rsid w:val="00FE6C75"/>
    <w:rsid w:val="00FF6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7AC6"/>
  <w15:docId w15:val="{D00645A4-C0B1-4D67-B5E9-CD6DED11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60"/>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B83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603">
      <w:bodyDiv w:val="1"/>
      <w:marLeft w:val="0"/>
      <w:marRight w:val="0"/>
      <w:marTop w:val="0"/>
      <w:marBottom w:val="0"/>
      <w:divBdr>
        <w:top w:val="none" w:sz="0" w:space="0" w:color="auto"/>
        <w:left w:val="none" w:sz="0" w:space="0" w:color="auto"/>
        <w:bottom w:val="none" w:sz="0" w:space="0" w:color="auto"/>
        <w:right w:val="none" w:sz="0" w:space="0" w:color="auto"/>
      </w:divBdr>
    </w:div>
    <w:div w:id="46999942">
      <w:bodyDiv w:val="1"/>
      <w:marLeft w:val="0"/>
      <w:marRight w:val="0"/>
      <w:marTop w:val="0"/>
      <w:marBottom w:val="0"/>
      <w:divBdr>
        <w:top w:val="none" w:sz="0" w:space="0" w:color="auto"/>
        <w:left w:val="none" w:sz="0" w:space="0" w:color="auto"/>
        <w:bottom w:val="none" w:sz="0" w:space="0" w:color="auto"/>
        <w:right w:val="none" w:sz="0" w:space="0" w:color="auto"/>
      </w:divBdr>
    </w:div>
    <w:div w:id="298846535">
      <w:bodyDiv w:val="1"/>
      <w:marLeft w:val="0"/>
      <w:marRight w:val="0"/>
      <w:marTop w:val="0"/>
      <w:marBottom w:val="0"/>
      <w:divBdr>
        <w:top w:val="none" w:sz="0" w:space="0" w:color="auto"/>
        <w:left w:val="none" w:sz="0" w:space="0" w:color="auto"/>
        <w:bottom w:val="none" w:sz="0" w:space="0" w:color="auto"/>
        <w:right w:val="none" w:sz="0" w:space="0" w:color="auto"/>
      </w:divBdr>
    </w:div>
    <w:div w:id="303046170">
      <w:bodyDiv w:val="1"/>
      <w:marLeft w:val="0"/>
      <w:marRight w:val="0"/>
      <w:marTop w:val="0"/>
      <w:marBottom w:val="0"/>
      <w:divBdr>
        <w:top w:val="none" w:sz="0" w:space="0" w:color="auto"/>
        <w:left w:val="none" w:sz="0" w:space="0" w:color="auto"/>
        <w:bottom w:val="none" w:sz="0" w:space="0" w:color="auto"/>
        <w:right w:val="none" w:sz="0" w:space="0" w:color="auto"/>
      </w:divBdr>
    </w:div>
    <w:div w:id="338042025">
      <w:bodyDiv w:val="1"/>
      <w:marLeft w:val="0"/>
      <w:marRight w:val="0"/>
      <w:marTop w:val="0"/>
      <w:marBottom w:val="0"/>
      <w:divBdr>
        <w:top w:val="none" w:sz="0" w:space="0" w:color="auto"/>
        <w:left w:val="none" w:sz="0" w:space="0" w:color="auto"/>
        <w:bottom w:val="none" w:sz="0" w:space="0" w:color="auto"/>
        <w:right w:val="none" w:sz="0" w:space="0" w:color="auto"/>
      </w:divBdr>
    </w:div>
    <w:div w:id="369458664">
      <w:bodyDiv w:val="1"/>
      <w:marLeft w:val="0"/>
      <w:marRight w:val="0"/>
      <w:marTop w:val="0"/>
      <w:marBottom w:val="0"/>
      <w:divBdr>
        <w:top w:val="none" w:sz="0" w:space="0" w:color="auto"/>
        <w:left w:val="none" w:sz="0" w:space="0" w:color="auto"/>
        <w:bottom w:val="none" w:sz="0" w:space="0" w:color="auto"/>
        <w:right w:val="none" w:sz="0" w:space="0" w:color="auto"/>
      </w:divBdr>
    </w:div>
    <w:div w:id="475143401">
      <w:bodyDiv w:val="1"/>
      <w:marLeft w:val="0"/>
      <w:marRight w:val="0"/>
      <w:marTop w:val="0"/>
      <w:marBottom w:val="0"/>
      <w:divBdr>
        <w:top w:val="none" w:sz="0" w:space="0" w:color="auto"/>
        <w:left w:val="none" w:sz="0" w:space="0" w:color="auto"/>
        <w:bottom w:val="none" w:sz="0" w:space="0" w:color="auto"/>
        <w:right w:val="none" w:sz="0" w:space="0" w:color="auto"/>
      </w:divBdr>
    </w:div>
    <w:div w:id="520705305">
      <w:bodyDiv w:val="1"/>
      <w:marLeft w:val="0"/>
      <w:marRight w:val="0"/>
      <w:marTop w:val="0"/>
      <w:marBottom w:val="0"/>
      <w:divBdr>
        <w:top w:val="none" w:sz="0" w:space="0" w:color="auto"/>
        <w:left w:val="none" w:sz="0" w:space="0" w:color="auto"/>
        <w:bottom w:val="none" w:sz="0" w:space="0" w:color="auto"/>
        <w:right w:val="none" w:sz="0" w:space="0" w:color="auto"/>
      </w:divBdr>
    </w:div>
    <w:div w:id="528028176">
      <w:bodyDiv w:val="1"/>
      <w:marLeft w:val="0"/>
      <w:marRight w:val="0"/>
      <w:marTop w:val="0"/>
      <w:marBottom w:val="0"/>
      <w:divBdr>
        <w:top w:val="none" w:sz="0" w:space="0" w:color="auto"/>
        <w:left w:val="none" w:sz="0" w:space="0" w:color="auto"/>
        <w:bottom w:val="none" w:sz="0" w:space="0" w:color="auto"/>
        <w:right w:val="none" w:sz="0" w:space="0" w:color="auto"/>
      </w:divBdr>
    </w:div>
    <w:div w:id="676812033">
      <w:bodyDiv w:val="1"/>
      <w:marLeft w:val="0"/>
      <w:marRight w:val="0"/>
      <w:marTop w:val="0"/>
      <w:marBottom w:val="0"/>
      <w:divBdr>
        <w:top w:val="none" w:sz="0" w:space="0" w:color="auto"/>
        <w:left w:val="none" w:sz="0" w:space="0" w:color="auto"/>
        <w:bottom w:val="none" w:sz="0" w:space="0" w:color="auto"/>
        <w:right w:val="none" w:sz="0" w:space="0" w:color="auto"/>
      </w:divBdr>
    </w:div>
    <w:div w:id="690037721">
      <w:bodyDiv w:val="1"/>
      <w:marLeft w:val="0"/>
      <w:marRight w:val="0"/>
      <w:marTop w:val="0"/>
      <w:marBottom w:val="0"/>
      <w:divBdr>
        <w:top w:val="none" w:sz="0" w:space="0" w:color="auto"/>
        <w:left w:val="none" w:sz="0" w:space="0" w:color="auto"/>
        <w:bottom w:val="none" w:sz="0" w:space="0" w:color="auto"/>
        <w:right w:val="none" w:sz="0" w:space="0" w:color="auto"/>
      </w:divBdr>
    </w:div>
    <w:div w:id="828328563">
      <w:bodyDiv w:val="1"/>
      <w:marLeft w:val="0"/>
      <w:marRight w:val="0"/>
      <w:marTop w:val="0"/>
      <w:marBottom w:val="0"/>
      <w:divBdr>
        <w:top w:val="none" w:sz="0" w:space="0" w:color="auto"/>
        <w:left w:val="none" w:sz="0" w:space="0" w:color="auto"/>
        <w:bottom w:val="none" w:sz="0" w:space="0" w:color="auto"/>
        <w:right w:val="none" w:sz="0" w:space="0" w:color="auto"/>
      </w:divBdr>
    </w:div>
    <w:div w:id="840117502">
      <w:bodyDiv w:val="1"/>
      <w:marLeft w:val="0"/>
      <w:marRight w:val="0"/>
      <w:marTop w:val="0"/>
      <w:marBottom w:val="0"/>
      <w:divBdr>
        <w:top w:val="none" w:sz="0" w:space="0" w:color="auto"/>
        <w:left w:val="none" w:sz="0" w:space="0" w:color="auto"/>
        <w:bottom w:val="none" w:sz="0" w:space="0" w:color="auto"/>
        <w:right w:val="none" w:sz="0" w:space="0" w:color="auto"/>
      </w:divBdr>
    </w:div>
    <w:div w:id="872621533">
      <w:bodyDiv w:val="1"/>
      <w:marLeft w:val="0"/>
      <w:marRight w:val="0"/>
      <w:marTop w:val="0"/>
      <w:marBottom w:val="0"/>
      <w:divBdr>
        <w:top w:val="none" w:sz="0" w:space="0" w:color="auto"/>
        <w:left w:val="none" w:sz="0" w:space="0" w:color="auto"/>
        <w:bottom w:val="none" w:sz="0" w:space="0" w:color="auto"/>
        <w:right w:val="none" w:sz="0" w:space="0" w:color="auto"/>
      </w:divBdr>
    </w:div>
    <w:div w:id="1035816581">
      <w:bodyDiv w:val="1"/>
      <w:marLeft w:val="0"/>
      <w:marRight w:val="0"/>
      <w:marTop w:val="0"/>
      <w:marBottom w:val="0"/>
      <w:divBdr>
        <w:top w:val="none" w:sz="0" w:space="0" w:color="auto"/>
        <w:left w:val="none" w:sz="0" w:space="0" w:color="auto"/>
        <w:bottom w:val="none" w:sz="0" w:space="0" w:color="auto"/>
        <w:right w:val="none" w:sz="0" w:space="0" w:color="auto"/>
      </w:divBdr>
    </w:div>
    <w:div w:id="1044405058">
      <w:bodyDiv w:val="1"/>
      <w:marLeft w:val="0"/>
      <w:marRight w:val="0"/>
      <w:marTop w:val="0"/>
      <w:marBottom w:val="0"/>
      <w:divBdr>
        <w:top w:val="none" w:sz="0" w:space="0" w:color="auto"/>
        <w:left w:val="none" w:sz="0" w:space="0" w:color="auto"/>
        <w:bottom w:val="none" w:sz="0" w:space="0" w:color="auto"/>
        <w:right w:val="none" w:sz="0" w:space="0" w:color="auto"/>
      </w:divBdr>
    </w:div>
    <w:div w:id="1091895461">
      <w:bodyDiv w:val="1"/>
      <w:marLeft w:val="0"/>
      <w:marRight w:val="0"/>
      <w:marTop w:val="0"/>
      <w:marBottom w:val="0"/>
      <w:divBdr>
        <w:top w:val="none" w:sz="0" w:space="0" w:color="auto"/>
        <w:left w:val="none" w:sz="0" w:space="0" w:color="auto"/>
        <w:bottom w:val="none" w:sz="0" w:space="0" w:color="auto"/>
        <w:right w:val="none" w:sz="0" w:space="0" w:color="auto"/>
      </w:divBdr>
    </w:div>
    <w:div w:id="1131750642">
      <w:bodyDiv w:val="1"/>
      <w:marLeft w:val="0"/>
      <w:marRight w:val="0"/>
      <w:marTop w:val="0"/>
      <w:marBottom w:val="0"/>
      <w:divBdr>
        <w:top w:val="none" w:sz="0" w:space="0" w:color="auto"/>
        <w:left w:val="none" w:sz="0" w:space="0" w:color="auto"/>
        <w:bottom w:val="none" w:sz="0" w:space="0" w:color="auto"/>
        <w:right w:val="none" w:sz="0" w:space="0" w:color="auto"/>
      </w:divBdr>
    </w:div>
    <w:div w:id="1156411851">
      <w:bodyDiv w:val="1"/>
      <w:marLeft w:val="0"/>
      <w:marRight w:val="0"/>
      <w:marTop w:val="0"/>
      <w:marBottom w:val="0"/>
      <w:divBdr>
        <w:top w:val="none" w:sz="0" w:space="0" w:color="auto"/>
        <w:left w:val="none" w:sz="0" w:space="0" w:color="auto"/>
        <w:bottom w:val="none" w:sz="0" w:space="0" w:color="auto"/>
        <w:right w:val="none" w:sz="0" w:space="0" w:color="auto"/>
      </w:divBdr>
    </w:div>
    <w:div w:id="1248225719">
      <w:bodyDiv w:val="1"/>
      <w:marLeft w:val="0"/>
      <w:marRight w:val="0"/>
      <w:marTop w:val="0"/>
      <w:marBottom w:val="0"/>
      <w:divBdr>
        <w:top w:val="none" w:sz="0" w:space="0" w:color="auto"/>
        <w:left w:val="none" w:sz="0" w:space="0" w:color="auto"/>
        <w:bottom w:val="none" w:sz="0" w:space="0" w:color="auto"/>
        <w:right w:val="none" w:sz="0" w:space="0" w:color="auto"/>
      </w:divBdr>
    </w:div>
    <w:div w:id="1248928818">
      <w:bodyDiv w:val="1"/>
      <w:marLeft w:val="0"/>
      <w:marRight w:val="0"/>
      <w:marTop w:val="0"/>
      <w:marBottom w:val="0"/>
      <w:divBdr>
        <w:top w:val="none" w:sz="0" w:space="0" w:color="auto"/>
        <w:left w:val="none" w:sz="0" w:space="0" w:color="auto"/>
        <w:bottom w:val="none" w:sz="0" w:space="0" w:color="auto"/>
        <w:right w:val="none" w:sz="0" w:space="0" w:color="auto"/>
      </w:divBdr>
    </w:div>
    <w:div w:id="1257788516">
      <w:bodyDiv w:val="1"/>
      <w:marLeft w:val="0"/>
      <w:marRight w:val="0"/>
      <w:marTop w:val="0"/>
      <w:marBottom w:val="0"/>
      <w:divBdr>
        <w:top w:val="none" w:sz="0" w:space="0" w:color="auto"/>
        <w:left w:val="none" w:sz="0" w:space="0" w:color="auto"/>
        <w:bottom w:val="none" w:sz="0" w:space="0" w:color="auto"/>
        <w:right w:val="none" w:sz="0" w:space="0" w:color="auto"/>
      </w:divBdr>
    </w:div>
    <w:div w:id="1419055993">
      <w:bodyDiv w:val="1"/>
      <w:marLeft w:val="0"/>
      <w:marRight w:val="0"/>
      <w:marTop w:val="0"/>
      <w:marBottom w:val="0"/>
      <w:divBdr>
        <w:top w:val="none" w:sz="0" w:space="0" w:color="auto"/>
        <w:left w:val="none" w:sz="0" w:space="0" w:color="auto"/>
        <w:bottom w:val="none" w:sz="0" w:space="0" w:color="auto"/>
        <w:right w:val="none" w:sz="0" w:space="0" w:color="auto"/>
      </w:divBdr>
    </w:div>
    <w:div w:id="1445881248">
      <w:bodyDiv w:val="1"/>
      <w:marLeft w:val="0"/>
      <w:marRight w:val="0"/>
      <w:marTop w:val="0"/>
      <w:marBottom w:val="0"/>
      <w:divBdr>
        <w:top w:val="none" w:sz="0" w:space="0" w:color="auto"/>
        <w:left w:val="none" w:sz="0" w:space="0" w:color="auto"/>
        <w:bottom w:val="none" w:sz="0" w:space="0" w:color="auto"/>
        <w:right w:val="none" w:sz="0" w:space="0" w:color="auto"/>
      </w:divBdr>
    </w:div>
    <w:div w:id="1453355404">
      <w:bodyDiv w:val="1"/>
      <w:marLeft w:val="0"/>
      <w:marRight w:val="0"/>
      <w:marTop w:val="0"/>
      <w:marBottom w:val="0"/>
      <w:divBdr>
        <w:top w:val="none" w:sz="0" w:space="0" w:color="auto"/>
        <w:left w:val="none" w:sz="0" w:space="0" w:color="auto"/>
        <w:bottom w:val="none" w:sz="0" w:space="0" w:color="auto"/>
        <w:right w:val="none" w:sz="0" w:space="0" w:color="auto"/>
      </w:divBdr>
    </w:div>
    <w:div w:id="1513180609">
      <w:bodyDiv w:val="1"/>
      <w:marLeft w:val="0"/>
      <w:marRight w:val="0"/>
      <w:marTop w:val="0"/>
      <w:marBottom w:val="0"/>
      <w:divBdr>
        <w:top w:val="none" w:sz="0" w:space="0" w:color="auto"/>
        <w:left w:val="none" w:sz="0" w:space="0" w:color="auto"/>
        <w:bottom w:val="none" w:sz="0" w:space="0" w:color="auto"/>
        <w:right w:val="none" w:sz="0" w:space="0" w:color="auto"/>
      </w:divBdr>
    </w:div>
    <w:div w:id="1669820749">
      <w:bodyDiv w:val="1"/>
      <w:marLeft w:val="0"/>
      <w:marRight w:val="0"/>
      <w:marTop w:val="0"/>
      <w:marBottom w:val="0"/>
      <w:divBdr>
        <w:top w:val="none" w:sz="0" w:space="0" w:color="auto"/>
        <w:left w:val="none" w:sz="0" w:space="0" w:color="auto"/>
        <w:bottom w:val="none" w:sz="0" w:space="0" w:color="auto"/>
        <w:right w:val="none" w:sz="0" w:space="0" w:color="auto"/>
      </w:divBdr>
    </w:div>
    <w:div w:id="1782988267">
      <w:bodyDiv w:val="1"/>
      <w:marLeft w:val="0"/>
      <w:marRight w:val="0"/>
      <w:marTop w:val="0"/>
      <w:marBottom w:val="0"/>
      <w:divBdr>
        <w:top w:val="none" w:sz="0" w:space="0" w:color="auto"/>
        <w:left w:val="none" w:sz="0" w:space="0" w:color="auto"/>
        <w:bottom w:val="none" w:sz="0" w:space="0" w:color="auto"/>
        <w:right w:val="none" w:sz="0" w:space="0" w:color="auto"/>
      </w:divBdr>
    </w:div>
    <w:div w:id="1784419918">
      <w:bodyDiv w:val="1"/>
      <w:marLeft w:val="0"/>
      <w:marRight w:val="0"/>
      <w:marTop w:val="0"/>
      <w:marBottom w:val="0"/>
      <w:divBdr>
        <w:top w:val="none" w:sz="0" w:space="0" w:color="auto"/>
        <w:left w:val="none" w:sz="0" w:space="0" w:color="auto"/>
        <w:bottom w:val="none" w:sz="0" w:space="0" w:color="auto"/>
        <w:right w:val="none" w:sz="0" w:space="0" w:color="auto"/>
      </w:divBdr>
    </w:div>
    <w:div w:id="1859394811">
      <w:bodyDiv w:val="1"/>
      <w:marLeft w:val="0"/>
      <w:marRight w:val="0"/>
      <w:marTop w:val="0"/>
      <w:marBottom w:val="0"/>
      <w:divBdr>
        <w:top w:val="none" w:sz="0" w:space="0" w:color="auto"/>
        <w:left w:val="none" w:sz="0" w:space="0" w:color="auto"/>
        <w:bottom w:val="none" w:sz="0" w:space="0" w:color="auto"/>
        <w:right w:val="none" w:sz="0" w:space="0" w:color="auto"/>
      </w:divBdr>
    </w:div>
    <w:div w:id="1907953271">
      <w:bodyDiv w:val="1"/>
      <w:marLeft w:val="0"/>
      <w:marRight w:val="0"/>
      <w:marTop w:val="0"/>
      <w:marBottom w:val="0"/>
      <w:divBdr>
        <w:top w:val="none" w:sz="0" w:space="0" w:color="auto"/>
        <w:left w:val="none" w:sz="0" w:space="0" w:color="auto"/>
        <w:bottom w:val="none" w:sz="0" w:space="0" w:color="auto"/>
        <w:right w:val="none" w:sz="0" w:space="0" w:color="auto"/>
      </w:divBdr>
    </w:div>
    <w:div w:id="1945765401">
      <w:bodyDiv w:val="1"/>
      <w:marLeft w:val="0"/>
      <w:marRight w:val="0"/>
      <w:marTop w:val="0"/>
      <w:marBottom w:val="0"/>
      <w:divBdr>
        <w:top w:val="none" w:sz="0" w:space="0" w:color="auto"/>
        <w:left w:val="none" w:sz="0" w:space="0" w:color="auto"/>
        <w:bottom w:val="none" w:sz="0" w:space="0" w:color="auto"/>
        <w:right w:val="none" w:sz="0" w:space="0" w:color="auto"/>
      </w:divBdr>
    </w:div>
    <w:div w:id="1967855464">
      <w:bodyDiv w:val="1"/>
      <w:marLeft w:val="0"/>
      <w:marRight w:val="0"/>
      <w:marTop w:val="0"/>
      <w:marBottom w:val="0"/>
      <w:divBdr>
        <w:top w:val="none" w:sz="0" w:space="0" w:color="auto"/>
        <w:left w:val="none" w:sz="0" w:space="0" w:color="auto"/>
        <w:bottom w:val="none" w:sz="0" w:space="0" w:color="auto"/>
        <w:right w:val="none" w:sz="0" w:space="0" w:color="auto"/>
      </w:divBdr>
    </w:div>
    <w:div w:id="1981761174">
      <w:bodyDiv w:val="1"/>
      <w:marLeft w:val="0"/>
      <w:marRight w:val="0"/>
      <w:marTop w:val="0"/>
      <w:marBottom w:val="0"/>
      <w:divBdr>
        <w:top w:val="none" w:sz="0" w:space="0" w:color="auto"/>
        <w:left w:val="none" w:sz="0" w:space="0" w:color="auto"/>
        <w:bottom w:val="none" w:sz="0" w:space="0" w:color="auto"/>
        <w:right w:val="none" w:sz="0" w:space="0" w:color="auto"/>
      </w:divBdr>
    </w:div>
    <w:div w:id="2041319428">
      <w:bodyDiv w:val="1"/>
      <w:marLeft w:val="0"/>
      <w:marRight w:val="0"/>
      <w:marTop w:val="0"/>
      <w:marBottom w:val="0"/>
      <w:divBdr>
        <w:top w:val="none" w:sz="0" w:space="0" w:color="auto"/>
        <w:left w:val="none" w:sz="0" w:space="0" w:color="auto"/>
        <w:bottom w:val="none" w:sz="0" w:space="0" w:color="auto"/>
        <w:right w:val="none" w:sz="0" w:space="0" w:color="auto"/>
      </w:divBdr>
    </w:div>
    <w:div w:id="2052147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atizapan.gob.mx/wp-content/uploads/2025/02/ESTADO-COMPARATIVO-PRESUPUESTAL-DE-EGRESOS.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J7nlws+MiHGMTqLzYhXMYLTFg==">CgMxLjAyCWguMzBqMHpsbDIJaC4yZXQ5MnAwMghoLmdqZGd4czIOaC5rZmFkajMyZzNvY2s4AHIhMUJtV1VldnA3ek92Z2lJeEJ0ZWM2YlVLYXNndExFUkV0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477BB8-86B0-4392-BD0B-6ABAD091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13857</Words>
  <Characters>76214</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2025-08-22T18:41:00Z</cp:lastPrinted>
  <dcterms:created xsi:type="dcterms:W3CDTF">2025-09-04T22:11:00Z</dcterms:created>
  <dcterms:modified xsi:type="dcterms:W3CDTF">2025-09-04T22:11:00Z</dcterms:modified>
</cp:coreProperties>
</file>