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33732" w14:textId="77777777" w:rsidR="00763977" w:rsidRPr="00482CF2" w:rsidRDefault="00763977" w:rsidP="00621403">
      <w:pPr>
        <w:widowControl w:val="0"/>
        <w:pBdr>
          <w:top w:val="nil"/>
          <w:left w:val="nil"/>
          <w:bottom w:val="nil"/>
          <w:right w:val="nil"/>
          <w:between w:val="nil"/>
        </w:pBdr>
        <w:spacing w:after="0" w:line="360" w:lineRule="auto"/>
        <w:jc w:val="left"/>
        <w:rPr>
          <w:color w:val="FF0000"/>
        </w:rPr>
      </w:pPr>
    </w:p>
    <w:sdt>
      <w:sdtPr>
        <w:rPr>
          <w:rFonts w:eastAsiaTheme="minorHAnsi" w:cstheme="minorBidi"/>
          <w:color w:val="FF0000"/>
          <w:lang w:val="es-ES" w:eastAsia="en-US"/>
        </w:rPr>
        <w:id w:val="-1872525245"/>
        <w:docPartObj>
          <w:docPartGallery w:val="Table of Contents"/>
          <w:docPartUnique/>
        </w:docPartObj>
      </w:sdtPr>
      <w:sdtEndPr>
        <w:rPr>
          <w:b/>
          <w:bCs/>
        </w:rPr>
      </w:sdtEndPr>
      <w:sdtContent>
        <w:p w14:paraId="05BB7F45" w14:textId="225BAC9B" w:rsidR="00A31B2D" w:rsidRPr="008817CD" w:rsidRDefault="00A31B2D" w:rsidP="00621403">
          <w:pPr>
            <w:keepNext/>
            <w:keepLines/>
            <w:spacing w:after="0" w:line="360" w:lineRule="auto"/>
            <w:jc w:val="center"/>
            <w:rPr>
              <w:rFonts w:eastAsiaTheme="majorEastAsia" w:cstheme="majorBidi"/>
            </w:rPr>
          </w:pPr>
          <w:r w:rsidRPr="008817CD">
            <w:rPr>
              <w:rFonts w:eastAsiaTheme="majorEastAsia" w:cstheme="majorBidi"/>
              <w:lang w:val="es-ES"/>
            </w:rPr>
            <w:t xml:space="preserve">RESOLUCIÓN DEL RECURSO DE REVISIÓN </w:t>
          </w:r>
          <w:r w:rsidR="000820B0">
            <w:rPr>
              <w:rFonts w:eastAsia="Calibri" w:cs="Tahoma"/>
            </w:rPr>
            <w:t>02656</w:t>
          </w:r>
          <w:r w:rsidRPr="008817CD">
            <w:rPr>
              <w:rFonts w:eastAsia="Calibri" w:cs="Tahoma"/>
            </w:rPr>
            <w:t>/INFOEM/IP/RR/2025</w:t>
          </w:r>
        </w:p>
        <w:p w14:paraId="46CE5243" w14:textId="77777777" w:rsidR="008817CD" w:rsidRPr="008817CD" w:rsidRDefault="00A31B2D">
          <w:pPr>
            <w:pStyle w:val="TDC1"/>
            <w:tabs>
              <w:tab w:val="right" w:leader="dot" w:pos="9204"/>
            </w:tabs>
            <w:rPr>
              <w:rFonts w:asciiTheme="minorHAnsi" w:eastAsiaTheme="minorEastAsia" w:hAnsiTheme="minorHAnsi" w:cstheme="minorBidi"/>
              <w:noProof/>
              <w:color w:val="auto"/>
            </w:rPr>
          </w:pPr>
          <w:r w:rsidRPr="008817CD">
            <w:rPr>
              <w:rFonts w:eastAsiaTheme="minorHAnsi" w:cstheme="minorBidi"/>
              <w:lang w:eastAsia="en-US"/>
            </w:rPr>
            <w:fldChar w:fldCharType="begin"/>
          </w:r>
          <w:r w:rsidRPr="008817CD">
            <w:rPr>
              <w:rFonts w:eastAsiaTheme="minorHAnsi" w:cstheme="minorBidi"/>
              <w:lang w:eastAsia="en-US"/>
            </w:rPr>
            <w:instrText xml:space="preserve"> TOC \o "1-3" \h \z \u </w:instrText>
          </w:r>
          <w:r w:rsidRPr="008817CD">
            <w:rPr>
              <w:rFonts w:eastAsiaTheme="minorHAnsi" w:cstheme="minorBidi"/>
              <w:lang w:eastAsia="en-US"/>
            </w:rPr>
            <w:fldChar w:fldCharType="separate"/>
          </w:r>
          <w:hyperlink w:anchor="_Toc196407815" w:history="1">
            <w:r w:rsidR="008817CD" w:rsidRPr="008817CD">
              <w:rPr>
                <w:rStyle w:val="Hipervnculo"/>
                <w:noProof/>
              </w:rPr>
              <w:t>A N T E C E D E N T E S</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_Toc196407815 \h </w:instrText>
            </w:r>
            <w:r w:rsidR="008817CD" w:rsidRPr="008817CD">
              <w:rPr>
                <w:noProof/>
                <w:webHidden/>
              </w:rPr>
            </w:r>
            <w:r w:rsidR="008817CD" w:rsidRPr="008817CD">
              <w:rPr>
                <w:noProof/>
                <w:webHidden/>
              </w:rPr>
              <w:fldChar w:fldCharType="separate"/>
            </w:r>
            <w:r w:rsidR="00965227">
              <w:rPr>
                <w:noProof/>
                <w:webHidden/>
              </w:rPr>
              <w:t>2</w:t>
            </w:r>
            <w:r w:rsidR="008817CD" w:rsidRPr="008817CD">
              <w:rPr>
                <w:noProof/>
                <w:webHidden/>
              </w:rPr>
              <w:fldChar w:fldCharType="end"/>
            </w:r>
          </w:hyperlink>
        </w:p>
        <w:p w14:paraId="7436BF8F" w14:textId="77777777" w:rsidR="008817CD" w:rsidRPr="008817CD" w:rsidRDefault="00DA1C70">
          <w:pPr>
            <w:pStyle w:val="TDC2"/>
            <w:rPr>
              <w:rFonts w:asciiTheme="minorHAnsi" w:eastAsiaTheme="minorEastAsia" w:hAnsiTheme="minorHAnsi" w:cstheme="minorBidi"/>
              <w:noProof/>
              <w:color w:val="auto"/>
            </w:rPr>
          </w:pPr>
          <w:hyperlink w:anchor="_Toc196407816" w:history="1">
            <w:r w:rsidR="008817CD" w:rsidRPr="008817CD">
              <w:rPr>
                <w:rStyle w:val="Hipervnculo"/>
                <w:noProof/>
              </w:rPr>
              <w:t>I. Presentación de la solicitud</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_Toc196407816 \h </w:instrText>
            </w:r>
            <w:r w:rsidR="008817CD" w:rsidRPr="008817CD">
              <w:rPr>
                <w:noProof/>
                <w:webHidden/>
              </w:rPr>
            </w:r>
            <w:r w:rsidR="008817CD" w:rsidRPr="008817CD">
              <w:rPr>
                <w:noProof/>
                <w:webHidden/>
              </w:rPr>
              <w:fldChar w:fldCharType="separate"/>
            </w:r>
            <w:r w:rsidR="00965227">
              <w:rPr>
                <w:noProof/>
                <w:webHidden/>
              </w:rPr>
              <w:t>2</w:t>
            </w:r>
            <w:r w:rsidR="008817CD" w:rsidRPr="008817CD">
              <w:rPr>
                <w:noProof/>
                <w:webHidden/>
              </w:rPr>
              <w:fldChar w:fldCharType="end"/>
            </w:r>
          </w:hyperlink>
        </w:p>
        <w:p w14:paraId="735FCE60" w14:textId="77777777" w:rsidR="008817CD" w:rsidRPr="008817CD" w:rsidRDefault="00DA1C70">
          <w:pPr>
            <w:pStyle w:val="TDC2"/>
            <w:rPr>
              <w:rFonts w:asciiTheme="minorHAnsi" w:eastAsiaTheme="minorEastAsia" w:hAnsiTheme="minorHAnsi" w:cstheme="minorBidi"/>
              <w:noProof/>
              <w:color w:val="auto"/>
            </w:rPr>
          </w:pPr>
          <w:hyperlink w:anchor="_Toc196407817" w:history="1">
            <w:r w:rsidR="008817CD" w:rsidRPr="008817CD">
              <w:rPr>
                <w:rStyle w:val="Hipervnculo"/>
                <w:noProof/>
              </w:rPr>
              <w:t>II. Respuesta del Sujeto Obligado</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_Toc196407817 \h </w:instrText>
            </w:r>
            <w:r w:rsidR="008817CD" w:rsidRPr="008817CD">
              <w:rPr>
                <w:noProof/>
                <w:webHidden/>
              </w:rPr>
            </w:r>
            <w:r w:rsidR="008817CD" w:rsidRPr="008817CD">
              <w:rPr>
                <w:noProof/>
                <w:webHidden/>
              </w:rPr>
              <w:fldChar w:fldCharType="separate"/>
            </w:r>
            <w:r w:rsidR="00965227">
              <w:rPr>
                <w:noProof/>
                <w:webHidden/>
              </w:rPr>
              <w:t>3</w:t>
            </w:r>
            <w:r w:rsidR="008817CD" w:rsidRPr="008817CD">
              <w:rPr>
                <w:noProof/>
                <w:webHidden/>
              </w:rPr>
              <w:fldChar w:fldCharType="end"/>
            </w:r>
          </w:hyperlink>
        </w:p>
        <w:p w14:paraId="3D7D3BC6" w14:textId="77777777" w:rsidR="008817CD" w:rsidRPr="008817CD" w:rsidRDefault="00DA1C70">
          <w:pPr>
            <w:pStyle w:val="TDC2"/>
            <w:rPr>
              <w:rFonts w:asciiTheme="minorHAnsi" w:eastAsiaTheme="minorEastAsia" w:hAnsiTheme="minorHAnsi" w:cstheme="minorBidi"/>
              <w:noProof/>
              <w:color w:val="auto"/>
            </w:rPr>
          </w:pPr>
          <w:hyperlink w:anchor="_Toc196407818" w:history="1">
            <w:r w:rsidR="008817CD" w:rsidRPr="008817CD">
              <w:rPr>
                <w:rStyle w:val="Hipervnculo"/>
                <w:noProof/>
              </w:rPr>
              <w:t>III. Interposición del Recurso de Revisión</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_Toc196407818 \h </w:instrText>
            </w:r>
            <w:r w:rsidR="008817CD" w:rsidRPr="008817CD">
              <w:rPr>
                <w:noProof/>
                <w:webHidden/>
              </w:rPr>
            </w:r>
            <w:r w:rsidR="008817CD" w:rsidRPr="008817CD">
              <w:rPr>
                <w:noProof/>
                <w:webHidden/>
              </w:rPr>
              <w:fldChar w:fldCharType="separate"/>
            </w:r>
            <w:r w:rsidR="00965227">
              <w:rPr>
                <w:noProof/>
                <w:webHidden/>
              </w:rPr>
              <w:t>4</w:t>
            </w:r>
            <w:r w:rsidR="008817CD" w:rsidRPr="008817CD">
              <w:rPr>
                <w:noProof/>
                <w:webHidden/>
              </w:rPr>
              <w:fldChar w:fldCharType="end"/>
            </w:r>
          </w:hyperlink>
        </w:p>
        <w:p w14:paraId="086B015C" w14:textId="77777777" w:rsidR="008817CD" w:rsidRPr="008817CD" w:rsidRDefault="00DA1C70">
          <w:pPr>
            <w:pStyle w:val="TDC2"/>
            <w:rPr>
              <w:rFonts w:asciiTheme="minorHAnsi" w:eastAsiaTheme="minorEastAsia" w:hAnsiTheme="minorHAnsi" w:cstheme="minorBidi"/>
              <w:noProof/>
              <w:color w:val="auto"/>
            </w:rPr>
          </w:pPr>
          <w:hyperlink w:anchor="_Toc196407819" w:history="1">
            <w:r w:rsidR="008817CD" w:rsidRPr="008817CD">
              <w:rPr>
                <w:rStyle w:val="Hipervnculo"/>
                <w:noProof/>
              </w:rPr>
              <w:t>IV. Trámite del Recurso de Revisión ante este Instituto</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_Toc196407819 \h </w:instrText>
            </w:r>
            <w:r w:rsidR="008817CD" w:rsidRPr="008817CD">
              <w:rPr>
                <w:noProof/>
                <w:webHidden/>
              </w:rPr>
            </w:r>
            <w:r w:rsidR="008817CD" w:rsidRPr="008817CD">
              <w:rPr>
                <w:noProof/>
                <w:webHidden/>
              </w:rPr>
              <w:fldChar w:fldCharType="separate"/>
            </w:r>
            <w:r w:rsidR="00965227">
              <w:rPr>
                <w:noProof/>
                <w:webHidden/>
              </w:rPr>
              <w:t>4</w:t>
            </w:r>
            <w:r w:rsidR="008817CD" w:rsidRPr="008817CD">
              <w:rPr>
                <w:noProof/>
                <w:webHidden/>
              </w:rPr>
              <w:fldChar w:fldCharType="end"/>
            </w:r>
          </w:hyperlink>
        </w:p>
        <w:p w14:paraId="0C1FE584" w14:textId="77777777" w:rsidR="008817CD" w:rsidRPr="008817CD" w:rsidRDefault="00DA1C70">
          <w:pPr>
            <w:pStyle w:val="TDC1"/>
            <w:tabs>
              <w:tab w:val="right" w:leader="dot" w:pos="9204"/>
            </w:tabs>
            <w:rPr>
              <w:rFonts w:asciiTheme="minorHAnsi" w:eastAsiaTheme="minorEastAsia" w:hAnsiTheme="minorHAnsi" w:cstheme="minorBidi"/>
              <w:noProof/>
              <w:color w:val="auto"/>
            </w:rPr>
          </w:pPr>
          <w:hyperlink w:anchor="_Toc196407820" w:history="1">
            <w:r w:rsidR="008817CD" w:rsidRPr="008817CD">
              <w:rPr>
                <w:rStyle w:val="Hipervnculo"/>
                <w:noProof/>
              </w:rPr>
              <w:t>C O N S I D E R A N D O S</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_Toc196407820 \h </w:instrText>
            </w:r>
            <w:r w:rsidR="008817CD" w:rsidRPr="008817CD">
              <w:rPr>
                <w:noProof/>
                <w:webHidden/>
              </w:rPr>
            </w:r>
            <w:r w:rsidR="008817CD" w:rsidRPr="008817CD">
              <w:rPr>
                <w:noProof/>
                <w:webHidden/>
              </w:rPr>
              <w:fldChar w:fldCharType="separate"/>
            </w:r>
            <w:r w:rsidR="00965227">
              <w:rPr>
                <w:noProof/>
                <w:webHidden/>
              </w:rPr>
              <w:t>6</w:t>
            </w:r>
            <w:r w:rsidR="008817CD" w:rsidRPr="008817CD">
              <w:rPr>
                <w:noProof/>
                <w:webHidden/>
              </w:rPr>
              <w:fldChar w:fldCharType="end"/>
            </w:r>
          </w:hyperlink>
        </w:p>
        <w:p w14:paraId="3EB4AA2E" w14:textId="77777777" w:rsidR="008817CD" w:rsidRPr="008817CD" w:rsidRDefault="00DA1C70">
          <w:pPr>
            <w:pStyle w:val="TDC2"/>
            <w:rPr>
              <w:rFonts w:asciiTheme="minorHAnsi" w:eastAsiaTheme="minorEastAsia" w:hAnsiTheme="minorHAnsi" w:cstheme="minorBidi"/>
              <w:noProof/>
              <w:color w:val="auto"/>
            </w:rPr>
          </w:pPr>
          <w:hyperlink w:anchor="_Toc196407821" w:history="1">
            <w:r w:rsidR="008817CD" w:rsidRPr="008817CD">
              <w:rPr>
                <w:rStyle w:val="Hipervnculo"/>
                <w:noProof/>
              </w:rPr>
              <w:t>PRIMERO. Competencia</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_Toc196407821 \h </w:instrText>
            </w:r>
            <w:r w:rsidR="008817CD" w:rsidRPr="008817CD">
              <w:rPr>
                <w:noProof/>
                <w:webHidden/>
              </w:rPr>
            </w:r>
            <w:r w:rsidR="008817CD" w:rsidRPr="008817CD">
              <w:rPr>
                <w:noProof/>
                <w:webHidden/>
              </w:rPr>
              <w:fldChar w:fldCharType="separate"/>
            </w:r>
            <w:r w:rsidR="00965227">
              <w:rPr>
                <w:noProof/>
                <w:webHidden/>
              </w:rPr>
              <w:t>6</w:t>
            </w:r>
            <w:r w:rsidR="008817CD" w:rsidRPr="008817CD">
              <w:rPr>
                <w:noProof/>
                <w:webHidden/>
              </w:rPr>
              <w:fldChar w:fldCharType="end"/>
            </w:r>
          </w:hyperlink>
        </w:p>
        <w:p w14:paraId="33F18D83" w14:textId="77777777" w:rsidR="008817CD" w:rsidRPr="008817CD" w:rsidRDefault="00DA1C70">
          <w:pPr>
            <w:pStyle w:val="TDC2"/>
            <w:rPr>
              <w:rFonts w:asciiTheme="minorHAnsi" w:eastAsiaTheme="minorEastAsia" w:hAnsiTheme="minorHAnsi" w:cstheme="minorBidi"/>
              <w:noProof/>
              <w:color w:val="auto"/>
            </w:rPr>
          </w:pPr>
          <w:hyperlink w:anchor="_Toc196407822" w:history="1">
            <w:r w:rsidR="008817CD" w:rsidRPr="008817CD">
              <w:rPr>
                <w:rStyle w:val="Hipervnculo"/>
                <w:noProof/>
              </w:rPr>
              <w:t>SEGUNDO. Causales de improcedencia y sobreseimiento</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_Toc196407822 \h </w:instrText>
            </w:r>
            <w:r w:rsidR="008817CD" w:rsidRPr="008817CD">
              <w:rPr>
                <w:noProof/>
                <w:webHidden/>
              </w:rPr>
            </w:r>
            <w:r w:rsidR="008817CD" w:rsidRPr="008817CD">
              <w:rPr>
                <w:noProof/>
                <w:webHidden/>
              </w:rPr>
              <w:fldChar w:fldCharType="separate"/>
            </w:r>
            <w:r w:rsidR="00965227">
              <w:rPr>
                <w:noProof/>
                <w:webHidden/>
              </w:rPr>
              <w:t>7</w:t>
            </w:r>
            <w:r w:rsidR="008817CD" w:rsidRPr="008817CD">
              <w:rPr>
                <w:noProof/>
                <w:webHidden/>
              </w:rPr>
              <w:fldChar w:fldCharType="end"/>
            </w:r>
          </w:hyperlink>
        </w:p>
        <w:p w14:paraId="54CEBC85" w14:textId="77777777" w:rsidR="008817CD" w:rsidRPr="008817CD" w:rsidRDefault="00DA1C70">
          <w:pPr>
            <w:pStyle w:val="TDC2"/>
            <w:rPr>
              <w:rFonts w:asciiTheme="minorHAnsi" w:eastAsiaTheme="minorEastAsia" w:hAnsiTheme="minorHAnsi" w:cstheme="minorBidi"/>
              <w:noProof/>
              <w:color w:val="auto"/>
            </w:rPr>
          </w:pPr>
          <w:hyperlink w:anchor="_Toc196407823" w:history="1">
            <w:r w:rsidR="008817CD" w:rsidRPr="008817CD">
              <w:rPr>
                <w:rStyle w:val="Hipervnculo"/>
                <w:noProof/>
              </w:rPr>
              <w:t>TERCERO. Determinación de la Controversia</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_Toc196407823 \h </w:instrText>
            </w:r>
            <w:r w:rsidR="008817CD" w:rsidRPr="008817CD">
              <w:rPr>
                <w:noProof/>
                <w:webHidden/>
              </w:rPr>
            </w:r>
            <w:r w:rsidR="008817CD" w:rsidRPr="008817CD">
              <w:rPr>
                <w:noProof/>
                <w:webHidden/>
              </w:rPr>
              <w:fldChar w:fldCharType="separate"/>
            </w:r>
            <w:r w:rsidR="00965227">
              <w:rPr>
                <w:noProof/>
                <w:webHidden/>
              </w:rPr>
              <w:t>8</w:t>
            </w:r>
            <w:r w:rsidR="008817CD" w:rsidRPr="008817CD">
              <w:rPr>
                <w:noProof/>
                <w:webHidden/>
              </w:rPr>
              <w:fldChar w:fldCharType="end"/>
            </w:r>
          </w:hyperlink>
        </w:p>
        <w:p w14:paraId="1A2323AB" w14:textId="77777777" w:rsidR="008817CD" w:rsidRPr="008817CD" w:rsidRDefault="00DA1C70">
          <w:pPr>
            <w:pStyle w:val="TDC2"/>
            <w:rPr>
              <w:rFonts w:asciiTheme="minorHAnsi" w:eastAsiaTheme="minorEastAsia" w:hAnsiTheme="minorHAnsi" w:cstheme="minorBidi"/>
              <w:noProof/>
              <w:color w:val="auto"/>
            </w:rPr>
          </w:pPr>
          <w:hyperlink w:anchor="_Toc196407824" w:history="1">
            <w:r w:rsidR="008817CD" w:rsidRPr="008817CD">
              <w:rPr>
                <w:rStyle w:val="Hipervnculo"/>
                <w:noProof/>
              </w:rPr>
              <w:t>CUARTO. Marco normativo aplicable en materia de transparencia y acceso a la información pública</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_Toc196407824 \h </w:instrText>
            </w:r>
            <w:r w:rsidR="008817CD" w:rsidRPr="008817CD">
              <w:rPr>
                <w:noProof/>
                <w:webHidden/>
              </w:rPr>
            </w:r>
            <w:r w:rsidR="008817CD" w:rsidRPr="008817CD">
              <w:rPr>
                <w:noProof/>
                <w:webHidden/>
              </w:rPr>
              <w:fldChar w:fldCharType="separate"/>
            </w:r>
            <w:r w:rsidR="00965227">
              <w:rPr>
                <w:noProof/>
                <w:webHidden/>
              </w:rPr>
              <w:t>10</w:t>
            </w:r>
            <w:r w:rsidR="008817CD" w:rsidRPr="008817CD">
              <w:rPr>
                <w:noProof/>
                <w:webHidden/>
              </w:rPr>
              <w:fldChar w:fldCharType="end"/>
            </w:r>
          </w:hyperlink>
        </w:p>
        <w:p w14:paraId="511C196F" w14:textId="77777777" w:rsidR="008817CD" w:rsidRPr="008817CD" w:rsidRDefault="00DA1C70">
          <w:pPr>
            <w:pStyle w:val="TDC2"/>
            <w:rPr>
              <w:rFonts w:asciiTheme="minorHAnsi" w:eastAsiaTheme="minorEastAsia" w:hAnsiTheme="minorHAnsi" w:cstheme="minorBidi"/>
              <w:noProof/>
              <w:color w:val="auto"/>
            </w:rPr>
          </w:pPr>
          <w:hyperlink w:anchor="_Toc196407825" w:history="1">
            <w:r w:rsidR="008817CD" w:rsidRPr="008817CD">
              <w:rPr>
                <w:rStyle w:val="Hipervnculo"/>
                <w:smallCaps/>
                <w:noProof/>
              </w:rPr>
              <w:t>QUINTO.</w:t>
            </w:r>
            <w:r w:rsidR="008817CD" w:rsidRPr="008817CD">
              <w:rPr>
                <w:rStyle w:val="Hipervnculo"/>
                <w:noProof/>
              </w:rPr>
              <w:t xml:space="preserve"> Estudio de Fondo</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_Toc196407825 \h </w:instrText>
            </w:r>
            <w:r w:rsidR="008817CD" w:rsidRPr="008817CD">
              <w:rPr>
                <w:noProof/>
                <w:webHidden/>
              </w:rPr>
            </w:r>
            <w:r w:rsidR="008817CD" w:rsidRPr="008817CD">
              <w:rPr>
                <w:noProof/>
                <w:webHidden/>
              </w:rPr>
              <w:fldChar w:fldCharType="separate"/>
            </w:r>
            <w:r w:rsidR="00965227">
              <w:rPr>
                <w:noProof/>
                <w:webHidden/>
              </w:rPr>
              <w:t>11</w:t>
            </w:r>
            <w:r w:rsidR="008817CD" w:rsidRPr="008817CD">
              <w:rPr>
                <w:noProof/>
                <w:webHidden/>
              </w:rPr>
              <w:fldChar w:fldCharType="end"/>
            </w:r>
          </w:hyperlink>
        </w:p>
        <w:p w14:paraId="3E0887A6" w14:textId="77777777" w:rsidR="008817CD" w:rsidRPr="008817CD" w:rsidRDefault="00DA1C70">
          <w:pPr>
            <w:pStyle w:val="TDC2"/>
            <w:rPr>
              <w:rFonts w:asciiTheme="minorHAnsi" w:eastAsiaTheme="minorEastAsia" w:hAnsiTheme="minorHAnsi" w:cstheme="minorBidi"/>
              <w:noProof/>
              <w:color w:val="auto"/>
            </w:rPr>
          </w:pPr>
          <w:hyperlink w:anchor="_Toc196407826" w:history="1">
            <w:r w:rsidR="008817CD" w:rsidRPr="008817CD">
              <w:rPr>
                <w:rStyle w:val="Hipervnculo"/>
                <w:noProof/>
              </w:rPr>
              <w:t>SEXTO. Decisión</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_Toc196407826 \h </w:instrText>
            </w:r>
            <w:r w:rsidR="008817CD" w:rsidRPr="008817CD">
              <w:rPr>
                <w:noProof/>
                <w:webHidden/>
              </w:rPr>
            </w:r>
            <w:r w:rsidR="008817CD" w:rsidRPr="008817CD">
              <w:rPr>
                <w:noProof/>
                <w:webHidden/>
              </w:rPr>
              <w:fldChar w:fldCharType="separate"/>
            </w:r>
            <w:r w:rsidR="00965227">
              <w:rPr>
                <w:noProof/>
                <w:webHidden/>
              </w:rPr>
              <w:t>39</w:t>
            </w:r>
            <w:r w:rsidR="008817CD" w:rsidRPr="008817CD">
              <w:rPr>
                <w:noProof/>
                <w:webHidden/>
              </w:rPr>
              <w:fldChar w:fldCharType="end"/>
            </w:r>
          </w:hyperlink>
        </w:p>
        <w:p w14:paraId="6848BA5A" w14:textId="77777777" w:rsidR="008817CD" w:rsidRPr="008817CD" w:rsidRDefault="00DA1C70">
          <w:pPr>
            <w:pStyle w:val="TDC1"/>
            <w:tabs>
              <w:tab w:val="right" w:leader="dot" w:pos="9204"/>
            </w:tabs>
            <w:rPr>
              <w:rFonts w:asciiTheme="minorHAnsi" w:eastAsiaTheme="minorEastAsia" w:hAnsiTheme="minorHAnsi" w:cstheme="minorBidi"/>
              <w:noProof/>
              <w:color w:val="auto"/>
            </w:rPr>
          </w:pPr>
          <w:hyperlink w:anchor="_Toc196407827" w:history="1">
            <w:r w:rsidR="008817CD" w:rsidRPr="008817CD">
              <w:rPr>
                <w:rStyle w:val="Hipervnculo"/>
                <w:noProof/>
              </w:rPr>
              <w:t>R E S U E L V E</w:t>
            </w:r>
            <w:r w:rsidR="008817CD" w:rsidRPr="008817CD">
              <w:rPr>
                <w:noProof/>
                <w:webHidden/>
              </w:rPr>
              <w:tab/>
            </w:r>
            <w:r w:rsidR="008817CD" w:rsidRPr="008817CD">
              <w:rPr>
                <w:noProof/>
                <w:webHidden/>
              </w:rPr>
              <w:fldChar w:fldCharType="begin"/>
            </w:r>
            <w:r w:rsidR="008817CD" w:rsidRPr="008817CD">
              <w:rPr>
                <w:noProof/>
                <w:webHidden/>
              </w:rPr>
              <w:instrText xml:space="preserve"> PAGEREF _Toc196407827 \h </w:instrText>
            </w:r>
            <w:r w:rsidR="008817CD" w:rsidRPr="008817CD">
              <w:rPr>
                <w:noProof/>
                <w:webHidden/>
              </w:rPr>
            </w:r>
            <w:r w:rsidR="008817CD" w:rsidRPr="008817CD">
              <w:rPr>
                <w:noProof/>
                <w:webHidden/>
              </w:rPr>
              <w:fldChar w:fldCharType="separate"/>
            </w:r>
            <w:r w:rsidR="00965227">
              <w:rPr>
                <w:noProof/>
                <w:webHidden/>
              </w:rPr>
              <w:t>40</w:t>
            </w:r>
            <w:r w:rsidR="008817CD" w:rsidRPr="008817CD">
              <w:rPr>
                <w:noProof/>
                <w:webHidden/>
              </w:rPr>
              <w:fldChar w:fldCharType="end"/>
            </w:r>
          </w:hyperlink>
        </w:p>
        <w:p w14:paraId="7CC81C79" w14:textId="377B67E3" w:rsidR="00A31B2D" w:rsidRPr="008817CD" w:rsidRDefault="00A31B2D" w:rsidP="00621403">
          <w:pPr>
            <w:spacing w:after="0" w:line="360" w:lineRule="auto"/>
            <w:rPr>
              <w:rFonts w:eastAsiaTheme="minorHAnsi" w:cstheme="minorBidi"/>
              <w:color w:val="FF0000"/>
              <w:lang w:eastAsia="en-US"/>
            </w:rPr>
          </w:pPr>
          <w:r w:rsidRPr="008817CD">
            <w:rPr>
              <w:rFonts w:eastAsiaTheme="minorHAnsi" w:cstheme="minorBidi"/>
              <w:b/>
              <w:bCs/>
              <w:lang w:val="es-ES" w:eastAsia="en-US"/>
            </w:rPr>
            <w:fldChar w:fldCharType="end"/>
          </w:r>
        </w:p>
      </w:sdtContent>
    </w:sdt>
    <w:p w14:paraId="33293B52" w14:textId="77777777" w:rsidR="00763977" w:rsidRPr="008817CD" w:rsidRDefault="002033C0" w:rsidP="00621403">
      <w:pPr>
        <w:widowControl w:val="0"/>
        <w:pBdr>
          <w:top w:val="nil"/>
          <w:left w:val="nil"/>
          <w:bottom w:val="nil"/>
          <w:right w:val="nil"/>
          <w:between w:val="nil"/>
        </w:pBdr>
        <w:spacing w:after="0" w:line="360" w:lineRule="auto"/>
        <w:jc w:val="left"/>
        <w:rPr>
          <w:color w:val="auto"/>
        </w:rPr>
      </w:pPr>
      <w:r w:rsidRPr="008817CD">
        <w:rPr>
          <w:color w:val="FF0000"/>
        </w:rPr>
        <w:br w:type="column"/>
      </w:r>
    </w:p>
    <w:p w14:paraId="4FD57541" w14:textId="401803C6" w:rsidR="00763977" w:rsidRPr="008817CD" w:rsidRDefault="002033C0" w:rsidP="00621403">
      <w:pPr>
        <w:spacing w:after="0" w:line="360" w:lineRule="auto"/>
        <w:rPr>
          <w:color w:val="auto"/>
        </w:rPr>
      </w:pPr>
      <w:r w:rsidRPr="008817CD">
        <w:rPr>
          <w:color w:val="auto"/>
        </w:rPr>
        <w:t xml:space="preserve">Resolución del Pleno del Instituto de Transparencia, Acceso a la Información Pública y Protección de Datos Personales del Estado de México y Municipios, con domicilio en Metepec, Estado de México, de fecha </w:t>
      </w:r>
      <w:r w:rsidR="00482CF2" w:rsidRPr="008817CD">
        <w:rPr>
          <w:color w:val="auto"/>
        </w:rPr>
        <w:t>veintitrés de abril de dos mil veinticinco.</w:t>
      </w:r>
    </w:p>
    <w:p w14:paraId="4B002EDB" w14:textId="77777777" w:rsidR="00763977" w:rsidRPr="008817CD" w:rsidRDefault="00763977" w:rsidP="00621403">
      <w:pPr>
        <w:spacing w:after="0" w:line="360" w:lineRule="auto"/>
        <w:rPr>
          <w:b/>
          <w:color w:val="FF0000"/>
        </w:rPr>
      </w:pPr>
    </w:p>
    <w:p w14:paraId="61126524" w14:textId="2B0F8DB5" w:rsidR="00763977" w:rsidRPr="008817CD" w:rsidRDefault="002033C0" w:rsidP="00621403">
      <w:pPr>
        <w:spacing w:after="0" w:line="360" w:lineRule="auto"/>
        <w:rPr>
          <w:color w:val="auto"/>
        </w:rPr>
      </w:pPr>
      <w:bookmarkStart w:id="0" w:name="_heading=h.gjdgxs" w:colFirst="0" w:colLast="0"/>
      <w:bookmarkEnd w:id="0"/>
      <w:r w:rsidRPr="008817CD">
        <w:rPr>
          <w:b/>
          <w:color w:val="auto"/>
        </w:rPr>
        <w:t>VISTO</w:t>
      </w:r>
      <w:r w:rsidRPr="008817CD">
        <w:rPr>
          <w:color w:val="auto"/>
        </w:rPr>
        <w:t xml:space="preserve"> el expediente conformado con motivo del Recurso de Revisión </w:t>
      </w:r>
      <w:r w:rsidRPr="000820B0">
        <w:rPr>
          <w:b/>
          <w:color w:val="auto"/>
        </w:rPr>
        <w:t>0</w:t>
      </w:r>
      <w:r w:rsidR="00482CF2" w:rsidRPr="000820B0">
        <w:rPr>
          <w:b/>
          <w:color w:val="auto"/>
        </w:rPr>
        <w:t>2656</w:t>
      </w:r>
      <w:r w:rsidRPr="000820B0">
        <w:rPr>
          <w:b/>
          <w:color w:val="auto"/>
        </w:rPr>
        <w:t>/INFOEM/IP/RR/2025</w:t>
      </w:r>
      <w:r w:rsidRPr="008817CD">
        <w:rPr>
          <w:color w:val="auto"/>
        </w:rPr>
        <w:t xml:space="preserve">, interpuesto por la persona Recurrente o Particular, en contra de la respuesta del Sujeto Obligado, </w:t>
      </w:r>
      <w:bookmarkStart w:id="1" w:name="_GoBack"/>
      <w:r w:rsidRPr="000820B0">
        <w:rPr>
          <w:b/>
          <w:color w:val="auto"/>
        </w:rPr>
        <w:t>Ayuntamiento de Toluca</w:t>
      </w:r>
      <w:bookmarkEnd w:id="1"/>
      <w:r w:rsidRPr="008817CD">
        <w:rPr>
          <w:color w:val="auto"/>
        </w:rPr>
        <w:t>, a la solicitud de acceso a la información 0</w:t>
      </w:r>
      <w:r w:rsidR="00482CF2" w:rsidRPr="008817CD">
        <w:rPr>
          <w:color w:val="auto"/>
        </w:rPr>
        <w:t>0752</w:t>
      </w:r>
      <w:r w:rsidRPr="008817CD">
        <w:rPr>
          <w:color w:val="auto"/>
        </w:rPr>
        <w:t>/TOLUCA/IP/2024, se emite la presente Resolución, con base en los Antecedentes y Considerandos que se exponen a continuación:</w:t>
      </w:r>
    </w:p>
    <w:p w14:paraId="19BF1143" w14:textId="77777777" w:rsidR="00763977" w:rsidRPr="008817CD" w:rsidRDefault="00763977" w:rsidP="00621403">
      <w:pPr>
        <w:spacing w:after="0" w:line="360" w:lineRule="auto"/>
        <w:rPr>
          <w:color w:val="FF0000"/>
        </w:rPr>
      </w:pPr>
    </w:p>
    <w:p w14:paraId="5206027E" w14:textId="77777777" w:rsidR="00763977" w:rsidRPr="008817CD" w:rsidRDefault="002033C0" w:rsidP="00621403">
      <w:pPr>
        <w:pStyle w:val="Ttulo1"/>
        <w:spacing w:before="0" w:after="0"/>
        <w:rPr>
          <w:color w:val="auto"/>
        </w:rPr>
      </w:pPr>
      <w:bookmarkStart w:id="2" w:name="_Toc196407815"/>
      <w:r w:rsidRPr="008817CD">
        <w:rPr>
          <w:color w:val="auto"/>
        </w:rPr>
        <w:t>A N T E C E D E N T E S</w:t>
      </w:r>
      <w:bookmarkEnd w:id="2"/>
    </w:p>
    <w:p w14:paraId="4B9A7CBB" w14:textId="77777777" w:rsidR="00763977" w:rsidRPr="008817CD" w:rsidRDefault="00763977" w:rsidP="00621403">
      <w:pPr>
        <w:spacing w:after="0" w:line="360" w:lineRule="auto"/>
        <w:rPr>
          <w:color w:val="auto"/>
        </w:rPr>
      </w:pPr>
    </w:p>
    <w:p w14:paraId="00AFED6D" w14:textId="77777777" w:rsidR="00763977" w:rsidRPr="008817CD" w:rsidRDefault="002033C0" w:rsidP="00621403">
      <w:pPr>
        <w:pStyle w:val="Ttulo2"/>
        <w:spacing w:before="0" w:after="0"/>
        <w:rPr>
          <w:color w:val="auto"/>
        </w:rPr>
      </w:pPr>
      <w:bookmarkStart w:id="3" w:name="_Toc196407816"/>
      <w:r w:rsidRPr="008817CD">
        <w:rPr>
          <w:color w:val="auto"/>
        </w:rPr>
        <w:t>I. Presentación de la solicitud</w:t>
      </w:r>
      <w:bookmarkEnd w:id="3"/>
    </w:p>
    <w:p w14:paraId="783419C1" w14:textId="77777777" w:rsidR="00763977" w:rsidRPr="008817CD" w:rsidRDefault="00763977" w:rsidP="00621403">
      <w:pPr>
        <w:tabs>
          <w:tab w:val="left" w:pos="567"/>
        </w:tabs>
        <w:spacing w:after="0" w:line="360" w:lineRule="auto"/>
        <w:rPr>
          <w:color w:val="FF0000"/>
        </w:rPr>
      </w:pPr>
    </w:p>
    <w:p w14:paraId="01CCF2EF" w14:textId="3C5B3D06" w:rsidR="00763977" w:rsidRPr="008817CD" w:rsidRDefault="002033C0" w:rsidP="00621403">
      <w:pPr>
        <w:spacing w:after="0" w:line="360" w:lineRule="auto"/>
        <w:rPr>
          <w:color w:val="auto"/>
        </w:rPr>
      </w:pPr>
      <w:r w:rsidRPr="008817CD">
        <w:rPr>
          <w:color w:val="auto"/>
        </w:rPr>
        <w:t>Con fecha d</w:t>
      </w:r>
      <w:r w:rsidR="00482CF2" w:rsidRPr="008817CD">
        <w:rPr>
          <w:color w:val="auto"/>
        </w:rPr>
        <w:t>iez de febrero de dos mil veinticinco</w:t>
      </w:r>
      <w:r w:rsidRPr="008817CD">
        <w:rPr>
          <w:color w:val="auto"/>
        </w:rPr>
        <w:t>, el Particular presentó una solicitud de acceso a la información pública a través del Sistema de Acceso a la Información Mexiquense (SAIMEX), ante el Sujeto Obligado</w:t>
      </w:r>
      <w:r w:rsidR="00482CF2" w:rsidRPr="008817CD">
        <w:rPr>
          <w:color w:val="auto"/>
        </w:rPr>
        <w:t xml:space="preserve"> (ya que, si bien se tuvo por presentada el nueve de dichos mes y año, este fue inhábil por lo que se tuvo por presentada el día hábil subsecuente)</w:t>
      </w:r>
      <w:r w:rsidRPr="008817CD">
        <w:rPr>
          <w:color w:val="auto"/>
        </w:rPr>
        <w:t xml:space="preserve">, en los siguientes términos: </w:t>
      </w:r>
    </w:p>
    <w:p w14:paraId="2E90768B" w14:textId="77777777" w:rsidR="00763977" w:rsidRPr="008817CD" w:rsidRDefault="00763977" w:rsidP="00621403">
      <w:pPr>
        <w:spacing w:after="0" w:line="360" w:lineRule="auto"/>
        <w:rPr>
          <w:color w:val="FF0000"/>
        </w:rPr>
      </w:pPr>
    </w:p>
    <w:p w14:paraId="7720836B" w14:textId="77777777" w:rsidR="00763977" w:rsidRPr="008817CD" w:rsidRDefault="002033C0" w:rsidP="00621403">
      <w:pPr>
        <w:tabs>
          <w:tab w:val="left" w:pos="4667"/>
        </w:tabs>
        <w:spacing w:after="0" w:line="360" w:lineRule="auto"/>
        <w:ind w:left="567" w:right="567"/>
        <w:rPr>
          <w:b/>
          <w:i/>
          <w:color w:val="auto"/>
          <w:sz w:val="20"/>
          <w:szCs w:val="20"/>
        </w:rPr>
      </w:pPr>
      <w:r w:rsidRPr="008817CD">
        <w:rPr>
          <w:b/>
          <w:i/>
          <w:color w:val="auto"/>
          <w:sz w:val="20"/>
          <w:szCs w:val="20"/>
        </w:rPr>
        <w:t>“DESCRIPCIÓN CLARA Y PRECISA DE LA INFORMACIÓN SOLICITADA.</w:t>
      </w:r>
    </w:p>
    <w:p w14:paraId="08DF79DC" w14:textId="20774A2D" w:rsidR="00763977" w:rsidRPr="008817CD" w:rsidRDefault="00482CF2" w:rsidP="00621403">
      <w:pPr>
        <w:spacing w:after="0" w:line="360" w:lineRule="auto"/>
        <w:ind w:left="567" w:right="567"/>
        <w:rPr>
          <w:i/>
          <w:color w:val="auto"/>
          <w:sz w:val="20"/>
          <w:szCs w:val="20"/>
        </w:rPr>
      </w:pPr>
      <w:r w:rsidRPr="008817CD">
        <w:rPr>
          <w:i/>
          <w:color w:val="auto"/>
          <w:sz w:val="20"/>
          <w:szCs w:val="20"/>
        </w:rPr>
        <w:t xml:space="preserve">Del presupuesto autorizado en 2024 para la compra y entrega de calentadores se solicita el contrato de la </w:t>
      </w:r>
      <w:proofErr w:type="spellStart"/>
      <w:r w:rsidRPr="008817CD">
        <w:rPr>
          <w:i/>
          <w:color w:val="auto"/>
          <w:sz w:val="20"/>
          <w:szCs w:val="20"/>
        </w:rPr>
        <w:t>adquisicion</w:t>
      </w:r>
      <w:proofErr w:type="spellEnd"/>
      <w:r w:rsidRPr="008817CD">
        <w:rPr>
          <w:i/>
          <w:color w:val="auto"/>
          <w:sz w:val="20"/>
          <w:szCs w:val="20"/>
        </w:rPr>
        <w:t xml:space="preserve"> de los calentadores, el proveedor, cuanto costo y lo pagado de ese contrata con el documento que le demuestre y el Nombre o </w:t>
      </w:r>
      <w:proofErr w:type="spellStart"/>
      <w:r w:rsidRPr="008817CD">
        <w:rPr>
          <w:i/>
          <w:color w:val="auto"/>
          <w:sz w:val="20"/>
          <w:szCs w:val="20"/>
        </w:rPr>
        <w:t>dumento</w:t>
      </w:r>
      <w:proofErr w:type="spellEnd"/>
      <w:r w:rsidRPr="008817CD">
        <w:rPr>
          <w:i/>
          <w:color w:val="auto"/>
          <w:sz w:val="20"/>
          <w:szCs w:val="20"/>
        </w:rPr>
        <w:t xml:space="preserve"> que demuestre aquí se les entrego el calentador cuantos calentadores no se entregaron” </w:t>
      </w:r>
    </w:p>
    <w:p w14:paraId="1967762A" w14:textId="77777777" w:rsidR="00482CF2" w:rsidRPr="008817CD" w:rsidRDefault="00482CF2" w:rsidP="00621403">
      <w:pPr>
        <w:tabs>
          <w:tab w:val="left" w:pos="4667"/>
        </w:tabs>
        <w:spacing w:after="0" w:line="360" w:lineRule="auto"/>
        <w:ind w:left="567" w:right="567"/>
        <w:rPr>
          <w:b/>
          <w:i/>
          <w:color w:val="auto"/>
          <w:sz w:val="20"/>
          <w:szCs w:val="20"/>
        </w:rPr>
      </w:pPr>
    </w:p>
    <w:p w14:paraId="18706754" w14:textId="77777777" w:rsidR="004C2A82" w:rsidRPr="008817CD" w:rsidRDefault="004C2A82" w:rsidP="00621403">
      <w:pPr>
        <w:tabs>
          <w:tab w:val="left" w:pos="4667"/>
        </w:tabs>
        <w:spacing w:after="0" w:line="360" w:lineRule="auto"/>
        <w:ind w:left="567" w:right="567"/>
        <w:rPr>
          <w:b/>
          <w:i/>
          <w:color w:val="auto"/>
          <w:sz w:val="20"/>
          <w:szCs w:val="20"/>
        </w:rPr>
      </w:pPr>
    </w:p>
    <w:p w14:paraId="00529D54" w14:textId="77777777" w:rsidR="00763977" w:rsidRPr="008817CD" w:rsidRDefault="002033C0" w:rsidP="00621403">
      <w:pPr>
        <w:tabs>
          <w:tab w:val="left" w:pos="4667"/>
        </w:tabs>
        <w:spacing w:after="0" w:line="360" w:lineRule="auto"/>
        <w:ind w:left="567" w:right="567"/>
        <w:rPr>
          <w:b/>
          <w:i/>
          <w:color w:val="auto"/>
          <w:sz w:val="20"/>
          <w:szCs w:val="20"/>
        </w:rPr>
      </w:pPr>
      <w:r w:rsidRPr="008817CD">
        <w:rPr>
          <w:b/>
          <w:i/>
          <w:color w:val="auto"/>
          <w:sz w:val="20"/>
          <w:szCs w:val="20"/>
        </w:rPr>
        <w:lastRenderedPageBreak/>
        <w:t>“MODALIDAD DE ENTREGA</w:t>
      </w:r>
    </w:p>
    <w:p w14:paraId="7C6A6007" w14:textId="77777777" w:rsidR="00763977" w:rsidRPr="008817CD" w:rsidRDefault="002033C0" w:rsidP="00621403">
      <w:pPr>
        <w:spacing w:after="0" w:line="360" w:lineRule="auto"/>
        <w:ind w:left="567" w:right="567"/>
        <w:rPr>
          <w:i/>
          <w:color w:val="auto"/>
          <w:sz w:val="20"/>
          <w:szCs w:val="20"/>
        </w:rPr>
      </w:pPr>
      <w:r w:rsidRPr="008817CD">
        <w:rPr>
          <w:i/>
          <w:color w:val="auto"/>
          <w:sz w:val="20"/>
          <w:szCs w:val="20"/>
        </w:rPr>
        <w:t>A través del SAIMEX”</w:t>
      </w:r>
    </w:p>
    <w:p w14:paraId="17F2D572" w14:textId="77777777" w:rsidR="00763977" w:rsidRPr="008817CD" w:rsidRDefault="00763977" w:rsidP="00621403">
      <w:pPr>
        <w:spacing w:after="0" w:line="360" w:lineRule="auto"/>
        <w:rPr>
          <w:b/>
          <w:color w:val="FF0000"/>
        </w:rPr>
      </w:pPr>
    </w:p>
    <w:p w14:paraId="59F343AA" w14:textId="77777777" w:rsidR="00763977" w:rsidRPr="008817CD" w:rsidRDefault="002033C0" w:rsidP="00621403">
      <w:pPr>
        <w:pStyle w:val="Ttulo2"/>
        <w:spacing w:before="0" w:after="0"/>
        <w:rPr>
          <w:color w:val="auto"/>
        </w:rPr>
      </w:pPr>
      <w:bookmarkStart w:id="4" w:name="_Toc196407817"/>
      <w:r w:rsidRPr="008817CD">
        <w:rPr>
          <w:color w:val="auto"/>
        </w:rPr>
        <w:t>II. Respuesta del Sujeto Obligado</w:t>
      </w:r>
      <w:bookmarkEnd w:id="4"/>
    </w:p>
    <w:p w14:paraId="6477B503" w14:textId="77777777" w:rsidR="00763977" w:rsidRPr="008817CD" w:rsidRDefault="00763977" w:rsidP="00621403">
      <w:pPr>
        <w:spacing w:after="0" w:line="360" w:lineRule="auto"/>
        <w:rPr>
          <w:b/>
          <w:color w:val="FF0000"/>
        </w:rPr>
      </w:pPr>
    </w:p>
    <w:p w14:paraId="5C9F14E6" w14:textId="19AC4290" w:rsidR="00763977" w:rsidRPr="008817CD" w:rsidRDefault="002033C0" w:rsidP="00621403">
      <w:pPr>
        <w:spacing w:after="0" w:line="360" w:lineRule="auto"/>
        <w:rPr>
          <w:color w:val="auto"/>
        </w:rPr>
      </w:pPr>
      <w:r w:rsidRPr="008817CD">
        <w:rPr>
          <w:color w:val="auto"/>
        </w:rPr>
        <w:t xml:space="preserve">Con fecha </w:t>
      </w:r>
      <w:r w:rsidR="00482CF2" w:rsidRPr="008817CD">
        <w:rPr>
          <w:color w:val="auto"/>
        </w:rPr>
        <w:t xml:space="preserve">cinco de marzo de dos mil veinticinco, </w:t>
      </w:r>
      <w:r w:rsidRPr="008817CD">
        <w:rPr>
          <w:color w:val="auto"/>
        </w:rPr>
        <w:t xml:space="preserve">el Sujeto Obligado notificó, a través del Sistema de Acceso a la Información Mexiquense (SAIMEX), la respuesta a la solicitud de acceso a la información pública, a través de </w:t>
      </w:r>
      <w:r w:rsidR="00482CF2" w:rsidRPr="008817CD">
        <w:rPr>
          <w:color w:val="auto"/>
        </w:rPr>
        <w:t>un escrito del cuatro de marzo de dos mil veintidós, suscrito por el Titular de la Unidad de Transparencia, dirigido al Solicitante, por medio del cual se menciona lo siguiente:</w:t>
      </w:r>
    </w:p>
    <w:p w14:paraId="21C0A16F" w14:textId="77777777" w:rsidR="00B677CC" w:rsidRPr="008817CD" w:rsidRDefault="00B677CC" w:rsidP="00621403">
      <w:pPr>
        <w:spacing w:after="0" w:line="360" w:lineRule="auto"/>
        <w:rPr>
          <w:color w:val="auto"/>
        </w:rPr>
      </w:pPr>
    </w:p>
    <w:p w14:paraId="678C0455" w14:textId="1212CE68" w:rsidR="00581197" w:rsidRPr="008817CD" w:rsidRDefault="002033C0" w:rsidP="00621403">
      <w:pPr>
        <w:spacing w:after="0" w:line="360" w:lineRule="auto"/>
        <w:ind w:left="567" w:right="567"/>
        <w:rPr>
          <w:i/>
          <w:color w:val="FF0000"/>
          <w:sz w:val="20"/>
          <w:szCs w:val="20"/>
        </w:rPr>
      </w:pPr>
      <w:r w:rsidRPr="008817CD">
        <w:rPr>
          <w:i/>
          <w:color w:val="auto"/>
          <w:sz w:val="20"/>
          <w:szCs w:val="20"/>
        </w:rPr>
        <w:t xml:space="preserve">“… hago de su conocimiento que la </w:t>
      </w:r>
      <w:r w:rsidRPr="008817CD">
        <w:rPr>
          <w:b/>
          <w:i/>
          <w:color w:val="auto"/>
          <w:sz w:val="20"/>
          <w:szCs w:val="20"/>
        </w:rPr>
        <w:t>Dirección General de Administración y Servidor Público Habilitado</w:t>
      </w:r>
      <w:r w:rsidRPr="008817CD">
        <w:rPr>
          <w:i/>
          <w:color w:val="auto"/>
          <w:sz w:val="20"/>
          <w:szCs w:val="20"/>
        </w:rPr>
        <w:t xml:space="preserve">, informó que una vez analizada la información y en virtud de dar atención a la misma, se informa que no es competencia de la Dirección General de Administración, toda vez que la información requerida en los términos solicitados no se genera, recopila, administra, procesa, archiva o conserva en esta Unidad Administrativa, lo anterior de conformidad con el artículo 167 de la Ley de Transparencia y Acceso a la Información Pública del Estado de México y Municipios y el artículo </w:t>
      </w:r>
      <w:r w:rsidR="00581197" w:rsidRPr="008817CD">
        <w:rPr>
          <w:i/>
          <w:color w:val="auto"/>
          <w:sz w:val="20"/>
          <w:szCs w:val="20"/>
        </w:rPr>
        <w:t>3.11 fracciones XI y XII del Código Reglamentario Municipal de Toluca vigente, a la fecha de la presente respuesta.</w:t>
      </w:r>
    </w:p>
    <w:p w14:paraId="17E056A9" w14:textId="77777777" w:rsidR="00763977" w:rsidRPr="008817CD" w:rsidRDefault="00763977" w:rsidP="00621403">
      <w:pPr>
        <w:spacing w:after="0" w:line="360" w:lineRule="auto"/>
        <w:ind w:right="567"/>
        <w:rPr>
          <w:i/>
          <w:color w:val="FF0000"/>
          <w:sz w:val="20"/>
          <w:szCs w:val="20"/>
        </w:rPr>
      </w:pPr>
    </w:p>
    <w:p w14:paraId="14694745" w14:textId="75B51A22" w:rsidR="00763977" w:rsidRPr="008817CD" w:rsidRDefault="002033C0" w:rsidP="00621403">
      <w:pPr>
        <w:spacing w:after="0" w:line="360" w:lineRule="auto"/>
        <w:ind w:left="567" w:right="567"/>
        <w:rPr>
          <w:i/>
          <w:color w:val="auto"/>
          <w:sz w:val="20"/>
          <w:szCs w:val="20"/>
        </w:rPr>
      </w:pPr>
      <w:r w:rsidRPr="008817CD">
        <w:rPr>
          <w:i/>
          <w:color w:val="auto"/>
          <w:sz w:val="20"/>
          <w:szCs w:val="20"/>
        </w:rPr>
        <w:t xml:space="preserve">Por lo que respecta de la </w:t>
      </w:r>
      <w:r w:rsidRPr="008817CD">
        <w:rPr>
          <w:b/>
          <w:i/>
          <w:color w:val="auto"/>
          <w:sz w:val="20"/>
          <w:szCs w:val="20"/>
        </w:rPr>
        <w:t>Tesorería Municipal y Servidora Pública Habilitada</w:t>
      </w:r>
      <w:r w:rsidRPr="008817CD">
        <w:rPr>
          <w:i/>
          <w:color w:val="auto"/>
          <w:sz w:val="20"/>
          <w:szCs w:val="20"/>
        </w:rPr>
        <w:t xml:space="preserve">, informó que </w:t>
      </w:r>
      <w:r w:rsidR="00581197" w:rsidRPr="008817CD">
        <w:rPr>
          <w:i/>
          <w:color w:val="auto"/>
          <w:sz w:val="20"/>
          <w:szCs w:val="20"/>
        </w:rPr>
        <w:t>se adjunta al presente la Carátula del Presupuesto de Egresos correspondiente al ejercicio fiscal 2024, a fin de que se pueda visualizar el presupuesto autorizado.</w:t>
      </w:r>
    </w:p>
    <w:p w14:paraId="25212157" w14:textId="77777777" w:rsidR="00581197" w:rsidRPr="008817CD" w:rsidRDefault="00581197" w:rsidP="00621403">
      <w:pPr>
        <w:spacing w:after="0" w:line="360" w:lineRule="auto"/>
        <w:ind w:left="567" w:right="567"/>
        <w:rPr>
          <w:i/>
          <w:color w:val="auto"/>
          <w:sz w:val="20"/>
          <w:szCs w:val="20"/>
        </w:rPr>
      </w:pPr>
    </w:p>
    <w:p w14:paraId="010E26D9" w14:textId="21250007" w:rsidR="00581197" w:rsidRPr="008817CD" w:rsidRDefault="00D86429" w:rsidP="00621403">
      <w:pPr>
        <w:spacing w:after="0" w:line="360" w:lineRule="auto"/>
        <w:ind w:left="567" w:right="567"/>
        <w:rPr>
          <w:i/>
          <w:color w:val="auto"/>
          <w:sz w:val="20"/>
          <w:szCs w:val="20"/>
        </w:rPr>
      </w:pPr>
      <w:r w:rsidRPr="008817CD">
        <w:rPr>
          <w:i/>
          <w:color w:val="auto"/>
          <w:sz w:val="20"/>
          <w:szCs w:val="20"/>
        </w:rPr>
        <w:t>Por otro lado, respecto a los importes pagados con motivo de la compra y entrega de cantadores solares, le informo que, la cantidad pagada al 31 de diciembre de 2024, asciende a la cantidad de $21, 7 66,816.51 (veintiún millones setecientos sesenta y seis mil ochocientos dieciséis 51/100 M.N.).</w:t>
      </w:r>
    </w:p>
    <w:p w14:paraId="10B494A7" w14:textId="77777777" w:rsidR="00D86429" w:rsidRPr="008817CD" w:rsidRDefault="00D86429" w:rsidP="00621403">
      <w:pPr>
        <w:spacing w:after="0" w:line="360" w:lineRule="auto"/>
        <w:ind w:left="567" w:right="567"/>
        <w:rPr>
          <w:i/>
          <w:color w:val="auto"/>
          <w:sz w:val="20"/>
          <w:szCs w:val="20"/>
        </w:rPr>
      </w:pPr>
    </w:p>
    <w:p w14:paraId="24C7DBDD" w14:textId="2092AC80" w:rsidR="00763977" w:rsidRPr="008817CD" w:rsidRDefault="00D86429" w:rsidP="00621403">
      <w:pPr>
        <w:spacing w:after="0" w:line="360" w:lineRule="auto"/>
        <w:ind w:left="567" w:right="567"/>
        <w:rPr>
          <w:i/>
          <w:color w:val="auto"/>
          <w:sz w:val="20"/>
          <w:szCs w:val="20"/>
        </w:rPr>
      </w:pPr>
      <w:r w:rsidRPr="008817CD">
        <w:rPr>
          <w:i/>
          <w:color w:val="auto"/>
          <w:sz w:val="20"/>
          <w:szCs w:val="20"/>
        </w:rPr>
        <w:lastRenderedPageBreak/>
        <w:t xml:space="preserve">Así mimo la </w:t>
      </w:r>
      <w:r w:rsidRPr="008817CD">
        <w:rPr>
          <w:b/>
          <w:bCs/>
          <w:i/>
          <w:color w:val="auto"/>
          <w:sz w:val="20"/>
          <w:szCs w:val="20"/>
        </w:rPr>
        <w:t xml:space="preserve">Dirección General de Desarrollo Económico y Servidora Pública Habilitada, </w:t>
      </w:r>
      <w:r w:rsidRPr="008817CD">
        <w:rPr>
          <w:i/>
          <w:color w:val="auto"/>
          <w:sz w:val="20"/>
          <w:szCs w:val="20"/>
        </w:rPr>
        <w:t>informó que la Dependencia no genera, no administra, ni posee dicha información…” (Sic)</w:t>
      </w:r>
    </w:p>
    <w:p w14:paraId="511DAE53" w14:textId="77777777" w:rsidR="004C2A82" w:rsidRPr="008817CD" w:rsidRDefault="004C2A82" w:rsidP="00621403">
      <w:pPr>
        <w:spacing w:after="0" w:line="360" w:lineRule="auto"/>
        <w:ind w:left="567" w:right="567"/>
        <w:rPr>
          <w:i/>
          <w:color w:val="auto"/>
          <w:sz w:val="20"/>
          <w:szCs w:val="20"/>
        </w:rPr>
      </w:pPr>
    </w:p>
    <w:p w14:paraId="224A718C" w14:textId="77777777" w:rsidR="00763977" w:rsidRPr="008817CD" w:rsidRDefault="002033C0" w:rsidP="00621403">
      <w:pPr>
        <w:pStyle w:val="Ttulo2"/>
        <w:spacing w:before="0" w:after="0"/>
        <w:rPr>
          <w:color w:val="auto"/>
        </w:rPr>
      </w:pPr>
      <w:bookmarkStart w:id="5" w:name="_Toc196407818"/>
      <w:r w:rsidRPr="008817CD">
        <w:rPr>
          <w:color w:val="auto"/>
        </w:rPr>
        <w:t>III. Interposición del Recurso de Revisión</w:t>
      </w:r>
      <w:bookmarkEnd w:id="5"/>
    </w:p>
    <w:p w14:paraId="1CF2CD8C" w14:textId="77777777" w:rsidR="00763977" w:rsidRPr="008817CD" w:rsidRDefault="00763977" w:rsidP="00621403">
      <w:pPr>
        <w:spacing w:after="0" w:line="360" w:lineRule="auto"/>
        <w:rPr>
          <w:b/>
          <w:color w:val="auto"/>
        </w:rPr>
      </w:pPr>
    </w:p>
    <w:p w14:paraId="29C4247D" w14:textId="661F9FFA" w:rsidR="00763977" w:rsidRPr="008817CD" w:rsidRDefault="00273A69" w:rsidP="00621403">
      <w:pPr>
        <w:spacing w:after="0" w:line="360" w:lineRule="auto"/>
        <w:rPr>
          <w:color w:val="auto"/>
        </w:rPr>
      </w:pPr>
      <w:r w:rsidRPr="008817CD">
        <w:rPr>
          <w:color w:val="auto"/>
        </w:rPr>
        <w:t xml:space="preserve">El diez de marzo de dos mil veinticinco, </w:t>
      </w:r>
      <w:r w:rsidR="002033C0" w:rsidRPr="008817CD">
        <w:rPr>
          <w:color w:val="auto"/>
        </w:rPr>
        <w:t>se recibió en este Instituto a través del Sistema de Acceso a la Información Mexiquense (SAIMEX), Recurso de Revisión interpuesto por la parte Recurrente, en contra de la respuesta por el Sujeto Obligado,</w:t>
      </w:r>
      <w:r w:rsidRPr="008817CD">
        <w:rPr>
          <w:color w:val="auto"/>
        </w:rPr>
        <w:t xml:space="preserve"> a la solicitud de información, (ya que, si bien se tuvo por presentada el ocho de dichos mes y año, este fue inhábil por lo que se tuvo por presentada el día hábil subsecuente)</w:t>
      </w:r>
      <w:r w:rsidR="002033C0" w:rsidRPr="008817CD">
        <w:rPr>
          <w:color w:val="auto"/>
        </w:rPr>
        <w:t>, en los siguientes términos:</w:t>
      </w:r>
    </w:p>
    <w:p w14:paraId="64B8A4D4" w14:textId="77777777" w:rsidR="00763977" w:rsidRPr="008817CD" w:rsidRDefault="00763977" w:rsidP="00621403">
      <w:pPr>
        <w:spacing w:after="0" w:line="360" w:lineRule="auto"/>
        <w:rPr>
          <w:color w:val="FF0000"/>
        </w:rPr>
      </w:pPr>
    </w:p>
    <w:p w14:paraId="1A98358E" w14:textId="77777777" w:rsidR="00763977" w:rsidRPr="008817CD" w:rsidRDefault="002033C0" w:rsidP="00621403">
      <w:pPr>
        <w:spacing w:after="0" w:line="360" w:lineRule="auto"/>
        <w:ind w:left="567" w:right="567"/>
        <w:rPr>
          <w:i/>
          <w:color w:val="auto"/>
          <w:sz w:val="20"/>
          <w:szCs w:val="20"/>
        </w:rPr>
      </w:pPr>
      <w:r w:rsidRPr="008817CD">
        <w:rPr>
          <w:b/>
          <w:i/>
          <w:color w:val="auto"/>
          <w:sz w:val="20"/>
          <w:szCs w:val="20"/>
        </w:rPr>
        <w:t>“ACTO IMPUGNADO”</w:t>
      </w:r>
    </w:p>
    <w:p w14:paraId="4F2C0DE3" w14:textId="6AC25AAA" w:rsidR="00763977" w:rsidRPr="008817CD" w:rsidRDefault="008031A3" w:rsidP="00621403">
      <w:pPr>
        <w:spacing w:after="0" w:line="360" w:lineRule="auto"/>
        <w:ind w:left="567" w:right="567"/>
        <w:rPr>
          <w:i/>
          <w:color w:val="auto"/>
          <w:sz w:val="20"/>
          <w:szCs w:val="20"/>
        </w:rPr>
      </w:pPr>
      <w:r w:rsidRPr="008817CD">
        <w:rPr>
          <w:i/>
          <w:color w:val="auto"/>
          <w:sz w:val="20"/>
          <w:szCs w:val="20"/>
        </w:rPr>
        <w:t xml:space="preserve">Es incongruente su respuesta no </w:t>
      </w:r>
      <w:proofErr w:type="spellStart"/>
      <w:r w:rsidRPr="008817CD">
        <w:rPr>
          <w:i/>
          <w:color w:val="auto"/>
          <w:sz w:val="20"/>
          <w:szCs w:val="20"/>
        </w:rPr>
        <w:t>esta</w:t>
      </w:r>
      <w:proofErr w:type="spellEnd"/>
      <w:r w:rsidRPr="008817CD">
        <w:rPr>
          <w:i/>
          <w:color w:val="auto"/>
          <w:sz w:val="20"/>
          <w:szCs w:val="20"/>
        </w:rPr>
        <w:t xml:space="preserve"> completa dicen que no tienen información de la compara pero si tienen presupuesto y no se da respuesta en de acuerdo con lo solicitado.”(Sic)</w:t>
      </w:r>
    </w:p>
    <w:p w14:paraId="7AA3D0A1" w14:textId="77777777" w:rsidR="008031A3" w:rsidRPr="008817CD" w:rsidRDefault="008031A3" w:rsidP="00621403">
      <w:pPr>
        <w:spacing w:after="0" w:line="360" w:lineRule="auto"/>
        <w:ind w:left="567" w:right="567"/>
        <w:rPr>
          <w:i/>
          <w:color w:val="FF0000"/>
          <w:sz w:val="20"/>
          <w:szCs w:val="20"/>
        </w:rPr>
      </w:pPr>
    </w:p>
    <w:p w14:paraId="681D992D" w14:textId="77777777" w:rsidR="00763977" w:rsidRPr="008817CD" w:rsidRDefault="002033C0" w:rsidP="00621403">
      <w:pPr>
        <w:spacing w:after="0" w:line="360" w:lineRule="auto"/>
        <w:ind w:left="567" w:right="567"/>
        <w:rPr>
          <w:b/>
          <w:i/>
          <w:color w:val="auto"/>
          <w:sz w:val="20"/>
          <w:szCs w:val="20"/>
        </w:rPr>
      </w:pPr>
      <w:r w:rsidRPr="008817CD">
        <w:rPr>
          <w:b/>
          <w:i/>
          <w:color w:val="auto"/>
          <w:sz w:val="20"/>
          <w:szCs w:val="20"/>
        </w:rPr>
        <w:t>“RAZONES O MOTIVOS DE LA INCONFORMIDAD”</w:t>
      </w:r>
    </w:p>
    <w:p w14:paraId="1BD74663" w14:textId="5DF3C9EE" w:rsidR="00763977" w:rsidRPr="008817CD" w:rsidRDefault="008031A3" w:rsidP="00621403">
      <w:pPr>
        <w:spacing w:after="0" w:line="360" w:lineRule="auto"/>
        <w:ind w:left="567" w:right="567"/>
        <w:rPr>
          <w:i/>
          <w:color w:val="auto"/>
          <w:sz w:val="20"/>
          <w:szCs w:val="20"/>
        </w:rPr>
      </w:pPr>
      <w:r w:rsidRPr="008817CD">
        <w:rPr>
          <w:i/>
          <w:color w:val="auto"/>
          <w:sz w:val="20"/>
          <w:szCs w:val="20"/>
        </w:rPr>
        <w:t>No entrega la información completa uno dice que si tienen y otro que no tienen.” (Sic)</w:t>
      </w:r>
    </w:p>
    <w:p w14:paraId="7807DF2B" w14:textId="77777777" w:rsidR="008031A3" w:rsidRPr="008817CD" w:rsidRDefault="008031A3" w:rsidP="00621403">
      <w:pPr>
        <w:spacing w:after="0" w:line="360" w:lineRule="auto"/>
        <w:ind w:left="567" w:right="567"/>
        <w:rPr>
          <w:i/>
          <w:color w:val="auto"/>
        </w:rPr>
      </w:pPr>
    </w:p>
    <w:p w14:paraId="2CB3F532" w14:textId="77777777" w:rsidR="00763977" w:rsidRPr="008817CD" w:rsidRDefault="002033C0" w:rsidP="00621403">
      <w:pPr>
        <w:pStyle w:val="Ttulo2"/>
        <w:spacing w:before="0" w:after="0"/>
        <w:rPr>
          <w:color w:val="auto"/>
        </w:rPr>
      </w:pPr>
      <w:bookmarkStart w:id="6" w:name="_Toc196407819"/>
      <w:r w:rsidRPr="008817CD">
        <w:rPr>
          <w:color w:val="auto"/>
        </w:rPr>
        <w:t>IV. Trámite del Recurso de Revisión ante este Instituto</w:t>
      </w:r>
      <w:bookmarkEnd w:id="6"/>
    </w:p>
    <w:p w14:paraId="0ED23F9B" w14:textId="77777777" w:rsidR="00763977" w:rsidRPr="008817CD" w:rsidRDefault="00763977" w:rsidP="00621403">
      <w:pPr>
        <w:spacing w:after="0" w:line="360" w:lineRule="auto"/>
        <w:rPr>
          <w:b/>
          <w:color w:val="auto"/>
        </w:rPr>
      </w:pPr>
    </w:p>
    <w:p w14:paraId="32DED8E1" w14:textId="00247491" w:rsidR="00763977" w:rsidRPr="008817CD" w:rsidRDefault="002033C0" w:rsidP="00621403">
      <w:pPr>
        <w:spacing w:after="0" w:line="360" w:lineRule="auto"/>
        <w:rPr>
          <w:color w:val="auto"/>
        </w:rPr>
      </w:pPr>
      <w:r w:rsidRPr="008817CD">
        <w:rPr>
          <w:b/>
          <w:color w:val="auto"/>
        </w:rPr>
        <w:t>a) Turno del Medio de Impugnación.</w:t>
      </w:r>
      <w:r w:rsidRPr="008817CD">
        <w:rPr>
          <w:color w:val="auto"/>
        </w:rPr>
        <w:t xml:space="preserve"> El </w:t>
      </w:r>
      <w:r w:rsidR="008031A3" w:rsidRPr="008817CD">
        <w:rPr>
          <w:color w:val="auto"/>
        </w:rPr>
        <w:t xml:space="preserve">ocho de </w:t>
      </w:r>
      <w:r w:rsidR="00723D1B" w:rsidRPr="008817CD">
        <w:rPr>
          <w:color w:val="auto"/>
        </w:rPr>
        <w:t xml:space="preserve">marzo de dos mil veinticinco, </w:t>
      </w:r>
      <w:r w:rsidRPr="008817CD">
        <w:rPr>
          <w:color w:val="auto"/>
        </w:rPr>
        <w:t xml:space="preserve">el Sistema de Acceso a la Información Mexiquense (SAIMEX), asignó el número de expediente </w:t>
      </w:r>
      <w:r w:rsidRPr="008817CD">
        <w:rPr>
          <w:b/>
          <w:color w:val="auto"/>
        </w:rPr>
        <w:t>0</w:t>
      </w:r>
      <w:r w:rsidR="00723D1B" w:rsidRPr="008817CD">
        <w:rPr>
          <w:b/>
          <w:color w:val="auto"/>
        </w:rPr>
        <w:t>2656</w:t>
      </w:r>
      <w:r w:rsidRPr="008817CD">
        <w:rPr>
          <w:b/>
          <w:color w:val="auto"/>
        </w:rPr>
        <w:t>/INFOEM/IP/RR/2025</w:t>
      </w:r>
      <w:r w:rsidRPr="008817CD">
        <w:rPr>
          <w:color w:val="auto"/>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A32F2BA" w14:textId="77777777" w:rsidR="00763977" w:rsidRPr="008817CD" w:rsidRDefault="00763977" w:rsidP="00621403">
      <w:pPr>
        <w:spacing w:after="0" w:line="360" w:lineRule="auto"/>
        <w:rPr>
          <w:b/>
          <w:color w:val="FF0000"/>
        </w:rPr>
      </w:pPr>
    </w:p>
    <w:p w14:paraId="7F968BE1" w14:textId="4DBABF41" w:rsidR="00763977" w:rsidRPr="008817CD" w:rsidRDefault="002033C0" w:rsidP="00621403">
      <w:pPr>
        <w:spacing w:after="0" w:line="360" w:lineRule="auto"/>
        <w:rPr>
          <w:color w:val="auto"/>
        </w:rPr>
      </w:pPr>
      <w:r w:rsidRPr="008817CD">
        <w:rPr>
          <w:b/>
          <w:color w:val="auto"/>
        </w:rPr>
        <w:lastRenderedPageBreak/>
        <w:t>b) Admisión del Recurso de Revisión.</w:t>
      </w:r>
      <w:r w:rsidRPr="008817CD">
        <w:rPr>
          <w:color w:val="auto"/>
        </w:rPr>
        <w:t xml:space="preserve"> El </w:t>
      </w:r>
      <w:r w:rsidR="00723D1B" w:rsidRPr="008817CD">
        <w:rPr>
          <w:color w:val="auto"/>
        </w:rPr>
        <w:t xml:space="preserve">trece de marzo de dos mil veinticinco, </w:t>
      </w:r>
      <w:r w:rsidRPr="008817CD">
        <w:rPr>
          <w:color w:val="auto"/>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4D812D6D" w14:textId="77777777" w:rsidR="00763977" w:rsidRPr="008817CD" w:rsidRDefault="00763977" w:rsidP="00621403">
      <w:pPr>
        <w:spacing w:after="0" w:line="360" w:lineRule="auto"/>
        <w:rPr>
          <w:b/>
          <w:color w:val="FF0000"/>
        </w:rPr>
      </w:pPr>
    </w:p>
    <w:p w14:paraId="6FB87DA5" w14:textId="2F5284F1" w:rsidR="00763977" w:rsidRPr="008817CD" w:rsidRDefault="002033C0" w:rsidP="00621403">
      <w:pPr>
        <w:spacing w:after="0" w:line="360" w:lineRule="auto"/>
        <w:rPr>
          <w:color w:val="auto"/>
        </w:rPr>
      </w:pPr>
      <w:r w:rsidRPr="008817CD">
        <w:rPr>
          <w:b/>
          <w:color w:val="auto"/>
        </w:rPr>
        <w:t xml:space="preserve">c) Informe Justificado. </w:t>
      </w:r>
      <w:r w:rsidRPr="008817CD">
        <w:rPr>
          <w:color w:val="auto"/>
        </w:rPr>
        <w:t xml:space="preserve">El </w:t>
      </w:r>
      <w:r w:rsidR="00723D1B" w:rsidRPr="008817CD">
        <w:rPr>
          <w:color w:val="auto"/>
        </w:rPr>
        <w:t xml:space="preserve">veinticinco de marzo de dos </w:t>
      </w:r>
      <w:r w:rsidR="00C32E94" w:rsidRPr="008817CD">
        <w:rPr>
          <w:color w:val="auto"/>
        </w:rPr>
        <w:t>mil veinticinco</w:t>
      </w:r>
      <w:r w:rsidRPr="008817CD">
        <w:rPr>
          <w:color w:val="auto"/>
        </w:rPr>
        <w:t xml:space="preserve">, el Sujeto Obligado a través del Sistema de Acceso a la Información Mexiquense (SAIMEX), proporcionó su Informe Justificado, </w:t>
      </w:r>
      <w:r w:rsidR="00723D1B" w:rsidRPr="008817CD">
        <w:rPr>
          <w:color w:val="auto"/>
        </w:rPr>
        <w:t>a través de la digitalización de los siguientes documentos:</w:t>
      </w:r>
    </w:p>
    <w:p w14:paraId="13B914FC" w14:textId="77777777" w:rsidR="00763977" w:rsidRPr="008817CD" w:rsidRDefault="00763977" w:rsidP="00621403">
      <w:pPr>
        <w:spacing w:after="0" w:line="360" w:lineRule="auto"/>
        <w:rPr>
          <w:color w:val="FF0000"/>
        </w:rPr>
      </w:pPr>
    </w:p>
    <w:p w14:paraId="78D84228" w14:textId="51D2D841" w:rsidR="00DC5CDC" w:rsidRPr="008817CD" w:rsidRDefault="00DC5CDC" w:rsidP="00621403">
      <w:pPr>
        <w:spacing w:after="0" w:line="360" w:lineRule="auto"/>
        <w:rPr>
          <w:color w:val="auto"/>
        </w:rPr>
      </w:pPr>
      <w:r w:rsidRPr="008817CD">
        <w:rPr>
          <w:color w:val="auto"/>
        </w:rPr>
        <w:t xml:space="preserve">i) </w:t>
      </w:r>
      <w:r w:rsidR="00C32E94" w:rsidRPr="008817CD">
        <w:rPr>
          <w:color w:val="auto"/>
        </w:rPr>
        <w:t>Oficio 202010000/108/2025 del veinte de marzo de dos mil veinticinco, suscrito por el Tesorero Municipal</w:t>
      </w:r>
      <w:r w:rsidRPr="008817CD">
        <w:rPr>
          <w:color w:val="auto"/>
        </w:rPr>
        <w:t xml:space="preserve">, dirigido al Titular de la Unidad de Transparencia, por medio del cual </w:t>
      </w:r>
      <w:r w:rsidR="003070A4" w:rsidRPr="008817CD">
        <w:rPr>
          <w:color w:val="auto"/>
        </w:rPr>
        <w:t>ratifico su respuesta.</w:t>
      </w:r>
    </w:p>
    <w:p w14:paraId="7E89BCD6" w14:textId="77777777" w:rsidR="004C2A82" w:rsidRPr="008817CD" w:rsidRDefault="004C2A82" w:rsidP="00621403">
      <w:pPr>
        <w:spacing w:after="0" w:line="360" w:lineRule="auto"/>
        <w:rPr>
          <w:color w:val="auto"/>
        </w:rPr>
      </w:pPr>
    </w:p>
    <w:p w14:paraId="72DC0FBF" w14:textId="78790A39" w:rsidR="004331E4" w:rsidRPr="008817CD" w:rsidRDefault="004331E4" w:rsidP="00621403">
      <w:pPr>
        <w:spacing w:after="0" w:line="360" w:lineRule="auto"/>
        <w:rPr>
          <w:color w:val="auto"/>
        </w:rPr>
      </w:pPr>
      <w:r w:rsidRPr="008817CD">
        <w:rPr>
          <w:color w:val="auto"/>
        </w:rPr>
        <w:t>ii) Oficio 206010000/1414/2025 del veintiuno de marzo de dos mil veinticinco, suscrito por la Directora General de Administración, dirigido al Titular de la Unidad de Transparencia, por medio del cual ratifico su respuesta.</w:t>
      </w:r>
    </w:p>
    <w:p w14:paraId="0E470D37" w14:textId="77777777" w:rsidR="004C2A82" w:rsidRPr="008817CD" w:rsidRDefault="004C2A82" w:rsidP="00621403">
      <w:pPr>
        <w:spacing w:after="0" w:line="360" w:lineRule="auto"/>
        <w:rPr>
          <w:color w:val="auto"/>
        </w:rPr>
      </w:pPr>
    </w:p>
    <w:p w14:paraId="3E66CCB5" w14:textId="1D470783" w:rsidR="00763977" w:rsidRPr="008817CD" w:rsidRDefault="0021549E" w:rsidP="00621403">
      <w:pPr>
        <w:spacing w:after="0" w:line="360" w:lineRule="auto"/>
      </w:pPr>
      <w:r w:rsidRPr="008817CD">
        <w:rPr>
          <w:color w:val="auto"/>
        </w:rPr>
        <w:t xml:space="preserve">iii) Escrito de veinticinco de marzo de dos mil veinticinco, suscrito por </w:t>
      </w:r>
      <w:r w:rsidR="004149C6" w:rsidRPr="008817CD">
        <w:rPr>
          <w:color w:val="auto"/>
        </w:rPr>
        <w:t>el Titular</w:t>
      </w:r>
      <w:r w:rsidRPr="008817CD">
        <w:rPr>
          <w:color w:val="auto"/>
        </w:rPr>
        <w:t xml:space="preserve"> de la Unidad de Transparencia, dirigido al Comisionado Ponente, por medio del cual se</w:t>
      </w:r>
      <w:r w:rsidR="00687865" w:rsidRPr="008817CD">
        <w:rPr>
          <w:color w:val="auto"/>
        </w:rPr>
        <w:t xml:space="preserve"> ratifican </w:t>
      </w:r>
      <w:r w:rsidR="00687865" w:rsidRPr="008817CD">
        <w:t>las respuestas emitidas por las Direcciones Generales de Administración y Desarrollo Económico, así como de la Tesorería Municipal y Servidores Públicos Habilitados.</w:t>
      </w:r>
    </w:p>
    <w:p w14:paraId="69F666C7" w14:textId="77777777" w:rsidR="004C2A82" w:rsidRPr="008817CD" w:rsidRDefault="004C2A82" w:rsidP="00621403">
      <w:pPr>
        <w:spacing w:after="0" w:line="360" w:lineRule="auto"/>
      </w:pPr>
    </w:p>
    <w:p w14:paraId="20994C1E" w14:textId="2CD1D8B4" w:rsidR="009A740A" w:rsidRPr="008817CD" w:rsidRDefault="009A740A" w:rsidP="00621403">
      <w:pPr>
        <w:spacing w:after="0" w:line="360" w:lineRule="auto"/>
        <w:rPr>
          <w:color w:val="auto"/>
        </w:rPr>
      </w:pPr>
      <w:r w:rsidRPr="008817CD">
        <w:rPr>
          <w:color w:val="auto"/>
        </w:rPr>
        <w:lastRenderedPageBreak/>
        <w:t xml:space="preserve">iv) Oficio 210010000/0470/2025 del veintiuno de marzo de dos mil veinticinco, suscrito por la Directora General de Desarrollo Económico, dirigido al Titular de la Unidad de Transparencia por medio del cual </w:t>
      </w:r>
      <w:proofErr w:type="spellStart"/>
      <w:r w:rsidRPr="008817CD">
        <w:rPr>
          <w:color w:val="auto"/>
        </w:rPr>
        <w:t>ratifico</w:t>
      </w:r>
      <w:r w:rsidR="004C2A82" w:rsidRPr="008817CD">
        <w:rPr>
          <w:color w:val="auto"/>
        </w:rPr>
        <w:t>ó</w:t>
      </w:r>
      <w:proofErr w:type="spellEnd"/>
      <w:r w:rsidRPr="008817CD">
        <w:rPr>
          <w:color w:val="auto"/>
        </w:rPr>
        <w:t xml:space="preserve"> su respuesta.</w:t>
      </w:r>
    </w:p>
    <w:p w14:paraId="4BB7DCB3" w14:textId="77777777" w:rsidR="00C632C8" w:rsidRPr="008817CD" w:rsidRDefault="00C632C8" w:rsidP="00621403">
      <w:pPr>
        <w:spacing w:after="0" w:line="360" w:lineRule="auto"/>
        <w:rPr>
          <w:color w:val="auto"/>
        </w:rPr>
      </w:pPr>
    </w:p>
    <w:p w14:paraId="76292F7A" w14:textId="7928A7D3" w:rsidR="00763977" w:rsidRPr="008817CD" w:rsidRDefault="002033C0" w:rsidP="00621403">
      <w:pPr>
        <w:spacing w:after="0" w:line="360" w:lineRule="auto"/>
        <w:rPr>
          <w:color w:val="auto"/>
        </w:rPr>
      </w:pPr>
      <w:r w:rsidRPr="008817CD">
        <w:rPr>
          <w:b/>
          <w:color w:val="auto"/>
        </w:rPr>
        <w:t xml:space="preserve">d) Vista de Informe Justificado. </w:t>
      </w:r>
      <w:r w:rsidRPr="008817CD">
        <w:rPr>
          <w:color w:val="auto"/>
        </w:rPr>
        <w:t xml:space="preserve">El </w:t>
      </w:r>
      <w:r w:rsidR="00C632C8" w:rsidRPr="008817CD">
        <w:rPr>
          <w:color w:val="auto"/>
        </w:rPr>
        <w:t xml:space="preserve">ocho de abril de dos mil veinticinco, </w:t>
      </w:r>
      <w:r w:rsidRPr="008817CD">
        <w:rPr>
          <w:color w:val="auto"/>
        </w:rPr>
        <w:t>se dictó acuerdo por medio del cual se puso a la vista del Recurrente el Informe Justificado entregado por el Sujeto Obligado, el cual fue notificado a las partes, el mismo día, a través del Sistema de Acceso a la Información Mexiquense (SAIMEX).</w:t>
      </w:r>
    </w:p>
    <w:p w14:paraId="250F506F" w14:textId="77777777" w:rsidR="00763977" w:rsidRPr="008817CD" w:rsidRDefault="00763977" w:rsidP="00621403">
      <w:pPr>
        <w:spacing w:after="0" w:line="360" w:lineRule="auto"/>
        <w:rPr>
          <w:b/>
          <w:color w:val="FF0000"/>
        </w:rPr>
      </w:pPr>
    </w:p>
    <w:p w14:paraId="578D8891" w14:textId="29F0F51C" w:rsidR="00763977" w:rsidRPr="008817CD" w:rsidRDefault="002033C0" w:rsidP="00621403">
      <w:pPr>
        <w:spacing w:after="0" w:line="360" w:lineRule="auto"/>
        <w:rPr>
          <w:color w:val="auto"/>
        </w:rPr>
      </w:pPr>
      <w:r w:rsidRPr="008817CD">
        <w:rPr>
          <w:b/>
          <w:color w:val="auto"/>
        </w:rPr>
        <w:t>e) Cierre de instrucción.</w:t>
      </w:r>
      <w:r w:rsidRPr="008817CD">
        <w:rPr>
          <w:color w:val="auto"/>
        </w:rPr>
        <w:t xml:space="preserve"> El </w:t>
      </w:r>
      <w:r w:rsidR="00C632C8" w:rsidRPr="008817CD">
        <w:rPr>
          <w:color w:val="auto"/>
        </w:rPr>
        <w:t xml:space="preserve">veintiuno de abril de dos mil veinticinco, </w:t>
      </w:r>
      <w:r w:rsidRPr="008817CD">
        <w:rPr>
          <w:color w:val="auto"/>
        </w:rPr>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BBCFF23" w14:textId="77777777" w:rsidR="00763977" w:rsidRPr="008817CD" w:rsidRDefault="00763977" w:rsidP="00621403">
      <w:pPr>
        <w:spacing w:after="0" w:line="360" w:lineRule="auto"/>
        <w:rPr>
          <w:color w:val="auto"/>
        </w:rPr>
      </w:pPr>
    </w:p>
    <w:p w14:paraId="4C94C119" w14:textId="77777777" w:rsidR="00763977" w:rsidRPr="008817CD" w:rsidRDefault="002033C0" w:rsidP="00621403">
      <w:pPr>
        <w:spacing w:after="0" w:line="360" w:lineRule="auto"/>
        <w:rPr>
          <w:color w:val="auto"/>
        </w:rPr>
      </w:pPr>
      <w:r w:rsidRPr="008817CD">
        <w:rPr>
          <w:color w:val="auto"/>
        </w:rPr>
        <w:t xml:space="preserve">En razón de que fue debidamente sustanciado e integrado el expediente electrónico y no existe diligencia pendiente de desahogo, se emite la resolución que conforme a Derecho proceda, de acuerdo a los siguientes: </w:t>
      </w:r>
    </w:p>
    <w:p w14:paraId="01C0BEC4" w14:textId="77777777" w:rsidR="00763977" w:rsidRPr="008817CD" w:rsidRDefault="00763977" w:rsidP="00621403">
      <w:pPr>
        <w:spacing w:after="0" w:line="360" w:lineRule="auto"/>
        <w:rPr>
          <w:color w:val="FF0000"/>
        </w:rPr>
      </w:pPr>
    </w:p>
    <w:p w14:paraId="5A632125" w14:textId="77777777" w:rsidR="00763977" w:rsidRPr="008817CD" w:rsidRDefault="002033C0" w:rsidP="00621403">
      <w:pPr>
        <w:pStyle w:val="Ttulo1"/>
        <w:spacing w:before="0" w:after="0"/>
        <w:rPr>
          <w:color w:val="auto"/>
        </w:rPr>
      </w:pPr>
      <w:bookmarkStart w:id="7" w:name="_Toc196407820"/>
      <w:r w:rsidRPr="008817CD">
        <w:rPr>
          <w:color w:val="auto"/>
        </w:rPr>
        <w:t>C O N S I D E R A N D O S</w:t>
      </w:r>
      <w:bookmarkEnd w:id="7"/>
    </w:p>
    <w:p w14:paraId="27FB6E46" w14:textId="77777777" w:rsidR="00763977" w:rsidRPr="008817CD" w:rsidRDefault="00763977" w:rsidP="00621403">
      <w:pPr>
        <w:spacing w:after="0" w:line="360" w:lineRule="auto"/>
        <w:rPr>
          <w:b/>
          <w:color w:val="auto"/>
        </w:rPr>
      </w:pPr>
    </w:p>
    <w:p w14:paraId="73C23823" w14:textId="77777777" w:rsidR="00763977" w:rsidRPr="008817CD" w:rsidRDefault="002033C0" w:rsidP="00621403">
      <w:pPr>
        <w:pStyle w:val="Ttulo2"/>
        <w:spacing w:before="0" w:after="0"/>
        <w:rPr>
          <w:color w:val="auto"/>
        </w:rPr>
      </w:pPr>
      <w:bookmarkStart w:id="8" w:name="_Toc196407821"/>
      <w:r w:rsidRPr="008817CD">
        <w:rPr>
          <w:color w:val="auto"/>
        </w:rPr>
        <w:t>PRIMERO. Competencia</w:t>
      </w:r>
      <w:bookmarkEnd w:id="8"/>
    </w:p>
    <w:p w14:paraId="7CF08634" w14:textId="77777777" w:rsidR="00763977" w:rsidRPr="008817CD" w:rsidRDefault="00763977" w:rsidP="00621403">
      <w:pPr>
        <w:spacing w:after="0" w:line="360" w:lineRule="auto"/>
        <w:rPr>
          <w:b/>
          <w:color w:val="auto"/>
        </w:rPr>
      </w:pPr>
    </w:p>
    <w:p w14:paraId="325983E2" w14:textId="5A0ECFD7" w:rsidR="00763977" w:rsidRPr="008817CD" w:rsidRDefault="002033C0" w:rsidP="00621403">
      <w:pPr>
        <w:spacing w:after="0" w:line="360" w:lineRule="auto"/>
        <w:rPr>
          <w:color w:val="auto"/>
        </w:rPr>
      </w:pPr>
      <w:r w:rsidRPr="008817CD">
        <w:rPr>
          <w:color w:val="auto"/>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w:t>
      </w:r>
      <w:r w:rsidRPr="008817CD">
        <w:rPr>
          <w:color w:val="auto"/>
        </w:rPr>
        <w:lastRenderedPageBreak/>
        <w:t xml:space="preserve">párrafos trigésimo </w:t>
      </w:r>
      <w:r w:rsidR="004C2A82" w:rsidRPr="008817CD">
        <w:rPr>
          <w:color w:val="auto"/>
        </w:rPr>
        <w:t>séptimo</w:t>
      </w:r>
      <w:r w:rsidRPr="008817CD">
        <w:rPr>
          <w:color w:val="auto"/>
        </w:rPr>
        <w:t xml:space="preserve">, trigésimo </w:t>
      </w:r>
      <w:r w:rsidR="004C2A82" w:rsidRPr="008817CD">
        <w:rPr>
          <w:color w:val="auto"/>
        </w:rPr>
        <w:t>octavo</w:t>
      </w:r>
      <w:r w:rsidRPr="008817CD">
        <w:rPr>
          <w:color w:val="auto"/>
        </w:rPr>
        <w:t xml:space="preserve"> y trigésimo </w:t>
      </w:r>
      <w:r w:rsidR="004C2A82" w:rsidRPr="008817CD">
        <w:rPr>
          <w:color w:val="auto"/>
        </w:rPr>
        <w:t>noveno</w:t>
      </w:r>
      <w:r w:rsidRPr="008817CD">
        <w:rPr>
          <w:color w:val="auto"/>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F254CD8" w14:textId="77777777" w:rsidR="00763977" w:rsidRPr="008817CD" w:rsidRDefault="00763977" w:rsidP="00621403">
      <w:pPr>
        <w:spacing w:after="0" w:line="360" w:lineRule="auto"/>
        <w:rPr>
          <w:color w:val="auto"/>
        </w:rPr>
      </w:pPr>
    </w:p>
    <w:p w14:paraId="4501C8D8" w14:textId="77777777" w:rsidR="00763977" w:rsidRPr="008817CD" w:rsidRDefault="002033C0" w:rsidP="00621403">
      <w:pPr>
        <w:pStyle w:val="Ttulo2"/>
        <w:spacing w:before="0" w:after="0"/>
        <w:rPr>
          <w:color w:val="auto"/>
        </w:rPr>
      </w:pPr>
      <w:bookmarkStart w:id="9" w:name="_Toc196407822"/>
      <w:r w:rsidRPr="008817CD">
        <w:rPr>
          <w:color w:val="auto"/>
        </w:rPr>
        <w:t>SEGUNDO. Causales de improcedencia y sobreseimiento</w:t>
      </w:r>
      <w:bookmarkEnd w:id="9"/>
    </w:p>
    <w:p w14:paraId="7082E028" w14:textId="77777777" w:rsidR="00763977" w:rsidRPr="008817CD" w:rsidRDefault="00763977" w:rsidP="00621403">
      <w:pPr>
        <w:spacing w:after="0" w:line="360" w:lineRule="auto"/>
        <w:rPr>
          <w:color w:val="auto"/>
        </w:rPr>
      </w:pPr>
    </w:p>
    <w:p w14:paraId="67DE48A1" w14:textId="77777777" w:rsidR="00763977" w:rsidRPr="008817CD" w:rsidRDefault="002033C0" w:rsidP="00621403">
      <w:pPr>
        <w:spacing w:after="0" w:line="360" w:lineRule="auto"/>
        <w:rPr>
          <w:color w:val="auto"/>
        </w:rPr>
      </w:pPr>
      <w:r w:rsidRPr="008817CD">
        <w:rPr>
          <w:color w:val="auto"/>
        </w:rPr>
        <w:t xml:space="preserve">De las constancias que forma parte del Recurso de Revisión que se analiza, se advierte que previo al estudio del fondo de la </w:t>
      </w:r>
      <w:proofErr w:type="spellStart"/>
      <w:r w:rsidRPr="008817CD">
        <w:rPr>
          <w:i/>
          <w:color w:val="auto"/>
        </w:rPr>
        <w:t>litis</w:t>
      </w:r>
      <w:proofErr w:type="spellEnd"/>
      <w:r w:rsidRPr="008817CD">
        <w:rPr>
          <w:color w:val="auto"/>
        </w:rPr>
        <w:t>, es necesario estudiar las causales de improcedencia y sobreseimiento que se adviertan, para determinar lo que en Derecho proceda.</w:t>
      </w:r>
    </w:p>
    <w:p w14:paraId="55952A1E" w14:textId="77777777" w:rsidR="00763977" w:rsidRPr="008817CD" w:rsidRDefault="00763977" w:rsidP="00621403">
      <w:pPr>
        <w:spacing w:after="0" w:line="360" w:lineRule="auto"/>
        <w:rPr>
          <w:color w:val="auto"/>
        </w:rPr>
      </w:pPr>
    </w:p>
    <w:p w14:paraId="567DB4BD" w14:textId="77777777" w:rsidR="00763977" w:rsidRPr="008817CD" w:rsidRDefault="002033C0" w:rsidP="00621403">
      <w:pPr>
        <w:spacing w:after="0" w:line="360" w:lineRule="auto"/>
        <w:rPr>
          <w:b/>
          <w:color w:val="auto"/>
        </w:rPr>
      </w:pPr>
      <w:r w:rsidRPr="008817CD">
        <w:rPr>
          <w:b/>
          <w:color w:val="auto"/>
        </w:rPr>
        <w:t>Causales de improcedencia</w:t>
      </w:r>
    </w:p>
    <w:p w14:paraId="2F8B8975" w14:textId="77777777" w:rsidR="00763977" w:rsidRPr="008817CD" w:rsidRDefault="00763977" w:rsidP="00621403">
      <w:pPr>
        <w:spacing w:after="0" w:line="360" w:lineRule="auto"/>
        <w:rPr>
          <w:color w:val="auto"/>
        </w:rPr>
      </w:pPr>
    </w:p>
    <w:p w14:paraId="17251C55" w14:textId="77777777" w:rsidR="00763977" w:rsidRPr="008817CD" w:rsidRDefault="002033C0" w:rsidP="00621403">
      <w:pPr>
        <w:spacing w:after="0" w:line="360" w:lineRule="auto"/>
        <w:rPr>
          <w:color w:val="auto"/>
        </w:rPr>
      </w:pPr>
      <w:r w:rsidRPr="008817CD">
        <w:rPr>
          <w:color w:val="auto"/>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8817CD">
        <w:rPr>
          <w:color w:val="auto"/>
        </w:rPr>
        <w:t>./</w:t>
      </w:r>
      <w:proofErr w:type="gramEnd"/>
      <w:r w:rsidRPr="008817CD">
        <w:rPr>
          <w:color w:val="auto"/>
        </w:rPr>
        <w:t>J. 163/2005</w:t>
      </w:r>
      <w:r w:rsidRPr="008817CD">
        <w:rPr>
          <w:b/>
          <w:color w:val="auto"/>
        </w:rPr>
        <w:t xml:space="preserve"> </w:t>
      </w:r>
      <w:r w:rsidRPr="008817CD">
        <w:rPr>
          <w:color w:val="auto"/>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5BC9FA8" w14:textId="77777777" w:rsidR="00763977" w:rsidRPr="008817CD" w:rsidRDefault="00763977" w:rsidP="00621403">
      <w:pPr>
        <w:spacing w:after="0" w:line="360" w:lineRule="auto"/>
        <w:rPr>
          <w:color w:val="auto"/>
        </w:rPr>
      </w:pPr>
    </w:p>
    <w:p w14:paraId="30459B0B" w14:textId="77777777" w:rsidR="00763977" w:rsidRPr="008817CD" w:rsidRDefault="002033C0" w:rsidP="00621403">
      <w:pPr>
        <w:spacing w:after="0" w:line="360" w:lineRule="auto"/>
        <w:rPr>
          <w:color w:val="auto"/>
        </w:rPr>
      </w:pPr>
      <w:r w:rsidRPr="008817CD">
        <w:rPr>
          <w:color w:val="auto"/>
        </w:rPr>
        <w:t xml:space="preserve">En el presente caso, </w:t>
      </w:r>
      <w:r w:rsidRPr="008817CD">
        <w:rPr>
          <w:b/>
          <w:color w:val="auto"/>
        </w:rPr>
        <w:t>no se actualiza ninguna de las causales de improcedencia</w:t>
      </w:r>
      <w:r w:rsidRPr="008817CD">
        <w:rPr>
          <w:color w:val="auto"/>
        </w:rPr>
        <w:t xml:space="preserve"> establecidas en el ordenamiento jurídico previamente señalado, toda vez que este Instituto no tiene </w:t>
      </w:r>
      <w:r w:rsidRPr="008817CD">
        <w:rPr>
          <w:color w:val="auto"/>
        </w:rPr>
        <w:lastRenderedPageBreak/>
        <w:t>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959B282" w14:textId="77777777" w:rsidR="00763977" w:rsidRPr="008817CD" w:rsidRDefault="00763977" w:rsidP="00621403">
      <w:pPr>
        <w:spacing w:after="0" w:line="360" w:lineRule="auto"/>
        <w:rPr>
          <w:b/>
          <w:color w:val="FF0000"/>
        </w:rPr>
      </w:pPr>
    </w:p>
    <w:p w14:paraId="01222A4E" w14:textId="440D811B" w:rsidR="00763977" w:rsidRPr="008817CD" w:rsidRDefault="002033C0" w:rsidP="00621403">
      <w:pPr>
        <w:spacing w:after="0" w:line="360" w:lineRule="auto"/>
        <w:rPr>
          <w:color w:val="auto"/>
        </w:rPr>
      </w:pPr>
      <w:r w:rsidRPr="008817CD">
        <w:rPr>
          <w:color w:val="auto"/>
        </w:rPr>
        <w:t xml:space="preserve">Asimismo, se actualiza la causal de procedencia del Recurso de Revisión señalada en el artículo 179, fracción V, de la Ley en cita, pues la Recurrente se inconformó de </w:t>
      </w:r>
      <w:r w:rsidR="004C2A82" w:rsidRPr="008817CD">
        <w:rPr>
          <w:color w:val="auto"/>
        </w:rPr>
        <w:t>la entrega</w:t>
      </w:r>
      <w:r w:rsidRPr="008817CD">
        <w:rPr>
          <w:color w:val="auto"/>
        </w:rPr>
        <w:t xml:space="preserve"> </w:t>
      </w:r>
      <w:r w:rsidR="00C632C8" w:rsidRPr="008817CD">
        <w:rPr>
          <w:color w:val="auto"/>
        </w:rPr>
        <w:t xml:space="preserve">de información incompleta. </w:t>
      </w:r>
    </w:p>
    <w:p w14:paraId="16BD963B" w14:textId="77777777" w:rsidR="00763977" w:rsidRPr="008817CD" w:rsidRDefault="00763977" w:rsidP="00621403">
      <w:pPr>
        <w:spacing w:after="0" w:line="360" w:lineRule="auto"/>
        <w:rPr>
          <w:color w:val="auto"/>
        </w:rPr>
      </w:pPr>
    </w:p>
    <w:p w14:paraId="02390924" w14:textId="032C7614" w:rsidR="00763977" w:rsidRPr="008817CD" w:rsidRDefault="002033C0" w:rsidP="00621403">
      <w:pPr>
        <w:spacing w:after="0" w:line="360" w:lineRule="auto"/>
        <w:ind w:right="-28"/>
        <w:rPr>
          <w:b/>
          <w:color w:val="auto"/>
        </w:rPr>
      </w:pPr>
      <w:r w:rsidRPr="008817CD">
        <w:rPr>
          <w:b/>
          <w:color w:val="auto"/>
        </w:rPr>
        <w:t>Causales de sobreseimiento</w:t>
      </w:r>
    </w:p>
    <w:p w14:paraId="61204F6E" w14:textId="77777777" w:rsidR="00763977" w:rsidRPr="008817CD" w:rsidRDefault="00763977" w:rsidP="00621403">
      <w:pPr>
        <w:spacing w:after="0" w:line="360" w:lineRule="auto"/>
        <w:ind w:right="-28"/>
        <w:rPr>
          <w:b/>
          <w:color w:val="FF0000"/>
        </w:rPr>
      </w:pPr>
    </w:p>
    <w:p w14:paraId="2F940AA4" w14:textId="77777777" w:rsidR="00763977" w:rsidRPr="008817CD" w:rsidRDefault="002033C0" w:rsidP="00621403">
      <w:pPr>
        <w:spacing w:after="0" w:line="360" w:lineRule="auto"/>
        <w:rPr>
          <w:color w:val="auto"/>
        </w:rPr>
      </w:pPr>
      <w:r w:rsidRPr="008817CD">
        <w:rPr>
          <w:color w:val="auto"/>
        </w:rPr>
        <w:t>Por ser de previo y especial pronunciamiento, este Instituto analiza si se actualiza alguna causal de sobreseimiento.</w:t>
      </w:r>
    </w:p>
    <w:p w14:paraId="5D68F5F1" w14:textId="77777777" w:rsidR="00763977" w:rsidRPr="008817CD" w:rsidRDefault="00763977" w:rsidP="00621403">
      <w:pPr>
        <w:spacing w:after="0" w:line="360" w:lineRule="auto"/>
        <w:rPr>
          <w:color w:val="auto"/>
        </w:rPr>
      </w:pPr>
    </w:p>
    <w:p w14:paraId="1EAFF984" w14:textId="77777777" w:rsidR="00763977" w:rsidRPr="008817CD" w:rsidRDefault="002033C0" w:rsidP="00621403">
      <w:pPr>
        <w:spacing w:after="0" w:line="360" w:lineRule="auto"/>
        <w:rPr>
          <w:color w:val="auto"/>
        </w:rPr>
      </w:pPr>
      <w:r w:rsidRPr="008817CD">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04040F" w14:textId="77777777" w:rsidR="00763977" w:rsidRPr="008817CD" w:rsidRDefault="00763977" w:rsidP="00621403">
      <w:pPr>
        <w:spacing w:after="0" w:line="360" w:lineRule="auto"/>
        <w:rPr>
          <w:color w:val="auto"/>
        </w:rPr>
      </w:pPr>
    </w:p>
    <w:p w14:paraId="151C9BC1" w14:textId="77777777" w:rsidR="00763977" w:rsidRPr="008817CD" w:rsidRDefault="002033C0" w:rsidP="00621403">
      <w:pPr>
        <w:spacing w:after="0" w:line="360" w:lineRule="auto"/>
        <w:rPr>
          <w:color w:val="auto"/>
        </w:rPr>
      </w:pPr>
      <w:r w:rsidRPr="008817CD">
        <w:rPr>
          <w:color w:val="auto"/>
        </w:rPr>
        <w:t>Por tales motivos, se considera procedente entrar al fondo del presente asunto.</w:t>
      </w:r>
    </w:p>
    <w:p w14:paraId="058FE899" w14:textId="77777777" w:rsidR="00763977" w:rsidRPr="008817CD" w:rsidRDefault="00763977" w:rsidP="00621403">
      <w:pPr>
        <w:spacing w:after="0" w:line="360" w:lineRule="auto"/>
        <w:rPr>
          <w:color w:val="auto"/>
        </w:rPr>
      </w:pPr>
    </w:p>
    <w:p w14:paraId="7CDAF2DF" w14:textId="1D52D197" w:rsidR="00763977" w:rsidRPr="008817CD" w:rsidRDefault="002033C0" w:rsidP="00621403">
      <w:pPr>
        <w:pStyle w:val="Ttulo2"/>
        <w:spacing w:before="0" w:after="0"/>
        <w:rPr>
          <w:color w:val="auto"/>
        </w:rPr>
      </w:pPr>
      <w:bookmarkStart w:id="10" w:name="_Toc196407823"/>
      <w:r w:rsidRPr="008817CD">
        <w:rPr>
          <w:color w:val="auto"/>
        </w:rPr>
        <w:t>TERCERO. Determinación de la Controversia</w:t>
      </w:r>
      <w:bookmarkEnd w:id="10"/>
    </w:p>
    <w:p w14:paraId="76A4452D" w14:textId="77777777" w:rsidR="00763977" w:rsidRPr="008817CD" w:rsidRDefault="00763977" w:rsidP="00621403">
      <w:pPr>
        <w:spacing w:after="0" w:line="360" w:lineRule="auto"/>
        <w:rPr>
          <w:b/>
          <w:color w:val="FF0000"/>
        </w:rPr>
      </w:pPr>
    </w:p>
    <w:p w14:paraId="16FECC68" w14:textId="608441ED" w:rsidR="00763977" w:rsidRPr="008817CD" w:rsidRDefault="002033C0" w:rsidP="00621403">
      <w:pPr>
        <w:spacing w:after="0" w:line="360" w:lineRule="auto"/>
        <w:rPr>
          <w:color w:val="auto"/>
        </w:rPr>
      </w:pPr>
      <w:r w:rsidRPr="008817CD">
        <w:rPr>
          <w:color w:val="auto"/>
        </w:rPr>
        <w:lastRenderedPageBreak/>
        <w:t xml:space="preserve">Una vez realizado el estudio de las constancias que integran el expediente en que se actúa, se desprende que el Recurrente requirió </w:t>
      </w:r>
      <w:r w:rsidR="004C2A82" w:rsidRPr="008817CD">
        <w:rPr>
          <w:color w:val="auto"/>
        </w:rPr>
        <w:t>respecto de</w:t>
      </w:r>
      <w:r w:rsidR="008B1AFC" w:rsidRPr="008817CD">
        <w:rPr>
          <w:color w:val="auto"/>
        </w:rPr>
        <w:t xml:space="preserve"> la compra y entrega de calentadores</w:t>
      </w:r>
      <w:r w:rsidR="004C2A82" w:rsidRPr="008817CD">
        <w:rPr>
          <w:color w:val="auto"/>
        </w:rPr>
        <w:t xml:space="preserve"> solares, durante el dos mil veinticuatro</w:t>
      </w:r>
      <w:r w:rsidR="008B1AFC" w:rsidRPr="008817CD">
        <w:rPr>
          <w:color w:val="auto"/>
        </w:rPr>
        <w:t>, lo siguiente:</w:t>
      </w:r>
    </w:p>
    <w:p w14:paraId="199A0F83" w14:textId="77777777" w:rsidR="008B1AFC" w:rsidRPr="008817CD" w:rsidRDefault="008B1AFC" w:rsidP="00621403">
      <w:pPr>
        <w:spacing w:after="0" w:line="360" w:lineRule="auto"/>
        <w:rPr>
          <w:color w:val="auto"/>
        </w:rPr>
      </w:pPr>
    </w:p>
    <w:p w14:paraId="4651D388" w14:textId="1ABA1485" w:rsidR="008B1AFC" w:rsidRPr="008817CD" w:rsidRDefault="004C2A82" w:rsidP="00621403">
      <w:pPr>
        <w:pStyle w:val="Prrafodelista"/>
        <w:numPr>
          <w:ilvl w:val="0"/>
          <w:numId w:val="11"/>
        </w:numPr>
        <w:spacing w:line="360" w:lineRule="auto"/>
        <w:rPr>
          <w:color w:val="auto"/>
        </w:rPr>
      </w:pPr>
      <w:r w:rsidRPr="008817CD">
        <w:rPr>
          <w:color w:val="auto"/>
        </w:rPr>
        <w:t>C</w:t>
      </w:r>
      <w:r w:rsidR="008B1AFC" w:rsidRPr="008817CD">
        <w:rPr>
          <w:color w:val="auto"/>
        </w:rPr>
        <w:t>ontrato de adquisición de los calentadores</w:t>
      </w:r>
      <w:r w:rsidRPr="008817CD">
        <w:rPr>
          <w:color w:val="auto"/>
        </w:rPr>
        <w:t>;</w:t>
      </w:r>
    </w:p>
    <w:p w14:paraId="11A3198C" w14:textId="0C1F7297" w:rsidR="008B1AFC" w:rsidRPr="008817CD" w:rsidRDefault="004C2A82" w:rsidP="00621403">
      <w:pPr>
        <w:pStyle w:val="Prrafodelista"/>
        <w:numPr>
          <w:ilvl w:val="0"/>
          <w:numId w:val="11"/>
        </w:numPr>
        <w:spacing w:line="360" w:lineRule="auto"/>
        <w:rPr>
          <w:color w:val="auto"/>
        </w:rPr>
      </w:pPr>
      <w:r w:rsidRPr="008817CD">
        <w:rPr>
          <w:color w:val="auto"/>
        </w:rPr>
        <w:t xml:space="preserve">Nombre del </w:t>
      </w:r>
      <w:r w:rsidR="008B1AFC" w:rsidRPr="008817CD">
        <w:rPr>
          <w:color w:val="auto"/>
        </w:rPr>
        <w:t>proveedor</w:t>
      </w:r>
      <w:r w:rsidRPr="008817CD">
        <w:rPr>
          <w:color w:val="auto"/>
        </w:rPr>
        <w:t>;</w:t>
      </w:r>
    </w:p>
    <w:p w14:paraId="028D50CC" w14:textId="01219EF5" w:rsidR="008B1AFC" w:rsidRPr="008817CD" w:rsidRDefault="008B1AFC" w:rsidP="00621403">
      <w:pPr>
        <w:pStyle w:val="Prrafodelista"/>
        <w:numPr>
          <w:ilvl w:val="0"/>
          <w:numId w:val="11"/>
        </w:numPr>
        <w:spacing w:line="360" w:lineRule="auto"/>
        <w:rPr>
          <w:color w:val="auto"/>
        </w:rPr>
      </w:pPr>
      <w:r w:rsidRPr="008817CD">
        <w:rPr>
          <w:color w:val="auto"/>
        </w:rPr>
        <w:t>Cuanto costaron</w:t>
      </w:r>
      <w:r w:rsidR="004C2A82" w:rsidRPr="008817CD">
        <w:rPr>
          <w:color w:val="auto"/>
        </w:rPr>
        <w:t>;</w:t>
      </w:r>
    </w:p>
    <w:p w14:paraId="36A421E5" w14:textId="7E1F60AE" w:rsidR="008B1AFC" w:rsidRPr="008817CD" w:rsidRDefault="004C2A82" w:rsidP="00621403">
      <w:pPr>
        <w:pStyle w:val="Prrafodelista"/>
        <w:numPr>
          <w:ilvl w:val="0"/>
          <w:numId w:val="11"/>
        </w:numPr>
        <w:spacing w:line="360" w:lineRule="auto"/>
        <w:rPr>
          <w:color w:val="auto"/>
        </w:rPr>
      </w:pPr>
      <w:r w:rsidRPr="008817CD">
        <w:rPr>
          <w:color w:val="auto"/>
        </w:rPr>
        <w:t>Documento que acredite el monto pagado;</w:t>
      </w:r>
    </w:p>
    <w:p w14:paraId="3F41E356" w14:textId="4B2412C7" w:rsidR="008B1AFC" w:rsidRPr="008817CD" w:rsidRDefault="004C2A82" w:rsidP="00621403">
      <w:pPr>
        <w:pStyle w:val="Prrafodelista"/>
        <w:numPr>
          <w:ilvl w:val="0"/>
          <w:numId w:val="11"/>
        </w:numPr>
        <w:spacing w:line="360" w:lineRule="auto"/>
        <w:rPr>
          <w:color w:val="auto"/>
        </w:rPr>
      </w:pPr>
      <w:r w:rsidRPr="008817CD">
        <w:rPr>
          <w:color w:val="auto"/>
        </w:rPr>
        <w:t xml:space="preserve">Listado de personas a las cuales se le entregaron los </w:t>
      </w:r>
      <w:r w:rsidR="008B1AFC" w:rsidRPr="008817CD">
        <w:rPr>
          <w:color w:val="auto"/>
        </w:rPr>
        <w:t>calentadores</w:t>
      </w:r>
      <w:r w:rsidRPr="008817CD">
        <w:rPr>
          <w:color w:val="auto"/>
        </w:rPr>
        <w:t>, y</w:t>
      </w:r>
    </w:p>
    <w:p w14:paraId="2ED565D3" w14:textId="491BD1F3" w:rsidR="008B1AFC" w:rsidRPr="008817CD" w:rsidRDefault="004C2A82" w:rsidP="00621403">
      <w:pPr>
        <w:pStyle w:val="Prrafodelista"/>
        <w:numPr>
          <w:ilvl w:val="0"/>
          <w:numId w:val="11"/>
        </w:numPr>
        <w:spacing w:line="360" w:lineRule="auto"/>
        <w:rPr>
          <w:color w:val="auto"/>
        </w:rPr>
      </w:pPr>
      <w:r w:rsidRPr="008817CD">
        <w:rPr>
          <w:color w:val="auto"/>
        </w:rPr>
        <w:t>Número de</w:t>
      </w:r>
      <w:r w:rsidR="008B1AFC" w:rsidRPr="008817CD">
        <w:rPr>
          <w:color w:val="auto"/>
        </w:rPr>
        <w:t xml:space="preserve"> calentadores no entregados</w:t>
      </w:r>
      <w:r w:rsidRPr="008817CD">
        <w:rPr>
          <w:color w:val="auto"/>
        </w:rPr>
        <w:t>.</w:t>
      </w:r>
    </w:p>
    <w:p w14:paraId="0B4D3000" w14:textId="77777777" w:rsidR="008B1AFC" w:rsidRPr="008817CD" w:rsidRDefault="008B1AFC" w:rsidP="00621403">
      <w:pPr>
        <w:spacing w:after="0" w:line="360" w:lineRule="auto"/>
        <w:rPr>
          <w:color w:val="auto"/>
        </w:rPr>
      </w:pPr>
    </w:p>
    <w:p w14:paraId="18509ED7" w14:textId="5F560A96" w:rsidR="006437F0" w:rsidRPr="008817CD" w:rsidRDefault="002033C0" w:rsidP="00621403">
      <w:pPr>
        <w:widowControl w:val="0"/>
        <w:spacing w:after="0" w:line="360" w:lineRule="auto"/>
        <w:rPr>
          <w:color w:val="auto"/>
        </w:rPr>
      </w:pPr>
      <w:r w:rsidRPr="008817CD">
        <w:rPr>
          <w:color w:val="auto"/>
        </w:rPr>
        <w:t xml:space="preserve">En respuesta, el Sujeto Obligado, precisó a través de la Dirección General de </w:t>
      </w:r>
      <w:r w:rsidR="00E164C2" w:rsidRPr="008817CD">
        <w:rPr>
          <w:color w:val="auto"/>
        </w:rPr>
        <w:t>Administración que</w:t>
      </w:r>
      <w:r w:rsidRPr="008817CD">
        <w:rPr>
          <w:color w:val="auto"/>
        </w:rPr>
        <w:t xml:space="preserve"> no era competente para atender la solicitud, mientras que la Tesorería Municipal </w:t>
      </w:r>
      <w:r w:rsidR="006437F0" w:rsidRPr="008817CD">
        <w:rPr>
          <w:color w:val="auto"/>
        </w:rPr>
        <w:t>informó que se adjuntaba la caratula de presupuesto de egresos correspondiente al ejercicio fiscal dos mil veinticuatro, a fin de que se pueda visualizar el presupuesto autorizado, sin anexar nada.</w:t>
      </w:r>
    </w:p>
    <w:p w14:paraId="23DE0C14" w14:textId="77777777" w:rsidR="006437F0" w:rsidRPr="008817CD" w:rsidRDefault="006437F0" w:rsidP="00621403">
      <w:pPr>
        <w:widowControl w:val="0"/>
        <w:spacing w:after="0" w:line="360" w:lineRule="auto"/>
        <w:rPr>
          <w:color w:val="auto"/>
        </w:rPr>
      </w:pPr>
    </w:p>
    <w:p w14:paraId="33F6C788" w14:textId="42152D9D" w:rsidR="006437F0" w:rsidRPr="008817CD" w:rsidRDefault="006437F0" w:rsidP="00621403">
      <w:pPr>
        <w:widowControl w:val="0"/>
        <w:spacing w:after="0" w:line="360" w:lineRule="auto"/>
        <w:rPr>
          <w:color w:val="auto"/>
        </w:rPr>
      </w:pPr>
      <w:r w:rsidRPr="008817CD">
        <w:rPr>
          <w:color w:val="auto"/>
        </w:rPr>
        <w:t xml:space="preserve">Así mismo, señaló </w:t>
      </w:r>
      <w:r w:rsidR="004C2A82" w:rsidRPr="008817CD">
        <w:rPr>
          <w:color w:val="auto"/>
        </w:rPr>
        <w:t>que la cantidad pagada al treinta y uno de diciembre de dos mil veinticuatro,</w:t>
      </w:r>
      <w:r w:rsidRPr="008817CD">
        <w:rPr>
          <w:color w:val="auto"/>
        </w:rPr>
        <w:t xml:space="preserve"> con motivo de la compra y entrega de calentadores solares, </w:t>
      </w:r>
      <w:proofErr w:type="spellStart"/>
      <w:r w:rsidRPr="008817CD">
        <w:rPr>
          <w:color w:val="auto"/>
        </w:rPr>
        <w:t>asciend</w:t>
      </w:r>
      <w:r w:rsidR="004C2A82" w:rsidRPr="008817CD">
        <w:rPr>
          <w:color w:val="auto"/>
        </w:rPr>
        <w:t>ía</w:t>
      </w:r>
      <w:proofErr w:type="spellEnd"/>
      <w:r w:rsidRPr="008817CD">
        <w:rPr>
          <w:color w:val="auto"/>
        </w:rPr>
        <w:t xml:space="preserve"> a la cantidad de $21, 766, 816.51 (</w:t>
      </w:r>
      <w:r w:rsidR="004C2A82" w:rsidRPr="008817CD">
        <w:rPr>
          <w:color w:val="auto"/>
        </w:rPr>
        <w:t>veintiún millones setecientos sesenta y seis mil, ochocientos dieciséis pesos con cincuenta y un centavos</w:t>
      </w:r>
      <w:r w:rsidRPr="008817CD">
        <w:rPr>
          <w:color w:val="auto"/>
        </w:rPr>
        <w:t>)</w:t>
      </w:r>
      <w:r w:rsidR="003C0D1D" w:rsidRPr="008817CD">
        <w:rPr>
          <w:color w:val="auto"/>
        </w:rPr>
        <w:t>.</w:t>
      </w:r>
    </w:p>
    <w:p w14:paraId="1FDA4917" w14:textId="77777777" w:rsidR="003C0D1D" w:rsidRPr="008817CD" w:rsidRDefault="003C0D1D" w:rsidP="00621403">
      <w:pPr>
        <w:widowControl w:val="0"/>
        <w:spacing w:after="0" w:line="360" w:lineRule="auto"/>
        <w:rPr>
          <w:color w:val="auto"/>
        </w:rPr>
      </w:pPr>
    </w:p>
    <w:p w14:paraId="06C91C0C" w14:textId="586E02F9" w:rsidR="00763977" w:rsidRPr="008817CD" w:rsidRDefault="003C0D1D" w:rsidP="00621403">
      <w:pPr>
        <w:widowControl w:val="0"/>
        <w:spacing w:after="0" w:line="360" w:lineRule="auto"/>
        <w:rPr>
          <w:color w:val="FF0000"/>
        </w:rPr>
      </w:pPr>
      <w:r w:rsidRPr="008817CD">
        <w:rPr>
          <w:color w:val="auto"/>
        </w:rPr>
        <w:t>Por su parte, la Dirección General de Desarrollo Económico, informó que la dependencia no genera</w:t>
      </w:r>
      <w:r w:rsidR="004C2A82" w:rsidRPr="008817CD">
        <w:rPr>
          <w:color w:val="auto"/>
        </w:rPr>
        <w:t>ba</w:t>
      </w:r>
      <w:r w:rsidRPr="008817CD">
        <w:rPr>
          <w:color w:val="auto"/>
        </w:rPr>
        <w:t xml:space="preserve">, </w:t>
      </w:r>
      <w:r w:rsidR="004C2A82" w:rsidRPr="008817CD">
        <w:rPr>
          <w:color w:val="auto"/>
        </w:rPr>
        <w:t>administraba</w:t>
      </w:r>
      <w:r w:rsidRPr="008817CD">
        <w:rPr>
          <w:color w:val="auto"/>
        </w:rPr>
        <w:t>, ni pose</w:t>
      </w:r>
      <w:r w:rsidR="004C2A82" w:rsidRPr="008817CD">
        <w:rPr>
          <w:color w:val="auto"/>
        </w:rPr>
        <w:t>ía</w:t>
      </w:r>
      <w:r w:rsidRPr="008817CD">
        <w:rPr>
          <w:color w:val="auto"/>
        </w:rPr>
        <w:t xml:space="preserve"> dicha información; </w:t>
      </w:r>
      <w:r w:rsidR="002033C0" w:rsidRPr="008817CD">
        <w:rPr>
          <w:color w:val="auto"/>
        </w:rPr>
        <w:t>ante dicha circunstancia el Particular s</w:t>
      </w:r>
      <w:r w:rsidRPr="008817CD">
        <w:rPr>
          <w:color w:val="auto"/>
        </w:rPr>
        <w:t>e inconformó de la información en</w:t>
      </w:r>
      <w:r w:rsidR="00530A37" w:rsidRPr="008817CD">
        <w:rPr>
          <w:color w:val="auto"/>
        </w:rPr>
        <w:t>trega de información incompleta</w:t>
      </w:r>
      <w:r w:rsidR="004C2A82" w:rsidRPr="008817CD">
        <w:rPr>
          <w:color w:val="auto"/>
        </w:rPr>
        <w:t>, al señalar que por una parte le decían que no existía la información y por otra parte, se habían erogado recursos</w:t>
      </w:r>
      <w:r w:rsidR="002033C0" w:rsidRPr="008817CD">
        <w:rPr>
          <w:color w:val="auto"/>
        </w:rPr>
        <w:t>, lo cual actualiza el supuesto de procedencia establecido</w:t>
      </w:r>
      <w:r w:rsidR="00530A37" w:rsidRPr="008817CD">
        <w:rPr>
          <w:color w:val="auto"/>
        </w:rPr>
        <w:t xml:space="preserve"> en el artículo 179, fracción V</w:t>
      </w:r>
      <w:r w:rsidR="002033C0" w:rsidRPr="008817CD">
        <w:rPr>
          <w:color w:val="auto"/>
        </w:rPr>
        <w:t xml:space="preserve">, de la Ley de Transparencia y Acceso a la Información Pública del Estado de México y Municipios. Así las </w:t>
      </w:r>
      <w:r w:rsidR="002033C0" w:rsidRPr="008817CD">
        <w:rPr>
          <w:color w:val="auto"/>
        </w:rPr>
        <w:lastRenderedPageBreak/>
        <w:t xml:space="preserve">cosas, una vez admitido y notificado el Recurso de Revisión a las partes, el Sujeto Obligado ratificó su respuesta, cabe precisar que el Recurrente fue omiso en manifestarse. </w:t>
      </w:r>
    </w:p>
    <w:p w14:paraId="6C45B2BA" w14:textId="77777777" w:rsidR="00763977" w:rsidRPr="008817CD" w:rsidRDefault="00763977" w:rsidP="00621403">
      <w:pPr>
        <w:widowControl w:val="0"/>
        <w:spacing w:after="0" w:line="360" w:lineRule="auto"/>
        <w:rPr>
          <w:color w:val="FF0000"/>
        </w:rPr>
      </w:pPr>
    </w:p>
    <w:p w14:paraId="48E67684" w14:textId="77777777" w:rsidR="00763977" w:rsidRPr="008817CD" w:rsidRDefault="002033C0" w:rsidP="00621403">
      <w:pPr>
        <w:spacing w:after="0" w:line="360" w:lineRule="auto"/>
        <w:rPr>
          <w:color w:val="auto"/>
        </w:rPr>
      </w:pPr>
      <w:r w:rsidRPr="008817CD">
        <w:rPr>
          <w:color w:val="auto"/>
        </w:rP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8817CD">
        <w:rPr>
          <w:color w:val="auto"/>
        </w:rPr>
        <w:t>recursal</w:t>
      </w:r>
      <w:proofErr w:type="spellEnd"/>
      <w:r w:rsidRPr="008817CD">
        <w:rPr>
          <w:color w:val="auto"/>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4C5D83FD" w14:textId="77777777" w:rsidR="00763977" w:rsidRPr="008817CD" w:rsidRDefault="00763977" w:rsidP="00621403">
      <w:pPr>
        <w:spacing w:after="0" w:line="360" w:lineRule="auto"/>
        <w:rPr>
          <w:color w:val="auto"/>
        </w:rPr>
      </w:pPr>
    </w:p>
    <w:p w14:paraId="3A9D592D" w14:textId="77777777" w:rsidR="00763977" w:rsidRPr="008817CD" w:rsidRDefault="002033C0" w:rsidP="00621403">
      <w:pPr>
        <w:pStyle w:val="Ttulo2"/>
        <w:spacing w:before="0" w:after="0"/>
        <w:rPr>
          <w:color w:val="auto"/>
        </w:rPr>
      </w:pPr>
      <w:bookmarkStart w:id="11" w:name="_Toc196407824"/>
      <w:r w:rsidRPr="008817CD">
        <w:rPr>
          <w:color w:val="auto"/>
        </w:rPr>
        <w:t>CUARTO. Marco normativo aplicable en materia de transparencia y acceso a la información pública</w:t>
      </w:r>
      <w:bookmarkEnd w:id="11"/>
    </w:p>
    <w:p w14:paraId="6821788F" w14:textId="77777777" w:rsidR="00530A37" w:rsidRPr="008817CD" w:rsidRDefault="00530A37" w:rsidP="00621403">
      <w:pPr>
        <w:spacing w:after="0" w:line="360" w:lineRule="auto"/>
        <w:rPr>
          <w:color w:val="FF0000"/>
        </w:rPr>
      </w:pPr>
    </w:p>
    <w:p w14:paraId="671B05DA" w14:textId="77777777" w:rsidR="00530A37" w:rsidRPr="008817CD" w:rsidRDefault="00530A37" w:rsidP="00621403">
      <w:pPr>
        <w:spacing w:after="0" w:line="360" w:lineRule="auto"/>
        <w:rPr>
          <w:color w:val="auto"/>
        </w:rPr>
      </w:pPr>
      <w:r w:rsidRPr="008817CD">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51CE6B9" w14:textId="77777777" w:rsidR="00530A37" w:rsidRPr="008817CD" w:rsidRDefault="00530A37" w:rsidP="00621403">
      <w:pPr>
        <w:spacing w:after="0" w:line="360" w:lineRule="auto"/>
        <w:rPr>
          <w:color w:val="auto"/>
        </w:rPr>
      </w:pPr>
    </w:p>
    <w:p w14:paraId="12BC585C" w14:textId="77777777" w:rsidR="00530A37" w:rsidRPr="008817CD" w:rsidRDefault="00530A37" w:rsidP="00621403">
      <w:pPr>
        <w:spacing w:after="0" w:line="360" w:lineRule="auto"/>
        <w:rPr>
          <w:color w:val="auto"/>
        </w:rPr>
      </w:pPr>
      <w:r w:rsidRPr="008817CD">
        <w:rPr>
          <w:color w:val="auto"/>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E9684EE" w14:textId="77777777" w:rsidR="00530A37" w:rsidRPr="008817CD" w:rsidRDefault="00530A37" w:rsidP="00621403">
      <w:pPr>
        <w:spacing w:after="0" w:line="360" w:lineRule="auto"/>
        <w:rPr>
          <w:color w:val="auto"/>
        </w:rPr>
      </w:pPr>
    </w:p>
    <w:p w14:paraId="4F76918D" w14:textId="77777777" w:rsidR="00530A37" w:rsidRPr="008817CD" w:rsidRDefault="00530A37" w:rsidP="00621403">
      <w:pPr>
        <w:spacing w:after="0" w:line="360" w:lineRule="auto"/>
        <w:rPr>
          <w:color w:val="auto"/>
        </w:rPr>
      </w:pPr>
      <w:r w:rsidRPr="008817CD">
        <w:rPr>
          <w:color w:val="auto"/>
        </w:rPr>
        <w:t>Por su parte, la Ley de Transparencia y Acceso a la Información Pública del Estado de México y Municipios (Reglamentaria del artículo 5° de la Constitución Local), establece lo siguiente:</w:t>
      </w:r>
    </w:p>
    <w:p w14:paraId="12BAA811" w14:textId="77777777" w:rsidR="00530A37" w:rsidRPr="008817CD" w:rsidRDefault="00530A37" w:rsidP="00621403">
      <w:pPr>
        <w:spacing w:after="0" w:line="360" w:lineRule="auto"/>
        <w:rPr>
          <w:color w:val="auto"/>
        </w:rPr>
      </w:pPr>
    </w:p>
    <w:p w14:paraId="1DCE3F7D" w14:textId="77777777" w:rsidR="00530A37" w:rsidRPr="008817CD" w:rsidRDefault="00530A37" w:rsidP="00621403">
      <w:pPr>
        <w:spacing w:after="0" w:line="360" w:lineRule="auto"/>
        <w:rPr>
          <w:color w:val="auto"/>
        </w:rPr>
      </w:pPr>
      <w:r w:rsidRPr="008817CD">
        <w:rPr>
          <w:color w:val="auto"/>
        </w:rPr>
        <w:lastRenderedPageBreak/>
        <w:t>El artículo 12, que, quienes generen, recopilen, administren, manejen, procesen, archiven o conserven información pública serán responsables de la misma.</w:t>
      </w:r>
    </w:p>
    <w:p w14:paraId="0C665171" w14:textId="77777777" w:rsidR="00530A37" w:rsidRPr="008817CD" w:rsidRDefault="00530A37" w:rsidP="00621403">
      <w:pPr>
        <w:spacing w:after="0" w:line="360" w:lineRule="auto"/>
        <w:rPr>
          <w:color w:val="auto"/>
        </w:rPr>
      </w:pPr>
    </w:p>
    <w:p w14:paraId="4C4F03EA" w14:textId="77777777" w:rsidR="00530A37" w:rsidRPr="008817CD" w:rsidRDefault="00530A37" w:rsidP="00621403">
      <w:pPr>
        <w:spacing w:after="0" w:line="360" w:lineRule="auto"/>
        <w:rPr>
          <w:color w:val="auto"/>
        </w:rPr>
      </w:pPr>
      <w:r w:rsidRPr="008817CD">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0E55F3C4" w14:textId="77777777" w:rsidR="00530A37" w:rsidRPr="008817CD" w:rsidRDefault="00530A37" w:rsidP="00621403">
      <w:pPr>
        <w:spacing w:after="0" w:line="360" w:lineRule="auto"/>
        <w:rPr>
          <w:color w:val="auto"/>
        </w:rPr>
      </w:pPr>
    </w:p>
    <w:p w14:paraId="4172EC23" w14:textId="12754BD2" w:rsidR="00763977" w:rsidRPr="008817CD" w:rsidRDefault="00530A37" w:rsidP="00621403">
      <w:pPr>
        <w:spacing w:after="0" w:line="360" w:lineRule="auto"/>
        <w:rPr>
          <w:color w:val="auto"/>
        </w:rPr>
      </w:pPr>
      <w:r w:rsidRPr="008817CD">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8EA71CF" w14:textId="77777777" w:rsidR="00530A37" w:rsidRPr="008817CD" w:rsidRDefault="00530A37" w:rsidP="00621403">
      <w:pPr>
        <w:spacing w:after="0" w:line="360" w:lineRule="auto"/>
        <w:rPr>
          <w:color w:val="FF0000"/>
        </w:rPr>
      </w:pPr>
    </w:p>
    <w:p w14:paraId="1CA05E11" w14:textId="77777777" w:rsidR="00763977" w:rsidRPr="008817CD" w:rsidRDefault="002033C0" w:rsidP="00621403">
      <w:pPr>
        <w:pStyle w:val="Ttulo2"/>
        <w:spacing w:before="0" w:after="0"/>
        <w:rPr>
          <w:color w:val="auto"/>
        </w:rPr>
      </w:pPr>
      <w:bookmarkStart w:id="12" w:name="_Toc196407825"/>
      <w:r w:rsidRPr="008817CD">
        <w:rPr>
          <w:smallCaps/>
          <w:color w:val="auto"/>
        </w:rPr>
        <w:t>QUINTO.</w:t>
      </w:r>
      <w:r w:rsidRPr="008817CD">
        <w:rPr>
          <w:color w:val="auto"/>
        </w:rPr>
        <w:t xml:space="preserve"> Estudio de Fondo</w:t>
      </w:r>
      <w:bookmarkEnd w:id="12"/>
    </w:p>
    <w:p w14:paraId="4F458259" w14:textId="77777777" w:rsidR="00763977" w:rsidRPr="008817CD" w:rsidRDefault="00763977" w:rsidP="00621403">
      <w:pPr>
        <w:widowControl w:val="0"/>
        <w:spacing w:after="0" w:line="360" w:lineRule="auto"/>
        <w:rPr>
          <w:color w:val="FF0000"/>
        </w:rPr>
      </w:pPr>
    </w:p>
    <w:p w14:paraId="38A677CF" w14:textId="77777777" w:rsidR="00763977" w:rsidRPr="008817CD" w:rsidRDefault="002033C0" w:rsidP="00621403">
      <w:pPr>
        <w:spacing w:after="0" w:line="360" w:lineRule="auto"/>
      </w:pPr>
      <w:r w:rsidRPr="008817CD">
        <w:t xml:space="preserve">Expuestas las posturas de las partes, se procede al análisis del agravio hecho valer por el Recurrente, concerniente a la entrega de información que no corresponde con lo solicitado, por lo que en principio es necesario contextualizar la solicitud de información. </w:t>
      </w:r>
    </w:p>
    <w:p w14:paraId="5D6871B9" w14:textId="77777777" w:rsidR="006A2F91" w:rsidRPr="008817CD" w:rsidRDefault="006A2F91" w:rsidP="00621403">
      <w:pPr>
        <w:spacing w:after="0" w:line="360" w:lineRule="auto"/>
        <w:rPr>
          <w:b/>
        </w:rPr>
      </w:pPr>
    </w:p>
    <w:p w14:paraId="608A8213" w14:textId="1D115007" w:rsidR="00B7398D" w:rsidRPr="008817CD" w:rsidRDefault="004C2A82" w:rsidP="00621403">
      <w:pPr>
        <w:spacing w:after="0" w:line="360" w:lineRule="auto"/>
      </w:pPr>
      <w:r w:rsidRPr="008817CD">
        <w:t>Sobre el tema</w:t>
      </w:r>
      <w:r w:rsidR="00B7398D" w:rsidRPr="008817CD">
        <w:t xml:space="preserve">, López Olvera, Miguel Alejandro </w:t>
      </w:r>
      <w:proofErr w:type="spellStart"/>
      <w:r w:rsidR="00B7398D" w:rsidRPr="008817CD">
        <w:t>Cancino</w:t>
      </w:r>
      <w:proofErr w:type="spellEnd"/>
      <w:r w:rsidR="00B7398D" w:rsidRPr="008817CD">
        <w:t xml:space="preserve"> Gómez, Rodolfo. (2020). “La Contratación Pública y el Sistema Nacional Anticorrupción”. (p. 4) establece que </w:t>
      </w:r>
      <w:r w:rsidR="00B7398D" w:rsidRPr="008817CD">
        <w:rPr>
          <w:b/>
        </w:rPr>
        <w:t>la contratación pública,</w:t>
      </w:r>
      <w:r w:rsidR="00B7398D" w:rsidRPr="008817CD">
        <w:t xml:space="preserve">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654F141E" w14:textId="77777777" w:rsidR="00763977" w:rsidRPr="008817CD" w:rsidRDefault="00763977" w:rsidP="00621403">
      <w:pPr>
        <w:spacing w:after="0" w:line="360" w:lineRule="auto"/>
        <w:rPr>
          <w:color w:val="FF0000"/>
        </w:rPr>
      </w:pPr>
    </w:p>
    <w:p w14:paraId="2885907D" w14:textId="77777777" w:rsidR="00817BD4" w:rsidRPr="008817CD" w:rsidRDefault="00817BD4" w:rsidP="00621403">
      <w:pPr>
        <w:spacing w:after="0" w:line="360" w:lineRule="auto"/>
        <w:rPr>
          <w:color w:val="FF0000"/>
        </w:rPr>
      </w:pPr>
    </w:p>
    <w:p w14:paraId="7E3563F3" w14:textId="77777777" w:rsidR="00817BD4" w:rsidRPr="008817CD" w:rsidRDefault="00817BD4" w:rsidP="00621403">
      <w:pPr>
        <w:spacing w:after="0" w:line="360" w:lineRule="auto"/>
        <w:rPr>
          <w:color w:val="FF0000"/>
        </w:rPr>
      </w:pPr>
    </w:p>
    <w:p w14:paraId="60D0F1DC" w14:textId="77777777" w:rsidR="00817BD4" w:rsidRPr="008817CD" w:rsidRDefault="00817BD4" w:rsidP="00621403">
      <w:pPr>
        <w:spacing w:after="0" w:line="360" w:lineRule="auto"/>
        <w:rPr>
          <w:rFonts w:eastAsia="Calibri" w:cs="Times New Roman"/>
        </w:rPr>
      </w:pPr>
      <w:r w:rsidRPr="008817CD">
        <w:rPr>
          <w:rFonts w:eastAsia="Calibri" w:cs="Times New Roman"/>
        </w:rPr>
        <w:lastRenderedPageBreak/>
        <w:t xml:space="preserve">En ese contexto, 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w:t>
      </w:r>
      <w:proofErr w:type="spellStart"/>
      <w:r w:rsidRPr="008817CD">
        <w:rPr>
          <w:rFonts w:eastAsia="Calibri" w:cs="Times New Roman"/>
        </w:rPr>
        <w:t>hidroagrícola</w:t>
      </w:r>
      <w:proofErr w:type="spellEnd"/>
      <w:r w:rsidRPr="008817CD">
        <w:rPr>
          <w:rFonts w:eastAsia="Calibri" w:cs="Times New Roman"/>
        </w:rPr>
        <w:t>, entre otros. Además, conforme al artículo 12.6 de dicho ordenamiento jurídico, uno de los entes que pueden llevar a cabo contratos de obra pública o servicios relacionados con la misma, son los Municipios, a través de los Ayuntamientos.</w:t>
      </w:r>
    </w:p>
    <w:p w14:paraId="4ADB7D08" w14:textId="77777777" w:rsidR="00817BD4" w:rsidRPr="008817CD" w:rsidRDefault="00817BD4" w:rsidP="00621403">
      <w:pPr>
        <w:spacing w:after="0" w:line="360" w:lineRule="auto"/>
        <w:rPr>
          <w:rFonts w:eastAsia="Calibri" w:cs="Times New Roman"/>
        </w:rPr>
      </w:pPr>
    </w:p>
    <w:p w14:paraId="61587C43" w14:textId="77777777" w:rsidR="00817BD4" w:rsidRPr="008817CD" w:rsidRDefault="00817BD4" w:rsidP="00621403">
      <w:pPr>
        <w:spacing w:after="0" w:line="360" w:lineRule="auto"/>
        <w:rPr>
          <w:rFonts w:eastAsia="Calibri" w:cs="Times New Roman"/>
        </w:rPr>
      </w:pPr>
      <w:r w:rsidRPr="008817CD">
        <w:rPr>
          <w:rFonts w:eastAsia="Calibri" w:cs="Times New Roman"/>
        </w:rPr>
        <w:t>En ese orden de ideas, es responsabilidad de los Ayuntamientos ejecutar la obra pública respectiva, mediante contrato con terceros o por administración directa; dicho acto jurídico, será adjudicado a través de</w:t>
      </w:r>
      <w:r w:rsidRPr="008817CD">
        <w:rPr>
          <w:rFonts w:eastAsia="Calibri" w:cs="Times New Roman"/>
          <w:b/>
          <w:bCs/>
        </w:rPr>
        <w:t xml:space="preserve"> licitaciones públicas,</w:t>
      </w:r>
      <w:r w:rsidRPr="008817CD">
        <w:rPr>
          <w:rFonts w:eastAsia="Calibri" w:cs="Times New Roman"/>
        </w:rPr>
        <w:t xml:space="preserve"> </w:t>
      </w:r>
      <w:r w:rsidRPr="008817CD">
        <w:rPr>
          <w:rFonts w:eastAsia="Calibri" w:cs="Times New Roman"/>
          <w:b/>
          <w:bCs/>
        </w:rPr>
        <w:t>invitación restringida o adjudicación directa,</w:t>
      </w:r>
      <w:r w:rsidRPr="008817CD">
        <w:rPr>
          <w:rFonts w:eastAsia="Calibri" w:cs="Times New Roman"/>
        </w:rPr>
        <w:t xml:space="preserve"> conforme a los artículos 12.8, 12.20 y 12.21 del Código mencionado.</w:t>
      </w:r>
    </w:p>
    <w:p w14:paraId="1AA406CF" w14:textId="77777777" w:rsidR="00817BD4" w:rsidRPr="008817CD" w:rsidRDefault="00817BD4" w:rsidP="00621403">
      <w:pPr>
        <w:spacing w:after="0" w:line="360" w:lineRule="auto"/>
        <w:rPr>
          <w:rFonts w:eastAsia="Calibri" w:cs="Times New Roman"/>
        </w:rPr>
      </w:pPr>
    </w:p>
    <w:p w14:paraId="21A5FF54" w14:textId="77777777" w:rsidR="00817BD4" w:rsidRPr="008817CD" w:rsidRDefault="00817BD4" w:rsidP="00621403">
      <w:pPr>
        <w:spacing w:after="0" w:line="360" w:lineRule="auto"/>
        <w:rPr>
          <w:rFonts w:eastAsia="Calibri" w:cs="Times New Roman"/>
        </w:rPr>
      </w:pPr>
      <w:r w:rsidRPr="008817CD">
        <w:rPr>
          <w:rFonts w:eastAsia="Calibri" w:cs="Times New Roman"/>
        </w:rPr>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8817CD">
        <w:rPr>
          <w:rFonts w:eastAsia="Calibri" w:cs="Times New Roman"/>
        </w:rPr>
        <w:t>presupuestación</w:t>
      </w:r>
      <w:proofErr w:type="spellEnd"/>
      <w:r w:rsidRPr="008817CD">
        <w:rPr>
          <w:rFonts w:eastAsia="Calibri" w:cs="Times New Roman"/>
        </w:rPr>
        <w:t xml:space="preserve">, ejecución y control de la adquisición (bienes muebles e inmuebles), arrendamiento (bienes muebles e inmuebles), y la contratación de servicios de cualquier naturaleza, que realicen los Ayuntamientos de los Municipios. </w:t>
      </w:r>
    </w:p>
    <w:p w14:paraId="784101F8" w14:textId="77777777" w:rsidR="00817BD4" w:rsidRPr="008817CD" w:rsidRDefault="00817BD4" w:rsidP="00621403">
      <w:pPr>
        <w:spacing w:after="0" w:line="360" w:lineRule="auto"/>
        <w:rPr>
          <w:rFonts w:eastAsia="Calibri" w:cs="Times New Roman"/>
        </w:rPr>
      </w:pPr>
    </w:p>
    <w:p w14:paraId="70F579BB" w14:textId="77777777" w:rsidR="00817BD4" w:rsidRPr="008817CD" w:rsidRDefault="00817BD4" w:rsidP="00621403">
      <w:pPr>
        <w:spacing w:after="0" w:line="360" w:lineRule="auto"/>
        <w:rPr>
          <w:rFonts w:eastAsia="Calibri" w:cs="Times New Roman"/>
          <w:b/>
          <w:bCs/>
        </w:rPr>
      </w:pPr>
      <w:r w:rsidRPr="008817CD">
        <w:rPr>
          <w:rFonts w:eastAsia="Calibri" w:cs="Times New Roman"/>
        </w:rPr>
        <w:t xml:space="preserve">En ese contexto, conforme a los artículos 26 y 27 de dicho ordenamiento jurídico, las adquisiciones, arrendamientos y servicios, se adjudicarán a través de procedimientos de </w:t>
      </w:r>
      <w:r w:rsidRPr="008817CD">
        <w:rPr>
          <w:rFonts w:eastAsia="Calibri" w:cs="Times New Roman"/>
          <w:b/>
          <w:bCs/>
        </w:rPr>
        <w:t>licitación pública, invitación restringida y adjudicación directa.</w:t>
      </w:r>
    </w:p>
    <w:p w14:paraId="144BF7D8" w14:textId="77777777" w:rsidR="00817BD4" w:rsidRPr="008817CD" w:rsidRDefault="00817BD4" w:rsidP="00621403">
      <w:pPr>
        <w:spacing w:after="0" w:line="360" w:lineRule="auto"/>
        <w:rPr>
          <w:rFonts w:eastAsia="Calibri" w:cs="Times New Roman"/>
        </w:rPr>
      </w:pPr>
    </w:p>
    <w:p w14:paraId="32F63EEA" w14:textId="77777777" w:rsidR="00340F80" w:rsidRPr="008817CD" w:rsidRDefault="00340F80" w:rsidP="00621403">
      <w:pPr>
        <w:spacing w:after="0" w:line="360" w:lineRule="auto"/>
        <w:rPr>
          <w:b/>
        </w:rPr>
      </w:pPr>
      <w:r w:rsidRPr="008817CD">
        <w:t xml:space="preserve">Ahora bien, conforme al artículo 120 del Reglamento de la Ley de Contratación Pública del Estado de México y Municipios y diverso 104 el Reglamento del Libro Décimo Segundo del </w:t>
      </w:r>
      <w:r w:rsidRPr="008817CD">
        <w:lastRenderedPageBreak/>
        <w:t xml:space="preserve">Código Administrativo del Estado de México, dichos actos jurídicos se conforman por diversos datos, entre los cuales, se encuentran los </w:t>
      </w:r>
      <w:r w:rsidRPr="008817CD">
        <w:rPr>
          <w:b/>
          <w:u w:val="single"/>
        </w:rPr>
        <w:t>datos de identificación de las partes</w:t>
      </w:r>
      <w:r w:rsidRPr="008817CD">
        <w:t xml:space="preserve"> y del contrato, así como </w:t>
      </w:r>
      <w:r w:rsidRPr="008817CD">
        <w:rPr>
          <w:b/>
          <w:u w:val="single"/>
        </w:rPr>
        <w:t>el importe total.</w:t>
      </w:r>
    </w:p>
    <w:p w14:paraId="3CEC40A9" w14:textId="77777777" w:rsidR="00817BD4" w:rsidRPr="008817CD" w:rsidRDefault="00817BD4" w:rsidP="00621403">
      <w:pPr>
        <w:spacing w:after="0" w:line="360" w:lineRule="auto"/>
        <w:rPr>
          <w:rFonts w:eastAsia="Calibri" w:cs="Times New Roman"/>
        </w:rPr>
      </w:pPr>
    </w:p>
    <w:p w14:paraId="207BFE00" w14:textId="4FCC0F34" w:rsidR="00340F80" w:rsidRPr="008817CD" w:rsidRDefault="00340F80" w:rsidP="00621403">
      <w:pPr>
        <w:spacing w:after="0" w:line="360" w:lineRule="auto"/>
        <w:rPr>
          <w:b/>
        </w:rPr>
      </w:pPr>
      <w:r w:rsidRPr="008817CD">
        <w:t xml:space="preserve">Así mismo, el artículo 92 fracción XXIX, de la Ley de Transparencia y Acceso a la Información Pública del Estado de México y Municipios, precisa que es </w:t>
      </w:r>
      <w:r w:rsidRPr="008817CD">
        <w:rPr>
          <w:b/>
        </w:rPr>
        <w:t>información que es pública de oficio</w:t>
      </w:r>
      <w:r w:rsidRPr="008817CD">
        <w:t xml:space="preserve">, la información sobre los procesos y resultados sobre procedimientos de adjudicación directa, invitación restringida y licitación de cualquier naturaleza, </w:t>
      </w:r>
      <w:r w:rsidRPr="008817CD">
        <w:rPr>
          <w:b/>
        </w:rPr>
        <w:t>que incluye la versión pública del expediente respectivo y de los contratos celebrados.</w:t>
      </w:r>
    </w:p>
    <w:p w14:paraId="331AA6C1" w14:textId="77777777" w:rsidR="00340F80" w:rsidRPr="008817CD" w:rsidRDefault="00340F80" w:rsidP="00621403">
      <w:pPr>
        <w:spacing w:after="0" w:line="360" w:lineRule="auto"/>
        <w:rPr>
          <w:rFonts w:eastAsia="Calibri" w:cs="Times New Roman"/>
        </w:rPr>
      </w:pPr>
    </w:p>
    <w:p w14:paraId="0326C130" w14:textId="6D0442EF" w:rsidR="00340F80" w:rsidRPr="008817CD" w:rsidRDefault="00340F80" w:rsidP="00621403">
      <w:pPr>
        <w:spacing w:after="0" w:line="360" w:lineRule="auto"/>
        <w:rPr>
          <w:color w:val="FF0000"/>
        </w:rPr>
      </w:pPr>
      <w:r w:rsidRPr="008817CD">
        <w:rPr>
          <w:rFonts w:eastAsia="Calibri" w:cs="Times New Roman"/>
          <w:lang w:val="es-ES"/>
        </w:rPr>
        <w:t>Conforme a lo anterior, se logra vislumbrar que el Ayuntamiento de Toluca, tiene competencia para celebrar contratos para la adquisición o arrendamientos de bienes, contratación de servicios y realización de obras públicas; además que dichos instrumentos contendrán diversos datos, entre los cuales se encuentra el proveedor o contratista y los montos que se tendrán que erogar para su ejecución.</w:t>
      </w:r>
    </w:p>
    <w:p w14:paraId="252F33A6" w14:textId="77777777" w:rsidR="00817BD4" w:rsidRPr="008817CD" w:rsidRDefault="00817BD4" w:rsidP="00621403">
      <w:pPr>
        <w:spacing w:after="0" w:line="360" w:lineRule="auto"/>
        <w:rPr>
          <w:color w:val="FF0000"/>
        </w:rPr>
      </w:pPr>
    </w:p>
    <w:p w14:paraId="2E56FB54" w14:textId="670592F0" w:rsidR="004B0AC0" w:rsidRPr="008817CD" w:rsidRDefault="004B0AC0" w:rsidP="00621403">
      <w:pPr>
        <w:spacing w:after="0" w:line="360" w:lineRule="auto"/>
      </w:pPr>
      <w:r w:rsidRPr="008817CD">
        <w:t>Ahora bien,</w:t>
      </w:r>
      <w:r w:rsidR="00340F80" w:rsidRPr="008817CD">
        <w:t xml:space="preserve"> respecto al documento que acredite el pago,</w:t>
      </w:r>
      <w:r w:rsidRPr="008817CD">
        <w:t xml:space="preserve"> resulta necesario traer a colación, la Resolución Miscelánea Fiscal, establece que </w:t>
      </w:r>
      <w:r w:rsidRPr="008817CD">
        <w:rPr>
          <w:b/>
        </w:rPr>
        <w:t>la factura</w:t>
      </w:r>
      <w:r w:rsidRPr="008817CD">
        <w:t xml:space="preserve"> es lo mismo, que un Comprobante Fiscal Digital por Internet, por lo que, se puede considerar como el documento que comprueba la realización de una </w:t>
      </w:r>
      <w:r w:rsidRPr="008817CD">
        <w:rPr>
          <w:b/>
        </w:rPr>
        <w:t xml:space="preserve">transacción </w:t>
      </w:r>
      <w:r w:rsidRPr="008817CD">
        <w:t>comercial, entre un comprador y un vendedor, mediante el cual, el primero queda obligado a realizar un pago, mientras que el segundo, a entregar o brindar un producto o servicio.</w:t>
      </w:r>
    </w:p>
    <w:p w14:paraId="4CBAD783" w14:textId="77777777" w:rsidR="004B0AC0" w:rsidRPr="008817CD" w:rsidRDefault="004B0AC0" w:rsidP="00621403">
      <w:pPr>
        <w:spacing w:after="0" w:line="360" w:lineRule="auto"/>
      </w:pPr>
    </w:p>
    <w:p w14:paraId="36EA977B" w14:textId="5BE2F759" w:rsidR="004B0AC0" w:rsidRPr="008817CD" w:rsidRDefault="00C55150" w:rsidP="00621403">
      <w:pPr>
        <w:spacing w:after="0" w:line="360" w:lineRule="auto"/>
      </w:pPr>
      <w:r w:rsidRPr="008817CD">
        <w:t>En ese orden de ideas, los Lineamientos para la Integración y Entrega del Informe Trimestral Municipal, para el dos mil veinticuatro, entre los formatos que maneja en el Módulo 1, se advierte que se encuentran Póliza</w:t>
      </w:r>
      <w:r w:rsidR="005A7594" w:rsidRPr="008817CD">
        <w:t>s</w:t>
      </w:r>
      <w:r w:rsidRPr="008817CD">
        <w:t xml:space="preserve"> de Egresos y Póliza</w:t>
      </w:r>
      <w:r w:rsidR="005A7594" w:rsidRPr="008817CD">
        <w:t>s</w:t>
      </w:r>
      <w:r w:rsidRPr="008817CD">
        <w:t xml:space="preserve"> Cheque, con los documentos comprobatorios, mismos que serán entregados al Órgano Superior de Fiscalización del Estado </w:t>
      </w:r>
      <w:r w:rsidRPr="008817CD">
        <w:lastRenderedPageBreak/>
        <w:t>de México. Además, se precisa que dichos documentos deberán contener las imágenes de la documentación comprobatoria y justificativa de los egresos y de las respectivas pólizas, los cuales incluyen los Comprobantes Fiscales Digitales por Internet, facturas o recibos.</w:t>
      </w:r>
    </w:p>
    <w:p w14:paraId="3AD26A59" w14:textId="77777777" w:rsidR="005A7594" w:rsidRPr="008817CD" w:rsidRDefault="005A7594" w:rsidP="00621403">
      <w:pPr>
        <w:spacing w:after="0" w:line="360" w:lineRule="auto"/>
        <w:rPr>
          <w:b/>
        </w:rPr>
      </w:pPr>
    </w:p>
    <w:p w14:paraId="3267640A" w14:textId="1F9F4B34" w:rsidR="00340F80" w:rsidRPr="008817CD" w:rsidRDefault="00427226" w:rsidP="00621403">
      <w:pPr>
        <w:spacing w:after="0" w:line="360" w:lineRule="auto"/>
      </w:pPr>
      <w:r w:rsidRPr="008817CD">
        <w:t>En ese contexto, los Sujetos Obligados deben generar pólizas contables que corresponden a un documento en el que se asientan las operaciones desarrolladas, por el municipio y toda la información necesaria para su identificación</w:t>
      </w:r>
      <w:r w:rsidR="00340F80" w:rsidRPr="008817CD">
        <w:t>; para lo cual,</w:t>
      </w:r>
      <w:r w:rsidRPr="008817CD">
        <w:t xml:space="preserve"> la Guía Técnica 8 “La Contabilidad y la Cuenta Pública Municipal</w:t>
      </w:r>
      <w:r w:rsidR="00340F80" w:rsidRPr="008817CD">
        <w:t>”, define a las pólizas de egresos y de cheque, como aquellas</w:t>
      </w:r>
      <w:r w:rsidRPr="008817CD">
        <w:t xml:space="preserve"> donde se anotan las operaciones que implique egresos, es decir, la salida de dinero, en efectivo</w:t>
      </w:r>
      <w:r w:rsidR="00340F80" w:rsidRPr="008817CD">
        <w:t xml:space="preserve">, </w:t>
      </w:r>
      <w:r w:rsidRPr="008817CD">
        <w:t>transferencia</w:t>
      </w:r>
      <w:r w:rsidR="00340F80" w:rsidRPr="008817CD">
        <w:t xml:space="preserve"> o cheque</w:t>
      </w:r>
      <w:r w:rsidRPr="008817CD">
        <w:t>, para el municipio.</w:t>
      </w:r>
    </w:p>
    <w:p w14:paraId="60414A5A" w14:textId="77777777" w:rsidR="00340F80" w:rsidRPr="008817CD" w:rsidRDefault="00340F80" w:rsidP="00621403">
      <w:pPr>
        <w:spacing w:after="0" w:line="360" w:lineRule="auto"/>
      </w:pPr>
    </w:p>
    <w:p w14:paraId="7F17E1F1" w14:textId="5F216577" w:rsidR="00F83153" w:rsidRPr="008817CD" w:rsidRDefault="00340F80" w:rsidP="00621403">
      <w:pPr>
        <w:spacing w:after="0" w:line="360" w:lineRule="auto"/>
      </w:pPr>
      <w:r w:rsidRPr="008817CD">
        <w:t>Conforme a lo anterior, se logra vislumbrar que el Sujeto Obligado</w:t>
      </w:r>
      <w:r w:rsidR="00F83153" w:rsidRPr="008817CD">
        <w:t xml:space="preserve"> debe generar los documentos comprobatorios de los pagos realizados derivados de los contratos celebrados derivados de procedimientos de adjudicación, como pudieran ser las pólizas de egresos o los documentos comprobatorios de estas.</w:t>
      </w:r>
    </w:p>
    <w:p w14:paraId="36E724FD" w14:textId="77777777" w:rsidR="00F83153" w:rsidRPr="008817CD" w:rsidRDefault="00F83153" w:rsidP="00621403">
      <w:pPr>
        <w:spacing w:after="0" w:line="360" w:lineRule="auto"/>
      </w:pPr>
    </w:p>
    <w:p w14:paraId="29FAB8E7" w14:textId="6B58328E" w:rsidR="00BB4E17" w:rsidRPr="008817CD" w:rsidRDefault="00BB4E17" w:rsidP="00621403">
      <w:pPr>
        <w:spacing w:after="0" w:line="360" w:lineRule="auto"/>
      </w:pPr>
      <w:r w:rsidRPr="008817CD">
        <w:t>Por otra parte</w:t>
      </w:r>
      <w:r w:rsidR="00F83153" w:rsidRPr="008817CD">
        <w:t xml:space="preserve">, respecto a las personas que se les entregaron calentadores solares, es necesario precisar que del análisis del artículo 92, fracción XIV, inciso p), de la Ley de Transparencia y Acceso a la Información Pública del Estado de México y Municipios, establece que </w:t>
      </w:r>
      <w:r w:rsidRPr="008817CD">
        <w:t>los Sujetos Obligados deben publicar el padrón de beneficiarios de aquellos apoyos que hayan otorgado, como pudiera ser la entrega de calentadores.</w:t>
      </w:r>
    </w:p>
    <w:p w14:paraId="10570D54" w14:textId="77777777" w:rsidR="00BB4E17" w:rsidRPr="008817CD" w:rsidRDefault="00BB4E17" w:rsidP="00621403">
      <w:pPr>
        <w:spacing w:after="0" w:line="360" w:lineRule="auto"/>
      </w:pPr>
    </w:p>
    <w:p w14:paraId="43F99BB9" w14:textId="77777777" w:rsidR="00BB4E17" w:rsidRPr="008817CD" w:rsidRDefault="00BB4E17" w:rsidP="00621403">
      <w:pPr>
        <w:spacing w:after="0" w:line="360" w:lineRule="auto"/>
      </w:pPr>
      <w:r w:rsidRPr="008817CD">
        <w:t xml:space="preserve">Finalmente, se localizó en la Gaceta Municipal Semanal volumen veintiséis, año tres, del cinco de agosto de dos mil veinticuatro, el cual contiene los Acuerdos de la Quincuagésima Novena Sesión Ordinaria de Cabildo del Ayuntamiento del Municipio de Toluca 2022-2024, celebrada el primero de agosto de dos mil veinticuatro, por medio del cual se aprobó la modificación y reconducción al Programa Anual Obra para el ejercicio fiscal dos mil veinticuatro, en donde se </w:t>
      </w:r>
      <w:r w:rsidRPr="008817CD">
        <w:lastRenderedPageBreak/>
        <w:t>corrige dicha documental, para establecer la obra  denominada “Suministro, Colocación y puesta en marcha de Calentadores Solares en viviendas”, tal como se muestra a continuación:</w:t>
      </w:r>
    </w:p>
    <w:p w14:paraId="48B7672A" w14:textId="77777777" w:rsidR="00BB4E17" w:rsidRPr="008817CD" w:rsidRDefault="00BB4E17" w:rsidP="00621403">
      <w:pPr>
        <w:spacing w:after="0" w:line="360" w:lineRule="auto"/>
      </w:pPr>
    </w:p>
    <w:p w14:paraId="3F273194" w14:textId="39D31E76" w:rsidR="00BB4E17" w:rsidRPr="008817CD" w:rsidRDefault="00E164C2" w:rsidP="00621403">
      <w:pPr>
        <w:spacing w:after="0" w:line="360" w:lineRule="auto"/>
      </w:pPr>
      <w:r w:rsidRPr="008817CD">
        <w:rPr>
          <w:noProof/>
        </w:rPr>
        <w:drawing>
          <wp:inline distT="0" distB="0" distL="0" distR="0" wp14:anchorId="73445CF2" wp14:editId="383C8AE8">
            <wp:extent cx="5850890" cy="1177925"/>
            <wp:effectExtent l="0" t="0" r="0" b="3175"/>
            <wp:docPr id="954595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95814" name=""/>
                    <pic:cNvPicPr/>
                  </pic:nvPicPr>
                  <pic:blipFill>
                    <a:blip r:embed="rId8"/>
                    <a:stretch>
                      <a:fillRect/>
                    </a:stretch>
                  </pic:blipFill>
                  <pic:spPr>
                    <a:xfrm>
                      <a:off x="0" y="0"/>
                      <a:ext cx="5850890" cy="1177925"/>
                    </a:xfrm>
                    <a:prstGeom prst="rect">
                      <a:avLst/>
                    </a:prstGeom>
                  </pic:spPr>
                </pic:pic>
              </a:graphicData>
            </a:graphic>
          </wp:inline>
        </w:drawing>
      </w:r>
      <w:r w:rsidR="00BB4E17" w:rsidRPr="008817CD">
        <w:t xml:space="preserve"> </w:t>
      </w:r>
    </w:p>
    <w:p w14:paraId="0121D0D4" w14:textId="0DBAA020" w:rsidR="00BB4E17" w:rsidRPr="008817CD" w:rsidRDefault="00BB4E17" w:rsidP="00621403">
      <w:pPr>
        <w:spacing w:after="0" w:line="360" w:lineRule="auto"/>
      </w:pPr>
    </w:p>
    <w:p w14:paraId="658F2E66" w14:textId="6820D50C" w:rsidR="00E164C2" w:rsidRPr="008817CD" w:rsidRDefault="00E164C2" w:rsidP="00621403">
      <w:pPr>
        <w:spacing w:after="0" w:line="360" w:lineRule="auto"/>
      </w:pPr>
      <w:r w:rsidRPr="008817CD">
        <w:t xml:space="preserve">Conforme a lo anterior, se logra vislumbrar que la pretensión del ahora Recurrente, </w:t>
      </w:r>
      <w:r w:rsidR="00613715" w:rsidRPr="008817CD">
        <w:t>es obtener, respecto a la compra y entrega de calentadores solares, del primero de enero al treinta y uno de diciembre de dos mil veinticuatro, los documentos donde conste lo siguiente:</w:t>
      </w:r>
    </w:p>
    <w:p w14:paraId="22E3DF26" w14:textId="77777777" w:rsidR="00E164C2" w:rsidRPr="008817CD" w:rsidRDefault="00E164C2" w:rsidP="00621403">
      <w:pPr>
        <w:spacing w:after="0" w:line="360" w:lineRule="auto"/>
      </w:pPr>
    </w:p>
    <w:p w14:paraId="1AF48C40" w14:textId="1AA33885" w:rsidR="00E164C2" w:rsidRPr="008817CD" w:rsidRDefault="00E164C2" w:rsidP="00621403">
      <w:pPr>
        <w:pStyle w:val="Prrafodelista"/>
        <w:numPr>
          <w:ilvl w:val="0"/>
          <w:numId w:val="14"/>
        </w:numPr>
        <w:spacing w:line="360" w:lineRule="auto"/>
      </w:pPr>
      <w:r w:rsidRPr="008817CD">
        <w:t>El o los contratos de a</w:t>
      </w:r>
      <w:r w:rsidR="00613715" w:rsidRPr="008817CD">
        <w:t>dquisición</w:t>
      </w:r>
      <w:r w:rsidRPr="008817CD">
        <w:t xml:space="preserve"> de los dos mil calentadores</w:t>
      </w:r>
      <w:r w:rsidR="00613715" w:rsidRPr="008817CD">
        <w:t xml:space="preserve"> (que incluye el nombre del proveedor y costo);</w:t>
      </w:r>
    </w:p>
    <w:p w14:paraId="761409EE" w14:textId="65C805F8" w:rsidR="00613715" w:rsidRPr="008817CD" w:rsidRDefault="00613715" w:rsidP="00621403">
      <w:pPr>
        <w:pStyle w:val="Prrafodelista"/>
        <w:numPr>
          <w:ilvl w:val="0"/>
          <w:numId w:val="14"/>
        </w:numPr>
        <w:spacing w:line="360" w:lineRule="auto"/>
        <w:rPr>
          <w:color w:val="auto"/>
        </w:rPr>
      </w:pPr>
      <w:r w:rsidRPr="008817CD">
        <w:rPr>
          <w:color w:val="auto"/>
        </w:rPr>
        <w:t>El monto pagado;</w:t>
      </w:r>
    </w:p>
    <w:p w14:paraId="79CDD6B5" w14:textId="77777777" w:rsidR="00613715" w:rsidRPr="008817CD" w:rsidRDefault="00613715" w:rsidP="00621403">
      <w:pPr>
        <w:pStyle w:val="Prrafodelista"/>
        <w:numPr>
          <w:ilvl w:val="0"/>
          <w:numId w:val="14"/>
        </w:numPr>
        <w:spacing w:line="360" w:lineRule="auto"/>
        <w:rPr>
          <w:color w:val="auto"/>
        </w:rPr>
      </w:pPr>
      <w:r w:rsidRPr="008817CD">
        <w:rPr>
          <w:color w:val="auto"/>
        </w:rPr>
        <w:t>Listado de personas a las cuales se le entregaron los calentadores, y</w:t>
      </w:r>
    </w:p>
    <w:p w14:paraId="68B2E9A5" w14:textId="77777777" w:rsidR="00613715" w:rsidRPr="008817CD" w:rsidRDefault="00613715" w:rsidP="00621403">
      <w:pPr>
        <w:pStyle w:val="Prrafodelista"/>
        <w:numPr>
          <w:ilvl w:val="0"/>
          <w:numId w:val="14"/>
        </w:numPr>
        <w:spacing w:line="360" w:lineRule="auto"/>
        <w:rPr>
          <w:color w:val="auto"/>
        </w:rPr>
      </w:pPr>
      <w:r w:rsidRPr="008817CD">
        <w:rPr>
          <w:color w:val="auto"/>
        </w:rPr>
        <w:t>Número de calentadores no entregados.</w:t>
      </w:r>
    </w:p>
    <w:p w14:paraId="5F1233A8" w14:textId="77777777" w:rsidR="00BB4E17" w:rsidRPr="008817CD" w:rsidRDefault="00BB4E17" w:rsidP="00621403">
      <w:pPr>
        <w:spacing w:after="0" w:line="360" w:lineRule="auto"/>
        <w:rPr>
          <w:b/>
          <w:color w:val="FF0000"/>
        </w:rPr>
      </w:pPr>
    </w:p>
    <w:p w14:paraId="25C4E36F" w14:textId="0A0E75AB" w:rsidR="00686961" w:rsidRPr="008817CD" w:rsidRDefault="00C6200E" w:rsidP="00621403">
      <w:pPr>
        <w:spacing w:after="0" w:line="360" w:lineRule="auto"/>
        <w:rPr>
          <w:b/>
        </w:rPr>
      </w:pPr>
      <w:r w:rsidRPr="008817CD">
        <w:t xml:space="preserve">Ahora bien, de las constancias que obran en el expediente </w:t>
      </w:r>
      <w:r w:rsidR="00686961" w:rsidRPr="008817CD">
        <w:t xml:space="preserve">electrónico, se advierte que el </w:t>
      </w:r>
      <w:r w:rsidRPr="008817CD">
        <w:t>Sujeto Obligado, turnó la solicitud de informac</w:t>
      </w:r>
      <w:r w:rsidR="00FB6AA8" w:rsidRPr="008817CD">
        <w:t xml:space="preserve">ión a la </w:t>
      </w:r>
      <w:r w:rsidR="00FB6AA8" w:rsidRPr="008817CD">
        <w:rPr>
          <w:bCs/>
        </w:rPr>
        <w:t>Dirección General de Adminis</w:t>
      </w:r>
      <w:r w:rsidR="005B6781" w:rsidRPr="008817CD">
        <w:rPr>
          <w:bCs/>
        </w:rPr>
        <w:t>tración</w:t>
      </w:r>
      <w:r w:rsidR="00FB6AA8" w:rsidRPr="008817CD">
        <w:rPr>
          <w:bCs/>
        </w:rPr>
        <w:t>,</w:t>
      </w:r>
      <w:r w:rsidR="004A1F68" w:rsidRPr="008817CD">
        <w:rPr>
          <w:bCs/>
        </w:rPr>
        <w:t xml:space="preserve"> </w:t>
      </w:r>
      <w:r w:rsidR="0029661E" w:rsidRPr="008817CD">
        <w:rPr>
          <w:bCs/>
        </w:rPr>
        <w:t xml:space="preserve">Tesorería Municipal y </w:t>
      </w:r>
      <w:r w:rsidR="00D60A14" w:rsidRPr="008817CD">
        <w:rPr>
          <w:bCs/>
        </w:rPr>
        <w:t>la</w:t>
      </w:r>
      <w:r w:rsidR="004A1F68" w:rsidRPr="008817CD">
        <w:rPr>
          <w:bCs/>
        </w:rPr>
        <w:t xml:space="preserve"> </w:t>
      </w:r>
      <w:r w:rsidR="005B6781" w:rsidRPr="008817CD">
        <w:rPr>
          <w:bCs/>
        </w:rPr>
        <w:t>Direcció</w:t>
      </w:r>
      <w:r w:rsidR="0029661E" w:rsidRPr="008817CD">
        <w:rPr>
          <w:bCs/>
        </w:rPr>
        <w:t>n General Desarrollo Económico</w:t>
      </w:r>
      <w:r w:rsidR="0029661E" w:rsidRPr="008817CD">
        <w:rPr>
          <w:b/>
        </w:rPr>
        <w:t xml:space="preserve"> </w:t>
      </w:r>
      <w:r w:rsidR="005B6781" w:rsidRPr="008817CD">
        <w:t>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0405EFCD" w14:textId="13DF32DF" w:rsidR="00D60A14" w:rsidRPr="008817CD" w:rsidRDefault="00F02588" w:rsidP="00621403">
      <w:pPr>
        <w:spacing w:after="0" w:line="360" w:lineRule="auto"/>
      </w:pPr>
      <w:r w:rsidRPr="008817CD">
        <w:lastRenderedPageBreak/>
        <w:t xml:space="preserve">Así, efecto de verificar que el Sujeto Obligado cumplió con dicho procedimiento, es necesario traer a colación el </w:t>
      </w:r>
      <w:r w:rsidR="00F74CE5" w:rsidRPr="008817CD">
        <w:t>Manual General de Organización del Sector Central de la Administración Pública Municipal de Toluca</w:t>
      </w:r>
      <w:r w:rsidR="00D60A14" w:rsidRPr="008817CD">
        <w:t xml:space="preserve">, </w:t>
      </w:r>
      <w:r w:rsidR="00F74CE5" w:rsidRPr="008817CD">
        <w:t>el cual refiere</w:t>
      </w:r>
      <w:r w:rsidR="00D60A14" w:rsidRPr="008817CD">
        <w:t xml:space="preserve"> que el Sujeto Obligado para el cumplimiento de sus funciones contará con diversas unidades administrativas, entre las cuales se encuentran la siguientes:</w:t>
      </w:r>
    </w:p>
    <w:p w14:paraId="494D86EB" w14:textId="77777777" w:rsidR="00D60A14" w:rsidRPr="008817CD" w:rsidRDefault="00D60A14" w:rsidP="00621403">
      <w:pPr>
        <w:spacing w:after="0" w:line="360" w:lineRule="auto"/>
      </w:pPr>
    </w:p>
    <w:p w14:paraId="2D34B701" w14:textId="3A1F69D5" w:rsidR="002334ED" w:rsidRPr="008817CD" w:rsidRDefault="00F74CE5" w:rsidP="00621403">
      <w:pPr>
        <w:pStyle w:val="Prrafodelista"/>
        <w:numPr>
          <w:ilvl w:val="0"/>
          <w:numId w:val="20"/>
        </w:numPr>
        <w:spacing w:line="360" w:lineRule="auto"/>
      </w:pPr>
      <w:r w:rsidRPr="008817CD">
        <w:rPr>
          <w:b/>
        </w:rPr>
        <w:t>Dirección General de Administración</w:t>
      </w:r>
      <w:r w:rsidRPr="008817CD">
        <w:t xml:space="preserve"> </w:t>
      </w:r>
      <w:r w:rsidR="002334ED" w:rsidRPr="008817CD">
        <w:t>encarga</w:t>
      </w:r>
      <w:r w:rsidR="00D60A14" w:rsidRPr="008817CD">
        <w:t>da</w:t>
      </w:r>
      <w:r w:rsidR="002334ED" w:rsidRPr="008817CD">
        <w:t xml:space="preserve"> </w:t>
      </w:r>
      <w:r w:rsidR="002334ED" w:rsidRPr="008817CD">
        <w:rPr>
          <w:b/>
        </w:rPr>
        <w:t>de organizar y autorizar procedimientos de adquisiciones y</w:t>
      </w:r>
      <w:r w:rsidR="002334ED" w:rsidRPr="008817CD">
        <w:t xml:space="preserve"> contratación de servicios, arrendamiento de inmuebles, así como enajenación y subasta </w:t>
      </w:r>
      <w:r w:rsidR="002334ED" w:rsidRPr="008817CD">
        <w:rPr>
          <w:b/>
        </w:rPr>
        <w:t xml:space="preserve">de bienes </w:t>
      </w:r>
      <w:r w:rsidR="002334ED" w:rsidRPr="008817CD">
        <w:t xml:space="preserve">de una manera eficiente y transparente, apegados a la normatividad correspondiente, </w:t>
      </w:r>
      <w:r w:rsidR="00A60FB8" w:rsidRPr="008817CD">
        <w:t xml:space="preserve">coordinar la </w:t>
      </w:r>
      <w:r w:rsidR="00A60FB8" w:rsidRPr="008817CD">
        <w:rPr>
          <w:b/>
        </w:rPr>
        <w:t xml:space="preserve">adquisición de bienes, </w:t>
      </w:r>
      <w:r w:rsidR="00A60FB8" w:rsidRPr="008817CD">
        <w:t xml:space="preserve">aprobar y formalizar los </w:t>
      </w:r>
      <w:r w:rsidR="00A60FB8" w:rsidRPr="008817CD">
        <w:rPr>
          <w:b/>
        </w:rPr>
        <w:t>contratos para la adquisición de bienes</w:t>
      </w:r>
      <w:r w:rsidR="00A60FB8" w:rsidRPr="008817CD">
        <w:t xml:space="preserve"> y contratación de servicios, que deriven de cualquiera de los procedimientos establecidos en la normatividad vigente y aplicable.</w:t>
      </w:r>
    </w:p>
    <w:p w14:paraId="0A203C2A" w14:textId="77777777" w:rsidR="00F74CE5" w:rsidRPr="008817CD" w:rsidRDefault="00F74CE5" w:rsidP="00621403">
      <w:pPr>
        <w:spacing w:after="0" w:line="360" w:lineRule="auto"/>
      </w:pPr>
    </w:p>
    <w:p w14:paraId="19A90B1C" w14:textId="656201B9" w:rsidR="005D03BA" w:rsidRPr="008817CD" w:rsidRDefault="008D4EA0" w:rsidP="00621403">
      <w:pPr>
        <w:pStyle w:val="Prrafodelista"/>
        <w:numPr>
          <w:ilvl w:val="0"/>
          <w:numId w:val="20"/>
        </w:numPr>
        <w:spacing w:line="360" w:lineRule="auto"/>
      </w:pPr>
      <w:r w:rsidRPr="008817CD">
        <w:rPr>
          <w:b/>
        </w:rPr>
        <w:t xml:space="preserve">Dirección General de Desarrollo </w:t>
      </w:r>
      <w:r w:rsidR="007F3DBA" w:rsidRPr="008817CD">
        <w:rPr>
          <w:b/>
        </w:rPr>
        <w:t>Social</w:t>
      </w:r>
      <w:r w:rsidR="00D60A14" w:rsidRPr="008817CD">
        <w:rPr>
          <w:b/>
        </w:rPr>
        <w:t xml:space="preserve"> </w:t>
      </w:r>
      <w:r w:rsidR="00D60A14" w:rsidRPr="008817CD">
        <w:rPr>
          <w:bCs/>
        </w:rPr>
        <w:t>encargada</w:t>
      </w:r>
      <w:r w:rsidRPr="008817CD">
        <w:t xml:space="preserve"> de planear, promover, conducir, difundir, ejecutar y evaluar las políticas públicas encaminadas al desarrollo social, </w:t>
      </w:r>
      <w:proofErr w:type="gramStart"/>
      <w:r w:rsidRPr="008817CD">
        <w:t>misma</w:t>
      </w:r>
      <w:proofErr w:type="gramEnd"/>
      <w:r w:rsidRPr="008817CD">
        <w:t xml:space="preserve"> que dentro del ámbito de sus funciones se encarga de elaborar, ejecutar y supervisar programas para el mejoramiento de la vivienda en zonas de atención prioritaria del municipio</w:t>
      </w:r>
      <w:r w:rsidR="00551A9C" w:rsidRPr="008817CD">
        <w:t>.</w:t>
      </w:r>
    </w:p>
    <w:p w14:paraId="28A833B6" w14:textId="77777777" w:rsidR="00D60A14" w:rsidRPr="008817CD" w:rsidRDefault="00D60A14" w:rsidP="00621403">
      <w:pPr>
        <w:spacing w:after="0" w:line="360" w:lineRule="auto"/>
      </w:pPr>
    </w:p>
    <w:p w14:paraId="25515933" w14:textId="1A9A71A0" w:rsidR="00551A9C" w:rsidRPr="008817CD" w:rsidRDefault="00551A9C" w:rsidP="00621403">
      <w:pPr>
        <w:pStyle w:val="Prrafodelista"/>
        <w:numPr>
          <w:ilvl w:val="0"/>
          <w:numId w:val="20"/>
        </w:numPr>
        <w:spacing w:line="360" w:lineRule="auto"/>
      </w:pPr>
      <w:r w:rsidRPr="008817CD">
        <w:rPr>
          <w:b/>
        </w:rPr>
        <w:t xml:space="preserve">Tesorería Municipal </w:t>
      </w:r>
      <w:r w:rsidRPr="008817CD">
        <w:rPr>
          <w:b/>
          <w:bCs/>
        </w:rPr>
        <w:t>encargada</w:t>
      </w:r>
      <w:r w:rsidRPr="008817CD">
        <w:rPr>
          <w:b/>
        </w:rPr>
        <w:t xml:space="preserve"> de recaudar, administrar, operar, registrar y glosar los recursos que componen la hacienda pública </w:t>
      </w:r>
      <w:r w:rsidRPr="008817CD">
        <w:t>con la finalidad de mantener finanzas sanas y contar con la suficiencia económica para cumplir con las obligaciones, funciones y atribuciones del gobierno municipal de Toluca, la cual dentro de sus funciones administra la hacienda pública municipal.</w:t>
      </w:r>
    </w:p>
    <w:p w14:paraId="3D78D08E" w14:textId="77777777" w:rsidR="0029661E" w:rsidRPr="008817CD" w:rsidRDefault="0029661E" w:rsidP="00621403">
      <w:pPr>
        <w:spacing w:after="0" w:line="360" w:lineRule="auto"/>
      </w:pPr>
    </w:p>
    <w:p w14:paraId="5EE5BB2A" w14:textId="46F16F61" w:rsidR="0029661E" w:rsidRPr="008817CD" w:rsidRDefault="0029661E" w:rsidP="00621403">
      <w:pPr>
        <w:pStyle w:val="Prrafodelista"/>
        <w:numPr>
          <w:ilvl w:val="0"/>
          <w:numId w:val="20"/>
        </w:numPr>
        <w:spacing w:line="360" w:lineRule="auto"/>
      </w:pPr>
      <w:r w:rsidRPr="008817CD">
        <w:rPr>
          <w:b/>
        </w:rPr>
        <w:lastRenderedPageBreak/>
        <w:t>Dirección General de Desarrollo Urbano,</w:t>
      </w:r>
      <w:r w:rsidR="00C95A53" w:rsidRPr="008817CD">
        <w:rPr>
          <w:b/>
        </w:rPr>
        <w:t xml:space="preserve"> Ordenamiento Territorial y Obras Públicas</w:t>
      </w:r>
      <w:r w:rsidRPr="008817CD">
        <w:rPr>
          <w:b/>
        </w:rPr>
        <w:t xml:space="preserve"> </w:t>
      </w:r>
      <w:r w:rsidR="00D60A14" w:rsidRPr="008817CD">
        <w:t>encargada</w:t>
      </w:r>
      <w:r w:rsidRPr="008817CD">
        <w:t xml:space="preserve"> de proponer y ejecutar el Programa Anual de Obra Pública Municipal a efecto de que se incremente la infraestructura urbana, así como de </w:t>
      </w:r>
      <w:r w:rsidRPr="008817CD">
        <w:rPr>
          <w:b/>
        </w:rPr>
        <w:t>vigilar la ejecución de obras por cooperación, así como la construcción y mejoramiento de obras de infraestructura y equipamiento urbano, a</w:t>
      </w:r>
      <w:r w:rsidRPr="008817CD">
        <w:t xml:space="preserve">dministrar y ejercer, en el ámbito de su competencia, de manera coordinada con el Tesorero Municipal, los recursos públicos destinados a la planeación, programación, </w:t>
      </w:r>
      <w:proofErr w:type="spellStart"/>
      <w:r w:rsidRPr="008817CD">
        <w:t>presupuestación</w:t>
      </w:r>
      <w:proofErr w:type="spellEnd"/>
      <w:r w:rsidRPr="008817CD">
        <w:t>, adjudicación, contratación, ejecución y control de la obra pública.</w:t>
      </w:r>
    </w:p>
    <w:p w14:paraId="639ABC33" w14:textId="77777777" w:rsidR="000E1961" w:rsidRPr="008817CD" w:rsidRDefault="000E1961" w:rsidP="00621403">
      <w:pPr>
        <w:spacing w:after="0" w:line="360" w:lineRule="auto"/>
      </w:pPr>
    </w:p>
    <w:p w14:paraId="4232DCE0" w14:textId="374AA704" w:rsidR="000E1961" w:rsidRPr="008817CD" w:rsidRDefault="000E1961" w:rsidP="00621403">
      <w:pPr>
        <w:pStyle w:val="Prrafodelista"/>
        <w:numPr>
          <w:ilvl w:val="0"/>
          <w:numId w:val="20"/>
        </w:numPr>
        <w:spacing w:line="360" w:lineRule="auto"/>
      </w:pPr>
      <w:r w:rsidRPr="008817CD">
        <w:rPr>
          <w:b/>
        </w:rPr>
        <w:t xml:space="preserve">Dirección General de Desarrollo Económico, </w:t>
      </w:r>
      <w:r w:rsidRPr="008817CD">
        <w:t xml:space="preserve">el Manual en comento refiere que se encarga de </w:t>
      </w:r>
      <w:r w:rsidR="00D60A14" w:rsidRPr="008817CD">
        <w:t>d</w:t>
      </w:r>
      <w:r w:rsidRPr="008817CD">
        <w:t>irigir y coordinar estrategias sustentables tendientes al desarrollo económico del Municipio de Toluca, mediante la promoción de sus fortalezas para la instalación y consolidación de la industria, el comercio establecido y prestadores de servicios; así como la coordinación de actividades industriales, comerciales, agrícolas y de emprendimiento, a fin de propiciar una derrama económica con mayores oportunidades de empleo.</w:t>
      </w:r>
    </w:p>
    <w:p w14:paraId="5C836821" w14:textId="77777777" w:rsidR="003E2BCA" w:rsidRPr="008817CD" w:rsidRDefault="003E2BCA" w:rsidP="00621403">
      <w:pPr>
        <w:spacing w:after="0" w:line="360" w:lineRule="auto"/>
      </w:pPr>
    </w:p>
    <w:p w14:paraId="2CB60FFA" w14:textId="3D8C28F1" w:rsidR="003E2BCA" w:rsidRPr="008817CD" w:rsidRDefault="003E2BCA" w:rsidP="00621403">
      <w:pPr>
        <w:spacing w:after="0" w:line="360" w:lineRule="auto"/>
      </w:pPr>
      <w:r w:rsidRPr="008817CD">
        <w:t>Así y de lo plasmado en párrafos anteriores, se logra colegir que el Sujeto Obligado no cumplió con el procedimiento de búsqueda establecido en la Ley de Transparencia y Acceso a la Información Pública del Estado de México y Municipios, toda vez, que fue omiso en turnar la solicitud de información a la</w:t>
      </w:r>
      <w:r w:rsidR="0029661E" w:rsidRPr="008817CD">
        <w:t xml:space="preserve"> Dirección General de Desarrollo S</w:t>
      </w:r>
      <w:r w:rsidRPr="008817CD">
        <w:t>oc</w:t>
      </w:r>
      <w:r w:rsidR="0029661E" w:rsidRPr="008817CD">
        <w:t>ial y Dirección General de Desarrollo Urbano, Ordenamiento Territorial Obras Públicas</w:t>
      </w:r>
      <w:r w:rsidR="00BF7F6C" w:rsidRPr="008817CD">
        <w:t>,</w:t>
      </w:r>
      <w:r w:rsidR="0029661E" w:rsidRPr="008817CD">
        <w:rPr>
          <w:b/>
        </w:rPr>
        <w:t xml:space="preserve"> </w:t>
      </w:r>
      <w:r w:rsidRPr="008817CD">
        <w:t xml:space="preserve">mismas que se encargan de ver temas relacionados </w:t>
      </w:r>
      <w:r w:rsidR="00BF7F6C" w:rsidRPr="008817CD">
        <w:t>con las obras públicas y entrega de apoyos.</w:t>
      </w:r>
    </w:p>
    <w:p w14:paraId="25E82362" w14:textId="77777777" w:rsidR="003E2BCA" w:rsidRPr="008817CD" w:rsidRDefault="003E2BCA" w:rsidP="00621403">
      <w:pPr>
        <w:spacing w:after="0" w:line="360" w:lineRule="auto"/>
      </w:pPr>
    </w:p>
    <w:p w14:paraId="45326E8D" w14:textId="2F9E6DC6" w:rsidR="00587C0C" w:rsidRPr="008817CD" w:rsidRDefault="008D4BFD" w:rsidP="00621403">
      <w:pPr>
        <w:spacing w:after="0" w:line="360" w:lineRule="auto"/>
      </w:pPr>
      <w:r w:rsidRPr="008817CD">
        <w:t>Ahora bien, en respuesta</w:t>
      </w:r>
      <w:r w:rsidR="00BF7F6C" w:rsidRPr="008817CD">
        <w:t>,</w:t>
      </w:r>
      <w:r w:rsidRPr="008817CD">
        <w:t xml:space="preserve"> como en informe  la </w:t>
      </w:r>
      <w:r w:rsidRPr="008817CD">
        <w:rPr>
          <w:b/>
        </w:rPr>
        <w:t xml:space="preserve">Dirección General de Administración y </w:t>
      </w:r>
      <w:r w:rsidR="009B1753" w:rsidRPr="008817CD">
        <w:rPr>
          <w:b/>
        </w:rPr>
        <w:t>la Dirección General de Desarrollo Económico</w:t>
      </w:r>
      <w:r w:rsidRPr="008817CD">
        <w:rPr>
          <w:b/>
        </w:rPr>
        <w:t xml:space="preserve">,  </w:t>
      </w:r>
      <w:r w:rsidR="00E5729F" w:rsidRPr="008817CD">
        <w:t xml:space="preserve">precisaron que no </w:t>
      </w:r>
      <w:r w:rsidRPr="008817CD">
        <w:t>genera</w:t>
      </w:r>
      <w:r w:rsidR="00E5729F" w:rsidRPr="008817CD">
        <w:t>ban</w:t>
      </w:r>
      <w:r w:rsidRPr="008817CD">
        <w:t>, recopila</w:t>
      </w:r>
      <w:r w:rsidR="00E5729F" w:rsidRPr="008817CD">
        <w:t>ban</w:t>
      </w:r>
      <w:r w:rsidRPr="008817CD">
        <w:t>, administra</w:t>
      </w:r>
      <w:r w:rsidR="00E5729F" w:rsidRPr="008817CD">
        <w:t>ban</w:t>
      </w:r>
      <w:r w:rsidRPr="008817CD">
        <w:t xml:space="preserve">, </w:t>
      </w:r>
      <w:r w:rsidR="00E5729F" w:rsidRPr="008817CD">
        <w:t>procesaban,</w:t>
      </w:r>
      <w:r w:rsidRPr="008817CD">
        <w:t xml:space="preserve"> archiva</w:t>
      </w:r>
      <w:r w:rsidR="00E5729F" w:rsidRPr="008817CD">
        <w:t>ba</w:t>
      </w:r>
      <w:r w:rsidRPr="008817CD">
        <w:t xml:space="preserve"> o conser</w:t>
      </w:r>
      <w:r w:rsidR="00587C0C" w:rsidRPr="008817CD">
        <w:t>va</w:t>
      </w:r>
      <w:r w:rsidR="00E5729F" w:rsidRPr="008817CD">
        <w:t>ba</w:t>
      </w:r>
      <w:r w:rsidR="00587C0C" w:rsidRPr="008817CD">
        <w:t xml:space="preserve"> </w:t>
      </w:r>
      <w:r w:rsidR="00E5729F" w:rsidRPr="008817CD">
        <w:t xml:space="preserve">información relacionada con lo </w:t>
      </w:r>
      <w:r w:rsidR="00E5729F" w:rsidRPr="008817CD">
        <w:lastRenderedPageBreak/>
        <w:t>peticionado</w:t>
      </w:r>
      <w:r w:rsidR="00587C0C" w:rsidRPr="008817CD">
        <w:t xml:space="preserve">; sobre el tema, según Trujillo, Humberto (2019), en el “Diccionario de Transparencia y Acceso a la Información Pública” (p. 171), la inexistencia </w:t>
      </w:r>
      <w:r w:rsidR="00E5729F" w:rsidRPr="008817CD">
        <w:t>ocurre</w:t>
      </w:r>
      <w:r w:rsidR="00587C0C" w:rsidRPr="008817CD">
        <w:t xml:space="preserve"> cuando la información requerida no se encuentra en los archivos públicos, reservados o clasificados, de los sujetos obligados.</w:t>
      </w:r>
    </w:p>
    <w:p w14:paraId="71C65D6C" w14:textId="77777777" w:rsidR="00587C0C" w:rsidRPr="008817CD" w:rsidRDefault="00587C0C" w:rsidP="00621403">
      <w:pPr>
        <w:spacing w:after="0" w:line="360" w:lineRule="auto"/>
        <w:ind w:right="567"/>
      </w:pPr>
    </w:p>
    <w:p w14:paraId="61FAE3E8" w14:textId="0E576CEF" w:rsidR="00587C0C" w:rsidRPr="008817CD" w:rsidRDefault="00587C0C" w:rsidP="00621403">
      <w:pPr>
        <w:spacing w:after="0" w:line="360" w:lineRule="auto"/>
      </w:pPr>
      <w:r w:rsidRPr="008817CD">
        <w:t xml:space="preserve">Conforme a lo anterior, la </w:t>
      </w:r>
      <w:r w:rsidRPr="008817CD">
        <w:rPr>
          <w:b/>
        </w:rPr>
        <w:t>inexistencia</w:t>
      </w:r>
      <w:r w:rsidRPr="008817CD">
        <w:t xml:space="preserve"> presupone la competencia del sujeto obligado para conocer de la información, pero por alguna circunstancia, la documentación solicitada no obra en sus archivos; sin embargo, para poder acreditar dicha circunstancia, </w:t>
      </w:r>
      <w:r w:rsidR="00E5729F" w:rsidRPr="008817CD">
        <w:t>deben señalar las razones por las cuales no contaban con la información.</w:t>
      </w:r>
    </w:p>
    <w:p w14:paraId="131CFFB7" w14:textId="77777777" w:rsidR="00E5729F" w:rsidRPr="008817CD" w:rsidRDefault="00E5729F" w:rsidP="00621403">
      <w:pPr>
        <w:spacing w:after="0" w:line="360" w:lineRule="auto"/>
      </w:pPr>
    </w:p>
    <w:p w14:paraId="1729D0E8" w14:textId="759E7336" w:rsidR="00E5729F" w:rsidRPr="008817CD" w:rsidRDefault="00E5729F" w:rsidP="00621403">
      <w:pPr>
        <w:spacing w:after="0" w:line="360" w:lineRule="auto"/>
        <w:rPr>
          <w:b/>
        </w:rPr>
      </w:pPr>
      <w:r w:rsidRPr="008817CD">
        <w:t>En ese contexto, las dos áreas señalaron las razones por las cuales no contaban con lo peticionado, que se traduce al hecho que no contaban con atribuciones para conocer de la información, lo cual se robustece con el Gaceta Municipal previamente citada, de la cual se logra advertir que los calentadores solares, corresponde a una obra pública; por lo que, es claro que en la Dirección General de Administración y de Desarrollo Económico no obra la información requerida.</w:t>
      </w:r>
    </w:p>
    <w:p w14:paraId="49CE644F" w14:textId="77777777" w:rsidR="005F0CD1" w:rsidRPr="008817CD" w:rsidRDefault="005F0CD1" w:rsidP="00621403">
      <w:pPr>
        <w:spacing w:after="0" w:line="360" w:lineRule="auto"/>
      </w:pPr>
    </w:p>
    <w:p w14:paraId="31A95167" w14:textId="72BA66E1" w:rsidR="00E5729F" w:rsidRPr="008817CD" w:rsidRDefault="00A560B1" w:rsidP="00621403">
      <w:pPr>
        <w:spacing w:after="0" w:line="360" w:lineRule="auto"/>
      </w:pPr>
      <w:r w:rsidRPr="008817CD">
        <w:t>No obstante, es de recordar que el Sujeto Obligado no cumplió con el procedimiento de búsqueda</w:t>
      </w:r>
      <w:r w:rsidR="00BE0227" w:rsidRPr="008817CD">
        <w:t xml:space="preserve"> establecido en la Ley de la materia, pues omitió gestionar la solicitud a las áreas con competencia, tales como la Dirección General de Desarrollo Urbano, Ordenamiento Territorial y Obras Públicas, que debe conocer de los contratos celebrados y su ejecución, mientras que la General de Desarrollo Social</w:t>
      </w:r>
      <w:r w:rsidR="006B5520" w:rsidRPr="008817CD">
        <w:t>, puede conocer de los beneficiarios de los apoyos.</w:t>
      </w:r>
    </w:p>
    <w:p w14:paraId="14473B48" w14:textId="77777777" w:rsidR="00E5729F" w:rsidRPr="008817CD" w:rsidRDefault="00E5729F" w:rsidP="00621403">
      <w:pPr>
        <w:spacing w:after="0" w:line="360" w:lineRule="auto"/>
      </w:pPr>
    </w:p>
    <w:p w14:paraId="5762EC02" w14:textId="4AE18F56" w:rsidR="00466C41" w:rsidRPr="008817CD" w:rsidRDefault="006B5520" w:rsidP="00621403">
      <w:pPr>
        <w:spacing w:after="0" w:line="360" w:lineRule="auto"/>
      </w:pPr>
      <w:r w:rsidRPr="008817CD">
        <w:t>Además</w:t>
      </w:r>
      <w:r w:rsidR="00466C41" w:rsidRPr="008817CD">
        <w:t xml:space="preserve">, se localizaron diversas publicaciones </w:t>
      </w:r>
      <w:r w:rsidRPr="008817CD">
        <w:t>en las cuentas oficiales</w:t>
      </w:r>
      <w:r w:rsidR="00466C41" w:rsidRPr="008817CD">
        <w:t xml:space="preserve"> del Sujeto Obligado</w:t>
      </w:r>
      <w:r w:rsidRPr="008817CD">
        <w:t xml:space="preserve">, de la red social </w:t>
      </w:r>
      <w:r w:rsidR="00466C41" w:rsidRPr="008817CD">
        <w:t>Facebook</w:t>
      </w:r>
      <w:r w:rsidRPr="008817CD">
        <w:t>,</w:t>
      </w:r>
      <w:r w:rsidR="00466C41" w:rsidRPr="008817CD">
        <w:t xml:space="preserve"> a través de las cuales se advierte la existencia de un programa relacionado con la instalación de calentadores solares en zonas vulnerables del municipio, tal como se muestra a continuación:</w:t>
      </w:r>
    </w:p>
    <w:p w14:paraId="03D64DAD" w14:textId="77777777" w:rsidR="00D50B07" w:rsidRPr="008817CD" w:rsidRDefault="00D50B07" w:rsidP="00621403">
      <w:pPr>
        <w:spacing w:after="0" w:line="360" w:lineRule="auto"/>
        <w:rPr>
          <w:noProof/>
        </w:rPr>
      </w:pPr>
    </w:p>
    <w:p w14:paraId="32CF18A0" w14:textId="77777777" w:rsidR="00D50B07" w:rsidRPr="008817CD" w:rsidRDefault="00D50B07" w:rsidP="00621403">
      <w:pPr>
        <w:spacing w:after="0" w:line="360" w:lineRule="auto"/>
        <w:rPr>
          <w:noProof/>
        </w:rPr>
      </w:pPr>
    </w:p>
    <w:p w14:paraId="4DF07556" w14:textId="7949ADBE" w:rsidR="00D50B07" w:rsidRPr="008817CD" w:rsidRDefault="00D50B07" w:rsidP="00621403">
      <w:pPr>
        <w:spacing w:after="0" w:line="360" w:lineRule="auto"/>
      </w:pPr>
      <w:r w:rsidRPr="008817CD">
        <w:rPr>
          <w:noProof/>
        </w:rPr>
        <w:drawing>
          <wp:inline distT="0" distB="0" distL="0" distR="0" wp14:anchorId="1AD0E5EF" wp14:editId="081EAB8A">
            <wp:extent cx="3076575" cy="21574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4-08 at 12.31.43 PM (1).jpeg"/>
                    <pic:cNvPicPr/>
                  </pic:nvPicPr>
                  <pic:blipFill rotWithShape="1">
                    <a:blip r:embed="rId9">
                      <a:extLst>
                        <a:ext uri="{28A0092B-C50C-407E-A947-70E740481C1C}">
                          <a14:useLocalDpi xmlns:a14="http://schemas.microsoft.com/office/drawing/2010/main" val="0"/>
                        </a:ext>
                      </a:extLst>
                    </a:blip>
                    <a:srcRect t="19077" r="978" b="48864"/>
                    <a:stretch/>
                  </pic:blipFill>
                  <pic:spPr bwMode="auto">
                    <a:xfrm>
                      <a:off x="0" y="0"/>
                      <a:ext cx="3087399" cy="2164991"/>
                    </a:xfrm>
                    <a:prstGeom prst="rect">
                      <a:avLst/>
                    </a:prstGeom>
                    <a:ln>
                      <a:noFill/>
                    </a:ln>
                    <a:extLst>
                      <a:ext uri="{53640926-AAD7-44D8-BBD7-CCE9431645EC}">
                        <a14:shadowObscured xmlns:a14="http://schemas.microsoft.com/office/drawing/2010/main"/>
                      </a:ext>
                    </a:extLst>
                  </pic:spPr>
                </pic:pic>
              </a:graphicData>
            </a:graphic>
          </wp:inline>
        </w:drawing>
      </w:r>
      <w:r w:rsidRPr="008817CD">
        <w:rPr>
          <w:noProof/>
        </w:rPr>
        <w:drawing>
          <wp:inline distT="0" distB="0" distL="0" distR="0" wp14:anchorId="1A9B5A19" wp14:editId="3D6D7A2D">
            <wp:extent cx="2524125" cy="2143760"/>
            <wp:effectExtent l="0" t="0" r="952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4-08 at 6.07.39 PM.jpeg"/>
                    <pic:cNvPicPr/>
                  </pic:nvPicPr>
                  <pic:blipFill rotWithShape="1">
                    <a:blip r:embed="rId10">
                      <a:extLst>
                        <a:ext uri="{28A0092B-C50C-407E-A947-70E740481C1C}">
                          <a14:useLocalDpi xmlns:a14="http://schemas.microsoft.com/office/drawing/2010/main" val="0"/>
                        </a:ext>
                      </a:extLst>
                    </a:blip>
                    <a:srcRect t="6886" r="1710" b="60378"/>
                    <a:stretch/>
                  </pic:blipFill>
                  <pic:spPr bwMode="auto">
                    <a:xfrm>
                      <a:off x="0" y="0"/>
                      <a:ext cx="2555350" cy="2170280"/>
                    </a:xfrm>
                    <a:prstGeom prst="rect">
                      <a:avLst/>
                    </a:prstGeom>
                    <a:ln>
                      <a:noFill/>
                    </a:ln>
                    <a:extLst>
                      <a:ext uri="{53640926-AAD7-44D8-BBD7-CCE9431645EC}">
                        <a14:shadowObscured xmlns:a14="http://schemas.microsoft.com/office/drawing/2010/main"/>
                      </a:ext>
                    </a:extLst>
                  </pic:spPr>
                </pic:pic>
              </a:graphicData>
            </a:graphic>
          </wp:inline>
        </w:drawing>
      </w:r>
    </w:p>
    <w:p w14:paraId="7CEF9947" w14:textId="77777777" w:rsidR="00D50B07" w:rsidRPr="008817CD" w:rsidRDefault="00D50B07" w:rsidP="00621403">
      <w:pPr>
        <w:spacing w:after="0" w:line="360" w:lineRule="auto"/>
        <w:rPr>
          <w:noProof/>
        </w:rPr>
      </w:pPr>
    </w:p>
    <w:p w14:paraId="6514C057" w14:textId="659DAE63" w:rsidR="006C2AAC" w:rsidRPr="008817CD" w:rsidRDefault="006C2AAC" w:rsidP="00621403">
      <w:pPr>
        <w:spacing w:after="0" w:line="360" w:lineRule="auto"/>
      </w:pPr>
      <w:r w:rsidRPr="008817CD">
        <w:t xml:space="preserve">Además, este instituto localizó el Tercer Informe del estado que guarda la Administración Pública Municipal y de las labores realizadas durante el ejercicio dos mil veinticuatro, del Ayuntamiento de Toluca, en el cual se señala que durante el tercer año de gestión se colocaron dos mil calentadores solares, para lo cual se hizo una inversión de treinta millones de pesos, beneficiando a personas  de las delegaciones de  San Pablo </w:t>
      </w:r>
      <w:proofErr w:type="spellStart"/>
      <w:r w:rsidRPr="008817CD">
        <w:t>Autopan</w:t>
      </w:r>
      <w:proofErr w:type="spellEnd"/>
      <w:r w:rsidRPr="008817CD">
        <w:t xml:space="preserve">, San Andrés </w:t>
      </w:r>
      <w:proofErr w:type="spellStart"/>
      <w:r w:rsidRPr="008817CD">
        <w:t>Cuexcontitlán</w:t>
      </w:r>
      <w:proofErr w:type="spellEnd"/>
      <w:r w:rsidRPr="008817CD">
        <w:t xml:space="preserve">, San Cristóbal </w:t>
      </w:r>
      <w:proofErr w:type="spellStart"/>
      <w:r w:rsidRPr="008817CD">
        <w:t>Huichochitlán</w:t>
      </w:r>
      <w:proofErr w:type="spellEnd"/>
      <w:r w:rsidRPr="008817CD">
        <w:t xml:space="preserve">, </w:t>
      </w:r>
      <w:proofErr w:type="spellStart"/>
      <w:r w:rsidRPr="008817CD">
        <w:t>Tlachaloya</w:t>
      </w:r>
      <w:proofErr w:type="spellEnd"/>
      <w:r w:rsidRPr="008817CD">
        <w:t xml:space="preserve">, San Cayetano Morelos, San Pedro </w:t>
      </w:r>
      <w:proofErr w:type="spellStart"/>
      <w:r w:rsidRPr="008817CD">
        <w:t>Totoltepec</w:t>
      </w:r>
      <w:proofErr w:type="spellEnd"/>
      <w:r w:rsidRPr="008817CD">
        <w:t xml:space="preserve">, El Cerrillo Vista Hermosa, San Mateo </w:t>
      </w:r>
      <w:proofErr w:type="spellStart"/>
      <w:r w:rsidRPr="008817CD">
        <w:t>Otzacatipan</w:t>
      </w:r>
      <w:proofErr w:type="spellEnd"/>
      <w:r w:rsidRPr="008817CD">
        <w:t xml:space="preserve"> y San Pablo </w:t>
      </w:r>
      <w:proofErr w:type="spellStart"/>
      <w:r w:rsidRPr="008817CD">
        <w:t>Autopan</w:t>
      </w:r>
      <w:proofErr w:type="spellEnd"/>
      <w:r w:rsidRPr="008817CD">
        <w:t>, tal como se muestra a continuación:</w:t>
      </w:r>
    </w:p>
    <w:p w14:paraId="6823C60F" w14:textId="77777777" w:rsidR="006C2AAC" w:rsidRPr="008817CD" w:rsidRDefault="006C2AAC" w:rsidP="00621403">
      <w:pPr>
        <w:spacing w:after="0" w:line="360" w:lineRule="auto"/>
      </w:pPr>
    </w:p>
    <w:p w14:paraId="3F722256" w14:textId="71FA0899" w:rsidR="006C2AAC" w:rsidRPr="008817CD" w:rsidRDefault="006C2AAC" w:rsidP="00621403">
      <w:pPr>
        <w:spacing w:after="0" w:line="360" w:lineRule="auto"/>
        <w:jc w:val="center"/>
      </w:pPr>
      <w:r w:rsidRPr="008817CD">
        <w:rPr>
          <w:noProof/>
        </w:rPr>
        <w:drawing>
          <wp:inline distT="0" distB="0" distL="0" distR="0" wp14:anchorId="393F3A81" wp14:editId="744CA95C">
            <wp:extent cx="2520000" cy="159258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3358" b="59488"/>
                    <a:stretch/>
                  </pic:blipFill>
                  <pic:spPr bwMode="auto">
                    <a:xfrm>
                      <a:off x="0" y="0"/>
                      <a:ext cx="2520000" cy="1592582"/>
                    </a:xfrm>
                    <a:prstGeom prst="rect">
                      <a:avLst/>
                    </a:prstGeom>
                    <a:ln>
                      <a:noFill/>
                    </a:ln>
                    <a:extLst>
                      <a:ext uri="{53640926-AAD7-44D8-BBD7-CCE9431645EC}">
                        <a14:shadowObscured xmlns:a14="http://schemas.microsoft.com/office/drawing/2010/main"/>
                      </a:ext>
                    </a:extLst>
                  </pic:spPr>
                </pic:pic>
              </a:graphicData>
            </a:graphic>
          </wp:inline>
        </w:drawing>
      </w:r>
      <w:r w:rsidRPr="008817CD">
        <w:rPr>
          <w:noProof/>
        </w:rPr>
        <w:drawing>
          <wp:inline distT="0" distB="0" distL="0" distR="0" wp14:anchorId="2028B9EA" wp14:editId="7C758111">
            <wp:extent cx="2520000" cy="1373953"/>
            <wp:effectExtent l="0" t="0" r="0" b="0"/>
            <wp:docPr id="1633488380" name="Imagen 163348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1204" r="53358" b="23846"/>
                    <a:stretch/>
                  </pic:blipFill>
                  <pic:spPr bwMode="auto">
                    <a:xfrm>
                      <a:off x="0" y="0"/>
                      <a:ext cx="2520000" cy="1373953"/>
                    </a:xfrm>
                    <a:prstGeom prst="rect">
                      <a:avLst/>
                    </a:prstGeom>
                    <a:ln>
                      <a:noFill/>
                    </a:ln>
                    <a:extLst>
                      <a:ext uri="{53640926-AAD7-44D8-BBD7-CCE9431645EC}">
                        <a14:shadowObscured xmlns:a14="http://schemas.microsoft.com/office/drawing/2010/main"/>
                      </a:ext>
                    </a:extLst>
                  </pic:spPr>
                </pic:pic>
              </a:graphicData>
            </a:graphic>
          </wp:inline>
        </w:drawing>
      </w:r>
    </w:p>
    <w:p w14:paraId="483FE1D4" w14:textId="5613DB12" w:rsidR="00D50B07" w:rsidRPr="008817CD" w:rsidRDefault="00D50B07" w:rsidP="00621403">
      <w:pPr>
        <w:spacing w:after="0" w:line="360" w:lineRule="auto"/>
      </w:pPr>
    </w:p>
    <w:p w14:paraId="6458CCAE" w14:textId="5456B6BB" w:rsidR="006C2AAC" w:rsidRPr="008817CD" w:rsidRDefault="006C2AAC" w:rsidP="00621403">
      <w:pPr>
        <w:spacing w:after="0" w:line="360" w:lineRule="auto"/>
      </w:pPr>
      <w:r w:rsidRPr="008817CD">
        <w:lastRenderedPageBreak/>
        <w:t>Conforme a lo anterior, se logra vislumbrar que el Sujeto Obligado debe contar con la información de los contratos celebrados, la ejecución de los mismos y los beneficiarios, pues se llevó a cabo la obra, con recursos públicos; situación que fue reportada en diversas fuentes oficiales, tales como el Informe de Gobierno.</w:t>
      </w:r>
    </w:p>
    <w:p w14:paraId="17E1BA32" w14:textId="77777777" w:rsidR="006C2AAC" w:rsidRPr="008817CD" w:rsidRDefault="006C2AAC" w:rsidP="00621403">
      <w:pPr>
        <w:spacing w:after="0" w:line="360" w:lineRule="auto"/>
      </w:pPr>
    </w:p>
    <w:p w14:paraId="5C142D26" w14:textId="030FB682" w:rsidR="006C2AAC" w:rsidRPr="008817CD" w:rsidRDefault="006C2AAC" w:rsidP="00621403">
      <w:pPr>
        <w:spacing w:after="0" w:line="360" w:lineRule="auto"/>
      </w:pPr>
      <w:r w:rsidRPr="008817CD">
        <w:t>Ahora bien, por lo que hace al monto erogado y documento comprobatorio, la Tesorería Municipal</w:t>
      </w:r>
      <w:r w:rsidRPr="008817CD">
        <w:rPr>
          <w:b/>
        </w:rPr>
        <w:t xml:space="preserve">, </w:t>
      </w:r>
      <w:r w:rsidRPr="008817CD">
        <w:t>informó que se adjuntaba la caratula de presupuesto de egresos correspondiente al ejercicio fiscal dos mil veinticuatro, a fin de que se pueda visualizar el presupuesto autorizado, sin remitirlo; por otra parte, refirió que respecto a los importes pagados con motivo de la compra y entrega de calentadores solares, le informó que la cantidad pagada al treinta y uno de diciembre de dos mil veinticuatro, ascendía a la cantidad mayor a los veintiún millones de pesos.</w:t>
      </w:r>
    </w:p>
    <w:p w14:paraId="0D14F4E8" w14:textId="77777777" w:rsidR="006C2AAC" w:rsidRPr="008817CD" w:rsidRDefault="006C2AAC" w:rsidP="00621403">
      <w:pPr>
        <w:spacing w:after="0" w:line="360" w:lineRule="auto"/>
      </w:pPr>
    </w:p>
    <w:p w14:paraId="1093467A" w14:textId="32AD4DEB" w:rsidR="006C2AAC" w:rsidRPr="008817CD" w:rsidRDefault="006C2AAC" w:rsidP="00621403">
      <w:pPr>
        <w:spacing w:after="0" w:line="360" w:lineRule="auto"/>
      </w:pPr>
      <w:r w:rsidRPr="008817CD">
        <w:t xml:space="preserve">Así, se logra advertir que, si bien proporcionó el monto erogado al treinta y uno de diciembre de dos mil veinticuatro, omitió proporcionar el documento comprobatorio de los pagos que den cuenta del </w:t>
      </w:r>
      <w:r w:rsidR="0038289E" w:rsidRPr="008817CD">
        <w:t xml:space="preserve">monto señalado, por lo que, no se puede dar por atendido el requerimiento de información; por lo que, se considera que el agravio es </w:t>
      </w:r>
      <w:r w:rsidR="0038289E" w:rsidRPr="008817CD">
        <w:rPr>
          <w:b/>
          <w:bCs/>
        </w:rPr>
        <w:t xml:space="preserve">FUNDADO, </w:t>
      </w:r>
      <w:r w:rsidR="0038289E" w:rsidRPr="008817CD">
        <w:t xml:space="preserve"> pues como ya se refirió no atendió de manera correcta la solicitud al no turnar el requerimiento a las áreas competentes y entregar la información solicitada.</w:t>
      </w:r>
    </w:p>
    <w:p w14:paraId="6BDD7016" w14:textId="77777777" w:rsidR="006C2AAC" w:rsidRPr="008817CD" w:rsidRDefault="006C2AAC" w:rsidP="00621403">
      <w:pPr>
        <w:spacing w:after="0" w:line="360" w:lineRule="auto"/>
      </w:pPr>
    </w:p>
    <w:p w14:paraId="1F8FD015" w14:textId="4C9D11F5" w:rsidR="0038289E" w:rsidRPr="008817CD" w:rsidRDefault="00730A3E" w:rsidP="00621403">
      <w:pPr>
        <w:spacing w:after="0" w:line="360" w:lineRule="auto"/>
      </w:pPr>
      <w:r w:rsidRPr="008817CD">
        <w:t>Así, este Instituto considera que para atender el requerimiento de información, el Sujeto Obligado deberá realizar una búsqueda en todas las áreas competentes, entre las cuales no podrá omitir a la</w:t>
      </w:r>
      <w:r w:rsidR="00C95A53" w:rsidRPr="008817CD">
        <w:t xml:space="preserve"> Dirección General de D</w:t>
      </w:r>
      <w:r w:rsidR="0029661E" w:rsidRPr="008817CD">
        <w:t xml:space="preserve">esarrollo </w:t>
      </w:r>
      <w:r w:rsidR="00C95A53" w:rsidRPr="008817CD">
        <w:t>S</w:t>
      </w:r>
      <w:r w:rsidR="0029661E" w:rsidRPr="008817CD">
        <w:t>ocial</w:t>
      </w:r>
      <w:r w:rsidR="00C95A53" w:rsidRPr="008817CD">
        <w:t xml:space="preserve"> y la Dirección General de Desarrollo Urbano, Ordenamiento Territorial y Obras Públicas</w:t>
      </w:r>
      <w:r w:rsidR="0038289E" w:rsidRPr="008817CD">
        <w:t>,</w:t>
      </w:r>
      <w:r w:rsidR="0029661E" w:rsidRPr="008817CD">
        <w:t xml:space="preserve"> en términos del artículo 162 de la Ley de Transparencia y Acceso a la Información Pública del Estado de México y Municipios, a efecto de que proporcione</w:t>
      </w:r>
      <w:r w:rsidR="00C95A53" w:rsidRPr="008817CD">
        <w:t xml:space="preserve">, </w:t>
      </w:r>
      <w:r w:rsidR="0038289E" w:rsidRPr="008817CD">
        <w:t xml:space="preserve">respecto a los calentadores solares colocados del </w:t>
      </w:r>
      <w:r w:rsidR="00056898" w:rsidRPr="008817CD">
        <w:t xml:space="preserve">primero de enero al treinta y uno de diciembre de dos mil veinticuatro, </w:t>
      </w:r>
      <w:r w:rsidR="0038289E" w:rsidRPr="008817CD">
        <w:t>lo siguiente:</w:t>
      </w:r>
    </w:p>
    <w:p w14:paraId="1D821F51" w14:textId="2C5B89FB" w:rsidR="0038289E" w:rsidRPr="008817CD" w:rsidRDefault="0038289E" w:rsidP="00621403">
      <w:pPr>
        <w:pStyle w:val="Prrafodelista"/>
        <w:numPr>
          <w:ilvl w:val="0"/>
          <w:numId w:val="21"/>
        </w:numPr>
        <w:spacing w:line="360" w:lineRule="auto"/>
      </w:pPr>
      <w:r w:rsidRPr="008817CD">
        <w:lastRenderedPageBreak/>
        <w:t>El o los contratos celebrados (que incluye el nombre del proveedor o contratista, y costo);</w:t>
      </w:r>
    </w:p>
    <w:p w14:paraId="141CDCE3" w14:textId="4C3F265B" w:rsidR="0038289E" w:rsidRPr="008817CD" w:rsidRDefault="0038289E" w:rsidP="00621403">
      <w:pPr>
        <w:pStyle w:val="Prrafodelista"/>
        <w:numPr>
          <w:ilvl w:val="0"/>
          <w:numId w:val="21"/>
        </w:numPr>
        <w:spacing w:line="360" w:lineRule="auto"/>
        <w:rPr>
          <w:color w:val="auto"/>
        </w:rPr>
      </w:pPr>
      <w:r w:rsidRPr="008817CD">
        <w:rPr>
          <w:color w:val="auto"/>
        </w:rPr>
        <w:t>Los documentos comprobatorios del pago del monto referido en respuesta;</w:t>
      </w:r>
    </w:p>
    <w:p w14:paraId="01CCB029" w14:textId="4EC91AFB" w:rsidR="0038289E" w:rsidRPr="008817CD" w:rsidRDefault="0038289E" w:rsidP="00621403">
      <w:pPr>
        <w:pStyle w:val="Prrafodelista"/>
        <w:numPr>
          <w:ilvl w:val="0"/>
          <w:numId w:val="21"/>
        </w:numPr>
        <w:spacing w:line="360" w:lineRule="auto"/>
        <w:rPr>
          <w:color w:val="auto"/>
        </w:rPr>
      </w:pPr>
      <w:r w:rsidRPr="008817CD">
        <w:rPr>
          <w:color w:val="auto"/>
        </w:rPr>
        <w:t>Listado de personas a las cuales se le entregaron los calentadores, y</w:t>
      </w:r>
    </w:p>
    <w:p w14:paraId="248EC8F9" w14:textId="361D43EA" w:rsidR="0038289E" w:rsidRPr="008817CD" w:rsidRDefault="0038289E" w:rsidP="00621403">
      <w:pPr>
        <w:pStyle w:val="Prrafodelista"/>
        <w:numPr>
          <w:ilvl w:val="0"/>
          <w:numId w:val="21"/>
        </w:numPr>
        <w:spacing w:line="360" w:lineRule="auto"/>
        <w:rPr>
          <w:color w:val="auto"/>
        </w:rPr>
      </w:pPr>
      <w:r w:rsidRPr="008817CD">
        <w:rPr>
          <w:color w:val="auto"/>
        </w:rPr>
        <w:t>El documento donde conste el número de calentadores no entregados.</w:t>
      </w:r>
    </w:p>
    <w:p w14:paraId="6B224A1D" w14:textId="77777777" w:rsidR="0038289E" w:rsidRPr="008817CD" w:rsidRDefault="0038289E" w:rsidP="00621403">
      <w:pPr>
        <w:spacing w:after="0" w:line="360" w:lineRule="auto"/>
      </w:pPr>
    </w:p>
    <w:p w14:paraId="41034D58" w14:textId="77777777" w:rsidR="0038289E" w:rsidRPr="008817CD" w:rsidRDefault="0038289E" w:rsidP="00621403">
      <w:pPr>
        <w:spacing w:after="0" w:line="360" w:lineRule="auto"/>
      </w:pPr>
      <w:r w:rsidRPr="008817CD">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6BB01E9" w14:textId="77777777" w:rsidR="0038289E" w:rsidRPr="008817CD" w:rsidRDefault="0038289E" w:rsidP="00621403">
      <w:pPr>
        <w:spacing w:after="0" w:line="360" w:lineRule="auto"/>
      </w:pPr>
    </w:p>
    <w:p w14:paraId="3F45126C" w14:textId="77777777" w:rsidR="0038289E" w:rsidRPr="008817CD" w:rsidRDefault="0038289E" w:rsidP="00621403">
      <w:pPr>
        <w:spacing w:after="0" w:line="360" w:lineRule="auto"/>
      </w:pPr>
      <w:r w:rsidRPr="008817CD">
        <w:t xml:space="preserve">De esta manera, el derecho de acceso a la información pública se satisface en aquellos casos en que se entregue el soporte documental en el que conste la información solicitada, sin necesidad de elaborar documentos </w:t>
      </w:r>
      <w:r w:rsidRPr="008817CD">
        <w:rPr>
          <w:i/>
        </w:rPr>
        <w:t>ad hoc,</w:t>
      </w:r>
      <w:r w:rsidRPr="008817CD">
        <w:t xml:space="preserve">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75F954C2" w14:textId="77777777" w:rsidR="0038289E" w:rsidRPr="008817CD" w:rsidRDefault="0038289E" w:rsidP="00621403">
      <w:pPr>
        <w:spacing w:after="0" w:line="360" w:lineRule="auto"/>
      </w:pPr>
    </w:p>
    <w:p w14:paraId="13D79185" w14:textId="5E91B10B" w:rsidR="0038289E" w:rsidRPr="008817CD" w:rsidRDefault="0038289E" w:rsidP="00621403">
      <w:pPr>
        <w:spacing w:after="0" w:line="360" w:lineRule="auto"/>
        <w:rPr>
          <w:rFonts w:cs="Tahoma"/>
          <w:szCs w:val="24"/>
          <w:lang w:val="es-ES"/>
        </w:rPr>
      </w:pPr>
      <w:r w:rsidRPr="008817CD">
        <w:rPr>
          <w:rFonts w:cs="Tahoma"/>
          <w:szCs w:val="24"/>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las documentales que den cuenta de lo peticionado.</w:t>
      </w:r>
    </w:p>
    <w:p w14:paraId="7644D4F0" w14:textId="77777777" w:rsidR="0038289E" w:rsidRPr="008817CD" w:rsidRDefault="0038289E" w:rsidP="00621403">
      <w:pPr>
        <w:spacing w:after="0" w:line="360" w:lineRule="auto"/>
      </w:pPr>
    </w:p>
    <w:p w14:paraId="415D60DE" w14:textId="23365BB0" w:rsidR="0038289E" w:rsidRPr="008817CD" w:rsidRDefault="0038289E" w:rsidP="00621403">
      <w:pPr>
        <w:spacing w:after="0" w:line="360" w:lineRule="auto"/>
      </w:pPr>
      <w:r w:rsidRPr="008817CD">
        <w:t xml:space="preserve">Para el caso, de que todos los calentadores adquiridos, hayan sido instalados y por lo tanto, no existan bienes no entregados, deberá hacerlo del conocimiento de la parte Recurrente, de </w:t>
      </w:r>
      <w:r w:rsidRPr="008817CD">
        <w:lastRenderedPageBreak/>
        <w:t xml:space="preserve">manera clara y precisa, en términos del artículo 19, párrafo segundo, de la Ley de Transparencia y Acceso a la Información Pública del Estado de México y Municipios. </w:t>
      </w:r>
    </w:p>
    <w:p w14:paraId="708E2AF1" w14:textId="77777777" w:rsidR="0038289E" w:rsidRPr="008817CD" w:rsidRDefault="0038289E" w:rsidP="00621403">
      <w:pPr>
        <w:spacing w:after="0" w:line="360" w:lineRule="auto"/>
      </w:pPr>
    </w:p>
    <w:p w14:paraId="5BFF2564" w14:textId="048E3FBA"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Ahora bien, no pasa desapercibido que</w:t>
      </w:r>
      <w:r w:rsidR="00621403" w:rsidRPr="008817CD">
        <w:rPr>
          <w:rFonts w:eastAsia="Calibri" w:cs="Tahoma"/>
          <w:color w:val="000000"/>
          <w:szCs w:val="24"/>
          <w:lang w:val="es-ES" w:eastAsia="en-US"/>
        </w:rPr>
        <w:t xml:space="preserve"> los documentos que den cuenta de lo peticionado, pudieran contener</w:t>
      </w:r>
      <w:r w:rsidRPr="008817CD">
        <w:rPr>
          <w:rFonts w:eastAsia="Calibri" w:cs="Tahoma"/>
          <w:color w:val="000000"/>
          <w:szCs w:val="24"/>
          <w:lang w:val="es-ES" w:eastAsia="en-US"/>
        </w:rPr>
        <w:t xml:space="preserve"> datos clasificados</w:t>
      </w:r>
      <w:r w:rsidR="00621403" w:rsidRPr="008817CD">
        <w:rPr>
          <w:rFonts w:eastAsia="Calibri" w:cs="Tahoma"/>
          <w:color w:val="000000"/>
          <w:szCs w:val="24"/>
          <w:lang w:val="es-ES" w:eastAsia="en-US"/>
        </w:rPr>
        <w:t>, tales como</w:t>
      </w:r>
      <w:r w:rsidRPr="008817CD">
        <w:rPr>
          <w:rFonts w:eastAsia="Calibri" w:cs="Tahoma"/>
          <w:color w:val="000000"/>
          <w:szCs w:val="24"/>
          <w:lang w:val="es-ES" w:eastAsia="en-US"/>
        </w:rPr>
        <w:t xml:space="preserve"> los siguientes:</w:t>
      </w:r>
    </w:p>
    <w:p w14:paraId="664A600B"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4E53635B" w14:textId="77777777" w:rsidR="00967611" w:rsidRPr="008817CD" w:rsidRDefault="00967611" w:rsidP="00621403">
      <w:pPr>
        <w:widowControl w:val="0"/>
        <w:numPr>
          <w:ilvl w:val="0"/>
          <w:numId w:val="22"/>
        </w:numPr>
        <w:tabs>
          <w:tab w:val="center" w:pos="4522"/>
        </w:tabs>
        <w:spacing w:after="0" w:line="360" w:lineRule="auto"/>
        <w:contextualSpacing/>
        <w:rPr>
          <w:rFonts w:cs="Tahoma"/>
          <w:color w:val="000000"/>
          <w:szCs w:val="24"/>
          <w:lang w:val="es-ES"/>
        </w:rPr>
      </w:pPr>
      <w:r w:rsidRPr="008817CD">
        <w:rPr>
          <w:rFonts w:cs="Tahoma"/>
          <w:color w:val="000000"/>
          <w:szCs w:val="24"/>
          <w:lang w:val="es-ES"/>
        </w:rPr>
        <w:t>Registro Federal de Contribuyente de Proveedor o Contratista</w:t>
      </w:r>
    </w:p>
    <w:p w14:paraId="70178055" w14:textId="77777777" w:rsidR="00967611" w:rsidRPr="008817CD" w:rsidRDefault="00967611" w:rsidP="00621403">
      <w:pPr>
        <w:widowControl w:val="0"/>
        <w:numPr>
          <w:ilvl w:val="0"/>
          <w:numId w:val="22"/>
        </w:numPr>
        <w:tabs>
          <w:tab w:val="center" w:pos="4522"/>
        </w:tabs>
        <w:spacing w:after="0" w:line="360" w:lineRule="auto"/>
        <w:contextualSpacing/>
        <w:rPr>
          <w:rFonts w:cs="Tahoma"/>
          <w:color w:val="000000"/>
          <w:szCs w:val="24"/>
          <w:lang w:val="es-ES"/>
        </w:rPr>
      </w:pPr>
      <w:r w:rsidRPr="008817CD">
        <w:rPr>
          <w:rFonts w:cs="Tahoma"/>
          <w:color w:val="000000"/>
          <w:szCs w:val="24"/>
          <w:lang w:val="es-ES"/>
        </w:rPr>
        <w:t>Número de teléfono y correo electrónico de Proveedor o Contratista</w:t>
      </w:r>
    </w:p>
    <w:p w14:paraId="50A33AC2" w14:textId="77777777" w:rsidR="00967611" w:rsidRPr="008817CD" w:rsidRDefault="00967611" w:rsidP="00621403">
      <w:pPr>
        <w:widowControl w:val="0"/>
        <w:numPr>
          <w:ilvl w:val="0"/>
          <w:numId w:val="22"/>
        </w:numPr>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Domicilio Fiscal o legal para recibir y oír notificaciones (proveedor o contratista persona física o moral).</w:t>
      </w:r>
    </w:p>
    <w:p w14:paraId="21120450" w14:textId="77777777" w:rsidR="00967611" w:rsidRPr="008817CD" w:rsidRDefault="00967611" w:rsidP="00621403">
      <w:pPr>
        <w:widowControl w:val="0"/>
        <w:numPr>
          <w:ilvl w:val="0"/>
          <w:numId w:val="22"/>
        </w:numPr>
        <w:tabs>
          <w:tab w:val="center" w:pos="4522"/>
        </w:tabs>
        <w:spacing w:after="0" w:line="360" w:lineRule="auto"/>
        <w:contextualSpacing/>
        <w:rPr>
          <w:rFonts w:cs="Tahoma"/>
          <w:bCs/>
          <w:color w:val="000000"/>
          <w:szCs w:val="24"/>
          <w:lang w:val="es-ES"/>
        </w:rPr>
      </w:pPr>
      <w:r w:rsidRPr="008817CD">
        <w:rPr>
          <w:rFonts w:cs="Tahoma"/>
          <w:bCs/>
          <w:color w:val="000000"/>
          <w:szCs w:val="24"/>
          <w:lang w:val="es-ES"/>
        </w:rPr>
        <w:t>Firma del proveedor, contratista o representante legal de este;</w:t>
      </w:r>
    </w:p>
    <w:p w14:paraId="4B3C30C0" w14:textId="77777777" w:rsidR="00967611" w:rsidRPr="008817CD" w:rsidRDefault="00967611" w:rsidP="00621403">
      <w:pPr>
        <w:widowControl w:val="0"/>
        <w:numPr>
          <w:ilvl w:val="0"/>
          <w:numId w:val="22"/>
        </w:numPr>
        <w:tabs>
          <w:tab w:val="center" w:pos="4522"/>
        </w:tabs>
        <w:spacing w:after="0" w:line="360" w:lineRule="auto"/>
        <w:contextualSpacing/>
        <w:rPr>
          <w:rFonts w:cs="Tahoma"/>
          <w:color w:val="000000"/>
          <w:szCs w:val="24"/>
          <w:lang w:val="es-ES"/>
        </w:rPr>
      </w:pPr>
      <w:r w:rsidRPr="008817CD">
        <w:rPr>
          <w:rFonts w:cs="Tahoma"/>
          <w:color w:val="000000"/>
          <w:szCs w:val="24"/>
          <w:lang w:val="es-ES"/>
        </w:rPr>
        <w:t>Número de clave de elector de proveedor, contratista o representante legal;</w:t>
      </w:r>
    </w:p>
    <w:p w14:paraId="5F271EB9" w14:textId="77777777" w:rsidR="00967611" w:rsidRPr="008817CD" w:rsidRDefault="00967611" w:rsidP="00621403">
      <w:pPr>
        <w:widowControl w:val="0"/>
        <w:numPr>
          <w:ilvl w:val="0"/>
          <w:numId w:val="22"/>
        </w:numPr>
        <w:tabs>
          <w:tab w:val="center" w:pos="4522"/>
        </w:tabs>
        <w:spacing w:after="0" w:line="360" w:lineRule="auto"/>
        <w:contextualSpacing/>
        <w:rPr>
          <w:rFonts w:cs="Tahoma"/>
          <w:bCs/>
          <w:color w:val="000000"/>
          <w:szCs w:val="24"/>
          <w:lang w:val="es-ES"/>
        </w:rPr>
      </w:pPr>
      <w:r w:rsidRPr="008817CD">
        <w:rPr>
          <w:rFonts w:cs="Tahoma"/>
          <w:bCs/>
          <w:iCs/>
          <w:color w:val="000000"/>
          <w:szCs w:val="24"/>
          <w:lang w:val="es-ES"/>
        </w:rPr>
        <w:t>Cuenta bancaria y clave interbancaria de Proveedor o Contratista, y</w:t>
      </w:r>
    </w:p>
    <w:p w14:paraId="7AD28B66" w14:textId="77777777" w:rsidR="00967611" w:rsidRPr="008817CD" w:rsidRDefault="00967611" w:rsidP="00621403">
      <w:pPr>
        <w:widowControl w:val="0"/>
        <w:numPr>
          <w:ilvl w:val="0"/>
          <w:numId w:val="22"/>
        </w:numPr>
        <w:tabs>
          <w:tab w:val="center" w:pos="4522"/>
        </w:tabs>
        <w:spacing w:after="0" w:line="360" w:lineRule="auto"/>
        <w:contextualSpacing/>
        <w:rPr>
          <w:rFonts w:cs="Tahoma"/>
          <w:bCs/>
          <w:color w:val="000000"/>
          <w:szCs w:val="24"/>
          <w:lang w:val="es-ES"/>
        </w:rPr>
      </w:pPr>
      <w:r w:rsidRPr="008817CD">
        <w:rPr>
          <w:rFonts w:cs="Tahoma"/>
          <w:bCs/>
          <w:iCs/>
          <w:color w:val="000000"/>
          <w:szCs w:val="24"/>
          <w:lang w:val="es-ES"/>
        </w:rPr>
        <w:t>Nombre de institución bancaria de Proveedor o Contratista.</w:t>
      </w:r>
    </w:p>
    <w:p w14:paraId="7A3AD358"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 w:eastAsia="en-US"/>
        </w:rPr>
      </w:pPr>
    </w:p>
    <w:p w14:paraId="3DCACA95" w14:textId="602F8448" w:rsidR="00967611" w:rsidRPr="008817CD" w:rsidRDefault="00967611" w:rsidP="00621403">
      <w:pPr>
        <w:spacing w:after="0" w:line="360" w:lineRule="auto"/>
        <w:ind w:right="-93"/>
        <w:rPr>
          <w:rFonts w:eastAsia="Calibri" w:cs="Tahoma"/>
          <w:lang w:val="es-ES" w:eastAsia="es-ES"/>
        </w:rPr>
      </w:pPr>
      <w:r w:rsidRPr="008817CD">
        <w:rPr>
          <w:rFonts w:eastAsia="Calibri" w:cs="Tahoma"/>
          <w:lang w:val="es-ES" w:eastAsia="es-ES"/>
        </w:rPr>
        <w:t xml:space="preserve">Además, </w:t>
      </w:r>
      <w:r w:rsidRPr="008817CD">
        <w:rPr>
          <w:rFonts w:eastAsia="Calibri" w:cs="Tahoma"/>
          <w:bCs/>
          <w:iCs/>
          <w:lang w:val="es-ES_tradnl" w:eastAsia="es-ES"/>
        </w:rPr>
        <w:t>pudieran contener datos como el nombre de las personas beneficiadas con un calentador solar y domicilio particular de estas, los cuales se precisan de manera enunciativa, más no limitativa; por lo que, es necesario analizar si los datos son de naturaleza pública o privada.</w:t>
      </w:r>
    </w:p>
    <w:p w14:paraId="27CA9A76"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694ADAE6" w14:textId="297F61DD" w:rsidR="00967611" w:rsidRPr="008817CD" w:rsidRDefault="00621403" w:rsidP="00621403">
      <w:pPr>
        <w:spacing w:after="0" w:line="360" w:lineRule="auto"/>
        <w:rPr>
          <w:rFonts w:eastAsia="Calibri" w:cs="Times New Roman"/>
          <w:bCs/>
          <w:lang w:eastAsia="en-US"/>
        </w:rPr>
      </w:pPr>
      <w:r w:rsidRPr="008817CD">
        <w:rPr>
          <w:rFonts w:eastAsia="Calibri" w:cs="Times New Roman"/>
          <w:bCs/>
          <w:lang w:eastAsia="en-US"/>
        </w:rPr>
        <w:t>En ese contexto</w:t>
      </w:r>
      <w:r w:rsidR="00967611" w:rsidRPr="008817CD">
        <w:rPr>
          <w:rFonts w:eastAsia="Calibri" w:cs="Times New Roman"/>
          <w:bCs/>
          <w:lang w:eastAsia="en-US"/>
        </w:rPr>
        <w:t>, el artículo 143, fracción I, de la Ley previamente citada, establece que la información privada y los datos personales, concernientes a una persona física o jurídica colectiva identificada o identificable son confidenciales.</w:t>
      </w:r>
    </w:p>
    <w:p w14:paraId="77BC86B0" w14:textId="77777777" w:rsidR="00967611" w:rsidRPr="008817CD" w:rsidRDefault="00967611" w:rsidP="00621403">
      <w:pPr>
        <w:spacing w:after="0" w:line="360" w:lineRule="auto"/>
        <w:rPr>
          <w:rFonts w:eastAsia="Calibri" w:cs="Times New Roman"/>
          <w:bCs/>
          <w:lang w:eastAsia="en-US"/>
        </w:rPr>
      </w:pPr>
    </w:p>
    <w:p w14:paraId="168805AD" w14:textId="77777777" w:rsidR="00967611" w:rsidRPr="008817CD" w:rsidRDefault="00967611" w:rsidP="00621403">
      <w:pPr>
        <w:spacing w:after="0" w:line="360" w:lineRule="auto"/>
        <w:rPr>
          <w:rFonts w:eastAsia="Calibri" w:cs="Times New Roman"/>
          <w:bCs/>
          <w:lang w:eastAsia="en-US"/>
        </w:rPr>
      </w:pPr>
      <w:r w:rsidRPr="008817CD">
        <w:rPr>
          <w:rFonts w:eastAsia="Calibri" w:cs="Times New Roman"/>
          <w:bCs/>
          <w:lang w:eastAsia="en-US"/>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w:t>
      </w:r>
      <w:r w:rsidRPr="008817CD">
        <w:rPr>
          <w:rFonts w:eastAsia="Calibri" w:cs="Times New Roman"/>
          <w:bCs/>
          <w:lang w:eastAsia="en-US"/>
        </w:rPr>
        <w:lastRenderedPageBreak/>
        <w:t>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B4E7B83" w14:textId="77777777" w:rsidR="00967611" w:rsidRPr="008817CD" w:rsidRDefault="00967611" w:rsidP="00621403">
      <w:pPr>
        <w:spacing w:after="0" w:line="360" w:lineRule="auto"/>
        <w:rPr>
          <w:rFonts w:eastAsia="Calibri" w:cs="Times New Roman"/>
          <w:bCs/>
          <w:lang w:eastAsia="en-US"/>
        </w:rPr>
      </w:pPr>
    </w:p>
    <w:p w14:paraId="0CE53D3D" w14:textId="77777777" w:rsidR="00967611" w:rsidRPr="008817CD" w:rsidRDefault="00967611" w:rsidP="00621403">
      <w:pPr>
        <w:spacing w:after="0" w:line="360" w:lineRule="auto"/>
        <w:rPr>
          <w:rFonts w:eastAsia="Calibri" w:cs="Times New Roman"/>
          <w:bCs/>
          <w:lang w:eastAsia="en-US"/>
        </w:rPr>
      </w:pPr>
      <w:r w:rsidRPr="008817CD">
        <w:rPr>
          <w:rFonts w:eastAsia="Calibri" w:cs="Times New Roman"/>
          <w:bCs/>
          <w:lang w:eastAsia="en-US"/>
        </w:rPr>
        <w:t>En términos de lo expuesto, la documentación y aquellos datos que se consideren confidenciales, serán una limitante del derecho de acceso a la información, siempre y cuando:</w:t>
      </w:r>
    </w:p>
    <w:p w14:paraId="516B0F52" w14:textId="77777777" w:rsidR="00967611" w:rsidRPr="008817CD" w:rsidRDefault="00967611" w:rsidP="00621403">
      <w:pPr>
        <w:spacing w:after="0" w:line="360" w:lineRule="auto"/>
        <w:rPr>
          <w:rFonts w:eastAsia="Calibri" w:cs="Times New Roman"/>
          <w:bCs/>
          <w:lang w:eastAsia="en-US"/>
        </w:rPr>
      </w:pPr>
    </w:p>
    <w:p w14:paraId="1337A58B" w14:textId="77777777" w:rsidR="00967611" w:rsidRPr="008817CD" w:rsidRDefault="00967611" w:rsidP="00621403">
      <w:pPr>
        <w:numPr>
          <w:ilvl w:val="0"/>
          <w:numId w:val="23"/>
        </w:numPr>
        <w:spacing w:after="0" w:line="360" w:lineRule="auto"/>
        <w:jc w:val="left"/>
        <w:rPr>
          <w:rFonts w:eastAsia="Calibri" w:cs="Times New Roman"/>
          <w:bCs/>
          <w:lang w:eastAsia="en-US"/>
        </w:rPr>
      </w:pPr>
      <w:r w:rsidRPr="008817CD">
        <w:rPr>
          <w:rFonts w:eastAsia="Calibri" w:cs="Times New Roman"/>
          <w:bCs/>
          <w:lang w:eastAsia="en-US"/>
        </w:rPr>
        <w:t xml:space="preserve">Se trate de datos personales o información privada; esto es, información concerniente a una persona física o jurídico colectiva y que esta sea identificada o identificable. </w:t>
      </w:r>
    </w:p>
    <w:p w14:paraId="58D6766C" w14:textId="77777777" w:rsidR="00967611" w:rsidRPr="008817CD" w:rsidRDefault="00967611" w:rsidP="00621403">
      <w:pPr>
        <w:numPr>
          <w:ilvl w:val="0"/>
          <w:numId w:val="23"/>
        </w:numPr>
        <w:spacing w:after="0" w:line="360" w:lineRule="auto"/>
        <w:jc w:val="left"/>
        <w:rPr>
          <w:rFonts w:eastAsia="Calibri" w:cs="Times New Roman"/>
          <w:bCs/>
          <w:lang w:eastAsia="en-US"/>
        </w:rPr>
      </w:pPr>
      <w:r w:rsidRPr="008817CD">
        <w:rPr>
          <w:rFonts w:eastAsia="Calibri" w:cs="Times New Roman"/>
          <w:bCs/>
          <w:lang w:eastAsia="en-US"/>
        </w:rPr>
        <w:t xml:space="preserve">Para la difusión de los datos, se requiera el consentimiento del titular. </w:t>
      </w:r>
    </w:p>
    <w:p w14:paraId="3689FE87" w14:textId="77777777" w:rsidR="00967611" w:rsidRPr="008817CD" w:rsidRDefault="00967611" w:rsidP="00621403">
      <w:pPr>
        <w:spacing w:after="0" w:line="360" w:lineRule="auto"/>
        <w:rPr>
          <w:rFonts w:eastAsia="Calibri" w:cs="Times New Roman"/>
          <w:bCs/>
          <w:lang w:eastAsia="en-US"/>
        </w:rPr>
      </w:pPr>
    </w:p>
    <w:p w14:paraId="66F64D18" w14:textId="77777777" w:rsidR="00967611" w:rsidRPr="008817CD" w:rsidRDefault="00967611" w:rsidP="00621403">
      <w:pPr>
        <w:spacing w:after="0" w:line="360" w:lineRule="auto"/>
        <w:rPr>
          <w:rFonts w:eastAsia="Calibri" w:cs="Times New Roman"/>
          <w:bCs/>
          <w:lang w:eastAsia="en-US"/>
        </w:rPr>
      </w:pPr>
      <w:r w:rsidRPr="008817CD">
        <w:rPr>
          <w:rFonts w:eastAsia="Calibri" w:cs="Times New Roman"/>
          <w:bCs/>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1F87993" w14:textId="77777777" w:rsidR="00967611" w:rsidRPr="008817CD" w:rsidRDefault="00967611" w:rsidP="00621403">
      <w:pPr>
        <w:spacing w:after="0" w:line="360" w:lineRule="auto"/>
        <w:rPr>
          <w:rFonts w:eastAsia="Calibri" w:cs="Times New Roman"/>
          <w:bCs/>
          <w:lang w:eastAsia="en-US"/>
        </w:rPr>
      </w:pPr>
    </w:p>
    <w:p w14:paraId="07AAA350" w14:textId="77777777" w:rsidR="00967611" w:rsidRPr="008817CD" w:rsidRDefault="00967611" w:rsidP="00621403">
      <w:pPr>
        <w:spacing w:after="0" w:line="360" w:lineRule="auto"/>
        <w:rPr>
          <w:rFonts w:eastAsia="Calibri" w:cs="Times New Roman"/>
          <w:bCs/>
          <w:lang w:eastAsia="en-US"/>
        </w:rPr>
      </w:pPr>
      <w:r w:rsidRPr="008817CD">
        <w:rPr>
          <w:rFonts w:eastAsia="Calibri" w:cs="Times New Roman"/>
          <w:bCs/>
          <w:lang w:eastAsia="en-US"/>
        </w:rPr>
        <w:t>Por lo cual, la confidencialidad de los datos personales, tiene por objetivo establecer el límite del derecho de acceso a la información a partir del derecho a la intimidad y la vida privada de los individuos; por lo cual, resulta necesario analizar si los datos mencionados, deben ser considerados confidenciales, en términos del artículo 143, fracción I, de la Ley de Transparencia y Acceso a la Información Pública del Estado de México y Municipios, o públicos tal como se expone a continuación:</w:t>
      </w:r>
    </w:p>
    <w:p w14:paraId="3C3C4BC4" w14:textId="77777777" w:rsidR="00967611" w:rsidRPr="008817CD" w:rsidRDefault="00967611" w:rsidP="00621403">
      <w:pPr>
        <w:numPr>
          <w:ilvl w:val="0"/>
          <w:numId w:val="24"/>
        </w:numPr>
        <w:spacing w:after="0" w:line="360" w:lineRule="auto"/>
        <w:jc w:val="left"/>
        <w:rPr>
          <w:rFonts w:eastAsia="Times New Roman" w:cs="Tahoma"/>
          <w:bCs/>
          <w:iCs/>
          <w:color w:val="auto"/>
          <w:lang w:eastAsia="es-ES"/>
        </w:rPr>
      </w:pPr>
      <w:r w:rsidRPr="008817CD">
        <w:rPr>
          <w:rFonts w:eastAsia="Times New Roman" w:cs="Tahoma"/>
          <w:b/>
          <w:bCs/>
          <w:iCs/>
          <w:color w:val="auto"/>
          <w:lang w:eastAsia="es-ES"/>
        </w:rPr>
        <w:lastRenderedPageBreak/>
        <w:t xml:space="preserve">Nombre de las personas beneficiadas </w:t>
      </w:r>
    </w:p>
    <w:p w14:paraId="70337FFB" w14:textId="77777777" w:rsidR="00967611" w:rsidRPr="008817CD" w:rsidRDefault="00967611" w:rsidP="00621403">
      <w:pPr>
        <w:spacing w:after="0" w:line="360" w:lineRule="auto"/>
        <w:ind w:left="720"/>
        <w:jc w:val="left"/>
        <w:rPr>
          <w:rFonts w:eastAsia="Times New Roman" w:cs="Tahoma"/>
          <w:bCs/>
          <w:iCs/>
          <w:color w:val="auto"/>
          <w:lang w:eastAsia="es-ES"/>
        </w:rPr>
      </w:pPr>
    </w:p>
    <w:p w14:paraId="02C1C1F7"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eastAsia="es-ES"/>
        </w:rPr>
        <w:t xml:space="preserve">Al respecto, cabe precisar que el nombre se integra </w:t>
      </w:r>
      <w:r w:rsidRPr="008817CD">
        <w:rPr>
          <w:rFonts w:eastAsia="Times New Roman" w:cs="Tahoma"/>
          <w:bCs/>
          <w:iCs/>
          <w:color w:val="auto"/>
          <w:lang w:val="es-ES_tradnl" w:eastAsia="es-E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817CD">
        <w:rPr>
          <w:rFonts w:eastAsia="Times New Roman" w:cs="Tahoma"/>
          <w:bCs/>
          <w:i/>
          <w:iCs/>
          <w:color w:val="auto"/>
          <w:lang w:val="es-ES_tradnl" w:eastAsia="es-ES"/>
        </w:rPr>
        <w:t>per se</w:t>
      </w:r>
      <w:r w:rsidRPr="008817CD">
        <w:rPr>
          <w:rFonts w:eastAsia="Times New Roman" w:cs="Tahoma"/>
          <w:bCs/>
          <w:iCs/>
          <w:color w:val="auto"/>
          <w:lang w:val="es-ES_tradnl" w:eastAsia="es-ES"/>
        </w:rPr>
        <w:t xml:space="preserve"> es un elemento que hace a una persona física identificada o identificable.</w:t>
      </w:r>
    </w:p>
    <w:p w14:paraId="5E3AC4EB" w14:textId="77777777" w:rsidR="00967611" w:rsidRPr="008817CD" w:rsidRDefault="00967611" w:rsidP="00621403">
      <w:pPr>
        <w:spacing w:after="0" w:line="360" w:lineRule="auto"/>
        <w:rPr>
          <w:rFonts w:eastAsia="Times New Roman" w:cs="Tahoma"/>
          <w:b/>
          <w:bCs/>
          <w:iCs/>
          <w:color w:val="auto"/>
          <w:lang w:val="es-ES" w:eastAsia="es-ES"/>
        </w:rPr>
      </w:pPr>
    </w:p>
    <w:p w14:paraId="0FA16150"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val="es-ES_tradnl" w:eastAsia="es-ES"/>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8817CD">
        <w:rPr>
          <w:rFonts w:eastAsia="Times New Roman" w:cs="Tahoma"/>
          <w:b/>
          <w:bCs/>
          <w:iCs/>
          <w:color w:val="auto"/>
          <w:lang w:val="es-ES_tradnl" w:eastAsia="es-ES"/>
        </w:rPr>
        <w:t>los nombres</w:t>
      </w:r>
      <w:r w:rsidRPr="008817CD">
        <w:rPr>
          <w:rFonts w:eastAsia="Times New Roman" w:cs="Tahoma"/>
          <w:bCs/>
          <w:iCs/>
          <w:color w:val="auto"/>
          <w:lang w:val="es-ES_tradnl" w:eastAsia="es-ES"/>
        </w:rPr>
        <w:t xml:space="preserve"> </w:t>
      </w:r>
      <w:r w:rsidRPr="008817CD">
        <w:rPr>
          <w:rFonts w:eastAsia="Times New Roman" w:cs="Tahoma"/>
          <w:b/>
          <w:bCs/>
          <w:iCs/>
          <w:color w:val="auto"/>
          <w:lang w:val="es-ES_tradnl" w:eastAsia="es-ES"/>
        </w:rPr>
        <w:t>de aquellas personas que son beneficiadas por un programa social,</w:t>
      </w:r>
      <w:r w:rsidRPr="008817CD">
        <w:rPr>
          <w:rFonts w:eastAsia="Times New Roman" w:cs="Tahoma"/>
          <w:bCs/>
          <w:iCs/>
          <w:color w:val="auto"/>
          <w:lang w:val="es-ES_tradnl" w:eastAsia="es-ES"/>
        </w:rPr>
        <w:t xml:space="preserve"> ya que la difusión de dicho dato constituye una obligación de transparencia por parte de los sujetos obligados.</w:t>
      </w:r>
    </w:p>
    <w:p w14:paraId="3D1F00CC" w14:textId="77777777" w:rsidR="00967611" w:rsidRPr="008817CD" w:rsidRDefault="00967611" w:rsidP="00621403">
      <w:pPr>
        <w:spacing w:after="0" w:line="360" w:lineRule="auto"/>
        <w:rPr>
          <w:rFonts w:eastAsia="Times New Roman" w:cs="Tahoma"/>
          <w:bCs/>
          <w:iCs/>
          <w:color w:val="auto"/>
          <w:lang w:eastAsia="es-ES"/>
        </w:rPr>
      </w:pPr>
    </w:p>
    <w:p w14:paraId="696E5791" w14:textId="77777777" w:rsidR="00967611" w:rsidRPr="008817CD" w:rsidRDefault="00967611" w:rsidP="00621403">
      <w:pPr>
        <w:spacing w:after="0" w:line="360" w:lineRule="auto"/>
        <w:rPr>
          <w:rFonts w:eastAsia="Times New Roman" w:cs="Tahoma"/>
          <w:b/>
          <w:bCs/>
          <w:iCs/>
          <w:color w:val="auto"/>
          <w:lang w:val="es-ES_tradnl" w:eastAsia="es-ES"/>
        </w:rPr>
      </w:pPr>
      <w:r w:rsidRPr="008817CD">
        <w:rPr>
          <w:rFonts w:eastAsia="Times New Roman" w:cs="Tahoma"/>
          <w:bCs/>
          <w:iCs/>
          <w:color w:val="auto"/>
          <w:lang w:val="es-ES_tradnl" w:eastAsia="es-ES"/>
        </w:rPr>
        <w:t>Toma sustento con el artículo 92, fracción XIV, inciso p), de la Ley de la materia, previamente referidos, el cual establece que los sujetos obligados tienen la obligación de poner a disposición del público y mantener actualizada de acuerdo con sus facultades, atribuciones y funciones, el padrón de beneficiarios de programas de subsidios, estímulos y apoyos, el cual deberá contener entre otros datos el nombre de la persona beneficiada</w:t>
      </w:r>
      <w:r w:rsidRPr="008817CD">
        <w:rPr>
          <w:rFonts w:eastAsia="Times New Roman" w:cs="Tahoma"/>
          <w:b/>
          <w:bCs/>
          <w:iCs/>
          <w:color w:val="auto"/>
          <w:lang w:val="es-ES_tradnl" w:eastAsia="es-ES"/>
        </w:rPr>
        <w:t>.</w:t>
      </w:r>
    </w:p>
    <w:p w14:paraId="49223E20" w14:textId="77777777" w:rsidR="00967611" w:rsidRPr="008817CD" w:rsidRDefault="00967611" w:rsidP="00621403">
      <w:pPr>
        <w:spacing w:after="0" w:line="360" w:lineRule="auto"/>
        <w:rPr>
          <w:rFonts w:eastAsia="Times New Roman" w:cs="Tahoma"/>
          <w:b/>
          <w:bCs/>
          <w:iCs/>
          <w:color w:val="auto"/>
          <w:lang w:val="es-ES_tradnl" w:eastAsia="es-ES"/>
        </w:rPr>
      </w:pPr>
    </w:p>
    <w:p w14:paraId="41B63368" w14:textId="19224134"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eastAsia="es-ES"/>
        </w:rPr>
        <w:t xml:space="preserve">Asimismo, los </w:t>
      </w:r>
      <w:r w:rsidRPr="008817CD">
        <w:rPr>
          <w:rFonts w:eastAsia="Times New Roman" w:cs="Tahoma"/>
          <w:bCs/>
          <w:iCs/>
          <w:color w:val="auto"/>
          <w:lang w:val="es-ES_tradnl" w:eastAsia="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w:t>
      </w:r>
      <w:r w:rsidRPr="008817CD">
        <w:rPr>
          <w:rFonts w:eastAsia="Times New Roman" w:cs="Tahoma"/>
          <w:bCs/>
          <w:iCs/>
          <w:color w:val="auto"/>
          <w:lang w:val="es-ES_tradnl" w:eastAsia="es-ES"/>
        </w:rPr>
        <w:lastRenderedPageBreak/>
        <w:t>Nacional de Transparencia</w:t>
      </w:r>
      <w:r w:rsidR="00621403" w:rsidRPr="008817CD">
        <w:rPr>
          <w:rFonts w:eastAsia="Times New Roman" w:cs="Tahoma"/>
          <w:bCs/>
          <w:iCs/>
          <w:color w:val="auto"/>
          <w:lang w:val="es-ES_tradnl" w:eastAsia="es-ES"/>
        </w:rPr>
        <w:t>, vigentes a la fecha de la solicitud</w:t>
      </w:r>
      <w:r w:rsidRPr="008817CD">
        <w:rPr>
          <w:rFonts w:eastAsia="Times New Roman" w:cs="Tahoma"/>
          <w:bCs/>
          <w:iCs/>
          <w:color w:val="auto"/>
          <w:lang w:val="es-ES_tradnl" w:eastAsia="es-ES"/>
        </w:rPr>
        <w:t xml:space="preserve">, establece que el nombre referido, tiene la característica de público, como se observa a continuación: </w:t>
      </w:r>
    </w:p>
    <w:p w14:paraId="05DEF833" w14:textId="77777777" w:rsidR="00967611" w:rsidRPr="008817CD" w:rsidRDefault="00967611" w:rsidP="00621403">
      <w:pPr>
        <w:spacing w:after="0" w:line="360" w:lineRule="auto"/>
        <w:rPr>
          <w:rFonts w:eastAsia="Times New Roman" w:cs="Tahoma"/>
          <w:bCs/>
          <w:iCs/>
          <w:color w:val="auto"/>
          <w:lang w:val="es-ES_tradnl" w:eastAsia="es-ES"/>
        </w:rPr>
      </w:pPr>
    </w:p>
    <w:p w14:paraId="55E460B7"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Calibri" w:cs="Times New Roman"/>
          <w:noProof/>
        </w:rPr>
        <mc:AlternateContent>
          <mc:Choice Requires="wps">
            <w:drawing>
              <wp:anchor distT="0" distB="0" distL="114300" distR="114300" simplePos="0" relativeHeight="251660288" behindDoc="0" locked="0" layoutInCell="1" allowOverlap="1" wp14:anchorId="305D665F" wp14:editId="0A2D0B07">
                <wp:simplePos x="0" y="0"/>
                <wp:positionH relativeFrom="column">
                  <wp:posOffset>3300730</wp:posOffset>
                </wp:positionH>
                <wp:positionV relativeFrom="paragraph">
                  <wp:posOffset>404495</wp:posOffset>
                </wp:positionV>
                <wp:extent cx="1625600" cy="676275"/>
                <wp:effectExtent l="19050" t="19050" r="12700" b="28575"/>
                <wp:wrapNone/>
                <wp:docPr id="16" name="Rectángulo 2"/>
                <wp:cNvGraphicFramePr/>
                <a:graphic xmlns:a="http://schemas.openxmlformats.org/drawingml/2006/main">
                  <a:graphicData uri="http://schemas.microsoft.com/office/word/2010/wordprocessingShape">
                    <wps:wsp>
                      <wps:cNvSpPr/>
                      <wps:spPr>
                        <a:xfrm>
                          <a:off x="0" y="0"/>
                          <a:ext cx="1625600" cy="676275"/>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63FD89B" id="Rectángulo 2" o:spid="_x0000_s1026" style="position:absolute;margin-left:259.9pt;margin-top:31.85pt;width:128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" filled="f" strokecolor="windowText" strokeweight="2.25pt"/>
            </w:pict>
          </mc:Fallback>
        </mc:AlternateContent>
      </w:r>
      <w:r w:rsidRPr="008817CD">
        <w:rPr>
          <w:rFonts w:eastAsia="Times New Roman" w:cs="Tahoma"/>
          <w:noProof/>
          <w:color w:val="auto"/>
        </w:rPr>
        <w:drawing>
          <wp:inline distT="0" distB="0" distL="0" distR="0" wp14:anchorId="7D0CCE13" wp14:editId="6F4ABA7E">
            <wp:extent cx="5619750" cy="1114425"/>
            <wp:effectExtent l="0" t="0" r="0" b="9525"/>
            <wp:docPr id="6"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1114425"/>
                    </a:xfrm>
                    <a:prstGeom prst="rect">
                      <a:avLst/>
                    </a:prstGeom>
                    <a:noFill/>
                    <a:ln>
                      <a:noFill/>
                    </a:ln>
                  </pic:spPr>
                </pic:pic>
              </a:graphicData>
            </a:graphic>
          </wp:inline>
        </w:drawing>
      </w:r>
    </w:p>
    <w:p w14:paraId="355F426B" w14:textId="77777777" w:rsidR="00967611" w:rsidRPr="008817CD" w:rsidRDefault="00967611" w:rsidP="00621403">
      <w:pPr>
        <w:spacing w:after="0" w:line="360" w:lineRule="auto"/>
        <w:rPr>
          <w:rFonts w:eastAsia="Times New Roman" w:cs="Tahoma"/>
          <w:bCs/>
          <w:iCs/>
          <w:color w:val="auto"/>
          <w:lang w:eastAsia="es-ES"/>
        </w:rPr>
      </w:pPr>
    </w:p>
    <w:p w14:paraId="2283D8F7" w14:textId="77777777" w:rsidR="00967611" w:rsidRPr="008817CD" w:rsidRDefault="00967611" w:rsidP="00621403">
      <w:pPr>
        <w:spacing w:after="0" w:line="360" w:lineRule="auto"/>
        <w:rPr>
          <w:rFonts w:eastAsia="Times New Roman" w:cs="Tahoma"/>
          <w:b/>
          <w:bCs/>
          <w:iCs/>
          <w:color w:val="auto"/>
          <w:lang w:val="es-ES_tradnl" w:eastAsia="es-ES"/>
        </w:rPr>
      </w:pPr>
      <w:r w:rsidRPr="008817CD">
        <w:rPr>
          <w:rFonts w:eastAsia="Times New Roman" w:cs="Tahoma"/>
          <w:bCs/>
          <w:iCs/>
          <w:color w:val="auto"/>
          <w:lang w:eastAsia="es-ES"/>
        </w:rPr>
        <w:t xml:space="preserve">Conforme a lo anterior, la Ley </w:t>
      </w:r>
      <w:r w:rsidRPr="008817CD">
        <w:rPr>
          <w:rFonts w:eastAsia="Times New Roman" w:cs="Tahoma"/>
          <w:bCs/>
          <w:iCs/>
          <w:color w:val="auto"/>
          <w:lang w:val="es-ES_tradnl" w:eastAsia="es-ES"/>
        </w:rPr>
        <w:t xml:space="preserve">de Transparencia y Acceso a la Información Pública del Estado de México y Municipios, considera que el nombre de los beneficiarios, </w:t>
      </w:r>
      <w:r w:rsidRPr="008817CD">
        <w:rPr>
          <w:rFonts w:eastAsia="Times New Roman" w:cs="Tahoma"/>
          <w:b/>
          <w:bCs/>
          <w:iCs/>
          <w:color w:val="auto"/>
          <w:lang w:val="es-ES_tradnl" w:eastAsia="es-ES"/>
        </w:rPr>
        <w:t xml:space="preserve">por regla general, </w:t>
      </w:r>
      <w:r w:rsidRPr="008817CD">
        <w:rPr>
          <w:rFonts w:eastAsia="Times New Roman" w:cs="Tahoma"/>
          <w:bCs/>
          <w:iCs/>
          <w:color w:val="auto"/>
          <w:lang w:val="es-ES_tradnl" w:eastAsia="es-ES"/>
        </w:rPr>
        <w:t xml:space="preserve">son de naturaleza pública, ya que su publicidad orienta a cumplir los objetivos que persigue el ordenamiento normativo; toda vez, </w:t>
      </w:r>
      <w:r w:rsidRPr="008817CD">
        <w:rPr>
          <w:rFonts w:eastAsia="Times New Roman" w:cs="Tahoma"/>
          <w:b/>
          <w:bCs/>
          <w:iCs/>
          <w:color w:val="auto"/>
          <w:lang w:val="es-ES_tradnl" w:eastAsia="es-ES"/>
        </w:rPr>
        <w:t>que ayuda a transparentar a quienes se les han otorgado recursos públicos, en dinero o en especie, así como, porque razones se les otorgaron.</w:t>
      </w:r>
    </w:p>
    <w:p w14:paraId="37274A42" w14:textId="77777777" w:rsidR="00967611" w:rsidRPr="008817CD" w:rsidRDefault="00967611" w:rsidP="00621403">
      <w:pPr>
        <w:spacing w:after="0" w:line="360" w:lineRule="auto"/>
        <w:rPr>
          <w:rFonts w:eastAsia="Times New Roman" w:cs="Tahoma"/>
          <w:b/>
          <w:bCs/>
          <w:iCs/>
          <w:color w:val="auto"/>
          <w:lang w:val="es-ES_tradnl" w:eastAsia="es-ES"/>
        </w:rPr>
      </w:pPr>
    </w:p>
    <w:p w14:paraId="7958873C"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val="es-ES_tradnl" w:eastAsia="es-ES"/>
        </w:rPr>
        <w:t>Situación que se robustece, con el artículo 23, penúltimo párrafo, de la Ley referida, que establece que los sujetos obligados, deberán hacer pública toda aquella información relativa a los montos y las personas a quienes se le entreguen, por cualquier motivo, recursos públicos.</w:t>
      </w:r>
    </w:p>
    <w:p w14:paraId="54491104" w14:textId="77777777" w:rsidR="00967611" w:rsidRPr="008817CD" w:rsidRDefault="00967611" w:rsidP="00621403">
      <w:pPr>
        <w:spacing w:after="0" w:line="360" w:lineRule="auto"/>
        <w:rPr>
          <w:rFonts w:eastAsia="Times New Roman" w:cs="Tahoma"/>
          <w:bCs/>
          <w:iCs/>
          <w:color w:val="auto"/>
          <w:lang w:val="es-ES_tradnl" w:eastAsia="es-ES"/>
        </w:rPr>
      </w:pPr>
    </w:p>
    <w:p w14:paraId="121EA8FD"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val="es-ES_tradnl" w:eastAsia="es-ES"/>
        </w:rPr>
        <w:t>Por tales circunstancias, en primera instancia, se considera que el nombre de los beneficiarios, guarda la naturaleza pública, pues ayuda a rendir cuentas, sobre aquellas personas que recibieron algún recurso público, en dinero o especie, al formar parte de un programa social, del cual, se necesitan cumplir requisitos específicos para formar parte del mismo.</w:t>
      </w:r>
    </w:p>
    <w:p w14:paraId="3D459FEB" w14:textId="77777777" w:rsidR="00967611" w:rsidRPr="008817CD" w:rsidRDefault="00967611" w:rsidP="00621403">
      <w:pPr>
        <w:spacing w:after="0" w:line="360" w:lineRule="auto"/>
        <w:rPr>
          <w:rFonts w:eastAsia="Times New Roman" w:cs="Tahoma"/>
          <w:bCs/>
          <w:iCs/>
          <w:color w:val="auto"/>
          <w:lang w:val="es-ES_tradnl" w:eastAsia="es-ES"/>
        </w:rPr>
      </w:pPr>
    </w:p>
    <w:p w14:paraId="3314C214" w14:textId="77777777" w:rsidR="00967611" w:rsidRPr="008817CD" w:rsidRDefault="00967611" w:rsidP="00621403">
      <w:pPr>
        <w:spacing w:after="0" w:line="360" w:lineRule="auto"/>
        <w:rPr>
          <w:rFonts w:eastAsia="Times New Roman" w:cs="Tahoma"/>
          <w:bCs/>
          <w:iCs/>
          <w:color w:val="auto"/>
          <w:lang w:val="es-ES_tradnl" w:eastAsia="es-ES"/>
        </w:rPr>
      </w:pPr>
      <w:r w:rsidRPr="008817CD">
        <w:rPr>
          <w:rFonts w:eastAsia="Times New Roman" w:cs="Tahoma"/>
          <w:bCs/>
          <w:iCs/>
          <w:color w:val="auto"/>
          <w:lang w:val="es-ES_tradnl" w:eastAsia="es-ES"/>
        </w:rPr>
        <w:t>Sin embargo, este Instituto ha establecido las excepciones a la publicación del nombre de los beneficiarios, de padrones de beneficiarios, a través del Criterio reiterado 04/19, que establece lo siguiente:</w:t>
      </w:r>
    </w:p>
    <w:p w14:paraId="3E664C96" w14:textId="77777777" w:rsidR="00967611" w:rsidRPr="008817CD" w:rsidRDefault="00967611" w:rsidP="00621403">
      <w:pPr>
        <w:spacing w:after="0" w:line="360" w:lineRule="auto"/>
        <w:rPr>
          <w:rFonts w:eastAsia="Times New Roman" w:cs="Tahoma"/>
          <w:bCs/>
          <w:iCs/>
          <w:color w:val="auto"/>
          <w:lang w:val="es-ES_tradnl" w:eastAsia="es-ES"/>
        </w:rPr>
      </w:pPr>
    </w:p>
    <w:p w14:paraId="7594EFBB" w14:textId="77777777" w:rsidR="00967611" w:rsidRPr="008817CD" w:rsidRDefault="00967611" w:rsidP="00621403">
      <w:pPr>
        <w:spacing w:after="0" w:line="360" w:lineRule="auto"/>
        <w:ind w:left="567" w:right="567"/>
        <w:rPr>
          <w:rFonts w:eastAsia="Times New Roman" w:cs="Tahoma"/>
          <w:bCs/>
          <w:i/>
          <w:iCs/>
          <w:color w:val="auto"/>
          <w:sz w:val="20"/>
          <w:szCs w:val="20"/>
          <w:lang w:val="es-ES_tradnl" w:eastAsia="es-ES"/>
        </w:rPr>
      </w:pPr>
      <w:r w:rsidRPr="008817CD">
        <w:rPr>
          <w:rFonts w:eastAsia="Times New Roman" w:cs="Tahoma"/>
          <w:b/>
          <w:bCs/>
          <w:i/>
          <w:iCs/>
          <w:color w:val="auto"/>
          <w:sz w:val="20"/>
          <w:szCs w:val="20"/>
          <w:lang w:eastAsia="es-ES"/>
        </w:rPr>
        <w:lastRenderedPageBreak/>
        <w:t>“PADRÓN DE BENEFICIARIOS EN POSESIÓN DE SUJETOS OBLIGADOS. EXCEPCIONES PARA LA PUBLICACIÓN DE DATOS PERSONALES CONTENIDOS EN AQUÉL.</w:t>
      </w:r>
      <w:r w:rsidRPr="008817CD">
        <w:rPr>
          <w:rFonts w:eastAsia="Times New Roman" w:cs="Tahoma"/>
          <w:bCs/>
          <w:i/>
          <w:iCs/>
          <w:color w:val="auto"/>
          <w:sz w:val="20"/>
          <w:szCs w:val="20"/>
          <w:lang w:eastAsia="es-ES"/>
        </w:rPr>
        <w:t xml:space="preserve"> 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8817CD">
        <w:rPr>
          <w:rFonts w:eastAsia="Times New Roman" w:cs="Tahoma"/>
          <w:b/>
          <w:bCs/>
          <w:i/>
          <w:iCs/>
          <w:color w:val="auto"/>
          <w:sz w:val="20"/>
          <w:szCs w:val="20"/>
          <w:lang w:eastAsia="es-ES"/>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8817CD">
        <w:rPr>
          <w:rFonts w:eastAsia="Times New Roman" w:cs="Tahoma"/>
          <w:bCs/>
          <w:i/>
          <w:iCs/>
          <w:color w:val="auto"/>
          <w:sz w:val="20"/>
          <w:szCs w:val="20"/>
          <w:u w:val="single"/>
          <w:lang w:eastAsia="es-ES"/>
        </w:rPr>
        <w:t>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w:t>
      </w:r>
      <w:r w:rsidRPr="008817CD">
        <w:rPr>
          <w:rFonts w:eastAsia="Times New Roman" w:cs="Tahoma"/>
          <w:bCs/>
          <w:i/>
          <w:iCs/>
          <w:color w:val="auto"/>
          <w:sz w:val="20"/>
          <w:szCs w:val="20"/>
          <w:lang w:eastAsia="es-ES"/>
        </w:rPr>
        <w:t xml:space="preserve">,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w:t>
      </w:r>
      <w:r w:rsidRPr="008817CD">
        <w:rPr>
          <w:rFonts w:eastAsia="Times New Roman" w:cs="Tahoma"/>
          <w:bCs/>
          <w:i/>
          <w:iCs/>
          <w:color w:val="auto"/>
          <w:sz w:val="20"/>
          <w:szCs w:val="20"/>
          <w:lang w:eastAsia="es-ES"/>
        </w:rPr>
        <w:lastRenderedPageBreak/>
        <w:t>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6DBDBF95" w14:textId="77777777" w:rsidR="00967611" w:rsidRPr="008817CD" w:rsidRDefault="00967611" w:rsidP="00621403">
      <w:pPr>
        <w:spacing w:after="0" w:line="360" w:lineRule="auto"/>
        <w:rPr>
          <w:rFonts w:eastAsia="Times New Roman" w:cs="Tahoma"/>
          <w:bCs/>
          <w:iCs/>
          <w:color w:val="auto"/>
          <w:lang w:eastAsia="es-ES"/>
        </w:rPr>
      </w:pPr>
    </w:p>
    <w:p w14:paraId="236BB1A4" w14:textId="77777777" w:rsidR="00967611" w:rsidRPr="008817CD" w:rsidRDefault="00967611" w:rsidP="00621403">
      <w:pPr>
        <w:spacing w:after="0" w:line="360" w:lineRule="auto"/>
        <w:rPr>
          <w:rFonts w:eastAsia="Times New Roman" w:cs="Tahoma"/>
          <w:bCs/>
          <w:iCs/>
          <w:color w:val="auto"/>
          <w:lang w:eastAsia="es-ES"/>
        </w:rPr>
      </w:pPr>
      <w:r w:rsidRPr="008817CD">
        <w:rPr>
          <w:rFonts w:eastAsia="Times New Roman" w:cs="Tahoma"/>
          <w:bCs/>
          <w:iCs/>
          <w:color w:val="auto"/>
          <w:lang w:eastAsia="es-ES"/>
        </w:rPr>
        <w:t xml:space="preserve">Del citado criterio, </w:t>
      </w:r>
      <w:r w:rsidRPr="008817CD">
        <w:rPr>
          <w:rFonts w:eastAsia="Times New Roman" w:cs="Tahoma"/>
          <w:b/>
          <w:bCs/>
          <w:iCs/>
          <w:color w:val="auto"/>
          <w:lang w:eastAsia="es-ES"/>
        </w:rPr>
        <w:t>se advierte que el nombre de menores de edad o de capacidades diferentes, son datos confidenciales</w:t>
      </w:r>
      <w:r w:rsidRPr="008817CD">
        <w:rPr>
          <w:rFonts w:eastAsia="Times New Roman" w:cs="Tahoma"/>
          <w:bCs/>
          <w:iCs/>
          <w:color w:val="auto"/>
          <w:lang w:eastAsia="es-ES"/>
        </w:rPr>
        <w:t>, pues su publicación revelaría las condiciones sociales, culturales y plena identidad; además, que corresponden a grupos vulnerables y sociales, en condiciones de desventaja, por lo cual, es necesario su protección.</w:t>
      </w:r>
    </w:p>
    <w:p w14:paraId="758A9374" w14:textId="77777777" w:rsidR="00967611" w:rsidRPr="008817CD" w:rsidRDefault="00967611" w:rsidP="00621403">
      <w:pPr>
        <w:spacing w:after="0" w:line="360" w:lineRule="auto"/>
        <w:rPr>
          <w:rFonts w:eastAsia="Times New Roman" w:cs="Tahoma"/>
          <w:bCs/>
          <w:iCs/>
          <w:color w:val="auto"/>
          <w:lang w:eastAsia="es-ES"/>
        </w:rPr>
      </w:pPr>
    </w:p>
    <w:p w14:paraId="6047AFCA" w14:textId="77777777" w:rsidR="00967611" w:rsidRPr="008817CD" w:rsidRDefault="00967611" w:rsidP="00621403">
      <w:pPr>
        <w:spacing w:after="0" w:line="360" w:lineRule="auto"/>
        <w:rPr>
          <w:rFonts w:eastAsia="Times New Roman" w:cs="Tahoma"/>
          <w:bCs/>
          <w:iCs/>
          <w:color w:val="auto"/>
          <w:lang w:eastAsia="es-ES"/>
        </w:rPr>
      </w:pPr>
      <w:r w:rsidRPr="008817CD">
        <w:rPr>
          <w:rFonts w:eastAsia="Times New Roman" w:cs="Tahoma"/>
          <w:bCs/>
          <w:iCs/>
          <w:color w:val="auto"/>
          <w:lang w:eastAsia="es-ES"/>
        </w:rPr>
        <w:t xml:space="preserve">Por tal circunstancia, se considera que el Sujeto Obligado </w:t>
      </w:r>
      <w:r w:rsidRPr="008817CD">
        <w:rPr>
          <w:rFonts w:eastAsia="Times New Roman" w:cs="Tahoma"/>
          <w:b/>
          <w:bCs/>
          <w:iCs/>
          <w:color w:val="auto"/>
          <w:lang w:eastAsia="es-ES"/>
        </w:rPr>
        <w:t>únicamente podrá clasificar el nombre de aquellos beneficiarios, que sean menores de edad o tengan capacidades diferentes</w:t>
      </w:r>
      <w:r w:rsidRPr="008817CD">
        <w:rPr>
          <w:rFonts w:eastAsia="Times New Roman" w:cs="Tahoma"/>
          <w:bCs/>
          <w:iCs/>
          <w:color w:val="auto"/>
          <w:lang w:eastAsia="es-ES"/>
        </w:rPr>
        <w:t>, en términos del artículo 143, fracción I de la Ley de Transparencia y Acceso a la Información Pública del Estado de México y Municipios, pues la publicación de la información podría generarles discriminación.</w:t>
      </w:r>
    </w:p>
    <w:p w14:paraId="392FD2E4" w14:textId="77777777" w:rsidR="00967611" w:rsidRPr="008817CD" w:rsidRDefault="00967611" w:rsidP="00621403">
      <w:pPr>
        <w:spacing w:after="0" w:line="360" w:lineRule="auto"/>
        <w:rPr>
          <w:rFonts w:eastAsia="Calibri" w:cs="Tahoma"/>
          <w:bCs/>
          <w:color w:val="auto"/>
          <w:lang w:eastAsia="en-US"/>
        </w:rPr>
      </w:pPr>
    </w:p>
    <w:p w14:paraId="7ABA4DFD" w14:textId="77777777" w:rsidR="00967611" w:rsidRPr="008817CD" w:rsidRDefault="00967611" w:rsidP="00621403">
      <w:pPr>
        <w:numPr>
          <w:ilvl w:val="0"/>
          <w:numId w:val="24"/>
        </w:numPr>
        <w:spacing w:after="0" w:line="360" w:lineRule="auto"/>
        <w:jc w:val="left"/>
        <w:rPr>
          <w:rFonts w:eastAsia="Calibri" w:cs="Tahoma"/>
          <w:b/>
          <w:bCs/>
          <w:color w:val="auto"/>
          <w:lang w:eastAsia="en-US"/>
        </w:rPr>
      </w:pPr>
      <w:r w:rsidRPr="008817CD">
        <w:rPr>
          <w:rFonts w:eastAsia="Calibri" w:cs="Tahoma"/>
          <w:b/>
          <w:bCs/>
          <w:color w:val="auto"/>
          <w:lang w:eastAsia="en-US"/>
        </w:rPr>
        <w:t>Domicilio particular</w:t>
      </w:r>
    </w:p>
    <w:p w14:paraId="584EE8F5" w14:textId="77777777" w:rsidR="00967611" w:rsidRPr="008817CD" w:rsidRDefault="00967611" w:rsidP="00621403">
      <w:pPr>
        <w:spacing w:after="0" w:line="360" w:lineRule="auto"/>
        <w:ind w:left="720"/>
        <w:contextualSpacing/>
        <w:jc w:val="left"/>
        <w:rPr>
          <w:rFonts w:eastAsia="Calibri" w:cs="Tahoma"/>
          <w:b/>
          <w:bCs/>
          <w:color w:val="auto"/>
          <w:lang w:eastAsia="en-US"/>
        </w:rPr>
      </w:pPr>
    </w:p>
    <w:p w14:paraId="664BD731" w14:textId="77777777" w:rsidR="00967611" w:rsidRPr="008817CD" w:rsidRDefault="00967611" w:rsidP="00621403">
      <w:pPr>
        <w:spacing w:after="0" w:line="360" w:lineRule="auto"/>
        <w:ind w:right="-93"/>
        <w:rPr>
          <w:rFonts w:eastAsia="Times New Roman" w:cs="Tahoma"/>
          <w:color w:val="auto"/>
          <w:lang w:val="es-ES" w:eastAsia="es-ES"/>
        </w:rPr>
      </w:pPr>
      <w:r w:rsidRPr="008817CD">
        <w:rPr>
          <w:rFonts w:eastAsia="Times New Roman" w:cs="Tahoma"/>
          <w:color w:val="auto"/>
          <w:lang w:val="es-ES" w:eastAsia="es-ES"/>
        </w:rPr>
        <w:t xml:space="preserve">De acuerdo a lo señalado en el artículo 29 del Código Civil Federal, con relación con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68B6AFD" w14:textId="77777777" w:rsidR="00967611" w:rsidRPr="008817CD" w:rsidRDefault="00967611" w:rsidP="00621403">
      <w:pPr>
        <w:spacing w:after="0" w:line="360" w:lineRule="auto"/>
        <w:ind w:right="-93"/>
        <w:rPr>
          <w:rFonts w:eastAsia="Times New Roman" w:cs="Tahoma"/>
          <w:color w:val="auto"/>
          <w:lang w:val="es-ES" w:eastAsia="es-ES"/>
        </w:rPr>
      </w:pPr>
    </w:p>
    <w:p w14:paraId="2D942CE0" w14:textId="77777777" w:rsidR="00967611" w:rsidRPr="008817CD" w:rsidRDefault="00967611" w:rsidP="00621403">
      <w:pPr>
        <w:spacing w:after="0" w:line="360" w:lineRule="auto"/>
        <w:rPr>
          <w:rFonts w:eastAsia="Calibri" w:cs="Tahoma"/>
          <w:b/>
          <w:bCs/>
          <w:color w:val="auto"/>
          <w:sz w:val="20"/>
          <w:lang w:eastAsia="en-US"/>
        </w:rPr>
      </w:pPr>
    </w:p>
    <w:p w14:paraId="288A535C" w14:textId="77777777" w:rsidR="00967611" w:rsidRPr="008817CD" w:rsidRDefault="00967611" w:rsidP="00621403">
      <w:pPr>
        <w:spacing w:after="0" w:line="360" w:lineRule="auto"/>
        <w:ind w:right="-93"/>
        <w:rPr>
          <w:rFonts w:eastAsia="Times New Roman" w:cs="Tahoma"/>
          <w:color w:val="auto"/>
          <w:lang w:val="es-ES" w:eastAsia="es-ES"/>
        </w:rPr>
      </w:pPr>
      <w:r w:rsidRPr="008817CD">
        <w:rPr>
          <w:rFonts w:eastAsia="Times New Roman" w:cs="Tahoma"/>
          <w:color w:val="auto"/>
          <w:lang w:val="es-ES" w:eastAsia="es-ES"/>
        </w:rPr>
        <w:lastRenderedPageBreak/>
        <w:t>En ese contexto, la dirección o domicilio es el lugar en donde reside habitualmente una persona física, por lo que, permite hacerlo identificable y ubicable, propiciando que pueda ser molestado en su casa,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DACBCEC"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46D89508" w14:textId="77777777" w:rsidR="00967611" w:rsidRPr="008817CD" w:rsidRDefault="00967611" w:rsidP="00621403">
      <w:pPr>
        <w:numPr>
          <w:ilvl w:val="0"/>
          <w:numId w:val="24"/>
        </w:numPr>
        <w:spacing w:after="0" w:line="360" w:lineRule="auto"/>
        <w:jc w:val="left"/>
        <w:rPr>
          <w:rFonts w:eastAsia="Calibri" w:cs="Tahoma"/>
          <w:b/>
          <w:iCs/>
          <w:color w:val="000000"/>
          <w:szCs w:val="24"/>
          <w:lang w:val="es-ES" w:eastAsia="en-US"/>
        </w:rPr>
      </w:pPr>
      <w:r w:rsidRPr="008817CD">
        <w:rPr>
          <w:rFonts w:eastAsia="Calibri" w:cs="Tahoma"/>
          <w:b/>
          <w:bCs/>
          <w:color w:val="000000"/>
          <w:szCs w:val="24"/>
          <w:lang w:eastAsia="en-US"/>
        </w:rPr>
        <w:t>Registro Federal de Contribuyentes de proveedor o contratista</w:t>
      </w:r>
    </w:p>
    <w:p w14:paraId="7DDA31F0" w14:textId="77777777" w:rsidR="00967611" w:rsidRPr="008817CD" w:rsidRDefault="00967611" w:rsidP="00621403">
      <w:pPr>
        <w:widowControl w:val="0"/>
        <w:tabs>
          <w:tab w:val="center" w:pos="4522"/>
        </w:tabs>
        <w:spacing w:after="0" w:line="360" w:lineRule="auto"/>
        <w:rPr>
          <w:rFonts w:eastAsia="Calibri" w:cs="Tahoma"/>
          <w:b/>
          <w:bCs/>
          <w:iCs/>
          <w:color w:val="000000"/>
          <w:szCs w:val="24"/>
          <w:lang w:val="es-ES" w:eastAsia="en-US"/>
        </w:rPr>
      </w:pPr>
    </w:p>
    <w:p w14:paraId="36BAC2D1" w14:textId="77777777" w:rsidR="00967611" w:rsidRPr="008817CD" w:rsidRDefault="00967611" w:rsidP="00621403">
      <w:pPr>
        <w:widowControl w:val="0"/>
        <w:tabs>
          <w:tab w:val="center" w:pos="4522"/>
        </w:tabs>
        <w:spacing w:after="0" w:line="360" w:lineRule="auto"/>
        <w:rPr>
          <w:rFonts w:eastAsia="Calibri" w:cs="Tahoma"/>
          <w:b/>
          <w:bCs/>
          <w:color w:val="000000"/>
          <w:szCs w:val="24"/>
          <w:lang w:val="es-ES_tradnl" w:eastAsia="en-US"/>
        </w:rPr>
      </w:pPr>
      <w:r w:rsidRPr="008817CD">
        <w:rPr>
          <w:rFonts w:eastAsia="Calibri" w:cs="Tahoma"/>
          <w:b/>
          <w:bCs/>
          <w:color w:val="000000"/>
          <w:szCs w:val="24"/>
          <w:lang w:val="es-ES_tradnl" w:eastAsia="en-US"/>
        </w:rPr>
        <w:t>Persona física</w:t>
      </w:r>
    </w:p>
    <w:p w14:paraId="35D0A4DE" w14:textId="77777777" w:rsidR="00967611" w:rsidRPr="008817CD" w:rsidRDefault="00967611" w:rsidP="00621403">
      <w:pPr>
        <w:widowControl w:val="0"/>
        <w:tabs>
          <w:tab w:val="center" w:pos="4522"/>
        </w:tabs>
        <w:spacing w:after="0" w:line="360" w:lineRule="auto"/>
        <w:rPr>
          <w:rFonts w:eastAsia="Calibri" w:cs="Tahoma"/>
          <w:b/>
          <w:bCs/>
          <w:color w:val="000000"/>
          <w:szCs w:val="24"/>
          <w:lang w:val="es-ES_tradnl" w:eastAsia="en-US"/>
        </w:rPr>
      </w:pPr>
    </w:p>
    <w:p w14:paraId="2051A36E"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color w:val="000000"/>
          <w:szCs w:val="24"/>
          <w:lang w:eastAsia="en-US"/>
        </w:rPr>
        <w:t>Al respecto, es necesario precisar que</w:t>
      </w:r>
      <w:r w:rsidRPr="008817CD">
        <w:rPr>
          <w:rFonts w:eastAsia="Calibri" w:cs="Tahoma"/>
          <w:bCs/>
          <w:color w:val="000000"/>
          <w:szCs w:val="24"/>
          <w:lang w:val="es-ES_tradnl" w:eastAsia="en-US"/>
        </w:rPr>
        <w:t xml:space="preserve"> </w:t>
      </w:r>
      <w:r w:rsidRPr="008817CD">
        <w:rPr>
          <w:rFonts w:eastAsia="Calibri" w:cs="Tahoma"/>
          <w:bCs/>
          <w:color w:val="000000"/>
          <w:szCs w:val="24"/>
          <w:lang w:eastAsia="en-US"/>
        </w:rPr>
        <w:t xml:space="preserve">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8817CD">
        <w:rPr>
          <w:rFonts w:eastAsia="Calibri" w:cs="Tahoma"/>
          <w:b/>
          <w:bCs/>
          <w:color w:val="000000"/>
          <w:szCs w:val="24"/>
          <w:lang w:eastAsia="en-US"/>
        </w:rPr>
        <w:t>la cédula de identificación fiscal (Registro Federal de Contribuyentes);</w:t>
      </w:r>
      <w:r w:rsidRPr="008817CD">
        <w:rPr>
          <w:rFonts w:eastAsia="Calibri" w:cs="Tahoma"/>
          <w:bCs/>
          <w:color w:val="000000"/>
          <w:szCs w:val="24"/>
          <w:lang w:eastAsia="en-US"/>
        </w:rPr>
        <w:t xml:space="preserve"> por lo que la entrega de dicho dato permite verificar cumplimiento de esta disposición legal.</w:t>
      </w:r>
    </w:p>
    <w:p w14:paraId="76F77113"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0DB9D600" w14:textId="77777777" w:rsidR="00967611" w:rsidRPr="008817CD" w:rsidRDefault="00967611" w:rsidP="00621403">
      <w:pPr>
        <w:widowControl w:val="0"/>
        <w:tabs>
          <w:tab w:val="center" w:pos="4522"/>
        </w:tabs>
        <w:spacing w:after="0" w:line="360" w:lineRule="auto"/>
        <w:rPr>
          <w:rFonts w:eastAsia="Calibri" w:cs="Tahoma"/>
          <w:b/>
          <w:bCs/>
          <w:color w:val="000000"/>
          <w:szCs w:val="24"/>
          <w:lang w:eastAsia="en-US"/>
        </w:rPr>
      </w:pPr>
      <w:r w:rsidRPr="008817CD">
        <w:rPr>
          <w:rFonts w:eastAsia="Calibri" w:cs="Tahoma"/>
          <w:bCs/>
          <w:color w:val="000000"/>
          <w:szCs w:val="24"/>
          <w:lang w:eastAsia="en-US"/>
        </w:rPr>
        <w:t xml:space="preserve">Por lo tanto, </w:t>
      </w:r>
      <w:r w:rsidRPr="008817CD">
        <w:rPr>
          <w:rFonts w:eastAsia="Calibri" w:cs="Tahoma"/>
          <w:b/>
          <w:bCs/>
          <w:color w:val="000000"/>
          <w:szCs w:val="24"/>
          <w:lang w:eastAsia="en-US"/>
        </w:rPr>
        <w:t>en el presente caso, si bien el Registro Federal de Contribuyentes de personas físicas es un dato personal, también lo es, que corresponde a un requisito indispensable para ser proveedor y poder llevar a cabo actividades comerciales con la Entidad</w:t>
      </w:r>
      <w:r w:rsidRPr="008817CD">
        <w:rPr>
          <w:rFonts w:eastAsia="Calibri" w:cs="Tahoma"/>
          <w:bCs/>
          <w:color w:val="000000"/>
          <w:szCs w:val="24"/>
          <w:lang w:eastAsia="en-US"/>
        </w:rPr>
        <w:t xml:space="preserve">, ya que, sin este, no se pueden realizar dichas acciones, </w:t>
      </w:r>
      <w:r w:rsidRPr="008817CD">
        <w:rPr>
          <w:rFonts w:eastAsia="Calibri" w:cs="Tahoma"/>
          <w:b/>
          <w:bCs/>
          <w:color w:val="000000"/>
          <w:szCs w:val="24"/>
          <w:lang w:eastAsia="en-US"/>
        </w:rPr>
        <w:t>por lo que su entrega es un elemento adicional que respalda la legalidad de los procesos adquisitivos.</w:t>
      </w:r>
    </w:p>
    <w:p w14:paraId="2D536749" w14:textId="77777777" w:rsidR="00967611" w:rsidRPr="008817CD" w:rsidRDefault="00967611" w:rsidP="00621403">
      <w:pPr>
        <w:widowControl w:val="0"/>
        <w:tabs>
          <w:tab w:val="center" w:pos="4522"/>
        </w:tabs>
        <w:spacing w:after="0" w:line="360" w:lineRule="auto"/>
        <w:rPr>
          <w:rFonts w:eastAsia="Calibri" w:cs="Tahoma"/>
          <w:b/>
          <w:bCs/>
          <w:color w:val="000000"/>
          <w:szCs w:val="24"/>
          <w:lang w:eastAsia="en-US"/>
        </w:rPr>
      </w:pPr>
    </w:p>
    <w:p w14:paraId="73AE3894"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En ese contexto, entregar el Registro Federal de Contribuyentes aún de personas físicas cuando son proveedores de instituciones públicas, </w:t>
      </w:r>
      <w:r w:rsidRPr="008817CD">
        <w:rPr>
          <w:rFonts w:eastAsia="Calibri" w:cs="Tahoma"/>
          <w:b/>
          <w:bCs/>
          <w:color w:val="000000"/>
          <w:szCs w:val="24"/>
          <w:lang w:eastAsia="en-US"/>
        </w:rPr>
        <w:t>propiciaría la rendición de cuentas</w:t>
      </w:r>
      <w:r w:rsidRPr="008817CD">
        <w:rPr>
          <w:rFonts w:eastAsia="Calibri" w:cs="Tahoma"/>
          <w:bCs/>
          <w:color w:val="000000"/>
          <w:szCs w:val="24"/>
          <w:lang w:eastAsia="en-US"/>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7DBD7687"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6879277B" w14:textId="4261EFA9"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Lo anterior, se robustece con el </w:t>
      </w:r>
      <w:r w:rsidRPr="008817CD">
        <w:rPr>
          <w:rFonts w:eastAsia="Calibri" w:cs="Tahoma"/>
          <w:bCs/>
          <w:color w:val="000000"/>
          <w:szCs w:val="24"/>
          <w:lang w:val="es-ES" w:eastAsia="en-US"/>
        </w:rPr>
        <w:t xml:space="preserve">Criterio </w:t>
      </w:r>
      <w:r w:rsidR="00621403" w:rsidRPr="008817CD">
        <w:rPr>
          <w:rFonts w:eastAsia="Calibri" w:cs="Tahoma"/>
          <w:bCs/>
          <w:color w:val="000000"/>
          <w:szCs w:val="24"/>
          <w:lang w:val="es-ES" w:eastAsia="en-US"/>
        </w:rPr>
        <w:t>Orientador</w:t>
      </w:r>
      <w:r w:rsidRPr="008817CD">
        <w:rPr>
          <w:rFonts w:eastAsia="Calibri" w:cs="Tahoma"/>
          <w:bCs/>
          <w:color w:val="000000"/>
          <w:szCs w:val="24"/>
          <w:lang w:val="es-ES" w:eastAsia="en-US"/>
        </w:rPr>
        <w:t xml:space="preserve">, de la Segunda Época, con número de registro </w:t>
      </w:r>
      <w:r w:rsidRPr="008817CD">
        <w:rPr>
          <w:rFonts w:eastAsia="Calibri" w:cs="Tahoma"/>
          <w:bCs/>
          <w:color w:val="000000"/>
          <w:szCs w:val="24"/>
          <w:lang w:eastAsia="en-US"/>
        </w:rPr>
        <w:t>SO/004/2021, emitido por el</w:t>
      </w:r>
      <w:r w:rsidR="00621403" w:rsidRPr="008817CD">
        <w:rPr>
          <w:rFonts w:eastAsia="Calibri" w:cs="Tahoma"/>
          <w:bCs/>
          <w:color w:val="000000"/>
          <w:szCs w:val="24"/>
          <w:lang w:eastAsia="en-US"/>
        </w:rPr>
        <w:t xml:space="preserve"> entones</w:t>
      </w:r>
      <w:r w:rsidRPr="008817CD">
        <w:rPr>
          <w:rFonts w:eastAsia="Calibri" w:cs="Tahoma"/>
          <w:bCs/>
          <w:color w:val="000000"/>
          <w:szCs w:val="24"/>
          <w:lang w:eastAsia="en-US"/>
        </w:rPr>
        <w:t xml:space="preserve"> Instituto Nacional de Transparencia, Acceso a la Información y Protección de Datos Personales</w:t>
      </w:r>
      <w:r w:rsidR="00621403" w:rsidRPr="008817CD">
        <w:rPr>
          <w:rFonts w:eastAsia="Calibri" w:cs="Tahoma"/>
          <w:bCs/>
          <w:color w:val="000000"/>
          <w:szCs w:val="24"/>
          <w:lang w:eastAsia="en-US"/>
        </w:rPr>
        <w:t>, vigente a la fecha de la solicitud</w:t>
      </w:r>
      <w:r w:rsidRPr="008817CD">
        <w:rPr>
          <w:rFonts w:eastAsia="Calibri" w:cs="Tahoma"/>
          <w:bCs/>
          <w:color w:val="000000"/>
          <w:szCs w:val="24"/>
          <w:lang w:eastAsia="en-US"/>
        </w:rPr>
        <w:t>, en el cual se señala lo siguiente:</w:t>
      </w:r>
    </w:p>
    <w:p w14:paraId="0AEC7F11"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2DD35970" w14:textId="77777777" w:rsidR="00967611" w:rsidRPr="008817CD" w:rsidRDefault="00967611" w:rsidP="00621403">
      <w:pPr>
        <w:widowControl w:val="0"/>
        <w:tabs>
          <w:tab w:val="center" w:pos="4522"/>
        </w:tabs>
        <w:spacing w:after="0" w:line="360" w:lineRule="auto"/>
        <w:ind w:left="567" w:right="567"/>
        <w:rPr>
          <w:rFonts w:eastAsia="Calibri" w:cs="Tahoma"/>
          <w:bCs/>
          <w:i/>
          <w:color w:val="000000"/>
          <w:sz w:val="20"/>
          <w:lang w:eastAsia="en-US"/>
        </w:rPr>
      </w:pPr>
      <w:r w:rsidRPr="008817CD">
        <w:rPr>
          <w:rFonts w:eastAsia="Calibri" w:cs="Tahoma"/>
          <w:b/>
          <w:i/>
          <w:color w:val="000000"/>
          <w:sz w:val="20"/>
          <w:lang w:eastAsia="en-US"/>
        </w:rPr>
        <w:t xml:space="preserve">“Registro Federal de Contribuyentes (RFC) de personas físicas proveedores o contratistas. </w:t>
      </w:r>
      <w:r w:rsidRPr="008817CD">
        <w:rPr>
          <w:rFonts w:eastAsia="Calibri" w:cs="Tahoma"/>
          <w:bCs/>
          <w:i/>
          <w:color w:val="000000"/>
          <w:sz w:val="20"/>
          <w:lang w:eastAsia="en-US"/>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01AE240"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42666C72" w14:textId="77777777" w:rsidR="00967611" w:rsidRPr="008817CD" w:rsidRDefault="00967611" w:rsidP="00621403">
      <w:pPr>
        <w:widowControl w:val="0"/>
        <w:tabs>
          <w:tab w:val="center" w:pos="4522"/>
        </w:tabs>
        <w:spacing w:after="0" w:line="360" w:lineRule="auto"/>
        <w:rPr>
          <w:rFonts w:eastAsia="Calibri" w:cs="Tahoma"/>
          <w:b/>
          <w:color w:val="000000"/>
          <w:szCs w:val="24"/>
          <w:u w:val="single"/>
          <w:lang w:eastAsia="en-US"/>
        </w:rPr>
      </w:pPr>
      <w:r w:rsidRPr="008817CD">
        <w:rPr>
          <w:rFonts w:eastAsia="Calibri" w:cs="Tahoma"/>
          <w:bCs/>
          <w:color w:val="000000"/>
          <w:szCs w:val="24"/>
          <w:lang w:eastAsia="en-US"/>
        </w:rPr>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6E5B17EB" w14:textId="77777777" w:rsidR="00967611" w:rsidRPr="008817CD" w:rsidRDefault="00967611" w:rsidP="00621403">
      <w:pPr>
        <w:widowControl w:val="0"/>
        <w:tabs>
          <w:tab w:val="center" w:pos="4522"/>
        </w:tabs>
        <w:spacing w:after="0" w:line="360" w:lineRule="auto"/>
        <w:rPr>
          <w:rFonts w:eastAsia="Calibri" w:cs="Tahoma"/>
          <w:b/>
          <w:color w:val="000000"/>
          <w:szCs w:val="24"/>
          <w:lang w:val="es-ES_tradnl" w:eastAsia="en-US"/>
        </w:rPr>
      </w:pPr>
    </w:p>
    <w:p w14:paraId="37B18FA7" w14:textId="77777777" w:rsidR="00967611" w:rsidRPr="008817CD" w:rsidRDefault="00967611" w:rsidP="00621403">
      <w:pPr>
        <w:widowControl w:val="0"/>
        <w:tabs>
          <w:tab w:val="center" w:pos="4522"/>
        </w:tabs>
        <w:spacing w:after="0" w:line="360" w:lineRule="auto"/>
        <w:rPr>
          <w:rFonts w:eastAsia="Calibri" w:cs="Tahoma"/>
          <w:b/>
          <w:color w:val="000000"/>
          <w:szCs w:val="24"/>
          <w:lang w:eastAsia="en-US"/>
        </w:rPr>
      </w:pPr>
      <w:r w:rsidRPr="008817CD">
        <w:rPr>
          <w:rFonts w:eastAsia="Calibri" w:cs="Tahoma"/>
          <w:b/>
          <w:color w:val="000000"/>
          <w:szCs w:val="24"/>
          <w:lang w:eastAsia="en-US"/>
        </w:rPr>
        <w:t>Persona Moral</w:t>
      </w:r>
    </w:p>
    <w:p w14:paraId="31E0C81E"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176A078F"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59B0B890"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lastRenderedPageBreak/>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6BA54E51"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3FBA69BE"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Por ende, la información correspondiente al Registro Federal de Contribuyentes de una persona moral da cuenta del cumplimiento o no en sus obligaciones fiscales; por tanto, no se actualiza su clasificación como confidencial.</w:t>
      </w:r>
    </w:p>
    <w:p w14:paraId="6D7782A6"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1CDC1856" w14:textId="6C80433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Además, resulta aplicable por analogía el </w:t>
      </w:r>
      <w:r w:rsidRPr="008817CD">
        <w:rPr>
          <w:rFonts w:eastAsia="Calibri" w:cs="Tahoma"/>
          <w:bCs/>
          <w:color w:val="000000"/>
          <w:szCs w:val="24"/>
          <w:lang w:val="es-ES" w:eastAsia="en-US"/>
        </w:rPr>
        <w:t xml:space="preserve">Criterio </w:t>
      </w:r>
      <w:r w:rsidR="00621403" w:rsidRPr="008817CD">
        <w:rPr>
          <w:rFonts w:eastAsia="Calibri" w:cs="Tahoma"/>
          <w:bCs/>
          <w:color w:val="000000"/>
          <w:szCs w:val="24"/>
          <w:lang w:val="es-ES" w:eastAsia="en-US"/>
        </w:rPr>
        <w:t>Orientador</w:t>
      </w:r>
      <w:r w:rsidRPr="008817CD">
        <w:rPr>
          <w:rFonts w:eastAsia="Calibri" w:cs="Tahoma"/>
          <w:bCs/>
          <w:color w:val="000000"/>
          <w:szCs w:val="24"/>
          <w:lang w:val="es-ES" w:eastAsia="en-US"/>
        </w:rPr>
        <w:t xml:space="preserve">, de la Segunda Época, con número de registro </w:t>
      </w:r>
      <w:r w:rsidRPr="008817CD">
        <w:rPr>
          <w:rFonts w:eastAsia="Calibri" w:cs="Tahoma"/>
          <w:bCs/>
          <w:color w:val="000000"/>
          <w:szCs w:val="24"/>
          <w:lang w:eastAsia="en-US"/>
        </w:rPr>
        <w:t>SO/008/2019, emitido por el</w:t>
      </w:r>
      <w:r w:rsidR="00621403" w:rsidRPr="008817CD">
        <w:rPr>
          <w:rFonts w:eastAsia="Calibri" w:cs="Tahoma"/>
          <w:bCs/>
          <w:color w:val="000000"/>
          <w:szCs w:val="24"/>
          <w:lang w:eastAsia="en-US"/>
        </w:rPr>
        <w:t xml:space="preserve"> entonces</w:t>
      </w:r>
      <w:r w:rsidRPr="008817CD">
        <w:rPr>
          <w:rFonts w:eastAsia="Calibri" w:cs="Tahoma"/>
          <w:bCs/>
          <w:color w:val="000000"/>
          <w:szCs w:val="24"/>
          <w:lang w:eastAsia="en-US"/>
        </w:rPr>
        <w:t xml:space="preserve"> Instituto Nacional de Transparencia, Acceso a la Información y Protección de Datos Personales</w:t>
      </w:r>
      <w:r w:rsidR="00621403" w:rsidRPr="008817CD">
        <w:rPr>
          <w:rFonts w:eastAsia="Calibri" w:cs="Tahoma"/>
          <w:bCs/>
          <w:color w:val="000000"/>
          <w:szCs w:val="24"/>
          <w:lang w:eastAsia="en-US"/>
        </w:rPr>
        <w:t>, vigente a la fecha de la solicitud</w:t>
      </w:r>
      <w:r w:rsidRPr="008817CD">
        <w:rPr>
          <w:rFonts w:eastAsia="Calibri" w:cs="Tahoma"/>
          <w:bCs/>
          <w:color w:val="000000"/>
          <w:szCs w:val="24"/>
          <w:lang w:eastAsia="en-US"/>
        </w:rPr>
        <w:t>, que precisa que el Registro Federal de Contribuyentes de personas morales, es público, al no referir a hechos o actos de carácter económico, contable, jurídico o administrativo que sean útiles o representen una ventaja a sus competidores.</w:t>
      </w:r>
    </w:p>
    <w:p w14:paraId="429E62CD"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514117DB"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493D0E0A" w14:textId="77777777" w:rsidR="00967611" w:rsidRPr="008817CD" w:rsidRDefault="00967611" w:rsidP="00621403">
      <w:pPr>
        <w:widowControl w:val="0"/>
        <w:tabs>
          <w:tab w:val="center" w:pos="4522"/>
        </w:tabs>
        <w:spacing w:after="0" w:line="360" w:lineRule="auto"/>
        <w:rPr>
          <w:rFonts w:eastAsia="Calibri" w:cs="Tahoma"/>
          <w:b/>
          <w:color w:val="000000"/>
          <w:szCs w:val="24"/>
          <w:lang w:eastAsia="en-US"/>
        </w:rPr>
      </w:pPr>
    </w:p>
    <w:p w14:paraId="46507B89" w14:textId="77777777" w:rsidR="00967611" w:rsidRPr="008817CD" w:rsidRDefault="00967611" w:rsidP="00621403">
      <w:pPr>
        <w:numPr>
          <w:ilvl w:val="0"/>
          <w:numId w:val="24"/>
        </w:numPr>
        <w:spacing w:after="0" w:line="360" w:lineRule="auto"/>
        <w:jc w:val="left"/>
        <w:rPr>
          <w:rFonts w:eastAsia="Calibri" w:cs="Tahoma"/>
          <w:b/>
          <w:color w:val="000000"/>
          <w:szCs w:val="24"/>
          <w:lang w:eastAsia="en-US"/>
        </w:rPr>
      </w:pPr>
      <w:r w:rsidRPr="008817CD">
        <w:rPr>
          <w:rFonts w:eastAsia="Calibri" w:cs="Tahoma"/>
          <w:b/>
          <w:color w:val="000000"/>
          <w:szCs w:val="24"/>
          <w:lang w:eastAsia="en-US"/>
        </w:rPr>
        <w:lastRenderedPageBreak/>
        <w:t>Número de teléfono y correo electrónico de proveedor o contratista</w:t>
      </w:r>
    </w:p>
    <w:p w14:paraId="18A011CF" w14:textId="77777777" w:rsidR="00967611" w:rsidRPr="008817CD" w:rsidRDefault="00967611" w:rsidP="00621403">
      <w:pPr>
        <w:widowControl w:val="0"/>
        <w:tabs>
          <w:tab w:val="center" w:pos="4522"/>
        </w:tabs>
        <w:spacing w:after="0" w:line="360" w:lineRule="auto"/>
        <w:rPr>
          <w:rFonts w:eastAsia="Calibri" w:cs="Tahoma"/>
          <w:b/>
          <w:bCs/>
          <w:iCs/>
          <w:color w:val="000000"/>
          <w:szCs w:val="24"/>
          <w:lang w:val="es-ES_tradnl" w:eastAsia="en-US"/>
        </w:rPr>
      </w:pPr>
    </w:p>
    <w:p w14:paraId="4FD80046"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r w:rsidRPr="008817CD">
        <w:rPr>
          <w:rFonts w:eastAsia="Calibri" w:cs="Tahoma"/>
          <w:color w:val="000000"/>
          <w:szCs w:val="24"/>
          <w:lang w:val="es-ES_tradnl" w:eastAsia="en-US"/>
        </w:rPr>
        <w:t xml:space="preserve">El número asignado a un teléfono, permite localizar, en el presente caso, de un proveedor, ya sea a través de un dispositivo móvil o bien, en un lugar como el domicilio; mientras que </w:t>
      </w:r>
      <w:r w:rsidRPr="008817CD">
        <w:rPr>
          <w:rFonts w:eastAsia="Calibri" w:cs="Tahoma"/>
          <w:bCs/>
          <w:color w:val="000000"/>
          <w:szCs w:val="24"/>
          <w:lang w:val="es-ES_tradnl" w:eastAsia="en-US"/>
        </w:rPr>
        <w:t>correo electrónico es un sistema de transmisión de mensajes por computadora a través de redes informáticas. Dicho dato se puede asimilar al teléfono o domicilio, toda vez que es un medio para comunicarse con un proveedor, en el presente caso.</w:t>
      </w:r>
    </w:p>
    <w:p w14:paraId="2C8F619C"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p>
    <w:p w14:paraId="13A071E5"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r w:rsidRPr="008817CD">
        <w:rPr>
          <w:rFonts w:eastAsia="Calibri" w:cs="Tahoma"/>
          <w:bCs/>
          <w:color w:val="000000"/>
          <w:szCs w:val="24"/>
          <w:lang w:val="es-ES_tradnl" w:eastAsia="en-US"/>
        </w:rPr>
        <w:t xml:space="preserve">Como se refirió, en el presente caso, los datos en comento, se tratan de los medios de contacto de los proveedores que tiene la </w:t>
      </w:r>
      <w:r w:rsidRPr="008817CD">
        <w:rPr>
          <w:rFonts w:eastAsia="Calibri" w:cs="Tahoma"/>
          <w:color w:val="000000"/>
          <w:szCs w:val="24"/>
          <w:lang w:eastAsia="en-US"/>
        </w:rPr>
        <w:t>Secretaría de Cultura y Turismo</w:t>
      </w:r>
      <w:r w:rsidRPr="008817CD">
        <w:rPr>
          <w:rFonts w:eastAsia="Calibri" w:cs="Tahoma"/>
          <w:bCs/>
          <w:color w:val="000000"/>
          <w:szCs w:val="24"/>
          <w:lang w:val="es-ES_tradnl" w:eastAsia="en-US"/>
        </w:rPr>
        <w:t>, los cuales, si bien hacen identificable a una persona, en el presente caso, se trata de una persona proveedora que recibe recursos públicos, derivado de los contratos celebrados con la Dependencia y, por lo tanto, dichos datos guardan la naturaleza de públicos.</w:t>
      </w:r>
    </w:p>
    <w:p w14:paraId="0D3E17F7"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p>
    <w:p w14:paraId="222A13EF" w14:textId="1098A0A5"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r w:rsidRPr="008817CD">
        <w:rPr>
          <w:rFonts w:eastAsia="Calibri" w:cs="Tahoma"/>
          <w:bCs/>
          <w:color w:val="000000"/>
          <w:szCs w:val="24"/>
          <w:lang w:val="es-ES_tradnl" w:eastAsia="en-US"/>
        </w:rPr>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965AE7" w:rsidRPr="008817CD">
        <w:rPr>
          <w:rFonts w:eastAsia="Calibri" w:cs="Tahoma"/>
          <w:bCs/>
          <w:color w:val="000000"/>
          <w:szCs w:val="24"/>
          <w:lang w:val="es-ES_tradnl" w:eastAsia="en-US"/>
        </w:rPr>
        <w:t>, vigentes a la fecha de la solicitud</w:t>
      </w:r>
      <w:r w:rsidRPr="008817CD">
        <w:rPr>
          <w:rFonts w:eastAsia="Calibri" w:cs="Tahoma"/>
          <w:bCs/>
          <w:color w:val="000000"/>
          <w:szCs w:val="24"/>
          <w:lang w:val="es-ES_tradnl" w:eastAsia="en-US"/>
        </w:rPr>
        <w:t>, tal como se muestran a continuación:</w:t>
      </w:r>
    </w:p>
    <w:p w14:paraId="434B69F4" w14:textId="77777777" w:rsidR="00967611" w:rsidRPr="008817CD" w:rsidRDefault="00967611" w:rsidP="00621403">
      <w:pPr>
        <w:widowControl w:val="0"/>
        <w:tabs>
          <w:tab w:val="center" w:pos="4522"/>
        </w:tabs>
        <w:spacing w:after="0" w:line="360" w:lineRule="auto"/>
        <w:rPr>
          <w:rFonts w:eastAsia="Calibri" w:cs="Tahoma"/>
          <w:b/>
          <w:bCs/>
          <w:iCs/>
          <w:color w:val="000000"/>
          <w:szCs w:val="24"/>
          <w:lang w:val="es-ES" w:eastAsia="en-US"/>
        </w:rPr>
      </w:pPr>
    </w:p>
    <w:p w14:paraId="3F2C7CF9"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noProof/>
          <w:color w:val="000000"/>
          <w:szCs w:val="24"/>
        </w:rPr>
        <w:drawing>
          <wp:inline distT="0" distB="0" distL="0" distR="0" wp14:anchorId="20E15CE6" wp14:editId="00B5B767">
            <wp:extent cx="5667375" cy="1457325"/>
            <wp:effectExtent l="0" t="0" r="9525" b="9525"/>
            <wp:docPr id="7"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1457325"/>
                    </a:xfrm>
                    <a:prstGeom prst="rect">
                      <a:avLst/>
                    </a:prstGeom>
                    <a:noFill/>
                    <a:ln>
                      <a:noFill/>
                    </a:ln>
                  </pic:spPr>
                </pic:pic>
              </a:graphicData>
            </a:graphic>
          </wp:inline>
        </w:drawing>
      </w:r>
    </w:p>
    <w:p w14:paraId="28C3334D"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6393D874" w14:textId="31BB6A65"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lastRenderedPageBreak/>
        <w:t>Como se logra observar, el correo electrónico y teléfono de los proveedores</w:t>
      </w:r>
      <w:r w:rsidR="00965AE7" w:rsidRPr="008817CD">
        <w:rPr>
          <w:rFonts w:eastAsia="Calibri" w:cs="Tahoma"/>
          <w:color w:val="000000"/>
          <w:szCs w:val="24"/>
          <w:lang w:eastAsia="en-US"/>
        </w:rPr>
        <w:t xml:space="preserve"> o contratistas</w:t>
      </w:r>
      <w:r w:rsidRPr="008817CD">
        <w:rPr>
          <w:rFonts w:eastAsia="Calibri" w:cs="Tahoma"/>
          <w:color w:val="000000"/>
          <w:szCs w:val="24"/>
          <w:lang w:eastAsia="en-US"/>
        </w:rPr>
        <w:t xml:space="preserve">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39E3BEEB"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712022F9" w14:textId="77777777" w:rsidR="00967611" w:rsidRPr="008817CD" w:rsidRDefault="00967611" w:rsidP="00965AE7">
      <w:pPr>
        <w:numPr>
          <w:ilvl w:val="0"/>
          <w:numId w:val="24"/>
        </w:numPr>
        <w:spacing w:after="0" w:line="360" w:lineRule="auto"/>
        <w:rPr>
          <w:rFonts w:eastAsia="Calibri" w:cs="Tahoma"/>
          <w:b/>
          <w:color w:val="000000"/>
          <w:szCs w:val="24"/>
          <w:lang w:eastAsia="en-US"/>
        </w:rPr>
      </w:pPr>
      <w:r w:rsidRPr="008817CD">
        <w:rPr>
          <w:rFonts w:eastAsia="Calibri" w:cs="Tahoma"/>
          <w:b/>
          <w:color w:val="000000"/>
          <w:szCs w:val="24"/>
          <w:lang w:eastAsia="en-US"/>
        </w:rPr>
        <w:t>Domicilio Fiscal o legal para recibir y oír notificaciones (proveedor o contratista persona física o moral).</w:t>
      </w:r>
    </w:p>
    <w:p w14:paraId="78EA8FFB"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59A2952E"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4D41EF6F"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758B5A79"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De la misma manera, lo establece los diversos 29 y 33 del Código Civil Federal, al precisar que el domicilio de personas físicas</w:t>
      </w:r>
      <w:r w:rsidRPr="008817CD">
        <w:rPr>
          <w:rFonts w:eastAsia="Calibri" w:cs="Tahoma"/>
          <w:b/>
          <w:color w:val="000000"/>
          <w:szCs w:val="24"/>
          <w:lang w:val="es-ES" w:eastAsia="en-US"/>
        </w:rPr>
        <w:t xml:space="preserve">, es el lugar donde residen habitualmente, el lugar del centro principal de sus negocios, donde residan o el lugar donde se encuentren; </w:t>
      </w:r>
      <w:r w:rsidRPr="008817CD">
        <w:rPr>
          <w:rFonts w:eastAsia="Calibri" w:cs="Tahoma"/>
          <w:color w:val="000000"/>
          <w:szCs w:val="24"/>
          <w:lang w:val="es-ES" w:eastAsia="en-US"/>
        </w:rPr>
        <w:t>mientras que, de las personas morales, aquel donde se halle su administración.</w:t>
      </w:r>
    </w:p>
    <w:p w14:paraId="7E1ADC66" w14:textId="77777777" w:rsidR="00967611" w:rsidRPr="008817CD" w:rsidRDefault="00967611" w:rsidP="00621403">
      <w:pPr>
        <w:widowControl w:val="0"/>
        <w:tabs>
          <w:tab w:val="center" w:pos="4522"/>
        </w:tabs>
        <w:spacing w:after="0" w:line="360" w:lineRule="auto"/>
        <w:rPr>
          <w:rFonts w:eastAsia="Calibri" w:cs="Tahoma"/>
          <w:b/>
          <w:bCs/>
          <w:iCs/>
          <w:color w:val="000000"/>
          <w:szCs w:val="24"/>
          <w:lang w:val="es-ES" w:eastAsia="en-US"/>
        </w:rPr>
      </w:pPr>
    </w:p>
    <w:p w14:paraId="67862C6A"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Además, respecto al domicilio fiscal, resulta necesario traer el artículo 10 del Código Fiscal de la Federación, que establece que, tratándose de personas físicas, corresponderá dicho dato:</w:t>
      </w:r>
    </w:p>
    <w:p w14:paraId="2162C5FC"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65522877" w14:textId="77777777" w:rsidR="00967611" w:rsidRPr="008817CD" w:rsidRDefault="00967611" w:rsidP="00621403">
      <w:pPr>
        <w:widowControl w:val="0"/>
        <w:numPr>
          <w:ilvl w:val="0"/>
          <w:numId w:val="25"/>
        </w:numPr>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El lugar donde realizan actividades empresariales, el local, en que se encuentre el principal asiente de sus negocios, y</w:t>
      </w:r>
    </w:p>
    <w:p w14:paraId="1BE747DB"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12BC623F" w14:textId="77777777" w:rsidR="00967611" w:rsidRPr="008817CD" w:rsidRDefault="00967611" w:rsidP="00621403">
      <w:pPr>
        <w:widowControl w:val="0"/>
        <w:numPr>
          <w:ilvl w:val="0"/>
          <w:numId w:val="25"/>
        </w:numPr>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La casa habitación, cuando no cuenta con un local o lugar donde realice las acciones previamente señaladas.</w:t>
      </w:r>
    </w:p>
    <w:p w14:paraId="6011BB83"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23538C60"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573CF50C"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5891B3B6"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68A82B99" w14:textId="77777777" w:rsidR="00967611" w:rsidRPr="008817CD" w:rsidRDefault="00967611" w:rsidP="00621403">
      <w:pPr>
        <w:widowControl w:val="0"/>
        <w:tabs>
          <w:tab w:val="center" w:pos="4522"/>
        </w:tabs>
        <w:spacing w:after="0" w:line="360" w:lineRule="auto"/>
        <w:rPr>
          <w:rFonts w:eastAsia="Calibri" w:cs="Tahoma"/>
          <w:bCs/>
          <w:iCs/>
          <w:color w:val="000000"/>
          <w:szCs w:val="24"/>
          <w:lang w:val="es-ES" w:eastAsia="en-US"/>
        </w:rPr>
      </w:pPr>
    </w:p>
    <w:p w14:paraId="169D8EA9" w14:textId="77777777" w:rsidR="00967611" w:rsidRPr="008817CD" w:rsidRDefault="00967611" w:rsidP="00621403">
      <w:pPr>
        <w:widowControl w:val="0"/>
        <w:tabs>
          <w:tab w:val="center" w:pos="4522"/>
        </w:tabs>
        <w:spacing w:after="0" w:line="360" w:lineRule="auto"/>
        <w:rPr>
          <w:rFonts w:eastAsia="Calibri" w:cs="Tahoma"/>
          <w:bCs/>
          <w:color w:val="000000"/>
          <w:szCs w:val="24"/>
          <w:lang w:val="es-ES_tradnl" w:eastAsia="en-US"/>
        </w:rPr>
      </w:pPr>
      <w:r w:rsidRPr="008817CD">
        <w:rPr>
          <w:rFonts w:eastAsia="Calibri" w:cs="Tahoma"/>
          <w:bCs/>
          <w:iCs/>
          <w:color w:val="000000"/>
          <w:szCs w:val="24"/>
          <w:lang w:val="es-ES" w:eastAsia="en-US"/>
        </w:rPr>
        <w:t xml:space="preserve">Ahora bien, en el caso de que el domicilio corresponda al lugar donde realiza sus actividades empresariales, como es el caso de las personas morales, se considera necesario traer a colación, </w:t>
      </w:r>
      <w:r w:rsidRPr="008817CD">
        <w:rPr>
          <w:rFonts w:eastAsia="Calibri" w:cs="Tahoma"/>
          <w:bCs/>
          <w:color w:val="000000"/>
          <w:szCs w:val="24"/>
          <w:lang w:eastAsia="en-US"/>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3576A976"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244FD2F5" w14:textId="77777777" w:rsidR="00967611" w:rsidRPr="008817CD" w:rsidRDefault="00967611" w:rsidP="00965AE7">
      <w:pPr>
        <w:widowControl w:val="0"/>
        <w:tabs>
          <w:tab w:val="center" w:pos="4522"/>
        </w:tabs>
        <w:spacing w:after="0" w:line="360" w:lineRule="auto"/>
        <w:jc w:val="center"/>
        <w:rPr>
          <w:rFonts w:eastAsia="Calibri" w:cs="Tahoma"/>
          <w:color w:val="000000"/>
          <w:szCs w:val="24"/>
          <w:lang w:eastAsia="en-US"/>
        </w:rPr>
      </w:pPr>
      <w:r w:rsidRPr="008817CD">
        <w:rPr>
          <w:rFonts w:eastAsia="Calibri" w:cs="Tahoma"/>
          <w:noProof/>
          <w:color w:val="000000"/>
          <w:szCs w:val="24"/>
        </w:rPr>
        <w:drawing>
          <wp:inline distT="0" distB="0" distL="0" distR="0" wp14:anchorId="5649A7B5" wp14:editId="62B3BAEC">
            <wp:extent cx="4676775" cy="628650"/>
            <wp:effectExtent l="0" t="0" r="9525" b="0"/>
            <wp:docPr id="8"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b="18367"/>
                    <a:stretch>
                      <a:fillRect/>
                    </a:stretch>
                  </pic:blipFill>
                  <pic:spPr bwMode="auto">
                    <a:xfrm>
                      <a:off x="0" y="0"/>
                      <a:ext cx="4676775" cy="628650"/>
                    </a:xfrm>
                    <a:prstGeom prst="rect">
                      <a:avLst/>
                    </a:prstGeom>
                    <a:noFill/>
                    <a:ln>
                      <a:noFill/>
                    </a:ln>
                  </pic:spPr>
                </pic:pic>
              </a:graphicData>
            </a:graphic>
          </wp:inline>
        </w:drawing>
      </w:r>
    </w:p>
    <w:p w14:paraId="255CD899" w14:textId="77777777" w:rsidR="00967611" w:rsidRPr="008817CD" w:rsidRDefault="00967611" w:rsidP="00965AE7">
      <w:pPr>
        <w:widowControl w:val="0"/>
        <w:tabs>
          <w:tab w:val="center" w:pos="4522"/>
        </w:tabs>
        <w:spacing w:after="0" w:line="360" w:lineRule="auto"/>
        <w:jc w:val="center"/>
        <w:rPr>
          <w:rFonts w:eastAsia="Calibri" w:cs="Tahoma"/>
          <w:color w:val="000000"/>
          <w:szCs w:val="24"/>
          <w:lang w:eastAsia="en-US"/>
        </w:rPr>
      </w:pPr>
      <w:r w:rsidRPr="008817CD">
        <w:rPr>
          <w:rFonts w:eastAsia="Calibri" w:cs="Times New Roman"/>
          <w:noProof/>
        </w:rPr>
        <w:lastRenderedPageBreak/>
        <mc:AlternateContent>
          <mc:Choice Requires="wps">
            <w:drawing>
              <wp:anchor distT="0" distB="0" distL="114300" distR="114300" simplePos="0" relativeHeight="251659264" behindDoc="0" locked="0" layoutInCell="1" allowOverlap="1" wp14:anchorId="2416D1D1" wp14:editId="57A05C85">
                <wp:simplePos x="0" y="0"/>
                <wp:positionH relativeFrom="margin">
                  <wp:align>center</wp:align>
                </wp:positionH>
                <wp:positionV relativeFrom="paragraph">
                  <wp:posOffset>1493713</wp:posOffset>
                </wp:positionV>
                <wp:extent cx="4619625" cy="1209675"/>
                <wp:effectExtent l="19050" t="19050" r="28575" b="28575"/>
                <wp:wrapNone/>
                <wp:docPr id="1174983779" name="Rectángulo 12"/>
                <wp:cNvGraphicFramePr/>
                <a:graphic xmlns:a="http://schemas.openxmlformats.org/drawingml/2006/main">
                  <a:graphicData uri="http://schemas.microsoft.com/office/word/2010/wordprocessingShape">
                    <wps:wsp>
                      <wps:cNvSpPr/>
                      <wps:spPr>
                        <a:xfrm>
                          <a:off x="0" y="0"/>
                          <a:ext cx="4619625" cy="1209675"/>
                        </a:xfrm>
                        <a:prstGeom prst="rect">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9689E4" id="Rectángulo 12" o:spid="_x0000_s1026" style="position:absolute;margin-left:0;margin-top:117.6pt;width:363.75pt;height:9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" filled="f" strokecolor="windowText" strokeweight="3pt">
                <w10:wrap anchorx="margin"/>
              </v:rect>
            </w:pict>
          </mc:Fallback>
        </mc:AlternateContent>
      </w:r>
      <w:r w:rsidRPr="008817CD">
        <w:rPr>
          <w:rFonts w:eastAsia="Calibri" w:cs="Tahoma"/>
          <w:noProof/>
          <w:color w:val="000000"/>
          <w:szCs w:val="24"/>
        </w:rPr>
        <w:drawing>
          <wp:inline distT="0" distB="0" distL="0" distR="0" wp14:anchorId="2478D844" wp14:editId="4B0D79C6">
            <wp:extent cx="4695825" cy="2809875"/>
            <wp:effectExtent l="0" t="0" r="9525" b="9525"/>
            <wp:docPr id="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809875"/>
                    </a:xfrm>
                    <a:prstGeom prst="rect">
                      <a:avLst/>
                    </a:prstGeom>
                    <a:noFill/>
                    <a:ln>
                      <a:noFill/>
                    </a:ln>
                  </pic:spPr>
                </pic:pic>
              </a:graphicData>
            </a:graphic>
          </wp:inline>
        </w:drawing>
      </w:r>
    </w:p>
    <w:p w14:paraId="75EE2604"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4C356FBF"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Como se logra observar, es obligación de transparencia proporcionar el domicilio fiscal de los proveedores, por lo que, se considera que, en el caso, de que dicho dato, corresponda a un local o lugar donde realice sus actividades empresariales, se debe entregar.</w:t>
      </w:r>
    </w:p>
    <w:p w14:paraId="390CDBD0" w14:textId="77777777" w:rsidR="00967611" w:rsidRPr="008817CD" w:rsidRDefault="00967611" w:rsidP="00621403">
      <w:pPr>
        <w:widowControl w:val="0"/>
        <w:tabs>
          <w:tab w:val="center" w:pos="4522"/>
        </w:tabs>
        <w:spacing w:after="0" w:line="360" w:lineRule="auto"/>
        <w:rPr>
          <w:rFonts w:eastAsia="Calibri" w:cs="Tahoma"/>
          <w:bCs/>
          <w:iCs/>
          <w:color w:val="000000"/>
          <w:szCs w:val="24"/>
          <w:lang w:val="es-ES" w:eastAsia="en-US"/>
        </w:rPr>
      </w:pPr>
    </w:p>
    <w:p w14:paraId="3D5983D8" w14:textId="6A951570"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 xml:space="preserve">De tal suerte que, tratándose de proveedores </w:t>
      </w:r>
      <w:r w:rsidR="00965AE7" w:rsidRPr="008817CD">
        <w:rPr>
          <w:rFonts w:eastAsia="Calibri" w:cs="Tahoma"/>
          <w:color w:val="000000"/>
          <w:szCs w:val="24"/>
          <w:lang w:eastAsia="en-US"/>
        </w:rPr>
        <w:t xml:space="preserve"> o contratistas </w:t>
      </w:r>
      <w:r w:rsidRPr="008817CD">
        <w:rPr>
          <w:rFonts w:eastAsia="Calibri" w:cs="Tahoma"/>
          <w:color w:val="000000"/>
          <w:szCs w:val="24"/>
          <w:lang w:eastAsia="en-US"/>
        </w:rPr>
        <w:t>(personas físicas o jurídico-colectivas), el domicilio fiscal, no actualiza la causal de clasificación, establecida en el artículo 143, fracción I de la Ley de Transparencia y Acceso a la Información Pública del Estado de México y Municipios.</w:t>
      </w:r>
    </w:p>
    <w:p w14:paraId="2E23C1AC"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2CC9B2E9" w14:textId="77777777" w:rsidR="00967611" w:rsidRPr="008817CD" w:rsidRDefault="00967611" w:rsidP="00621403">
      <w:pPr>
        <w:widowControl w:val="0"/>
        <w:numPr>
          <w:ilvl w:val="0"/>
          <w:numId w:val="26"/>
        </w:numPr>
        <w:tabs>
          <w:tab w:val="center" w:pos="4522"/>
        </w:tabs>
        <w:spacing w:after="0" w:line="360" w:lineRule="auto"/>
        <w:rPr>
          <w:rFonts w:eastAsia="Calibri" w:cs="Tahoma"/>
          <w:color w:val="000000"/>
          <w:szCs w:val="24"/>
          <w:lang w:val="es-ES_tradnl" w:eastAsia="en-US"/>
        </w:rPr>
      </w:pPr>
      <w:r w:rsidRPr="008817CD">
        <w:rPr>
          <w:rFonts w:eastAsia="Calibri" w:cs="Tahoma"/>
          <w:b/>
          <w:color w:val="000000"/>
          <w:szCs w:val="24"/>
          <w:lang w:val="es-ES" w:eastAsia="en-US"/>
        </w:rPr>
        <w:t>Firma del proveedor, contratista o representante legal</w:t>
      </w:r>
    </w:p>
    <w:p w14:paraId="50E15CCD" w14:textId="77777777" w:rsidR="00967611" w:rsidRPr="008817CD" w:rsidRDefault="00967611" w:rsidP="00621403">
      <w:pPr>
        <w:widowControl w:val="0"/>
        <w:tabs>
          <w:tab w:val="center" w:pos="4522"/>
        </w:tabs>
        <w:spacing w:after="0" w:line="360" w:lineRule="auto"/>
        <w:rPr>
          <w:rFonts w:eastAsia="Calibri" w:cs="Tahoma"/>
          <w:color w:val="000000"/>
          <w:szCs w:val="24"/>
          <w:lang w:val="es-ES_tradnl" w:eastAsia="en-US"/>
        </w:rPr>
      </w:pPr>
    </w:p>
    <w:p w14:paraId="70B1FB3D" w14:textId="77777777" w:rsidR="00967611" w:rsidRPr="008817CD" w:rsidRDefault="00967611" w:rsidP="00621403">
      <w:pPr>
        <w:widowControl w:val="0"/>
        <w:tabs>
          <w:tab w:val="center" w:pos="4522"/>
        </w:tabs>
        <w:spacing w:after="0" w:line="360" w:lineRule="auto"/>
        <w:rPr>
          <w:rFonts w:eastAsia="Calibri" w:cs="Tahoma"/>
          <w:color w:val="000000"/>
          <w:szCs w:val="24"/>
          <w:lang w:val="es-ES_tradnl" w:eastAsia="en-US"/>
        </w:rPr>
      </w:pPr>
      <w:r w:rsidRPr="008817CD">
        <w:rPr>
          <w:rFonts w:eastAsia="Calibri" w:cs="Tahoma"/>
          <w:bCs/>
          <w:color w:val="000000"/>
          <w:szCs w:val="24"/>
          <w:lang w:val="es-ES_tradnl" w:eastAsia="en-US"/>
        </w:rPr>
        <w:t xml:space="preserve">Al respecto, la firma es considerada un dato personal, al tratarse de información gráfica a través de la cual su titular exterioriza su voluntad en actos públicos y privados; </w:t>
      </w:r>
      <w:r w:rsidRPr="008817CD">
        <w:rPr>
          <w:rFonts w:eastAsia="Calibri" w:cs="Tahoma"/>
          <w:color w:val="000000"/>
          <w:szCs w:val="24"/>
          <w:lang w:val="es-ES" w:eastAsia="en-US"/>
        </w:rPr>
        <w:t xml:space="preserve">dicho dato  exterioriza la voluntad en un acto público y que lo realiza una persona física identificada o identificable, en su calidad de proveedor o representante legal, por lo que, expresa el consentimiento del contratista para realizar o recibir ciertas obligaciones; además, que le otorga validez al </w:t>
      </w:r>
      <w:r w:rsidRPr="008817CD">
        <w:rPr>
          <w:rFonts w:eastAsia="Calibri" w:cs="Tahoma"/>
          <w:color w:val="000000"/>
          <w:szCs w:val="24"/>
          <w:lang w:val="es-ES" w:eastAsia="en-US"/>
        </w:rPr>
        <w:lastRenderedPageBreak/>
        <w:t>instrumento jurídico, en el presente caso, la celebración de contratos para la adquisición  o arrendamiento de bienes y servicios.</w:t>
      </w:r>
    </w:p>
    <w:p w14:paraId="77003A09" w14:textId="77777777" w:rsidR="00967611" w:rsidRPr="008817CD" w:rsidRDefault="00967611" w:rsidP="00621403">
      <w:pPr>
        <w:widowControl w:val="0"/>
        <w:tabs>
          <w:tab w:val="center" w:pos="4522"/>
        </w:tabs>
        <w:spacing w:after="0" w:line="360" w:lineRule="auto"/>
        <w:rPr>
          <w:rFonts w:eastAsia="Calibri" w:cs="Tahoma"/>
          <w:color w:val="000000"/>
          <w:szCs w:val="24"/>
          <w:lang w:val="es-ES_tradnl" w:eastAsia="en-US"/>
        </w:rPr>
      </w:pPr>
    </w:p>
    <w:p w14:paraId="5EBF543E" w14:textId="56783FCF"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r w:rsidRPr="008817CD">
        <w:rPr>
          <w:rFonts w:eastAsia="Calibri" w:cs="Tahoma"/>
          <w:color w:val="000000"/>
          <w:szCs w:val="24"/>
          <w:lang w:val="es-ES" w:eastAsia="en-US"/>
        </w:rPr>
        <w:t>Conforme a lo anterior, no procede la clasificación de la firma del proveedor</w:t>
      </w:r>
      <w:r w:rsidR="00965AE7" w:rsidRPr="008817CD">
        <w:rPr>
          <w:rFonts w:eastAsia="Calibri" w:cs="Tahoma"/>
          <w:color w:val="000000"/>
          <w:szCs w:val="24"/>
          <w:lang w:val="es-ES" w:eastAsia="en-US"/>
        </w:rPr>
        <w:t>, contratista</w:t>
      </w:r>
      <w:r w:rsidRPr="008817CD">
        <w:rPr>
          <w:rFonts w:eastAsia="Calibri" w:cs="Tahoma"/>
          <w:color w:val="000000"/>
          <w:szCs w:val="24"/>
          <w:lang w:val="es-ES" w:eastAsia="en-US"/>
        </w:rPr>
        <w:t xml:space="preserve"> o representante legal</w:t>
      </w:r>
      <w:r w:rsidR="00965AE7" w:rsidRPr="008817CD">
        <w:rPr>
          <w:rFonts w:eastAsia="Calibri" w:cs="Tahoma"/>
          <w:color w:val="000000"/>
          <w:szCs w:val="24"/>
          <w:lang w:val="es-ES" w:eastAsia="en-US"/>
        </w:rPr>
        <w:t xml:space="preserve"> de estos</w:t>
      </w:r>
      <w:r w:rsidRPr="008817CD">
        <w:rPr>
          <w:rFonts w:eastAsia="Calibri" w:cs="Tahoma"/>
          <w:color w:val="000000"/>
          <w:szCs w:val="24"/>
          <w:lang w:val="es-ES" w:eastAsia="en-US"/>
        </w:rPr>
        <w:t>, localizados en los documentos que den cuenta de la información solicitada, en términos del artículo 143, fracción I de la Ley de Transparencia y Acceso a la Información Pública del Estado de México y Municipios.</w:t>
      </w:r>
    </w:p>
    <w:p w14:paraId="6D0FBACB"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0F7DE9A5" w14:textId="5E34D1FF" w:rsidR="00967611" w:rsidRPr="008817CD" w:rsidRDefault="00967611" w:rsidP="00621403">
      <w:pPr>
        <w:numPr>
          <w:ilvl w:val="0"/>
          <w:numId w:val="24"/>
        </w:numPr>
        <w:spacing w:after="0" w:line="360" w:lineRule="auto"/>
        <w:jc w:val="left"/>
        <w:rPr>
          <w:rFonts w:eastAsia="Calibri" w:cs="Tahoma"/>
          <w:b/>
          <w:color w:val="000000"/>
          <w:szCs w:val="24"/>
          <w:lang w:eastAsia="en-US"/>
        </w:rPr>
      </w:pPr>
      <w:r w:rsidRPr="008817CD">
        <w:rPr>
          <w:rFonts w:eastAsia="Calibri" w:cs="Tahoma"/>
          <w:b/>
          <w:color w:val="000000"/>
          <w:szCs w:val="24"/>
          <w:lang w:eastAsia="en-US"/>
        </w:rPr>
        <w:t xml:space="preserve">Clave de registro o elector </w:t>
      </w:r>
    </w:p>
    <w:p w14:paraId="6C7927FE"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7F003F4B"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8817CD">
        <w:rPr>
          <w:rFonts w:eastAsia="Calibri" w:cs="Tahoma"/>
          <w:color w:val="000000"/>
          <w:szCs w:val="24"/>
          <w:lang w:eastAsia="en-US"/>
        </w:rPr>
        <w:t>homoclave</w:t>
      </w:r>
      <w:proofErr w:type="spellEnd"/>
      <w:r w:rsidRPr="008817CD">
        <w:rPr>
          <w:rFonts w:eastAsia="Calibri" w:cs="Tahoma"/>
          <w:color w:val="000000"/>
          <w:szCs w:val="24"/>
          <w:lang w:eastAsia="en-US"/>
        </w:rPr>
        <w:t xml:space="preserve"> compuesta de tres dígitos, dando un total de 18 caracteres.</w:t>
      </w:r>
    </w:p>
    <w:p w14:paraId="4789228C"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72FF29E6"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r w:rsidRPr="008817CD">
        <w:rPr>
          <w:rFonts w:eastAsia="Calibri" w:cs="Tahoma"/>
          <w:color w:val="000000"/>
          <w:szCs w:val="24"/>
          <w:lang w:eastAsia="en-U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41F762FA"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4A9CE590" w14:textId="77777777" w:rsidR="00967611" w:rsidRPr="008817CD" w:rsidRDefault="00967611" w:rsidP="00621403">
      <w:pPr>
        <w:widowControl w:val="0"/>
        <w:tabs>
          <w:tab w:val="center" w:pos="4522"/>
        </w:tabs>
        <w:spacing w:after="0" w:line="360" w:lineRule="auto"/>
        <w:rPr>
          <w:rFonts w:eastAsia="Calibri" w:cs="Tahoma"/>
          <w:b/>
          <w:bCs/>
          <w:color w:val="000000"/>
          <w:szCs w:val="24"/>
          <w:lang w:eastAsia="en-US"/>
        </w:rPr>
      </w:pPr>
      <w:r w:rsidRPr="008817CD">
        <w:rPr>
          <w:rFonts w:eastAsia="Calibri" w:cs="Tahoma"/>
          <w:color w:val="000000"/>
          <w:szCs w:val="24"/>
          <w:lang w:eastAsia="en-US"/>
        </w:rPr>
        <w:t xml:space="preserve">Por lo tanto, al ser un dato que hace reconocible a una persona física, </w:t>
      </w:r>
      <w:r w:rsidRPr="008817CD">
        <w:rPr>
          <w:rFonts w:eastAsia="Calibri" w:cs="Tahoma"/>
          <w:b/>
          <w:bCs/>
          <w:color w:val="000000"/>
          <w:szCs w:val="24"/>
          <w:lang w:eastAsia="en-US"/>
        </w:rPr>
        <w:t xml:space="preserve">resulta procedente su clasificación como información confidencial en términos de lo dispuesto por el artículo 143, </w:t>
      </w:r>
      <w:r w:rsidRPr="008817CD">
        <w:rPr>
          <w:rFonts w:eastAsia="Calibri" w:cs="Tahoma"/>
          <w:b/>
          <w:bCs/>
          <w:color w:val="000000"/>
          <w:szCs w:val="24"/>
          <w:lang w:eastAsia="en-US"/>
        </w:rPr>
        <w:lastRenderedPageBreak/>
        <w:t>fracción I de la Ley de Transparencia y Acceso a la Información Pública del Estado de México y Municipios.</w:t>
      </w:r>
    </w:p>
    <w:p w14:paraId="001FAFDD" w14:textId="77777777" w:rsidR="00967611" w:rsidRPr="008817CD" w:rsidRDefault="00967611" w:rsidP="00621403">
      <w:pPr>
        <w:widowControl w:val="0"/>
        <w:tabs>
          <w:tab w:val="center" w:pos="4522"/>
        </w:tabs>
        <w:spacing w:after="0" w:line="360" w:lineRule="auto"/>
        <w:rPr>
          <w:rFonts w:eastAsia="Calibri" w:cs="Tahoma"/>
          <w:color w:val="000000"/>
          <w:szCs w:val="24"/>
          <w:lang w:eastAsia="en-US"/>
        </w:rPr>
      </w:pPr>
    </w:p>
    <w:p w14:paraId="5AAA7000" w14:textId="2F6D6E70" w:rsidR="00967611" w:rsidRPr="008817CD" w:rsidRDefault="00967611" w:rsidP="00621403">
      <w:pPr>
        <w:widowControl w:val="0"/>
        <w:numPr>
          <w:ilvl w:val="0"/>
          <w:numId w:val="27"/>
        </w:numPr>
        <w:tabs>
          <w:tab w:val="center" w:pos="4522"/>
        </w:tabs>
        <w:spacing w:after="0" w:line="360" w:lineRule="auto"/>
        <w:rPr>
          <w:rFonts w:eastAsia="Calibri" w:cs="Tahoma"/>
          <w:b/>
          <w:bCs/>
          <w:iCs/>
          <w:color w:val="000000"/>
          <w:szCs w:val="24"/>
          <w:lang w:val="es-ES" w:eastAsia="en-US"/>
        </w:rPr>
      </w:pPr>
      <w:r w:rsidRPr="008817CD">
        <w:rPr>
          <w:rFonts w:eastAsia="Calibri" w:cs="Tahoma"/>
          <w:b/>
          <w:bCs/>
          <w:iCs/>
          <w:color w:val="000000"/>
          <w:szCs w:val="24"/>
          <w:lang w:val="es-ES" w:eastAsia="en-US"/>
        </w:rPr>
        <w:t>Cuenta bancaria y clave interbancaria del proveedor</w:t>
      </w:r>
      <w:r w:rsidR="00965AE7" w:rsidRPr="008817CD">
        <w:rPr>
          <w:rFonts w:eastAsia="Calibri" w:cs="Tahoma"/>
          <w:b/>
          <w:bCs/>
          <w:iCs/>
          <w:color w:val="000000"/>
          <w:szCs w:val="24"/>
          <w:lang w:val="es-ES" w:eastAsia="en-US"/>
        </w:rPr>
        <w:t xml:space="preserve"> o contratista</w:t>
      </w:r>
    </w:p>
    <w:p w14:paraId="57978B1D"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6BC0BAF6"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Al respecto, se estima que dichos datos se relacionan con hechos y actos de carácter económico, pues los mismos darían cuenta, de la relación que tiene una institución financiero con un particular, ya sea persona física o moral; además, que con dicha información se podría obtener los recursos enviados a las órdenes de cargo, pago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5BD170FE"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w:t>
      </w:r>
    </w:p>
    <w:p w14:paraId="0CE8A368" w14:textId="3C06AA5E"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A mayor abundamiento, resulta necesario traer a colación el </w:t>
      </w:r>
      <w:r w:rsidRPr="008817CD">
        <w:rPr>
          <w:rFonts w:eastAsia="Calibri" w:cs="Tahoma"/>
          <w:bCs/>
          <w:iCs/>
          <w:color w:val="000000"/>
          <w:szCs w:val="24"/>
          <w:lang w:val="es-ES" w:eastAsia="en-US"/>
        </w:rPr>
        <w:t xml:space="preserve">Criterio </w:t>
      </w:r>
      <w:r w:rsidR="00965AE7" w:rsidRPr="008817CD">
        <w:rPr>
          <w:rFonts w:eastAsia="Calibri" w:cs="Tahoma"/>
          <w:bCs/>
          <w:iCs/>
          <w:color w:val="000000"/>
          <w:szCs w:val="24"/>
          <w:lang w:val="es-ES" w:eastAsia="en-US"/>
        </w:rPr>
        <w:t>Orientador</w:t>
      </w:r>
      <w:r w:rsidRPr="008817CD">
        <w:rPr>
          <w:rFonts w:eastAsia="Calibri" w:cs="Tahoma"/>
          <w:bCs/>
          <w:iCs/>
          <w:color w:val="000000"/>
          <w:szCs w:val="24"/>
          <w:lang w:val="es-ES" w:eastAsia="en-US"/>
        </w:rPr>
        <w:t xml:space="preserve">, de la Segunda Época, con número de registro </w:t>
      </w:r>
      <w:r w:rsidRPr="008817CD">
        <w:rPr>
          <w:rFonts w:eastAsia="Calibri" w:cs="Tahoma"/>
          <w:bCs/>
          <w:iCs/>
          <w:color w:val="000000"/>
          <w:szCs w:val="24"/>
          <w:lang w:eastAsia="en-US"/>
        </w:rPr>
        <w:t xml:space="preserve">SO/010/2017, </w:t>
      </w:r>
      <w:r w:rsidRPr="008817CD">
        <w:rPr>
          <w:rFonts w:eastAsia="Calibri" w:cs="Tahoma"/>
          <w:bCs/>
          <w:iCs/>
          <w:color w:val="000000"/>
          <w:szCs w:val="24"/>
          <w:lang w:val="es-ES" w:eastAsia="en-US"/>
        </w:rPr>
        <w:t>emitido por el</w:t>
      </w:r>
      <w:r w:rsidR="00965AE7" w:rsidRPr="008817CD">
        <w:rPr>
          <w:rFonts w:eastAsia="Calibri" w:cs="Tahoma"/>
          <w:bCs/>
          <w:iCs/>
          <w:color w:val="000000"/>
          <w:szCs w:val="24"/>
          <w:lang w:val="es-ES" w:eastAsia="en-US"/>
        </w:rPr>
        <w:t xml:space="preserve"> entones</w:t>
      </w:r>
      <w:r w:rsidRPr="008817CD">
        <w:rPr>
          <w:rFonts w:eastAsia="Calibri" w:cs="Tahoma"/>
          <w:bCs/>
          <w:iCs/>
          <w:color w:val="000000"/>
          <w:szCs w:val="24"/>
          <w:lang w:val="es-ES" w:eastAsia="en-US"/>
        </w:rPr>
        <w:t xml:space="preserve"> Instituto Nacional de Transparencia, Acceso a la Información y Protección de Datos Personales</w:t>
      </w:r>
      <w:r w:rsidR="00965AE7" w:rsidRPr="008817CD">
        <w:rPr>
          <w:rFonts w:eastAsia="Calibri" w:cs="Tahoma"/>
          <w:bCs/>
          <w:iCs/>
          <w:color w:val="000000"/>
          <w:szCs w:val="24"/>
          <w:lang w:val="es-ES" w:eastAsia="en-US"/>
        </w:rPr>
        <w:t>, vigente a la fecha de la solicitud</w:t>
      </w:r>
      <w:r w:rsidRPr="008817CD">
        <w:rPr>
          <w:rFonts w:eastAsia="Calibri" w:cs="Tahoma"/>
          <w:bCs/>
          <w:color w:val="000000"/>
          <w:szCs w:val="24"/>
          <w:lang w:eastAsia="en-US"/>
        </w:rPr>
        <w:t>, mismo que establece lo siguiente:</w:t>
      </w:r>
    </w:p>
    <w:p w14:paraId="53D18C2B"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w:t>
      </w:r>
    </w:p>
    <w:p w14:paraId="28FB4116" w14:textId="77777777" w:rsidR="00967611" w:rsidRPr="008817CD" w:rsidRDefault="00967611" w:rsidP="00965AE7">
      <w:pPr>
        <w:widowControl w:val="0"/>
        <w:tabs>
          <w:tab w:val="center" w:pos="4522"/>
        </w:tabs>
        <w:spacing w:after="0" w:line="360" w:lineRule="auto"/>
        <w:ind w:left="567" w:right="567"/>
        <w:rPr>
          <w:rFonts w:eastAsia="Calibri" w:cs="Tahoma"/>
          <w:bCs/>
          <w:i/>
          <w:color w:val="000000"/>
          <w:sz w:val="20"/>
          <w:lang w:eastAsia="en-US"/>
        </w:rPr>
      </w:pPr>
      <w:r w:rsidRPr="008817CD">
        <w:rPr>
          <w:rFonts w:eastAsia="Calibri" w:cs="Tahoma"/>
          <w:bCs/>
          <w:i/>
          <w:color w:val="000000"/>
          <w:sz w:val="20"/>
          <w:lang w:eastAsia="en-US"/>
        </w:rPr>
        <w:t>“</w:t>
      </w:r>
      <w:r w:rsidRPr="008817CD">
        <w:rPr>
          <w:rFonts w:eastAsia="Calibri" w:cs="Tahoma"/>
          <w:b/>
          <w:bCs/>
          <w:i/>
          <w:color w:val="000000"/>
          <w:sz w:val="20"/>
          <w:lang w:eastAsia="en-US"/>
        </w:rPr>
        <w:t>Cuentas bancarias y/o CLABE interbancaria de personas físicas y morales privadas.</w:t>
      </w:r>
      <w:r w:rsidRPr="008817CD">
        <w:rPr>
          <w:rFonts w:eastAsia="Calibri" w:cs="Tahoma"/>
          <w:bCs/>
          <w:i/>
          <w:color w:val="000000"/>
          <w:sz w:val="20"/>
          <w:lang w:eastAsia="en-US"/>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9FCBF4F"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w:t>
      </w:r>
    </w:p>
    <w:p w14:paraId="00441D22"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Por lo cual, se puede colegir que dichos datos no guardan relación con el servicio público ni con los recursos públicos, pues solo corresponde a información, que le atañe a la institución </w:t>
      </w:r>
      <w:r w:rsidRPr="008817CD">
        <w:rPr>
          <w:rFonts w:eastAsia="Calibri" w:cs="Tahoma"/>
          <w:bCs/>
          <w:color w:val="000000"/>
          <w:szCs w:val="24"/>
          <w:lang w:eastAsia="en-US"/>
        </w:rPr>
        <w:lastRenderedPageBreak/>
        <w:t xml:space="preserve">financiera y al cliente; por lo que este número constituye información confidencial al pertenecer exclusivamente al ámbito de la vida privada del proveedor y procede su eliminación de conformidad con el artículo 143, fracción I, de la Ley de Transparencia y Acceso a la Información Pública del Estado de México y Municipios. </w:t>
      </w:r>
    </w:p>
    <w:p w14:paraId="501E5640"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36DFB83C" w14:textId="77777777" w:rsidR="00967611" w:rsidRPr="008817CD" w:rsidRDefault="00967611" w:rsidP="00621403">
      <w:pPr>
        <w:widowControl w:val="0"/>
        <w:numPr>
          <w:ilvl w:val="0"/>
          <w:numId w:val="26"/>
        </w:numPr>
        <w:tabs>
          <w:tab w:val="center" w:pos="4522"/>
        </w:tabs>
        <w:spacing w:after="0" w:line="360" w:lineRule="auto"/>
        <w:rPr>
          <w:rFonts w:eastAsia="Calibri" w:cs="Tahoma"/>
          <w:b/>
          <w:bCs/>
          <w:iCs/>
          <w:color w:val="000000"/>
          <w:szCs w:val="24"/>
          <w:lang w:eastAsia="en-US"/>
        </w:rPr>
      </w:pPr>
      <w:r w:rsidRPr="008817CD">
        <w:rPr>
          <w:rFonts w:eastAsia="Calibri" w:cs="Tahoma"/>
          <w:b/>
          <w:bCs/>
          <w:iCs/>
          <w:color w:val="000000"/>
          <w:szCs w:val="24"/>
          <w:lang w:eastAsia="en-US"/>
        </w:rPr>
        <w:t>Nombre de institución bancaria</w:t>
      </w:r>
    </w:p>
    <w:p w14:paraId="3FAB95A3"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34985EC4"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547842CB"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24A74B6D" w14:textId="50096369"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En ese orden de ideas, en el portal de la Comisión Nacional para la Protección y Defensa de los Usuarios de Servicios Financieros (</w:t>
      </w:r>
      <w:r w:rsidRPr="008817CD">
        <w:rPr>
          <w:rFonts w:eastAsia="Calibri" w:cs="Tahoma"/>
          <w:bCs/>
          <w:iCs/>
          <w:color w:val="000000"/>
          <w:szCs w:val="24"/>
          <w:lang w:eastAsia="en-US"/>
        </w:rPr>
        <w:t xml:space="preserve">consultadas </w:t>
      </w:r>
      <w:r w:rsidRPr="008817CD">
        <w:rPr>
          <w:rFonts w:eastAsia="Calibri" w:cs="Tahoma"/>
          <w:bCs/>
          <w:color w:val="000000"/>
          <w:szCs w:val="24"/>
          <w:lang w:eastAsia="en-US"/>
        </w:rPr>
        <w:t xml:space="preserve">en </w:t>
      </w:r>
      <w:r w:rsidR="00965AE7" w:rsidRPr="008817CD">
        <w:rPr>
          <w:rFonts w:eastAsia="Calibri" w:cs="Tahoma"/>
          <w:bCs/>
          <w:color w:val="000000"/>
          <w:szCs w:val="24"/>
          <w:lang w:eastAsia="en-US"/>
        </w:rPr>
        <w:t xml:space="preserve">la página electrónica </w:t>
      </w:r>
      <w:hyperlink r:id="rId16" w:history="1">
        <w:r w:rsidR="00965AE7" w:rsidRPr="008817CD">
          <w:rPr>
            <w:rStyle w:val="Hipervnculo"/>
            <w:rFonts w:eastAsia="Calibri" w:cs="Tahoma"/>
            <w:bCs/>
            <w:szCs w:val="24"/>
            <w:lang w:eastAsia="en-US"/>
          </w:rPr>
          <w:t>https://www.condusef.gob.mx/Revista/index.php/usuario-inteligente/condusef-responde/777-la-condusef-te-puede-ayudar</w:t>
        </w:r>
      </w:hyperlink>
      <w:r w:rsidRPr="008817CD">
        <w:rPr>
          <w:rFonts w:eastAsia="Calibri" w:cs="Tahoma"/>
          <w:bCs/>
          <w:color w:val="000000"/>
          <w:szCs w:val="24"/>
          <w:lang w:eastAsia="en-US"/>
        </w:rPr>
        <w:t>), se establece que los bancos son instituciones financieras; conforme a lo anterior, se puede advertir que las instituciones bancarias, son personas morales.</w:t>
      </w:r>
    </w:p>
    <w:p w14:paraId="41055ABB"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05769260" w14:textId="255B69A0"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lastRenderedPageBreak/>
        <w:t xml:space="preserve">En ese orden de ideas, se considera que la denominación o razón social de una persona moral, es pública, pues dichos datos se encuentran inscritos en el Registro Público del Comercio; lo anterior, toma sustento en el </w:t>
      </w:r>
      <w:r w:rsidRPr="008817CD">
        <w:rPr>
          <w:rFonts w:eastAsia="Calibri" w:cs="Tahoma"/>
          <w:bCs/>
          <w:iCs/>
          <w:color w:val="000000"/>
          <w:szCs w:val="24"/>
          <w:lang w:val="es-ES" w:eastAsia="en-US"/>
        </w:rPr>
        <w:t xml:space="preserve">Criterio </w:t>
      </w:r>
      <w:r w:rsidR="00965AE7" w:rsidRPr="008817CD">
        <w:rPr>
          <w:rFonts w:eastAsia="Calibri" w:cs="Tahoma"/>
          <w:bCs/>
          <w:iCs/>
          <w:color w:val="000000"/>
          <w:szCs w:val="24"/>
          <w:lang w:val="es-ES" w:eastAsia="en-US"/>
        </w:rPr>
        <w:t>Orientador</w:t>
      </w:r>
      <w:r w:rsidRPr="008817CD">
        <w:rPr>
          <w:rFonts w:eastAsia="Calibri" w:cs="Tahoma"/>
          <w:bCs/>
          <w:iCs/>
          <w:color w:val="000000"/>
          <w:szCs w:val="24"/>
          <w:lang w:val="es-ES" w:eastAsia="en-US"/>
        </w:rPr>
        <w:t xml:space="preserve">, de la Segunda Época, con número de registro </w:t>
      </w:r>
      <w:r w:rsidRPr="008817CD">
        <w:rPr>
          <w:rFonts w:eastAsia="Calibri" w:cs="Tahoma"/>
          <w:bCs/>
          <w:iCs/>
          <w:color w:val="000000"/>
          <w:szCs w:val="24"/>
          <w:lang w:eastAsia="en-US"/>
        </w:rPr>
        <w:t xml:space="preserve">SO/008/2019, </w:t>
      </w:r>
      <w:r w:rsidRPr="008817CD">
        <w:rPr>
          <w:rFonts w:eastAsia="Calibri" w:cs="Tahoma"/>
          <w:bCs/>
          <w:iCs/>
          <w:color w:val="000000"/>
          <w:szCs w:val="24"/>
          <w:lang w:val="es-ES" w:eastAsia="en-US"/>
        </w:rPr>
        <w:t xml:space="preserve">emitido por el </w:t>
      </w:r>
      <w:r w:rsidR="00965AE7" w:rsidRPr="008817CD">
        <w:rPr>
          <w:rFonts w:eastAsia="Calibri" w:cs="Tahoma"/>
          <w:bCs/>
          <w:iCs/>
          <w:color w:val="000000"/>
          <w:szCs w:val="24"/>
          <w:lang w:val="es-ES" w:eastAsia="en-US"/>
        </w:rPr>
        <w:t xml:space="preserve">entonces </w:t>
      </w:r>
      <w:r w:rsidRPr="008817CD">
        <w:rPr>
          <w:rFonts w:eastAsia="Calibri" w:cs="Tahoma"/>
          <w:bCs/>
          <w:iCs/>
          <w:color w:val="000000"/>
          <w:szCs w:val="24"/>
          <w:lang w:val="es-ES" w:eastAsia="en-US"/>
        </w:rPr>
        <w:t>Instituto Nacional de Transparencia, Acceso a la Información y Protección de Datos Personales</w:t>
      </w:r>
      <w:r w:rsidR="00965AE7" w:rsidRPr="008817CD">
        <w:rPr>
          <w:rFonts w:eastAsia="Calibri" w:cs="Tahoma"/>
          <w:bCs/>
          <w:iCs/>
          <w:color w:val="000000"/>
          <w:szCs w:val="24"/>
          <w:lang w:val="es-ES" w:eastAsia="en-US"/>
        </w:rPr>
        <w:t>, vigente a la fecha de la solicitud</w:t>
      </w:r>
      <w:r w:rsidRPr="008817CD">
        <w:rPr>
          <w:rFonts w:eastAsia="Calibri" w:cs="Tahoma"/>
          <w:bCs/>
          <w:iCs/>
          <w:color w:val="000000"/>
          <w:szCs w:val="24"/>
          <w:lang w:val="es-ES" w:eastAsia="en-US"/>
        </w:rPr>
        <w:t>,</w:t>
      </w:r>
      <w:r w:rsidRPr="008817CD">
        <w:rPr>
          <w:rFonts w:eastAsia="Calibri" w:cs="Tahoma"/>
          <w:bCs/>
          <w:color w:val="000000"/>
          <w:szCs w:val="24"/>
          <w:lang w:eastAsia="en-US"/>
        </w:rPr>
        <w:t xml:space="preserve"> previamente referido.</w:t>
      </w:r>
    </w:p>
    <w:p w14:paraId="30DA2991"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3C797E76"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Lo anterior, se robustece con el hecho de que existe el Sistema de Registro de Prestadores de Servicios Financieros (</w:t>
      </w:r>
      <w:r w:rsidRPr="008817CD">
        <w:rPr>
          <w:rFonts w:eastAsia="Calibri" w:cs="Tahoma"/>
          <w:bCs/>
          <w:iCs/>
          <w:color w:val="000000"/>
          <w:szCs w:val="24"/>
          <w:lang w:eastAsia="en-US"/>
        </w:rPr>
        <w:t>consultadas el dieciocho de enero de dos mil veintitrés)</w:t>
      </w:r>
      <w:r w:rsidRPr="008817CD">
        <w:rPr>
          <w:rFonts w:eastAsia="Calibri" w:cs="Tahoma"/>
          <w:bCs/>
          <w:color w:val="000000"/>
          <w:szCs w:val="24"/>
          <w:lang w:eastAsia="en-US"/>
        </w:rPr>
        <w:t xml:space="preserve">, a las trece horas, en la liga </w:t>
      </w:r>
      <w:hyperlink r:id="rId17" w:history="1">
        <w:r w:rsidRPr="008817CD">
          <w:rPr>
            <w:rFonts w:eastAsia="Calibri" w:cs="Tahoma"/>
            <w:bCs/>
            <w:color w:val="0563C1" w:themeColor="hyperlink"/>
            <w:szCs w:val="24"/>
            <w:u w:val="single"/>
            <w:lang w:eastAsia="en-US"/>
          </w:rPr>
          <w:t>https://webapps.condusef.gob.mx/SIPRES/jsp/pub/index.jsp</w:t>
        </w:r>
      </w:hyperlink>
      <w:r w:rsidRPr="008817CD">
        <w:rPr>
          <w:rFonts w:eastAsia="Calibri" w:cs="Tahoma"/>
          <w:bCs/>
          <w:color w:val="000000"/>
          <w:szCs w:val="24"/>
          <w:lang w:eastAsia="en-US"/>
        </w:rPr>
        <w:t xml:space="preserve">), que es un registro de </w:t>
      </w:r>
      <w:r w:rsidRPr="008817CD">
        <w:rPr>
          <w:rFonts w:eastAsia="Calibri" w:cs="Tahoma"/>
          <w:b/>
          <w:bCs/>
          <w:color w:val="000000"/>
          <w:szCs w:val="24"/>
          <w:lang w:eastAsia="en-US"/>
        </w:rPr>
        <w:t xml:space="preserve">carácter público, </w:t>
      </w:r>
      <w:r w:rsidRPr="008817CD">
        <w:rPr>
          <w:rFonts w:eastAsia="Calibri" w:cs="Tahoma"/>
          <w:bCs/>
          <w:color w:val="000000"/>
          <w:szCs w:val="24"/>
          <w:lang w:eastAsia="en-US"/>
        </w:rPr>
        <w:t>cuyo objetivo principal, consiste en proporcionar información corporativa y general de las instituciones financieras</w:t>
      </w:r>
      <w:r w:rsidRPr="008817CD">
        <w:rPr>
          <w:rFonts w:eastAsia="Calibri" w:cs="Tahoma"/>
          <w:b/>
          <w:bCs/>
          <w:color w:val="000000"/>
          <w:szCs w:val="24"/>
          <w:lang w:eastAsia="en-US"/>
        </w:rPr>
        <w:t xml:space="preserve">; además, que permite conocer al público general, información de dichos entes, </w:t>
      </w:r>
      <w:r w:rsidRPr="008817CD">
        <w:rPr>
          <w:rFonts w:eastAsia="Calibri" w:cs="Tahoma"/>
          <w:bCs/>
          <w:color w:val="000000"/>
          <w:szCs w:val="24"/>
          <w:lang w:eastAsia="en-US"/>
        </w:rPr>
        <w:t xml:space="preserve">se muestra un ejemplo a continuación: </w:t>
      </w:r>
    </w:p>
    <w:p w14:paraId="1BF54618"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2B8EB64D" w14:textId="77777777" w:rsidR="00967611" w:rsidRPr="008817CD" w:rsidRDefault="00967611" w:rsidP="00621403">
      <w:pPr>
        <w:widowControl w:val="0"/>
        <w:tabs>
          <w:tab w:val="center" w:pos="4522"/>
        </w:tabs>
        <w:spacing w:after="0" w:line="360" w:lineRule="auto"/>
        <w:jc w:val="center"/>
        <w:rPr>
          <w:rFonts w:eastAsia="Calibri" w:cs="Tahoma"/>
          <w:bCs/>
          <w:color w:val="000000"/>
          <w:szCs w:val="24"/>
          <w:lang w:eastAsia="en-US"/>
        </w:rPr>
      </w:pPr>
      <w:r w:rsidRPr="008817CD">
        <w:rPr>
          <w:rFonts w:eastAsia="Calibri" w:cs="Tahoma"/>
          <w:noProof/>
          <w:color w:val="000000"/>
          <w:szCs w:val="24"/>
        </w:rPr>
        <w:drawing>
          <wp:inline distT="0" distB="0" distL="0" distR="0" wp14:anchorId="5F058F4C" wp14:editId="735745CD">
            <wp:extent cx="4772025" cy="2476500"/>
            <wp:effectExtent l="0" t="0" r="9525" b="0"/>
            <wp:docPr id="10" name="Imagen 8"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Escala de tiemp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t="2" b="381"/>
                    <a:stretch>
                      <a:fillRect/>
                    </a:stretch>
                  </pic:blipFill>
                  <pic:spPr bwMode="auto">
                    <a:xfrm>
                      <a:off x="0" y="0"/>
                      <a:ext cx="4772025" cy="2476500"/>
                    </a:xfrm>
                    <a:prstGeom prst="rect">
                      <a:avLst/>
                    </a:prstGeom>
                    <a:noFill/>
                    <a:ln>
                      <a:noFill/>
                    </a:ln>
                  </pic:spPr>
                </pic:pic>
              </a:graphicData>
            </a:graphic>
          </wp:inline>
        </w:drawing>
      </w:r>
    </w:p>
    <w:p w14:paraId="1CF46890" w14:textId="77777777" w:rsidR="00967611" w:rsidRPr="008817CD" w:rsidRDefault="00967611" w:rsidP="00621403">
      <w:pPr>
        <w:widowControl w:val="0"/>
        <w:tabs>
          <w:tab w:val="center" w:pos="4522"/>
        </w:tabs>
        <w:spacing w:after="0" w:line="360" w:lineRule="auto"/>
        <w:jc w:val="center"/>
        <w:rPr>
          <w:rFonts w:eastAsia="Calibri" w:cs="Tahoma"/>
          <w:bCs/>
          <w:color w:val="000000"/>
          <w:szCs w:val="24"/>
          <w:lang w:eastAsia="en-US"/>
        </w:rPr>
      </w:pPr>
    </w:p>
    <w:p w14:paraId="675C25D1"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 xml:space="preserve">Conforme a lo anterior, se logra vislumbrar que el nombre de las instituciones bancarias en primera instancia es de naturaleza pública; sin embargo, en el presente caso, se relacionada con el hecho de que corresponde al banco en el cual un proveedor o contratista decidió recibir el </w:t>
      </w:r>
      <w:r w:rsidRPr="008817CD">
        <w:rPr>
          <w:rFonts w:eastAsia="Calibri" w:cs="Tahoma"/>
          <w:bCs/>
          <w:color w:val="000000"/>
          <w:szCs w:val="24"/>
          <w:lang w:eastAsia="en-US"/>
        </w:rPr>
        <w:lastRenderedPageBreak/>
        <w:t>pago de sus servicios; es decir, daría cuenta de la decisión voluntaria de recibir el pago de sus servicios en una determinada institución; lo cual se relaciona con la cuenta y clave interbancaria, mismos que son confidenciales.</w:t>
      </w:r>
    </w:p>
    <w:p w14:paraId="5523A408"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p>
    <w:p w14:paraId="5358B054" w14:textId="77777777" w:rsidR="00967611" w:rsidRPr="008817CD" w:rsidRDefault="00967611" w:rsidP="00621403">
      <w:pPr>
        <w:widowControl w:val="0"/>
        <w:tabs>
          <w:tab w:val="center" w:pos="4522"/>
        </w:tabs>
        <w:spacing w:after="0" w:line="360" w:lineRule="auto"/>
        <w:rPr>
          <w:rFonts w:eastAsia="Calibri" w:cs="Tahoma"/>
          <w:bCs/>
          <w:color w:val="000000"/>
          <w:szCs w:val="24"/>
          <w:lang w:eastAsia="en-US"/>
        </w:rPr>
      </w:pPr>
      <w:r w:rsidRPr="008817CD">
        <w:rPr>
          <w:rFonts w:eastAsia="Calibri" w:cs="Tahoma"/>
          <w:bCs/>
          <w:color w:val="000000"/>
          <w:szCs w:val="24"/>
          <w:lang w:eastAsia="en-US"/>
        </w:rPr>
        <w:t>Además, revelaría el lugar en donde el proveedor recibió los recursos por prestar sus servicios, lo cual únicamente está relacionado a su vida íntima o privada de la persona moral; por lo que, este Instituto considera que el nombre de la institución bancaria, actualiza la causal de clasificación prevista en el artículo 143, fracción I, de la Ley de Transparencia y Acceso a la Información Pública del Estado de México y Municipios.</w:t>
      </w:r>
    </w:p>
    <w:p w14:paraId="0C71762A" w14:textId="77777777" w:rsidR="00967611" w:rsidRPr="008817CD" w:rsidRDefault="00967611" w:rsidP="00621403">
      <w:pPr>
        <w:widowControl w:val="0"/>
        <w:tabs>
          <w:tab w:val="center" w:pos="4522"/>
        </w:tabs>
        <w:spacing w:after="0" w:line="360" w:lineRule="auto"/>
        <w:rPr>
          <w:rFonts w:eastAsia="Calibri" w:cs="Tahoma"/>
          <w:color w:val="000000"/>
          <w:szCs w:val="24"/>
          <w:lang w:val="es-ES" w:eastAsia="en-US"/>
        </w:rPr>
      </w:pPr>
    </w:p>
    <w:p w14:paraId="77CECF18" w14:textId="69A88A6A" w:rsidR="00967611" w:rsidRPr="008817CD" w:rsidRDefault="00965AE7" w:rsidP="00621403">
      <w:pPr>
        <w:spacing w:after="0" w:line="360" w:lineRule="auto"/>
        <w:rPr>
          <w:rFonts w:eastAsia="Calibri" w:cs="Times New Roman"/>
          <w:bCs/>
          <w:iCs/>
          <w:color w:val="000000"/>
          <w:lang w:val="es-ES" w:eastAsia="en-US"/>
        </w:rPr>
      </w:pPr>
      <w:r w:rsidRPr="008817CD">
        <w:rPr>
          <w:rFonts w:eastAsia="Calibri" w:cs="Times New Roman"/>
          <w:bCs/>
          <w:iCs/>
          <w:color w:val="000000"/>
          <w:lang w:val="es-ES_tradnl" w:eastAsia="en-US"/>
        </w:rPr>
        <w:t>Así,</w:t>
      </w:r>
      <w:r w:rsidR="00967611" w:rsidRPr="008817CD">
        <w:rPr>
          <w:rFonts w:eastAsia="Calibri" w:cs="Times New Roman"/>
          <w:bCs/>
          <w:iCs/>
          <w:color w:val="000000"/>
          <w:lang w:val="es-ES_tradnl" w:eastAsia="en-US"/>
        </w:rPr>
        <w:t xml:space="preserve"> el Sujeto Obligado, deberá elaborar la versión pública respectiva, tomando en consideración los datos analizados; a</w:t>
      </w:r>
      <w:r w:rsidR="00967611" w:rsidRPr="008817CD">
        <w:rPr>
          <w:rFonts w:eastAsia="Calibri" w:cs="Times New Roman"/>
          <w:bCs/>
          <w:iCs/>
          <w:color w:val="000000"/>
          <w:lang w:val="es-ES" w:eastAsia="en-U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53EBC181" w14:textId="77777777" w:rsidR="00967611" w:rsidRPr="008817CD" w:rsidRDefault="00967611" w:rsidP="00621403">
      <w:pPr>
        <w:spacing w:after="0" w:line="360" w:lineRule="auto"/>
        <w:rPr>
          <w:rFonts w:eastAsia="Calibri" w:cs="Times New Roman"/>
          <w:bCs/>
          <w:iCs/>
          <w:color w:val="000000"/>
          <w:lang w:val="es-ES" w:eastAsia="en-US"/>
        </w:rPr>
      </w:pPr>
    </w:p>
    <w:p w14:paraId="166B6063" w14:textId="77777777" w:rsidR="00967611" w:rsidRPr="008817CD" w:rsidRDefault="00967611" w:rsidP="00621403">
      <w:pPr>
        <w:spacing w:after="0" w:line="360" w:lineRule="auto"/>
        <w:rPr>
          <w:rFonts w:eastAsia="Calibri" w:cs="Times New Roman"/>
          <w:bCs/>
          <w:iCs/>
          <w:color w:val="000000"/>
          <w:lang w:val="es-ES" w:eastAsia="en-US"/>
        </w:rPr>
      </w:pPr>
      <w:r w:rsidRPr="008817CD">
        <w:rPr>
          <w:rFonts w:eastAsia="Calibri" w:cs="Times New Roman"/>
          <w:bCs/>
          <w:iCs/>
          <w:color w:val="000000"/>
          <w:lang w:val="es-ES"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AAD0321" w14:textId="77777777" w:rsidR="00967611" w:rsidRPr="008817CD" w:rsidRDefault="00967611" w:rsidP="00621403">
      <w:pPr>
        <w:spacing w:after="0" w:line="360" w:lineRule="auto"/>
        <w:rPr>
          <w:color w:val="FF0000"/>
        </w:rPr>
      </w:pPr>
    </w:p>
    <w:p w14:paraId="1C645FB4" w14:textId="50DDA039" w:rsidR="00763977" w:rsidRPr="008817CD" w:rsidRDefault="002033C0" w:rsidP="00621403">
      <w:pPr>
        <w:pStyle w:val="Ttulo2"/>
        <w:spacing w:before="0" w:after="0"/>
        <w:rPr>
          <w:color w:val="auto"/>
        </w:rPr>
      </w:pPr>
      <w:bookmarkStart w:id="13" w:name="_Toc196407826"/>
      <w:r w:rsidRPr="008817CD">
        <w:rPr>
          <w:color w:val="auto"/>
        </w:rPr>
        <w:t>SEXTO. Decisión</w:t>
      </w:r>
      <w:bookmarkEnd w:id="13"/>
    </w:p>
    <w:p w14:paraId="51B84E96" w14:textId="77777777" w:rsidR="00763977" w:rsidRPr="008817CD" w:rsidRDefault="00763977" w:rsidP="00621403">
      <w:pPr>
        <w:spacing w:after="0" w:line="360" w:lineRule="auto"/>
        <w:rPr>
          <w:b/>
          <w:color w:val="auto"/>
        </w:rPr>
      </w:pPr>
    </w:p>
    <w:p w14:paraId="26ABB44C" w14:textId="27D7A36B" w:rsidR="00763977" w:rsidRPr="008817CD" w:rsidRDefault="002033C0" w:rsidP="00621403">
      <w:pPr>
        <w:spacing w:after="0" w:line="360" w:lineRule="auto"/>
        <w:rPr>
          <w:color w:val="auto"/>
        </w:rPr>
      </w:pPr>
      <w:r w:rsidRPr="008817CD">
        <w:rPr>
          <w:color w:val="auto"/>
        </w:rPr>
        <w:t xml:space="preserve">Con fundamento en el artículo 186, fracción III, de la Ley de Transparencia y Acceso a la Información Pública del Estado de México y Municipios, este Instituto considera procedente </w:t>
      </w:r>
      <w:r w:rsidR="00965AE7" w:rsidRPr="008817CD">
        <w:rPr>
          <w:b/>
          <w:color w:val="auto"/>
        </w:rPr>
        <w:lastRenderedPageBreak/>
        <w:t>MODIFI</w:t>
      </w:r>
      <w:r w:rsidR="00802C21" w:rsidRPr="008817CD">
        <w:rPr>
          <w:b/>
          <w:color w:val="auto"/>
        </w:rPr>
        <w:t xml:space="preserve">CAR </w:t>
      </w:r>
      <w:r w:rsidRPr="008817CD">
        <w:rPr>
          <w:color w:val="auto"/>
        </w:rPr>
        <w:t>la respuesta otorgada por el Sujeto Obligado</w:t>
      </w:r>
      <w:r w:rsidR="00965AE7" w:rsidRPr="008817CD">
        <w:rPr>
          <w:color w:val="auto"/>
        </w:rPr>
        <w:t>, a efecto de que proporcione la información faltante.</w:t>
      </w:r>
    </w:p>
    <w:p w14:paraId="24309F5A" w14:textId="77777777" w:rsidR="00763977" w:rsidRPr="008817CD" w:rsidRDefault="00763977" w:rsidP="00621403">
      <w:pPr>
        <w:spacing w:after="0" w:line="360" w:lineRule="auto"/>
        <w:ind w:right="-28"/>
        <w:rPr>
          <w:color w:val="FF0000"/>
        </w:rPr>
      </w:pPr>
    </w:p>
    <w:p w14:paraId="785E0E11" w14:textId="77777777" w:rsidR="00763977" w:rsidRPr="008817CD" w:rsidRDefault="002033C0" w:rsidP="00621403">
      <w:pPr>
        <w:spacing w:after="0" w:line="360" w:lineRule="auto"/>
        <w:ind w:right="-28"/>
        <w:rPr>
          <w:b/>
          <w:color w:val="auto"/>
        </w:rPr>
      </w:pPr>
      <w:r w:rsidRPr="008817CD">
        <w:rPr>
          <w:b/>
          <w:color w:val="auto"/>
        </w:rPr>
        <w:t>Términos de la Resolución para conocimiento del Particular</w:t>
      </w:r>
    </w:p>
    <w:p w14:paraId="4B4EA23A" w14:textId="77777777" w:rsidR="00763977" w:rsidRPr="008817CD" w:rsidRDefault="00763977" w:rsidP="00621403">
      <w:pPr>
        <w:spacing w:after="0" w:line="360" w:lineRule="auto"/>
        <w:ind w:right="-28"/>
        <w:rPr>
          <w:b/>
          <w:color w:val="auto"/>
        </w:rPr>
      </w:pPr>
    </w:p>
    <w:p w14:paraId="0732F8FC" w14:textId="401B956B" w:rsidR="00763977" w:rsidRPr="008817CD" w:rsidRDefault="002033C0" w:rsidP="00621403">
      <w:pPr>
        <w:widowControl w:val="0"/>
        <w:spacing w:after="0" w:line="360" w:lineRule="auto"/>
        <w:rPr>
          <w:color w:val="auto"/>
        </w:rPr>
      </w:pPr>
      <w:r w:rsidRPr="008817CD">
        <w:rPr>
          <w:color w:val="auto"/>
        </w:rPr>
        <w:t>Se le hace del conocimiento al ahora Recurrente, que, en el presente caso, se le concede la razón, pues si bien el Sujeto Obligado proporcionó información relacionada a lo solicitado</w:t>
      </w:r>
      <w:r w:rsidR="00802C21" w:rsidRPr="008817CD">
        <w:rPr>
          <w:color w:val="auto"/>
        </w:rPr>
        <w:t>, sin embargo, la misma</w:t>
      </w:r>
      <w:r w:rsidRPr="008817CD">
        <w:rPr>
          <w:color w:val="auto"/>
        </w:rPr>
        <w:t xml:space="preserve"> no atiende los requerimientos de información</w:t>
      </w:r>
      <w:r w:rsidR="00802C21" w:rsidRPr="008817CD">
        <w:rPr>
          <w:color w:val="auto"/>
        </w:rPr>
        <w:t>, además el Sujeto Obligado fue omiso en turnar el requerimiento a todas las áreas competentes, por lo que deberá entregar los documentos que den cuenta de lo solicitado</w:t>
      </w:r>
      <w:r w:rsidRPr="008817CD">
        <w:rPr>
          <w:color w:val="auto"/>
        </w:rPr>
        <w:t>. 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4986885B" w14:textId="77777777" w:rsidR="00763977" w:rsidRPr="008817CD" w:rsidRDefault="00763977" w:rsidP="00621403">
      <w:pPr>
        <w:widowControl w:val="0"/>
        <w:spacing w:after="0" w:line="360" w:lineRule="auto"/>
        <w:rPr>
          <w:color w:val="auto"/>
        </w:rPr>
      </w:pPr>
    </w:p>
    <w:p w14:paraId="4929D65C" w14:textId="77777777" w:rsidR="00763977" w:rsidRPr="008817CD" w:rsidRDefault="002033C0" w:rsidP="00621403">
      <w:pPr>
        <w:spacing w:after="0" w:line="360" w:lineRule="auto"/>
        <w:rPr>
          <w:color w:val="auto"/>
        </w:rPr>
      </w:pPr>
      <w:r w:rsidRPr="008817CD">
        <w:rPr>
          <w:color w:val="auto"/>
        </w:rPr>
        <w:t>Por lo expuesto y fundado, este Pleno:</w:t>
      </w:r>
    </w:p>
    <w:p w14:paraId="65117650" w14:textId="77777777" w:rsidR="00763977" w:rsidRPr="008817CD" w:rsidRDefault="00763977" w:rsidP="00621403">
      <w:pPr>
        <w:spacing w:after="0" w:line="360" w:lineRule="auto"/>
        <w:rPr>
          <w:color w:val="auto"/>
        </w:rPr>
      </w:pPr>
    </w:p>
    <w:p w14:paraId="69F4D4AB" w14:textId="77777777" w:rsidR="00763977" w:rsidRPr="008817CD" w:rsidRDefault="002033C0" w:rsidP="00621403">
      <w:pPr>
        <w:pStyle w:val="Ttulo1"/>
        <w:spacing w:before="0" w:after="0"/>
        <w:rPr>
          <w:color w:val="auto"/>
        </w:rPr>
      </w:pPr>
      <w:bookmarkStart w:id="14" w:name="_Toc196407827"/>
      <w:r w:rsidRPr="008817CD">
        <w:rPr>
          <w:color w:val="auto"/>
        </w:rPr>
        <w:t>R E S U E L V E</w:t>
      </w:r>
      <w:bookmarkEnd w:id="14"/>
    </w:p>
    <w:p w14:paraId="708F9CC1" w14:textId="77777777" w:rsidR="00763977" w:rsidRPr="008817CD" w:rsidRDefault="00763977" w:rsidP="00621403">
      <w:pPr>
        <w:spacing w:after="0" w:line="360" w:lineRule="auto"/>
        <w:rPr>
          <w:b/>
          <w:color w:val="FF0000"/>
        </w:rPr>
      </w:pPr>
    </w:p>
    <w:p w14:paraId="507D82E3" w14:textId="262C6841" w:rsidR="00763977" w:rsidRPr="008817CD" w:rsidRDefault="002033C0" w:rsidP="00621403">
      <w:pPr>
        <w:spacing w:after="0" w:line="360" w:lineRule="auto"/>
        <w:rPr>
          <w:color w:val="auto"/>
        </w:rPr>
      </w:pPr>
      <w:r w:rsidRPr="008817CD">
        <w:rPr>
          <w:b/>
          <w:color w:val="auto"/>
        </w:rPr>
        <w:t>PRIMERO.</w:t>
      </w:r>
      <w:r w:rsidRPr="008817CD">
        <w:rPr>
          <w:color w:val="auto"/>
        </w:rPr>
        <w:t xml:space="preserve"> Se </w:t>
      </w:r>
      <w:r w:rsidR="00965AE7" w:rsidRPr="008817CD">
        <w:rPr>
          <w:b/>
          <w:color w:val="auto"/>
        </w:rPr>
        <w:t>MODIFICA</w:t>
      </w:r>
      <w:r w:rsidRPr="008817CD">
        <w:rPr>
          <w:color w:val="auto"/>
        </w:rPr>
        <w:t xml:space="preserve"> la respuesta </w:t>
      </w:r>
      <w:r w:rsidR="00965AE7" w:rsidRPr="008817CD">
        <w:rPr>
          <w:color w:val="auto"/>
        </w:rPr>
        <w:t xml:space="preserve">entregada por el </w:t>
      </w:r>
      <w:r w:rsidRPr="008817CD">
        <w:rPr>
          <w:color w:val="auto"/>
        </w:rPr>
        <w:t xml:space="preserve">Ayuntamiento de Toluca </w:t>
      </w:r>
      <w:r w:rsidR="00965AE7" w:rsidRPr="008817CD">
        <w:rPr>
          <w:color w:val="auto"/>
        </w:rPr>
        <w:t>en</w:t>
      </w:r>
      <w:r w:rsidRPr="008817CD">
        <w:rPr>
          <w:color w:val="auto"/>
        </w:rPr>
        <w:t xml:space="preserve"> la solicitud de información</w:t>
      </w:r>
      <w:r w:rsidR="00FB1666" w:rsidRPr="008817CD">
        <w:rPr>
          <w:color w:val="auto"/>
        </w:rPr>
        <w:t xml:space="preserve"> 00752/TOLUCA/IP/2025</w:t>
      </w:r>
      <w:r w:rsidRPr="008817CD">
        <w:rPr>
          <w:color w:val="auto"/>
        </w:rPr>
        <w:t xml:space="preserve">, por resultar </w:t>
      </w:r>
      <w:r w:rsidRPr="008817CD">
        <w:rPr>
          <w:b/>
          <w:color w:val="auto"/>
        </w:rPr>
        <w:t xml:space="preserve">FUNDADAS </w:t>
      </w:r>
      <w:r w:rsidRPr="008817CD">
        <w:rPr>
          <w:color w:val="auto"/>
        </w:rPr>
        <w:t>las razones o motivos de inconformidad hechos valer por el Recurrente, en términos de los considerandos QUINTO y SEXTO de la presente Resolución.</w:t>
      </w:r>
    </w:p>
    <w:p w14:paraId="7A131228" w14:textId="77777777" w:rsidR="00763977" w:rsidRPr="008817CD" w:rsidRDefault="00763977" w:rsidP="00621403">
      <w:pPr>
        <w:spacing w:after="0" w:line="360" w:lineRule="auto"/>
        <w:rPr>
          <w:b/>
          <w:color w:val="FF0000"/>
        </w:rPr>
      </w:pPr>
    </w:p>
    <w:p w14:paraId="0B90FA62" w14:textId="63894185" w:rsidR="00965AE7" w:rsidRPr="008817CD" w:rsidRDefault="002033C0" w:rsidP="00965AE7">
      <w:pPr>
        <w:spacing w:after="0" w:line="360" w:lineRule="auto"/>
      </w:pPr>
      <w:r w:rsidRPr="008817CD">
        <w:rPr>
          <w:b/>
          <w:color w:val="auto"/>
        </w:rPr>
        <w:t>SEGUNDO</w:t>
      </w:r>
      <w:r w:rsidRPr="008817CD">
        <w:rPr>
          <w:color w:val="auto"/>
        </w:rPr>
        <w:t xml:space="preserve">. Se </w:t>
      </w:r>
      <w:r w:rsidRPr="008817CD">
        <w:rPr>
          <w:b/>
          <w:color w:val="auto"/>
        </w:rPr>
        <w:t>ORDENA</w:t>
      </w:r>
      <w:r w:rsidRPr="008817CD">
        <w:rPr>
          <w:color w:val="auto"/>
        </w:rPr>
        <w:t xml:space="preserve"> al Sujeto Obligado, a efecto de que previa búsqueda exhaustiva y razonable, en los archivos de las unidades administrativas competentes, entregue a través del Sistema de Acceso a la Información Mexiquense (SAIMEX), en su caso, en versión pública, </w:t>
      </w:r>
      <w:r w:rsidR="00965AE7" w:rsidRPr="008817CD">
        <w:lastRenderedPageBreak/>
        <w:t>respecto a los calentadores solares colocados del primero de enero al treinta y uno de diciembre de dos mil veinticuatro, en las colonias referidas en el Tercer Informe de Gobierno, lo siguiente:</w:t>
      </w:r>
    </w:p>
    <w:p w14:paraId="39FD97EF" w14:textId="77777777" w:rsidR="00965AE7" w:rsidRPr="008817CD" w:rsidRDefault="00965AE7" w:rsidP="00965AE7">
      <w:pPr>
        <w:spacing w:after="0" w:line="360" w:lineRule="auto"/>
      </w:pPr>
    </w:p>
    <w:p w14:paraId="53E22617" w14:textId="0578BDAD" w:rsidR="00965AE7" w:rsidRPr="008817CD" w:rsidRDefault="00965AE7" w:rsidP="00965AE7">
      <w:pPr>
        <w:pStyle w:val="Prrafodelista"/>
        <w:numPr>
          <w:ilvl w:val="0"/>
          <w:numId w:val="28"/>
        </w:numPr>
        <w:spacing w:line="360" w:lineRule="auto"/>
      </w:pPr>
      <w:r w:rsidRPr="008817CD">
        <w:t>El o los contratos celebrados;</w:t>
      </w:r>
    </w:p>
    <w:p w14:paraId="25DC2BCE" w14:textId="77777777" w:rsidR="00965AE7" w:rsidRPr="008817CD" w:rsidRDefault="00965AE7" w:rsidP="00965AE7">
      <w:pPr>
        <w:pStyle w:val="Prrafodelista"/>
        <w:numPr>
          <w:ilvl w:val="0"/>
          <w:numId w:val="28"/>
        </w:numPr>
        <w:spacing w:line="360" w:lineRule="auto"/>
        <w:rPr>
          <w:color w:val="auto"/>
        </w:rPr>
      </w:pPr>
      <w:r w:rsidRPr="008817CD">
        <w:rPr>
          <w:color w:val="auto"/>
        </w:rPr>
        <w:t>Los documentos comprobatorios del pago del monto referido en respuesta;</w:t>
      </w:r>
    </w:p>
    <w:p w14:paraId="0A894373" w14:textId="77777777" w:rsidR="00965AE7" w:rsidRPr="008817CD" w:rsidRDefault="00965AE7" w:rsidP="00965AE7">
      <w:pPr>
        <w:pStyle w:val="Prrafodelista"/>
        <w:numPr>
          <w:ilvl w:val="0"/>
          <w:numId w:val="28"/>
        </w:numPr>
        <w:spacing w:line="360" w:lineRule="auto"/>
        <w:rPr>
          <w:color w:val="auto"/>
        </w:rPr>
      </w:pPr>
      <w:r w:rsidRPr="008817CD">
        <w:rPr>
          <w:color w:val="auto"/>
        </w:rPr>
        <w:t>Listado de personas a las cuales se le entregaron los calentadores, y</w:t>
      </w:r>
    </w:p>
    <w:p w14:paraId="4EED3C70" w14:textId="77777777" w:rsidR="00965AE7" w:rsidRPr="008817CD" w:rsidRDefault="00965AE7" w:rsidP="00965AE7">
      <w:pPr>
        <w:pStyle w:val="Prrafodelista"/>
        <w:numPr>
          <w:ilvl w:val="0"/>
          <w:numId w:val="28"/>
        </w:numPr>
        <w:spacing w:line="360" w:lineRule="auto"/>
        <w:rPr>
          <w:color w:val="auto"/>
        </w:rPr>
      </w:pPr>
      <w:r w:rsidRPr="008817CD">
        <w:rPr>
          <w:color w:val="auto"/>
        </w:rPr>
        <w:t>El documento donde conste el número de calentadores no entregados.</w:t>
      </w:r>
    </w:p>
    <w:p w14:paraId="34FC509A" w14:textId="77777777" w:rsidR="00FB1666" w:rsidRPr="008817CD" w:rsidRDefault="00FB1666" w:rsidP="00621403">
      <w:pPr>
        <w:spacing w:after="0" w:line="360" w:lineRule="auto"/>
      </w:pPr>
    </w:p>
    <w:p w14:paraId="77503B32" w14:textId="308DA0CC" w:rsidR="00763977" w:rsidRPr="008817CD" w:rsidRDefault="002033C0" w:rsidP="00621403">
      <w:pPr>
        <w:spacing w:after="0" w:line="360" w:lineRule="auto"/>
        <w:rPr>
          <w:color w:val="auto"/>
        </w:rPr>
      </w:pPr>
      <w:r w:rsidRPr="008817CD">
        <w:rPr>
          <w:color w:val="auto"/>
        </w:rPr>
        <w:t>Además, de ser necesario, deberá proporcionar el Acuerdo de Clasificación donde el Comité de Transparencia, confirme la eliminación de los datos o información, en la versión pública,</w:t>
      </w:r>
      <w:r w:rsidR="00965AE7" w:rsidRPr="008817CD">
        <w:rPr>
          <w:color w:val="auto"/>
        </w:rPr>
        <w:t xml:space="preserve"> en términos del Considerando QUINTO,</w:t>
      </w:r>
      <w:r w:rsidRPr="008817CD">
        <w:rPr>
          <w:color w:val="auto"/>
        </w:rPr>
        <w:t xml:space="preserve"> de conformidad con los artículos 49, fracciones II y VIII y 132, fracción II, de la Ley de Transparencia y Acceso a la Información Pública del Estado de México y Municipios.</w:t>
      </w:r>
    </w:p>
    <w:p w14:paraId="76D0419D" w14:textId="77777777" w:rsidR="00965AE7" w:rsidRPr="008817CD" w:rsidRDefault="00965AE7" w:rsidP="00621403">
      <w:pPr>
        <w:spacing w:after="0" w:line="360" w:lineRule="auto"/>
        <w:rPr>
          <w:color w:val="auto"/>
        </w:rPr>
      </w:pPr>
    </w:p>
    <w:p w14:paraId="6C8322DE" w14:textId="77E9171C" w:rsidR="00965AE7" w:rsidRPr="008817CD" w:rsidRDefault="00965AE7" w:rsidP="00621403">
      <w:pPr>
        <w:spacing w:after="0" w:line="360" w:lineRule="auto"/>
        <w:rPr>
          <w:color w:val="auto"/>
        </w:rPr>
      </w:pPr>
      <w:r w:rsidRPr="008817CD">
        <w:rPr>
          <w:color w:val="auto"/>
        </w:rPr>
        <w:t>Para el caso, de que no cuente con el dato del numeral 4, al haberse entregado todos los calentadores, deberá hacerlo del conocimiento de la parte Recurrente, de manera clara y precisa.</w:t>
      </w:r>
    </w:p>
    <w:p w14:paraId="4757C385" w14:textId="77777777" w:rsidR="00763977" w:rsidRPr="008817CD" w:rsidRDefault="00763977" w:rsidP="00621403">
      <w:pPr>
        <w:spacing w:after="0" w:line="360" w:lineRule="auto"/>
        <w:rPr>
          <w:color w:val="auto"/>
        </w:rPr>
      </w:pPr>
    </w:p>
    <w:p w14:paraId="0CF49E1C" w14:textId="77777777" w:rsidR="00763977" w:rsidRPr="008817CD" w:rsidRDefault="002033C0" w:rsidP="00621403">
      <w:pPr>
        <w:spacing w:after="0" w:line="360" w:lineRule="auto"/>
        <w:rPr>
          <w:color w:val="auto"/>
        </w:rPr>
      </w:pPr>
      <w:r w:rsidRPr="008817CD">
        <w:rPr>
          <w:b/>
          <w:color w:val="auto"/>
        </w:rPr>
        <w:t>TERCERO. NOTIFÍQUESE</w:t>
      </w:r>
      <w:r w:rsidRPr="008817CD">
        <w:rPr>
          <w:color w:val="auto"/>
        </w:rPr>
        <w:t xml:space="preserve"> </w:t>
      </w:r>
      <w:r w:rsidRPr="008817CD">
        <w:rPr>
          <w:b/>
          <w:color w:val="auto"/>
        </w:rPr>
        <w:t>VÍA SAIMEX</w:t>
      </w:r>
      <w:r w:rsidRPr="008817CD">
        <w:rPr>
          <w:color w:val="auto"/>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F625504" w14:textId="77777777" w:rsidR="00763977" w:rsidRPr="008817CD" w:rsidRDefault="00763977" w:rsidP="00621403">
      <w:pPr>
        <w:spacing w:after="0" w:line="360" w:lineRule="auto"/>
        <w:rPr>
          <w:color w:val="auto"/>
        </w:rPr>
      </w:pPr>
    </w:p>
    <w:p w14:paraId="1A6440D0" w14:textId="77777777" w:rsidR="00763977" w:rsidRPr="008817CD" w:rsidRDefault="002033C0" w:rsidP="00621403">
      <w:pPr>
        <w:spacing w:after="0" w:line="360" w:lineRule="auto"/>
        <w:rPr>
          <w:color w:val="auto"/>
        </w:rPr>
      </w:pPr>
      <w:r w:rsidRPr="008817CD">
        <w:rPr>
          <w:b/>
          <w:color w:val="auto"/>
        </w:rPr>
        <w:lastRenderedPageBreak/>
        <w:t>CUARTO. NOTIFÍQUESE</w:t>
      </w:r>
      <w:r w:rsidRPr="008817CD">
        <w:rPr>
          <w:color w:val="auto"/>
        </w:rPr>
        <w:t xml:space="preserve"> </w:t>
      </w:r>
      <w:r w:rsidRPr="008817CD">
        <w:rPr>
          <w:b/>
          <w:color w:val="auto"/>
        </w:rPr>
        <w:t>VÍA SAIMEX</w:t>
      </w:r>
      <w:r w:rsidRPr="008817CD">
        <w:rPr>
          <w:color w:val="auto"/>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1317348C" w14:textId="77777777" w:rsidR="00763977" w:rsidRPr="008817CD" w:rsidRDefault="00763977" w:rsidP="00621403">
      <w:pPr>
        <w:spacing w:after="0" w:line="360" w:lineRule="auto"/>
        <w:rPr>
          <w:color w:val="auto"/>
        </w:rPr>
      </w:pPr>
    </w:p>
    <w:p w14:paraId="7C478F2F" w14:textId="5CF1FF94" w:rsidR="00763977" w:rsidRPr="00FB1666" w:rsidRDefault="002033C0" w:rsidP="00621403">
      <w:pPr>
        <w:spacing w:after="0" w:line="360" w:lineRule="auto"/>
        <w:rPr>
          <w:color w:val="auto"/>
        </w:rPr>
      </w:pPr>
      <w:r w:rsidRPr="008817CD">
        <w:rPr>
          <w:color w:val="auto"/>
        </w:rPr>
        <w:t xml:space="preserve">ASÍ LO RESUELVE, POR </w:t>
      </w:r>
      <w:r w:rsidRPr="008817CD">
        <w:rPr>
          <w:b/>
          <w:color w:val="auto"/>
        </w:rPr>
        <w:t>UNANIMIDAD</w:t>
      </w:r>
      <w:r w:rsidRPr="008817CD">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1666" w:rsidRPr="008817CD">
        <w:rPr>
          <w:color w:val="auto"/>
        </w:rPr>
        <w:t xml:space="preserve">DÉCIMA CUARTA </w:t>
      </w:r>
      <w:r w:rsidRPr="008817CD">
        <w:rPr>
          <w:color w:val="auto"/>
        </w:rPr>
        <w:t xml:space="preserve">SESIÓN ORDINARIA, CELEBRADA EL </w:t>
      </w:r>
      <w:r w:rsidR="00FB1666" w:rsidRPr="008817CD">
        <w:rPr>
          <w:color w:val="auto"/>
        </w:rPr>
        <w:t xml:space="preserve">VEINTITRÉS DE ABRIL DE DOS MIL VEINTIINCO, </w:t>
      </w:r>
      <w:r w:rsidRPr="008817CD">
        <w:rPr>
          <w:color w:val="auto"/>
        </w:rPr>
        <w:t>ANTE EL SECRETARIO TÉCNICO DEL PLENO, ALEXIS TAPIA RAMÍREZ.</w:t>
      </w:r>
    </w:p>
    <w:p w14:paraId="604D0458" w14:textId="77777777" w:rsidR="00763977" w:rsidRPr="00482CF2" w:rsidRDefault="002033C0" w:rsidP="00621403">
      <w:pPr>
        <w:spacing w:after="0" w:line="360" w:lineRule="auto"/>
        <w:jc w:val="left"/>
        <w:rPr>
          <w:color w:val="FF0000"/>
        </w:rPr>
      </w:pPr>
      <w:r w:rsidRPr="00FB1666">
        <w:rPr>
          <w:color w:val="auto"/>
        </w:rPr>
        <w:br w:type="page"/>
      </w:r>
    </w:p>
    <w:sectPr w:rsidR="00763977" w:rsidRPr="00482CF2">
      <w:headerReference w:type="even" r:id="rId19"/>
      <w:headerReference w:type="default" r:id="rId20"/>
      <w:footerReference w:type="even" r:id="rId21"/>
      <w:footerReference w:type="default" r:id="rId22"/>
      <w:headerReference w:type="first" r:id="rId23"/>
      <w:footerReference w:type="first" r:id="rId2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2D56" w14:textId="77777777" w:rsidR="00DA1C70" w:rsidRDefault="00DA1C70">
      <w:pPr>
        <w:spacing w:after="0" w:line="240" w:lineRule="auto"/>
      </w:pPr>
      <w:r>
        <w:separator/>
      </w:r>
    </w:p>
  </w:endnote>
  <w:endnote w:type="continuationSeparator" w:id="0">
    <w:p w14:paraId="743D0E2F" w14:textId="77777777" w:rsidR="00DA1C70" w:rsidRDefault="00DA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8E2C" w14:textId="77777777" w:rsidR="00C95A53" w:rsidRDefault="00C95A5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5227">
      <w:rPr>
        <w:b/>
        <w:noProof/>
        <w:color w:val="000000"/>
        <w:sz w:val="24"/>
        <w:szCs w:val="24"/>
      </w:rPr>
      <w:t>43</w:t>
    </w:r>
    <w:r>
      <w:rPr>
        <w:b/>
        <w:color w:val="000000"/>
        <w:sz w:val="24"/>
        <w:szCs w:val="24"/>
      </w:rPr>
      <w:fldChar w:fldCharType="end"/>
    </w:r>
  </w:p>
  <w:p w14:paraId="017612EB"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903B" w14:textId="74355C25" w:rsidR="00C95A53" w:rsidRDefault="00C95A5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5227">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5227">
      <w:rPr>
        <w:b/>
        <w:noProof/>
        <w:color w:val="000000"/>
        <w:sz w:val="24"/>
        <w:szCs w:val="24"/>
      </w:rPr>
      <w:t>43</w:t>
    </w:r>
    <w:r>
      <w:rPr>
        <w:b/>
        <w:color w:val="000000"/>
        <w:sz w:val="24"/>
        <w:szCs w:val="24"/>
      </w:rPr>
      <w:fldChar w:fldCharType="end"/>
    </w:r>
  </w:p>
  <w:p w14:paraId="40E60E20"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A50A9" w14:textId="77777777" w:rsidR="00C95A53" w:rsidRDefault="00C95A5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522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5227">
      <w:rPr>
        <w:b/>
        <w:noProof/>
        <w:color w:val="000000"/>
        <w:sz w:val="24"/>
        <w:szCs w:val="24"/>
      </w:rPr>
      <w:t>43</w:t>
    </w:r>
    <w:r>
      <w:rPr>
        <w:b/>
        <w:color w:val="000000"/>
        <w:sz w:val="24"/>
        <w:szCs w:val="24"/>
      </w:rPr>
      <w:fldChar w:fldCharType="end"/>
    </w:r>
  </w:p>
  <w:p w14:paraId="57F5263B"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7C7D" w14:textId="77777777" w:rsidR="00DA1C70" w:rsidRDefault="00DA1C70">
      <w:pPr>
        <w:spacing w:after="0" w:line="240" w:lineRule="auto"/>
      </w:pPr>
      <w:r>
        <w:separator/>
      </w:r>
    </w:p>
  </w:footnote>
  <w:footnote w:type="continuationSeparator" w:id="0">
    <w:p w14:paraId="72B8C8E5" w14:textId="77777777" w:rsidR="00DA1C70" w:rsidRDefault="00DA1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B311" w14:textId="77777777" w:rsidR="00C95A53" w:rsidRDefault="00DA1C70">
    <w:pPr>
      <w:widowControl w:val="0"/>
      <w:pBdr>
        <w:top w:val="nil"/>
        <w:left w:val="nil"/>
        <w:bottom w:val="nil"/>
        <w:right w:val="nil"/>
        <w:between w:val="nil"/>
      </w:pBdr>
      <w:spacing w:after="0" w:line="276" w:lineRule="auto"/>
      <w:jc w:val="left"/>
      <w:rPr>
        <w:color w:val="000000"/>
      </w:rPr>
    </w:pPr>
    <w:r>
      <w:rPr>
        <w:color w:val="000000"/>
      </w:rPr>
      <w:pict w14:anchorId="7D309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75pt;height:12in;z-index:-251657728;mso-position-horizontal:center;mso-position-horizontal-relative:margin;mso-position-vertical:center;mso-position-vertical-relative:margin">
          <v:imagedata r:id="rId1" o:title="image5"/>
          <w10:wrap anchorx="margin" anchory="margin"/>
        </v:shape>
      </w:pict>
    </w: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95A53" w14:paraId="21DA97D2" w14:textId="77777777">
      <w:trPr>
        <w:trHeight w:val="141"/>
      </w:trPr>
      <w:tc>
        <w:tcPr>
          <w:tcW w:w="2404" w:type="dxa"/>
        </w:tcPr>
        <w:p w14:paraId="6395776E" w14:textId="77777777" w:rsidR="00C95A53" w:rsidRDefault="00C95A53">
          <w:pPr>
            <w:tabs>
              <w:tab w:val="right" w:pos="8838"/>
            </w:tabs>
            <w:ind w:right="-105"/>
            <w:rPr>
              <w:b/>
            </w:rPr>
          </w:pPr>
          <w:r>
            <w:rPr>
              <w:b/>
            </w:rPr>
            <w:t>Recurso de Revisión:</w:t>
          </w:r>
        </w:p>
      </w:tc>
      <w:tc>
        <w:tcPr>
          <w:tcW w:w="3587" w:type="dxa"/>
        </w:tcPr>
        <w:p w14:paraId="78139225" w14:textId="77777777" w:rsidR="00C95A53" w:rsidRDefault="00C95A53">
          <w:pPr>
            <w:tabs>
              <w:tab w:val="right" w:pos="8838"/>
            </w:tabs>
            <w:ind w:left="-28" w:right="683"/>
          </w:pPr>
          <w:r>
            <w:t>04196/INFOEM/IP/RR/2020</w:t>
          </w:r>
        </w:p>
      </w:tc>
    </w:tr>
    <w:tr w:rsidR="00C95A53" w14:paraId="36FF25B4" w14:textId="77777777">
      <w:trPr>
        <w:trHeight w:val="276"/>
      </w:trPr>
      <w:tc>
        <w:tcPr>
          <w:tcW w:w="2404" w:type="dxa"/>
        </w:tcPr>
        <w:p w14:paraId="59FF08DD" w14:textId="77777777" w:rsidR="00C95A53" w:rsidRDefault="00C95A53">
          <w:pPr>
            <w:tabs>
              <w:tab w:val="right" w:pos="8838"/>
            </w:tabs>
            <w:ind w:right="-105"/>
            <w:rPr>
              <w:b/>
            </w:rPr>
          </w:pPr>
          <w:r>
            <w:rPr>
              <w:b/>
            </w:rPr>
            <w:t>Sujeto Obligado:</w:t>
          </w:r>
        </w:p>
      </w:tc>
      <w:tc>
        <w:tcPr>
          <w:tcW w:w="3587" w:type="dxa"/>
        </w:tcPr>
        <w:p w14:paraId="2803DB41" w14:textId="77777777" w:rsidR="00C95A53" w:rsidRDefault="00C95A53">
          <w:pPr>
            <w:tabs>
              <w:tab w:val="right" w:pos="8838"/>
            </w:tabs>
            <w:ind w:right="116"/>
          </w:pPr>
          <w:r>
            <w:t>Ayuntamiento de Chapultepec</w:t>
          </w:r>
        </w:p>
      </w:tc>
    </w:tr>
    <w:tr w:rsidR="00C95A53" w14:paraId="3FD479EA" w14:textId="77777777">
      <w:trPr>
        <w:trHeight w:val="276"/>
      </w:trPr>
      <w:tc>
        <w:tcPr>
          <w:tcW w:w="2404" w:type="dxa"/>
        </w:tcPr>
        <w:p w14:paraId="7556431A" w14:textId="77777777" w:rsidR="00C95A53" w:rsidRDefault="00C95A53">
          <w:pPr>
            <w:tabs>
              <w:tab w:val="right" w:pos="8838"/>
            </w:tabs>
            <w:ind w:right="-105"/>
            <w:rPr>
              <w:b/>
            </w:rPr>
          </w:pPr>
          <w:r>
            <w:rPr>
              <w:b/>
            </w:rPr>
            <w:t>Comisionado Ponente:</w:t>
          </w:r>
        </w:p>
      </w:tc>
      <w:tc>
        <w:tcPr>
          <w:tcW w:w="3587" w:type="dxa"/>
        </w:tcPr>
        <w:p w14:paraId="09593F0D" w14:textId="77777777" w:rsidR="00C95A53" w:rsidRDefault="00C95A53">
          <w:pPr>
            <w:tabs>
              <w:tab w:val="right" w:pos="8838"/>
            </w:tabs>
            <w:ind w:right="-32"/>
          </w:pPr>
          <w:r>
            <w:t>Luis Gustavo Parra Noriega</w:t>
          </w:r>
        </w:p>
      </w:tc>
    </w:tr>
  </w:tbl>
  <w:p w14:paraId="5555D595"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D83B" w14:textId="77777777" w:rsidR="00C95A53" w:rsidRDefault="00DA1C70">
    <w:pPr>
      <w:rPr>
        <w:sz w:val="16"/>
        <w:szCs w:val="16"/>
      </w:rPr>
    </w:pPr>
    <w:r>
      <w:rPr>
        <w:sz w:val="16"/>
        <w:szCs w:val="16"/>
      </w:rPr>
      <w:pict w14:anchorId="4C40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63.75pt;height:12in;z-index:-251659776;mso-position-horizontal:center;mso-position-horizontal-relative:margin;mso-position-vertical:center;mso-position-vertical-relative:margin">
          <v:imagedata r:id="rId1" o:title="image5"/>
          <w10:wrap anchorx="margin" anchory="margin"/>
        </v:shape>
      </w:pict>
    </w: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C95A53" w14:paraId="6E069EA9" w14:textId="77777777">
      <w:trPr>
        <w:trHeight w:val="141"/>
      </w:trPr>
      <w:tc>
        <w:tcPr>
          <w:tcW w:w="2404" w:type="dxa"/>
        </w:tcPr>
        <w:p w14:paraId="7FC0370E" w14:textId="77777777" w:rsidR="00C95A53" w:rsidRDefault="00C95A53">
          <w:pPr>
            <w:tabs>
              <w:tab w:val="right" w:pos="8838"/>
            </w:tabs>
            <w:ind w:left="-395" w:right="-105" w:firstLine="395"/>
            <w:rPr>
              <w:b/>
            </w:rPr>
          </w:pPr>
          <w:r>
            <w:rPr>
              <w:b/>
            </w:rPr>
            <w:t>Recurso de Revisión:</w:t>
          </w:r>
        </w:p>
      </w:tc>
      <w:tc>
        <w:tcPr>
          <w:tcW w:w="4684" w:type="dxa"/>
        </w:tcPr>
        <w:p w14:paraId="0C0D1C62" w14:textId="43D0382D" w:rsidR="00C95A53" w:rsidRDefault="00C95A53">
          <w:pPr>
            <w:tabs>
              <w:tab w:val="right" w:pos="8838"/>
            </w:tabs>
            <w:ind w:left="-28" w:right="454"/>
          </w:pPr>
          <w:r>
            <w:t>02656/INFOEM/IP/RR/2025</w:t>
          </w:r>
        </w:p>
      </w:tc>
    </w:tr>
    <w:tr w:rsidR="00C95A53" w14:paraId="279890E9" w14:textId="77777777">
      <w:trPr>
        <w:trHeight w:val="276"/>
      </w:trPr>
      <w:tc>
        <w:tcPr>
          <w:tcW w:w="2404" w:type="dxa"/>
        </w:tcPr>
        <w:p w14:paraId="0F01A90A" w14:textId="77777777" w:rsidR="00C95A53" w:rsidRDefault="00C95A53">
          <w:pPr>
            <w:tabs>
              <w:tab w:val="right" w:pos="8838"/>
            </w:tabs>
            <w:ind w:right="-105"/>
            <w:rPr>
              <w:b/>
            </w:rPr>
          </w:pPr>
          <w:r>
            <w:rPr>
              <w:b/>
            </w:rPr>
            <w:t>Sujeto Obligado:</w:t>
          </w:r>
        </w:p>
      </w:tc>
      <w:tc>
        <w:tcPr>
          <w:tcW w:w="4684" w:type="dxa"/>
        </w:tcPr>
        <w:p w14:paraId="4DBEB0FC" w14:textId="77777777" w:rsidR="00C95A53" w:rsidRDefault="00C95A53">
          <w:pPr>
            <w:tabs>
              <w:tab w:val="left" w:pos="3158"/>
              <w:tab w:val="left" w:pos="4292"/>
              <w:tab w:val="right" w:pos="8838"/>
            </w:tabs>
            <w:ind w:right="601"/>
          </w:pPr>
          <w:r>
            <w:t>Ayuntamiento de Toluca</w:t>
          </w:r>
        </w:p>
      </w:tc>
    </w:tr>
    <w:tr w:rsidR="00C95A53" w14:paraId="12391011" w14:textId="77777777">
      <w:trPr>
        <w:trHeight w:val="276"/>
      </w:trPr>
      <w:tc>
        <w:tcPr>
          <w:tcW w:w="2404" w:type="dxa"/>
        </w:tcPr>
        <w:p w14:paraId="22FBFA8F" w14:textId="77777777" w:rsidR="00C95A53" w:rsidRDefault="00C95A53">
          <w:pPr>
            <w:tabs>
              <w:tab w:val="right" w:pos="8838"/>
            </w:tabs>
            <w:ind w:right="-105"/>
            <w:rPr>
              <w:b/>
            </w:rPr>
          </w:pPr>
          <w:r>
            <w:rPr>
              <w:b/>
            </w:rPr>
            <w:t>Comisionado Ponente:</w:t>
          </w:r>
        </w:p>
      </w:tc>
      <w:tc>
        <w:tcPr>
          <w:tcW w:w="4684" w:type="dxa"/>
        </w:tcPr>
        <w:p w14:paraId="37C81777" w14:textId="77777777" w:rsidR="00C95A53" w:rsidRDefault="00C95A53">
          <w:pPr>
            <w:tabs>
              <w:tab w:val="right" w:pos="8838"/>
            </w:tabs>
            <w:ind w:right="454"/>
          </w:pPr>
          <w:r>
            <w:t>Luis Gustavo Parra Noriega</w:t>
          </w:r>
        </w:p>
      </w:tc>
    </w:tr>
  </w:tbl>
  <w:p w14:paraId="322A1BDE"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9B05" w14:textId="77777777" w:rsidR="00C95A53" w:rsidRDefault="00DA1C70">
    <w:pPr>
      <w:widowControl w:val="0"/>
      <w:pBdr>
        <w:top w:val="nil"/>
        <w:left w:val="nil"/>
        <w:bottom w:val="nil"/>
        <w:right w:val="nil"/>
        <w:between w:val="nil"/>
      </w:pBdr>
      <w:spacing w:after="0" w:line="276" w:lineRule="auto"/>
      <w:jc w:val="left"/>
      <w:rPr>
        <w:color w:val="000000"/>
      </w:rPr>
    </w:pPr>
    <w:r>
      <w:rPr>
        <w:color w:val="000000"/>
      </w:rPr>
      <w:pict w14:anchorId="4F4E1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75pt;margin-top:-124.8pt;width:663.75pt;height:12in;z-index:-251658752;mso-position-horizontal:absolute;mso-position-horizontal-relative:margin;mso-position-vertical:absolute;mso-position-vertical-relative:margin">
          <v:imagedata r:id="rId1" o:title="image5"/>
          <w10:wrap anchorx="margin" anchory="margin"/>
        </v:shape>
      </w:pict>
    </w:r>
  </w:p>
  <w:tbl>
    <w:tblPr>
      <w:tblStyle w:val="a5"/>
      <w:tblW w:w="9072" w:type="dxa"/>
      <w:tblInd w:w="142" w:type="dxa"/>
      <w:tblLayout w:type="fixed"/>
      <w:tblLook w:val="0400" w:firstRow="0" w:lastRow="0" w:firstColumn="0" w:lastColumn="0" w:noHBand="0" w:noVBand="1"/>
    </w:tblPr>
    <w:tblGrid>
      <w:gridCol w:w="1985"/>
      <w:gridCol w:w="7087"/>
    </w:tblGrid>
    <w:tr w:rsidR="00C95A53" w14:paraId="17770FC6" w14:textId="77777777">
      <w:trPr>
        <w:trHeight w:val="1546"/>
      </w:trPr>
      <w:tc>
        <w:tcPr>
          <w:tcW w:w="1985" w:type="dxa"/>
          <w:shd w:val="clear" w:color="auto" w:fill="auto"/>
        </w:tcPr>
        <w:p w14:paraId="4D1EE1B0" w14:textId="77777777" w:rsidR="00C95A53" w:rsidRDefault="00C95A53">
          <w:pPr>
            <w:tabs>
              <w:tab w:val="right" w:pos="4273"/>
            </w:tabs>
            <w:rPr>
              <w:rFonts w:ascii="Garamond" w:eastAsia="Garamond" w:hAnsi="Garamond" w:cs="Garamond"/>
              <w:sz w:val="16"/>
              <w:szCs w:val="16"/>
            </w:rPr>
          </w:pPr>
        </w:p>
      </w:tc>
      <w:tc>
        <w:tcPr>
          <w:tcW w:w="7087" w:type="dxa"/>
          <w:shd w:val="clear" w:color="auto" w:fill="auto"/>
        </w:tcPr>
        <w:p w14:paraId="34C4F2BB" w14:textId="77777777" w:rsidR="00C95A53" w:rsidRPr="00482CF2" w:rsidRDefault="00C95A53" w:rsidP="00482CF2">
          <w:pPr>
            <w:tabs>
              <w:tab w:val="right" w:pos="8838"/>
            </w:tabs>
            <w:spacing w:after="0" w:line="240" w:lineRule="auto"/>
            <w:ind w:right="33"/>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C95A53" w14:paraId="46BD9A8A" w14:textId="77777777">
            <w:trPr>
              <w:trHeight w:val="141"/>
            </w:trPr>
            <w:tc>
              <w:tcPr>
                <w:tcW w:w="2404" w:type="dxa"/>
                <w:vAlign w:val="bottom"/>
              </w:tcPr>
              <w:p w14:paraId="02A0C8F4" w14:textId="77777777" w:rsidR="00C95A53" w:rsidRPr="00482CF2" w:rsidRDefault="00C95A53" w:rsidP="00482CF2">
                <w:pPr>
                  <w:tabs>
                    <w:tab w:val="right" w:pos="8838"/>
                  </w:tabs>
                  <w:ind w:right="33"/>
                  <w:rPr>
                    <w:b/>
                    <w:bCs/>
                  </w:rPr>
                </w:pPr>
                <w:r w:rsidRPr="00482CF2">
                  <w:rPr>
                    <w:b/>
                    <w:bCs/>
                  </w:rPr>
                  <w:t>Recurso de Revisión:</w:t>
                </w:r>
              </w:p>
            </w:tc>
            <w:tc>
              <w:tcPr>
                <w:tcW w:w="3975" w:type="dxa"/>
              </w:tcPr>
              <w:p w14:paraId="6D49E406" w14:textId="5F7171C2" w:rsidR="00C95A53" w:rsidRDefault="00C95A53" w:rsidP="00482CF2">
                <w:pPr>
                  <w:tabs>
                    <w:tab w:val="right" w:pos="8838"/>
                  </w:tabs>
                  <w:ind w:left="-28" w:right="33"/>
                </w:pPr>
                <w:r w:rsidRPr="00482CF2">
                  <w:t>02656/INFOEM/IP/RR/2025</w:t>
                </w:r>
              </w:p>
            </w:tc>
          </w:tr>
          <w:tr w:rsidR="00C95A53" w14:paraId="5B4AAFA9" w14:textId="77777777">
            <w:trPr>
              <w:trHeight w:val="141"/>
            </w:trPr>
            <w:tc>
              <w:tcPr>
                <w:tcW w:w="2404" w:type="dxa"/>
              </w:tcPr>
              <w:p w14:paraId="72DE8150" w14:textId="77777777" w:rsidR="00C95A53" w:rsidRPr="00482CF2" w:rsidRDefault="00C95A53" w:rsidP="00482CF2">
                <w:pPr>
                  <w:tabs>
                    <w:tab w:val="right" w:pos="8838"/>
                  </w:tabs>
                  <w:ind w:right="33"/>
                  <w:rPr>
                    <w:b/>
                    <w:bCs/>
                  </w:rPr>
                </w:pPr>
                <w:r w:rsidRPr="00482CF2">
                  <w:rPr>
                    <w:b/>
                    <w:bCs/>
                  </w:rPr>
                  <w:t>Recurrente:</w:t>
                </w:r>
              </w:p>
            </w:tc>
            <w:tc>
              <w:tcPr>
                <w:tcW w:w="3975" w:type="dxa"/>
              </w:tcPr>
              <w:p w14:paraId="5D13CA74" w14:textId="77777777" w:rsidR="00C95A53" w:rsidRDefault="00C95A53" w:rsidP="00482CF2">
                <w:pPr>
                  <w:tabs>
                    <w:tab w:val="right" w:pos="8838"/>
                  </w:tabs>
                  <w:ind w:right="33"/>
                </w:pPr>
              </w:p>
            </w:tc>
          </w:tr>
          <w:tr w:rsidR="00C95A53" w14:paraId="6E49595A" w14:textId="77777777">
            <w:trPr>
              <w:trHeight w:val="276"/>
            </w:trPr>
            <w:tc>
              <w:tcPr>
                <w:tcW w:w="2404" w:type="dxa"/>
              </w:tcPr>
              <w:p w14:paraId="5B41D955" w14:textId="77777777" w:rsidR="00C95A53" w:rsidRPr="00482CF2" w:rsidRDefault="00C95A53" w:rsidP="00482CF2">
                <w:pPr>
                  <w:tabs>
                    <w:tab w:val="right" w:pos="8838"/>
                  </w:tabs>
                  <w:ind w:right="33"/>
                  <w:rPr>
                    <w:b/>
                    <w:bCs/>
                  </w:rPr>
                </w:pPr>
                <w:r w:rsidRPr="00482CF2">
                  <w:rPr>
                    <w:b/>
                    <w:bCs/>
                  </w:rPr>
                  <w:t>Sujeto Obligado:</w:t>
                </w:r>
              </w:p>
            </w:tc>
            <w:tc>
              <w:tcPr>
                <w:tcW w:w="3975" w:type="dxa"/>
              </w:tcPr>
              <w:p w14:paraId="083B8426" w14:textId="77777777" w:rsidR="00C95A53" w:rsidRDefault="00C95A53" w:rsidP="00482CF2">
                <w:pPr>
                  <w:tabs>
                    <w:tab w:val="right" w:pos="8838"/>
                  </w:tabs>
                  <w:ind w:right="33"/>
                </w:pPr>
                <w:r>
                  <w:t>Ayuntamiento de Toluca</w:t>
                </w:r>
              </w:p>
            </w:tc>
          </w:tr>
          <w:tr w:rsidR="00C95A53" w14:paraId="45036A14" w14:textId="77777777">
            <w:trPr>
              <w:trHeight w:val="276"/>
            </w:trPr>
            <w:tc>
              <w:tcPr>
                <w:tcW w:w="2404" w:type="dxa"/>
              </w:tcPr>
              <w:p w14:paraId="0EF5D0B4" w14:textId="77777777" w:rsidR="00C95A53" w:rsidRPr="00482CF2" w:rsidRDefault="00C95A53" w:rsidP="00482CF2">
                <w:pPr>
                  <w:tabs>
                    <w:tab w:val="right" w:pos="8838"/>
                  </w:tabs>
                  <w:ind w:right="33"/>
                  <w:rPr>
                    <w:b/>
                    <w:bCs/>
                  </w:rPr>
                </w:pPr>
                <w:r w:rsidRPr="00482CF2">
                  <w:rPr>
                    <w:b/>
                    <w:bCs/>
                  </w:rPr>
                  <w:t>Comisionado Ponente:</w:t>
                </w:r>
              </w:p>
            </w:tc>
            <w:tc>
              <w:tcPr>
                <w:tcW w:w="3975" w:type="dxa"/>
              </w:tcPr>
              <w:p w14:paraId="07543860" w14:textId="77777777" w:rsidR="00C95A53" w:rsidRDefault="00C95A53" w:rsidP="00482CF2">
                <w:pPr>
                  <w:tabs>
                    <w:tab w:val="right" w:pos="8838"/>
                  </w:tabs>
                  <w:ind w:right="33"/>
                </w:pPr>
                <w:r>
                  <w:t>Luis Gustavo Parra Noriega</w:t>
                </w:r>
              </w:p>
            </w:tc>
          </w:tr>
        </w:tbl>
        <w:p w14:paraId="2F096BBD" w14:textId="77777777" w:rsidR="00C95A53" w:rsidRPr="00482CF2" w:rsidRDefault="00C95A53" w:rsidP="00482CF2">
          <w:pPr>
            <w:tabs>
              <w:tab w:val="right" w:pos="8838"/>
            </w:tabs>
            <w:spacing w:after="0" w:line="240" w:lineRule="auto"/>
            <w:ind w:left="-28" w:right="33"/>
          </w:pPr>
        </w:p>
      </w:tc>
    </w:tr>
  </w:tbl>
  <w:p w14:paraId="4DA4D7CD" w14:textId="77777777" w:rsidR="00C95A53" w:rsidRDefault="00C95A5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6C8626D"/>
    <w:multiLevelType w:val="hybridMultilevel"/>
    <w:tmpl w:val="87B0F5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77E66"/>
    <w:multiLevelType w:val="multilevel"/>
    <w:tmpl w:val="CBCE21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0F2712"/>
    <w:multiLevelType w:val="multilevel"/>
    <w:tmpl w:val="3D2E9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D5F38"/>
    <w:multiLevelType w:val="multilevel"/>
    <w:tmpl w:val="7CC40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81773B"/>
    <w:multiLevelType w:val="hybridMultilevel"/>
    <w:tmpl w:val="BAE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84216"/>
    <w:multiLevelType w:val="hybridMultilevel"/>
    <w:tmpl w:val="2B548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7269BF"/>
    <w:multiLevelType w:val="multilevel"/>
    <w:tmpl w:val="25663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6C0660"/>
    <w:multiLevelType w:val="multilevel"/>
    <w:tmpl w:val="73B8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90FF7"/>
    <w:multiLevelType w:val="hybridMultilevel"/>
    <w:tmpl w:val="87B0F5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DD1DC6"/>
    <w:multiLevelType w:val="hybridMultilevel"/>
    <w:tmpl w:val="4BC66170"/>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BE69DE"/>
    <w:multiLevelType w:val="hybridMultilevel"/>
    <w:tmpl w:val="4F6A2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54A65"/>
    <w:multiLevelType w:val="multilevel"/>
    <w:tmpl w:val="ADC87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C21235"/>
    <w:multiLevelType w:val="multilevel"/>
    <w:tmpl w:val="513A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ED25C0"/>
    <w:multiLevelType w:val="hybridMultilevel"/>
    <w:tmpl w:val="87B0F5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4B72AFB"/>
    <w:multiLevelType w:val="multilevel"/>
    <w:tmpl w:val="460EF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9E6A70"/>
    <w:multiLevelType w:val="hybridMultilevel"/>
    <w:tmpl w:val="87B0F5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9F1747"/>
    <w:multiLevelType w:val="hybridMultilevel"/>
    <w:tmpl w:val="2AC2D556"/>
    <w:lvl w:ilvl="0" w:tplc="671646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C570656"/>
    <w:multiLevelType w:val="hybridMultilevel"/>
    <w:tmpl w:val="D0447E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4F21FA"/>
    <w:multiLevelType w:val="hybridMultilevel"/>
    <w:tmpl w:val="33A0E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36176E"/>
    <w:multiLevelType w:val="multilevel"/>
    <w:tmpl w:val="2818A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E241D"/>
    <w:multiLevelType w:val="hybridMultilevel"/>
    <w:tmpl w:val="A7A4B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A3A49EF"/>
    <w:multiLevelType w:val="hybridMultilevel"/>
    <w:tmpl w:val="D0447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4"/>
  </w:num>
  <w:num w:numId="3">
    <w:abstractNumId w:val="14"/>
  </w:num>
  <w:num w:numId="4">
    <w:abstractNumId w:val="7"/>
  </w:num>
  <w:num w:numId="5">
    <w:abstractNumId w:val="2"/>
  </w:num>
  <w:num w:numId="6">
    <w:abstractNumId w:val="15"/>
  </w:num>
  <w:num w:numId="7">
    <w:abstractNumId w:val="9"/>
  </w:num>
  <w:num w:numId="8">
    <w:abstractNumId w:val="4"/>
  </w:num>
  <w:num w:numId="9">
    <w:abstractNumId w:val="18"/>
  </w:num>
  <w:num w:numId="10">
    <w:abstractNumId w:val="20"/>
  </w:num>
  <w:num w:numId="11">
    <w:abstractNumId w:val="23"/>
  </w:num>
  <w:num w:numId="12">
    <w:abstractNumId w:val="6"/>
  </w:num>
  <w:num w:numId="13">
    <w:abstractNumId w:val="13"/>
  </w:num>
  <w:num w:numId="14">
    <w:abstractNumId w:val="1"/>
  </w:num>
  <w:num w:numId="15">
    <w:abstractNumId w:val="5"/>
  </w:num>
  <w:num w:numId="16">
    <w:abstractNumId w:val="27"/>
  </w:num>
  <w:num w:numId="17">
    <w:abstractNumId w:val="16"/>
  </w:num>
  <w:num w:numId="18">
    <w:abstractNumId w:val="22"/>
  </w:num>
  <w:num w:numId="19">
    <w:abstractNumId w:val="12"/>
  </w:num>
  <w:num w:numId="20">
    <w:abstractNumId w:val="25"/>
  </w:num>
  <w:num w:numId="21">
    <w:abstractNumId w:val="19"/>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7"/>
  </w:num>
  <w:num w:numId="26">
    <w:abstractNumId w:val="8"/>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77"/>
    <w:rsid w:val="000560AA"/>
    <w:rsid w:val="00056898"/>
    <w:rsid w:val="000820B0"/>
    <w:rsid w:val="000E1961"/>
    <w:rsid w:val="001640D2"/>
    <w:rsid w:val="001B77F4"/>
    <w:rsid w:val="001C73C6"/>
    <w:rsid w:val="001F2186"/>
    <w:rsid w:val="001F2E75"/>
    <w:rsid w:val="002033C0"/>
    <w:rsid w:val="0021549E"/>
    <w:rsid w:val="002334ED"/>
    <w:rsid w:val="00273A69"/>
    <w:rsid w:val="0029661E"/>
    <w:rsid w:val="00305DB8"/>
    <w:rsid w:val="003070A4"/>
    <w:rsid w:val="00340F80"/>
    <w:rsid w:val="00345489"/>
    <w:rsid w:val="0038289E"/>
    <w:rsid w:val="00382CED"/>
    <w:rsid w:val="003943C0"/>
    <w:rsid w:val="003C0D1D"/>
    <w:rsid w:val="003E2BCA"/>
    <w:rsid w:val="004149C6"/>
    <w:rsid w:val="00427226"/>
    <w:rsid w:val="004331E4"/>
    <w:rsid w:val="00464E2B"/>
    <w:rsid w:val="00466C41"/>
    <w:rsid w:val="00473DC0"/>
    <w:rsid w:val="00482CF2"/>
    <w:rsid w:val="004A1F68"/>
    <w:rsid w:val="004B0AC0"/>
    <w:rsid w:val="004C2A82"/>
    <w:rsid w:val="004E25C0"/>
    <w:rsid w:val="004E2A6E"/>
    <w:rsid w:val="00530A37"/>
    <w:rsid w:val="00547A1A"/>
    <w:rsid w:val="00551A9C"/>
    <w:rsid w:val="00562FC1"/>
    <w:rsid w:val="00581197"/>
    <w:rsid w:val="0058514E"/>
    <w:rsid w:val="00587C0C"/>
    <w:rsid w:val="005A7594"/>
    <w:rsid w:val="005B1A6A"/>
    <w:rsid w:val="005B6781"/>
    <w:rsid w:val="005D03BA"/>
    <w:rsid w:val="005F0CD1"/>
    <w:rsid w:val="005F158F"/>
    <w:rsid w:val="00613715"/>
    <w:rsid w:val="00621403"/>
    <w:rsid w:val="006437F0"/>
    <w:rsid w:val="006677E9"/>
    <w:rsid w:val="00686961"/>
    <w:rsid w:val="00687865"/>
    <w:rsid w:val="006A2F91"/>
    <w:rsid w:val="006A2FC4"/>
    <w:rsid w:val="006A6E4F"/>
    <w:rsid w:val="006B0CE5"/>
    <w:rsid w:val="006B5520"/>
    <w:rsid w:val="006C02D6"/>
    <w:rsid w:val="006C2AAC"/>
    <w:rsid w:val="00717FCA"/>
    <w:rsid w:val="00723D1B"/>
    <w:rsid w:val="00730A3E"/>
    <w:rsid w:val="00763977"/>
    <w:rsid w:val="007D6F5B"/>
    <w:rsid w:val="007E0EE3"/>
    <w:rsid w:val="007E2405"/>
    <w:rsid w:val="007F1CCA"/>
    <w:rsid w:val="007F3DBA"/>
    <w:rsid w:val="00802C21"/>
    <w:rsid w:val="008031A3"/>
    <w:rsid w:val="00817BD4"/>
    <w:rsid w:val="008817CD"/>
    <w:rsid w:val="008A1D1F"/>
    <w:rsid w:val="008A3364"/>
    <w:rsid w:val="008B1AFC"/>
    <w:rsid w:val="008D4BFD"/>
    <w:rsid w:val="008D4EA0"/>
    <w:rsid w:val="00965227"/>
    <w:rsid w:val="00965AE7"/>
    <w:rsid w:val="00967611"/>
    <w:rsid w:val="0097235C"/>
    <w:rsid w:val="009A740A"/>
    <w:rsid w:val="009B1753"/>
    <w:rsid w:val="009C00F8"/>
    <w:rsid w:val="009D6310"/>
    <w:rsid w:val="00A1438F"/>
    <w:rsid w:val="00A31B2D"/>
    <w:rsid w:val="00A43D92"/>
    <w:rsid w:val="00A454AC"/>
    <w:rsid w:val="00A560B1"/>
    <w:rsid w:val="00A60FB8"/>
    <w:rsid w:val="00A87BD9"/>
    <w:rsid w:val="00B15BFD"/>
    <w:rsid w:val="00B41652"/>
    <w:rsid w:val="00B677CC"/>
    <w:rsid w:val="00B7398D"/>
    <w:rsid w:val="00BA05A4"/>
    <w:rsid w:val="00BA7284"/>
    <w:rsid w:val="00BB4E17"/>
    <w:rsid w:val="00BD508C"/>
    <w:rsid w:val="00BE0227"/>
    <w:rsid w:val="00BF7F6C"/>
    <w:rsid w:val="00C32E94"/>
    <w:rsid w:val="00C37705"/>
    <w:rsid w:val="00C55150"/>
    <w:rsid w:val="00C6200E"/>
    <w:rsid w:val="00C632C8"/>
    <w:rsid w:val="00C64E2C"/>
    <w:rsid w:val="00C80C2D"/>
    <w:rsid w:val="00C95A53"/>
    <w:rsid w:val="00CA4D45"/>
    <w:rsid w:val="00D50B07"/>
    <w:rsid w:val="00D60A14"/>
    <w:rsid w:val="00D60E39"/>
    <w:rsid w:val="00D83BC2"/>
    <w:rsid w:val="00D86429"/>
    <w:rsid w:val="00DA1C70"/>
    <w:rsid w:val="00DC5CDC"/>
    <w:rsid w:val="00E164C2"/>
    <w:rsid w:val="00E164D1"/>
    <w:rsid w:val="00E22EAA"/>
    <w:rsid w:val="00E5729F"/>
    <w:rsid w:val="00E744FA"/>
    <w:rsid w:val="00E955E8"/>
    <w:rsid w:val="00EA2879"/>
    <w:rsid w:val="00F00C27"/>
    <w:rsid w:val="00F02588"/>
    <w:rsid w:val="00F5612A"/>
    <w:rsid w:val="00F634E5"/>
    <w:rsid w:val="00F74CE5"/>
    <w:rsid w:val="00F83153"/>
    <w:rsid w:val="00F87296"/>
    <w:rsid w:val="00FB1666"/>
    <w:rsid w:val="00FB6AA8"/>
    <w:rsid w:val="00FF3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4ACA0"/>
  <w15:docId w15:val="{FB7AFEC3-9E15-4413-8A93-FF2C8F11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character" w:customStyle="1" w:styleId="Mencinsinresolver3">
    <w:name w:val="Mención sin resolver3"/>
    <w:basedOn w:val="Fuentedeprrafopredeter"/>
    <w:uiPriority w:val="99"/>
    <w:semiHidden/>
    <w:unhideWhenUsed/>
    <w:rsid w:val="0026498E"/>
    <w:rPr>
      <w:color w:val="605E5C"/>
      <w:shd w:val="clear" w:color="auto" w:fill="E1DFDD"/>
    </w:rPr>
  </w:style>
  <w:style w:type="character" w:customStyle="1" w:styleId="il">
    <w:name w:val="il"/>
    <w:basedOn w:val="Fuentedeprrafopredeter"/>
    <w:rsid w:val="006E05F3"/>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F2E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E75"/>
    <w:rPr>
      <w:rFonts w:ascii="Segoe UI" w:hAnsi="Segoe UI" w:cs="Segoe UI"/>
      <w:color w:val="000000" w:themeColor="text1"/>
      <w:sz w:val="18"/>
      <w:szCs w:val="18"/>
    </w:rPr>
  </w:style>
  <w:style w:type="character" w:customStyle="1" w:styleId="UnresolvedMention">
    <w:name w:val="Unresolved Mention"/>
    <w:basedOn w:val="Fuentedeprrafopredeter"/>
    <w:uiPriority w:val="99"/>
    <w:semiHidden/>
    <w:unhideWhenUsed/>
    <w:rsid w:val="0096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04518">
      <w:bodyDiv w:val="1"/>
      <w:marLeft w:val="0"/>
      <w:marRight w:val="0"/>
      <w:marTop w:val="0"/>
      <w:marBottom w:val="0"/>
      <w:divBdr>
        <w:top w:val="none" w:sz="0" w:space="0" w:color="auto"/>
        <w:left w:val="none" w:sz="0" w:space="0" w:color="auto"/>
        <w:bottom w:val="none" w:sz="0" w:space="0" w:color="auto"/>
        <w:right w:val="none" w:sz="0" w:space="0" w:color="auto"/>
      </w:divBdr>
    </w:div>
    <w:div w:id="1396588642">
      <w:bodyDiv w:val="1"/>
      <w:marLeft w:val="0"/>
      <w:marRight w:val="0"/>
      <w:marTop w:val="0"/>
      <w:marBottom w:val="0"/>
      <w:divBdr>
        <w:top w:val="none" w:sz="0" w:space="0" w:color="auto"/>
        <w:left w:val="none" w:sz="0" w:space="0" w:color="auto"/>
        <w:bottom w:val="none" w:sz="0" w:space="0" w:color="auto"/>
        <w:right w:val="none" w:sz="0" w:space="0" w:color="auto"/>
      </w:divBdr>
    </w:div>
    <w:div w:id="158394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ebapps.condusef.gob.mx/SIPRES/jsp/pub/index.j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dusef.gob.mx/Revista/index.php/usuario-inteligente/condusef-responde/777-la-condusef-te-puede-ayud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V7InzpiMW2f6ecNbh04GLjd0g==">CgMxLjAyCGguZ2pkZ3hzMgloLjMwajB6bGwyCWguMWZvYjl0ZTIJaC4zem55c2g3MgloLjJldDkycDAyCGgudHlqY3d0MgloLjNkeTZ2a20yCWguMXQzaDVzZjIJaC40ZDM0b2c4MgloLjJzOGV5bzEyCWguMTdkcDh2dTIJaC4zcmRjcmpuMgloLjI2aW4xcmcyCGgubG54Yno5MgloLjM1bmt1bjI4AHIhMXlnYlNfQWJTR3dtQnBLVFJOMnZRbm1zM3NuaDk1UURN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10976</Words>
  <Characters>60373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2025-04-25T18:52:00Z</cp:lastPrinted>
  <dcterms:created xsi:type="dcterms:W3CDTF">2025-04-25T18:52:00Z</dcterms:created>
  <dcterms:modified xsi:type="dcterms:W3CDTF">2025-04-25T18:52:00Z</dcterms:modified>
</cp:coreProperties>
</file>