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9C75C" w14:textId="77777777" w:rsidR="00B51F42" w:rsidRPr="00CB4A4D" w:rsidRDefault="00B51F42" w:rsidP="00D16E46">
      <w:pPr>
        <w:tabs>
          <w:tab w:val="left" w:pos="8931"/>
        </w:tabs>
        <w:spacing w:after="0" w:line="360" w:lineRule="auto"/>
        <w:rPr>
          <w:rFonts w:cs="Tahoma"/>
          <w:b/>
        </w:rPr>
      </w:pPr>
    </w:p>
    <w:p w14:paraId="63E834DF" w14:textId="427E41C9" w:rsidR="00EC77D9" w:rsidRPr="00F5640D" w:rsidRDefault="00EC77D9" w:rsidP="00D16E46">
      <w:pPr>
        <w:tabs>
          <w:tab w:val="left" w:pos="8931"/>
        </w:tabs>
        <w:spacing w:after="0" w:line="360" w:lineRule="auto"/>
        <w:rPr>
          <w:rFonts w:eastAsia="Calibri" w:cs="Tahoma"/>
          <w:lang w:val="es-ES"/>
        </w:rPr>
      </w:pPr>
      <w:r w:rsidRPr="00F5640D">
        <w:rPr>
          <w:rFonts w:cs="Tahoma"/>
          <w:bCs/>
        </w:rPr>
        <w:t xml:space="preserve">Resolución del Pleno del Instituto de Transparencia, Acceso a la Información Pública y Protección de Datos Personales del Estado de México y Municipios, con domicilio en Metepec, </w:t>
      </w:r>
      <w:r w:rsidRPr="00F5640D">
        <w:rPr>
          <w:rFonts w:eastAsia="Calibri" w:cs="Tahoma"/>
          <w:lang w:val="es-ES"/>
        </w:rPr>
        <w:t xml:space="preserve">Estado de México, de fecha </w:t>
      </w:r>
      <w:r w:rsidR="004C1377" w:rsidRPr="00F5640D">
        <w:rPr>
          <w:rFonts w:eastAsia="Calibri" w:cs="Tahoma"/>
          <w:lang w:val="es-ES"/>
        </w:rPr>
        <w:t>quince</w:t>
      </w:r>
      <w:r w:rsidR="003D261A" w:rsidRPr="00F5640D">
        <w:rPr>
          <w:rFonts w:eastAsia="Calibri" w:cs="Tahoma"/>
          <w:lang w:val="es-ES"/>
        </w:rPr>
        <w:t xml:space="preserve"> de enero</w:t>
      </w:r>
      <w:r w:rsidRPr="00F5640D">
        <w:rPr>
          <w:rFonts w:eastAsia="Calibri" w:cs="Tahoma"/>
          <w:lang w:val="es-ES"/>
        </w:rPr>
        <w:t xml:space="preserve"> de dos mil veint</w:t>
      </w:r>
      <w:r w:rsidR="001E478B" w:rsidRPr="00F5640D">
        <w:rPr>
          <w:rFonts w:eastAsia="Calibri" w:cs="Tahoma"/>
          <w:lang w:val="es-ES"/>
        </w:rPr>
        <w:t>i</w:t>
      </w:r>
      <w:r w:rsidR="00DB31D6" w:rsidRPr="00F5640D">
        <w:rPr>
          <w:rFonts w:eastAsia="Calibri" w:cs="Tahoma"/>
          <w:lang w:val="es-ES"/>
        </w:rPr>
        <w:t>c</w:t>
      </w:r>
      <w:r w:rsidR="003D261A" w:rsidRPr="00F5640D">
        <w:rPr>
          <w:rFonts w:eastAsia="Calibri" w:cs="Tahoma"/>
          <w:lang w:val="es-ES"/>
        </w:rPr>
        <w:t>inco</w:t>
      </w:r>
      <w:r w:rsidRPr="00F5640D">
        <w:rPr>
          <w:rFonts w:eastAsia="Calibri" w:cs="Tahoma"/>
          <w:lang w:val="es-ES"/>
        </w:rPr>
        <w:t xml:space="preserve">. </w:t>
      </w:r>
    </w:p>
    <w:p w14:paraId="5E4128C6" w14:textId="77777777" w:rsidR="00EC77D9" w:rsidRPr="00F5640D" w:rsidRDefault="00EC77D9" w:rsidP="00D16E46">
      <w:pPr>
        <w:spacing w:after="0" w:line="360" w:lineRule="auto"/>
        <w:rPr>
          <w:rFonts w:eastAsia="Calibri" w:cs="Tahoma"/>
          <w:b/>
          <w:bCs/>
          <w:lang w:val="es-ES"/>
        </w:rPr>
      </w:pPr>
    </w:p>
    <w:p w14:paraId="04C62500" w14:textId="7531F62C" w:rsidR="00EC77D9" w:rsidRPr="00F5640D" w:rsidRDefault="00EC77D9" w:rsidP="00D16E46">
      <w:pPr>
        <w:spacing w:after="0" w:line="360" w:lineRule="auto"/>
        <w:rPr>
          <w:rFonts w:cs="Tahoma"/>
          <w:color w:val="0D0D0D" w:themeColor="text1" w:themeTint="F2"/>
        </w:rPr>
      </w:pPr>
      <w:r w:rsidRPr="00F5640D">
        <w:rPr>
          <w:rFonts w:eastAsia="Calibri" w:cs="Tahoma"/>
          <w:b/>
          <w:bCs/>
          <w:lang w:val="es-ES"/>
        </w:rPr>
        <w:t xml:space="preserve">VISTO </w:t>
      </w:r>
      <w:r w:rsidRPr="00F5640D">
        <w:rPr>
          <w:rFonts w:eastAsia="Calibri" w:cs="Tahoma"/>
          <w:lang w:val="es-ES"/>
        </w:rPr>
        <w:t xml:space="preserve">el expediente conformado con motivo del Recurso de Revisión </w:t>
      </w:r>
      <w:bookmarkStart w:id="0" w:name="_Hlk168055842"/>
      <w:r w:rsidR="00C67EF9" w:rsidRPr="00014201">
        <w:rPr>
          <w:rFonts w:eastAsia="Calibri" w:cs="Tahoma"/>
          <w:b/>
        </w:rPr>
        <w:t>0</w:t>
      </w:r>
      <w:r w:rsidR="003D261A" w:rsidRPr="00014201">
        <w:rPr>
          <w:rFonts w:eastAsia="Calibri" w:cs="Tahoma"/>
          <w:b/>
        </w:rPr>
        <w:t>7506</w:t>
      </w:r>
      <w:r w:rsidR="00C67EF9" w:rsidRPr="00014201">
        <w:rPr>
          <w:rFonts w:eastAsia="Calibri" w:cs="Tahoma"/>
          <w:b/>
        </w:rPr>
        <w:t>/INFOEM/IP/RR/2024</w:t>
      </w:r>
      <w:bookmarkEnd w:id="0"/>
      <w:r w:rsidRPr="00F5640D">
        <w:rPr>
          <w:rFonts w:eastAsia="Calibri" w:cs="Tahoma"/>
        </w:rPr>
        <w:t>, interpuesto</w:t>
      </w:r>
      <w:r w:rsidR="00780B8A" w:rsidRPr="00F5640D">
        <w:rPr>
          <w:rFonts w:eastAsia="Calibri" w:cs="Tahoma"/>
        </w:rPr>
        <w:t xml:space="preserve"> po</w:t>
      </w:r>
      <w:r w:rsidR="006B71D7" w:rsidRPr="00F5640D">
        <w:rPr>
          <w:rFonts w:eastAsia="Calibri" w:cs="Tahoma"/>
        </w:rPr>
        <w:t>r</w:t>
      </w:r>
      <w:r w:rsidR="008F14AD" w:rsidRPr="00F5640D">
        <w:rPr>
          <w:rFonts w:eastAsia="Calibri" w:cs="Tahoma"/>
        </w:rPr>
        <w:t xml:space="preserve"> </w:t>
      </w:r>
      <w:r w:rsidR="00C67EF9" w:rsidRPr="00F5640D">
        <w:rPr>
          <w:rFonts w:eastAsia="Calibri" w:cs="Tahoma"/>
        </w:rPr>
        <w:t>la persona</w:t>
      </w:r>
      <w:r w:rsidRPr="00F5640D">
        <w:rPr>
          <w:rFonts w:cs="Tahoma"/>
          <w:color w:val="0D0D0D" w:themeColor="text1" w:themeTint="F2"/>
        </w:rPr>
        <w:t xml:space="preserve"> Recurrente o Particular, en contra</w:t>
      </w:r>
      <w:r w:rsidR="00C67EF9" w:rsidRPr="00F5640D">
        <w:rPr>
          <w:rFonts w:cs="Tahoma"/>
          <w:color w:val="0D0D0D" w:themeColor="text1" w:themeTint="F2"/>
        </w:rPr>
        <w:t xml:space="preserve"> </w:t>
      </w:r>
      <w:r w:rsidRPr="00F5640D">
        <w:rPr>
          <w:rFonts w:cs="Tahoma"/>
          <w:color w:val="0D0D0D" w:themeColor="text1" w:themeTint="F2"/>
        </w:rPr>
        <w:t xml:space="preserve">de </w:t>
      </w:r>
      <w:r w:rsidR="00C67EF9" w:rsidRPr="00F5640D">
        <w:rPr>
          <w:rFonts w:cs="Tahoma"/>
          <w:color w:val="0D0D0D" w:themeColor="text1" w:themeTint="F2"/>
        </w:rPr>
        <w:t xml:space="preserve">la </w:t>
      </w:r>
      <w:r w:rsidRPr="00F5640D">
        <w:rPr>
          <w:rFonts w:cs="Tahoma"/>
          <w:color w:val="0D0D0D" w:themeColor="text1" w:themeTint="F2"/>
        </w:rPr>
        <w:t xml:space="preserve">respuesta del Sujeto Obligado, </w:t>
      </w:r>
      <w:bookmarkStart w:id="1" w:name="_GoBack"/>
      <w:r w:rsidR="003D261A" w:rsidRPr="00014201">
        <w:rPr>
          <w:b/>
        </w:rPr>
        <w:t xml:space="preserve">Ayuntamiento de Atizapán de </w:t>
      </w:r>
      <w:r w:rsidR="003D261A" w:rsidRPr="00014201">
        <w:rPr>
          <w:b/>
        </w:rPr>
        <w:tab/>
        <w:t>Zaragoza</w:t>
      </w:r>
      <w:bookmarkEnd w:id="1"/>
      <w:r w:rsidRPr="00F5640D">
        <w:rPr>
          <w:rFonts w:cs="Tahoma"/>
          <w:color w:val="0D0D0D" w:themeColor="text1" w:themeTint="F2"/>
        </w:rPr>
        <w:t>, a la solicitud de acceso a la información pública</w:t>
      </w:r>
      <w:r w:rsidRPr="00F5640D">
        <w:rPr>
          <w:b/>
          <w:bCs/>
          <w:color w:val="FF0000"/>
        </w:rPr>
        <w:t> </w:t>
      </w:r>
      <w:bookmarkStart w:id="2" w:name="_Hlk168055894"/>
      <w:r w:rsidR="00C67EF9" w:rsidRPr="00F5640D">
        <w:t>00</w:t>
      </w:r>
      <w:r w:rsidR="003D261A" w:rsidRPr="00F5640D">
        <w:t>653</w:t>
      </w:r>
      <w:r w:rsidR="00C67EF9" w:rsidRPr="00F5640D">
        <w:t>/</w:t>
      </w:r>
      <w:r w:rsidR="003D261A" w:rsidRPr="00F5640D">
        <w:t>ATIZARA</w:t>
      </w:r>
      <w:r w:rsidR="00C67EF9" w:rsidRPr="00F5640D">
        <w:t>/IP/2024</w:t>
      </w:r>
      <w:bookmarkEnd w:id="2"/>
      <w:r w:rsidRPr="00F5640D">
        <w:rPr>
          <w:rFonts w:cs="Tahoma"/>
          <w:iCs/>
          <w:color w:val="0D0D0D" w:themeColor="text1" w:themeTint="F2"/>
        </w:rPr>
        <w:t>,</w:t>
      </w:r>
      <w:r w:rsidRPr="00F5640D">
        <w:rPr>
          <w:rFonts w:cs="Tahoma"/>
          <w:color w:val="0D0D0D" w:themeColor="text1" w:themeTint="F2"/>
        </w:rPr>
        <w:t xml:space="preserve"> se emite</w:t>
      </w:r>
      <w:r w:rsidRPr="00F5640D">
        <w:rPr>
          <w:rFonts w:cs="Tahoma"/>
          <w:bCs/>
          <w:color w:val="0D0D0D" w:themeColor="text1" w:themeTint="F2"/>
        </w:rPr>
        <w:t xml:space="preserve"> la presente Resolución, con base en los Antecedentes y Considerandos que se exponen a continuación:</w:t>
      </w:r>
    </w:p>
    <w:p w14:paraId="40862826" w14:textId="77777777" w:rsidR="00EC77D9" w:rsidRPr="00F5640D" w:rsidRDefault="00EC77D9" w:rsidP="00D16E46">
      <w:pPr>
        <w:spacing w:after="0" w:line="360" w:lineRule="auto"/>
        <w:rPr>
          <w:rFonts w:eastAsia="Calibri" w:cs="Tahoma"/>
          <w:b/>
          <w:bCs/>
          <w:lang w:val="es-ES"/>
        </w:rPr>
      </w:pPr>
    </w:p>
    <w:p w14:paraId="75BF07A7" w14:textId="64229D8F" w:rsidR="00EC77D9" w:rsidRPr="00F5640D" w:rsidRDefault="00EC77D9" w:rsidP="00D16E46">
      <w:pPr>
        <w:spacing w:after="0" w:line="360" w:lineRule="auto"/>
        <w:jc w:val="center"/>
        <w:rPr>
          <w:rFonts w:eastAsia="Calibri" w:cs="Tahoma"/>
          <w:b/>
          <w:bCs/>
          <w:lang w:val="es-ES"/>
        </w:rPr>
      </w:pPr>
      <w:r w:rsidRPr="00F5640D">
        <w:rPr>
          <w:rFonts w:eastAsia="Calibri" w:cs="Tahoma"/>
          <w:b/>
          <w:bCs/>
          <w:lang w:val="es-ES"/>
        </w:rPr>
        <w:t>A N T E C E D E N T E S</w:t>
      </w:r>
    </w:p>
    <w:p w14:paraId="3C95874E" w14:textId="77777777" w:rsidR="00EC77D9" w:rsidRPr="00F5640D" w:rsidRDefault="00EC77D9" w:rsidP="00D16E46">
      <w:pPr>
        <w:spacing w:after="0" w:line="360" w:lineRule="auto"/>
        <w:rPr>
          <w:lang w:val="es-ES"/>
        </w:rPr>
      </w:pPr>
    </w:p>
    <w:p w14:paraId="4F749C11" w14:textId="1F037475" w:rsidR="00EC77D9" w:rsidRPr="00F5640D" w:rsidRDefault="00EC77D9" w:rsidP="00D16E46">
      <w:pPr>
        <w:spacing w:after="0" w:line="360" w:lineRule="auto"/>
        <w:rPr>
          <w:rFonts w:eastAsia="Calibri" w:cs="Tahoma"/>
          <w:b/>
          <w:bCs/>
          <w:lang w:val="es-ES"/>
        </w:rPr>
      </w:pPr>
      <w:r w:rsidRPr="00F5640D">
        <w:rPr>
          <w:rFonts w:eastAsia="Calibri" w:cs="Tahoma"/>
          <w:b/>
          <w:bCs/>
          <w:lang w:val="es-ES"/>
        </w:rPr>
        <w:t>I. Presentación de la solicitud de información</w:t>
      </w:r>
    </w:p>
    <w:p w14:paraId="2856D2CB" w14:textId="77777777" w:rsidR="000F08D4" w:rsidRPr="00F5640D" w:rsidRDefault="000F08D4" w:rsidP="00D16E46">
      <w:pPr>
        <w:spacing w:after="0" w:line="360" w:lineRule="auto"/>
        <w:rPr>
          <w:rFonts w:cs="Tahoma"/>
        </w:rPr>
      </w:pPr>
    </w:p>
    <w:p w14:paraId="46A55CEB" w14:textId="737BAF95" w:rsidR="00D17D14" w:rsidRPr="00F5640D" w:rsidRDefault="00EA79A8" w:rsidP="00D16E46">
      <w:pPr>
        <w:spacing w:after="0" w:line="360" w:lineRule="auto"/>
        <w:rPr>
          <w:rFonts w:cs="Tahoma"/>
        </w:rPr>
      </w:pPr>
      <w:r w:rsidRPr="00F5640D">
        <w:rPr>
          <w:rFonts w:eastAsia="Calibri" w:cs="Tahoma"/>
        </w:rPr>
        <w:t>El</w:t>
      </w:r>
      <w:r w:rsidR="000F08D4" w:rsidRPr="00F5640D">
        <w:rPr>
          <w:rFonts w:eastAsia="Calibri" w:cs="Tahoma"/>
          <w:lang w:val="es-ES"/>
        </w:rPr>
        <w:t xml:space="preserve"> </w:t>
      </w:r>
      <w:r w:rsidR="0031460E" w:rsidRPr="00F5640D">
        <w:rPr>
          <w:rFonts w:eastAsia="Calibri" w:cs="Tahoma"/>
          <w:lang w:val="es-ES"/>
        </w:rPr>
        <w:t>vein</w:t>
      </w:r>
      <w:r w:rsidR="003D261A" w:rsidRPr="00F5640D">
        <w:rPr>
          <w:rFonts w:eastAsia="Calibri" w:cs="Tahoma"/>
          <w:lang w:val="es-ES"/>
        </w:rPr>
        <w:t>tinueve de octubre</w:t>
      </w:r>
      <w:r w:rsidR="008E1582" w:rsidRPr="00F5640D">
        <w:rPr>
          <w:rFonts w:eastAsia="Calibri" w:cs="Tahoma"/>
          <w:lang w:val="es-ES"/>
        </w:rPr>
        <w:t xml:space="preserve"> </w:t>
      </w:r>
      <w:r w:rsidR="000F08D4" w:rsidRPr="00F5640D">
        <w:rPr>
          <w:rFonts w:eastAsia="Calibri" w:cs="Tahoma"/>
          <w:lang w:val="es-ES"/>
        </w:rPr>
        <w:t>de dos mil veinti</w:t>
      </w:r>
      <w:r w:rsidR="00C67EF9" w:rsidRPr="00F5640D">
        <w:rPr>
          <w:rFonts w:eastAsia="Calibri" w:cs="Tahoma"/>
          <w:lang w:val="es-ES"/>
        </w:rPr>
        <w:t>cuatro</w:t>
      </w:r>
      <w:r w:rsidR="000F08D4" w:rsidRPr="00F5640D">
        <w:rPr>
          <w:rFonts w:eastAsia="Calibri" w:cs="Tahoma"/>
          <w:lang w:val="es-ES"/>
        </w:rPr>
        <w:t xml:space="preserve">, se presentó una solicitud de información </w:t>
      </w:r>
      <w:r w:rsidR="009C1D2E" w:rsidRPr="00F5640D">
        <w:rPr>
          <w:rFonts w:eastAsia="Calibri" w:cs="Tahoma"/>
          <w:lang w:val="es-ES"/>
        </w:rPr>
        <w:t>por la persona Recurrente</w:t>
      </w:r>
      <w:r w:rsidR="000F08D4" w:rsidRPr="00F5640D">
        <w:rPr>
          <w:rFonts w:eastAsia="Calibri" w:cs="Tahoma"/>
          <w:lang w:val="es-ES"/>
        </w:rPr>
        <w:t>, a través del Sistema de Acceso a la Información Mexiquense (SAIMEX),</w:t>
      </w:r>
      <w:r w:rsidR="000F08D4" w:rsidRPr="00F5640D">
        <w:rPr>
          <w:rFonts w:eastAsia="Calibri" w:cs="Times New Roman"/>
          <w:b/>
          <w:bCs/>
        </w:rPr>
        <w:t xml:space="preserve"> </w:t>
      </w:r>
      <w:r w:rsidR="000F08D4" w:rsidRPr="00F5640D">
        <w:rPr>
          <w:rFonts w:eastAsia="Calibri" w:cs="Tahoma"/>
          <w:lang w:val="es-ES"/>
        </w:rPr>
        <w:t>ante</w:t>
      </w:r>
      <w:r w:rsidR="0031460E" w:rsidRPr="00F5640D">
        <w:rPr>
          <w:rFonts w:eastAsia="Calibri" w:cs="Tahoma"/>
          <w:lang w:val="es-ES"/>
        </w:rPr>
        <w:t xml:space="preserve"> </w:t>
      </w:r>
      <w:r w:rsidR="003D261A" w:rsidRPr="00F5640D">
        <w:rPr>
          <w:rFonts w:eastAsia="Calibri" w:cs="Tahoma"/>
          <w:lang w:val="es-ES"/>
        </w:rPr>
        <w:t xml:space="preserve">el </w:t>
      </w:r>
      <w:r w:rsidR="003D261A" w:rsidRPr="00F5640D">
        <w:t xml:space="preserve">Ayuntamiento de Atizapán de </w:t>
      </w:r>
      <w:r w:rsidR="003D261A" w:rsidRPr="00F5640D">
        <w:tab/>
        <w:t>Zaragoza</w:t>
      </w:r>
      <w:r w:rsidR="000F08D4" w:rsidRPr="00F5640D">
        <w:rPr>
          <w:rFonts w:eastAsia="Calibri" w:cs="Tahoma"/>
        </w:rPr>
        <w:t xml:space="preserve">, </w:t>
      </w:r>
      <w:r w:rsidR="000F08D4" w:rsidRPr="00F5640D">
        <w:rPr>
          <w:rFonts w:cs="Tahoma"/>
        </w:rPr>
        <w:t xml:space="preserve">en los </w:t>
      </w:r>
      <w:r w:rsidR="008F14AD" w:rsidRPr="00F5640D">
        <w:rPr>
          <w:rFonts w:cs="Tahoma"/>
        </w:rPr>
        <w:t>términos siguientes:</w:t>
      </w:r>
    </w:p>
    <w:p w14:paraId="50EA853A" w14:textId="77777777" w:rsidR="00D17D14" w:rsidRPr="00F5640D" w:rsidRDefault="00D17D14" w:rsidP="00D16E46">
      <w:pPr>
        <w:spacing w:after="0" w:line="360" w:lineRule="auto"/>
        <w:rPr>
          <w:rFonts w:cs="Tahoma"/>
        </w:rPr>
      </w:pPr>
    </w:p>
    <w:p w14:paraId="3C749962" w14:textId="4A7F5858" w:rsidR="00EC77D9" w:rsidRPr="00F5640D" w:rsidRDefault="00EC77D9" w:rsidP="00D16E46">
      <w:pPr>
        <w:tabs>
          <w:tab w:val="left" w:pos="4667"/>
        </w:tabs>
        <w:spacing w:after="0" w:line="360" w:lineRule="auto"/>
        <w:ind w:left="567" w:right="567"/>
        <w:rPr>
          <w:rFonts w:cs="Tahoma"/>
          <w:b/>
          <w:bCs/>
          <w:i/>
          <w:sz w:val="20"/>
          <w:szCs w:val="20"/>
        </w:rPr>
      </w:pPr>
      <w:r w:rsidRPr="00F5640D">
        <w:rPr>
          <w:rFonts w:cs="Tahoma"/>
          <w:b/>
          <w:bCs/>
          <w:i/>
          <w:sz w:val="20"/>
          <w:szCs w:val="20"/>
        </w:rPr>
        <w:t>DESCRIPCIÓN CLARA Y PRECISA DE LA INFORMACIÓN SOLICITADA</w:t>
      </w:r>
    </w:p>
    <w:p w14:paraId="58218D87" w14:textId="0E721BCA" w:rsidR="00E90E82" w:rsidRPr="00F5640D" w:rsidRDefault="003D261A" w:rsidP="00D16E46">
      <w:pPr>
        <w:spacing w:after="0" w:line="360" w:lineRule="auto"/>
        <w:ind w:left="567" w:right="567"/>
        <w:rPr>
          <w:i/>
          <w:iCs/>
          <w:color w:val="000000"/>
          <w:sz w:val="20"/>
          <w:szCs w:val="20"/>
        </w:rPr>
      </w:pPr>
      <w:r w:rsidRPr="00F5640D">
        <w:rPr>
          <w:rFonts w:cs="Tahoma"/>
          <w:bCs/>
          <w:i/>
          <w:iCs/>
          <w:sz w:val="20"/>
          <w:szCs w:val="20"/>
        </w:rPr>
        <w:t xml:space="preserve">Solicito a este sujeto obligado cada uno de los contratos de su proveedor Everardo Araiza </w:t>
      </w:r>
      <w:proofErr w:type="spellStart"/>
      <w:r w:rsidRPr="00F5640D">
        <w:rPr>
          <w:rFonts w:cs="Tahoma"/>
          <w:bCs/>
          <w:i/>
          <w:iCs/>
          <w:sz w:val="20"/>
          <w:szCs w:val="20"/>
        </w:rPr>
        <w:t>Diaz</w:t>
      </w:r>
      <w:proofErr w:type="spellEnd"/>
      <w:r w:rsidRPr="00F5640D">
        <w:rPr>
          <w:rFonts w:cs="Tahoma"/>
          <w:bCs/>
          <w:i/>
          <w:iCs/>
          <w:sz w:val="20"/>
          <w:szCs w:val="20"/>
        </w:rPr>
        <w:t xml:space="preserve"> de </w:t>
      </w:r>
      <w:proofErr w:type="spellStart"/>
      <w:r w:rsidRPr="00F5640D">
        <w:rPr>
          <w:rFonts w:cs="Tahoma"/>
          <w:bCs/>
          <w:i/>
          <w:iCs/>
          <w:sz w:val="20"/>
          <w:szCs w:val="20"/>
        </w:rPr>
        <w:t>Leon</w:t>
      </w:r>
      <w:proofErr w:type="spellEnd"/>
      <w:r w:rsidRPr="00F5640D">
        <w:rPr>
          <w:rFonts w:cs="Tahoma"/>
          <w:bCs/>
          <w:i/>
          <w:iCs/>
          <w:sz w:val="20"/>
          <w:szCs w:val="20"/>
        </w:rPr>
        <w:t xml:space="preserve">, con la razón social QMKT SERVICIOS DIGITALES, S.A. DE C.V., ya que no es correcta la información que suben en su portal de </w:t>
      </w:r>
      <w:proofErr w:type="spellStart"/>
      <w:r w:rsidRPr="00F5640D">
        <w:rPr>
          <w:rFonts w:cs="Tahoma"/>
          <w:bCs/>
          <w:i/>
          <w:iCs/>
          <w:sz w:val="20"/>
          <w:szCs w:val="20"/>
        </w:rPr>
        <w:t>ipomex</w:t>
      </w:r>
      <w:proofErr w:type="spellEnd"/>
      <w:r w:rsidRPr="00F5640D">
        <w:rPr>
          <w:rFonts w:cs="Tahoma"/>
          <w:bCs/>
          <w:i/>
          <w:iCs/>
          <w:sz w:val="20"/>
          <w:szCs w:val="20"/>
        </w:rPr>
        <w:t xml:space="preserve">, </w:t>
      </w:r>
      <w:proofErr w:type="spellStart"/>
      <w:r w:rsidRPr="00F5640D">
        <w:rPr>
          <w:rFonts w:cs="Tahoma"/>
          <w:bCs/>
          <w:i/>
          <w:iCs/>
          <w:sz w:val="20"/>
          <w:szCs w:val="20"/>
        </w:rPr>
        <w:t>esta</w:t>
      </w:r>
      <w:proofErr w:type="spellEnd"/>
      <w:r w:rsidRPr="00F5640D">
        <w:rPr>
          <w:rFonts w:cs="Tahoma"/>
          <w:bCs/>
          <w:i/>
          <w:iCs/>
          <w:sz w:val="20"/>
          <w:szCs w:val="20"/>
        </w:rPr>
        <w:t xml:space="preserve"> incompleta ya que solo agregan un solo contrato de número CA-EX-08-01-2023 omitiendo y ocultando la información de este proveedor en particular, por lo que requiero se me envíen todos los contratos realizados con este proveedor desde </w:t>
      </w:r>
      <w:proofErr w:type="spellStart"/>
      <w:r w:rsidRPr="00F5640D">
        <w:rPr>
          <w:rFonts w:cs="Tahoma"/>
          <w:bCs/>
          <w:i/>
          <w:iCs/>
          <w:sz w:val="20"/>
          <w:szCs w:val="20"/>
        </w:rPr>
        <w:t>ell</w:t>
      </w:r>
      <w:proofErr w:type="spellEnd"/>
      <w:r w:rsidRPr="00F5640D">
        <w:rPr>
          <w:rFonts w:cs="Tahoma"/>
          <w:bCs/>
          <w:i/>
          <w:iCs/>
          <w:sz w:val="20"/>
          <w:szCs w:val="20"/>
        </w:rPr>
        <w:t xml:space="preserve"> primero de enero 2022 a el día de hoy, incluyendo como soporte cada una de las facturas con los montos pagados,¿ </w:t>
      </w:r>
      <w:proofErr w:type="spellStart"/>
      <w:r w:rsidRPr="00F5640D">
        <w:rPr>
          <w:rFonts w:cs="Tahoma"/>
          <w:bCs/>
          <w:i/>
          <w:iCs/>
          <w:sz w:val="20"/>
          <w:szCs w:val="20"/>
        </w:rPr>
        <w:t>cuanto</w:t>
      </w:r>
      <w:proofErr w:type="spellEnd"/>
      <w:r w:rsidRPr="00F5640D">
        <w:rPr>
          <w:rFonts w:cs="Tahoma"/>
          <w:bCs/>
          <w:i/>
          <w:iCs/>
          <w:sz w:val="20"/>
          <w:szCs w:val="20"/>
        </w:rPr>
        <w:t xml:space="preserve"> se le debe?, el desglose de cada uno de esos servicios, lo anterior conforme al artículo 11,15,16 de la ley de transparencia local.</w:t>
      </w:r>
      <w:r w:rsidR="006B71D7" w:rsidRPr="00F5640D">
        <w:rPr>
          <w:rFonts w:cs="Tahoma"/>
          <w:bCs/>
          <w:i/>
          <w:iCs/>
          <w:sz w:val="20"/>
          <w:szCs w:val="20"/>
        </w:rPr>
        <w:t>”</w:t>
      </w:r>
      <w:r w:rsidR="00EC77D9" w:rsidRPr="00F5640D">
        <w:rPr>
          <w:rFonts w:cs="Tahoma"/>
          <w:bCs/>
          <w:i/>
          <w:iCs/>
          <w:sz w:val="20"/>
          <w:szCs w:val="20"/>
        </w:rPr>
        <w:t xml:space="preserve"> </w:t>
      </w:r>
    </w:p>
    <w:p w14:paraId="3DC5A22B" w14:textId="77777777" w:rsidR="00A54130" w:rsidRPr="00F5640D" w:rsidRDefault="00A54130" w:rsidP="00D16E46">
      <w:pPr>
        <w:tabs>
          <w:tab w:val="left" w:pos="4667"/>
        </w:tabs>
        <w:spacing w:after="0" w:line="360" w:lineRule="auto"/>
        <w:ind w:right="567"/>
        <w:rPr>
          <w:rFonts w:cs="Tahoma"/>
          <w:bCs/>
          <w:i/>
          <w:sz w:val="20"/>
          <w:szCs w:val="20"/>
        </w:rPr>
      </w:pPr>
      <w:bookmarkStart w:id="3" w:name="_Hlk168055945"/>
    </w:p>
    <w:p w14:paraId="672D7CA3" w14:textId="126CF24D" w:rsidR="00993524" w:rsidRPr="00F5640D" w:rsidRDefault="00EC77D9" w:rsidP="00D16E46">
      <w:pPr>
        <w:tabs>
          <w:tab w:val="left" w:pos="4667"/>
        </w:tabs>
        <w:spacing w:after="0" w:line="360" w:lineRule="auto"/>
        <w:ind w:left="567" w:right="567"/>
        <w:rPr>
          <w:rFonts w:eastAsia="Times New Roman" w:cs="Tahoma"/>
          <w:b/>
          <w:bCs/>
          <w:i/>
          <w:iCs/>
          <w:color w:val="auto"/>
          <w:sz w:val="20"/>
          <w:szCs w:val="20"/>
          <w:lang w:eastAsia="es-ES"/>
        </w:rPr>
      </w:pPr>
      <w:r w:rsidRPr="00F5640D">
        <w:rPr>
          <w:rFonts w:eastAsia="Times New Roman" w:cs="Tahoma"/>
          <w:b/>
          <w:bCs/>
          <w:i/>
          <w:iCs/>
          <w:color w:val="auto"/>
          <w:sz w:val="20"/>
          <w:szCs w:val="20"/>
          <w:lang w:eastAsia="es-ES"/>
        </w:rPr>
        <w:t>MODALIDAD DE ENTREGA</w:t>
      </w:r>
    </w:p>
    <w:p w14:paraId="7ABF991B" w14:textId="100E1A1F" w:rsidR="00C67EF9" w:rsidRPr="00F5640D" w:rsidRDefault="00EC77D9" w:rsidP="0031460E">
      <w:pPr>
        <w:tabs>
          <w:tab w:val="left" w:pos="4667"/>
        </w:tabs>
        <w:spacing w:after="0" w:line="360" w:lineRule="auto"/>
        <w:ind w:left="567" w:right="567"/>
        <w:rPr>
          <w:rFonts w:eastAsia="Times New Roman" w:cs="Arial"/>
          <w:bCs/>
          <w:i/>
          <w:iCs/>
          <w:color w:val="auto"/>
          <w:sz w:val="20"/>
          <w:szCs w:val="20"/>
          <w:lang w:eastAsia="es-ES"/>
        </w:rPr>
      </w:pPr>
      <w:r w:rsidRPr="00F5640D">
        <w:rPr>
          <w:rFonts w:eastAsia="Times New Roman" w:cs="Arial"/>
          <w:bCs/>
          <w:i/>
          <w:iCs/>
          <w:color w:val="auto"/>
          <w:sz w:val="20"/>
          <w:szCs w:val="20"/>
          <w:lang w:eastAsia="es-ES"/>
        </w:rPr>
        <w:t>A través del SAIMEX</w:t>
      </w:r>
      <w:bookmarkEnd w:id="3"/>
      <w:r w:rsidR="00D35EF9" w:rsidRPr="00F5640D">
        <w:rPr>
          <w:rFonts w:eastAsia="Times New Roman" w:cs="Arial"/>
          <w:bCs/>
          <w:i/>
          <w:iCs/>
          <w:color w:val="auto"/>
          <w:sz w:val="20"/>
          <w:szCs w:val="20"/>
          <w:lang w:eastAsia="es-ES"/>
        </w:rPr>
        <w:t>”</w:t>
      </w:r>
    </w:p>
    <w:p w14:paraId="61A646D6" w14:textId="77777777" w:rsidR="003D261A" w:rsidRPr="00F5640D" w:rsidRDefault="003D261A" w:rsidP="0031460E">
      <w:pPr>
        <w:tabs>
          <w:tab w:val="left" w:pos="4667"/>
        </w:tabs>
        <w:spacing w:after="0" w:line="360" w:lineRule="auto"/>
        <w:ind w:left="567" w:right="567"/>
        <w:rPr>
          <w:rFonts w:eastAsia="Times New Roman" w:cs="Arial"/>
          <w:bCs/>
          <w:i/>
          <w:iCs/>
          <w:color w:val="auto"/>
          <w:sz w:val="20"/>
          <w:szCs w:val="20"/>
          <w:lang w:eastAsia="es-ES"/>
        </w:rPr>
      </w:pPr>
    </w:p>
    <w:p w14:paraId="64582FAC" w14:textId="77777777" w:rsidR="003D261A" w:rsidRPr="00F5640D" w:rsidRDefault="003D261A" w:rsidP="003D261A">
      <w:pPr>
        <w:spacing w:after="0" w:line="360" w:lineRule="auto"/>
        <w:contextualSpacing/>
        <w:rPr>
          <w:rFonts w:eastAsia="Calibri" w:cs="Tahoma"/>
          <w:b/>
          <w:bCs/>
        </w:rPr>
      </w:pPr>
      <w:r w:rsidRPr="00F5640D">
        <w:rPr>
          <w:rFonts w:eastAsia="Calibri" w:cs="Tahoma"/>
          <w:b/>
          <w:bCs/>
        </w:rPr>
        <w:t>II. Prórroga para atender su solicitud de información</w:t>
      </w:r>
    </w:p>
    <w:p w14:paraId="2629CED3" w14:textId="77777777" w:rsidR="003D261A" w:rsidRPr="00F5640D" w:rsidRDefault="003D261A" w:rsidP="003D261A">
      <w:pPr>
        <w:spacing w:after="0" w:line="360" w:lineRule="auto"/>
        <w:contextualSpacing/>
        <w:rPr>
          <w:rFonts w:eastAsia="Calibri" w:cs="Tahoma"/>
          <w:b/>
          <w:bCs/>
        </w:rPr>
      </w:pPr>
    </w:p>
    <w:p w14:paraId="1C3915FA" w14:textId="21A8E8A5" w:rsidR="00291A70" w:rsidRPr="00F5640D" w:rsidRDefault="003D261A" w:rsidP="003D261A">
      <w:pPr>
        <w:spacing w:after="0" w:line="360" w:lineRule="auto"/>
        <w:contextualSpacing/>
        <w:rPr>
          <w:rFonts w:cs="Tahoma"/>
        </w:rPr>
      </w:pPr>
      <w:r w:rsidRPr="00F5640D">
        <w:rPr>
          <w:rFonts w:eastAsia="Calibri" w:cs="Tahoma"/>
          <w:bCs/>
        </w:rPr>
        <w:t>El veintiuno de noviembre de dos mil veinticuatro</w:t>
      </w:r>
      <w:r w:rsidRPr="00F5640D">
        <w:rPr>
          <w:rFonts w:cs="Tahoma"/>
        </w:rPr>
        <w:t xml:space="preserve">, el Sujeto Obligado, a través del Sistema de Acceso a la Información Mexiquense (SAIMEX), notificó una prórroga, </w:t>
      </w:r>
      <w:r w:rsidR="00291A70" w:rsidRPr="00F5640D">
        <w:rPr>
          <w:rFonts w:cs="Tahoma"/>
        </w:rPr>
        <w:t>para la entrega de la información, ya que la misma requiere un procesamiento, además, por el número de solicitudes recibidas se retrasa la búsqueda de la información, por lo que se aprueba la ampliación de plazo legal para la correcta atención de la solicitud.</w:t>
      </w:r>
    </w:p>
    <w:p w14:paraId="4F321C8A" w14:textId="77777777" w:rsidR="003D261A" w:rsidRPr="00F5640D" w:rsidRDefault="003D261A" w:rsidP="00D16E46">
      <w:pPr>
        <w:tabs>
          <w:tab w:val="left" w:pos="4667"/>
        </w:tabs>
        <w:spacing w:after="0" w:line="360" w:lineRule="auto"/>
        <w:ind w:right="567"/>
        <w:rPr>
          <w:rFonts w:eastAsia="Times New Roman" w:cs="Tahoma"/>
          <w:b/>
          <w:bCs/>
          <w:color w:val="auto"/>
          <w:szCs w:val="24"/>
          <w:lang w:eastAsia="es-ES"/>
        </w:rPr>
      </w:pPr>
    </w:p>
    <w:p w14:paraId="34F9ADE6" w14:textId="42F86B1D" w:rsidR="001756F2" w:rsidRPr="00F5640D" w:rsidRDefault="001756F2" w:rsidP="00D16E46">
      <w:pPr>
        <w:tabs>
          <w:tab w:val="left" w:pos="4667"/>
        </w:tabs>
        <w:spacing w:after="0" w:line="360" w:lineRule="auto"/>
        <w:ind w:right="567"/>
        <w:rPr>
          <w:rFonts w:eastAsia="Times New Roman" w:cs="Tahoma"/>
          <w:b/>
          <w:bCs/>
          <w:color w:val="auto"/>
          <w:szCs w:val="24"/>
          <w:lang w:eastAsia="es-ES"/>
        </w:rPr>
      </w:pPr>
      <w:r w:rsidRPr="00F5640D">
        <w:rPr>
          <w:rFonts w:eastAsia="Times New Roman" w:cs="Tahoma"/>
          <w:b/>
          <w:bCs/>
          <w:color w:val="auto"/>
          <w:szCs w:val="24"/>
          <w:lang w:eastAsia="es-ES"/>
        </w:rPr>
        <w:t>I</w:t>
      </w:r>
      <w:r w:rsidR="00265193" w:rsidRPr="00F5640D">
        <w:rPr>
          <w:rFonts w:eastAsia="Times New Roman" w:cs="Tahoma"/>
          <w:b/>
          <w:bCs/>
          <w:color w:val="auto"/>
          <w:szCs w:val="24"/>
          <w:lang w:eastAsia="es-ES"/>
        </w:rPr>
        <w:t>I</w:t>
      </w:r>
      <w:r w:rsidRPr="00F5640D">
        <w:rPr>
          <w:rFonts w:eastAsia="Times New Roman" w:cs="Tahoma"/>
          <w:b/>
          <w:bCs/>
          <w:color w:val="auto"/>
          <w:szCs w:val="24"/>
          <w:lang w:eastAsia="es-ES"/>
        </w:rPr>
        <w:t xml:space="preserve">. </w:t>
      </w:r>
      <w:r w:rsidRPr="00F5640D">
        <w:rPr>
          <w:rFonts w:eastAsia="Times New Roman" w:cs="Tahoma"/>
          <w:b/>
          <w:color w:val="auto"/>
          <w:szCs w:val="24"/>
          <w:lang w:eastAsia="es-ES"/>
        </w:rPr>
        <w:t>Respuesta</w:t>
      </w:r>
      <w:r w:rsidRPr="00F5640D">
        <w:rPr>
          <w:rFonts w:eastAsia="Times New Roman" w:cs="Tahoma"/>
          <w:b/>
          <w:bCs/>
          <w:color w:val="auto"/>
          <w:szCs w:val="24"/>
          <w:lang w:eastAsia="es-ES"/>
        </w:rPr>
        <w:t xml:space="preserve"> del Sujeto Obligado</w:t>
      </w:r>
    </w:p>
    <w:p w14:paraId="748F9C73" w14:textId="77777777" w:rsidR="004B786D" w:rsidRPr="00F5640D" w:rsidRDefault="004B786D" w:rsidP="00D16E46">
      <w:pPr>
        <w:tabs>
          <w:tab w:val="left" w:pos="4667"/>
        </w:tabs>
        <w:spacing w:after="0" w:line="360" w:lineRule="auto"/>
        <w:ind w:right="567"/>
        <w:rPr>
          <w:rFonts w:eastAsia="Times New Roman" w:cs="Tahoma"/>
          <w:b/>
          <w:bCs/>
          <w:color w:val="auto"/>
          <w:szCs w:val="24"/>
          <w:lang w:eastAsia="es-ES"/>
        </w:rPr>
      </w:pPr>
    </w:p>
    <w:p w14:paraId="61B5EDD6" w14:textId="04DFAAB5" w:rsidR="009359A0" w:rsidRPr="00F5640D" w:rsidRDefault="00E6783D" w:rsidP="00D16E46">
      <w:pPr>
        <w:autoSpaceDE w:val="0"/>
        <w:autoSpaceDN w:val="0"/>
        <w:adjustRightInd w:val="0"/>
        <w:spacing w:after="0" w:line="360" w:lineRule="auto"/>
        <w:contextualSpacing/>
        <w:rPr>
          <w:rFonts w:eastAsia="Times New Roman" w:cs="Tahoma"/>
          <w:color w:val="auto"/>
          <w:lang w:eastAsia="es-ES"/>
        </w:rPr>
      </w:pPr>
      <w:bookmarkStart w:id="4" w:name="_Hlk170906280"/>
      <w:r w:rsidRPr="00F5640D">
        <w:rPr>
          <w:rFonts w:eastAsia="Calibri" w:cs="Tahoma"/>
          <w:color w:val="000000"/>
        </w:rPr>
        <w:t>El</w:t>
      </w:r>
      <w:r w:rsidR="006B71D7" w:rsidRPr="00F5640D">
        <w:rPr>
          <w:rFonts w:eastAsia="Calibri" w:cs="Tahoma"/>
          <w:color w:val="000000"/>
        </w:rPr>
        <w:t xml:space="preserve"> </w:t>
      </w:r>
      <w:r w:rsidR="007D278C" w:rsidRPr="00F5640D">
        <w:rPr>
          <w:rFonts w:eastAsia="Calibri" w:cs="Tahoma"/>
          <w:color w:val="000000"/>
        </w:rPr>
        <w:t>d</w:t>
      </w:r>
      <w:r w:rsidR="00AE14D4" w:rsidRPr="00F5640D">
        <w:rPr>
          <w:rFonts w:eastAsia="Calibri" w:cs="Tahoma"/>
          <w:color w:val="000000"/>
        </w:rPr>
        <w:t>os de diciembre</w:t>
      </w:r>
      <w:r w:rsidR="007D278C" w:rsidRPr="00F5640D">
        <w:rPr>
          <w:rFonts w:eastAsia="Calibri" w:cs="Tahoma"/>
          <w:color w:val="000000"/>
        </w:rPr>
        <w:t xml:space="preserve"> </w:t>
      </w:r>
      <w:r w:rsidRPr="00F5640D">
        <w:rPr>
          <w:rFonts w:eastAsia="Calibri" w:cs="Tahoma"/>
          <w:color w:val="000000"/>
        </w:rPr>
        <w:t>de dos mil veinti</w:t>
      </w:r>
      <w:r w:rsidR="0091577C" w:rsidRPr="00F5640D">
        <w:rPr>
          <w:rFonts w:eastAsia="Calibri" w:cs="Tahoma"/>
          <w:color w:val="000000"/>
        </w:rPr>
        <w:t>cuatro</w:t>
      </w:r>
      <w:r w:rsidRPr="00F5640D">
        <w:rPr>
          <w:rFonts w:eastAsia="Calibri" w:cs="Tahoma"/>
          <w:color w:val="000000"/>
        </w:rPr>
        <w:t xml:space="preserve">, el Sujeto Obligado notificó al Particular, mediante el </w:t>
      </w:r>
      <w:r w:rsidRPr="00F5640D">
        <w:rPr>
          <w:rFonts w:eastAsia="Times New Roman" w:cs="Tahoma"/>
          <w:color w:val="auto"/>
          <w:lang w:eastAsia="es-ES"/>
        </w:rPr>
        <w:t xml:space="preserve">Sistema de Acceso a la Información Mexiquense (SAIMEX), la respuesta a la solicitud de acceso a la información, </w:t>
      </w:r>
      <w:r w:rsidR="001C21EE" w:rsidRPr="00F5640D">
        <w:rPr>
          <w:rFonts w:eastAsia="Times New Roman" w:cs="Tahoma"/>
          <w:color w:val="auto"/>
          <w:lang w:eastAsia="es-ES"/>
        </w:rPr>
        <w:t>a través de</w:t>
      </w:r>
      <w:r w:rsidR="000D1DE0" w:rsidRPr="00F5640D">
        <w:rPr>
          <w:rFonts w:eastAsia="Times New Roman" w:cs="Tahoma"/>
          <w:color w:val="auto"/>
          <w:lang w:eastAsia="es-ES"/>
        </w:rPr>
        <w:t xml:space="preserve"> los documentos siguientes:</w:t>
      </w:r>
    </w:p>
    <w:p w14:paraId="04178C69" w14:textId="77777777" w:rsidR="009359A0" w:rsidRPr="00F5640D" w:rsidRDefault="009359A0" w:rsidP="00D16E46">
      <w:pPr>
        <w:autoSpaceDE w:val="0"/>
        <w:autoSpaceDN w:val="0"/>
        <w:adjustRightInd w:val="0"/>
        <w:spacing w:after="0" w:line="360" w:lineRule="auto"/>
        <w:contextualSpacing/>
        <w:rPr>
          <w:rFonts w:eastAsia="Times New Roman" w:cs="Tahoma"/>
          <w:color w:val="auto"/>
          <w:lang w:eastAsia="es-ES"/>
        </w:rPr>
      </w:pPr>
    </w:p>
    <w:p w14:paraId="1DE093C4" w14:textId="7A28ECDA" w:rsidR="00C04DDC" w:rsidRPr="00F5640D" w:rsidRDefault="000D1DE0" w:rsidP="00D16E46">
      <w:pPr>
        <w:autoSpaceDE w:val="0"/>
        <w:autoSpaceDN w:val="0"/>
        <w:adjustRightInd w:val="0"/>
        <w:spacing w:after="0" w:line="360" w:lineRule="auto"/>
        <w:contextualSpacing/>
        <w:rPr>
          <w:rFonts w:eastAsia="Times New Roman" w:cs="Tahoma"/>
          <w:color w:val="auto"/>
          <w:lang w:eastAsia="es-ES"/>
        </w:rPr>
      </w:pPr>
      <w:r w:rsidRPr="00F5640D">
        <w:rPr>
          <w:rFonts w:eastAsia="Times New Roman" w:cs="Tahoma"/>
          <w:color w:val="auto"/>
          <w:lang w:eastAsia="es-ES"/>
        </w:rPr>
        <w:t xml:space="preserve">i. </w:t>
      </w:r>
      <w:r w:rsidR="006B71D7" w:rsidRPr="00F5640D">
        <w:rPr>
          <w:rFonts w:eastAsia="Times New Roman" w:cs="Tahoma"/>
          <w:color w:val="auto"/>
          <w:lang w:eastAsia="es-ES"/>
        </w:rPr>
        <w:t xml:space="preserve">Oficio </w:t>
      </w:r>
      <w:r w:rsidR="00C04DDC" w:rsidRPr="00F5640D">
        <w:rPr>
          <w:rFonts w:eastAsia="Times New Roman" w:cs="Tahoma"/>
          <w:color w:val="auto"/>
          <w:lang w:eastAsia="es-ES"/>
        </w:rPr>
        <w:t>número TM/STE/4080/2024, del treinta y uno de octubre de dos mil veinticuatro, suscrito por el Tesorero Municipal y dirigido al Titular de la Unidad de Transparencia, por medio del cual mencionó lo siguiente:</w:t>
      </w:r>
    </w:p>
    <w:p w14:paraId="752AD48B" w14:textId="2A8CC191" w:rsidR="00C04DDC" w:rsidRPr="00F5640D" w:rsidRDefault="00C04DDC" w:rsidP="00D16E46">
      <w:pPr>
        <w:autoSpaceDE w:val="0"/>
        <w:autoSpaceDN w:val="0"/>
        <w:adjustRightInd w:val="0"/>
        <w:spacing w:after="0" w:line="360" w:lineRule="auto"/>
        <w:contextualSpacing/>
        <w:rPr>
          <w:rFonts w:eastAsia="Times New Roman" w:cs="Tahoma"/>
          <w:color w:val="auto"/>
          <w:lang w:eastAsia="es-ES"/>
        </w:rPr>
      </w:pPr>
    </w:p>
    <w:p w14:paraId="67A68948" w14:textId="5495306F" w:rsidR="00C04DDC" w:rsidRPr="00F5640D" w:rsidRDefault="00C04DD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 xml:space="preserve">“…En lo que se refiere a proporcionar los contratos de su proveedor Everardo Araiza </w:t>
      </w:r>
      <w:proofErr w:type="spellStart"/>
      <w:r w:rsidRPr="00F5640D">
        <w:rPr>
          <w:rFonts w:eastAsia="Times New Roman" w:cs="Tahoma"/>
          <w:i/>
          <w:iCs/>
          <w:color w:val="auto"/>
          <w:sz w:val="20"/>
          <w:szCs w:val="20"/>
          <w:lang w:eastAsia="es-ES"/>
        </w:rPr>
        <w:t>Diaz</w:t>
      </w:r>
      <w:proofErr w:type="spellEnd"/>
      <w:r w:rsidRPr="00F5640D">
        <w:rPr>
          <w:rFonts w:eastAsia="Times New Roman" w:cs="Tahoma"/>
          <w:i/>
          <w:iCs/>
          <w:color w:val="auto"/>
          <w:sz w:val="20"/>
          <w:szCs w:val="20"/>
          <w:lang w:eastAsia="es-ES"/>
        </w:rPr>
        <w:t xml:space="preserve"> de León, con la razón social QMKT SERVICIOS DIGITALES, S.A. DE C.V, me permito señalar que de acuerdo a lo establecido por el artículo 24 fracción XXV de la Ley de Transparencia de Acceso a la Información y Protección de Datos Personales del Estado de México y Municipios, el cual señala que los sujetos obligados sólo proporcionarán la información pública que generen, administren o </w:t>
      </w:r>
      <w:r w:rsidRPr="00F5640D">
        <w:rPr>
          <w:rFonts w:eastAsia="Times New Roman" w:cs="Tahoma"/>
          <w:i/>
          <w:iCs/>
          <w:color w:val="auto"/>
          <w:sz w:val="20"/>
          <w:szCs w:val="20"/>
          <w:lang w:eastAsia="es-ES"/>
        </w:rPr>
        <w:lastRenderedPageBreak/>
        <w:t>posean en el ejercicio de sus atribuciones, NO ES POSIBLE PROPORCIONAR LA INFORMACIÓN SOLICITADA, en razón de que no se encuentra en el ámbito de la competencia de esta Tesorería Municipal…</w:t>
      </w:r>
    </w:p>
    <w:p w14:paraId="4ED998C0" w14:textId="48E10283" w:rsidR="00C04DDC" w:rsidRPr="00F5640D" w:rsidRDefault="00C04DD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w:t>
      </w:r>
    </w:p>
    <w:p w14:paraId="1E226532" w14:textId="537B7600" w:rsidR="00C04DDC" w:rsidRPr="00F5640D" w:rsidRDefault="00C04DD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De esta manera y con el afán de atender la información solicitada, se sugiere requerir a la Dirección de Administración, toda vez que en la esfera de sus atribuciones es a quien le asiste el resguardo y manejo de la solicitud que nos ocupa.</w:t>
      </w:r>
    </w:p>
    <w:p w14:paraId="12FEC613" w14:textId="3FE99B46" w:rsidR="00C04DDC" w:rsidRPr="00F5640D" w:rsidRDefault="00C04DD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w:t>
      </w:r>
    </w:p>
    <w:p w14:paraId="41B2A35E" w14:textId="77777777" w:rsidR="00C04DDC" w:rsidRPr="00F5640D" w:rsidRDefault="00C04DDC" w:rsidP="00D16E46">
      <w:pPr>
        <w:autoSpaceDE w:val="0"/>
        <w:autoSpaceDN w:val="0"/>
        <w:adjustRightInd w:val="0"/>
        <w:spacing w:after="0" w:line="360" w:lineRule="auto"/>
        <w:contextualSpacing/>
        <w:rPr>
          <w:rFonts w:eastAsia="Times New Roman" w:cs="Tahoma"/>
          <w:color w:val="auto"/>
          <w:lang w:eastAsia="es-ES"/>
        </w:rPr>
      </w:pPr>
    </w:p>
    <w:p w14:paraId="30F9FD68" w14:textId="47A9D262" w:rsidR="00C04DDC" w:rsidRPr="00F5640D" w:rsidRDefault="00C04DDC" w:rsidP="00D16E46">
      <w:pPr>
        <w:autoSpaceDE w:val="0"/>
        <w:autoSpaceDN w:val="0"/>
        <w:adjustRightInd w:val="0"/>
        <w:spacing w:after="0" w:line="360" w:lineRule="auto"/>
        <w:contextualSpacing/>
        <w:rPr>
          <w:rFonts w:eastAsia="Times New Roman" w:cs="Tahoma"/>
          <w:color w:val="auto"/>
          <w:lang w:eastAsia="es-ES"/>
        </w:rPr>
      </w:pPr>
      <w:r w:rsidRPr="00F5640D">
        <w:rPr>
          <w:rFonts w:eastAsia="Times New Roman" w:cs="Tahoma"/>
          <w:color w:val="auto"/>
          <w:lang w:eastAsia="es-ES"/>
        </w:rPr>
        <w:t xml:space="preserve">ii. Oficio número SRM/135/2024, del veintinueve de noviembre de dos mil veinticuatro, suscrito por </w:t>
      </w:r>
      <w:r w:rsidR="00AB26EC" w:rsidRPr="00F5640D">
        <w:rPr>
          <w:rFonts w:eastAsia="Times New Roman" w:cs="Tahoma"/>
          <w:color w:val="auto"/>
          <w:lang w:eastAsia="es-ES"/>
        </w:rPr>
        <w:t>la Subdirectora de Recursos Materiales y dirigido a la Directora de Administración, por medio del cual mencionó lo siguiente:</w:t>
      </w:r>
    </w:p>
    <w:p w14:paraId="7AFDDEF8" w14:textId="16DA8DFA" w:rsidR="00C04DDC" w:rsidRPr="00F5640D" w:rsidRDefault="00C04DDC" w:rsidP="00D16E46">
      <w:pPr>
        <w:autoSpaceDE w:val="0"/>
        <w:autoSpaceDN w:val="0"/>
        <w:adjustRightInd w:val="0"/>
        <w:spacing w:after="0" w:line="360" w:lineRule="auto"/>
        <w:contextualSpacing/>
        <w:rPr>
          <w:rFonts w:eastAsia="Times New Roman" w:cs="Tahoma"/>
          <w:color w:val="auto"/>
          <w:lang w:eastAsia="es-ES"/>
        </w:rPr>
      </w:pPr>
    </w:p>
    <w:p w14:paraId="34128777" w14:textId="39A55CDE" w:rsidR="00AB26EC" w:rsidRPr="00F5640D" w:rsidRDefault="00AB26E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 xml:space="preserve">“…Con fundamento en los artículos 1, 3 Fracciones XLI y XLIV, 4, 7, 12, 23 Fracción IV, 24 Fracciones XI y XXIV, 50, 53, 150, 151, 163, </w:t>
      </w:r>
      <w:proofErr w:type="spellStart"/>
      <w:r w:rsidRPr="00F5640D">
        <w:rPr>
          <w:rFonts w:eastAsia="Times New Roman" w:cs="Tahoma"/>
          <w:i/>
          <w:iCs/>
          <w:color w:val="auto"/>
          <w:sz w:val="20"/>
          <w:szCs w:val="20"/>
          <w:lang w:eastAsia="es-ES"/>
        </w:rPr>
        <w:t>asi</w:t>
      </w:r>
      <w:proofErr w:type="spellEnd"/>
      <w:r w:rsidRPr="00F5640D">
        <w:rPr>
          <w:rFonts w:eastAsia="Times New Roman" w:cs="Tahoma"/>
          <w:i/>
          <w:iCs/>
          <w:color w:val="auto"/>
          <w:sz w:val="20"/>
          <w:szCs w:val="20"/>
          <w:lang w:eastAsia="es-ES"/>
        </w:rPr>
        <w:t xml:space="preserve"> como demás preceptos relativos, vigentes y aplicables de la Ley de Trasparencia y Acceso a la Información Pública del Estado de México y sus Municipios, me pronuncio respecto a la información que es competencia de esta Subdirección de Recursos Materiales, adscrita a la Dirección de Administración, de acuerdo a las atribuciones conferidas en el artículo 49 del Reglamento Orgánico de la Administración Pública Municipal de Atizapán de Zaragoza, Estado de México.</w:t>
      </w:r>
    </w:p>
    <w:p w14:paraId="00D97276" w14:textId="77777777" w:rsidR="00AB26EC" w:rsidRPr="00F5640D" w:rsidRDefault="00AB26E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45E3B3DA" w14:textId="77777777" w:rsidR="00AB26EC" w:rsidRPr="00F5640D" w:rsidRDefault="00AB26E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Anexo al presente 11 contratos los cuales fueron asignados al proveedor antes mencionado.</w:t>
      </w:r>
    </w:p>
    <w:p w14:paraId="4D0916B9" w14:textId="77777777" w:rsidR="00AB26EC" w:rsidRPr="00F5640D" w:rsidRDefault="00AB26E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4B7780F2" w14:textId="182C9FFC" w:rsidR="00AB26EC" w:rsidRPr="00F5640D" w:rsidRDefault="00AB26E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En lo que se refiere a las facturas, montos pagados y adeudos, le comunico que no es competencia de esta Subdirección a mi cargo, de acuerdo con las atribuciones enunciadas en la fundamentación antes descrita.</w:t>
      </w:r>
    </w:p>
    <w:p w14:paraId="177246AE" w14:textId="6BBF89A2" w:rsidR="00AB26EC" w:rsidRPr="00F5640D" w:rsidRDefault="00AB26EC" w:rsidP="0050037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F5640D">
        <w:rPr>
          <w:rFonts w:eastAsia="Times New Roman" w:cs="Tahoma"/>
          <w:i/>
          <w:iCs/>
          <w:color w:val="auto"/>
          <w:sz w:val="20"/>
          <w:szCs w:val="20"/>
          <w:lang w:eastAsia="es-ES"/>
        </w:rPr>
        <w:t>…”</w:t>
      </w:r>
    </w:p>
    <w:bookmarkEnd w:id="4"/>
    <w:p w14:paraId="45E18F9C" w14:textId="77777777" w:rsidR="00500370" w:rsidRPr="00F5640D" w:rsidRDefault="00500370" w:rsidP="00D16E46">
      <w:pPr>
        <w:autoSpaceDE w:val="0"/>
        <w:autoSpaceDN w:val="0"/>
        <w:adjustRightInd w:val="0"/>
        <w:spacing w:after="0" w:line="360" w:lineRule="auto"/>
        <w:rPr>
          <w:rFonts w:eastAsia="Calibri" w:cs="Tahoma"/>
          <w:color w:val="000000"/>
          <w:lang w:val="es-ES"/>
        </w:rPr>
      </w:pPr>
    </w:p>
    <w:p w14:paraId="511DCD43" w14:textId="3866413D" w:rsidR="00AB26EC" w:rsidRPr="00F5640D" w:rsidRDefault="00AB26EC" w:rsidP="00D16E46">
      <w:pPr>
        <w:autoSpaceDE w:val="0"/>
        <w:autoSpaceDN w:val="0"/>
        <w:adjustRightInd w:val="0"/>
        <w:spacing w:after="0" w:line="360" w:lineRule="auto"/>
        <w:rPr>
          <w:rFonts w:eastAsia="Calibri" w:cs="Tahoma"/>
          <w:color w:val="000000"/>
          <w:lang w:val="es-ES"/>
        </w:rPr>
      </w:pPr>
      <w:r w:rsidRPr="00F5640D">
        <w:rPr>
          <w:rFonts w:eastAsia="Calibri" w:cs="Tahoma"/>
          <w:color w:val="000000"/>
          <w:lang w:val="es-ES"/>
        </w:rPr>
        <w:lastRenderedPageBreak/>
        <w:t>iii. Once contratos celebrados con la Empresa QMKT SERVICIOS DIGITALES, S.A. DE C.V., en versión íntegra.</w:t>
      </w:r>
    </w:p>
    <w:p w14:paraId="6ED09562" w14:textId="77777777" w:rsidR="00AB26EC" w:rsidRPr="00F5640D" w:rsidRDefault="00AB26EC" w:rsidP="00D16E46">
      <w:pPr>
        <w:autoSpaceDE w:val="0"/>
        <w:autoSpaceDN w:val="0"/>
        <w:adjustRightInd w:val="0"/>
        <w:spacing w:after="0" w:line="360" w:lineRule="auto"/>
        <w:rPr>
          <w:rFonts w:eastAsia="Calibri" w:cs="Tahoma"/>
          <w:color w:val="000000"/>
          <w:lang w:val="es-ES"/>
        </w:rPr>
      </w:pPr>
    </w:p>
    <w:p w14:paraId="56912486" w14:textId="78468F16" w:rsidR="00EC77D9" w:rsidRPr="00F5640D" w:rsidRDefault="00EC77D9" w:rsidP="00D16E46">
      <w:pPr>
        <w:autoSpaceDE w:val="0"/>
        <w:autoSpaceDN w:val="0"/>
        <w:adjustRightInd w:val="0"/>
        <w:spacing w:after="0" w:line="360" w:lineRule="auto"/>
        <w:rPr>
          <w:rFonts w:eastAsia="Calibri" w:cs="Tahoma"/>
          <w:b/>
          <w:color w:val="000000"/>
        </w:rPr>
      </w:pPr>
      <w:r w:rsidRPr="00F5640D">
        <w:rPr>
          <w:rFonts w:eastAsia="Calibri" w:cs="Tahoma"/>
          <w:b/>
          <w:color w:val="000000"/>
        </w:rPr>
        <w:t>I</w:t>
      </w:r>
      <w:r w:rsidR="0031460E" w:rsidRPr="00F5640D">
        <w:rPr>
          <w:rFonts w:eastAsia="Calibri" w:cs="Tahoma"/>
          <w:b/>
          <w:color w:val="000000"/>
        </w:rPr>
        <w:t>II</w:t>
      </w:r>
      <w:r w:rsidRPr="00F5640D">
        <w:rPr>
          <w:rFonts w:eastAsia="Calibri" w:cs="Tahoma"/>
          <w:b/>
          <w:color w:val="000000"/>
        </w:rPr>
        <w:t>. Interposición del Recurso de Revisión</w:t>
      </w:r>
    </w:p>
    <w:p w14:paraId="193305E5" w14:textId="77777777" w:rsidR="00EC77D9" w:rsidRPr="00F5640D" w:rsidRDefault="00EC77D9" w:rsidP="00D16E46">
      <w:pPr>
        <w:spacing w:after="0" w:line="360" w:lineRule="auto"/>
        <w:rPr>
          <w:rFonts w:eastAsia="Times New Roman" w:cs="Tahoma"/>
          <w:bCs/>
          <w:color w:val="auto"/>
          <w:lang w:eastAsia="es-ES"/>
        </w:rPr>
      </w:pPr>
    </w:p>
    <w:p w14:paraId="24595562" w14:textId="6179133B" w:rsidR="00EC77D9" w:rsidRPr="00F5640D" w:rsidRDefault="00F1768D" w:rsidP="00D16E46">
      <w:pPr>
        <w:spacing w:after="0" w:line="360" w:lineRule="auto"/>
        <w:rPr>
          <w:rFonts w:eastAsia="Times New Roman" w:cs="Tahoma"/>
          <w:bCs/>
          <w:color w:val="auto"/>
          <w:lang w:eastAsia="es-ES"/>
        </w:rPr>
      </w:pPr>
      <w:r w:rsidRPr="00F5640D">
        <w:rPr>
          <w:rFonts w:eastAsia="Times New Roman" w:cs="Tahoma"/>
          <w:bCs/>
          <w:color w:val="auto"/>
          <w:lang w:val="es-ES" w:eastAsia="es-ES"/>
        </w:rPr>
        <w:t xml:space="preserve">El </w:t>
      </w:r>
      <w:r w:rsidR="00484AAF" w:rsidRPr="00F5640D">
        <w:rPr>
          <w:rFonts w:eastAsia="Times New Roman" w:cs="Tahoma"/>
          <w:bCs/>
          <w:color w:val="auto"/>
          <w:lang w:val="es-ES" w:eastAsia="es-ES"/>
        </w:rPr>
        <w:t>cinco de diciembre</w:t>
      </w:r>
      <w:r w:rsidRPr="00F5640D">
        <w:rPr>
          <w:rFonts w:eastAsia="Times New Roman" w:cs="Tahoma"/>
          <w:bCs/>
          <w:color w:val="auto"/>
          <w:lang w:val="es-ES" w:eastAsia="es-ES"/>
        </w:rPr>
        <w:t xml:space="preserve"> </w:t>
      </w:r>
      <w:r w:rsidR="00EE6AAF" w:rsidRPr="00F5640D">
        <w:rPr>
          <w:rFonts w:eastAsia="Times New Roman" w:cs="Tahoma"/>
          <w:bCs/>
          <w:color w:val="auto"/>
          <w:lang w:val="es-ES" w:eastAsia="es-ES"/>
        </w:rPr>
        <w:t>de dos mil veinti</w:t>
      </w:r>
      <w:r w:rsidRPr="00F5640D">
        <w:rPr>
          <w:rFonts w:eastAsia="Times New Roman" w:cs="Tahoma"/>
          <w:bCs/>
          <w:color w:val="auto"/>
          <w:lang w:val="es-ES" w:eastAsia="es-ES"/>
        </w:rPr>
        <w:t>cuatro</w:t>
      </w:r>
      <w:r w:rsidR="00EE6AAF" w:rsidRPr="00F5640D">
        <w:rPr>
          <w:rFonts w:eastAsia="Times New Roman" w:cs="Tahoma"/>
          <w:bCs/>
          <w:color w:val="auto"/>
          <w:lang w:val="es-ES" w:eastAsia="es-ES"/>
        </w:rPr>
        <w:t xml:space="preserve">, </w:t>
      </w:r>
      <w:r w:rsidR="00EE6AAF" w:rsidRPr="00F5640D">
        <w:rPr>
          <w:rFonts w:eastAsia="Times New Roman" w:cs="Tahoma"/>
          <w:bCs/>
          <w:color w:val="auto"/>
          <w:lang w:eastAsia="es-ES"/>
        </w:rPr>
        <w:t xml:space="preserve">se recibió en este Instituto, a través del </w:t>
      </w:r>
      <w:r w:rsidR="00EE6AAF" w:rsidRPr="00F5640D">
        <w:rPr>
          <w:rFonts w:eastAsia="Times New Roman" w:cs="Tahoma"/>
          <w:bCs/>
          <w:color w:val="auto"/>
          <w:lang w:val="es-ES" w:eastAsia="es-ES"/>
        </w:rPr>
        <w:t>Sistema de Acceso a la Información Mexiquense (SAIMEX)</w:t>
      </w:r>
      <w:r w:rsidR="00EE6AAF" w:rsidRPr="00F5640D">
        <w:rPr>
          <w:rFonts w:eastAsia="Times New Roman" w:cs="Tahoma"/>
          <w:bCs/>
          <w:color w:val="auto"/>
          <w:lang w:eastAsia="es-ES"/>
        </w:rPr>
        <w:t>, el Recurso de Revisión interpuesto por la p</w:t>
      </w:r>
      <w:r w:rsidR="00D55E2F" w:rsidRPr="00F5640D">
        <w:rPr>
          <w:rFonts w:eastAsia="Times New Roman" w:cs="Tahoma"/>
          <w:bCs/>
          <w:color w:val="auto"/>
          <w:lang w:eastAsia="es-ES"/>
        </w:rPr>
        <w:t>ersona</w:t>
      </w:r>
      <w:r w:rsidR="00EE6AAF" w:rsidRPr="00F5640D">
        <w:rPr>
          <w:rFonts w:eastAsia="Times New Roman" w:cs="Tahoma"/>
          <w:bCs/>
          <w:color w:val="auto"/>
          <w:lang w:eastAsia="es-ES"/>
        </w:rPr>
        <w:t xml:space="preserve"> Recurrente, en contra</w:t>
      </w:r>
      <w:r w:rsidR="0068447E" w:rsidRPr="00F5640D">
        <w:rPr>
          <w:rFonts w:eastAsia="Times New Roman" w:cs="Tahoma"/>
          <w:bCs/>
          <w:color w:val="auto"/>
          <w:lang w:eastAsia="es-ES"/>
        </w:rPr>
        <w:t xml:space="preserve"> </w:t>
      </w:r>
      <w:r w:rsidR="00EE6AAF" w:rsidRPr="00F5640D">
        <w:rPr>
          <w:rFonts w:eastAsia="Times New Roman" w:cs="Tahoma"/>
          <w:bCs/>
          <w:color w:val="auto"/>
          <w:lang w:eastAsia="es-ES"/>
        </w:rPr>
        <w:t>de</w:t>
      </w:r>
      <w:r w:rsidR="0068447E" w:rsidRPr="00F5640D">
        <w:rPr>
          <w:rFonts w:eastAsia="Times New Roman" w:cs="Tahoma"/>
          <w:bCs/>
          <w:color w:val="auto"/>
          <w:lang w:eastAsia="es-ES"/>
        </w:rPr>
        <w:t xml:space="preserve"> la</w:t>
      </w:r>
      <w:r w:rsidR="00EE6AAF" w:rsidRPr="00F5640D">
        <w:rPr>
          <w:rFonts w:eastAsia="Times New Roman" w:cs="Tahoma"/>
          <w:bCs/>
          <w:color w:val="auto"/>
          <w:lang w:eastAsia="es-ES"/>
        </w:rPr>
        <w:t xml:space="preserve"> respuesta del Sujeto Obligado</w:t>
      </w:r>
      <w:r w:rsidR="00670893" w:rsidRPr="00F5640D">
        <w:rPr>
          <w:rFonts w:eastAsia="Times New Roman" w:cs="Tahoma"/>
          <w:bCs/>
          <w:color w:val="auto"/>
          <w:lang w:eastAsia="es-ES"/>
        </w:rPr>
        <w:t>,</w:t>
      </w:r>
      <w:r w:rsidR="00EE6AAF" w:rsidRPr="00F5640D">
        <w:rPr>
          <w:rFonts w:eastAsia="Calibri" w:cs="Times New Roman"/>
          <w:b/>
          <w:bCs/>
        </w:rPr>
        <w:t xml:space="preserve"> </w:t>
      </w:r>
      <w:r w:rsidR="00EE6AAF" w:rsidRPr="00F5640D">
        <w:rPr>
          <w:rFonts w:eastAsia="Times New Roman" w:cs="Tahoma"/>
          <w:bCs/>
          <w:color w:val="auto"/>
          <w:lang w:eastAsia="es-ES"/>
        </w:rPr>
        <w:t>en los siguientes términos:</w:t>
      </w:r>
    </w:p>
    <w:p w14:paraId="6E6C98B4" w14:textId="77777777" w:rsidR="00EE6AAF" w:rsidRPr="00F5640D" w:rsidRDefault="00EE6AAF" w:rsidP="00D16E46">
      <w:pPr>
        <w:spacing w:after="0" w:line="360" w:lineRule="auto"/>
        <w:rPr>
          <w:rFonts w:eastAsia="Times New Roman" w:cs="Tahoma"/>
          <w:bCs/>
          <w:color w:val="auto"/>
          <w:lang w:eastAsia="es-ES"/>
        </w:rPr>
      </w:pPr>
    </w:p>
    <w:p w14:paraId="122D4953" w14:textId="53AD726C" w:rsidR="00EC77D9" w:rsidRPr="00F5640D" w:rsidRDefault="00EC77D9" w:rsidP="00D16E46">
      <w:pPr>
        <w:spacing w:after="0" w:line="360" w:lineRule="auto"/>
        <w:ind w:left="567" w:right="567"/>
        <w:rPr>
          <w:rFonts w:eastAsia="Times New Roman" w:cs="Tahoma"/>
          <w:b/>
          <w:bCs/>
          <w:i/>
          <w:color w:val="auto"/>
          <w:sz w:val="20"/>
          <w:szCs w:val="20"/>
          <w:lang w:eastAsia="es-ES"/>
        </w:rPr>
      </w:pPr>
      <w:r w:rsidRPr="00F5640D">
        <w:rPr>
          <w:rFonts w:eastAsia="Times New Roman" w:cs="Tahoma"/>
          <w:b/>
          <w:bCs/>
          <w:i/>
          <w:color w:val="auto"/>
          <w:sz w:val="20"/>
          <w:szCs w:val="20"/>
          <w:lang w:eastAsia="es-ES"/>
        </w:rPr>
        <w:t>ACTO IMPUGNADO</w:t>
      </w:r>
    </w:p>
    <w:p w14:paraId="5CCEB8EC" w14:textId="0867A598" w:rsidR="00EC77D9" w:rsidRPr="00F5640D" w:rsidRDefault="00484AAF" w:rsidP="00D16E46">
      <w:pPr>
        <w:spacing w:after="0" w:line="360" w:lineRule="auto"/>
        <w:ind w:left="567" w:right="567"/>
        <w:rPr>
          <w:i/>
          <w:iCs/>
          <w:color w:val="000000"/>
          <w:sz w:val="20"/>
          <w:szCs w:val="20"/>
        </w:rPr>
      </w:pPr>
      <w:r w:rsidRPr="00F5640D">
        <w:rPr>
          <w:i/>
          <w:iCs/>
          <w:color w:val="000000"/>
          <w:sz w:val="20"/>
          <w:szCs w:val="20"/>
        </w:rPr>
        <w:t>La falta de información</w:t>
      </w:r>
      <w:r w:rsidR="0024218A" w:rsidRPr="00F5640D">
        <w:rPr>
          <w:i/>
          <w:iCs/>
          <w:color w:val="000000"/>
          <w:sz w:val="20"/>
          <w:szCs w:val="20"/>
        </w:rPr>
        <w:t xml:space="preserve">” </w:t>
      </w:r>
    </w:p>
    <w:p w14:paraId="55C87C9D" w14:textId="77777777" w:rsidR="0024218A" w:rsidRPr="00F5640D" w:rsidRDefault="0024218A" w:rsidP="00D16E46">
      <w:pPr>
        <w:spacing w:after="0" w:line="360" w:lineRule="auto"/>
        <w:ind w:left="567" w:right="567"/>
        <w:rPr>
          <w:rFonts w:eastAsia="Times New Roman" w:cs="Tahoma"/>
          <w:bCs/>
          <w:i/>
          <w:color w:val="auto"/>
          <w:sz w:val="20"/>
          <w:szCs w:val="20"/>
          <w:lang w:eastAsia="es-ES"/>
        </w:rPr>
      </w:pPr>
    </w:p>
    <w:p w14:paraId="01991E43" w14:textId="083793C6" w:rsidR="00EC77D9" w:rsidRPr="00F5640D" w:rsidRDefault="00EC77D9" w:rsidP="00D16E46">
      <w:pPr>
        <w:spacing w:after="0" w:line="360" w:lineRule="auto"/>
        <w:ind w:left="567" w:right="567"/>
        <w:rPr>
          <w:rFonts w:eastAsia="Times New Roman" w:cs="Tahoma"/>
          <w:b/>
          <w:bCs/>
          <w:i/>
          <w:color w:val="auto"/>
          <w:sz w:val="20"/>
          <w:szCs w:val="20"/>
          <w:lang w:eastAsia="es-ES"/>
        </w:rPr>
      </w:pPr>
      <w:r w:rsidRPr="00F5640D">
        <w:rPr>
          <w:rFonts w:eastAsia="Times New Roman" w:cs="Tahoma"/>
          <w:b/>
          <w:bCs/>
          <w:i/>
          <w:color w:val="auto"/>
          <w:sz w:val="20"/>
          <w:szCs w:val="20"/>
          <w:lang w:eastAsia="es-ES"/>
        </w:rPr>
        <w:t>RAZONES O MOTIVOS DE LA INCONFORMIDAD</w:t>
      </w:r>
    </w:p>
    <w:p w14:paraId="6A2AB2B9" w14:textId="269A3718" w:rsidR="00EC77D9" w:rsidRPr="00F5640D" w:rsidRDefault="00484AAF" w:rsidP="00D16E46">
      <w:pPr>
        <w:spacing w:after="0" w:line="360" w:lineRule="auto"/>
        <w:ind w:left="567" w:right="567"/>
        <w:rPr>
          <w:rFonts w:eastAsia="Times New Roman" w:cs="Tahoma"/>
          <w:bCs/>
          <w:i/>
          <w:color w:val="auto"/>
          <w:sz w:val="20"/>
          <w:szCs w:val="20"/>
          <w:lang w:eastAsia="es-ES"/>
        </w:rPr>
      </w:pPr>
      <w:r w:rsidRPr="00F5640D">
        <w:rPr>
          <w:i/>
          <w:color w:val="000000"/>
          <w:sz w:val="20"/>
          <w:szCs w:val="20"/>
        </w:rPr>
        <w:t>No me entregan las facturas solo los contratos, omiten información que deben de poseer porque ellos la generan, la respuesta está incompleta, solicito la información completa</w:t>
      </w:r>
      <w:r w:rsidR="00EC77D9" w:rsidRPr="00F5640D">
        <w:rPr>
          <w:i/>
          <w:color w:val="000000"/>
          <w:sz w:val="20"/>
          <w:szCs w:val="20"/>
        </w:rPr>
        <w:t>”</w:t>
      </w:r>
      <w:r w:rsidR="0024218A" w:rsidRPr="00F5640D">
        <w:rPr>
          <w:i/>
          <w:color w:val="000000"/>
          <w:sz w:val="20"/>
          <w:szCs w:val="20"/>
        </w:rPr>
        <w:t xml:space="preserve"> </w:t>
      </w:r>
    </w:p>
    <w:p w14:paraId="417EBFB0" w14:textId="77777777" w:rsidR="00943C49" w:rsidRPr="00F5640D" w:rsidRDefault="00943C49" w:rsidP="00D16E46">
      <w:pPr>
        <w:spacing w:after="0" w:line="360" w:lineRule="auto"/>
        <w:rPr>
          <w:rFonts w:eastAsia="Calibri" w:cs="Tahoma"/>
          <w:b/>
          <w:color w:val="000000"/>
        </w:rPr>
      </w:pPr>
    </w:p>
    <w:p w14:paraId="32EBD4AE" w14:textId="45EC4018" w:rsidR="00EC77D9" w:rsidRPr="00F5640D" w:rsidRDefault="0031460E" w:rsidP="00D16E46">
      <w:pPr>
        <w:spacing w:after="0" w:line="360" w:lineRule="auto"/>
        <w:rPr>
          <w:rFonts w:eastAsia="Batang" w:cs="Tahoma"/>
          <w:b/>
          <w:bCs/>
          <w:color w:val="000000"/>
        </w:rPr>
      </w:pPr>
      <w:r w:rsidRPr="00F5640D">
        <w:rPr>
          <w:rFonts w:eastAsia="Calibri" w:cs="Tahoma"/>
          <w:b/>
          <w:color w:val="000000"/>
        </w:rPr>
        <w:t>I</w:t>
      </w:r>
      <w:r w:rsidR="00EC77D9" w:rsidRPr="00F5640D">
        <w:rPr>
          <w:rFonts w:eastAsia="Calibri" w:cs="Tahoma"/>
          <w:b/>
          <w:color w:val="000000"/>
        </w:rPr>
        <w:t xml:space="preserve">V. </w:t>
      </w:r>
      <w:r w:rsidR="00EC77D9" w:rsidRPr="00F5640D">
        <w:rPr>
          <w:rFonts w:eastAsia="Batang" w:cs="Tahoma"/>
          <w:b/>
          <w:bCs/>
          <w:color w:val="000000"/>
        </w:rPr>
        <w:t>Trámite del Recurso de Revisión</w:t>
      </w:r>
      <w:r w:rsidR="00EC77D9" w:rsidRPr="00F5640D">
        <w:rPr>
          <w:rFonts w:eastAsia="Calibri" w:cs="Tahoma"/>
          <w:b/>
          <w:color w:val="000000"/>
        </w:rPr>
        <w:t xml:space="preserve"> </w:t>
      </w:r>
      <w:r w:rsidR="00EC77D9" w:rsidRPr="00F5640D">
        <w:rPr>
          <w:rFonts w:eastAsia="Batang" w:cs="Tahoma"/>
          <w:b/>
          <w:bCs/>
          <w:color w:val="000000"/>
        </w:rPr>
        <w:t>ante este Instituto</w:t>
      </w:r>
    </w:p>
    <w:p w14:paraId="1C4ADB40" w14:textId="77777777" w:rsidR="00EC77D9" w:rsidRPr="00F5640D" w:rsidRDefault="00EC77D9" w:rsidP="00D16E46">
      <w:pPr>
        <w:spacing w:after="0" w:line="360" w:lineRule="auto"/>
        <w:rPr>
          <w:rFonts w:eastAsia="Batang" w:cs="Tahoma"/>
          <w:bCs/>
          <w:color w:val="000000"/>
        </w:rPr>
      </w:pPr>
    </w:p>
    <w:p w14:paraId="7EC9EE07" w14:textId="4CD28DA4" w:rsidR="00EC77D9" w:rsidRPr="00F5640D" w:rsidRDefault="00EC77D9" w:rsidP="00D16E46">
      <w:pPr>
        <w:spacing w:after="0" w:line="360" w:lineRule="auto"/>
        <w:rPr>
          <w:rFonts w:eastAsia="Batang" w:cs="Tahoma"/>
          <w:b/>
          <w:bCs/>
          <w:color w:val="000000"/>
        </w:rPr>
      </w:pPr>
      <w:r w:rsidRPr="00F5640D">
        <w:rPr>
          <w:rFonts w:eastAsia="Batang" w:cs="Tahoma"/>
          <w:b/>
          <w:bCs/>
          <w:color w:val="000000"/>
        </w:rPr>
        <w:t xml:space="preserve">a) Turno del Medio de Impugnación. </w:t>
      </w:r>
      <w:r w:rsidRPr="00F5640D">
        <w:rPr>
          <w:rFonts w:eastAsia="Batang" w:cs="Tahoma"/>
          <w:bCs/>
          <w:color w:val="000000"/>
        </w:rPr>
        <w:t>El</w:t>
      </w:r>
      <w:r w:rsidR="00054D31" w:rsidRPr="00F5640D">
        <w:rPr>
          <w:rFonts w:eastAsia="Batang" w:cs="Tahoma"/>
          <w:bCs/>
          <w:color w:val="000000"/>
        </w:rPr>
        <w:t xml:space="preserve"> </w:t>
      </w:r>
      <w:r w:rsidR="005859C8" w:rsidRPr="00F5640D">
        <w:rPr>
          <w:rFonts w:eastAsia="Batang" w:cs="Tahoma"/>
          <w:bCs/>
          <w:color w:val="000000"/>
        </w:rPr>
        <w:t>cinco de diciembre</w:t>
      </w:r>
      <w:r w:rsidR="0068447E" w:rsidRPr="00F5640D">
        <w:rPr>
          <w:rFonts w:eastAsia="Times New Roman" w:cs="Tahoma"/>
          <w:bCs/>
          <w:color w:val="auto"/>
          <w:lang w:val="es-ES" w:eastAsia="es-ES"/>
        </w:rPr>
        <w:t xml:space="preserve"> de dos mil veinticuatro</w:t>
      </w:r>
      <w:r w:rsidRPr="00F5640D">
        <w:rPr>
          <w:rFonts w:eastAsia="Batang" w:cs="Tahoma"/>
          <w:bCs/>
          <w:color w:val="000000"/>
        </w:rPr>
        <w:t xml:space="preserve">, el </w:t>
      </w:r>
      <w:r w:rsidRPr="00F5640D">
        <w:rPr>
          <w:rFonts w:eastAsia="Calibri" w:cs="Tahoma"/>
          <w:color w:val="000000"/>
          <w:lang w:val="es-ES"/>
        </w:rPr>
        <w:t>Sistema de Acceso a la Información Mexiquense (SAIMEX),</w:t>
      </w:r>
      <w:r w:rsidRPr="00F5640D">
        <w:rPr>
          <w:rFonts w:eastAsia="Batang" w:cs="Tahoma"/>
          <w:bCs/>
          <w:color w:val="000000"/>
        </w:rPr>
        <w:t xml:space="preserve"> asignó el número de expediente</w:t>
      </w:r>
      <w:r w:rsidR="00394EBC" w:rsidRPr="00F5640D">
        <w:t xml:space="preserve"> </w:t>
      </w:r>
      <w:r w:rsidR="00394EBC" w:rsidRPr="00F5640D">
        <w:rPr>
          <w:rFonts w:eastAsia="Calibri" w:cs="Tahoma"/>
          <w:b/>
          <w:bCs/>
        </w:rPr>
        <w:t>0</w:t>
      </w:r>
      <w:r w:rsidR="005859C8" w:rsidRPr="00F5640D">
        <w:rPr>
          <w:rFonts w:eastAsia="Calibri" w:cs="Tahoma"/>
          <w:b/>
          <w:bCs/>
        </w:rPr>
        <w:t>7506</w:t>
      </w:r>
      <w:r w:rsidR="00394EBC" w:rsidRPr="00F5640D">
        <w:rPr>
          <w:rFonts w:eastAsia="Calibri" w:cs="Tahoma"/>
          <w:b/>
          <w:bCs/>
        </w:rPr>
        <w:t>/INFOEM/IP/RR/2024</w:t>
      </w:r>
      <w:r w:rsidRPr="00F5640D">
        <w:rPr>
          <w:rFonts w:eastAsia="Batang" w:cs="Tahoma"/>
          <w:bCs/>
          <w:color w:val="000000"/>
        </w:rPr>
        <w:t xml:space="preserve">, al Medio de Impugnación que nos ocupa, con base en el sistema aprobado por el Pleno de este </w:t>
      </w:r>
      <w:r w:rsidR="00394EBC" w:rsidRPr="00F5640D">
        <w:rPr>
          <w:rFonts w:eastAsia="Batang" w:cs="Tahoma"/>
          <w:bCs/>
          <w:color w:val="000000"/>
        </w:rPr>
        <w:t>Organismo</w:t>
      </w:r>
      <w:r w:rsidRPr="00F5640D">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F5640D" w:rsidRDefault="00EC77D9" w:rsidP="00D16E46">
      <w:pPr>
        <w:spacing w:after="0" w:line="360" w:lineRule="auto"/>
        <w:rPr>
          <w:rFonts w:eastAsia="Batang" w:cs="Tahoma"/>
          <w:bCs/>
          <w:color w:val="000000"/>
        </w:rPr>
      </w:pPr>
    </w:p>
    <w:p w14:paraId="385EEA5C" w14:textId="60B60CF0" w:rsidR="00EC77D9" w:rsidRPr="00F5640D" w:rsidRDefault="00EC77D9" w:rsidP="00D16E46">
      <w:pPr>
        <w:spacing w:after="0" w:line="360" w:lineRule="auto"/>
        <w:rPr>
          <w:rFonts w:eastAsia="Times New Roman" w:cs="Tahoma"/>
          <w:bCs/>
          <w:color w:val="auto"/>
          <w:lang w:val="es-ES_tradnl" w:eastAsia="es-ES"/>
        </w:rPr>
      </w:pPr>
      <w:r w:rsidRPr="00F5640D">
        <w:rPr>
          <w:rFonts w:eastAsia="Times New Roman" w:cs="Tahoma"/>
          <w:b/>
          <w:bCs/>
          <w:color w:val="auto"/>
          <w:lang w:eastAsia="es-ES"/>
        </w:rPr>
        <w:lastRenderedPageBreak/>
        <w:t>b) Admisión del Recurso de Revisión</w:t>
      </w:r>
      <w:r w:rsidRPr="00F5640D">
        <w:rPr>
          <w:rFonts w:eastAsia="Times New Roman" w:cs="Tahoma"/>
          <w:b/>
          <w:bCs/>
          <w:color w:val="auto"/>
          <w:lang w:val="es-ES_tradnl" w:eastAsia="es-ES"/>
        </w:rPr>
        <w:t xml:space="preserve">. </w:t>
      </w:r>
      <w:r w:rsidRPr="00F5640D">
        <w:rPr>
          <w:rFonts w:eastAsia="Batang" w:cs="Tahoma"/>
          <w:bCs/>
          <w:color w:val="000000"/>
        </w:rPr>
        <w:t>El</w:t>
      </w:r>
      <w:r w:rsidR="00A37D74" w:rsidRPr="00F5640D">
        <w:rPr>
          <w:rFonts w:eastAsia="Batang" w:cs="Tahoma"/>
          <w:bCs/>
          <w:color w:val="000000"/>
        </w:rPr>
        <w:t xml:space="preserve"> </w:t>
      </w:r>
      <w:r w:rsidR="005859C8" w:rsidRPr="00F5640D">
        <w:rPr>
          <w:rFonts w:eastAsia="Batang" w:cs="Tahoma"/>
          <w:bCs/>
          <w:color w:val="000000"/>
        </w:rPr>
        <w:t>diez de diciembre</w:t>
      </w:r>
      <w:r w:rsidR="00AB3BAD" w:rsidRPr="00F5640D">
        <w:rPr>
          <w:rFonts w:eastAsia="Batang" w:cs="Tahoma"/>
          <w:bCs/>
          <w:color w:val="000000"/>
        </w:rPr>
        <w:t xml:space="preserve"> </w:t>
      </w:r>
      <w:r w:rsidRPr="00F5640D">
        <w:rPr>
          <w:rFonts w:eastAsia="Batang" w:cs="Tahoma"/>
          <w:bCs/>
          <w:color w:val="000000"/>
        </w:rPr>
        <w:t>de dos mil veinti</w:t>
      </w:r>
      <w:r w:rsidR="00C50335" w:rsidRPr="00F5640D">
        <w:rPr>
          <w:rFonts w:eastAsia="Batang" w:cs="Tahoma"/>
          <w:bCs/>
          <w:color w:val="000000"/>
        </w:rPr>
        <w:t>cuatro</w:t>
      </w:r>
      <w:r w:rsidRPr="00F5640D">
        <w:rPr>
          <w:rFonts w:eastAsia="Times New Roman" w:cs="Tahoma"/>
          <w:bCs/>
          <w:color w:val="auto"/>
          <w:lang w:val="es-ES_tradnl" w:eastAsia="es-ES"/>
        </w:rPr>
        <w:t xml:space="preserve">, se acordó la admisión del Recurso de Revisión interpuesto por </w:t>
      </w:r>
      <w:r w:rsidR="00B064A4" w:rsidRPr="00F5640D">
        <w:rPr>
          <w:rFonts w:eastAsia="Times New Roman" w:cs="Tahoma"/>
          <w:bCs/>
          <w:color w:val="auto"/>
          <w:lang w:val="es-ES_tradnl" w:eastAsia="es-ES"/>
        </w:rPr>
        <w:t>la persona</w:t>
      </w:r>
      <w:r w:rsidRPr="00F5640D">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F5640D">
        <w:rPr>
          <w:rFonts w:eastAsia="Times New Roman" w:cs="Tahoma"/>
          <w:bCs/>
          <w:color w:val="auto"/>
          <w:lang w:val="es-ES_tradnl" w:eastAsia="es-ES"/>
        </w:rPr>
        <w:t xml:space="preserve"> </w:t>
      </w:r>
      <w:r w:rsidR="001756F2" w:rsidRPr="00F5640D">
        <w:rPr>
          <w:rFonts w:eastAsia="Times New Roman" w:cs="Tahoma"/>
          <w:bCs/>
          <w:color w:val="auto"/>
          <w:lang w:val="es-ES_tradnl" w:eastAsia="es-ES"/>
        </w:rPr>
        <w:t>el</w:t>
      </w:r>
      <w:r w:rsidR="00AB3BAD" w:rsidRPr="00F5640D">
        <w:rPr>
          <w:rFonts w:eastAsia="Times New Roman" w:cs="Tahoma"/>
          <w:bCs/>
          <w:color w:val="auto"/>
          <w:lang w:val="es-ES_tradnl" w:eastAsia="es-ES"/>
        </w:rPr>
        <w:t xml:space="preserve"> mismo día</w:t>
      </w:r>
      <w:r w:rsidR="00CB7980" w:rsidRPr="00F5640D">
        <w:rPr>
          <w:rFonts w:eastAsia="Times New Roman" w:cs="Tahoma"/>
          <w:bCs/>
          <w:color w:val="auto"/>
          <w:lang w:val="es-ES_tradnl" w:eastAsia="es-ES"/>
        </w:rPr>
        <w:t xml:space="preserve">, </w:t>
      </w:r>
      <w:r w:rsidRPr="00F5640D">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FBF35CB" w14:textId="77777777" w:rsidR="005859C8" w:rsidRPr="00F5640D" w:rsidRDefault="005859C8" w:rsidP="00D16E46">
      <w:pPr>
        <w:spacing w:after="0" w:line="360" w:lineRule="auto"/>
        <w:rPr>
          <w:rFonts w:eastAsia="Times New Roman" w:cs="Tahoma"/>
          <w:bCs/>
          <w:color w:val="auto"/>
          <w:lang w:val="es-ES_tradnl" w:eastAsia="es-ES"/>
        </w:rPr>
      </w:pPr>
    </w:p>
    <w:p w14:paraId="7A0BB857" w14:textId="6644BB1C" w:rsidR="004E2A97" w:rsidRPr="00F5640D" w:rsidRDefault="000D29CD" w:rsidP="005B6073">
      <w:pPr>
        <w:spacing w:after="0" w:line="360" w:lineRule="auto"/>
        <w:rPr>
          <w:rFonts w:cs="Tahoma"/>
          <w:lang w:val="es-ES_tradnl"/>
        </w:rPr>
      </w:pPr>
      <w:r w:rsidRPr="00F5640D">
        <w:rPr>
          <w:rFonts w:eastAsia="Times New Roman" w:cs="Tahoma"/>
          <w:b/>
          <w:color w:val="auto"/>
          <w:lang w:eastAsia="es-ES"/>
        </w:rPr>
        <w:t>c</w:t>
      </w:r>
      <w:r w:rsidR="000F2142" w:rsidRPr="00F5640D">
        <w:rPr>
          <w:rFonts w:eastAsia="Times New Roman" w:cs="Tahoma"/>
          <w:b/>
          <w:color w:val="auto"/>
          <w:lang w:eastAsia="es-ES"/>
        </w:rPr>
        <w:t xml:space="preserve">) </w:t>
      </w:r>
      <w:r w:rsidR="000F2142" w:rsidRPr="00F5640D">
        <w:rPr>
          <w:rFonts w:cs="Tahoma"/>
          <w:b/>
          <w:bCs/>
          <w:iCs/>
          <w:lang w:val="es-ES"/>
        </w:rPr>
        <w:t>Informe Justificado.</w:t>
      </w:r>
      <w:r w:rsidR="003E70D3" w:rsidRPr="00F5640D">
        <w:rPr>
          <w:rFonts w:cs="Tahoma"/>
          <w:lang w:val="es-ES_tradnl"/>
        </w:rPr>
        <w:t xml:space="preserve"> </w:t>
      </w:r>
      <w:r w:rsidR="00430A05" w:rsidRPr="00F5640D">
        <w:rPr>
          <w:rFonts w:cs="Tahoma"/>
          <w:iCs/>
          <w:lang w:val="es-ES"/>
        </w:rPr>
        <w:t xml:space="preserve">El </w:t>
      </w:r>
      <w:r w:rsidR="004E2A97" w:rsidRPr="00F5640D">
        <w:rPr>
          <w:rFonts w:cs="Tahoma"/>
          <w:iCs/>
          <w:lang w:val="es-ES"/>
        </w:rPr>
        <w:t>dieciséis de diciembre</w:t>
      </w:r>
      <w:r w:rsidR="00430A05" w:rsidRPr="00F5640D">
        <w:rPr>
          <w:rFonts w:cs="Tahoma"/>
          <w:iCs/>
          <w:lang w:val="es-ES"/>
        </w:rPr>
        <w:t xml:space="preserve"> de dos mil veinticuatro</w:t>
      </w:r>
      <w:r w:rsidR="00430A05" w:rsidRPr="00F5640D">
        <w:rPr>
          <w:rFonts w:cs="Tahoma"/>
          <w:lang w:val="es-ES_tradnl"/>
        </w:rPr>
        <w:t xml:space="preserve">, se recibió, a través del Sistema de Acceso a la Información Mexiquense (SAIMEX), el Informe Justificado del Sujeto Obligado, </w:t>
      </w:r>
      <w:r w:rsidR="00AB3BAD" w:rsidRPr="00F5640D">
        <w:rPr>
          <w:rFonts w:cs="Tahoma"/>
          <w:lang w:val="es-ES_tradnl"/>
        </w:rPr>
        <w:t xml:space="preserve">a través </w:t>
      </w:r>
      <w:r w:rsidR="00430A05" w:rsidRPr="00F5640D">
        <w:rPr>
          <w:rFonts w:cs="Tahoma"/>
          <w:lang w:val="es-ES_tradnl"/>
        </w:rPr>
        <w:t>de</w:t>
      </w:r>
      <w:r w:rsidR="004E2A97" w:rsidRPr="00F5640D">
        <w:rPr>
          <w:rFonts w:cs="Tahoma"/>
          <w:lang w:val="es-ES_tradnl"/>
        </w:rPr>
        <w:t xml:space="preserve"> los documentos siguientes:</w:t>
      </w:r>
    </w:p>
    <w:p w14:paraId="09A755C3" w14:textId="77777777" w:rsidR="004E2A97" w:rsidRPr="00F5640D" w:rsidRDefault="004E2A97" w:rsidP="005B6073">
      <w:pPr>
        <w:spacing w:after="0" w:line="360" w:lineRule="auto"/>
        <w:rPr>
          <w:rFonts w:cs="Tahoma"/>
          <w:lang w:val="es-ES_tradnl"/>
        </w:rPr>
      </w:pPr>
    </w:p>
    <w:p w14:paraId="395D66B9" w14:textId="673B568D" w:rsidR="004E2A97" w:rsidRPr="00F5640D" w:rsidRDefault="004E2A97" w:rsidP="004E2A97">
      <w:pPr>
        <w:spacing w:after="0" w:line="360" w:lineRule="auto"/>
        <w:rPr>
          <w:rFonts w:cs="Tahoma"/>
          <w:lang w:val="es-ES_tradnl"/>
        </w:rPr>
      </w:pPr>
      <w:r w:rsidRPr="00F5640D">
        <w:rPr>
          <w:rFonts w:cs="Tahoma"/>
          <w:lang w:val="es-ES_tradnl"/>
        </w:rPr>
        <w:t>i. O</w:t>
      </w:r>
      <w:r w:rsidR="00AB3BAD" w:rsidRPr="00F5640D">
        <w:rPr>
          <w:rFonts w:cs="Tahoma"/>
          <w:lang w:val="es-ES_tradnl"/>
        </w:rPr>
        <w:t xml:space="preserve">ficio número </w:t>
      </w:r>
      <w:r w:rsidRPr="00F5640D">
        <w:rPr>
          <w:rFonts w:cs="Tahoma"/>
          <w:lang w:val="es-ES_tradnl"/>
        </w:rPr>
        <w:t>TM/STE/4435/2024, del nueve de diciembre de dos mil veinticuatro, suscrito por el Tesorero Municipal y dirigido al Titular de la Unidad de Transparencia, por medio del cual ratificó su respuesta.</w:t>
      </w:r>
    </w:p>
    <w:p w14:paraId="0BA07FBE" w14:textId="77777777" w:rsidR="004E2A97" w:rsidRPr="00F5640D" w:rsidRDefault="004E2A97" w:rsidP="004E2A97">
      <w:pPr>
        <w:spacing w:after="0" w:line="360" w:lineRule="auto"/>
        <w:rPr>
          <w:rFonts w:cs="Tahoma"/>
          <w:lang w:val="es-ES_tradnl"/>
        </w:rPr>
      </w:pPr>
    </w:p>
    <w:p w14:paraId="745B3F11" w14:textId="3AEC1B77" w:rsidR="004E2A97" w:rsidRPr="00F5640D" w:rsidRDefault="004E2A97" w:rsidP="004E2A97">
      <w:pPr>
        <w:spacing w:after="0" w:line="360" w:lineRule="auto"/>
        <w:rPr>
          <w:rFonts w:cs="Tahoma"/>
          <w:lang w:val="es-ES_tradnl"/>
        </w:rPr>
      </w:pPr>
      <w:r w:rsidRPr="00F5640D">
        <w:rPr>
          <w:rFonts w:cs="Tahoma"/>
          <w:lang w:val="es-ES_tradnl"/>
        </w:rPr>
        <w:t>ii. Oficio número DA/ST/8321/2024, del nueve de diciembre de dos mil veinticuatro, suscrito por la Directora de Administración y dirigido al Titular de la Unidad de Transparencia, por medio del cual mencionó lo siguiente:</w:t>
      </w:r>
    </w:p>
    <w:p w14:paraId="3B2639AF" w14:textId="77777777" w:rsidR="004E2A97" w:rsidRPr="00F5640D" w:rsidRDefault="004E2A97" w:rsidP="004E2A97">
      <w:pPr>
        <w:spacing w:after="0" w:line="360" w:lineRule="auto"/>
        <w:rPr>
          <w:rFonts w:cs="Tahoma"/>
          <w:lang w:val="es-ES_tradnl"/>
        </w:rPr>
      </w:pPr>
    </w:p>
    <w:p w14:paraId="13E25464" w14:textId="77777777" w:rsidR="002A5EEC" w:rsidRPr="00F5640D" w:rsidRDefault="004E2A97" w:rsidP="00E20E13">
      <w:pPr>
        <w:spacing w:after="0" w:line="360" w:lineRule="auto"/>
        <w:ind w:left="567" w:right="567"/>
        <w:rPr>
          <w:rFonts w:cs="Tahoma"/>
          <w:i/>
          <w:iCs/>
          <w:sz w:val="20"/>
          <w:szCs w:val="20"/>
          <w:lang w:val="es-ES_tradnl"/>
        </w:rPr>
      </w:pPr>
      <w:r w:rsidRPr="00F5640D">
        <w:rPr>
          <w:rFonts w:cs="Tahoma"/>
          <w:i/>
          <w:iCs/>
          <w:sz w:val="20"/>
          <w:szCs w:val="20"/>
          <w:lang w:val="es-ES_tradnl"/>
        </w:rPr>
        <w:t>“…</w:t>
      </w:r>
      <w:r w:rsidR="002A5EEC" w:rsidRPr="00F5640D">
        <w:rPr>
          <w:rFonts w:cs="Tahoma"/>
          <w:i/>
          <w:iCs/>
          <w:sz w:val="20"/>
          <w:szCs w:val="20"/>
          <w:lang w:val="es-ES_tradnl"/>
        </w:rPr>
        <w:t>de manera atenta y respetuosa ge pronuncio respecto a la información que es competencia de esta Dirección de Administración.</w:t>
      </w:r>
    </w:p>
    <w:p w14:paraId="0550E4A7" w14:textId="77777777" w:rsidR="002A5EEC" w:rsidRPr="00F5640D" w:rsidRDefault="002A5EEC" w:rsidP="00E20E13">
      <w:pPr>
        <w:spacing w:after="0" w:line="360" w:lineRule="auto"/>
        <w:ind w:left="567" w:right="567"/>
        <w:rPr>
          <w:rFonts w:cs="Tahoma"/>
          <w:i/>
          <w:iCs/>
          <w:sz w:val="20"/>
          <w:szCs w:val="20"/>
          <w:lang w:val="es-ES_tradnl"/>
        </w:rPr>
      </w:pPr>
    </w:p>
    <w:p w14:paraId="75D954EF" w14:textId="6CCC4662" w:rsidR="004E2A97" w:rsidRPr="00F5640D" w:rsidRDefault="002A5EEC" w:rsidP="00E20E13">
      <w:pPr>
        <w:spacing w:after="0" w:line="360" w:lineRule="auto"/>
        <w:ind w:left="567" w:right="567"/>
        <w:rPr>
          <w:rFonts w:cs="Tahoma"/>
          <w:i/>
          <w:iCs/>
          <w:sz w:val="20"/>
          <w:szCs w:val="20"/>
          <w:lang w:val="es-ES_tradnl"/>
        </w:rPr>
      </w:pPr>
      <w:r w:rsidRPr="00F5640D">
        <w:rPr>
          <w:rFonts w:cs="Tahoma"/>
          <w:i/>
          <w:iCs/>
          <w:sz w:val="20"/>
          <w:szCs w:val="20"/>
          <w:lang w:val="es-ES_tradnl"/>
        </w:rPr>
        <w:t>Este Servidor Público Habilitado, a fin de atender el recurso de revisión en comento le informa que se dio debida atención a la solicitud de información mediante memorándum número SRM/135/2024 donde después de una búsqueda exhaustiva se localizaron y enviaron 11 contratos que se detectaron en esta Dirección.</w:t>
      </w:r>
    </w:p>
    <w:p w14:paraId="1502D30B" w14:textId="77777777" w:rsidR="002A5EEC" w:rsidRPr="00F5640D" w:rsidRDefault="002A5EEC" w:rsidP="00E20E13">
      <w:pPr>
        <w:spacing w:after="0" w:line="360" w:lineRule="auto"/>
        <w:ind w:left="567" w:right="567"/>
        <w:rPr>
          <w:rFonts w:cs="Tahoma"/>
          <w:i/>
          <w:iCs/>
          <w:sz w:val="20"/>
          <w:szCs w:val="20"/>
          <w:lang w:val="es-ES_tradnl"/>
        </w:rPr>
      </w:pPr>
    </w:p>
    <w:p w14:paraId="308255F7" w14:textId="0B50D92D" w:rsidR="005E6581" w:rsidRPr="00F5640D" w:rsidRDefault="005E6581" w:rsidP="00E20E13">
      <w:pPr>
        <w:spacing w:after="0" w:line="360" w:lineRule="auto"/>
        <w:ind w:left="567" w:right="567"/>
        <w:rPr>
          <w:rFonts w:cs="Tahoma"/>
          <w:i/>
          <w:iCs/>
          <w:sz w:val="20"/>
          <w:szCs w:val="20"/>
          <w:lang w:val="es-ES_tradnl"/>
        </w:rPr>
      </w:pPr>
      <w:r w:rsidRPr="00F5640D">
        <w:rPr>
          <w:rFonts w:cs="Tahoma"/>
          <w:i/>
          <w:iCs/>
          <w:sz w:val="20"/>
          <w:szCs w:val="20"/>
          <w:lang w:val="es-ES_tradnl"/>
        </w:rPr>
        <w:t>Como se puede observar se encuentran los procedimientos y la documentación que de ella emana de acuerdo con lo que establecen los artículos 12, 18, 59 fracción II, 76, 77, 79 y 92 fracción XXIX de la Ley de Transparencia y Acceso a la Información Pública del Estado de México y Municipios; toda vez que las razones o motivos de inconformidad versaron sobre "No me entregan las facturas solo los contratos...", queda demostrado ampliamente que la información fue enviada de acuerdo con las atribuciones, ya que las facturas no es atribución de esta Dirección como se mencionó en el memorándum de contestación inicial.</w:t>
      </w:r>
    </w:p>
    <w:p w14:paraId="4E64164E" w14:textId="77777777" w:rsidR="005E6581" w:rsidRPr="00F5640D" w:rsidRDefault="005E6581" w:rsidP="00E20E13">
      <w:pPr>
        <w:spacing w:after="0" w:line="360" w:lineRule="auto"/>
        <w:ind w:left="567" w:right="567"/>
        <w:rPr>
          <w:rFonts w:cs="Tahoma"/>
          <w:i/>
          <w:iCs/>
          <w:sz w:val="20"/>
          <w:szCs w:val="20"/>
          <w:lang w:val="es-ES_tradnl"/>
        </w:rPr>
      </w:pPr>
    </w:p>
    <w:p w14:paraId="14899C9D" w14:textId="7002A027" w:rsidR="002A5EEC" w:rsidRPr="00F5640D" w:rsidRDefault="005E6581" w:rsidP="00E20E13">
      <w:pPr>
        <w:spacing w:after="0" w:line="360" w:lineRule="auto"/>
        <w:ind w:left="567" w:right="567"/>
        <w:rPr>
          <w:rFonts w:cs="Tahoma"/>
          <w:i/>
          <w:iCs/>
          <w:sz w:val="20"/>
          <w:szCs w:val="20"/>
          <w:lang w:val="es-ES_tradnl"/>
        </w:rPr>
      </w:pPr>
      <w:r w:rsidRPr="00F5640D">
        <w:rPr>
          <w:rFonts w:cs="Tahoma"/>
          <w:i/>
          <w:iCs/>
          <w:sz w:val="20"/>
          <w:szCs w:val="20"/>
          <w:lang w:val="es-ES_tradnl"/>
        </w:rPr>
        <w:t>Debido a lo anterior se sugiere solicitar la información faltante a la Tesorería Municipal, que ya que de acuerdo a sus atribuciones es quien conoce respecto al tema.</w:t>
      </w:r>
    </w:p>
    <w:p w14:paraId="7C506791" w14:textId="0311D169" w:rsidR="005E6581" w:rsidRPr="00F5640D" w:rsidRDefault="005E6581" w:rsidP="00E20E13">
      <w:pPr>
        <w:spacing w:after="0" w:line="360" w:lineRule="auto"/>
        <w:ind w:left="567" w:right="567"/>
        <w:rPr>
          <w:rFonts w:cs="Tahoma"/>
          <w:i/>
          <w:iCs/>
          <w:sz w:val="20"/>
          <w:szCs w:val="20"/>
          <w:lang w:val="es-ES_tradnl"/>
        </w:rPr>
      </w:pPr>
      <w:r w:rsidRPr="00F5640D">
        <w:rPr>
          <w:rFonts w:cs="Tahoma"/>
          <w:i/>
          <w:iCs/>
          <w:sz w:val="20"/>
          <w:szCs w:val="20"/>
          <w:lang w:val="es-ES_tradnl"/>
        </w:rPr>
        <w:t>…”</w:t>
      </w:r>
    </w:p>
    <w:p w14:paraId="2DAC7E9B" w14:textId="77777777" w:rsidR="004E2A97" w:rsidRPr="00F5640D" w:rsidRDefault="004E2A97" w:rsidP="005B6073">
      <w:pPr>
        <w:spacing w:after="0" w:line="360" w:lineRule="auto"/>
        <w:rPr>
          <w:rFonts w:cs="Tahoma"/>
          <w:lang w:val="es-ES_tradnl"/>
        </w:rPr>
      </w:pPr>
    </w:p>
    <w:p w14:paraId="24C1FD0B" w14:textId="741F99C3" w:rsidR="00430A05" w:rsidRPr="00F5640D" w:rsidRDefault="00430A05" w:rsidP="00430A05">
      <w:pPr>
        <w:widowControl w:val="0"/>
        <w:spacing w:after="0" w:line="360" w:lineRule="auto"/>
        <w:rPr>
          <w:bCs/>
          <w:lang w:val="es-ES_tradnl"/>
        </w:rPr>
      </w:pPr>
      <w:r w:rsidRPr="00F5640D">
        <w:rPr>
          <w:rFonts w:eastAsia="Times New Roman" w:cs="Tahoma"/>
          <w:b/>
          <w:color w:val="auto"/>
          <w:szCs w:val="24"/>
          <w:lang w:eastAsia="es-ES"/>
        </w:rPr>
        <w:t>d) Vista del Informe Justificado.</w:t>
      </w:r>
      <w:r w:rsidRPr="00F5640D">
        <w:rPr>
          <w:bCs/>
          <w:lang w:val="es-ES_tradnl"/>
        </w:rPr>
        <w:t xml:space="preserve"> El </w:t>
      </w:r>
      <w:r w:rsidR="004E2A97" w:rsidRPr="00F5640D">
        <w:rPr>
          <w:bCs/>
          <w:lang w:val="es-ES_tradnl"/>
        </w:rPr>
        <w:t>diecisiete de diciembre</w:t>
      </w:r>
      <w:r w:rsidR="00AB3BAD" w:rsidRPr="00F5640D">
        <w:rPr>
          <w:bCs/>
          <w:lang w:val="es-ES_tradnl"/>
        </w:rPr>
        <w:t xml:space="preserve"> </w:t>
      </w:r>
      <w:r w:rsidRPr="00F5640D">
        <w:rPr>
          <w:bCs/>
          <w:lang w:val="es-ES_tradnl"/>
        </w:rPr>
        <w:t xml:space="preserve">de dos mil veinticuatro, se dictó acuerdo mediante el cual se puso a la vista del Particular el Informe Justificado, entregado por el Sujeto Obligado, así como el documento adjunto, el cual fue notificado a las partes, a través del Sistema de Acceso a la Información Mexiquense (SAIMEX). </w:t>
      </w:r>
    </w:p>
    <w:p w14:paraId="2B3886C5" w14:textId="56D06798" w:rsidR="007E75EF" w:rsidRPr="00F5640D" w:rsidRDefault="007E75EF" w:rsidP="00D16E46">
      <w:pPr>
        <w:spacing w:after="0" w:line="360" w:lineRule="auto"/>
        <w:rPr>
          <w:rFonts w:eastAsia="Times New Roman" w:cs="Tahoma"/>
          <w:bCs/>
          <w:lang w:val="es-ES" w:eastAsia="es-ES"/>
        </w:rPr>
      </w:pPr>
    </w:p>
    <w:p w14:paraId="35AAACA3" w14:textId="5859473A" w:rsidR="00EC77D9" w:rsidRPr="00F5640D" w:rsidRDefault="000C75AA" w:rsidP="00D16E46">
      <w:pPr>
        <w:widowControl w:val="0"/>
        <w:spacing w:after="0" w:line="360" w:lineRule="auto"/>
        <w:rPr>
          <w:rFonts w:eastAsia="Times New Roman" w:cs="Tahoma"/>
          <w:color w:val="auto"/>
          <w:lang w:val="es-ES" w:eastAsia="es-ES"/>
        </w:rPr>
      </w:pPr>
      <w:r w:rsidRPr="00F5640D">
        <w:rPr>
          <w:rFonts w:eastAsia="Times New Roman" w:cs="Tahoma"/>
          <w:b/>
          <w:color w:val="auto"/>
          <w:lang w:eastAsia="es-ES"/>
        </w:rPr>
        <w:t>d</w:t>
      </w:r>
      <w:r w:rsidR="00EC77D9" w:rsidRPr="00F5640D">
        <w:rPr>
          <w:rFonts w:eastAsia="Times New Roman" w:cs="Tahoma"/>
          <w:b/>
          <w:color w:val="auto"/>
          <w:lang w:eastAsia="es-ES"/>
        </w:rPr>
        <w:t>) Cierre de instrucción.</w:t>
      </w:r>
      <w:r w:rsidR="00EC77D9" w:rsidRPr="00F5640D">
        <w:rPr>
          <w:rFonts w:eastAsia="Times New Roman" w:cs="Tahoma"/>
          <w:color w:val="auto"/>
          <w:lang w:eastAsia="es-ES"/>
        </w:rPr>
        <w:t xml:space="preserve"> El</w:t>
      </w:r>
      <w:r w:rsidRPr="00F5640D">
        <w:rPr>
          <w:rFonts w:eastAsia="Times New Roman" w:cs="Tahoma"/>
          <w:color w:val="auto"/>
          <w:lang w:eastAsia="es-ES"/>
        </w:rPr>
        <w:t xml:space="preserve"> </w:t>
      </w:r>
      <w:r w:rsidR="00361889" w:rsidRPr="00F5640D">
        <w:rPr>
          <w:rFonts w:eastAsia="Times New Roman" w:cs="Tahoma"/>
          <w:color w:val="auto"/>
          <w:lang w:eastAsia="es-ES"/>
        </w:rPr>
        <w:t>trece</w:t>
      </w:r>
      <w:r w:rsidR="00EB7F5A" w:rsidRPr="00F5640D">
        <w:rPr>
          <w:rFonts w:eastAsia="Times New Roman" w:cs="Tahoma"/>
          <w:color w:val="auto"/>
          <w:lang w:eastAsia="es-ES"/>
        </w:rPr>
        <w:t xml:space="preserve"> de enero</w:t>
      </w:r>
      <w:r w:rsidR="00502FA9" w:rsidRPr="00F5640D">
        <w:rPr>
          <w:rFonts w:eastAsia="Times New Roman" w:cs="Tahoma"/>
          <w:color w:val="auto"/>
          <w:lang w:eastAsia="es-ES"/>
        </w:rPr>
        <w:t xml:space="preserve"> </w:t>
      </w:r>
      <w:r w:rsidR="00EC77D9" w:rsidRPr="00F5640D">
        <w:rPr>
          <w:rFonts w:eastAsia="Times New Roman" w:cs="Tahoma"/>
          <w:color w:val="auto"/>
          <w:lang w:eastAsia="es-ES"/>
        </w:rPr>
        <w:t>de dos mil veinti</w:t>
      </w:r>
      <w:r w:rsidR="00C50335" w:rsidRPr="00F5640D">
        <w:rPr>
          <w:rFonts w:eastAsia="Times New Roman" w:cs="Tahoma"/>
          <w:color w:val="auto"/>
          <w:lang w:eastAsia="es-ES"/>
        </w:rPr>
        <w:t>cuatro</w:t>
      </w:r>
      <w:r w:rsidR="00EC77D9" w:rsidRPr="00F5640D">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F5640D">
        <w:rPr>
          <w:rFonts w:eastAsia="Times New Roman" w:cs="Tahoma"/>
          <w:color w:val="auto"/>
          <w:lang w:eastAsia="es-ES"/>
        </w:rPr>
        <w:t>mismo día</w:t>
      </w:r>
      <w:r w:rsidR="00EC77D9" w:rsidRPr="00F5640D">
        <w:rPr>
          <w:rFonts w:eastAsia="Times New Roman" w:cs="Tahoma"/>
          <w:color w:val="auto"/>
          <w:lang w:eastAsia="es-ES"/>
        </w:rPr>
        <w:t xml:space="preserve">, a través del </w:t>
      </w:r>
      <w:r w:rsidR="00EC77D9" w:rsidRPr="00F5640D">
        <w:rPr>
          <w:rFonts w:eastAsia="Times New Roman" w:cs="Tahoma"/>
          <w:color w:val="auto"/>
          <w:lang w:val="es-ES" w:eastAsia="es-ES"/>
        </w:rPr>
        <w:t>Sistema de Acceso a la Información Mexiquense (SAIMEX)</w:t>
      </w:r>
      <w:r w:rsidR="00EC77D9" w:rsidRPr="00F5640D">
        <w:rPr>
          <w:rFonts w:eastAsia="Times New Roman" w:cs="Tahoma"/>
          <w:color w:val="auto"/>
          <w:lang w:eastAsia="es-ES"/>
        </w:rPr>
        <w:t xml:space="preserve">. </w:t>
      </w:r>
    </w:p>
    <w:p w14:paraId="5AB5C251" w14:textId="77777777" w:rsidR="00232DCC" w:rsidRPr="00F5640D" w:rsidRDefault="00232DCC" w:rsidP="00D16E46">
      <w:pPr>
        <w:spacing w:after="0" w:line="360" w:lineRule="auto"/>
        <w:rPr>
          <w:rFonts w:eastAsia="Times New Roman" w:cs="Tahoma"/>
          <w:color w:val="000000"/>
          <w:lang w:eastAsia="es-ES"/>
        </w:rPr>
      </w:pPr>
    </w:p>
    <w:p w14:paraId="77C7A5C4" w14:textId="77777777" w:rsidR="00EC77D9" w:rsidRPr="00F5640D" w:rsidRDefault="00EC77D9" w:rsidP="00D16E46">
      <w:pPr>
        <w:spacing w:after="0" w:line="360" w:lineRule="auto"/>
        <w:rPr>
          <w:rFonts w:eastAsia="Times New Roman" w:cs="Tahoma"/>
          <w:color w:val="000000"/>
          <w:lang w:eastAsia="es-ES"/>
        </w:rPr>
      </w:pPr>
      <w:r w:rsidRPr="00F5640D">
        <w:rPr>
          <w:rFonts w:eastAsia="Times New Roman" w:cs="Tahoma"/>
          <w:color w:val="000000"/>
          <w:lang w:eastAsia="es-ES"/>
        </w:rPr>
        <w:lastRenderedPageBreak/>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F5640D" w:rsidRDefault="008E4F87" w:rsidP="00D16E46">
      <w:pPr>
        <w:spacing w:after="0" w:line="360" w:lineRule="auto"/>
        <w:rPr>
          <w:rFonts w:eastAsia="Times New Roman" w:cs="Tahoma"/>
          <w:bCs/>
          <w:iCs/>
          <w:color w:val="auto"/>
          <w:lang w:val="es-ES" w:eastAsia="es-ES"/>
        </w:rPr>
      </w:pPr>
    </w:p>
    <w:p w14:paraId="4B442488" w14:textId="0C901BCB" w:rsidR="00EC77D9" w:rsidRPr="00F5640D" w:rsidRDefault="00EC77D9" w:rsidP="00D16E46">
      <w:pPr>
        <w:spacing w:after="0" w:line="360" w:lineRule="auto"/>
        <w:jc w:val="center"/>
        <w:rPr>
          <w:rFonts w:eastAsia="Times New Roman" w:cs="Tahoma"/>
          <w:b/>
          <w:color w:val="auto"/>
          <w:lang w:val="es-ES" w:eastAsia="es-ES"/>
        </w:rPr>
      </w:pPr>
      <w:r w:rsidRPr="00F5640D">
        <w:rPr>
          <w:rFonts w:eastAsia="Times New Roman" w:cs="Tahoma"/>
          <w:b/>
          <w:color w:val="auto"/>
          <w:lang w:val="es-ES" w:eastAsia="es-ES"/>
        </w:rPr>
        <w:t>C O N S I D E R A N D O S</w:t>
      </w:r>
    </w:p>
    <w:p w14:paraId="7A8CFE1B" w14:textId="77777777" w:rsidR="008E4F87" w:rsidRPr="00F5640D" w:rsidRDefault="008E4F87" w:rsidP="00D16E46">
      <w:pPr>
        <w:spacing w:after="0" w:line="360" w:lineRule="auto"/>
        <w:jc w:val="center"/>
        <w:rPr>
          <w:rFonts w:eastAsia="Times New Roman" w:cs="Tahoma"/>
          <w:b/>
          <w:color w:val="auto"/>
          <w:lang w:val="es-ES" w:eastAsia="es-ES"/>
        </w:rPr>
      </w:pPr>
    </w:p>
    <w:p w14:paraId="2B2C70F6" w14:textId="0F870142" w:rsidR="00EC77D9" w:rsidRPr="00F5640D" w:rsidRDefault="00EC77D9" w:rsidP="00D16E46">
      <w:pPr>
        <w:autoSpaceDE w:val="0"/>
        <w:autoSpaceDN w:val="0"/>
        <w:adjustRightInd w:val="0"/>
        <w:spacing w:after="0" w:line="360" w:lineRule="auto"/>
        <w:rPr>
          <w:rFonts w:eastAsia="Times New Roman" w:cs="Tahoma"/>
          <w:b/>
          <w:color w:val="auto"/>
          <w:lang w:val="es-ES" w:eastAsia="es-ES"/>
        </w:rPr>
      </w:pPr>
      <w:r w:rsidRPr="00F5640D">
        <w:rPr>
          <w:rFonts w:eastAsia="Calibri" w:cs="Tahoma"/>
          <w:b/>
          <w:color w:val="000000"/>
          <w:lang w:val="es-ES" w:eastAsia="es-MX"/>
        </w:rPr>
        <w:t>PRIMERO</w:t>
      </w:r>
      <w:r w:rsidRPr="00F5640D">
        <w:rPr>
          <w:rFonts w:eastAsia="Calibri" w:cs="Tahoma"/>
          <w:color w:val="000000"/>
          <w:lang w:val="es-ES" w:eastAsia="es-MX"/>
        </w:rPr>
        <w:t xml:space="preserve">. </w:t>
      </w:r>
      <w:r w:rsidRPr="00F5640D">
        <w:rPr>
          <w:rFonts w:eastAsia="Times New Roman" w:cs="Tahoma"/>
          <w:b/>
          <w:color w:val="auto"/>
          <w:lang w:val="es-ES" w:eastAsia="es-ES"/>
        </w:rPr>
        <w:t>Competencia</w:t>
      </w:r>
    </w:p>
    <w:p w14:paraId="62F65765" w14:textId="77777777" w:rsidR="00EC77D9" w:rsidRPr="00F5640D" w:rsidRDefault="00EC77D9" w:rsidP="00D16E46">
      <w:pPr>
        <w:autoSpaceDE w:val="0"/>
        <w:autoSpaceDN w:val="0"/>
        <w:adjustRightInd w:val="0"/>
        <w:spacing w:after="0" w:line="360" w:lineRule="auto"/>
        <w:rPr>
          <w:rFonts w:eastAsia="Times New Roman" w:cs="Tahoma"/>
          <w:b/>
          <w:color w:val="auto"/>
          <w:lang w:val="es-ES" w:eastAsia="es-ES"/>
        </w:rPr>
      </w:pPr>
    </w:p>
    <w:p w14:paraId="1F83A937" w14:textId="2E6E9F1E" w:rsidR="00EC77D9" w:rsidRPr="00F5640D" w:rsidRDefault="00EC77D9" w:rsidP="00D16E46">
      <w:pPr>
        <w:spacing w:after="0" w:line="360" w:lineRule="auto"/>
        <w:rPr>
          <w:rFonts w:eastAsia="Times New Roman" w:cs="Tahoma"/>
          <w:bCs/>
          <w:color w:val="auto"/>
          <w:lang w:eastAsia="es-ES"/>
        </w:rPr>
      </w:pPr>
      <w:bookmarkStart w:id="5" w:name="_Hlk63334754"/>
      <w:r w:rsidRPr="00F5640D">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F5640D">
        <w:rPr>
          <w:rFonts w:eastAsia="Times New Roman" w:cs="Tahoma"/>
          <w:bCs/>
          <w:color w:val="auto"/>
          <w:lang w:eastAsia="es-ES"/>
        </w:rPr>
        <w:t>ersona</w:t>
      </w:r>
      <w:r w:rsidRPr="00F5640D">
        <w:rPr>
          <w:rFonts w:eastAsia="Times New Roman" w:cs="Tahoma"/>
          <w:bCs/>
          <w:color w:val="auto"/>
          <w:lang w:eastAsia="es-ES"/>
        </w:rPr>
        <w:t xml:space="preserve"> recurrente, conforme a lo dispuesto en los artículo</w:t>
      </w:r>
      <w:r w:rsidR="00455FD7" w:rsidRPr="00F5640D">
        <w:rPr>
          <w:rFonts w:eastAsia="Times New Roman" w:cs="Tahoma"/>
          <w:bCs/>
          <w:color w:val="auto"/>
          <w:lang w:eastAsia="es-ES"/>
        </w:rPr>
        <w:t>s</w:t>
      </w:r>
      <w:r w:rsidRPr="00F5640D">
        <w:rPr>
          <w:rFonts w:eastAsia="Times New Roman" w:cs="Tahoma"/>
          <w:bCs/>
          <w:color w:val="auto"/>
          <w:lang w:eastAsia="es-ES"/>
        </w:rPr>
        <w:t xml:space="preserve"> 5°, párrafos</w:t>
      </w:r>
      <w:r w:rsidR="00B12193" w:rsidRPr="00F5640D">
        <w:rPr>
          <w:rFonts w:eastAsia="Times New Roman" w:cs="Tahoma"/>
          <w:bCs/>
          <w:color w:val="auto"/>
          <w:lang w:eastAsia="es-ES"/>
        </w:rPr>
        <w:t xml:space="preserve"> trigésimo segundo, trigésimo tercero y trigésimo cuarto</w:t>
      </w:r>
      <w:r w:rsidRPr="00F5640D">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5640D">
        <w:rPr>
          <w:rFonts w:eastAsia="Times New Roman" w:cs="Times New Roman"/>
          <w:bCs/>
          <w:color w:val="auto"/>
          <w:lang w:eastAsia="es-ES"/>
        </w:rPr>
        <w:t xml:space="preserve"> 7°, </w:t>
      </w:r>
      <w:r w:rsidR="00ED609B" w:rsidRPr="00F5640D">
        <w:rPr>
          <w:rFonts w:eastAsia="Times New Roman" w:cs="Tahoma"/>
          <w:bCs/>
          <w:color w:val="auto"/>
          <w:lang w:eastAsia="es-ES"/>
        </w:rPr>
        <w:t>9°, fracciones I y XXIII</w:t>
      </w:r>
      <w:r w:rsidRPr="00F5640D">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5"/>
    </w:p>
    <w:p w14:paraId="0C427DA9" w14:textId="77777777" w:rsidR="003111A9" w:rsidRPr="00F5640D" w:rsidRDefault="003111A9" w:rsidP="00D16E46">
      <w:pPr>
        <w:spacing w:after="0" w:line="360" w:lineRule="auto"/>
        <w:rPr>
          <w:rFonts w:eastAsia="Times New Roman" w:cs="Tahoma"/>
          <w:bCs/>
          <w:color w:val="auto"/>
          <w:lang w:eastAsia="es-ES"/>
        </w:rPr>
      </w:pPr>
    </w:p>
    <w:p w14:paraId="186067FF" w14:textId="77777777" w:rsidR="003111A9" w:rsidRPr="00F5640D" w:rsidRDefault="003111A9" w:rsidP="003111A9">
      <w:pPr>
        <w:spacing w:after="0" w:line="360" w:lineRule="auto"/>
        <w:rPr>
          <w:color w:val="000000"/>
        </w:rPr>
      </w:pPr>
      <w:r w:rsidRPr="00F5640D">
        <w:rPr>
          <w:b/>
          <w:color w:val="000000"/>
        </w:rPr>
        <w:t>SEGUNDO</w:t>
      </w:r>
      <w:r w:rsidRPr="00F5640D">
        <w:rPr>
          <w:color w:val="000000"/>
        </w:rPr>
        <w:t xml:space="preserve">. </w:t>
      </w:r>
      <w:r w:rsidRPr="00F5640D">
        <w:rPr>
          <w:b/>
          <w:color w:val="000000"/>
        </w:rPr>
        <w:t>Causales de improcedencia y sobreseimiento</w:t>
      </w:r>
    </w:p>
    <w:p w14:paraId="45826466" w14:textId="77777777" w:rsidR="003111A9" w:rsidRPr="00F5640D" w:rsidRDefault="003111A9" w:rsidP="003111A9">
      <w:pPr>
        <w:spacing w:after="0" w:line="360" w:lineRule="auto"/>
        <w:rPr>
          <w:color w:val="000000"/>
        </w:rPr>
      </w:pPr>
    </w:p>
    <w:p w14:paraId="365270D3" w14:textId="77777777" w:rsidR="003111A9" w:rsidRPr="00F5640D" w:rsidRDefault="003111A9" w:rsidP="003111A9">
      <w:pPr>
        <w:spacing w:after="0" w:line="360" w:lineRule="auto"/>
        <w:rPr>
          <w:color w:val="000000"/>
        </w:rPr>
      </w:pPr>
      <w:r w:rsidRPr="00F5640D">
        <w:rPr>
          <w:color w:val="000000"/>
        </w:rPr>
        <w:t xml:space="preserve">De las constancias que forma parte del Recurso de Revisión que se analiza, se advierte que previo al estudio del fondo de la </w:t>
      </w:r>
      <w:proofErr w:type="spellStart"/>
      <w:r w:rsidRPr="00F5640D">
        <w:rPr>
          <w:i/>
          <w:color w:val="000000"/>
        </w:rPr>
        <w:t>litis</w:t>
      </w:r>
      <w:proofErr w:type="spellEnd"/>
      <w:r w:rsidRPr="00F5640D">
        <w:rPr>
          <w:color w:val="000000"/>
        </w:rPr>
        <w:t>, es necesario estudiar las causales de improcedencia y sobreseimiento que se adviertan, para determinar lo que en Derecho proceda.</w:t>
      </w:r>
    </w:p>
    <w:p w14:paraId="13BF2B57" w14:textId="77777777" w:rsidR="003111A9" w:rsidRPr="00F5640D" w:rsidRDefault="003111A9" w:rsidP="003111A9">
      <w:pPr>
        <w:spacing w:after="0" w:line="360" w:lineRule="auto"/>
        <w:rPr>
          <w:color w:val="000000"/>
        </w:rPr>
      </w:pPr>
    </w:p>
    <w:p w14:paraId="27EE7688" w14:textId="77777777" w:rsidR="003111A9" w:rsidRPr="00F5640D" w:rsidRDefault="003111A9" w:rsidP="003111A9">
      <w:pPr>
        <w:spacing w:after="0" w:line="360" w:lineRule="auto"/>
        <w:rPr>
          <w:b/>
          <w:color w:val="auto"/>
        </w:rPr>
      </w:pPr>
      <w:r w:rsidRPr="00F5640D">
        <w:rPr>
          <w:b/>
        </w:rPr>
        <w:lastRenderedPageBreak/>
        <w:t>Causales de improcedencia</w:t>
      </w:r>
    </w:p>
    <w:p w14:paraId="024615A7" w14:textId="77777777" w:rsidR="003111A9" w:rsidRPr="00F5640D" w:rsidRDefault="003111A9" w:rsidP="003111A9">
      <w:pPr>
        <w:spacing w:after="0" w:line="360" w:lineRule="auto"/>
      </w:pPr>
    </w:p>
    <w:p w14:paraId="55B95DC4" w14:textId="77777777" w:rsidR="003111A9" w:rsidRPr="00F5640D" w:rsidRDefault="003111A9" w:rsidP="003111A9">
      <w:pPr>
        <w:spacing w:after="0" w:line="360" w:lineRule="auto"/>
        <w:rPr>
          <w:color w:val="000000"/>
        </w:rPr>
      </w:pPr>
      <w:r w:rsidRPr="00F5640D">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F5640D" w:rsidRDefault="003111A9" w:rsidP="003111A9">
      <w:pPr>
        <w:spacing w:after="0" w:line="360" w:lineRule="auto"/>
        <w:rPr>
          <w:color w:val="000000"/>
        </w:rPr>
      </w:pPr>
    </w:p>
    <w:p w14:paraId="49E2FF1A" w14:textId="77777777" w:rsidR="003111A9" w:rsidRPr="00F5640D" w:rsidRDefault="003111A9" w:rsidP="003111A9">
      <w:pPr>
        <w:spacing w:after="0" w:line="360" w:lineRule="auto"/>
        <w:rPr>
          <w:color w:val="000000"/>
        </w:rPr>
      </w:pPr>
      <w:r w:rsidRPr="00F5640D">
        <w:rPr>
          <w:color w:val="000000"/>
        </w:rPr>
        <w:t>En el presente caso, </w:t>
      </w:r>
      <w:r w:rsidRPr="00F5640D">
        <w:rPr>
          <w:b/>
          <w:color w:val="000000"/>
        </w:rPr>
        <w:t>no se actualiza ninguna de las causales de improcedencia</w:t>
      </w:r>
      <w:r w:rsidRPr="00F5640D">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F5640D" w:rsidRDefault="003111A9" w:rsidP="003111A9">
      <w:pPr>
        <w:spacing w:after="0" w:line="360" w:lineRule="auto"/>
        <w:rPr>
          <w:color w:val="000000"/>
        </w:rPr>
      </w:pPr>
    </w:p>
    <w:p w14:paraId="45E20941" w14:textId="0ADBEAE3" w:rsidR="003111A9" w:rsidRPr="00F5640D" w:rsidRDefault="003111A9" w:rsidP="003111A9">
      <w:pPr>
        <w:spacing w:after="0" w:line="360" w:lineRule="auto"/>
        <w:rPr>
          <w:color w:val="auto"/>
        </w:rPr>
      </w:pPr>
      <w:r w:rsidRPr="00F5640D">
        <w:t>Por lo cual, se actualiza la causal de procedencia del Recurso de Revisión señalada en el artículo 179, fracción V, de la Ley en cita, pues la persona Recurrente se inconformó de la entrega de información incompleta.</w:t>
      </w:r>
    </w:p>
    <w:p w14:paraId="0B89D63D" w14:textId="77777777" w:rsidR="003111A9" w:rsidRPr="00F5640D" w:rsidRDefault="003111A9" w:rsidP="003111A9">
      <w:pPr>
        <w:spacing w:after="0" w:line="360" w:lineRule="auto"/>
      </w:pPr>
    </w:p>
    <w:p w14:paraId="41EC8A8C" w14:textId="77777777" w:rsidR="003111A9" w:rsidRPr="00F5640D" w:rsidRDefault="003111A9" w:rsidP="003111A9">
      <w:pPr>
        <w:spacing w:after="0" w:line="360" w:lineRule="auto"/>
        <w:rPr>
          <w:color w:val="0D0D0D"/>
        </w:rPr>
      </w:pPr>
      <w:r w:rsidRPr="00F5640D">
        <w:rPr>
          <w:b/>
          <w:color w:val="0D0D0D"/>
        </w:rPr>
        <w:t>Causales de sobreseimiento</w:t>
      </w:r>
    </w:p>
    <w:p w14:paraId="2A8BF307" w14:textId="77777777" w:rsidR="003111A9" w:rsidRPr="00F5640D" w:rsidRDefault="003111A9" w:rsidP="003111A9">
      <w:pPr>
        <w:spacing w:after="0" w:line="360" w:lineRule="auto"/>
        <w:rPr>
          <w:color w:val="0D0D0D"/>
        </w:rPr>
      </w:pPr>
    </w:p>
    <w:p w14:paraId="55F72909" w14:textId="77777777" w:rsidR="003111A9" w:rsidRPr="00F5640D" w:rsidRDefault="003111A9" w:rsidP="003111A9">
      <w:pPr>
        <w:spacing w:after="0" w:line="360" w:lineRule="auto"/>
        <w:rPr>
          <w:color w:val="0D0D0D"/>
        </w:rPr>
      </w:pPr>
      <w:r w:rsidRPr="00F5640D">
        <w:rPr>
          <w:color w:val="0D0D0D"/>
        </w:rPr>
        <w:t>Por ser de previo y especial pronunciamiento, este Instituto analiza si se actualiza alguna causal de sobreseimiento.</w:t>
      </w:r>
    </w:p>
    <w:p w14:paraId="05EE21C7" w14:textId="77777777" w:rsidR="003111A9" w:rsidRPr="00F5640D" w:rsidRDefault="003111A9" w:rsidP="003111A9">
      <w:pPr>
        <w:spacing w:after="0" w:line="360" w:lineRule="auto"/>
        <w:rPr>
          <w:color w:val="0D0D0D"/>
        </w:rPr>
      </w:pPr>
    </w:p>
    <w:p w14:paraId="1B928B2A" w14:textId="77777777" w:rsidR="003111A9" w:rsidRPr="00F5640D" w:rsidRDefault="003111A9" w:rsidP="003111A9">
      <w:pPr>
        <w:spacing w:after="0" w:line="360" w:lineRule="auto"/>
        <w:rPr>
          <w:color w:val="000000"/>
        </w:rPr>
      </w:pPr>
      <w:r w:rsidRPr="00F5640D">
        <w:rPr>
          <w:color w:val="0D0D0D"/>
        </w:rPr>
        <w:t>Sobre el tema, e</w:t>
      </w:r>
      <w:r w:rsidRPr="00F5640D">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5FF182C1" w14:textId="77777777" w:rsidR="003111A9" w:rsidRPr="00F5640D" w:rsidRDefault="003111A9" w:rsidP="003111A9">
      <w:pPr>
        <w:spacing w:after="0" w:line="360" w:lineRule="auto"/>
        <w:rPr>
          <w:color w:val="000000"/>
        </w:rPr>
      </w:pPr>
    </w:p>
    <w:p w14:paraId="4F31FE4E" w14:textId="77777777" w:rsidR="003111A9" w:rsidRPr="00F5640D" w:rsidRDefault="003111A9" w:rsidP="003111A9">
      <w:pPr>
        <w:spacing w:after="0" w:line="360" w:lineRule="auto"/>
        <w:rPr>
          <w:color w:val="0D0D0D"/>
        </w:rPr>
      </w:pPr>
      <w:r w:rsidRPr="00F5640D">
        <w:rPr>
          <w:color w:val="0D0D0D"/>
        </w:rPr>
        <w:t xml:space="preserve">Por tales motivos, se considera procedente entrar al fondo del presente asunto. </w:t>
      </w:r>
    </w:p>
    <w:p w14:paraId="4BF5C828" w14:textId="77777777" w:rsidR="003111A9" w:rsidRPr="00F5640D" w:rsidRDefault="003111A9" w:rsidP="003111A9">
      <w:pPr>
        <w:spacing w:after="0" w:line="360" w:lineRule="auto"/>
        <w:rPr>
          <w:b/>
          <w:color w:val="000000"/>
        </w:rPr>
      </w:pPr>
    </w:p>
    <w:p w14:paraId="2F0C8DDC" w14:textId="77777777" w:rsidR="003111A9" w:rsidRPr="00F5640D" w:rsidRDefault="003111A9" w:rsidP="003111A9">
      <w:pPr>
        <w:spacing w:after="0" w:line="360" w:lineRule="auto"/>
        <w:rPr>
          <w:b/>
          <w:color w:val="000000"/>
        </w:rPr>
      </w:pPr>
      <w:r w:rsidRPr="00F5640D">
        <w:rPr>
          <w:b/>
          <w:color w:val="000000"/>
        </w:rPr>
        <w:t>TERCERO. Determinación de la Controversia</w:t>
      </w:r>
    </w:p>
    <w:p w14:paraId="617872F7" w14:textId="77777777" w:rsidR="003111A9" w:rsidRPr="00F5640D" w:rsidRDefault="003111A9" w:rsidP="003111A9">
      <w:pPr>
        <w:spacing w:after="0" w:line="360" w:lineRule="auto"/>
        <w:rPr>
          <w:b/>
          <w:color w:val="000000"/>
        </w:rPr>
      </w:pPr>
    </w:p>
    <w:p w14:paraId="5DF84B2C" w14:textId="0A4F38EE" w:rsidR="00611306" w:rsidRPr="00F5640D" w:rsidRDefault="003111A9" w:rsidP="003111A9">
      <w:pPr>
        <w:spacing w:after="0" w:line="360" w:lineRule="auto"/>
        <w:rPr>
          <w:color w:val="000000"/>
        </w:rPr>
      </w:pPr>
      <w:r w:rsidRPr="00F5640D">
        <w:rPr>
          <w:color w:val="000000"/>
        </w:rPr>
        <w:t xml:space="preserve">Una vez realizado el estudio de las constancias que integran el expediente en que se actúa, se desprende que el Particular requirió, </w:t>
      </w:r>
      <w:r w:rsidR="00611306" w:rsidRPr="00F5640D">
        <w:rPr>
          <w:color w:val="000000"/>
        </w:rPr>
        <w:t>los contratos celebrados con la Empresa QMKT SERVICIOS DIGITALES, S.A. DE C.V, así como, las facturas</w:t>
      </w:r>
      <w:r w:rsidR="00030FFF" w:rsidRPr="00F5640D">
        <w:rPr>
          <w:color w:val="000000"/>
        </w:rPr>
        <w:t xml:space="preserve"> de los montos pagados y adeudos</w:t>
      </w:r>
      <w:r w:rsidR="00611306" w:rsidRPr="00F5640D">
        <w:rPr>
          <w:color w:val="000000"/>
        </w:rPr>
        <w:t xml:space="preserve">, del primero de enero </w:t>
      </w:r>
      <w:r w:rsidR="00E20E13" w:rsidRPr="00F5640D">
        <w:rPr>
          <w:color w:val="000000"/>
        </w:rPr>
        <w:t xml:space="preserve">de dos mil veintidós </w:t>
      </w:r>
      <w:r w:rsidR="00611306" w:rsidRPr="00F5640D">
        <w:rPr>
          <w:color w:val="000000"/>
        </w:rPr>
        <w:t>al veintinueve de octubre de dos mil veinticuatro.</w:t>
      </w:r>
    </w:p>
    <w:p w14:paraId="1F8F49C9" w14:textId="77777777" w:rsidR="003111A9" w:rsidRPr="00F5640D" w:rsidRDefault="003111A9" w:rsidP="003111A9">
      <w:pPr>
        <w:spacing w:after="0" w:line="360" w:lineRule="auto"/>
        <w:rPr>
          <w:color w:val="000000"/>
        </w:rPr>
      </w:pPr>
    </w:p>
    <w:p w14:paraId="7D7684F6" w14:textId="1C47C539" w:rsidR="00030FFF" w:rsidRPr="00F5640D" w:rsidRDefault="003111A9" w:rsidP="00030FFF">
      <w:pPr>
        <w:spacing w:after="0" w:line="360" w:lineRule="auto"/>
        <w:contextualSpacing/>
        <w:rPr>
          <w:rFonts w:eastAsia="Times New Roman"/>
          <w:lang w:eastAsia="es-ES_tradnl"/>
        </w:rPr>
      </w:pPr>
      <w:r w:rsidRPr="00F5640D">
        <w:rPr>
          <w:color w:val="000000"/>
        </w:rPr>
        <w:t>En respuesta, el Sujeto Obligado, a través de</w:t>
      </w:r>
      <w:r w:rsidR="00611306" w:rsidRPr="00F5640D">
        <w:rPr>
          <w:color w:val="000000"/>
        </w:rPr>
        <w:t xml:space="preserve"> la Dirección de Administración </w:t>
      </w:r>
      <w:r w:rsidR="00030FFF" w:rsidRPr="00F5640D">
        <w:rPr>
          <w:color w:val="000000"/>
        </w:rPr>
        <w:t>entregó once contratos celebrados con la Empresa QMKT SERVICIOS DIGITALES, S.A. DE C.V y mencionó que las facturas, montos pagados y adeudos eran materia de competencia de la Tesorería Municipal, asimismo, la Tesorería Municipal mencionó que era la Dirección de Administración quien era competente de conocer la información</w:t>
      </w:r>
      <w:r w:rsidR="007D278C" w:rsidRPr="00F5640D">
        <w:rPr>
          <w:rFonts w:eastAsia="Times New Roman" w:cs="Tahoma"/>
          <w:color w:val="auto"/>
          <w:lang w:eastAsia="es-ES"/>
        </w:rPr>
        <w:t>; a</w:t>
      </w:r>
      <w:proofErr w:type="spellStart"/>
      <w:r w:rsidRPr="00F5640D">
        <w:rPr>
          <w:rFonts w:cs="Tahoma"/>
          <w:lang w:val="es-ES"/>
        </w:rPr>
        <w:t>nte</w:t>
      </w:r>
      <w:proofErr w:type="spellEnd"/>
      <w:r w:rsidRPr="00F5640D">
        <w:rPr>
          <w:rFonts w:cs="Tahoma"/>
          <w:lang w:val="es-ES"/>
        </w:rPr>
        <w:t xml:space="preserve"> dicha circunstancia, el Particular se inconformó de la</w:t>
      </w:r>
      <w:r w:rsidR="007D278C" w:rsidRPr="00F5640D">
        <w:rPr>
          <w:rFonts w:cs="Tahoma"/>
          <w:lang w:val="es-ES"/>
        </w:rPr>
        <w:t xml:space="preserve"> entrega de información incompleta</w:t>
      </w:r>
      <w:r w:rsidRPr="00F5640D">
        <w:rPr>
          <w:rFonts w:cs="Tahoma"/>
          <w:lang w:val="es-ES"/>
        </w:rPr>
        <w:t>, al mencionar que</w:t>
      </w:r>
      <w:r w:rsidR="007D278C" w:rsidRPr="00F5640D">
        <w:rPr>
          <w:rFonts w:cs="Tahoma"/>
          <w:lang w:val="es-ES"/>
        </w:rPr>
        <w:t xml:space="preserve"> </w:t>
      </w:r>
      <w:r w:rsidR="00030FFF" w:rsidRPr="00F5640D">
        <w:rPr>
          <w:rFonts w:cs="Tahoma"/>
          <w:lang w:val="es-ES"/>
        </w:rPr>
        <w:t xml:space="preserve">no le </w:t>
      </w:r>
      <w:r w:rsidR="00030FFF" w:rsidRPr="00F5640D">
        <w:rPr>
          <w:rFonts w:cs="Tahoma"/>
          <w:lang w:val="es-ES"/>
        </w:rPr>
        <w:lastRenderedPageBreak/>
        <w:t>entregaron las facturas</w:t>
      </w:r>
      <w:r w:rsidR="00E20E13" w:rsidRPr="00F5640D">
        <w:rPr>
          <w:rFonts w:cs="Tahoma"/>
          <w:lang w:val="es-ES"/>
        </w:rPr>
        <w:t>,</w:t>
      </w:r>
      <w:r w:rsidR="00030FFF" w:rsidRPr="00F5640D">
        <w:rPr>
          <w:rFonts w:cs="Tahoma"/>
          <w:lang w:val="es-ES"/>
        </w:rPr>
        <w:t xml:space="preserve"> solo los contratos</w:t>
      </w:r>
      <w:r w:rsidRPr="00F5640D">
        <w:rPr>
          <w:rFonts w:cs="Tahoma"/>
          <w:lang w:val="es-ES"/>
        </w:rPr>
        <w:t xml:space="preserve">, lo cual </w:t>
      </w:r>
      <w:r w:rsidRPr="00F5640D">
        <w:rPr>
          <w:rFonts w:eastAsia="Calibri" w:cs="Tahoma"/>
        </w:rPr>
        <w:t xml:space="preserve">actualiza la causal de procedencia prevista en la fracción </w:t>
      </w:r>
      <w:r w:rsidR="00D70CD2" w:rsidRPr="00F5640D">
        <w:rPr>
          <w:rFonts w:eastAsia="Calibri" w:cs="Tahoma"/>
        </w:rPr>
        <w:t>V</w:t>
      </w:r>
      <w:r w:rsidRPr="00F5640D">
        <w:rPr>
          <w:rFonts w:eastAsia="Calibri" w:cs="Tahoma"/>
        </w:rPr>
        <w:t>, del artículo 179 de la Ley de Transparencia y Acceso a la Información Pública del Estado de México y Municipios</w:t>
      </w:r>
      <w:r w:rsidRPr="00F5640D">
        <w:rPr>
          <w:color w:val="0D0D0D"/>
        </w:rPr>
        <w:t xml:space="preserve">. </w:t>
      </w:r>
      <w:r w:rsidR="00030FFF" w:rsidRPr="00F5640D">
        <w:rPr>
          <w:color w:val="000000"/>
        </w:rPr>
        <w:t>Así las cosas, una vez admitido y notificado el Recurso a las partes, el Sujeto Obligado ratificó su respuesta.</w:t>
      </w:r>
    </w:p>
    <w:p w14:paraId="3F199C5C" w14:textId="77777777" w:rsidR="003111A9" w:rsidRPr="00F5640D" w:rsidRDefault="003111A9" w:rsidP="003111A9">
      <w:pPr>
        <w:spacing w:after="0" w:line="360" w:lineRule="auto"/>
        <w:rPr>
          <w:rFonts w:eastAsia="Calibri" w:cs="Tahoma"/>
        </w:rPr>
      </w:pPr>
    </w:p>
    <w:p w14:paraId="54903BC7" w14:textId="1ED40CA3" w:rsidR="003111A9" w:rsidRPr="00F5640D" w:rsidRDefault="003111A9" w:rsidP="003111A9">
      <w:pPr>
        <w:spacing w:after="0" w:line="360" w:lineRule="auto"/>
        <w:contextualSpacing/>
        <w:rPr>
          <w:rFonts w:eastAsia="Times New Roman"/>
          <w:lang w:eastAsia="es-ES_tradnl"/>
        </w:rPr>
      </w:pPr>
      <w:r w:rsidRPr="00F5640D">
        <w:rPr>
          <w:rFonts w:eastAsia="Times New Roman"/>
          <w:lang w:eastAsia="es-ES_tradnl"/>
        </w:rPr>
        <w:t xml:space="preserve">Conforme a lo anterior, se logra vislumbrar que la persona Recurrente no se agravió de </w:t>
      </w:r>
      <w:r w:rsidR="00030FFF" w:rsidRPr="00F5640D">
        <w:rPr>
          <w:rFonts w:eastAsia="Times New Roman"/>
          <w:lang w:eastAsia="es-ES_tradnl"/>
        </w:rPr>
        <w:t xml:space="preserve">los contratos entregados, sino </w:t>
      </w:r>
      <w:r w:rsidR="00C954E3" w:rsidRPr="00F5640D">
        <w:rPr>
          <w:rFonts w:eastAsia="Times New Roman"/>
          <w:lang w:eastAsia="es-ES_tradnl"/>
        </w:rPr>
        <w:t>solo por las facturas</w:t>
      </w:r>
      <w:r w:rsidRPr="00F5640D">
        <w:rPr>
          <w:rFonts w:cs="Tahoma"/>
          <w:szCs w:val="24"/>
          <w:lang w:val="es-ES"/>
        </w:rPr>
        <w:t xml:space="preserve">, por </w:t>
      </w:r>
      <w:r w:rsidRPr="00F5640D">
        <w:rPr>
          <w:rFonts w:eastAsia="Times New Roman"/>
          <w:lang w:eastAsia="es-ES_tradnl"/>
        </w:rPr>
        <w:t xml:space="preserve">lo que, no se hará pronunciamiento alguno </w:t>
      </w:r>
      <w:r w:rsidRPr="00F5640D">
        <w:rPr>
          <w:color w:val="000000"/>
          <w:lang w:eastAsia="es-ES_tradnl"/>
        </w:rPr>
        <w:t>respecto a las documentales entregadas</w:t>
      </w:r>
      <w:r w:rsidRPr="00F5640D">
        <w:rPr>
          <w:rFonts w:eastAsia="Times New Roman"/>
          <w:lang w:eastAsia="es-ES_tradnl"/>
        </w:rPr>
        <w:t>,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F5640D">
        <w:rPr>
          <w:rFonts w:eastAsia="Times New Roman"/>
          <w:b/>
          <w:bCs/>
          <w:lang w:eastAsia="es-ES_tradnl"/>
        </w:rPr>
        <w:t>los actos que se hayan consentido tácitamente,</w:t>
      </w:r>
      <w:r w:rsidRPr="00F5640D">
        <w:rPr>
          <w:rFonts w:eastAsia="Times New Roman"/>
          <w:lang w:eastAsia="es-ES_tradnl"/>
        </w:rPr>
        <w:t> entendiéndose por estos cuando el agravio no se haya promovido en el plazo señalado para el efecto.</w:t>
      </w:r>
    </w:p>
    <w:p w14:paraId="3C5230A3" w14:textId="77777777" w:rsidR="003111A9" w:rsidRPr="00F5640D" w:rsidRDefault="003111A9" w:rsidP="003111A9">
      <w:pPr>
        <w:spacing w:after="0" w:line="360" w:lineRule="auto"/>
        <w:contextualSpacing/>
        <w:rPr>
          <w:rFonts w:eastAsia="Times New Roman"/>
          <w:lang w:eastAsia="es-ES_tradnl"/>
        </w:rPr>
      </w:pPr>
      <w:r w:rsidRPr="00F5640D">
        <w:rPr>
          <w:rFonts w:eastAsia="Times New Roman"/>
          <w:lang w:eastAsia="es-ES_tradnl"/>
        </w:rPr>
        <w:t> </w:t>
      </w:r>
    </w:p>
    <w:p w14:paraId="3820B3E8" w14:textId="77777777" w:rsidR="003111A9" w:rsidRPr="00F5640D" w:rsidRDefault="003111A9" w:rsidP="003111A9">
      <w:pPr>
        <w:spacing w:after="0" w:line="360" w:lineRule="auto"/>
        <w:contextualSpacing/>
        <w:rPr>
          <w:rFonts w:eastAsia="Times New Roman"/>
          <w:lang w:eastAsia="es-ES_tradnl"/>
        </w:rPr>
      </w:pPr>
      <w:r w:rsidRPr="00F5640D">
        <w:rPr>
          <w:rFonts w:eastAsia="Times New Roman"/>
          <w:lang w:eastAsia="es-ES_tradnl"/>
        </w:rPr>
        <w:t>De la misma manera resulta aplicable el criterio sostenido por el Poder Judicial de la Federación de rubro </w:t>
      </w:r>
      <w:r w:rsidRPr="00F5640D">
        <w:rPr>
          <w:rFonts w:eastAsia="Times New Roman"/>
          <w:b/>
          <w:bCs/>
          <w:lang w:eastAsia="es-ES_tradnl"/>
        </w:rPr>
        <w:t>ACTOS CONSENTIDOS TÁCITAMENTE</w:t>
      </w:r>
      <w:r w:rsidRPr="00F5640D">
        <w:rPr>
          <w:rFonts w:eastAsia="Times New Roman"/>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1D2A752A" w14:textId="386513D0" w:rsidR="004508EF" w:rsidRPr="00F5640D" w:rsidRDefault="003111A9" w:rsidP="003111A9">
      <w:pPr>
        <w:spacing w:after="0" w:line="360" w:lineRule="auto"/>
        <w:contextualSpacing/>
        <w:rPr>
          <w:rFonts w:eastAsia="Times New Roman"/>
          <w:lang w:eastAsia="es-ES_tradnl"/>
        </w:rPr>
      </w:pPr>
      <w:r w:rsidRPr="00F5640D">
        <w:rPr>
          <w:rFonts w:eastAsia="Times New Roman"/>
          <w:lang w:eastAsia="es-ES_tradnl"/>
        </w:rPr>
        <w:t> </w:t>
      </w:r>
    </w:p>
    <w:p w14:paraId="508E3D75" w14:textId="77777777" w:rsidR="003111A9" w:rsidRPr="00F5640D" w:rsidRDefault="003111A9" w:rsidP="003111A9">
      <w:pPr>
        <w:spacing w:after="0" w:line="360" w:lineRule="auto"/>
        <w:contextualSpacing/>
        <w:rPr>
          <w:rFonts w:eastAsia="Times New Roman"/>
          <w:lang w:eastAsia="es-ES_tradnl"/>
        </w:rPr>
      </w:pPr>
      <w:r w:rsidRPr="00F5640D">
        <w:rPr>
          <w:rFonts w:eastAsia="Times New Roman"/>
          <w:lang w:eastAsia="es-ES_tradnl"/>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w:t>
      </w:r>
      <w:r w:rsidRPr="00F5640D">
        <w:rPr>
          <w:rFonts w:eastAsia="Times New Roman"/>
          <w:lang w:eastAsia="es-ES_tradnl"/>
        </w:rPr>
        <w:lastRenderedPageBreak/>
        <w:t>la especie, se válida la respuesta respecto de los puntos no controvertidos y se arriba a la conclusión de que estos quedaron firmes. </w:t>
      </w:r>
    </w:p>
    <w:p w14:paraId="7BD8965B" w14:textId="77777777" w:rsidR="003111A9" w:rsidRPr="00F5640D" w:rsidRDefault="003111A9" w:rsidP="003111A9">
      <w:pPr>
        <w:spacing w:after="0" w:line="360" w:lineRule="auto"/>
        <w:contextualSpacing/>
        <w:rPr>
          <w:rFonts w:eastAsia="Times New Roman"/>
          <w:lang w:eastAsia="es-ES_tradnl"/>
        </w:rPr>
      </w:pPr>
      <w:r w:rsidRPr="00F5640D">
        <w:rPr>
          <w:rFonts w:eastAsia="Times New Roman"/>
          <w:lang w:eastAsia="es-ES_tradnl"/>
        </w:rPr>
        <w:t> </w:t>
      </w:r>
    </w:p>
    <w:p w14:paraId="3F0D0DA1" w14:textId="1AA7E2B9" w:rsidR="003111A9" w:rsidRPr="00F5640D" w:rsidRDefault="003111A9" w:rsidP="003111A9">
      <w:pPr>
        <w:spacing w:after="0" w:line="360" w:lineRule="auto"/>
        <w:contextualSpacing/>
        <w:rPr>
          <w:color w:val="000000"/>
          <w:lang w:eastAsia="es-ES_tradnl"/>
        </w:rPr>
      </w:pPr>
      <w:r w:rsidRPr="00F5640D">
        <w:rPr>
          <w:rFonts w:eastAsia="Times New Roman"/>
          <w:lang w:eastAsia="es-ES_tradnl"/>
        </w:rPr>
        <w:t xml:space="preserve">Asimismo, resulta relevante traer a colación el Criterio de Interpretación, con clave de control SO/001/2020, emitido por el Instituto Nacional de Transparencia, Acceso a la Información y Protección de Datos Personales, que establece que es improcedente entrar al análisis de las partes de la respuesta del Sujeto Obligado que no fueron impugnadas por la persona Recurrente; por lo que, en el presente caso, </w:t>
      </w:r>
      <w:r w:rsidRPr="00F5640D">
        <w:rPr>
          <w:color w:val="000000"/>
          <w:lang w:eastAsia="es-ES_tradnl"/>
        </w:rPr>
        <w:t xml:space="preserve">se tiene por consentida la información </w:t>
      </w:r>
      <w:r w:rsidR="00B912D2" w:rsidRPr="00F5640D">
        <w:rPr>
          <w:color w:val="000000"/>
          <w:lang w:eastAsia="es-ES_tradnl"/>
        </w:rPr>
        <w:t xml:space="preserve">entregada </w:t>
      </w:r>
      <w:r w:rsidRPr="00F5640D">
        <w:rPr>
          <w:color w:val="000000"/>
          <w:lang w:eastAsia="es-ES_tradnl"/>
        </w:rPr>
        <w:t>por el Ente Recurrido, y únicamente se entrará al análisis de</w:t>
      </w:r>
      <w:r w:rsidR="00B37005" w:rsidRPr="00F5640D">
        <w:rPr>
          <w:color w:val="000000"/>
          <w:lang w:eastAsia="es-ES_tradnl"/>
        </w:rPr>
        <w:t xml:space="preserve"> las facturas derivadas de los contratos.</w:t>
      </w:r>
    </w:p>
    <w:p w14:paraId="72D0BAF8" w14:textId="77777777" w:rsidR="003111A9" w:rsidRPr="00F5640D" w:rsidRDefault="003111A9" w:rsidP="003111A9">
      <w:pPr>
        <w:autoSpaceDE w:val="0"/>
        <w:autoSpaceDN w:val="0"/>
        <w:adjustRightInd w:val="0"/>
        <w:spacing w:after="0" w:line="360" w:lineRule="auto"/>
      </w:pPr>
    </w:p>
    <w:p w14:paraId="4CA1A1FF" w14:textId="77777777" w:rsidR="003111A9" w:rsidRPr="00F5640D" w:rsidRDefault="003111A9" w:rsidP="003111A9">
      <w:pPr>
        <w:autoSpaceDE w:val="0"/>
        <w:autoSpaceDN w:val="0"/>
        <w:adjustRightInd w:val="0"/>
        <w:spacing w:after="0" w:line="360" w:lineRule="auto"/>
      </w:pPr>
      <w:r w:rsidRPr="00F5640D">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D80CF1A" w14:textId="77777777" w:rsidR="00A44C6F" w:rsidRPr="00F5640D" w:rsidRDefault="00A44C6F" w:rsidP="003111A9">
      <w:pPr>
        <w:autoSpaceDE w:val="0"/>
        <w:autoSpaceDN w:val="0"/>
        <w:adjustRightInd w:val="0"/>
        <w:spacing w:after="0" w:line="360" w:lineRule="auto"/>
      </w:pPr>
    </w:p>
    <w:p w14:paraId="4561EC1E" w14:textId="77777777" w:rsidR="00D506A8" w:rsidRPr="00F5640D" w:rsidRDefault="00D506A8" w:rsidP="00D506A8">
      <w:pPr>
        <w:spacing w:after="0" w:line="360" w:lineRule="auto"/>
        <w:rPr>
          <w:b/>
          <w:color w:val="000000"/>
        </w:rPr>
      </w:pPr>
      <w:r w:rsidRPr="00F5640D">
        <w:rPr>
          <w:b/>
          <w:color w:val="000000"/>
        </w:rPr>
        <w:t>CUARTO. Marco normativo aplicable en materia de transparencia y acceso a la información pública</w:t>
      </w:r>
    </w:p>
    <w:p w14:paraId="58AC07C6" w14:textId="77777777" w:rsidR="00D506A8" w:rsidRPr="00F5640D" w:rsidRDefault="00D506A8" w:rsidP="00D506A8">
      <w:pPr>
        <w:spacing w:after="0" w:line="360" w:lineRule="auto"/>
        <w:rPr>
          <w:color w:val="000000"/>
        </w:rPr>
      </w:pPr>
    </w:p>
    <w:p w14:paraId="5AB31EB4" w14:textId="77777777" w:rsidR="00D506A8" w:rsidRPr="00F5640D" w:rsidRDefault="00D506A8" w:rsidP="00D506A8">
      <w:pPr>
        <w:spacing w:after="0" w:line="360" w:lineRule="auto"/>
        <w:rPr>
          <w:color w:val="000000"/>
        </w:rPr>
      </w:pPr>
      <w:r w:rsidRPr="00F5640D">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4ADCF30" w14:textId="77777777" w:rsidR="00D506A8" w:rsidRPr="00F5640D" w:rsidRDefault="00D506A8" w:rsidP="00D506A8">
      <w:pPr>
        <w:spacing w:after="0" w:line="360" w:lineRule="auto"/>
        <w:rPr>
          <w:color w:val="000000"/>
        </w:rPr>
      </w:pPr>
    </w:p>
    <w:p w14:paraId="3F576EF2" w14:textId="77777777" w:rsidR="004C4520" w:rsidRPr="00F5640D" w:rsidRDefault="004C4520" w:rsidP="00D506A8">
      <w:pPr>
        <w:spacing w:after="0" w:line="360" w:lineRule="auto"/>
        <w:rPr>
          <w:color w:val="000000"/>
        </w:rPr>
      </w:pPr>
    </w:p>
    <w:p w14:paraId="3AF21837" w14:textId="77777777" w:rsidR="00D506A8" w:rsidRPr="00F5640D" w:rsidRDefault="00D506A8" w:rsidP="00D506A8">
      <w:pPr>
        <w:spacing w:after="0" w:line="360" w:lineRule="auto"/>
        <w:rPr>
          <w:color w:val="000000"/>
        </w:rPr>
      </w:pPr>
      <w:r w:rsidRPr="00F5640D">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497BD29" w14:textId="77777777" w:rsidR="00D506A8" w:rsidRPr="00F5640D" w:rsidRDefault="00D506A8" w:rsidP="00D506A8">
      <w:pPr>
        <w:spacing w:after="0" w:line="360" w:lineRule="auto"/>
        <w:rPr>
          <w:color w:val="000000"/>
        </w:rPr>
      </w:pPr>
    </w:p>
    <w:p w14:paraId="7C40BD29" w14:textId="77777777" w:rsidR="00D506A8" w:rsidRPr="00F5640D" w:rsidRDefault="00D506A8" w:rsidP="00D506A8">
      <w:pPr>
        <w:spacing w:after="0" w:line="360" w:lineRule="auto"/>
        <w:rPr>
          <w:color w:val="000000"/>
        </w:rPr>
      </w:pPr>
      <w:r w:rsidRPr="00F5640D">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AA5C40E" w14:textId="77777777" w:rsidR="00D506A8" w:rsidRPr="00F5640D" w:rsidRDefault="00D506A8" w:rsidP="00D506A8">
      <w:pPr>
        <w:spacing w:after="0" w:line="360" w:lineRule="auto"/>
        <w:rPr>
          <w:color w:val="000000"/>
        </w:rPr>
      </w:pPr>
    </w:p>
    <w:p w14:paraId="245F3829" w14:textId="77777777" w:rsidR="00D506A8" w:rsidRPr="00F5640D" w:rsidRDefault="00D506A8" w:rsidP="00D506A8">
      <w:pPr>
        <w:spacing w:after="0" w:line="360" w:lineRule="auto"/>
        <w:rPr>
          <w:color w:val="000000"/>
        </w:rPr>
      </w:pPr>
      <w:r w:rsidRPr="00F5640D">
        <w:rPr>
          <w:color w:val="000000"/>
        </w:rPr>
        <w:t>Por su parte, la Ley de Transparencia y Acceso a la Información Pública del Estado de México y Municipios (Reglamentaria del artículo 5° de la Constitución Local), establece lo siguiente:</w:t>
      </w:r>
    </w:p>
    <w:p w14:paraId="73FA4606" w14:textId="77777777" w:rsidR="00D506A8" w:rsidRPr="00F5640D" w:rsidRDefault="00D506A8" w:rsidP="00D506A8">
      <w:pPr>
        <w:spacing w:after="0" w:line="360" w:lineRule="auto"/>
        <w:rPr>
          <w:color w:val="000000"/>
        </w:rPr>
      </w:pPr>
    </w:p>
    <w:p w14:paraId="635D38CE" w14:textId="77777777" w:rsidR="00D506A8" w:rsidRPr="00F5640D" w:rsidRDefault="00D506A8" w:rsidP="00D506A8">
      <w:pPr>
        <w:spacing w:after="0" w:line="360" w:lineRule="auto"/>
        <w:rPr>
          <w:color w:val="000000"/>
        </w:rPr>
      </w:pPr>
      <w:r w:rsidRPr="00F5640D">
        <w:rPr>
          <w:color w:val="000000"/>
        </w:rPr>
        <w:t>El artículo 12, que, quienes generen, recopilen, administren, manejen, procesen, archiven o conserven información pública serán responsables de la misma.</w:t>
      </w:r>
    </w:p>
    <w:p w14:paraId="0A5934F2" w14:textId="77777777" w:rsidR="00D506A8" w:rsidRPr="00F5640D" w:rsidRDefault="00D506A8" w:rsidP="00D506A8">
      <w:pPr>
        <w:spacing w:after="0" w:line="360" w:lineRule="auto"/>
        <w:rPr>
          <w:color w:val="000000"/>
        </w:rPr>
      </w:pPr>
    </w:p>
    <w:p w14:paraId="1B50CFEE" w14:textId="77777777" w:rsidR="00D506A8" w:rsidRPr="00F5640D" w:rsidRDefault="00D506A8" w:rsidP="00D506A8">
      <w:pPr>
        <w:widowControl w:val="0"/>
        <w:spacing w:after="0" w:line="360" w:lineRule="auto"/>
        <w:rPr>
          <w:color w:val="000000"/>
        </w:rPr>
      </w:pPr>
      <w:r w:rsidRPr="00F5640D">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064590CA" w14:textId="77777777" w:rsidR="00D506A8" w:rsidRPr="00F5640D" w:rsidRDefault="00D506A8" w:rsidP="00D506A8">
      <w:pPr>
        <w:spacing w:after="0" w:line="360" w:lineRule="auto"/>
        <w:rPr>
          <w:color w:val="000000"/>
        </w:rPr>
      </w:pPr>
    </w:p>
    <w:p w14:paraId="35D0591E" w14:textId="77777777" w:rsidR="00D506A8" w:rsidRPr="00F5640D" w:rsidRDefault="00D506A8" w:rsidP="00D506A8">
      <w:pPr>
        <w:spacing w:after="0" w:line="360" w:lineRule="auto"/>
        <w:rPr>
          <w:color w:val="000000"/>
        </w:rPr>
      </w:pPr>
      <w:r w:rsidRPr="00F5640D">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F1C8D34" w14:textId="77777777" w:rsidR="00D506A8" w:rsidRPr="00F5640D" w:rsidRDefault="00D506A8" w:rsidP="003111A9">
      <w:pPr>
        <w:autoSpaceDE w:val="0"/>
        <w:autoSpaceDN w:val="0"/>
        <w:adjustRightInd w:val="0"/>
        <w:spacing w:after="0" w:line="360" w:lineRule="auto"/>
      </w:pPr>
    </w:p>
    <w:p w14:paraId="1D284772" w14:textId="77777777" w:rsidR="004C4520" w:rsidRPr="00F5640D" w:rsidRDefault="004C4520" w:rsidP="003111A9">
      <w:pPr>
        <w:autoSpaceDE w:val="0"/>
        <w:autoSpaceDN w:val="0"/>
        <w:adjustRightInd w:val="0"/>
        <w:spacing w:after="0" w:line="360" w:lineRule="auto"/>
      </w:pPr>
    </w:p>
    <w:p w14:paraId="091895CA" w14:textId="77777777" w:rsidR="00792129" w:rsidRPr="00F5640D" w:rsidRDefault="00792129" w:rsidP="00792129">
      <w:pPr>
        <w:spacing w:after="0" w:line="360" w:lineRule="auto"/>
        <w:rPr>
          <w:rFonts w:eastAsia="Times New Roman" w:cs="Tahoma"/>
          <w:b/>
          <w:bCs/>
          <w:iCs/>
          <w:color w:val="auto"/>
          <w:lang w:val="es-ES" w:eastAsia="es-ES"/>
        </w:rPr>
      </w:pPr>
      <w:r w:rsidRPr="00F5640D">
        <w:rPr>
          <w:rFonts w:eastAsia="Times New Roman" w:cs="Tahoma"/>
          <w:b/>
          <w:bCs/>
          <w:iCs/>
          <w:color w:val="auto"/>
          <w:lang w:val="es-ES" w:eastAsia="es-ES"/>
        </w:rPr>
        <w:lastRenderedPageBreak/>
        <w:t>QUINTO. Estudio de Fondo</w:t>
      </w:r>
    </w:p>
    <w:p w14:paraId="7F337006" w14:textId="77777777" w:rsidR="004C4520" w:rsidRPr="00F5640D" w:rsidRDefault="004C4520" w:rsidP="00792129">
      <w:pPr>
        <w:spacing w:after="0" w:line="360" w:lineRule="auto"/>
        <w:rPr>
          <w:rFonts w:eastAsia="Times New Roman" w:cs="Tahoma"/>
          <w:b/>
          <w:bCs/>
          <w:iCs/>
          <w:color w:val="auto"/>
          <w:lang w:val="es-ES" w:eastAsia="es-ES"/>
        </w:rPr>
      </w:pPr>
    </w:p>
    <w:p w14:paraId="529C9F6D" w14:textId="11393920" w:rsidR="00792129" w:rsidRPr="00F5640D" w:rsidRDefault="00792129" w:rsidP="00792129">
      <w:pPr>
        <w:widowControl w:val="0"/>
        <w:autoSpaceDE w:val="0"/>
        <w:autoSpaceDN w:val="0"/>
        <w:adjustRightInd w:val="0"/>
        <w:spacing w:after="0" w:line="360" w:lineRule="auto"/>
        <w:contextualSpacing/>
        <w:rPr>
          <w:rFonts w:eastAsia="Times New Roman" w:cs="Times New Roman"/>
          <w:color w:val="auto"/>
          <w:lang w:eastAsia="es-ES"/>
        </w:rPr>
      </w:pPr>
      <w:r w:rsidRPr="00F5640D">
        <w:rPr>
          <w:rFonts w:eastAsia="Times New Roman" w:cs="Tahoma"/>
          <w:bCs/>
          <w:iCs/>
          <w:color w:val="auto"/>
          <w:lang w:eastAsia="es-ES"/>
        </w:rPr>
        <w:t xml:space="preserve">Expuestas las posturas de las partes, se procede al análisis del agravio hecho valer por la persona Recurrente, concerniente </w:t>
      </w:r>
      <w:r w:rsidRPr="00F5640D">
        <w:rPr>
          <w:rFonts w:eastAsia="Times New Roman" w:cs="Tahoma"/>
        </w:rPr>
        <w:t>a la entrega de información incompleta</w:t>
      </w:r>
      <w:r w:rsidRPr="00F5640D">
        <w:rPr>
          <w:rFonts w:eastAsia="Times New Roman" w:cs="Times New Roman"/>
          <w:color w:val="auto"/>
          <w:lang w:eastAsia="es-ES"/>
        </w:rPr>
        <w:t xml:space="preserve">, para lo cual, en principio es necesario contextualizar la solicitud de información. </w:t>
      </w:r>
    </w:p>
    <w:p w14:paraId="4703CC23" w14:textId="77777777" w:rsidR="00B37005" w:rsidRPr="00F5640D" w:rsidRDefault="00B37005" w:rsidP="00792129">
      <w:pPr>
        <w:widowControl w:val="0"/>
        <w:autoSpaceDE w:val="0"/>
        <w:autoSpaceDN w:val="0"/>
        <w:adjustRightInd w:val="0"/>
        <w:spacing w:after="0" w:line="360" w:lineRule="auto"/>
        <w:contextualSpacing/>
        <w:rPr>
          <w:rFonts w:eastAsia="Times New Roman" w:cs="Times New Roman"/>
          <w:color w:val="auto"/>
          <w:lang w:eastAsia="es-ES"/>
        </w:rPr>
      </w:pPr>
    </w:p>
    <w:p w14:paraId="37A386EB" w14:textId="77777777" w:rsidR="00B37005" w:rsidRPr="00F5640D" w:rsidRDefault="00B37005" w:rsidP="00B37005">
      <w:pPr>
        <w:spacing w:after="0" w:line="360" w:lineRule="auto"/>
      </w:pPr>
      <w:r w:rsidRPr="00F5640D">
        <w:rPr>
          <w:color w:val="0D0D0D"/>
        </w:rPr>
        <w:t>Sobre el tema</w:t>
      </w:r>
      <w:r w:rsidRPr="00F5640D">
        <w:t xml:space="preserve">, López Olvera, Miguel Alejandro </w:t>
      </w:r>
      <w:proofErr w:type="spellStart"/>
      <w:r w:rsidRPr="00F5640D">
        <w:t>Cancino</w:t>
      </w:r>
      <w:proofErr w:type="spellEnd"/>
      <w:r w:rsidRPr="00F5640D">
        <w:t xml:space="preserve"> Gómez, Rodolfo. (2020). “La Contratación Pública y el Sistema Nacional Anticorrupción”. (p. 4) la </w:t>
      </w:r>
      <w:r w:rsidRPr="00F5640D">
        <w:rPr>
          <w:b/>
        </w:rPr>
        <w:t>contratación pública</w:t>
      </w:r>
      <w:r w:rsidRPr="00F5640D">
        <w:t xml:space="preserve">, es el procedimiento de carácter administrativo, por medio del cual, un ente público selecciona y posteriormente, celebra un acuerdo de voluntades, con una persona física o jurídica colectiva, para que ésta, entregue o arrende un bien, </w:t>
      </w:r>
      <w:r w:rsidRPr="00F5640D">
        <w:rPr>
          <w:b/>
        </w:rPr>
        <w:t>preste algún servicio público</w:t>
      </w:r>
      <w:r w:rsidRPr="00F5640D">
        <w:t xml:space="preserve"> o lleve a cabo la ejecución de una obra pública, con recursos públicos del Estado y en beneficio de la colectividad.</w:t>
      </w:r>
    </w:p>
    <w:p w14:paraId="177BAD01" w14:textId="77777777" w:rsidR="00B37005" w:rsidRPr="00F5640D" w:rsidRDefault="00B37005" w:rsidP="00B37005">
      <w:pPr>
        <w:spacing w:after="0" w:line="360" w:lineRule="auto"/>
      </w:pPr>
    </w:p>
    <w:p w14:paraId="7EA8CBB6" w14:textId="77777777" w:rsidR="00B37005" w:rsidRPr="00F5640D" w:rsidRDefault="00B37005" w:rsidP="00B37005">
      <w:pPr>
        <w:spacing w:after="0" w:line="360" w:lineRule="auto"/>
      </w:pPr>
      <w:r w:rsidRPr="00F5640D">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F5640D">
        <w:rPr>
          <w:b/>
        </w:rPr>
        <w:t>contratación de servicios</w:t>
      </w:r>
      <w:r w:rsidRPr="00F5640D">
        <w:t xml:space="preserve"> de cualquier naturaleza. </w:t>
      </w:r>
    </w:p>
    <w:p w14:paraId="2C9C08D8" w14:textId="77777777" w:rsidR="00B37005" w:rsidRPr="00F5640D" w:rsidRDefault="00B37005" w:rsidP="00B37005">
      <w:pPr>
        <w:spacing w:after="0" w:line="360" w:lineRule="auto"/>
      </w:pPr>
    </w:p>
    <w:p w14:paraId="790C0687" w14:textId="77777777" w:rsidR="00B37005" w:rsidRPr="00F5640D" w:rsidRDefault="00B37005" w:rsidP="00B37005">
      <w:pPr>
        <w:spacing w:after="0" w:line="360" w:lineRule="auto"/>
      </w:pPr>
      <w:r w:rsidRPr="00F5640D">
        <w:t xml:space="preserve">En ese contexto, conforme a los artículos 26 y 27 de dicho ordenamiento jurídico, las adquisiciones, arrendamientos y </w:t>
      </w:r>
      <w:r w:rsidRPr="00F5640D">
        <w:rPr>
          <w:b/>
        </w:rPr>
        <w:t>servicios</w:t>
      </w:r>
      <w:r w:rsidRPr="00F5640D">
        <w:t>, se adjudicarán a través de procedimientos de licitación pública, invitación restringida y adjudicación directa.</w:t>
      </w:r>
    </w:p>
    <w:p w14:paraId="5D6374DC" w14:textId="77777777" w:rsidR="00B37005" w:rsidRPr="00F5640D" w:rsidRDefault="00B37005" w:rsidP="00B37005">
      <w:pPr>
        <w:spacing w:after="0" w:line="360" w:lineRule="auto"/>
      </w:pPr>
    </w:p>
    <w:p w14:paraId="39529D9C" w14:textId="77777777" w:rsidR="004C4520" w:rsidRPr="00F5640D" w:rsidRDefault="004C4520" w:rsidP="00B37005">
      <w:pPr>
        <w:spacing w:after="0" w:line="360" w:lineRule="auto"/>
      </w:pPr>
    </w:p>
    <w:p w14:paraId="77E8AA13" w14:textId="77777777" w:rsidR="004C4520" w:rsidRPr="00F5640D" w:rsidRDefault="004C4520" w:rsidP="00B37005">
      <w:pPr>
        <w:spacing w:after="0" w:line="360" w:lineRule="auto"/>
      </w:pPr>
    </w:p>
    <w:p w14:paraId="4B86F3AA" w14:textId="77777777" w:rsidR="00B37005" w:rsidRPr="00F5640D" w:rsidRDefault="00B37005" w:rsidP="00B37005">
      <w:pPr>
        <w:spacing w:after="0" w:line="360" w:lineRule="auto"/>
      </w:pPr>
      <w:r w:rsidRPr="00F5640D">
        <w:lastRenderedPageBreak/>
        <w:t xml:space="preserve">En ese orden de ideas, conforme al artículo 65 de la Ley de Contratación Pública del Estado de México y Municipios, la adjudicación de un procedimiento de adquisición y arrendamiento de bienes y </w:t>
      </w:r>
      <w:r w:rsidRPr="00F5640D">
        <w:rPr>
          <w:b/>
        </w:rPr>
        <w:t>contratación de servicios</w:t>
      </w:r>
      <w:r w:rsidRPr="00F5640D">
        <w:t xml:space="preserve"> se realizará mediante la suscripción de un </w:t>
      </w:r>
      <w:r w:rsidRPr="00F5640D">
        <w:rPr>
          <w:b/>
          <w:bCs/>
        </w:rPr>
        <w:t>contrato,</w:t>
      </w:r>
      <w:r w:rsidRPr="00F5640D">
        <w:t xml:space="preserve"> entre el Ayuntamiento y la persona a la cual haya ganado el procedimiento respectivo, dentro de los diez días hábiles siguientes a la notificación del fallo.</w:t>
      </w:r>
    </w:p>
    <w:p w14:paraId="133E8F23" w14:textId="77777777" w:rsidR="00B37005" w:rsidRPr="00F5640D" w:rsidRDefault="00B37005" w:rsidP="00B37005">
      <w:pPr>
        <w:spacing w:after="0" w:line="360" w:lineRule="auto"/>
      </w:pPr>
    </w:p>
    <w:p w14:paraId="6205E50A" w14:textId="77777777" w:rsidR="00B37005" w:rsidRPr="00F5640D" w:rsidRDefault="00B37005" w:rsidP="00B37005">
      <w:pPr>
        <w:spacing w:after="0" w:line="360" w:lineRule="auto"/>
        <w:rPr>
          <w:b/>
        </w:rPr>
      </w:pPr>
      <w:r w:rsidRPr="00F5640D">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sidRPr="00F5640D">
        <w:rPr>
          <w:b/>
        </w:rPr>
        <w:t>así como el importe total.</w:t>
      </w:r>
    </w:p>
    <w:p w14:paraId="17309ABC" w14:textId="77777777" w:rsidR="00B37005" w:rsidRPr="00F5640D" w:rsidRDefault="00B37005" w:rsidP="00B37005">
      <w:pPr>
        <w:spacing w:after="0" w:line="360" w:lineRule="auto"/>
        <w:rPr>
          <w:b/>
        </w:rPr>
      </w:pPr>
    </w:p>
    <w:p w14:paraId="3EACD991" w14:textId="77777777" w:rsidR="00B37005" w:rsidRPr="00F5640D" w:rsidRDefault="00B37005" w:rsidP="00B37005">
      <w:pPr>
        <w:spacing w:after="0" w:line="360" w:lineRule="auto"/>
      </w:pPr>
      <w:r w:rsidRPr="00F5640D">
        <w:t xml:space="preserve">En ese contexto, los artículos 70 fracción VI y 94 fracción III, del Reglamento de la Ley antes mencionada, establece que en cuanto al </w:t>
      </w:r>
      <w:r w:rsidRPr="00F5640D">
        <w:rPr>
          <w:b/>
        </w:rPr>
        <w:t>finiquito</w:t>
      </w:r>
      <w:r w:rsidRPr="00F5640D">
        <w:t xml:space="preserve"> de la Licitación Pública, Invitación Restringida y Adjudicación Directa, la solicitud de participación contendrá, como mínimo, la descripción y cantidad de los bienes o servicios requeridos, lugar, plazo de entrega o duración del servicio y forma de pago, además de, las condiciones de pago y la indicación de si se otorgará o no anticipo; en cuyo caso, deberá señalarse el porcentaje respectivo, el cual no podrá exceder del cincuenta por ciento del importe total del contrato.</w:t>
      </w:r>
    </w:p>
    <w:p w14:paraId="08235D28" w14:textId="77777777" w:rsidR="00B37005" w:rsidRPr="00F5640D" w:rsidRDefault="00B37005" w:rsidP="00B37005">
      <w:pPr>
        <w:spacing w:after="0" w:line="360" w:lineRule="auto"/>
        <w:rPr>
          <w:b/>
        </w:rPr>
      </w:pPr>
    </w:p>
    <w:p w14:paraId="4FB973F7" w14:textId="77777777" w:rsidR="00B37005" w:rsidRPr="00F5640D" w:rsidRDefault="00B37005" w:rsidP="004C4520">
      <w:pPr>
        <w:spacing w:after="0" w:line="360" w:lineRule="auto"/>
        <w:rPr>
          <w:color w:val="000000"/>
        </w:rPr>
      </w:pPr>
      <w:r w:rsidRPr="00F5640D">
        <w:rPr>
          <w:color w:val="000000"/>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w:t>
      </w:r>
      <w:r w:rsidRPr="00F5640D">
        <w:rPr>
          <w:b/>
          <w:color w:val="000000"/>
        </w:rPr>
        <w:t>que incluye la versión pública del expediente respectivo y de los contratos celebrados.</w:t>
      </w:r>
      <w:r w:rsidRPr="00F5640D">
        <w:rPr>
          <w:color w:val="000000"/>
        </w:rPr>
        <w:t xml:space="preserve"> </w:t>
      </w:r>
    </w:p>
    <w:p w14:paraId="18A2998F" w14:textId="77777777" w:rsidR="00B37005" w:rsidRPr="00F5640D" w:rsidRDefault="00B37005" w:rsidP="00B37005">
      <w:pPr>
        <w:spacing w:after="0" w:line="360" w:lineRule="auto"/>
        <w:rPr>
          <w:color w:val="000000"/>
        </w:rPr>
      </w:pPr>
    </w:p>
    <w:p w14:paraId="30E9B9B9" w14:textId="77777777" w:rsidR="00B37005" w:rsidRPr="00F5640D" w:rsidRDefault="00B37005" w:rsidP="00B37005">
      <w:pPr>
        <w:spacing w:after="0" w:line="360" w:lineRule="auto"/>
        <w:ind w:right="-93"/>
      </w:pPr>
      <w:r w:rsidRPr="00F5640D">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14:paraId="1186BF95" w14:textId="77777777" w:rsidR="00B37005" w:rsidRPr="00F5640D" w:rsidRDefault="00B37005" w:rsidP="00B37005">
      <w:pPr>
        <w:spacing w:after="0" w:line="360" w:lineRule="auto"/>
        <w:ind w:right="-93"/>
      </w:pPr>
    </w:p>
    <w:p w14:paraId="797074A4" w14:textId="77777777" w:rsidR="00B37005" w:rsidRPr="00F5640D" w:rsidRDefault="00B37005" w:rsidP="00B37005">
      <w:pPr>
        <w:spacing w:after="0" w:line="360" w:lineRule="auto"/>
        <w:ind w:right="-93"/>
        <w:jc w:val="center"/>
      </w:pPr>
      <w:r w:rsidRPr="00F5640D">
        <w:rPr>
          <w:noProof/>
          <w:lang w:eastAsia="es-MX"/>
        </w:rPr>
        <mc:AlternateContent>
          <mc:Choice Requires="wps">
            <w:drawing>
              <wp:anchor distT="0" distB="0" distL="114300" distR="114300" simplePos="0" relativeHeight="251662336" behindDoc="0" locked="0" layoutInCell="1" allowOverlap="1" wp14:anchorId="7CBD035B" wp14:editId="25E89655">
                <wp:simplePos x="0" y="0"/>
                <wp:positionH relativeFrom="column">
                  <wp:posOffset>758190</wp:posOffset>
                </wp:positionH>
                <wp:positionV relativeFrom="paragraph">
                  <wp:posOffset>222250</wp:posOffset>
                </wp:positionV>
                <wp:extent cx="676275" cy="1133475"/>
                <wp:effectExtent l="19050" t="19050" r="9525" b="9525"/>
                <wp:wrapNone/>
                <wp:docPr id="280703470"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1133475"/>
                        </a:xfrm>
                        <a:prstGeom prst="rect">
                          <a:avLst/>
                        </a:prstGeom>
                        <a:noFill/>
                        <a:ln w="28575" cap="flat" cmpd="sng">
                          <a:solidFill>
                            <a:srgbClr val="FFFF00"/>
                          </a:solidFill>
                          <a:prstDash val="solid"/>
                          <a:miter lim="800000"/>
                          <a:headEnd type="none" w="sm" len="sm"/>
                          <a:tailEnd type="none" w="sm" len="sm"/>
                        </a:ln>
                      </wps:spPr>
                      <wps:txbx>
                        <w:txbxContent>
                          <w:p w14:paraId="548FF9A3" w14:textId="77777777" w:rsidR="00B37005" w:rsidRDefault="00B37005" w:rsidP="00B37005">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CBD035B" id="Rectángulo 2" o:spid="_x0000_s1026" style="position:absolute;left:0;text-align:left;margin-left:59.7pt;margin-top:17.5pt;width:53.2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" filled="f" strokecolor="yellow" strokeweight="2.25pt">
                <v:stroke startarrowwidth="narrow" startarrowlength="short" endarrowwidth="narrow" endarrowlength="short"/>
                <v:path arrowok="t"/>
                <v:textbox inset="2.53958mm,2.53958mm,2.53958mm,2.53958mm">
                  <w:txbxContent>
                    <w:p w14:paraId="548FF9A3" w14:textId="77777777" w:rsidR="00B37005" w:rsidRDefault="00B37005" w:rsidP="00B37005">
                      <w:pPr>
                        <w:spacing w:after="0" w:line="240" w:lineRule="auto"/>
                        <w:jc w:val="left"/>
                        <w:textDirection w:val="btLr"/>
                      </w:pPr>
                    </w:p>
                  </w:txbxContent>
                </v:textbox>
              </v:rect>
            </w:pict>
          </mc:Fallback>
        </mc:AlternateContent>
      </w:r>
      <w:r w:rsidRPr="00F5640D">
        <w:rPr>
          <w:noProof/>
          <w:lang w:eastAsia="es-MX"/>
        </w:rPr>
        <w:drawing>
          <wp:inline distT="0" distB="0" distL="0" distR="0" wp14:anchorId="1E80A617" wp14:editId="4B3BDD98">
            <wp:extent cx="4267200" cy="1518066"/>
            <wp:effectExtent l="0" t="0" r="0" b="6350"/>
            <wp:docPr id="6571814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81426"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287163" cy="1525168"/>
                    </a:xfrm>
                    <a:prstGeom prst="rect">
                      <a:avLst/>
                    </a:prstGeom>
                  </pic:spPr>
                </pic:pic>
              </a:graphicData>
            </a:graphic>
          </wp:inline>
        </w:drawing>
      </w:r>
    </w:p>
    <w:p w14:paraId="37280151" w14:textId="77777777" w:rsidR="004C4520" w:rsidRPr="00F5640D" w:rsidRDefault="004C4520" w:rsidP="00B37005">
      <w:pPr>
        <w:spacing w:after="0" w:line="360" w:lineRule="auto"/>
        <w:ind w:right="-93"/>
        <w:jc w:val="center"/>
      </w:pPr>
    </w:p>
    <w:p w14:paraId="6A37BCA6" w14:textId="77777777" w:rsidR="00B37005" w:rsidRPr="00F5640D" w:rsidRDefault="00B37005" w:rsidP="00B37005">
      <w:pPr>
        <w:spacing w:after="0" w:line="360" w:lineRule="auto"/>
        <w:ind w:right="-93"/>
        <w:jc w:val="center"/>
      </w:pPr>
      <w:r w:rsidRPr="00F5640D">
        <w:rPr>
          <w:noProof/>
          <w:lang w:eastAsia="es-MX"/>
        </w:rPr>
        <mc:AlternateContent>
          <mc:Choice Requires="wps">
            <w:drawing>
              <wp:anchor distT="0" distB="0" distL="114300" distR="114300" simplePos="0" relativeHeight="251661312" behindDoc="0" locked="0" layoutInCell="1" allowOverlap="1" wp14:anchorId="1E65F50D" wp14:editId="4876BB6E">
                <wp:simplePos x="0" y="0"/>
                <wp:positionH relativeFrom="column">
                  <wp:posOffset>4629150</wp:posOffset>
                </wp:positionH>
                <wp:positionV relativeFrom="paragraph">
                  <wp:posOffset>590550</wp:posOffset>
                </wp:positionV>
                <wp:extent cx="581025" cy="676275"/>
                <wp:effectExtent l="19050" t="19050" r="9525" b="9525"/>
                <wp:wrapNone/>
                <wp:docPr id="208041204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676275"/>
                        </a:xfrm>
                        <a:prstGeom prst="rect">
                          <a:avLst/>
                        </a:prstGeom>
                        <a:noFill/>
                        <a:ln w="28575" cap="flat" cmpd="sng">
                          <a:solidFill>
                            <a:srgbClr val="FFFF00"/>
                          </a:solidFill>
                          <a:prstDash val="solid"/>
                          <a:miter lim="800000"/>
                          <a:headEnd type="none" w="sm" len="sm"/>
                          <a:tailEnd type="none" w="sm" len="sm"/>
                        </a:ln>
                      </wps:spPr>
                      <wps:txbx>
                        <w:txbxContent>
                          <w:p w14:paraId="7611C19E" w14:textId="77777777" w:rsidR="00B37005" w:rsidRDefault="00B37005" w:rsidP="00B37005">
                            <w:pPr>
                              <w:spacing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E65F50D" id="Rectángulo 1" o:spid="_x0000_s1027" style="position:absolute;left:0;text-align:left;margin-left:364.5pt;margin-top:46.5pt;width:45.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" filled="f" strokecolor="yellow" strokeweight="2.25pt">
                <v:stroke startarrowwidth="narrow" startarrowlength="short" endarrowwidth="narrow" endarrowlength="short"/>
                <v:path arrowok="t"/>
                <v:textbox inset="2.53958mm,2.53958mm,2.53958mm,2.53958mm">
                  <w:txbxContent>
                    <w:p w14:paraId="7611C19E" w14:textId="77777777" w:rsidR="00B37005" w:rsidRDefault="00B37005" w:rsidP="00B37005">
                      <w:pPr>
                        <w:spacing w:after="0" w:line="240" w:lineRule="auto"/>
                        <w:jc w:val="left"/>
                        <w:textDirection w:val="btLr"/>
                      </w:pPr>
                    </w:p>
                  </w:txbxContent>
                </v:textbox>
              </v:rect>
            </w:pict>
          </mc:Fallback>
        </mc:AlternateContent>
      </w:r>
      <w:r w:rsidRPr="00F5640D">
        <w:rPr>
          <w:noProof/>
          <w:lang w:eastAsia="es-MX"/>
        </w:rPr>
        <w:drawing>
          <wp:inline distT="0" distB="0" distL="0" distR="0" wp14:anchorId="0E013E49" wp14:editId="60BF2965">
            <wp:extent cx="4629150" cy="2028825"/>
            <wp:effectExtent l="0" t="0" r="0" b="9525"/>
            <wp:docPr id="4"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9"/>
                    <a:srcRect/>
                    <a:stretch>
                      <a:fillRect/>
                    </a:stretch>
                  </pic:blipFill>
                  <pic:spPr>
                    <a:xfrm>
                      <a:off x="0" y="0"/>
                      <a:ext cx="4629799" cy="2029109"/>
                    </a:xfrm>
                    <a:prstGeom prst="rect">
                      <a:avLst/>
                    </a:prstGeom>
                    <a:ln/>
                  </pic:spPr>
                </pic:pic>
              </a:graphicData>
            </a:graphic>
          </wp:inline>
        </w:drawing>
      </w:r>
    </w:p>
    <w:p w14:paraId="774D1CEB" w14:textId="77777777" w:rsidR="00B37005" w:rsidRPr="00F5640D" w:rsidRDefault="00B37005" w:rsidP="00B37005">
      <w:pPr>
        <w:spacing w:after="0" w:line="360" w:lineRule="auto"/>
      </w:pPr>
    </w:p>
    <w:p w14:paraId="645B63CC" w14:textId="0DBDFDC6" w:rsidR="00B37005" w:rsidRPr="00F5640D" w:rsidRDefault="00E20E13" w:rsidP="00B37005">
      <w:pPr>
        <w:spacing w:after="0" w:line="360" w:lineRule="auto"/>
        <w:rPr>
          <w:color w:val="0D0D0D"/>
        </w:rPr>
      </w:pPr>
      <w:r w:rsidRPr="00F5640D">
        <w:rPr>
          <w:color w:val="0D0D0D"/>
        </w:rPr>
        <w:t>Ahora bien</w:t>
      </w:r>
      <w:r w:rsidR="00B37005" w:rsidRPr="00F5640D">
        <w:rPr>
          <w:color w:val="0D0D0D"/>
        </w:rPr>
        <w:t xml:space="preserve">, por lo que hace </w:t>
      </w:r>
      <w:r w:rsidRPr="00F5640D">
        <w:rPr>
          <w:color w:val="0D0D0D"/>
        </w:rPr>
        <w:t>a las facturas de los contratos celebrados</w:t>
      </w:r>
      <w:r w:rsidR="00B37005" w:rsidRPr="00F5640D">
        <w:rPr>
          <w:color w:val="0D0D0D"/>
        </w:rPr>
        <w:t xml:space="preserve">, </w:t>
      </w:r>
      <w:r w:rsidR="00B37005" w:rsidRPr="00F5640D">
        <w:t xml:space="preserve">el artículo 4°, fracción XVIII, de la Ley General de Contabilidad Gubernamental, establece que la información financiera consiste en información presupuestaria y contable que se expresa en unidades monetarias las </w:t>
      </w:r>
      <w:r w:rsidR="00B37005" w:rsidRPr="00F5640D">
        <w:rPr>
          <w:b/>
        </w:rPr>
        <w:t xml:space="preserve">transacciones que realiza un ente público y los eventos económicos </w:t>
      </w:r>
      <w:r w:rsidR="00B37005" w:rsidRPr="00F5640D">
        <w:rPr>
          <w:b/>
        </w:rPr>
        <w:lastRenderedPageBreak/>
        <w:t>identificables y cuantificable</w:t>
      </w:r>
      <w:r w:rsidR="00B37005" w:rsidRPr="00F5640D">
        <w:t xml:space="preserve"> la cual puede representarse por reportes, informes, estados y notas que expresan su situación financiera, los resultados de su operación y los cambios en su patrimonio. </w:t>
      </w:r>
    </w:p>
    <w:p w14:paraId="21106FD7" w14:textId="77777777" w:rsidR="00B37005" w:rsidRPr="00F5640D" w:rsidRDefault="00B37005" w:rsidP="00B37005">
      <w:pPr>
        <w:spacing w:after="0" w:line="360" w:lineRule="auto"/>
      </w:pPr>
    </w:p>
    <w:p w14:paraId="0E9F3FB5" w14:textId="77777777" w:rsidR="00B37005" w:rsidRPr="00F5640D" w:rsidRDefault="00B37005" w:rsidP="00B37005">
      <w:pPr>
        <w:spacing w:after="0" w:line="360" w:lineRule="auto"/>
      </w:pPr>
      <w:r w:rsidRPr="00F5640D">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0E5BC9DD" w14:textId="77777777" w:rsidR="00B37005" w:rsidRPr="00F5640D" w:rsidRDefault="00B37005" w:rsidP="00B37005">
      <w:pPr>
        <w:spacing w:after="0" w:line="360" w:lineRule="auto"/>
      </w:pPr>
    </w:p>
    <w:p w14:paraId="725BE538" w14:textId="77777777" w:rsidR="00B37005" w:rsidRPr="00F5640D" w:rsidRDefault="00B37005" w:rsidP="00B37005">
      <w:pPr>
        <w:spacing w:after="0" w:line="360" w:lineRule="auto"/>
        <w:rPr>
          <w:color w:val="0D0D0D"/>
        </w:rPr>
      </w:pPr>
      <w:r w:rsidRPr="00F5640D">
        <w:rPr>
          <w:color w:val="0D0D0D"/>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4A758F8D" w14:textId="77777777" w:rsidR="00B37005" w:rsidRPr="00F5640D" w:rsidRDefault="00B37005" w:rsidP="00B37005">
      <w:pPr>
        <w:spacing w:after="0" w:line="360" w:lineRule="auto"/>
        <w:rPr>
          <w:color w:val="0D0D0D"/>
        </w:rPr>
      </w:pPr>
    </w:p>
    <w:p w14:paraId="1B10F7F4" w14:textId="17F0C887" w:rsidR="00B37005" w:rsidRPr="00F5640D" w:rsidRDefault="00B37005" w:rsidP="00B37005">
      <w:pPr>
        <w:spacing w:after="0" w:line="360" w:lineRule="auto"/>
        <w:rPr>
          <w:color w:val="0D0D0D"/>
        </w:rPr>
      </w:pPr>
      <w:r w:rsidRPr="00F5640D">
        <w:rPr>
          <w:color w:val="0D0D0D"/>
        </w:rPr>
        <w:t xml:space="preserve">De este modo, de acuerdo a la naturaleza de información solicitada, </w:t>
      </w:r>
      <w:r w:rsidRPr="00F5640D">
        <w:t>resulta necesario traer a colación, la Resolución Miscelánea Fiscal para el 202</w:t>
      </w:r>
      <w:r w:rsidR="00E20E13" w:rsidRPr="00F5640D">
        <w:t>4</w:t>
      </w:r>
      <w:r w:rsidRPr="00F5640D">
        <w:t xml:space="preserve">, establece que la </w:t>
      </w:r>
      <w:r w:rsidRPr="00F5640D">
        <w:rPr>
          <w:b/>
        </w:rPr>
        <w:t>factura</w:t>
      </w:r>
      <w:r w:rsidRPr="00F5640D">
        <w:t xml:space="preserve"> es lo mismo, que un Comprobante Fiscal Digital por Internet, por lo que, se puede considerar como el documento que comprueba la realización de una </w:t>
      </w:r>
      <w:r w:rsidRPr="00F5640D">
        <w:rPr>
          <w:b/>
        </w:rPr>
        <w:t>transacción comercial</w:t>
      </w:r>
      <w:r w:rsidRPr="00F5640D">
        <w:t xml:space="preserve">, entre un comprador y un vendedor, mediante el cual, el primero queda obligado a realizar un pago, mientras que el segundo, a entregar o brindar un producto o </w:t>
      </w:r>
      <w:r w:rsidRPr="00F5640D">
        <w:rPr>
          <w:b/>
        </w:rPr>
        <w:t>servicio</w:t>
      </w:r>
      <w:r w:rsidRPr="00F5640D">
        <w:t>.</w:t>
      </w:r>
    </w:p>
    <w:p w14:paraId="75051C69" w14:textId="77777777" w:rsidR="00B37005" w:rsidRPr="00F5640D" w:rsidRDefault="00B37005" w:rsidP="00B37005">
      <w:pPr>
        <w:spacing w:after="0" w:line="360" w:lineRule="auto"/>
      </w:pPr>
    </w:p>
    <w:p w14:paraId="601FE101" w14:textId="3177F200" w:rsidR="00B37005" w:rsidRPr="00F5640D" w:rsidRDefault="00B37005" w:rsidP="00B37005">
      <w:pPr>
        <w:spacing w:after="0" w:line="360" w:lineRule="auto"/>
      </w:pPr>
      <w:r w:rsidRPr="00F5640D">
        <w:lastRenderedPageBreak/>
        <w:t xml:space="preserve">En ese orden de ideas, </w:t>
      </w:r>
      <w:r w:rsidR="00E20E13" w:rsidRPr="00F5640D">
        <w:t xml:space="preserve">los </w:t>
      </w:r>
      <w:r w:rsidR="00E20E13" w:rsidRPr="00F5640D">
        <w:rPr>
          <w:rFonts w:eastAsia="Times New Roman" w:cs="Tahoma"/>
          <w:bCs/>
          <w:color w:val="auto"/>
          <w:lang w:eastAsia="es-ES"/>
        </w:rPr>
        <w:t>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se establece que el Municipio debe entregar al Órgano Superior de Fiscalización, en el Módulo 1</w:t>
      </w:r>
      <w:r w:rsidRPr="00F5640D">
        <w:t xml:space="preserve">, </w:t>
      </w:r>
      <w:r w:rsidR="00E20E13" w:rsidRPr="00F5640D">
        <w:t>las</w:t>
      </w:r>
      <w:r w:rsidRPr="00F5640D">
        <w:t xml:space="preserve"> Póliza</w:t>
      </w:r>
      <w:r w:rsidR="00E20E13" w:rsidRPr="00F5640D">
        <w:t>s</w:t>
      </w:r>
      <w:r w:rsidRPr="00F5640D">
        <w:t xml:space="preserve"> de Egresos y Póliza Cheque, con los documentos comprobatorios</w:t>
      </w:r>
      <w:r w:rsidR="00E20E13" w:rsidRPr="00F5640D">
        <w:t>.</w:t>
      </w:r>
      <w:r w:rsidRPr="00F5640D">
        <w:t xml:space="preserve"> Además</w:t>
      </w:r>
      <w:r w:rsidRPr="00F5640D">
        <w:rPr>
          <w:b/>
        </w:rPr>
        <w:t xml:space="preserve">, </w:t>
      </w:r>
      <w:r w:rsidRPr="00F5640D">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52E3A832" w14:textId="77777777" w:rsidR="00FB72DE" w:rsidRPr="00F5640D" w:rsidRDefault="00FB72DE" w:rsidP="00B37005">
      <w:pPr>
        <w:spacing w:after="0" w:line="360" w:lineRule="auto"/>
      </w:pPr>
    </w:p>
    <w:p w14:paraId="5FA617D3" w14:textId="4FFC5466" w:rsidR="00282253" w:rsidRPr="00F5640D" w:rsidRDefault="00FB72DE" w:rsidP="00282253">
      <w:pPr>
        <w:spacing w:after="0" w:line="360" w:lineRule="auto"/>
      </w:pPr>
      <w:r w:rsidRPr="00F5640D">
        <w:t xml:space="preserve">Ahora bien, los artículos 36 y 49, del Bando Municipal de Atizapán de Zaragoza, dos mil veinticuatro, con relación a los diversos 21, 42 y 43 del Reglamento Orgánico de la Administración Pública Municipal de Atizapán de Zaragoza, vigente, establece que, el Ayuntamiento para el ejercicio de sus atribuciones y funciones se auxiliará de una Tesorería Municipal, </w:t>
      </w:r>
      <w:r w:rsidR="00282253" w:rsidRPr="00F5640D">
        <w:t xml:space="preserve">dependencia encargada de la actividad financiera y la administración de la hacienda pública a través de la recaudación, concentración, administración y custodia de los fondos y valores, así como </w:t>
      </w:r>
      <w:r w:rsidR="00282253" w:rsidRPr="00F5640D">
        <w:rPr>
          <w:b/>
          <w:bCs/>
        </w:rPr>
        <w:t>la realización de pagos con cargo al presupuesto de egresos</w:t>
      </w:r>
      <w:r w:rsidR="00282253" w:rsidRPr="00F5640D">
        <w:t xml:space="preserve"> aprobado por el Ayuntamiento para cada ejercicio fiscal, además de, coordinar la consolidación de la información contable y presupuestal para la integración y presentación de los informes correspondientes, para envió y análisis al Órgano Superior de Fiscalización de la Legislatura.</w:t>
      </w:r>
    </w:p>
    <w:p w14:paraId="52DCF909" w14:textId="77777777" w:rsidR="004C4520" w:rsidRPr="00F5640D" w:rsidRDefault="004C4520" w:rsidP="00B37005">
      <w:pPr>
        <w:widowControl w:val="0"/>
        <w:spacing w:after="0" w:line="360" w:lineRule="auto"/>
        <w:rPr>
          <w:color w:val="000000"/>
        </w:rPr>
      </w:pPr>
    </w:p>
    <w:p w14:paraId="42B635AD" w14:textId="1792F02F" w:rsidR="00AF2DBE" w:rsidRPr="00F5640D" w:rsidRDefault="003F0611" w:rsidP="00E20E13">
      <w:pPr>
        <w:spacing w:after="0" w:line="360" w:lineRule="auto"/>
        <w:rPr>
          <w:color w:val="000000"/>
        </w:rPr>
      </w:pPr>
      <w:r w:rsidRPr="00F5640D">
        <w:rPr>
          <w:color w:val="000000"/>
        </w:rPr>
        <w:t xml:space="preserve">Conforme a lo anterior, se logra vislumbrar que la pretensión de la persona recurrente es obtener, </w:t>
      </w:r>
      <w:r w:rsidR="00353C72" w:rsidRPr="00F5640D">
        <w:rPr>
          <w:color w:val="000000"/>
        </w:rPr>
        <w:t>las facturas</w:t>
      </w:r>
      <w:r w:rsidR="00E20E13" w:rsidRPr="00F5640D">
        <w:rPr>
          <w:color w:val="000000"/>
        </w:rPr>
        <w:t xml:space="preserve"> de pago</w:t>
      </w:r>
      <w:r w:rsidR="00353C72" w:rsidRPr="00F5640D">
        <w:rPr>
          <w:color w:val="000000"/>
        </w:rPr>
        <w:t xml:space="preserve"> </w:t>
      </w:r>
      <w:r w:rsidR="00E20E13" w:rsidRPr="00F5640D">
        <w:rPr>
          <w:color w:val="000000"/>
        </w:rPr>
        <w:t xml:space="preserve">de los contratos </w:t>
      </w:r>
      <w:r w:rsidR="000A15B4" w:rsidRPr="00F5640D">
        <w:rPr>
          <w:color w:val="000000"/>
        </w:rPr>
        <w:t>entregados en respuesta</w:t>
      </w:r>
      <w:r w:rsidR="00E20E13" w:rsidRPr="00F5640D">
        <w:rPr>
          <w:color w:val="000000"/>
        </w:rPr>
        <w:t>; así</w:t>
      </w:r>
      <w:r w:rsidRPr="00F5640D">
        <w:rPr>
          <w:color w:val="000000"/>
        </w:rPr>
        <w:t>, se procede analizar la información proporcionada por el Sujeto Obligado, para lo cual, cabe señalar que este, turnó la solicitud de información, a</w:t>
      </w:r>
      <w:r w:rsidR="00B435CB" w:rsidRPr="00F5640D">
        <w:rPr>
          <w:color w:val="000000"/>
        </w:rPr>
        <w:t xml:space="preserve"> la Tesorería Municipal</w:t>
      </w:r>
      <w:r w:rsidRPr="00F5640D">
        <w:rPr>
          <w:color w:val="000000"/>
        </w:rPr>
        <w:t xml:space="preserve">; </w:t>
      </w:r>
      <w:r w:rsidR="00585111" w:rsidRPr="00F5640D">
        <w:rPr>
          <w:color w:val="000000"/>
        </w:rPr>
        <w:t xml:space="preserve">por lo que, </w:t>
      </w:r>
      <w:r w:rsidR="00AF2DBE" w:rsidRPr="00F5640D">
        <w:t xml:space="preserve">es oportuno hacer </w:t>
      </w:r>
      <w:r w:rsidR="00AF2DBE" w:rsidRPr="00F5640D">
        <w:lastRenderedPageBreak/>
        <w:t xml:space="preserve">referencia al </w:t>
      </w:r>
      <w:r w:rsidR="00AF2DBE" w:rsidRPr="00F5640D">
        <w:rPr>
          <w:b/>
        </w:rPr>
        <w:t>procedimiento de búsqueda que deben de seguir los Sujetos Obligados para localizar la información</w:t>
      </w:r>
      <w:r w:rsidR="00AF2DBE" w:rsidRPr="00F5640D">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requerido.</w:t>
      </w:r>
    </w:p>
    <w:p w14:paraId="7618161E" w14:textId="77777777" w:rsidR="003F0611" w:rsidRPr="00F5640D" w:rsidRDefault="003F0611" w:rsidP="003F0611">
      <w:pPr>
        <w:spacing w:after="0" w:line="360" w:lineRule="auto"/>
        <w:ind w:right="-93"/>
        <w:rPr>
          <w:color w:val="000000"/>
        </w:rPr>
      </w:pPr>
    </w:p>
    <w:p w14:paraId="151574A3" w14:textId="7AA0D5C8" w:rsidR="003F0611" w:rsidRPr="00F5640D" w:rsidRDefault="003F0611" w:rsidP="003F0611">
      <w:pPr>
        <w:spacing w:after="0" w:line="360" w:lineRule="auto"/>
        <w:ind w:right="-93"/>
        <w:rPr>
          <w:rFonts w:cs="Tahoma"/>
        </w:rPr>
      </w:pPr>
      <w:r w:rsidRPr="00F5640D">
        <w:rPr>
          <w:color w:val="000000"/>
        </w:rPr>
        <w:t>Así y conforme a lo expuesto en párrafos anteriores, se advierte que el Sujeto Obligado cumplió con el procedimiento de búsqueda referido, pues turnó la solicitud de información al área competente de conocer lo solicitado</w:t>
      </w:r>
      <w:r w:rsidR="00DD35C4" w:rsidRPr="00F5640D">
        <w:rPr>
          <w:color w:val="000000"/>
        </w:rPr>
        <w:t>.</w:t>
      </w:r>
    </w:p>
    <w:p w14:paraId="73284EE1" w14:textId="77777777" w:rsidR="003F0611" w:rsidRPr="00F5640D" w:rsidRDefault="003F0611" w:rsidP="003F0611">
      <w:pPr>
        <w:spacing w:after="0" w:line="360" w:lineRule="auto"/>
        <w:ind w:right="-93"/>
        <w:rPr>
          <w:rFonts w:cs="Tahoma"/>
        </w:rPr>
      </w:pPr>
    </w:p>
    <w:p w14:paraId="4A7119CE" w14:textId="484906A0" w:rsidR="00C17EA1" w:rsidRPr="00F5640D" w:rsidRDefault="003F0611" w:rsidP="00C17EA1">
      <w:pPr>
        <w:spacing w:after="0" w:line="360" w:lineRule="auto"/>
        <w:rPr>
          <w:rFonts w:eastAsia="Times New Roman" w:cs="Tahoma"/>
          <w:lang w:eastAsia="es-ES"/>
        </w:rPr>
      </w:pPr>
      <w:r w:rsidRPr="00F5640D">
        <w:rPr>
          <w:color w:val="000000"/>
        </w:rPr>
        <w:t>Ahora bien, en respuesta</w:t>
      </w:r>
      <w:r w:rsidR="00585111" w:rsidRPr="00F5640D">
        <w:rPr>
          <w:color w:val="000000"/>
        </w:rPr>
        <w:t xml:space="preserve"> como en Informe Justificado, </w:t>
      </w:r>
      <w:r w:rsidR="00872602" w:rsidRPr="00F5640D">
        <w:rPr>
          <w:color w:val="000000"/>
        </w:rPr>
        <w:t xml:space="preserve">la Tesorería Municipal </w:t>
      </w:r>
      <w:r w:rsidR="00DC3320" w:rsidRPr="00F5640D">
        <w:rPr>
          <w:color w:val="000000"/>
        </w:rPr>
        <w:t>informó</w:t>
      </w:r>
      <w:r w:rsidR="00872602" w:rsidRPr="00F5640D">
        <w:rPr>
          <w:color w:val="000000"/>
        </w:rPr>
        <w:t xml:space="preserve"> que es la Dirección de Administración </w:t>
      </w:r>
      <w:r w:rsidR="00DC3320" w:rsidRPr="00F5640D">
        <w:rPr>
          <w:color w:val="000000"/>
        </w:rPr>
        <w:t xml:space="preserve">quien en la esfera de sus atribuciones tiene el resguardo de la información solicitada; </w:t>
      </w:r>
      <w:r w:rsidR="006141F8" w:rsidRPr="00F5640D">
        <w:rPr>
          <w:color w:val="000000"/>
        </w:rPr>
        <w:t xml:space="preserve">por lo que, de conformidad con </w:t>
      </w:r>
      <w:r w:rsidR="006141F8" w:rsidRPr="00F5640D">
        <w:t>los artículos 36 y 49, del Bando Municipal de Atizapán de Zaragoza, dos mil veinticuatro, con relación a los diversos 21, 42 y 43 del Reglamento Orgánico de la Administración Pública Municipal de Atizapán de Zaragoza, la Tesorería Municipal es el área competente</w:t>
      </w:r>
      <w:r w:rsidR="00C17EA1" w:rsidRPr="00F5640D">
        <w:t xml:space="preserve"> de</w:t>
      </w:r>
      <w:r w:rsidR="006141F8" w:rsidRPr="00F5640D">
        <w:t xml:space="preserve"> </w:t>
      </w:r>
      <w:r w:rsidR="00C17EA1" w:rsidRPr="00F5640D">
        <w:t xml:space="preserve">la realización de pagos con cargo al presupuesto de egresos y llevar el registro y control de estos, es decir, la respuesta que emitió no es congruente; </w:t>
      </w:r>
      <w:r w:rsidR="00C17EA1" w:rsidRPr="00F5640D">
        <w:rPr>
          <w:rFonts w:eastAsia="Times New Roman" w:cs="Tahoma"/>
          <w:bCs/>
          <w:iCs/>
          <w:lang w:val="es-ES" w:eastAsia="es-ES"/>
        </w:rPr>
        <w:t>s</w:t>
      </w:r>
      <w:r w:rsidR="00C17EA1" w:rsidRPr="00F5640D">
        <w:rPr>
          <w:rFonts w:eastAsia="Calibri" w:cs="Tahoma"/>
          <w:lang w:val="es-ES"/>
        </w:rPr>
        <w:t xml:space="preserve">obre el tema </w:t>
      </w:r>
      <w:r w:rsidR="00C17EA1" w:rsidRPr="00F5640D">
        <w:rPr>
          <w:rFonts w:eastAsia="Calibri" w:cs="Times New Roman"/>
        </w:rPr>
        <w:t xml:space="preserve">el </w:t>
      </w:r>
      <w:r w:rsidR="00C17EA1" w:rsidRPr="00F5640D">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6FF7D311" w14:textId="77777777" w:rsidR="00C17EA1" w:rsidRPr="00F5640D" w:rsidRDefault="00C17EA1" w:rsidP="00C17EA1">
      <w:pPr>
        <w:tabs>
          <w:tab w:val="center" w:pos="4522"/>
        </w:tabs>
        <w:spacing w:after="0" w:line="360" w:lineRule="auto"/>
        <w:contextualSpacing/>
        <w:rPr>
          <w:rFonts w:eastAsia="Times New Roman" w:cs="Tahoma"/>
          <w:lang w:val="es-ES" w:eastAsia="es-ES"/>
        </w:rPr>
      </w:pPr>
    </w:p>
    <w:p w14:paraId="11692E36" w14:textId="77777777" w:rsidR="00C17EA1" w:rsidRPr="00F5640D" w:rsidRDefault="00C17EA1" w:rsidP="00C17EA1">
      <w:pPr>
        <w:tabs>
          <w:tab w:val="center" w:pos="4522"/>
        </w:tabs>
        <w:spacing w:after="0" w:line="360" w:lineRule="auto"/>
        <w:rPr>
          <w:rFonts w:eastAsia="Calibri" w:cs="Times New Roman"/>
          <w:color w:val="000000"/>
        </w:rPr>
      </w:pPr>
      <w:r w:rsidRPr="00F5640D">
        <w:rPr>
          <w:rFonts w:eastAsia="Calibri" w:cs="Times New Roman"/>
          <w:color w:val="000000"/>
        </w:rPr>
        <w:t xml:space="preserve">Situación que se robustece, con el </w:t>
      </w:r>
      <w:r w:rsidRPr="00F5640D">
        <w:rPr>
          <w:rFonts w:eastAsia="Calibri" w:cs="Tahoma"/>
          <w:bCs/>
          <w:lang w:val="es-ES"/>
        </w:rPr>
        <w:t>el Criterio de Interpretación</w:t>
      </w:r>
      <w:r w:rsidRPr="00F5640D">
        <w:rPr>
          <w:rFonts w:eastAsia="Calibri" w:cs="Tahoma"/>
          <w:bCs/>
          <w:lang w:val="x-none"/>
        </w:rPr>
        <w:t xml:space="preserve">, con clave de control </w:t>
      </w:r>
      <w:r w:rsidRPr="00F5640D">
        <w:rPr>
          <w:rFonts w:eastAsia="Calibri" w:cs="Tahoma"/>
          <w:bCs/>
          <w:lang w:val="es-ES"/>
        </w:rPr>
        <w:t xml:space="preserve">SO/002/2017, de la Segunda Época, emitido por el Instituto Nacional de Transparencia, Acceso a la Información y Protección de Datos Personales, que </w:t>
      </w:r>
      <w:r w:rsidRPr="00F5640D">
        <w:rPr>
          <w:rFonts w:eastAsia="Calibri" w:cs="Times New Roman"/>
          <w:color w:val="000000"/>
        </w:rPr>
        <w:t xml:space="preserve">establece que todo acto </w:t>
      </w:r>
      <w:r w:rsidRPr="00F5640D">
        <w:rPr>
          <w:rFonts w:eastAsia="Calibri" w:cs="Times New Roman"/>
          <w:color w:val="000000"/>
        </w:rPr>
        <w:lastRenderedPageBreak/>
        <w:t xml:space="preserve">administrativo debe apegarse al </w:t>
      </w:r>
      <w:r w:rsidRPr="00F5640D">
        <w:rPr>
          <w:rFonts w:eastAsia="Calibri" w:cs="Times New Roman"/>
          <w:b/>
          <w:bCs/>
          <w:color w:val="000000"/>
        </w:rPr>
        <w:t>principio de congruencia</w:t>
      </w:r>
      <w:r w:rsidRPr="00F5640D">
        <w:rPr>
          <w:rFonts w:eastAsia="Calibri" w:cs="Times New Roman"/>
          <w:color w:val="000000"/>
        </w:rPr>
        <w:t xml:space="preserve">, entendiendo por éste que </w:t>
      </w:r>
      <w:r w:rsidRPr="00F5640D">
        <w:rPr>
          <w:rFonts w:eastAsia="Calibri" w:cs="Tahoma"/>
          <w:bCs/>
          <w:iCs/>
        </w:rPr>
        <w:t>exista concordancia entre el requerimiento formulado por el particular y la respuesta proporcionada por el sujeto obligado</w:t>
      </w:r>
      <w:r w:rsidRPr="00F5640D">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62DAD10" w14:textId="77777777" w:rsidR="00C17EA1" w:rsidRPr="00F5640D" w:rsidRDefault="00C17EA1" w:rsidP="00C17EA1">
      <w:pPr>
        <w:tabs>
          <w:tab w:val="center" w:pos="4522"/>
        </w:tabs>
        <w:spacing w:after="0" w:line="360" w:lineRule="auto"/>
        <w:rPr>
          <w:rFonts w:eastAsia="Calibri" w:cs="Times New Roman"/>
          <w:color w:val="000000"/>
        </w:rPr>
      </w:pPr>
    </w:p>
    <w:p w14:paraId="31F004C3" w14:textId="7B6954B9" w:rsidR="00C17EA1" w:rsidRPr="00F5640D" w:rsidRDefault="00C17EA1" w:rsidP="00C17EA1">
      <w:pPr>
        <w:spacing w:after="0" w:line="360" w:lineRule="auto"/>
        <w:rPr>
          <w:rFonts w:eastAsia="Calibri" w:cs="Times New Roman"/>
        </w:rPr>
      </w:pPr>
      <w:r w:rsidRPr="00F5640D">
        <w:rPr>
          <w:rFonts w:eastAsia="Calibri" w:cs="Times New Roman"/>
        </w:rPr>
        <w:t>Derivado de lo anterior, se logra vislumbrar que la Tesorería Municipal tiene competencia para conocer de lo peticionado, pues es el área que se encarga de llevar a cabo todo lo relacionado</w:t>
      </w:r>
      <w:r w:rsidR="005A151C" w:rsidRPr="00F5640D">
        <w:rPr>
          <w:rFonts w:eastAsia="Calibri" w:cs="Times New Roman"/>
        </w:rPr>
        <w:t xml:space="preserve"> con los egresos del Ayuntamiento</w:t>
      </w:r>
      <w:r w:rsidRPr="00F5640D">
        <w:rPr>
          <w:rFonts w:eastAsia="Calibri" w:cs="Times New Roman"/>
        </w:rPr>
        <w:t xml:space="preserve">, lo cual da como resultado que el agravio resulta </w:t>
      </w:r>
      <w:r w:rsidR="005A151C" w:rsidRPr="00F5640D">
        <w:rPr>
          <w:rFonts w:eastAsia="Calibri" w:cs="Times New Roman"/>
          <w:b/>
          <w:bCs/>
        </w:rPr>
        <w:t xml:space="preserve">PARCIALMENTE </w:t>
      </w:r>
      <w:r w:rsidRPr="00F5640D">
        <w:rPr>
          <w:rFonts w:eastAsia="Calibri" w:cs="Times New Roman"/>
          <w:b/>
          <w:bCs/>
        </w:rPr>
        <w:t>FUNDADO.</w:t>
      </w:r>
    </w:p>
    <w:p w14:paraId="498DE2DC" w14:textId="77777777" w:rsidR="00D35EF9" w:rsidRPr="00F5640D" w:rsidRDefault="00D35EF9" w:rsidP="00DD35C4">
      <w:pPr>
        <w:autoSpaceDE w:val="0"/>
        <w:autoSpaceDN w:val="0"/>
        <w:adjustRightInd w:val="0"/>
        <w:spacing w:after="0" w:line="360" w:lineRule="auto"/>
        <w:contextualSpacing/>
        <w:rPr>
          <w:rFonts w:eastAsia="Times New Roman" w:cs="Tahoma"/>
          <w:color w:val="auto"/>
          <w:lang w:eastAsia="es-ES"/>
        </w:rPr>
      </w:pPr>
    </w:p>
    <w:p w14:paraId="03A650C9" w14:textId="5EE01165" w:rsidR="00780B70" w:rsidRPr="00F5640D" w:rsidRDefault="00FE37D8" w:rsidP="00464B3F">
      <w:pPr>
        <w:spacing w:after="0" w:line="360" w:lineRule="auto"/>
        <w:ind w:right="-28"/>
        <w:contextualSpacing/>
        <w:rPr>
          <w:rFonts w:eastAsia="Times New Roman" w:cs="Times New Roman"/>
          <w:bCs/>
          <w:iCs/>
          <w:color w:val="auto"/>
          <w:szCs w:val="20"/>
          <w:lang w:val="es-ES" w:eastAsia="es-ES"/>
        </w:rPr>
      </w:pPr>
      <w:r w:rsidRPr="00F5640D">
        <w:rPr>
          <w:rFonts w:eastAsia="Times New Roman" w:cs="Tahoma"/>
          <w:bCs/>
          <w:color w:val="auto"/>
          <w:lang w:eastAsia="es-ES"/>
        </w:rPr>
        <w:t>A</w:t>
      </w:r>
      <w:r w:rsidR="00780B70" w:rsidRPr="00F5640D">
        <w:rPr>
          <w:rFonts w:eastAsia="Times New Roman" w:cs="Tahoma"/>
          <w:bCs/>
          <w:color w:val="auto"/>
          <w:lang w:eastAsia="es-ES"/>
        </w:rPr>
        <w:t>sí, este Instituto considera que, para atender el requerimiento de información, el</w:t>
      </w:r>
      <w:r w:rsidR="00780B70" w:rsidRPr="00F5640D">
        <w:rPr>
          <w:rFonts w:eastAsia="Times New Roman" w:cs="Times New Roman"/>
          <w:bCs/>
          <w:iCs/>
          <w:color w:val="auto"/>
          <w:szCs w:val="20"/>
          <w:lang w:val="es-ES" w:eastAsia="es-ES"/>
        </w:rPr>
        <w:t xml:space="preserve"> Sujeto Obligado deberá </w:t>
      </w:r>
      <w:r w:rsidRPr="00F5640D">
        <w:rPr>
          <w:rFonts w:eastAsia="Times New Roman" w:cs="Times New Roman"/>
          <w:bCs/>
          <w:iCs/>
          <w:color w:val="auto"/>
          <w:szCs w:val="20"/>
          <w:lang w:val="es-ES" w:eastAsia="es-ES"/>
        </w:rPr>
        <w:t>entregar</w:t>
      </w:r>
      <w:r w:rsidR="00464B3F" w:rsidRPr="00F5640D">
        <w:rPr>
          <w:rFonts w:eastAsia="Times New Roman" w:cs="Times New Roman"/>
          <w:bCs/>
          <w:iCs/>
          <w:color w:val="auto"/>
          <w:szCs w:val="20"/>
          <w:lang w:val="es-ES" w:eastAsia="es-ES"/>
        </w:rPr>
        <w:t xml:space="preserve"> </w:t>
      </w:r>
      <w:r w:rsidR="006E501E" w:rsidRPr="00F5640D">
        <w:rPr>
          <w:color w:val="000000"/>
        </w:rPr>
        <w:t xml:space="preserve">las facturas </w:t>
      </w:r>
      <w:r w:rsidR="00E20E13" w:rsidRPr="00F5640D">
        <w:rPr>
          <w:color w:val="000000"/>
        </w:rPr>
        <w:t>de pago</w:t>
      </w:r>
      <w:r w:rsidR="004C4520" w:rsidRPr="00F5640D">
        <w:rPr>
          <w:color w:val="000000"/>
        </w:rPr>
        <w:t xml:space="preserve"> con las que contara a la fecha de la solicitud,</w:t>
      </w:r>
      <w:r w:rsidR="006E501E" w:rsidRPr="00F5640D">
        <w:rPr>
          <w:color w:val="000000"/>
        </w:rPr>
        <w:t xml:space="preserve"> derivadas de los contratos con la Empresa QMKT SERVICIOS DIGITALES, S.A. DE C.V, entregados en respuesta</w:t>
      </w:r>
      <w:r w:rsidRPr="00F5640D">
        <w:rPr>
          <w:rFonts w:eastAsia="Times New Roman" w:cs="Tahoma"/>
          <w:color w:val="auto"/>
          <w:lang w:eastAsia="es-ES"/>
        </w:rPr>
        <w:t>; dicha</w:t>
      </w:r>
      <w:r w:rsidR="00780B70" w:rsidRPr="00F5640D">
        <w:rPr>
          <w:rFonts w:cs="Tahoma"/>
          <w:bCs/>
          <w:iCs/>
        </w:rPr>
        <w:t xml:space="preserve"> determinación, </w:t>
      </w:r>
      <w:r w:rsidR="00780B70" w:rsidRPr="00F5640D">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E75D5FC" w14:textId="77777777" w:rsidR="00780B70" w:rsidRPr="00F5640D" w:rsidRDefault="00780B70" w:rsidP="00780B70">
      <w:pPr>
        <w:spacing w:after="0" w:line="360" w:lineRule="auto"/>
        <w:rPr>
          <w:rFonts w:cs="Tahoma"/>
          <w:bCs/>
          <w:iCs/>
          <w:lang w:val="es-ES"/>
        </w:rPr>
      </w:pPr>
    </w:p>
    <w:p w14:paraId="299EE968" w14:textId="77777777" w:rsidR="00780B70" w:rsidRPr="00F5640D" w:rsidRDefault="00780B70" w:rsidP="00780B70">
      <w:pPr>
        <w:spacing w:after="0" w:line="360" w:lineRule="auto"/>
        <w:rPr>
          <w:rFonts w:cs="Tahoma"/>
          <w:bCs/>
        </w:rPr>
      </w:pPr>
      <w:r w:rsidRPr="00F5640D">
        <w:rPr>
          <w:rFonts w:cs="Tahoma"/>
          <w:bCs/>
        </w:rPr>
        <w:t xml:space="preserve">De esta manera, </w:t>
      </w:r>
      <w:r w:rsidRPr="00F5640D">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F5640D">
        <w:rPr>
          <w:rFonts w:cs="Tahoma"/>
          <w:bCs/>
          <w:i/>
        </w:rPr>
        <w:t>ad hoc</w:t>
      </w:r>
      <w:r w:rsidRPr="00F5640D">
        <w:rPr>
          <w:rFonts w:cs="Tahoma"/>
          <w:bCs/>
        </w:rPr>
        <w:t xml:space="preserve">; lo cual, de conformidad con en el artículo 160 de la Ley de Transparencia y Acceso a la Información Pública del Estado de México y </w:t>
      </w:r>
      <w:r w:rsidRPr="00F5640D">
        <w:rPr>
          <w:rFonts w:cs="Tahoma"/>
          <w:bCs/>
        </w:rPr>
        <w:lastRenderedPageBreak/>
        <w:t xml:space="preserve">Municipios, el cual refiere que los sujetos obligados deberán entregar la información que obre en sus archivos. </w:t>
      </w:r>
    </w:p>
    <w:p w14:paraId="506D11D9" w14:textId="77777777" w:rsidR="00780B70" w:rsidRPr="00F5640D" w:rsidRDefault="00780B70" w:rsidP="00780B70">
      <w:pPr>
        <w:spacing w:after="0" w:line="360" w:lineRule="auto"/>
        <w:rPr>
          <w:rFonts w:cs="Tahoma"/>
          <w:bCs/>
        </w:rPr>
      </w:pPr>
    </w:p>
    <w:p w14:paraId="03528E39" w14:textId="0A0B660D" w:rsidR="00780B70" w:rsidRPr="00F5640D" w:rsidRDefault="00780B70" w:rsidP="00780B70">
      <w:pPr>
        <w:spacing w:after="0" w:line="360" w:lineRule="auto"/>
        <w:ind w:right="-28"/>
        <w:contextualSpacing/>
        <w:rPr>
          <w:rFonts w:eastAsia="Calibri" w:cs="Tahoma"/>
          <w:bCs/>
          <w:color w:val="auto"/>
        </w:rPr>
      </w:pPr>
      <w:r w:rsidRPr="00F5640D">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deberá entregar </w:t>
      </w:r>
      <w:r w:rsidR="006E501E" w:rsidRPr="00F5640D">
        <w:rPr>
          <w:rFonts w:eastAsia="Times New Roman" w:cs="Times New Roman"/>
          <w:color w:val="auto"/>
          <w:lang w:eastAsia="es-ES"/>
        </w:rPr>
        <w:t>las facturas.</w:t>
      </w:r>
    </w:p>
    <w:p w14:paraId="1126D2C3" w14:textId="77777777" w:rsidR="00780B70" w:rsidRPr="00F5640D" w:rsidRDefault="00780B70" w:rsidP="00780B70">
      <w:pPr>
        <w:spacing w:after="0" w:line="360" w:lineRule="auto"/>
        <w:rPr>
          <w:rFonts w:cs="Tahoma"/>
          <w:bCs/>
          <w:iCs/>
          <w:lang w:val="es-ES"/>
        </w:rPr>
      </w:pPr>
    </w:p>
    <w:p w14:paraId="19704335" w14:textId="28DE8FB4" w:rsidR="00780B70" w:rsidRPr="00F5640D" w:rsidRDefault="00780B70" w:rsidP="00780B70">
      <w:pPr>
        <w:spacing w:after="0" w:line="360" w:lineRule="auto"/>
        <w:rPr>
          <w:rFonts w:eastAsia="Calibri" w:cs="Times New Roman"/>
          <w:bCs/>
          <w:iCs/>
          <w:color w:val="000000"/>
          <w:lang w:val="es-ES"/>
        </w:rPr>
      </w:pPr>
      <w:r w:rsidRPr="00F5640D">
        <w:rPr>
          <w:rFonts w:eastAsia="Calibri" w:cs="Times New Roman"/>
          <w:bCs/>
          <w:iCs/>
          <w:color w:val="000000"/>
        </w:rPr>
        <w:t>Finalmente, no pasa desapercibido para este Instituto que los documentos, pudieran contener datos o información clasificada</w:t>
      </w:r>
      <w:r w:rsidR="00E20E13" w:rsidRPr="00F5640D">
        <w:rPr>
          <w:rFonts w:eastAsia="Calibri" w:cs="Times New Roman"/>
          <w:bCs/>
          <w:iCs/>
          <w:color w:val="000000"/>
        </w:rPr>
        <w:t>, como pudiera ser datos bancarios de los proveedores</w:t>
      </w:r>
      <w:r w:rsidRPr="00F5640D">
        <w:rPr>
          <w:rFonts w:eastAsia="Calibri" w:cs="Times New Roman"/>
          <w:bCs/>
          <w:iCs/>
          <w:color w:val="000000"/>
        </w:rPr>
        <w:t>; por lo que, en el supuesto, deberá elaborar la versión pública respectiva; a</w:t>
      </w:r>
      <w:r w:rsidRPr="00F5640D">
        <w:rPr>
          <w:rFonts w:eastAsia="Calibri" w:cs="Times New Roman"/>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57C9C6A" w14:textId="77777777" w:rsidR="004C4520" w:rsidRPr="00F5640D" w:rsidRDefault="004C4520" w:rsidP="00780B70">
      <w:pPr>
        <w:spacing w:after="0" w:line="360" w:lineRule="auto"/>
        <w:rPr>
          <w:rFonts w:eastAsia="Calibri" w:cs="Times New Roman"/>
          <w:bCs/>
          <w:iCs/>
          <w:color w:val="000000"/>
          <w:lang w:val="es-ES"/>
        </w:rPr>
      </w:pPr>
    </w:p>
    <w:p w14:paraId="5D399CF6" w14:textId="77777777" w:rsidR="00780B70" w:rsidRPr="00F5640D" w:rsidRDefault="00780B70" w:rsidP="00780B70">
      <w:pPr>
        <w:spacing w:after="0" w:line="360" w:lineRule="auto"/>
        <w:rPr>
          <w:rFonts w:eastAsia="Calibri" w:cs="Times New Roman"/>
          <w:bCs/>
          <w:iCs/>
          <w:color w:val="000000"/>
          <w:lang w:val="es-ES"/>
        </w:rPr>
      </w:pPr>
      <w:r w:rsidRPr="00F5640D">
        <w:rPr>
          <w:rFonts w:eastAsia="Calibri" w:cs="Times New Roman"/>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7BD133" w14:textId="77777777" w:rsidR="00464B3F" w:rsidRPr="00F5640D" w:rsidRDefault="00464B3F" w:rsidP="00780B70">
      <w:pPr>
        <w:spacing w:after="0" w:line="360" w:lineRule="auto"/>
        <w:rPr>
          <w:rFonts w:eastAsia="Calibri" w:cs="Times New Roman"/>
          <w:bCs/>
          <w:iCs/>
          <w:color w:val="000000"/>
          <w:lang w:val="es-ES"/>
        </w:rPr>
      </w:pPr>
    </w:p>
    <w:p w14:paraId="76C0CAB0" w14:textId="77777777" w:rsidR="00464B3F" w:rsidRPr="00F5640D" w:rsidRDefault="00464B3F" w:rsidP="00464B3F">
      <w:pPr>
        <w:spacing w:after="0" w:line="360" w:lineRule="auto"/>
        <w:rPr>
          <w:b/>
          <w:color w:val="auto"/>
        </w:rPr>
      </w:pPr>
      <w:r w:rsidRPr="00F5640D">
        <w:rPr>
          <w:b/>
        </w:rPr>
        <w:t>SEXTO. Decisión</w:t>
      </w:r>
    </w:p>
    <w:p w14:paraId="5D2CBCAB" w14:textId="77777777" w:rsidR="00464B3F" w:rsidRPr="00F5640D" w:rsidRDefault="00464B3F" w:rsidP="00464B3F">
      <w:pPr>
        <w:spacing w:after="0" w:line="360" w:lineRule="auto"/>
        <w:rPr>
          <w:b/>
        </w:rPr>
      </w:pPr>
    </w:p>
    <w:p w14:paraId="184EDA58" w14:textId="68F81994" w:rsidR="00464B3F" w:rsidRPr="00F5640D" w:rsidRDefault="00464B3F" w:rsidP="00464B3F">
      <w:pPr>
        <w:spacing w:after="0" w:line="360" w:lineRule="auto"/>
        <w:rPr>
          <w:rFonts w:cs="Tahoma"/>
        </w:rPr>
      </w:pPr>
      <w:r w:rsidRPr="00F5640D">
        <w:rPr>
          <w:rFonts w:cs="Tahoma"/>
        </w:rPr>
        <w:lastRenderedPageBreak/>
        <w:t xml:space="preserve">Con fundamento en el artículo 186, fracción III, de la Ley de Transparencia y Acceso a la Información Pública del Estado de México y Municipios, este Instituto considera procedente </w:t>
      </w:r>
      <w:r w:rsidRPr="00F5640D">
        <w:rPr>
          <w:b/>
          <w:bCs/>
        </w:rPr>
        <w:t>MODIFICAR</w:t>
      </w:r>
      <w:r w:rsidRPr="00F5640D">
        <w:rPr>
          <w:rFonts w:cs="Tahoma"/>
        </w:rPr>
        <w:t xml:space="preserve"> la respuesta otorgada por el Sujeto Obligado a la solicitud de información </w:t>
      </w:r>
      <w:r w:rsidRPr="00F5640D">
        <w:t>00</w:t>
      </w:r>
      <w:r w:rsidR="00CF408F" w:rsidRPr="00F5640D">
        <w:t>653</w:t>
      </w:r>
      <w:r w:rsidRPr="00F5640D">
        <w:t>/</w:t>
      </w:r>
      <w:r w:rsidR="00CF408F" w:rsidRPr="00F5640D">
        <w:t>ATIZARA</w:t>
      </w:r>
      <w:r w:rsidRPr="00F5640D">
        <w:t>/IP/2024</w:t>
      </w:r>
      <w:r w:rsidRPr="00F5640D">
        <w:rPr>
          <w:rFonts w:cs="Tahoma"/>
        </w:rPr>
        <w:t xml:space="preserve">, a efecto de que entregue, en su caso, en versión pública, la información </w:t>
      </w:r>
      <w:r w:rsidR="009F4042" w:rsidRPr="00F5640D">
        <w:rPr>
          <w:rFonts w:cs="Tahoma"/>
        </w:rPr>
        <w:t>faltante.</w:t>
      </w:r>
    </w:p>
    <w:p w14:paraId="241B1CDD" w14:textId="77777777" w:rsidR="00464B3F" w:rsidRPr="00F5640D" w:rsidRDefault="00464B3F" w:rsidP="00464B3F">
      <w:pPr>
        <w:spacing w:after="0" w:line="360" w:lineRule="auto"/>
        <w:rPr>
          <w:rFonts w:cs="Tahoma"/>
          <w:bCs/>
          <w:iCs/>
          <w:lang w:val="es-ES_tradnl"/>
        </w:rPr>
      </w:pPr>
    </w:p>
    <w:p w14:paraId="3F2F1B48" w14:textId="77777777" w:rsidR="00464B3F" w:rsidRPr="00F5640D" w:rsidRDefault="00464B3F" w:rsidP="00464B3F">
      <w:pPr>
        <w:spacing w:after="0" w:line="360" w:lineRule="auto"/>
        <w:rPr>
          <w:rFonts w:cs="Palatino Linotype"/>
          <w:b/>
        </w:rPr>
      </w:pPr>
      <w:r w:rsidRPr="00F5640D">
        <w:rPr>
          <w:b/>
        </w:rPr>
        <w:t>Términos de la Resolución para conocimiento del Particular</w:t>
      </w:r>
    </w:p>
    <w:p w14:paraId="0D368090" w14:textId="77777777" w:rsidR="00464B3F" w:rsidRPr="00F5640D" w:rsidRDefault="00464B3F" w:rsidP="00464B3F">
      <w:pPr>
        <w:spacing w:after="0" w:line="360" w:lineRule="auto"/>
        <w:rPr>
          <w:b/>
        </w:rPr>
      </w:pPr>
    </w:p>
    <w:p w14:paraId="244CBE55" w14:textId="761C01FC" w:rsidR="004508EF" w:rsidRPr="00F5640D" w:rsidRDefault="00464B3F" w:rsidP="00464B3F">
      <w:pPr>
        <w:spacing w:after="0" w:line="360" w:lineRule="auto"/>
      </w:pPr>
      <w:bookmarkStart w:id="6" w:name="_heading=h.1fob9te"/>
      <w:bookmarkEnd w:id="6"/>
      <w:r w:rsidRPr="00F5640D">
        <w:t>Se le hace del conocimiento a la persona Recurrente que, en el presente asunto, se le da</w:t>
      </w:r>
      <w:r w:rsidR="00FE37D8" w:rsidRPr="00F5640D">
        <w:t xml:space="preserve"> </w:t>
      </w:r>
      <w:r w:rsidRPr="00F5640D">
        <w:t>la razón, pues el Sujeto Obligado si bien proporcionó parte de la información solicitada, omitió entregar</w:t>
      </w:r>
      <w:r w:rsidR="00CF408F" w:rsidRPr="00F5640D">
        <w:t xml:space="preserve"> las facturas</w:t>
      </w:r>
      <w:r w:rsidRPr="00F5640D">
        <w:t xml:space="preserve">, por lo que, deberá hacer la entrega de la información. </w:t>
      </w:r>
    </w:p>
    <w:p w14:paraId="270EB53F" w14:textId="77777777" w:rsidR="004508EF" w:rsidRPr="00F5640D" w:rsidRDefault="004508EF" w:rsidP="00464B3F">
      <w:pPr>
        <w:spacing w:after="0" w:line="360" w:lineRule="auto"/>
      </w:pPr>
    </w:p>
    <w:p w14:paraId="63068DCA" w14:textId="77777777" w:rsidR="004508EF" w:rsidRPr="00F5640D" w:rsidRDefault="004508EF" w:rsidP="004508EF">
      <w:pPr>
        <w:spacing w:after="0" w:line="360" w:lineRule="auto"/>
        <w:ind w:right="-28"/>
        <w:rPr>
          <w:rFonts w:eastAsia="Calibri" w:cs="Tahoma"/>
        </w:rPr>
      </w:pPr>
      <w:r w:rsidRPr="00F5640D">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669699B" w14:textId="77777777" w:rsidR="00FE37D8" w:rsidRPr="00F5640D" w:rsidRDefault="00FE37D8" w:rsidP="00464B3F">
      <w:pPr>
        <w:spacing w:after="0" w:line="360" w:lineRule="auto"/>
      </w:pPr>
    </w:p>
    <w:p w14:paraId="2784F84D" w14:textId="77777777" w:rsidR="00464B3F" w:rsidRPr="00F5640D" w:rsidRDefault="00464B3F" w:rsidP="00464B3F">
      <w:pPr>
        <w:spacing w:after="0" w:line="360" w:lineRule="auto"/>
      </w:pPr>
      <w:r w:rsidRPr="00F5640D">
        <w:t>Por lo expuesto y fundado, este Pleno:</w:t>
      </w:r>
    </w:p>
    <w:p w14:paraId="3336676F" w14:textId="77777777" w:rsidR="00464B3F" w:rsidRPr="00F5640D" w:rsidRDefault="00464B3F" w:rsidP="00464B3F">
      <w:pPr>
        <w:spacing w:after="0" w:line="360" w:lineRule="auto"/>
      </w:pPr>
    </w:p>
    <w:p w14:paraId="492ACF69" w14:textId="77777777" w:rsidR="00464B3F" w:rsidRPr="00F5640D" w:rsidRDefault="00464B3F" w:rsidP="00464B3F">
      <w:pPr>
        <w:spacing w:after="0" w:line="360" w:lineRule="auto"/>
        <w:ind w:left="720" w:hanging="720"/>
        <w:jc w:val="center"/>
        <w:rPr>
          <w:b/>
        </w:rPr>
      </w:pPr>
      <w:r w:rsidRPr="00F5640D">
        <w:rPr>
          <w:b/>
        </w:rPr>
        <w:t>R E S U E L V E</w:t>
      </w:r>
    </w:p>
    <w:p w14:paraId="0A63D0EE" w14:textId="77777777" w:rsidR="00464B3F" w:rsidRPr="00F5640D" w:rsidRDefault="00464B3F" w:rsidP="00464B3F">
      <w:pPr>
        <w:spacing w:after="0" w:line="360" w:lineRule="auto"/>
      </w:pPr>
    </w:p>
    <w:p w14:paraId="3252EF83" w14:textId="0C3CF436" w:rsidR="00464B3F" w:rsidRPr="00F5640D" w:rsidRDefault="00464B3F" w:rsidP="00464B3F">
      <w:pPr>
        <w:spacing w:after="0" w:line="360" w:lineRule="auto"/>
      </w:pPr>
      <w:r w:rsidRPr="00F5640D">
        <w:rPr>
          <w:b/>
        </w:rPr>
        <w:t xml:space="preserve">PRIMERO. </w:t>
      </w:r>
      <w:r w:rsidRPr="00F5640D">
        <w:t xml:space="preserve">Se </w:t>
      </w:r>
      <w:r w:rsidRPr="00F5640D">
        <w:rPr>
          <w:b/>
        </w:rPr>
        <w:t xml:space="preserve">MODIFICA </w:t>
      </w:r>
      <w:r w:rsidRPr="00F5640D">
        <w:t xml:space="preserve">la respuesta entregada por </w:t>
      </w:r>
      <w:r w:rsidR="00CF408F" w:rsidRPr="00F5640D">
        <w:t>el Ayuntamiento de Atizapán de Zaragoza</w:t>
      </w:r>
      <w:r w:rsidRPr="00F5640D">
        <w:t>, a la solicitud de información</w:t>
      </w:r>
      <w:r w:rsidR="00CF408F" w:rsidRPr="00F5640D">
        <w:t xml:space="preserve"> 00653/ATIZARA/IP/2024</w:t>
      </w:r>
      <w:r w:rsidRPr="00F5640D">
        <w:rPr>
          <w:color w:val="000000"/>
        </w:rPr>
        <w:t>,</w:t>
      </w:r>
      <w:r w:rsidRPr="00F5640D">
        <w:t xml:space="preserve"> por resultar </w:t>
      </w:r>
      <w:r w:rsidR="00CF408F" w:rsidRPr="00F5640D">
        <w:rPr>
          <w:b/>
          <w:bCs/>
        </w:rPr>
        <w:t>PARCIALMENTE</w:t>
      </w:r>
      <w:r w:rsidR="00CF408F" w:rsidRPr="00F5640D">
        <w:t xml:space="preserve"> </w:t>
      </w:r>
      <w:r w:rsidRPr="00F5640D">
        <w:rPr>
          <w:b/>
          <w:bCs/>
        </w:rPr>
        <w:t>FUNDADAS</w:t>
      </w:r>
      <w:r w:rsidRPr="00F5640D">
        <w:rPr>
          <w:b/>
        </w:rPr>
        <w:t xml:space="preserve"> </w:t>
      </w:r>
      <w:r w:rsidRPr="00F5640D">
        <w:t>las razones o motivos de inconformidad hechos valer por la persona Recurrente, en términos de los considerandos QUINTO y SEXTO de la presente Resolución.</w:t>
      </w:r>
    </w:p>
    <w:p w14:paraId="32BB3F25" w14:textId="77777777" w:rsidR="00464B3F" w:rsidRPr="00F5640D" w:rsidRDefault="00464B3F" w:rsidP="00464B3F">
      <w:pPr>
        <w:spacing w:after="0" w:line="360" w:lineRule="auto"/>
      </w:pPr>
    </w:p>
    <w:p w14:paraId="54723E04" w14:textId="6B64EDF5" w:rsidR="00464B3F" w:rsidRPr="00F5640D" w:rsidRDefault="00464B3F" w:rsidP="00464B3F">
      <w:pPr>
        <w:spacing w:after="0" w:line="360" w:lineRule="auto"/>
        <w:rPr>
          <w:rFonts w:eastAsia="Times New Roman" w:cs="Tahoma"/>
          <w:iCs/>
          <w:color w:val="auto"/>
        </w:rPr>
      </w:pPr>
      <w:r w:rsidRPr="00F5640D">
        <w:rPr>
          <w:b/>
        </w:rPr>
        <w:t xml:space="preserve">SEGUNDO. </w:t>
      </w:r>
      <w:r w:rsidRPr="00F5640D">
        <w:t xml:space="preserve">Se </w:t>
      </w:r>
      <w:r w:rsidRPr="00F5640D">
        <w:rPr>
          <w:b/>
        </w:rPr>
        <w:t>ORDENA</w:t>
      </w:r>
      <w:r w:rsidRPr="00F5640D">
        <w:t xml:space="preserve"> al Sujeto Obligado</w:t>
      </w:r>
      <w:r w:rsidRPr="00F5640D">
        <w:rPr>
          <w:b/>
        </w:rPr>
        <w:t xml:space="preserve">, </w:t>
      </w:r>
      <w:r w:rsidRPr="00F5640D">
        <w:t xml:space="preserve">a efecto de que </w:t>
      </w:r>
      <w:r w:rsidR="00E20E13" w:rsidRPr="00F5640D">
        <w:t>previa búsqueda exhaustiva y razonable en los archivos de las unidades administrativas competentes, e</w:t>
      </w:r>
      <w:r w:rsidRPr="00F5640D">
        <w:t>ntregue a través del Sistema de Acceso a la Información Mexiquense (SAIMEX), en su caso, en versión pública,</w:t>
      </w:r>
      <w:r w:rsidRPr="00F5640D">
        <w:rPr>
          <w:rFonts w:cs="Tahoma"/>
          <w:bCs/>
        </w:rPr>
        <w:t xml:space="preserve"> </w:t>
      </w:r>
      <w:r w:rsidRPr="00F5640D">
        <w:rPr>
          <w:rFonts w:eastAsia="Times New Roman" w:cs="Tahoma"/>
          <w:iCs/>
          <w:color w:val="auto"/>
        </w:rPr>
        <w:t>lo siguiente:</w:t>
      </w:r>
    </w:p>
    <w:p w14:paraId="6839202F" w14:textId="77777777" w:rsidR="009F4042" w:rsidRPr="00F5640D" w:rsidRDefault="009F4042" w:rsidP="00464B3F">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54F5CA62" w14:textId="38E7B844" w:rsidR="00464B3F" w:rsidRPr="00F5640D" w:rsidRDefault="00CF408F" w:rsidP="00464B3F">
      <w:pPr>
        <w:pStyle w:val="Prrafodelista"/>
        <w:numPr>
          <w:ilvl w:val="0"/>
          <w:numId w:val="5"/>
        </w:numPr>
        <w:spacing w:after="0" w:line="360" w:lineRule="auto"/>
        <w:ind w:right="-28"/>
        <w:rPr>
          <w:rFonts w:eastAsia="Calibri" w:cs="Tahoma"/>
          <w:bCs/>
          <w:color w:val="auto"/>
        </w:rPr>
      </w:pPr>
      <w:r w:rsidRPr="00F5640D">
        <w:rPr>
          <w:color w:val="000000"/>
        </w:rPr>
        <w:t xml:space="preserve">Las facturas </w:t>
      </w:r>
      <w:r w:rsidR="00E20E13" w:rsidRPr="00F5640D">
        <w:rPr>
          <w:color w:val="000000"/>
        </w:rPr>
        <w:t>de pago</w:t>
      </w:r>
      <w:r w:rsidR="004C4520" w:rsidRPr="00F5640D">
        <w:rPr>
          <w:color w:val="000000"/>
        </w:rPr>
        <w:t xml:space="preserve"> con las que contara al veintinueve de octubre de dos mil veinticuatro,</w:t>
      </w:r>
      <w:r w:rsidRPr="00F5640D">
        <w:rPr>
          <w:color w:val="000000"/>
        </w:rPr>
        <w:t xml:space="preserve"> derivadas de los contratos </w:t>
      </w:r>
      <w:r w:rsidR="009F4042" w:rsidRPr="00F5640D">
        <w:rPr>
          <w:color w:val="000000"/>
        </w:rPr>
        <w:t>celebrados con la</w:t>
      </w:r>
      <w:r w:rsidRPr="00F5640D">
        <w:rPr>
          <w:color w:val="000000"/>
        </w:rPr>
        <w:t xml:space="preserve"> Empresa QMKT SERVICIOS DIGITALES, S.A. DE C.V, entregados en respuesta</w:t>
      </w:r>
      <w:r w:rsidR="00CF7F92" w:rsidRPr="00F5640D">
        <w:rPr>
          <w:color w:val="000000"/>
        </w:rPr>
        <w:t xml:space="preserve">. </w:t>
      </w:r>
    </w:p>
    <w:p w14:paraId="7461F939" w14:textId="77777777" w:rsidR="00464B3F" w:rsidRPr="00F5640D" w:rsidRDefault="00464B3F" w:rsidP="00464B3F">
      <w:pPr>
        <w:pStyle w:val="Prrafodelista"/>
        <w:spacing w:after="0" w:line="360" w:lineRule="auto"/>
        <w:rPr>
          <w:rFonts w:cs="Tahoma"/>
          <w:bCs/>
          <w:iCs/>
          <w:lang w:eastAsia="es-ES"/>
        </w:rPr>
      </w:pPr>
    </w:p>
    <w:p w14:paraId="6DA307ED" w14:textId="77777777" w:rsidR="00464B3F" w:rsidRPr="00F5640D" w:rsidRDefault="00464B3F" w:rsidP="00464B3F">
      <w:pPr>
        <w:spacing w:after="0" w:line="360" w:lineRule="auto"/>
        <w:rPr>
          <w:rFonts w:cs="Tahoma"/>
          <w:bCs/>
          <w:iCs/>
          <w:lang w:eastAsia="es-ES"/>
        </w:rPr>
      </w:pPr>
      <w:r w:rsidRPr="00F5640D">
        <w:rPr>
          <w:rFonts w:cs="Tahoma"/>
          <w:bCs/>
          <w:iCs/>
          <w:lang w:eastAsia="es-ES"/>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14:paraId="2273F1A1" w14:textId="77777777" w:rsidR="00464B3F" w:rsidRPr="00F5640D" w:rsidRDefault="00464B3F" w:rsidP="00464B3F">
      <w:pPr>
        <w:spacing w:after="0" w:line="360" w:lineRule="auto"/>
      </w:pPr>
    </w:p>
    <w:p w14:paraId="550981EE" w14:textId="77777777" w:rsidR="00464B3F" w:rsidRPr="00F5640D" w:rsidRDefault="00464B3F" w:rsidP="00464B3F">
      <w:pPr>
        <w:spacing w:after="0" w:line="360" w:lineRule="auto"/>
        <w:ind w:right="-28"/>
        <w:rPr>
          <w:b/>
          <w:lang w:eastAsia="es-MX"/>
        </w:rPr>
      </w:pPr>
      <w:r w:rsidRPr="00F5640D">
        <w:rPr>
          <w:b/>
          <w:lang w:eastAsia="es-MX"/>
        </w:rPr>
        <w:t xml:space="preserve">TERCERO. NOTIFÍQUESE POR SAIMEX </w:t>
      </w:r>
      <w:r w:rsidRPr="00F5640D">
        <w:rPr>
          <w:lang w:eastAsia="es-MX"/>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8CA7C7F" w14:textId="77777777" w:rsidR="00464B3F" w:rsidRPr="00F5640D" w:rsidRDefault="00464B3F" w:rsidP="00464B3F">
      <w:pPr>
        <w:spacing w:after="0" w:line="360" w:lineRule="auto"/>
        <w:ind w:right="-28"/>
        <w:rPr>
          <w:color w:val="000000"/>
          <w:lang w:eastAsia="es-MX"/>
        </w:rPr>
      </w:pPr>
    </w:p>
    <w:p w14:paraId="3B1709B3" w14:textId="77777777" w:rsidR="00464B3F" w:rsidRPr="00F5640D" w:rsidRDefault="00464B3F" w:rsidP="00464B3F">
      <w:pPr>
        <w:spacing w:after="0" w:line="360" w:lineRule="auto"/>
        <w:rPr>
          <w:color w:val="000000"/>
          <w:lang w:eastAsia="es-MX"/>
        </w:rPr>
      </w:pPr>
      <w:r w:rsidRPr="00F5640D">
        <w:rPr>
          <w:color w:val="000000"/>
          <w:lang w:eastAsia="es-MX"/>
        </w:rPr>
        <w:lastRenderedPageBreak/>
        <w:t>De conformidad con el artículo 198 de la Ley de la materia, de considerarlo procedente, el Sujeto Obligado de manera fundada y motivada, podrá solicitar una ampliación de plazo para el cumplimiento de la presente resolución.</w:t>
      </w:r>
    </w:p>
    <w:p w14:paraId="7DDBF1A3" w14:textId="77777777" w:rsidR="00464B3F" w:rsidRPr="00F5640D" w:rsidRDefault="00464B3F" w:rsidP="00464B3F">
      <w:pPr>
        <w:spacing w:after="0" w:line="360" w:lineRule="auto"/>
        <w:rPr>
          <w:color w:val="000000"/>
          <w:lang w:eastAsia="es-MX"/>
        </w:rPr>
      </w:pPr>
    </w:p>
    <w:p w14:paraId="79D203B4" w14:textId="77777777" w:rsidR="00464B3F" w:rsidRPr="00F5640D" w:rsidRDefault="00464B3F" w:rsidP="00464B3F">
      <w:pPr>
        <w:spacing w:after="0" w:line="360" w:lineRule="auto"/>
        <w:contextualSpacing/>
        <w:rPr>
          <w:color w:val="000000"/>
        </w:rPr>
      </w:pPr>
      <w:r w:rsidRPr="00F5640D">
        <w:rPr>
          <w:b/>
          <w:bCs/>
          <w:color w:val="000000"/>
        </w:rPr>
        <w:t xml:space="preserve">CUARTO. </w:t>
      </w:r>
      <w:r w:rsidRPr="00F5640D">
        <w:rPr>
          <w:b/>
          <w:lang w:eastAsia="es-MX"/>
        </w:rPr>
        <w:t>NOTIFÍQUESE POR SAIMEX</w:t>
      </w:r>
      <w:r w:rsidRPr="00F5640D">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08E51C96" w14:textId="77777777" w:rsidR="00464B3F" w:rsidRPr="00F5640D" w:rsidRDefault="00464B3F" w:rsidP="00464B3F">
      <w:pPr>
        <w:spacing w:after="0" w:line="360" w:lineRule="auto"/>
        <w:rPr>
          <w:rFonts w:eastAsia="Calibri" w:cs="Tahoma"/>
          <w:bCs/>
        </w:rPr>
      </w:pPr>
    </w:p>
    <w:p w14:paraId="58865446" w14:textId="3B77D130" w:rsidR="00464B3F" w:rsidRPr="001F4A28" w:rsidRDefault="00464B3F" w:rsidP="00464B3F">
      <w:pPr>
        <w:spacing w:after="0" w:line="360" w:lineRule="auto"/>
        <w:rPr>
          <w:rFonts w:eastAsia="Calibri" w:cs="Tahoma"/>
          <w:bCs/>
        </w:rPr>
      </w:pPr>
      <w:r w:rsidRPr="00F5640D">
        <w:rPr>
          <w:rFonts w:eastAsia="Calibri" w:cs="Tahoma"/>
          <w:bCs/>
        </w:rPr>
        <w:t xml:space="preserve">ASÍ LO RESUELVE, POR </w:t>
      </w:r>
      <w:r w:rsidRPr="00F5640D">
        <w:rPr>
          <w:rFonts w:eastAsia="Calibri" w:cs="Tahoma"/>
          <w:b/>
        </w:rPr>
        <w:t>UNANIMIDAD</w:t>
      </w:r>
      <w:r w:rsidRPr="00F5640D">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F408F" w:rsidRPr="00F5640D">
        <w:rPr>
          <w:rFonts w:eastAsia="Calibri" w:cs="Tahoma"/>
          <w:bCs/>
        </w:rPr>
        <w:t>PRIMERA</w:t>
      </w:r>
      <w:r w:rsidRPr="00F5640D">
        <w:rPr>
          <w:rFonts w:eastAsia="Calibri" w:cs="Tahoma"/>
          <w:bCs/>
        </w:rPr>
        <w:t xml:space="preserve"> SESIÓN ORDINARIA, CELEBRADA EL </w:t>
      </w:r>
      <w:r w:rsidR="00CF408F" w:rsidRPr="00F5640D">
        <w:rPr>
          <w:rFonts w:eastAsia="Calibri" w:cs="Tahoma"/>
          <w:bCs/>
        </w:rPr>
        <w:t xml:space="preserve">QUINCE DE ENERO </w:t>
      </w:r>
      <w:r w:rsidRPr="00F5640D">
        <w:rPr>
          <w:rFonts w:eastAsia="Calibri" w:cs="Tahoma"/>
          <w:bCs/>
        </w:rPr>
        <w:t>DE DOS MIL VEINTIC</w:t>
      </w:r>
      <w:r w:rsidR="00375587">
        <w:rPr>
          <w:rFonts w:eastAsia="Calibri" w:cs="Tahoma"/>
          <w:bCs/>
        </w:rPr>
        <w:t>INCO</w:t>
      </w:r>
      <w:r w:rsidRPr="00F5640D">
        <w:rPr>
          <w:rFonts w:eastAsia="Calibri" w:cs="Tahoma"/>
          <w:bCs/>
        </w:rPr>
        <w:t>, ANTE EL SECRETARIO TÉCNICO DEL PLENO, ALEXIS TAPIA RAMÍREZ.</w:t>
      </w:r>
    </w:p>
    <w:p w14:paraId="0C467806" w14:textId="77777777" w:rsidR="00464B3F" w:rsidRPr="000B037E" w:rsidRDefault="00464B3F" w:rsidP="00780B70">
      <w:pPr>
        <w:spacing w:after="0" w:line="360" w:lineRule="auto"/>
        <w:rPr>
          <w:rFonts w:eastAsia="Calibri" w:cs="Times New Roman"/>
          <w:bCs/>
          <w:iCs/>
          <w:color w:val="000000"/>
          <w:lang w:val="es-ES"/>
        </w:rPr>
      </w:pPr>
    </w:p>
    <w:p w14:paraId="7F6EC1DB" w14:textId="77777777" w:rsidR="00780B70" w:rsidRDefault="00780B70" w:rsidP="00780B70">
      <w:pPr>
        <w:autoSpaceDE w:val="0"/>
        <w:autoSpaceDN w:val="0"/>
        <w:adjustRightInd w:val="0"/>
        <w:spacing w:after="0" w:line="360" w:lineRule="auto"/>
        <w:contextualSpacing/>
        <w:rPr>
          <w:rFonts w:eastAsia="Times New Roman" w:cs="Times New Roman"/>
          <w:color w:val="auto"/>
          <w:lang w:eastAsia="es-ES"/>
        </w:rPr>
      </w:pPr>
    </w:p>
    <w:p w14:paraId="28344AE8" w14:textId="77777777" w:rsidR="00DD35C4" w:rsidRDefault="00DD35C4" w:rsidP="003F0611">
      <w:pPr>
        <w:autoSpaceDE w:val="0"/>
        <w:autoSpaceDN w:val="0"/>
        <w:adjustRightInd w:val="0"/>
        <w:spacing w:after="0" w:line="360" w:lineRule="auto"/>
        <w:contextualSpacing/>
        <w:rPr>
          <w:rFonts w:eastAsia="Times New Roman" w:cs="Times New Roman"/>
          <w:color w:val="auto"/>
          <w:lang w:eastAsia="es-ES"/>
        </w:rPr>
      </w:pPr>
    </w:p>
    <w:p w14:paraId="309ED914" w14:textId="77777777" w:rsidR="003F0611" w:rsidRPr="000B037E" w:rsidRDefault="003F0611" w:rsidP="00792129">
      <w:pPr>
        <w:widowControl w:val="0"/>
        <w:autoSpaceDE w:val="0"/>
        <w:autoSpaceDN w:val="0"/>
        <w:adjustRightInd w:val="0"/>
        <w:spacing w:after="0" w:line="360" w:lineRule="auto"/>
        <w:contextualSpacing/>
        <w:rPr>
          <w:rFonts w:eastAsia="Times New Roman" w:cs="Times New Roman"/>
          <w:color w:val="auto"/>
          <w:lang w:eastAsia="es-ES"/>
        </w:rPr>
      </w:pPr>
    </w:p>
    <w:p w14:paraId="1CA8784B" w14:textId="77777777" w:rsidR="00A44C6F" w:rsidRDefault="00A44C6F" w:rsidP="003111A9">
      <w:pPr>
        <w:autoSpaceDE w:val="0"/>
        <w:autoSpaceDN w:val="0"/>
        <w:adjustRightInd w:val="0"/>
        <w:spacing w:after="0" w:line="360" w:lineRule="auto"/>
      </w:pPr>
    </w:p>
    <w:p w14:paraId="02CC1601" w14:textId="77777777" w:rsidR="00A44C6F" w:rsidRDefault="00A44C6F" w:rsidP="003111A9">
      <w:pPr>
        <w:autoSpaceDE w:val="0"/>
        <w:autoSpaceDN w:val="0"/>
        <w:adjustRightInd w:val="0"/>
        <w:spacing w:after="0" w:line="360" w:lineRule="auto"/>
      </w:pPr>
    </w:p>
    <w:p w14:paraId="1D361F8D" w14:textId="77777777" w:rsidR="00A44C6F" w:rsidRDefault="00A44C6F" w:rsidP="003111A9">
      <w:pPr>
        <w:autoSpaceDE w:val="0"/>
        <w:autoSpaceDN w:val="0"/>
        <w:adjustRightInd w:val="0"/>
        <w:spacing w:after="0" w:line="360" w:lineRule="auto"/>
      </w:pPr>
    </w:p>
    <w:p w14:paraId="06080921" w14:textId="77777777" w:rsidR="00A44C6F" w:rsidRDefault="00A44C6F" w:rsidP="003111A9">
      <w:pPr>
        <w:autoSpaceDE w:val="0"/>
        <w:autoSpaceDN w:val="0"/>
        <w:adjustRightInd w:val="0"/>
        <w:spacing w:after="0" w:line="360" w:lineRule="auto"/>
      </w:pPr>
    </w:p>
    <w:p w14:paraId="6EFFBFA9" w14:textId="77777777" w:rsidR="00A44C6F" w:rsidRDefault="00A44C6F" w:rsidP="003111A9">
      <w:pPr>
        <w:autoSpaceDE w:val="0"/>
        <w:autoSpaceDN w:val="0"/>
        <w:adjustRightInd w:val="0"/>
        <w:spacing w:after="0" w:line="360" w:lineRule="auto"/>
      </w:pPr>
    </w:p>
    <w:p w14:paraId="1F9C640E" w14:textId="77777777" w:rsidR="00A44C6F" w:rsidRDefault="00A44C6F" w:rsidP="003111A9">
      <w:pPr>
        <w:autoSpaceDE w:val="0"/>
        <w:autoSpaceDN w:val="0"/>
        <w:adjustRightInd w:val="0"/>
        <w:spacing w:after="0" w:line="360" w:lineRule="auto"/>
      </w:pPr>
    </w:p>
    <w:p w14:paraId="09C173F0" w14:textId="77777777" w:rsidR="00A44C6F" w:rsidRDefault="00A44C6F" w:rsidP="003111A9">
      <w:pPr>
        <w:autoSpaceDE w:val="0"/>
        <w:autoSpaceDN w:val="0"/>
        <w:adjustRightInd w:val="0"/>
        <w:spacing w:after="0" w:line="360" w:lineRule="auto"/>
      </w:pPr>
    </w:p>
    <w:p w14:paraId="7F3E9CE1" w14:textId="77777777" w:rsidR="00A44C6F" w:rsidRDefault="00A44C6F" w:rsidP="003111A9">
      <w:pPr>
        <w:autoSpaceDE w:val="0"/>
        <w:autoSpaceDN w:val="0"/>
        <w:adjustRightInd w:val="0"/>
        <w:spacing w:after="0" w:line="360" w:lineRule="auto"/>
      </w:pPr>
    </w:p>
    <w:p w14:paraId="7045FF42" w14:textId="77777777" w:rsidR="00A44C6F" w:rsidRDefault="00A44C6F" w:rsidP="003111A9">
      <w:pPr>
        <w:autoSpaceDE w:val="0"/>
        <w:autoSpaceDN w:val="0"/>
        <w:adjustRightInd w:val="0"/>
        <w:spacing w:after="0" w:line="360" w:lineRule="auto"/>
      </w:pPr>
    </w:p>
    <w:p w14:paraId="18A43590" w14:textId="77777777" w:rsidR="003111A9" w:rsidRPr="00BD0067" w:rsidRDefault="003111A9" w:rsidP="00D16E46">
      <w:pPr>
        <w:spacing w:after="0" w:line="360" w:lineRule="auto"/>
        <w:rPr>
          <w:rFonts w:eastAsia="Times New Roman" w:cs="Tahoma"/>
          <w:bCs/>
          <w:color w:val="auto"/>
          <w:lang w:eastAsia="es-ES"/>
        </w:rPr>
      </w:pPr>
    </w:p>
    <w:p w14:paraId="220B445F" w14:textId="77777777" w:rsidR="009D74BC" w:rsidRDefault="009D74BC" w:rsidP="00246785">
      <w:pPr>
        <w:spacing w:after="0" w:line="360" w:lineRule="auto"/>
        <w:rPr>
          <w:b/>
        </w:rPr>
      </w:pPr>
    </w:p>
    <w:p w14:paraId="096E1AE8"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D16E46">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D16E46">
      <w:pPr>
        <w:spacing w:after="0" w:line="360" w:lineRule="auto"/>
        <w:rPr>
          <w:rFonts w:cs="Tahoma"/>
        </w:rPr>
      </w:pPr>
    </w:p>
    <w:p w14:paraId="14676EB8" w14:textId="77777777" w:rsidR="00C56B8B" w:rsidRPr="00C56B8B" w:rsidRDefault="00C56B8B" w:rsidP="00D16E46">
      <w:pPr>
        <w:spacing w:after="0" w:line="360" w:lineRule="auto"/>
        <w:ind w:right="-93"/>
        <w:rPr>
          <w:color w:val="000000"/>
          <w:lang w:val="es-ES"/>
        </w:rPr>
      </w:pPr>
    </w:p>
    <w:p w14:paraId="4AAC94A0" w14:textId="77777777" w:rsidR="000D3754" w:rsidRDefault="000D3754" w:rsidP="00D16E46">
      <w:pPr>
        <w:spacing w:after="0" w:line="360" w:lineRule="auto"/>
        <w:rPr>
          <w:rFonts w:cs="Tahoma"/>
        </w:rPr>
      </w:pPr>
    </w:p>
    <w:p w14:paraId="1950A4FE" w14:textId="145680F6" w:rsidR="00C50842" w:rsidRDefault="00C50842" w:rsidP="00D16E46">
      <w:pPr>
        <w:spacing w:after="0" w:line="360" w:lineRule="auto"/>
      </w:pPr>
    </w:p>
    <w:sectPr w:rsidR="00C50842" w:rsidSect="009B3229">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436B" w14:textId="77777777" w:rsidR="005577A2" w:rsidRDefault="005577A2" w:rsidP="00EC77D9">
      <w:pPr>
        <w:spacing w:after="0" w:line="240" w:lineRule="auto"/>
      </w:pPr>
      <w:r>
        <w:separator/>
      </w:r>
    </w:p>
  </w:endnote>
  <w:endnote w:type="continuationSeparator" w:id="0">
    <w:p w14:paraId="473577D7" w14:textId="77777777" w:rsidR="005577A2" w:rsidRDefault="005577A2"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7C6D">
              <w:rPr>
                <w:b/>
                <w:bCs/>
                <w:noProof/>
              </w:rPr>
              <w:t>24</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7C6D">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7C6D">
              <w:rPr>
                <w:b/>
                <w:bCs/>
                <w:noProof/>
              </w:rPr>
              <w:t>24</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7C6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7C6D">
              <w:rPr>
                <w:b/>
                <w:bCs/>
                <w:noProof/>
              </w:rPr>
              <w:t>24</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5CEBE" w14:textId="77777777" w:rsidR="005577A2" w:rsidRDefault="005577A2" w:rsidP="00EC77D9">
      <w:pPr>
        <w:spacing w:after="0" w:line="240" w:lineRule="auto"/>
      </w:pPr>
      <w:r>
        <w:separator/>
      </w:r>
    </w:p>
  </w:footnote>
  <w:footnote w:type="continuationSeparator" w:id="0">
    <w:p w14:paraId="5CFB971B" w14:textId="77777777" w:rsidR="005577A2" w:rsidRDefault="005577A2"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5577A2">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BA3E" w14:textId="75E6A402" w:rsidR="00CB4E2C" w:rsidRDefault="005577A2">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7229"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828"/>
    </w:tblGrid>
    <w:tr w:rsidR="009B3229" w:rsidRPr="00E152D8" w14:paraId="62A5EE36" w14:textId="77777777" w:rsidTr="003D261A">
      <w:trPr>
        <w:trHeight w:val="138"/>
      </w:trPr>
      <w:tc>
        <w:tcPr>
          <w:tcW w:w="2401" w:type="dxa"/>
          <w:vAlign w:val="center"/>
        </w:tcPr>
        <w:p w14:paraId="4BDC24B8" w14:textId="77777777" w:rsidR="00D16E46" w:rsidRDefault="00D16E46" w:rsidP="00756312">
          <w:pPr>
            <w:tabs>
              <w:tab w:val="right" w:pos="8838"/>
            </w:tabs>
            <w:ind w:right="-105"/>
            <w:jc w:val="left"/>
            <w:rPr>
              <w:rFonts w:eastAsia="Calibri" w:cs="Tahoma"/>
              <w:b/>
              <w:lang w:val="es-MX"/>
            </w:rPr>
          </w:pPr>
        </w:p>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828" w:type="dxa"/>
        </w:tcPr>
        <w:p w14:paraId="6BEB8400" w14:textId="77777777" w:rsidR="00D16E46" w:rsidRDefault="00D16E46" w:rsidP="00B93061">
          <w:pPr>
            <w:tabs>
              <w:tab w:val="right" w:pos="8838"/>
            </w:tabs>
            <w:ind w:right="-32"/>
            <w:rPr>
              <w:rFonts w:eastAsia="Calibri" w:cs="Tahoma"/>
              <w:lang w:val="es-MX"/>
            </w:rPr>
          </w:pPr>
        </w:p>
        <w:p w14:paraId="1A41A00E" w14:textId="7AF9E054" w:rsidR="008E0E17" w:rsidRPr="00051642" w:rsidRDefault="00C67EF9" w:rsidP="00B93061">
          <w:pPr>
            <w:tabs>
              <w:tab w:val="right" w:pos="8838"/>
            </w:tabs>
            <w:ind w:right="-32"/>
            <w:rPr>
              <w:rFonts w:eastAsia="Calibri" w:cs="Tahoma"/>
            </w:rPr>
          </w:pPr>
          <w:r>
            <w:rPr>
              <w:rFonts w:eastAsia="Calibri" w:cs="Tahoma"/>
              <w:lang w:val="es-MX"/>
            </w:rPr>
            <w:t>0</w:t>
          </w:r>
          <w:r w:rsidR="003D261A">
            <w:rPr>
              <w:rFonts w:eastAsia="Calibri" w:cs="Tahoma"/>
              <w:lang w:val="es-MX"/>
            </w:rPr>
            <w:t>7506</w:t>
          </w:r>
          <w:r>
            <w:rPr>
              <w:rFonts w:eastAsia="Calibri" w:cs="Tahoma"/>
              <w:lang w:val="es-MX"/>
            </w:rPr>
            <w:t>/INFOEM/IP/RR/2024</w:t>
          </w:r>
        </w:p>
      </w:tc>
    </w:tr>
    <w:tr w:rsidR="009B3229" w:rsidRPr="00E152D8" w14:paraId="25EB3B4F" w14:textId="77777777" w:rsidTr="003D261A">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828" w:type="dxa"/>
        </w:tcPr>
        <w:p w14:paraId="16B12BD5" w14:textId="05817864" w:rsidR="009E6F8A" w:rsidRPr="00051642" w:rsidRDefault="003D261A" w:rsidP="003D261A">
          <w:pPr>
            <w:tabs>
              <w:tab w:val="left" w:pos="3730"/>
              <w:tab w:val="right" w:pos="8838"/>
            </w:tabs>
            <w:ind w:right="597"/>
            <w:rPr>
              <w:rFonts w:eastAsia="Calibri" w:cs="Tahoma"/>
              <w:lang w:val="es-MX"/>
            </w:rPr>
          </w:pPr>
          <w:r>
            <w:t>Ayuntamiento de Atizapán de Zaragoza</w:t>
          </w:r>
        </w:p>
      </w:tc>
    </w:tr>
    <w:tr w:rsidR="009B3229" w:rsidRPr="00E152D8" w14:paraId="2B76E1FC" w14:textId="77777777" w:rsidTr="003D261A">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828" w:type="dxa"/>
        </w:tcPr>
        <w:p w14:paraId="103DBC8B" w14:textId="2FCF654F" w:rsidR="00686EEB" w:rsidRPr="006B1EF4" w:rsidRDefault="009E6F8A" w:rsidP="006B1EF4">
          <w:pPr>
            <w:tabs>
              <w:tab w:val="right" w:pos="8838"/>
            </w:tabs>
            <w:ind w:left="-28"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29"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425"/>
    </w:tblGrid>
    <w:tr w:rsidR="009B3229" w:rsidRPr="00E152D8" w14:paraId="03E85E0E" w14:textId="77777777" w:rsidTr="003D261A">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4819" w:type="dxa"/>
          <w:gridSpan w:val="2"/>
        </w:tcPr>
        <w:p w14:paraId="1E6AD7E0" w14:textId="36877614" w:rsidR="008E0E17" w:rsidRPr="00051642" w:rsidRDefault="003459B3" w:rsidP="009B3229">
          <w:pPr>
            <w:tabs>
              <w:tab w:val="right" w:pos="8838"/>
            </w:tabs>
            <w:ind w:right="-32"/>
            <w:rPr>
              <w:rFonts w:eastAsia="Calibri" w:cs="Tahoma"/>
            </w:rPr>
          </w:pPr>
          <w:r>
            <w:rPr>
              <w:rFonts w:eastAsia="Calibri" w:cs="Tahoma"/>
              <w:lang w:val="es-MX"/>
            </w:rPr>
            <w:t>0</w:t>
          </w:r>
          <w:r w:rsidR="003D261A">
            <w:rPr>
              <w:rFonts w:eastAsia="Calibri" w:cs="Tahoma"/>
              <w:lang w:val="es-MX"/>
            </w:rPr>
            <w:t>7506</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3D261A">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819" w:type="dxa"/>
          <w:gridSpan w:val="2"/>
        </w:tcPr>
        <w:p w14:paraId="6517D3A9" w14:textId="03276668" w:rsidR="008E0E17" w:rsidRPr="00E152D8" w:rsidRDefault="008E0E17" w:rsidP="009B3229">
          <w:pPr>
            <w:tabs>
              <w:tab w:val="right" w:pos="8838"/>
            </w:tabs>
            <w:ind w:right="-48"/>
            <w:rPr>
              <w:rFonts w:eastAsia="Calibri" w:cs="Tahoma"/>
              <w:lang w:val="es-MX"/>
            </w:rPr>
          </w:pPr>
        </w:p>
      </w:tc>
    </w:tr>
    <w:tr w:rsidR="009B3229" w:rsidRPr="00E152D8" w14:paraId="55B580D4" w14:textId="77777777" w:rsidTr="003D261A">
      <w:trPr>
        <w:gridAfter w:val="1"/>
        <w:wAfter w:w="425"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033B9A7D" w:rsidR="008E0E17" w:rsidRPr="00C67EF9" w:rsidRDefault="003D261A" w:rsidP="00587D77">
          <w:pPr>
            <w:ind w:right="178"/>
          </w:pPr>
          <w:r>
            <w:t>Ayuntamiento de Atizapán de Zaragoza</w:t>
          </w:r>
          <w:r w:rsidR="006B71D7">
            <w:t xml:space="preserve"> </w:t>
          </w:r>
        </w:p>
      </w:tc>
    </w:tr>
    <w:tr w:rsidR="009B3229" w:rsidRPr="00E152D8" w14:paraId="3EC166B6" w14:textId="77777777" w:rsidTr="003D261A">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4819"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5577A2"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8.95pt;margin-top:-117.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D30FDD"/>
    <w:multiLevelType w:val="hybridMultilevel"/>
    <w:tmpl w:val="98AA4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077E"/>
    <w:rsid w:val="00002B99"/>
    <w:rsid w:val="00002FEC"/>
    <w:rsid w:val="000069C8"/>
    <w:rsid w:val="00006EA2"/>
    <w:rsid w:val="0001164A"/>
    <w:rsid w:val="00011D20"/>
    <w:rsid w:val="0001218F"/>
    <w:rsid w:val="00012400"/>
    <w:rsid w:val="00013F59"/>
    <w:rsid w:val="00014201"/>
    <w:rsid w:val="000144E2"/>
    <w:rsid w:val="00016654"/>
    <w:rsid w:val="000177C9"/>
    <w:rsid w:val="0002032C"/>
    <w:rsid w:val="00020AB8"/>
    <w:rsid w:val="00024850"/>
    <w:rsid w:val="00025B2A"/>
    <w:rsid w:val="00026163"/>
    <w:rsid w:val="00030FFF"/>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ED6"/>
    <w:rsid w:val="00077B14"/>
    <w:rsid w:val="00081C90"/>
    <w:rsid w:val="000823E5"/>
    <w:rsid w:val="000834BE"/>
    <w:rsid w:val="00083DAC"/>
    <w:rsid w:val="00084522"/>
    <w:rsid w:val="00084933"/>
    <w:rsid w:val="0008575F"/>
    <w:rsid w:val="00092121"/>
    <w:rsid w:val="000927A3"/>
    <w:rsid w:val="0009338B"/>
    <w:rsid w:val="00093585"/>
    <w:rsid w:val="00094453"/>
    <w:rsid w:val="000950A5"/>
    <w:rsid w:val="000964A3"/>
    <w:rsid w:val="00096C42"/>
    <w:rsid w:val="000A0336"/>
    <w:rsid w:val="000A0911"/>
    <w:rsid w:val="000A15B4"/>
    <w:rsid w:val="000A3A28"/>
    <w:rsid w:val="000A476C"/>
    <w:rsid w:val="000A54AC"/>
    <w:rsid w:val="000A5651"/>
    <w:rsid w:val="000B5550"/>
    <w:rsid w:val="000B6867"/>
    <w:rsid w:val="000C006D"/>
    <w:rsid w:val="000C00CC"/>
    <w:rsid w:val="000C071B"/>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2142"/>
    <w:rsid w:val="000F3E39"/>
    <w:rsid w:val="000F4019"/>
    <w:rsid w:val="000F4364"/>
    <w:rsid w:val="000F5705"/>
    <w:rsid w:val="000F62E3"/>
    <w:rsid w:val="000F6396"/>
    <w:rsid w:val="000F649F"/>
    <w:rsid w:val="000F6C3B"/>
    <w:rsid w:val="000F7477"/>
    <w:rsid w:val="000F7709"/>
    <w:rsid w:val="00100424"/>
    <w:rsid w:val="00104B20"/>
    <w:rsid w:val="00107737"/>
    <w:rsid w:val="00110C27"/>
    <w:rsid w:val="0011206C"/>
    <w:rsid w:val="001132A0"/>
    <w:rsid w:val="001159E2"/>
    <w:rsid w:val="00116AD6"/>
    <w:rsid w:val="00121A03"/>
    <w:rsid w:val="00122140"/>
    <w:rsid w:val="0013258E"/>
    <w:rsid w:val="001327F2"/>
    <w:rsid w:val="00135EF9"/>
    <w:rsid w:val="00136563"/>
    <w:rsid w:val="00137CDF"/>
    <w:rsid w:val="001446B7"/>
    <w:rsid w:val="001448D9"/>
    <w:rsid w:val="001459FA"/>
    <w:rsid w:val="001570AC"/>
    <w:rsid w:val="001613C8"/>
    <w:rsid w:val="001645ED"/>
    <w:rsid w:val="00165240"/>
    <w:rsid w:val="00165CC4"/>
    <w:rsid w:val="001700C7"/>
    <w:rsid w:val="00172038"/>
    <w:rsid w:val="0017380B"/>
    <w:rsid w:val="00173914"/>
    <w:rsid w:val="001756F2"/>
    <w:rsid w:val="00175A9E"/>
    <w:rsid w:val="00180A6A"/>
    <w:rsid w:val="00182C11"/>
    <w:rsid w:val="00183338"/>
    <w:rsid w:val="00183B12"/>
    <w:rsid w:val="001861C3"/>
    <w:rsid w:val="001879FA"/>
    <w:rsid w:val="00187F73"/>
    <w:rsid w:val="0019157A"/>
    <w:rsid w:val="00191FDE"/>
    <w:rsid w:val="001928BD"/>
    <w:rsid w:val="001952CF"/>
    <w:rsid w:val="00196794"/>
    <w:rsid w:val="00196CF5"/>
    <w:rsid w:val="00197E2A"/>
    <w:rsid w:val="001A15AA"/>
    <w:rsid w:val="001A6395"/>
    <w:rsid w:val="001A7755"/>
    <w:rsid w:val="001B0790"/>
    <w:rsid w:val="001B6A39"/>
    <w:rsid w:val="001C21EE"/>
    <w:rsid w:val="001C2619"/>
    <w:rsid w:val="001C709D"/>
    <w:rsid w:val="001D0453"/>
    <w:rsid w:val="001D0BC1"/>
    <w:rsid w:val="001D1FB3"/>
    <w:rsid w:val="001D3031"/>
    <w:rsid w:val="001D5D42"/>
    <w:rsid w:val="001D7434"/>
    <w:rsid w:val="001E01FD"/>
    <w:rsid w:val="001E0CFE"/>
    <w:rsid w:val="001E0DA3"/>
    <w:rsid w:val="001E478B"/>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6A85"/>
    <w:rsid w:val="00220AF5"/>
    <w:rsid w:val="00220B1D"/>
    <w:rsid w:val="002245BC"/>
    <w:rsid w:val="00232DCC"/>
    <w:rsid w:val="00236931"/>
    <w:rsid w:val="0024218A"/>
    <w:rsid w:val="00242400"/>
    <w:rsid w:val="0024566F"/>
    <w:rsid w:val="00246785"/>
    <w:rsid w:val="00254430"/>
    <w:rsid w:val="0025508B"/>
    <w:rsid w:val="002552D9"/>
    <w:rsid w:val="00255743"/>
    <w:rsid w:val="00255DE0"/>
    <w:rsid w:val="00264585"/>
    <w:rsid w:val="00265193"/>
    <w:rsid w:val="00265B53"/>
    <w:rsid w:val="00266260"/>
    <w:rsid w:val="00270575"/>
    <w:rsid w:val="002711D3"/>
    <w:rsid w:val="00271C85"/>
    <w:rsid w:val="00272819"/>
    <w:rsid w:val="002762F3"/>
    <w:rsid w:val="00277C3B"/>
    <w:rsid w:val="00280103"/>
    <w:rsid w:val="00281566"/>
    <w:rsid w:val="0028160B"/>
    <w:rsid w:val="00281897"/>
    <w:rsid w:val="0028211E"/>
    <w:rsid w:val="00282253"/>
    <w:rsid w:val="0029016A"/>
    <w:rsid w:val="002912C0"/>
    <w:rsid w:val="00291A70"/>
    <w:rsid w:val="00291F68"/>
    <w:rsid w:val="00292591"/>
    <w:rsid w:val="002945EF"/>
    <w:rsid w:val="0029541E"/>
    <w:rsid w:val="0029791B"/>
    <w:rsid w:val="002A0750"/>
    <w:rsid w:val="002A1009"/>
    <w:rsid w:val="002A5660"/>
    <w:rsid w:val="002A5EEC"/>
    <w:rsid w:val="002A7380"/>
    <w:rsid w:val="002B1265"/>
    <w:rsid w:val="002B2DFE"/>
    <w:rsid w:val="002B67F9"/>
    <w:rsid w:val="002B7065"/>
    <w:rsid w:val="002B7C20"/>
    <w:rsid w:val="002C20BA"/>
    <w:rsid w:val="002C37E5"/>
    <w:rsid w:val="002C3C1A"/>
    <w:rsid w:val="002C56CE"/>
    <w:rsid w:val="002D2283"/>
    <w:rsid w:val="002D2956"/>
    <w:rsid w:val="002D4674"/>
    <w:rsid w:val="002E1101"/>
    <w:rsid w:val="002E19CF"/>
    <w:rsid w:val="002E44C3"/>
    <w:rsid w:val="002E4B22"/>
    <w:rsid w:val="002E59B2"/>
    <w:rsid w:val="002E6038"/>
    <w:rsid w:val="002F3DE4"/>
    <w:rsid w:val="0030126D"/>
    <w:rsid w:val="003044BA"/>
    <w:rsid w:val="00304AD6"/>
    <w:rsid w:val="00306E6A"/>
    <w:rsid w:val="003111A9"/>
    <w:rsid w:val="00311C91"/>
    <w:rsid w:val="00313A34"/>
    <w:rsid w:val="0031460E"/>
    <w:rsid w:val="00315248"/>
    <w:rsid w:val="00320553"/>
    <w:rsid w:val="0032206B"/>
    <w:rsid w:val="003236ED"/>
    <w:rsid w:val="00324215"/>
    <w:rsid w:val="00324F7C"/>
    <w:rsid w:val="00327B78"/>
    <w:rsid w:val="003318DB"/>
    <w:rsid w:val="00335A77"/>
    <w:rsid w:val="00336472"/>
    <w:rsid w:val="003411EE"/>
    <w:rsid w:val="00341434"/>
    <w:rsid w:val="00341982"/>
    <w:rsid w:val="00343243"/>
    <w:rsid w:val="0034595E"/>
    <w:rsid w:val="003459B3"/>
    <w:rsid w:val="00351494"/>
    <w:rsid w:val="00351F38"/>
    <w:rsid w:val="003528D4"/>
    <w:rsid w:val="00353C72"/>
    <w:rsid w:val="00355FC7"/>
    <w:rsid w:val="00356A74"/>
    <w:rsid w:val="00357393"/>
    <w:rsid w:val="003573E6"/>
    <w:rsid w:val="003576B5"/>
    <w:rsid w:val="00361080"/>
    <w:rsid w:val="00361155"/>
    <w:rsid w:val="00361889"/>
    <w:rsid w:val="00361D01"/>
    <w:rsid w:val="0036311B"/>
    <w:rsid w:val="003644DC"/>
    <w:rsid w:val="00364B33"/>
    <w:rsid w:val="0036658B"/>
    <w:rsid w:val="00367875"/>
    <w:rsid w:val="00367876"/>
    <w:rsid w:val="00372CF6"/>
    <w:rsid w:val="00373E54"/>
    <w:rsid w:val="00375587"/>
    <w:rsid w:val="00375AEB"/>
    <w:rsid w:val="00377F05"/>
    <w:rsid w:val="00381944"/>
    <w:rsid w:val="00382169"/>
    <w:rsid w:val="00382C6A"/>
    <w:rsid w:val="00383B50"/>
    <w:rsid w:val="00383F4C"/>
    <w:rsid w:val="003857BE"/>
    <w:rsid w:val="00392B31"/>
    <w:rsid w:val="0039476D"/>
    <w:rsid w:val="00394EBC"/>
    <w:rsid w:val="003953CB"/>
    <w:rsid w:val="0039631B"/>
    <w:rsid w:val="00397B16"/>
    <w:rsid w:val="003A1D06"/>
    <w:rsid w:val="003A280A"/>
    <w:rsid w:val="003A2DD8"/>
    <w:rsid w:val="003A5FAE"/>
    <w:rsid w:val="003A71BC"/>
    <w:rsid w:val="003B121B"/>
    <w:rsid w:val="003B1CBE"/>
    <w:rsid w:val="003B444F"/>
    <w:rsid w:val="003B66D4"/>
    <w:rsid w:val="003B7CF1"/>
    <w:rsid w:val="003B7EAA"/>
    <w:rsid w:val="003C2F7C"/>
    <w:rsid w:val="003C39F9"/>
    <w:rsid w:val="003C62AD"/>
    <w:rsid w:val="003C7592"/>
    <w:rsid w:val="003D0090"/>
    <w:rsid w:val="003D01F0"/>
    <w:rsid w:val="003D0737"/>
    <w:rsid w:val="003D1078"/>
    <w:rsid w:val="003D130A"/>
    <w:rsid w:val="003D150E"/>
    <w:rsid w:val="003D261A"/>
    <w:rsid w:val="003D3AD3"/>
    <w:rsid w:val="003D4253"/>
    <w:rsid w:val="003D4DFE"/>
    <w:rsid w:val="003D7C2C"/>
    <w:rsid w:val="003E3B2A"/>
    <w:rsid w:val="003E70D3"/>
    <w:rsid w:val="003F0611"/>
    <w:rsid w:val="003F7C6D"/>
    <w:rsid w:val="004003DF"/>
    <w:rsid w:val="00401D21"/>
    <w:rsid w:val="00403566"/>
    <w:rsid w:val="00405044"/>
    <w:rsid w:val="00405AEA"/>
    <w:rsid w:val="004061A3"/>
    <w:rsid w:val="004063F9"/>
    <w:rsid w:val="004100AC"/>
    <w:rsid w:val="004178BF"/>
    <w:rsid w:val="004218A2"/>
    <w:rsid w:val="0042301B"/>
    <w:rsid w:val="00427609"/>
    <w:rsid w:val="00430A05"/>
    <w:rsid w:val="00430D3E"/>
    <w:rsid w:val="00430E8A"/>
    <w:rsid w:val="0043100D"/>
    <w:rsid w:val="00431452"/>
    <w:rsid w:val="00431D14"/>
    <w:rsid w:val="00436AE5"/>
    <w:rsid w:val="00437156"/>
    <w:rsid w:val="00437331"/>
    <w:rsid w:val="004378D0"/>
    <w:rsid w:val="00443071"/>
    <w:rsid w:val="00443F0D"/>
    <w:rsid w:val="00444713"/>
    <w:rsid w:val="0044639B"/>
    <w:rsid w:val="004508EF"/>
    <w:rsid w:val="00451C54"/>
    <w:rsid w:val="0045297C"/>
    <w:rsid w:val="00454CCA"/>
    <w:rsid w:val="00455FD7"/>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4AAF"/>
    <w:rsid w:val="00487553"/>
    <w:rsid w:val="0049048A"/>
    <w:rsid w:val="00490E0C"/>
    <w:rsid w:val="00492661"/>
    <w:rsid w:val="0049294E"/>
    <w:rsid w:val="00494A1F"/>
    <w:rsid w:val="00494ADB"/>
    <w:rsid w:val="004A5EC7"/>
    <w:rsid w:val="004B20E0"/>
    <w:rsid w:val="004B3B6F"/>
    <w:rsid w:val="004B3FE5"/>
    <w:rsid w:val="004B54D0"/>
    <w:rsid w:val="004B7612"/>
    <w:rsid w:val="004B786D"/>
    <w:rsid w:val="004C0F26"/>
    <w:rsid w:val="004C1377"/>
    <w:rsid w:val="004C2175"/>
    <w:rsid w:val="004C4520"/>
    <w:rsid w:val="004C7BF8"/>
    <w:rsid w:val="004D029F"/>
    <w:rsid w:val="004D1B09"/>
    <w:rsid w:val="004D49F9"/>
    <w:rsid w:val="004D7869"/>
    <w:rsid w:val="004E27EA"/>
    <w:rsid w:val="004E2A97"/>
    <w:rsid w:val="004E3876"/>
    <w:rsid w:val="004E44D2"/>
    <w:rsid w:val="004E5AED"/>
    <w:rsid w:val="00500370"/>
    <w:rsid w:val="00502FA9"/>
    <w:rsid w:val="00503573"/>
    <w:rsid w:val="00504378"/>
    <w:rsid w:val="00505972"/>
    <w:rsid w:val="00505B8D"/>
    <w:rsid w:val="0050747C"/>
    <w:rsid w:val="00507B3B"/>
    <w:rsid w:val="00515860"/>
    <w:rsid w:val="00520569"/>
    <w:rsid w:val="00522570"/>
    <w:rsid w:val="00524C92"/>
    <w:rsid w:val="00525F52"/>
    <w:rsid w:val="00526532"/>
    <w:rsid w:val="00533430"/>
    <w:rsid w:val="0053447C"/>
    <w:rsid w:val="0053490D"/>
    <w:rsid w:val="00537318"/>
    <w:rsid w:val="00537422"/>
    <w:rsid w:val="00537966"/>
    <w:rsid w:val="0054037C"/>
    <w:rsid w:val="00541CD3"/>
    <w:rsid w:val="005423DE"/>
    <w:rsid w:val="00543143"/>
    <w:rsid w:val="005439B3"/>
    <w:rsid w:val="0054421E"/>
    <w:rsid w:val="0054509E"/>
    <w:rsid w:val="00551348"/>
    <w:rsid w:val="00554349"/>
    <w:rsid w:val="005545A5"/>
    <w:rsid w:val="0055491F"/>
    <w:rsid w:val="00555330"/>
    <w:rsid w:val="005577A2"/>
    <w:rsid w:val="00560A0D"/>
    <w:rsid w:val="00563865"/>
    <w:rsid w:val="005705A9"/>
    <w:rsid w:val="00571D4E"/>
    <w:rsid w:val="005741C5"/>
    <w:rsid w:val="00576121"/>
    <w:rsid w:val="00576451"/>
    <w:rsid w:val="00582F2A"/>
    <w:rsid w:val="00583737"/>
    <w:rsid w:val="00584B67"/>
    <w:rsid w:val="00585111"/>
    <w:rsid w:val="0058579C"/>
    <w:rsid w:val="005859C8"/>
    <w:rsid w:val="00587778"/>
    <w:rsid w:val="00587D77"/>
    <w:rsid w:val="00593B78"/>
    <w:rsid w:val="00597DBB"/>
    <w:rsid w:val="005A0B5F"/>
    <w:rsid w:val="005A0CE3"/>
    <w:rsid w:val="005A1082"/>
    <w:rsid w:val="005A151C"/>
    <w:rsid w:val="005A27A6"/>
    <w:rsid w:val="005A2DBB"/>
    <w:rsid w:val="005A4E28"/>
    <w:rsid w:val="005B14D2"/>
    <w:rsid w:val="005B2800"/>
    <w:rsid w:val="005B3C2F"/>
    <w:rsid w:val="005B6073"/>
    <w:rsid w:val="005B6354"/>
    <w:rsid w:val="005B709F"/>
    <w:rsid w:val="005B78CE"/>
    <w:rsid w:val="005D1AB8"/>
    <w:rsid w:val="005D3BC9"/>
    <w:rsid w:val="005D6A89"/>
    <w:rsid w:val="005E226B"/>
    <w:rsid w:val="005E249D"/>
    <w:rsid w:val="005E24F8"/>
    <w:rsid w:val="005E310D"/>
    <w:rsid w:val="005E3D5A"/>
    <w:rsid w:val="005E5E47"/>
    <w:rsid w:val="005E6021"/>
    <w:rsid w:val="005E6581"/>
    <w:rsid w:val="005E6CC6"/>
    <w:rsid w:val="005F0827"/>
    <w:rsid w:val="005F4789"/>
    <w:rsid w:val="005F5459"/>
    <w:rsid w:val="005F71FE"/>
    <w:rsid w:val="005F7AB9"/>
    <w:rsid w:val="00601AF0"/>
    <w:rsid w:val="0060301A"/>
    <w:rsid w:val="00605C2A"/>
    <w:rsid w:val="00607497"/>
    <w:rsid w:val="00610BB9"/>
    <w:rsid w:val="00611306"/>
    <w:rsid w:val="00612DBD"/>
    <w:rsid w:val="006141F8"/>
    <w:rsid w:val="0061788A"/>
    <w:rsid w:val="00617C09"/>
    <w:rsid w:val="00617C0F"/>
    <w:rsid w:val="006205F1"/>
    <w:rsid w:val="006229B3"/>
    <w:rsid w:val="006248A3"/>
    <w:rsid w:val="006301F7"/>
    <w:rsid w:val="0063409C"/>
    <w:rsid w:val="00634B59"/>
    <w:rsid w:val="00636809"/>
    <w:rsid w:val="00644EA5"/>
    <w:rsid w:val="006502FE"/>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6EE7"/>
    <w:rsid w:val="00681069"/>
    <w:rsid w:val="00683B95"/>
    <w:rsid w:val="00683E00"/>
    <w:rsid w:val="0068447E"/>
    <w:rsid w:val="00686C69"/>
    <w:rsid w:val="00686EEB"/>
    <w:rsid w:val="00687A5B"/>
    <w:rsid w:val="00691C22"/>
    <w:rsid w:val="00694AAD"/>
    <w:rsid w:val="00695D3F"/>
    <w:rsid w:val="00696E0D"/>
    <w:rsid w:val="006A117F"/>
    <w:rsid w:val="006A19B1"/>
    <w:rsid w:val="006A271A"/>
    <w:rsid w:val="006A4ABF"/>
    <w:rsid w:val="006A52AF"/>
    <w:rsid w:val="006A7D41"/>
    <w:rsid w:val="006B1EF4"/>
    <w:rsid w:val="006B2DBE"/>
    <w:rsid w:val="006B4EBF"/>
    <w:rsid w:val="006B5BD0"/>
    <w:rsid w:val="006B71D7"/>
    <w:rsid w:val="006B7303"/>
    <w:rsid w:val="006C2718"/>
    <w:rsid w:val="006C291D"/>
    <w:rsid w:val="006C35BB"/>
    <w:rsid w:val="006C4C51"/>
    <w:rsid w:val="006C5476"/>
    <w:rsid w:val="006C6ED6"/>
    <w:rsid w:val="006C7C5B"/>
    <w:rsid w:val="006D2D13"/>
    <w:rsid w:val="006D5060"/>
    <w:rsid w:val="006D607E"/>
    <w:rsid w:val="006D72E9"/>
    <w:rsid w:val="006E0D31"/>
    <w:rsid w:val="006E3649"/>
    <w:rsid w:val="006E37B1"/>
    <w:rsid w:val="006E3C98"/>
    <w:rsid w:val="006E4169"/>
    <w:rsid w:val="006E4CE6"/>
    <w:rsid w:val="006E501E"/>
    <w:rsid w:val="006E69FC"/>
    <w:rsid w:val="006F011A"/>
    <w:rsid w:val="006F0B2A"/>
    <w:rsid w:val="006F261C"/>
    <w:rsid w:val="006F2667"/>
    <w:rsid w:val="006F3D78"/>
    <w:rsid w:val="006F6518"/>
    <w:rsid w:val="00700FFB"/>
    <w:rsid w:val="00703C07"/>
    <w:rsid w:val="007054E6"/>
    <w:rsid w:val="00705DBB"/>
    <w:rsid w:val="00714CEF"/>
    <w:rsid w:val="007173BE"/>
    <w:rsid w:val="007202EE"/>
    <w:rsid w:val="007221BA"/>
    <w:rsid w:val="00723255"/>
    <w:rsid w:val="0072796F"/>
    <w:rsid w:val="0073646F"/>
    <w:rsid w:val="00736B7A"/>
    <w:rsid w:val="00737A6B"/>
    <w:rsid w:val="0074310A"/>
    <w:rsid w:val="00743DE4"/>
    <w:rsid w:val="00750514"/>
    <w:rsid w:val="007505E8"/>
    <w:rsid w:val="0075641E"/>
    <w:rsid w:val="00756B42"/>
    <w:rsid w:val="007643D6"/>
    <w:rsid w:val="007654D0"/>
    <w:rsid w:val="0076755B"/>
    <w:rsid w:val="007727DE"/>
    <w:rsid w:val="00773098"/>
    <w:rsid w:val="00773C5B"/>
    <w:rsid w:val="00775A95"/>
    <w:rsid w:val="00775DBC"/>
    <w:rsid w:val="00780243"/>
    <w:rsid w:val="00780B70"/>
    <w:rsid w:val="00780B8A"/>
    <w:rsid w:val="00782DF8"/>
    <w:rsid w:val="00783BEF"/>
    <w:rsid w:val="00784AFE"/>
    <w:rsid w:val="007853AB"/>
    <w:rsid w:val="00786A7B"/>
    <w:rsid w:val="00792129"/>
    <w:rsid w:val="0079292C"/>
    <w:rsid w:val="00792D79"/>
    <w:rsid w:val="00793831"/>
    <w:rsid w:val="00797DBB"/>
    <w:rsid w:val="00797EAD"/>
    <w:rsid w:val="007A0DC6"/>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800152"/>
    <w:rsid w:val="008040E1"/>
    <w:rsid w:val="00804735"/>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674"/>
    <w:rsid w:val="0083409B"/>
    <w:rsid w:val="00837814"/>
    <w:rsid w:val="00837AAF"/>
    <w:rsid w:val="00840587"/>
    <w:rsid w:val="00842C30"/>
    <w:rsid w:val="00843D9E"/>
    <w:rsid w:val="00844441"/>
    <w:rsid w:val="00844D0F"/>
    <w:rsid w:val="00845102"/>
    <w:rsid w:val="008462E0"/>
    <w:rsid w:val="008470B0"/>
    <w:rsid w:val="00847C47"/>
    <w:rsid w:val="00850E31"/>
    <w:rsid w:val="0085133C"/>
    <w:rsid w:val="00851708"/>
    <w:rsid w:val="00852FA9"/>
    <w:rsid w:val="0085415A"/>
    <w:rsid w:val="00855548"/>
    <w:rsid w:val="00855CF6"/>
    <w:rsid w:val="00860287"/>
    <w:rsid w:val="00860957"/>
    <w:rsid w:val="0086489A"/>
    <w:rsid w:val="00871A8D"/>
    <w:rsid w:val="00872485"/>
    <w:rsid w:val="00872602"/>
    <w:rsid w:val="00880895"/>
    <w:rsid w:val="00882BA2"/>
    <w:rsid w:val="008851B3"/>
    <w:rsid w:val="008866A4"/>
    <w:rsid w:val="00886CD4"/>
    <w:rsid w:val="00890243"/>
    <w:rsid w:val="008942CE"/>
    <w:rsid w:val="00894760"/>
    <w:rsid w:val="00894B74"/>
    <w:rsid w:val="00895262"/>
    <w:rsid w:val="00895475"/>
    <w:rsid w:val="008A3936"/>
    <w:rsid w:val="008A558B"/>
    <w:rsid w:val="008A6110"/>
    <w:rsid w:val="008A6E52"/>
    <w:rsid w:val="008B4387"/>
    <w:rsid w:val="008B5E53"/>
    <w:rsid w:val="008B60E3"/>
    <w:rsid w:val="008C1A3E"/>
    <w:rsid w:val="008C576A"/>
    <w:rsid w:val="008C7A9D"/>
    <w:rsid w:val="008D03B8"/>
    <w:rsid w:val="008D5F0C"/>
    <w:rsid w:val="008E0E17"/>
    <w:rsid w:val="008E1582"/>
    <w:rsid w:val="008E1D1D"/>
    <w:rsid w:val="008E4F87"/>
    <w:rsid w:val="008E558B"/>
    <w:rsid w:val="008E5F4B"/>
    <w:rsid w:val="008E6BC7"/>
    <w:rsid w:val="008E79BB"/>
    <w:rsid w:val="008F14AD"/>
    <w:rsid w:val="008F190F"/>
    <w:rsid w:val="008F1933"/>
    <w:rsid w:val="008F2AA8"/>
    <w:rsid w:val="008F3FF1"/>
    <w:rsid w:val="008F5178"/>
    <w:rsid w:val="008F5369"/>
    <w:rsid w:val="00903A8B"/>
    <w:rsid w:val="00904745"/>
    <w:rsid w:val="00905EF3"/>
    <w:rsid w:val="00906C34"/>
    <w:rsid w:val="00910469"/>
    <w:rsid w:val="00911580"/>
    <w:rsid w:val="0091577C"/>
    <w:rsid w:val="00915FA4"/>
    <w:rsid w:val="00916765"/>
    <w:rsid w:val="009226C0"/>
    <w:rsid w:val="00923466"/>
    <w:rsid w:val="009279E6"/>
    <w:rsid w:val="00931EA9"/>
    <w:rsid w:val="0093232E"/>
    <w:rsid w:val="0093261A"/>
    <w:rsid w:val="009337EE"/>
    <w:rsid w:val="009341FE"/>
    <w:rsid w:val="0093576C"/>
    <w:rsid w:val="009359A0"/>
    <w:rsid w:val="00936C3A"/>
    <w:rsid w:val="0093705D"/>
    <w:rsid w:val="00937A13"/>
    <w:rsid w:val="00941D19"/>
    <w:rsid w:val="009428BC"/>
    <w:rsid w:val="00943C49"/>
    <w:rsid w:val="009443DE"/>
    <w:rsid w:val="00945466"/>
    <w:rsid w:val="009475D5"/>
    <w:rsid w:val="00950134"/>
    <w:rsid w:val="00952FEB"/>
    <w:rsid w:val="00953F07"/>
    <w:rsid w:val="009603B7"/>
    <w:rsid w:val="00963B00"/>
    <w:rsid w:val="0096478B"/>
    <w:rsid w:val="00966C3B"/>
    <w:rsid w:val="009711D8"/>
    <w:rsid w:val="0097492D"/>
    <w:rsid w:val="00974B54"/>
    <w:rsid w:val="00975E93"/>
    <w:rsid w:val="00984FF8"/>
    <w:rsid w:val="009851FE"/>
    <w:rsid w:val="00985DE1"/>
    <w:rsid w:val="009876BA"/>
    <w:rsid w:val="00987BC4"/>
    <w:rsid w:val="009918DE"/>
    <w:rsid w:val="009933C5"/>
    <w:rsid w:val="00993524"/>
    <w:rsid w:val="00993AE7"/>
    <w:rsid w:val="00993D57"/>
    <w:rsid w:val="009955C1"/>
    <w:rsid w:val="009A07AE"/>
    <w:rsid w:val="009A184A"/>
    <w:rsid w:val="009A1C49"/>
    <w:rsid w:val="009A3066"/>
    <w:rsid w:val="009A48BE"/>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3479"/>
    <w:rsid w:val="009D39EF"/>
    <w:rsid w:val="009D73B0"/>
    <w:rsid w:val="009D74BC"/>
    <w:rsid w:val="009E0B3B"/>
    <w:rsid w:val="009E1582"/>
    <w:rsid w:val="009E1FAE"/>
    <w:rsid w:val="009E2671"/>
    <w:rsid w:val="009E5ADD"/>
    <w:rsid w:val="009E6F8A"/>
    <w:rsid w:val="009E7021"/>
    <w:rsid w:val="009F0623"/>
    <w:rsid w:val="009F2BE0"/>
    <w:rsid w:val="009F4042"/>
    <w:rsid w:val="009F51BE"/>
    <w:rsid w:val="009F63FB"/>
    <w:rsid w:val="00A01721"/>
    <w:rsid w:val="00A0338D"/>
    <w:rsid w:val="00A0396E"/>
    <w:rsid w:val="00A0453B"/>
    <w:rsid w:val="00A06A49"/>
    <w:rsid w:val="00A06EDC"/>
    <w:rsid w:val="00A10255"/>
    <w:rsid w:val="00A1585B"/>
    <w:rsid w:val="00A17D4E"/>
    <w:rsid w:val="00A2046B"/>
    <w:rsid w:val="00A2050F"/>
    <w:rsid w:val="00A20C59"/>
    <w:rsid w:val="00A21466"/>
    <w:rsid w:val="00A235FA"/>
    <w:rsid w:val="00A23EA9"/>
    <w:rsid w:val="00A24F62"/>
    <w:rsid w:val="00A25403"/>
    <w:rsid w:val="00A306F3"/>
    <w:rsid w:val="00A3154E"/>
    <w:rsid w:val="00A3160A"/>
    <w:rsid w:val="00A329C5"/>
    <w:rsid w:val="00A336F1"/>
    <w:rsid w:val="00A33BF8"/>
    <w:rsid w:val="00A361ED"/>
    <w:rsid w:val="00A36BFC"/>
    <w:rsid w:val="00A37D74"/>
    <w:rsid w:val="00A44741"/>
    <w:rsid w:val="00A44C6F"/>
    <w:rsid w:val="00A47197"/>
    <w:rsid w:val="00A500EE"/>
    <w:rsid w:val="00A502CA"/>
    <w:rsid w:val="00A505EA"/>
    <w:rsid w:val="00A54130"/>
    <w:rsid w:val="00A54574"/>
    <w:rsid w:val="00A54976"/>
    <w:rsid w:val="00A56556"/>
    <w:rsid w:val="00A568F2"/>
    <w:rsid w:val="00A62376"/>
    <w:rsid w:val="00A63778"/>
    <w:rsid w:val="00A63DEB"/>
    <w:rsid w:val="00A64BAC"/>
    <w:rsid w:val="00A66E98"/>
    <w:rsid w:val="00A66FA9"/>
    <w:rsid w:val="00A67272"/>
    <w:rsid w:val="00A7555F"/>
    <w:rsid w:val="00A7744F"/>
    <w:rsid w:val="00A7785B"/>
    <w:rsid w:val="00A813F1"/>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775E"/>
    <w:rsid w:val="00AB0C30"/>
    <w:rsid w:val="00AB26EC"/>
    <w:rsid w:val="00AB2B19"/>
    <w:rsid w:val="00AB3942"/>
    <w:rsid w:val="00AB3BAD"/>
    <w:rsid w:val="00AB5E61"/>
    <w:rsid w:val="00AB6E48"/>
    <w:rsid w:val="00AC1722"/>
    <w:rsid w:val="00AC2B06"/>
    <w:rsid w:val="00AC5E21"/>
    <w:rsid w:val="00AC606E"/>
    <w:rsid w:val="00AC66FF"/>
    <w:rsid w:val="00AD294A"/>
    <w:rsid w:val="00AD3F22"/>
    <w:rsid w:val="00AD4417"/>
    <w:rsid w:val="00AD7BB9"/>
    <w:rsid w:val="00AE0043"/>
    <w:rsid w:val="00AE0541"/>
    <w:rsid w:val="00AE14D4"/>
    <w:rsid w:val="00AE26CA"/>
    <w:rsid w:val="00AE3DD1"/>
    <w:rsid w:val="00AE496C"/>
    <w:rsid w:val="00AE68A4"/>
    <w:rsid w:val="00AF1426"/>
    <w:rsid w:val="00AF2DBE"/>
    <w:rsid w:val="00AF3F74"/>
    <w:rsid w:val="00AF590D"/>
    <w:rsid w:val="00B0253B"/>
    <w:rsid w:val="00B03065"/>
    <w:rsid w:val="00B04C84"/>
    <w:rsid w:val="00B04E07"/>
    <w:rsid w:val="00B0598B"/>
    <w:rsid w:val="00B05D17"/>
    <w:rsid w:val="00B064A4"/>
    <w:rsid w:val="00B11CEA"/>
    <w:rsid w:val="00B12193"/>
    <w:rsid w:val="00B14BAE"/>
    <w:rsid w:val="00B2000B"/>
    <w:rsid w:val="00B209A1"/>
    <w:rsid w:val="00B21155"/>
    <w:rsid w:val="00B2169F"/>
    <w:rsid w:val="00B2451A"/>
    <w:rsid w:val="00B24607"/>
    <w:rsid w:val="00B2547F"/>
    <w:rsid w:val="00B37005"/>
    <w:rsid w:val="00B43386"/>
    <w:rsid w:val="00B435CB"/>
    <w:rsid w:val="00B45F00"/>
    <w:rsid w:val="00B470E8"/>
    <w:rsid w:val="00B5069D"/>
    <w:rsid w:val="00B51F42"/>
    <w:rsid w:val="00B529ED"/>
    <w:rsid w:val="00B53856"/>
    <w:rsid w:val="00B54B99"/>
    <w:rsid w:val="00B572BB"/>
    <w:rsid w:val="00B5790E"/>
    <w:rsid w:val="00B614AA"/>
    <w:rsid w:val="00B616E6"/>
    <w:rsid w:val="00B617E5"/>
    <w:rsid w:val="00B61BF0"/>
    <w:rsid w:val="00B64F86"/>
    <w:rsid w:val="00B65594"/>
    <w:rsid w:val="00B66997"/>
    <w:rsid w:val="00B7100A"/>
    <w:rsid w:val="00B722B3"/>
    <w:rsid w:val="00B75C40"/>
    <w:rsid w:val="00B7663A"/>
    <w:rsid w:val="00B77000"/>
    <w:rsid w:val="00B77668"/>
    <w:rsid w:val="00B817BD"/>
    <w:rsid w:val="00B8289E"/>
    <w:rsid w:val="00B82DD0"/>
    <w:rsid w:val="00B904E8"/>
    <w:rsid w:val="00B912D2"/>
    <w:rsid w:val="00B92607"/>
    <w:rsid w:val="00B936C7"/>
    <w:rsid w:val="00B956E6"/>
    <w:rsid w:val="00B95F59"/>
    <w:rsid w:val="00B96B96"/>
    <w:rsid w:val="00BA18AB"/>
    <w:rsid w:val="00BA3D61"/>
    <w:rsid w:val="00BA5990"/>
    <w:rsid w:val="00BA5C25"/>
    <w:rsid w:val="00BA7602"/>
    <w:rsid w:val="00BB2153"/>
    <w:rsid w:val="00BB3910"/>
    <w:rsid w:val="00BB670F"/>
    <w:rsid w:val="00BB7194"/>
    <w:rsid w:val="00BB7A3E"/>
    <w:rsid w:val="00BC30E5"/>
    <w:rsid w:val="00BC3E00"/>
    <w:rsid w:val="00BC6FF1"/>
    <w:rsid w:val="00BD0067"/>
    <w:rsid w:val="00BD4A28"/>
    <w:rsid w:val="00BD5986"/>
    <w:rsid w:val="00BD7F30"/>
    <w:rsid w:val="00BE0A64"/>
    <w:rsid w:val="00BE0AF1"/>
    <w:rsid w:val="00BE3B2E"/>
    <w:rsid w:val="00BE44F4"/>
    <w:rsid w:val="00BE5C97"/>
    <w:rsid w:val="00BE75BB"/>
    <w:rsid w:val="00BF1227"/>
    <w:rsid w:val="00BF3376"/>
    <w:rsid w:val="00C01EDB"/>
    <w:rsid w:val="00C03D4D"/>
    <w:rsid w:val="00C0402C"/>
    <w:rsid w:val="00C04DDC"/>
    <w:rsid w:val="00C05247"/>
    <w:rsid w:val="00C11710"/>
    <w:rsid w:val="00C11D49"/>
    <w:rsid w:val="00C12448"/>
    <w:rsid w:val="00C13E00"/>
    <w:rsid w:val="00C140F1"/>
    <w:rsid w:val="00C147F9"/>
    <w:rsid w:val="00C1531D"/>
    <w:rsid w:val="00C17EA1"/>
    <w:rsid w:val="00C20BF0"/>
    <w:rsid w:val="00C22F0F"/>
    <w:rsid w:val="00C238BB"/>
    <w:rsid w:val="00C23DC4"/>
    <w:rsid w:val="00C247B6"/>
    <w:rsid w:val="00C27F4A"/>
    <w:rsid w:val="00C31A4B"/>
    <w:rsid w:val="00C36D41"/>
    <w:rsid w:val="00C40943"/>
    <w:rsid w:val="00C478B8"/>
    <w:rsid w:val="00C47955"/>
    <w:rsid w:val="00C47D7B"/>
    <w:rsid w:val="00C50335"/>
    <w:rsid w:val="00C50842"/>
    <w:rsid w:val="00C53C2B"/>
    <w:rsid w:val="00C555B3"/>
    <w:rsid w:val="00C5585E"/>
    <w:rsid w:val="00C5690A"/>
    <w:rsid w:val="00C56B8B"/>
    <w:rsid w:val="00C576F4"/>
    <w:rsid w:val="00C60547"/>
    <w:rsid w:val="00C62714"/>
    <w:rsid w:val="00C67EF9"/>
    <w:rsid w:val="00C70B29"/>
    <w:rsid w:val="00C71C92"/>
    <w:rsid w:val="00C72E9C"/>
    <w:rsid w:val="00C759A7"/>
    <w:rsid w:val="00C77736"/>
    <w:rsid w:val="00C8252F"/>
    <w:rsid w:val="00C84EBF"/>
    <w:rsid w:val="00C867B6"/>
    <w:rsid w:val="00C87D0E"/>
    <w:rsid w:val="00C90653"/>
    <w:rsid w:val="00C91F61"/>
    <w:rsid w:val="00C92269"/>
    <w:rsid w:val="00C954E3"/>
    <w:rsid w:val="00C958AB"/>
    <w:rsid w:val="00C95B28"/>
    <w:rsid w:val="00C97CAB"/>
    <w:rsid w:val="00CA0F19"/>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02A6"/>
    <w:rsid w:val="00CD2BE3"/>
    <w:rsid w:val="00CD69E9"/>
    <w:rsid w:val="00CE0477"/>
    <w:rsid w:val="00CE54F7"/>
    <w:rsid w:val="00CE5773"/>
    <w:rsid w:val="00CE5A1B"/>
    <w:rsid w:val="00CE6D4F"/>
    <w:rsid w:val="00CE6E93"/>
    <w:rsid w:val="00CE7B1D"/>
    <w:rsid w:val="00CF003E"/>
    <w:rsid w:val="00CF1BB1"/>
    <w:rsid w:val="00CF28DD"/>
    <w:rsid w:val="00CF2DFB"/>
    <w:rsid w:val="00CF3906"/>
    <w:rsid w:val="00CF408F"/>
    <w:rsid w:val="00CF5BEA"/>
    <w:rsid w:val="00CF7F92"/>
    <w:rsid w:val="00D0040E"/>
    <w:rsid w:val="00D00B0E"/>
    <w:rsid w:val="00D00B31"/>
    <w:rsid w:val="00D00C3E"/>
    <w:rsid w:val="00D01379"/>
    <w:rsid w:val="00D030A8"/>
    <w:rsid w:val="00D06A1A"/>
    <w:rsid w:val="00D1046F"/>
    <w:rsid w:val="00D132E9"/>
    <w:rsid w:val="00D1670B"/>
    <w:rsid w:val="00D16E46"/>
    <w:rsid w:val="00D17D14"/>
    <w:rsid w:val="00D22332"/>
    <w:rsid w:val="00D223E9"/>
    <w:rsid w:val="00D24FB2"/>
    <w:rsid w:val="00D25560"/>
    <w:rsid w:val="00D26876"/>
    <w:rsid w:val="00D303BA"/>
    <w:rsid w:val="00D30B5F"/>
    <w:rsid w:val="00D30E70"/>
    <w:rsid w:val="00D30F6C"/>
    <w:rsid w:val="00D3330B"/>
    <w:rsid w:val="00D35EF9"/>
    <w:rsid w:val="00D376D0"/>
    <w:rsid w:val="00D41996"/>
    <w:rsid w:val="00D4257C"/>
    <w:rsid w:val="00D47421"/>
    <w:rsid w:val="00D501AB"/>
    <w:rsid w:val="00D502AB"/>
    <w:rsid w:val="00D506A8"/>
    <w:rsid w:val="00D55604"/>
    <w:rsid w:val="00D55E2F"/>
    <w:rsid w:val="00D561A5"/>
    <w:rsid w:val="00D569D4"/>
    <w:rsid w:val="00D56F7F"/>
    <w:rsid w:val="00D573E9"/>
    <w:rsid w:val="00D60896"/>
    <w:rsid w:val="00D61C83"/>
    <w:rsid w:val="00D646C1"/>
    <w:rsid w:val="00D70CD2"/>
    <w:rsid w:val="00D72BAA"/>
    <w:rsid w:val="00D73B8B"/>
    <w:rsid w:val="00D76184"/>
    <w:rsid w:val="00D76E10"/>
    <w:rsid w:val="00D7724F"/>
    <w:rsid w:val="00D81E78"/>
    <w:rsid w:val="00D84796"/>
    <w:rsid w:val="00D86083"/>
    <w:rsid w:val="00D86802"/>
    <w:rsid w:val="00D940FD"/>
    <w:rsid w:val="00D96589"/>
    <w:rsid w:val="00D97102"/>
    <w:rsid w:val="00DA3B31"/>
    <w:rsid w:val="00DA4C87"/>
    <w:rsid w:val="00DA5EB7"/>
    <w:rsid w:val="00DA613F"/>
    <w:rsid w:val="00DA74FF"/>
    <w:rsid w:val="00DB31D6"/>
    <w:rsid w:val="00DB3942"/>
    <w:rsid w:val="00DB563C"/>
    <w:rsid w:val="00DB5C3E"/>
    <w:rsid w:val="00DB5E7C"/>
    <w:rsid w:val="00DC024D"/>
    <w:rsid w:val="00DC332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DF6172"/>
    <w:rsid w:val="00E000AA"/>
    <w:rsid w:val="00E003E9"/>
    <w:rsid w:val="00E03699"/>
    <w:rsid w:val="00E0386E"/>
    <w:rsid w:val="00E03F83"/>
    <w:rsid w:val="00E03FA3"/>
    <w:rsid w:val="00E0422B"/>
    <w:rsid w:val="00E075E2"/>
    <w:rsid w:val="00E0776D"/>
    <w:rsid w:val="00E10653"/>
    <w:rsid w:val="00E14EDC"/>
    <w:rsid w:val="00E15450"/>
    <w:rsid w:val="00E156EB"/>
    <w:rsid w:val="00E16503"/>
    <w:rsid w:val="00E17875"/>
    <w:rsid w:val="00E1793E"/>
    <w:rsid w:val="00E20E13"/>
    <w:rsid w:val="00E21501"/>
    <w:rsid w:val="00E21940"/>
    <w:rsid w:val="00E22B52"/>
    <w:rsid w:val="00E24DEA"/>
    <w:rsid w:val="00E25189"/>
    <w:rsid w:val="00E268C2"/>
    <w:rsid w:val="00E34263"/>
    <w:rsid w:val="00E35735"/>
    <w:rsid w:val="00E36E12"/>
    <w:rsid w:val="00E40057"/>
    <w:rsid w:val="00E406DD"/>
    <w:rsid w:val="00E40738"/>
    <w:rsid w:val="00E41269"/>
    <w:rsid w:val="00E416CC"/>
    <w:rsid w:val="00E4507A"/>
    <w:rsid w:val="00E47381"/>
    <w:rsid w:val="00E5008F"/>
    <w:rsid w:val="00E511FA"/>
    <w:rsid w:val="00E522C0"/>
    <w:rsid w:val="00E529BB"/>
    <w:rsid w:val="00E53809"/>
    <w:rsid w:val="00E561B1"/>
    <w:rsid w:val="00E56A7A"/>
    <w:rsid w:val="00E57A08"/>
    <w:rsid w:val="00E57B99"/>
    <w:rsid w:val="00E61226"/>
    <w:rsid w:val="00E61B48"/>
    <w:rsid w:val="00E6319B"/>
    <w:rsid w:val="00E635B7"/>
    <w:rsid w:val="00E6783D"/>
    <w:rsid w:val="00E70445"/>
    <w:rsid w:val="00E70F0F"/>
    <w:rsid w:val="00E713A4"/>
    <w:rsid w:val="00E7353C"/>
    <w:rsid w:val="00E76F41"/>
    <w:rsid w:val="00E8229D"/>
    <w:rsid w:val="00E82569"/>
    <w:rsid w:val="00E83A4D"/>
    <w:rsid w:val="00E84509"/>
    <w:rsid w:val="00E84FAD"/>
    <w:rsid w:val="00E86BCC"/>
    <w:rsid w:val="00E90E82"/>
    <w:rsid w:val="00E9145C"/>
    <w:rsid w:val="00E91E4D"/>
    <w:rsid w:val="00E93158"/>
    <w:rsid w:val="00E93918"/>
    <w:rsid w:val="00E95DEE"/>
    <w:rsid w:val="00E963C9"/>
    <w:rsid w:val="00E96A04"/>
    <w:rsid w:val="00EA0E69"/>
    <w:rsid w:val="00EA35D9"/>
    <w:rsid w:val="00EA5E31"/>
    <w:rsid w:val="00EA79A8"/>
    <w:rsid w:val="00EB3DC8"/>
    <w:rsid w:val="00EB466E"/>
    <w:rsid w:val="00EB495E"/>
    <w:rsid w:val="00EB6538"/>
    <w:rsid w:val="00EB7F5A"/>
    <w:rsid w:val="00EC1244"/>
    <w:rsid w:val="00EC1C03"/>
    <w:rsid w:val="00EC31F6"/>
    <w:rsid w:val="00EC3326"/>
    <w:rsid w:val="00EC45D8"/>
    <w:rsid w:val="00EC4A2E"/>
    <w:rsid w:val="00EC612F"/>
    <w:rsid w:val="00EC77D9"/>
    <w:rsid w:val="00ED3762"/>
    <w:rsid w:val="00ED609B"/>
    <w:rsid w:val="00EE1918"/>
    <w:rsid w:val="00EE2CD7"/>
    <w:rsid w:val="00EE5D64"/>
    <w:rsid w:val="00EE6AAF"/>
    <w:rsid w:val="00EF077C"/>
    <w:rsid w:val="00EF08F3"/>
    <w:rsid w:val="00EF2DE1"/>
    <w:rsid w:val="00EF5303"/>
    <w:rsid w:val="00F0085C"/>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4908"/>
    <w:rsid w:val="00F2667C"/>
    <w:rsid w:val="00F26B18"/>
    <w:rsid w:val="00F27576"/>
    <w:rsid w:val="00F27E6C"/>
    <w:rsid w:val="00F316E5"/>
    <w:rsid w:val="00F33D97"/>
    <w:rsid w:val="00F35DD3"/>
    <w:rsid w:val="00F36F8C"/>
    <w:rsid w:val="00F37243"/>
    <w:rsid w:val="00F408C8"/>
    <w:rsid w:val="00F41B18"/>
    <w:rsid w:val="00F528ED"/>
    <w:rsid w:val="00F53AEA"/>
    <w:rsid w:val="00F542A2"/>
    <w:rsid w:val="00F545C5"/>
    <w:rsid w:val="00F55107"/>
    <w:rsid w:val="00F5640D"/>
    <w:rsid w:val="00F56C0B"/>
    <w:rsid w:val="00F60083"/>
    <w:rsid w:val="00F6294E"/>
    <w:rsid w:val="00F632F8"/>
    <w:rsid w:val="00F668BE"/>
    <w:rsid w:val="00F67477"/>
    <w:rsid w:val="00F67887"/>
    <w:rsid w:val="00F70988"/>
    <w:rsid w:val="00F73369"/>
    <w:rsid w:val="00F737E4"/>
    <w:rsid w:val="00F75F69"/>
    <w:rsid w:val="00F80DE6"/>
    <w:rsid w:val="00F84FF3"/>
    <w:rsid w:val="00F87C9E"/>
    <w:rsid w:val="00F90D98"/>
    <w:rsid w:val="00F931F8"/>
    <w:rsid w:val="00F93351"/>
    <w:rsid w:val="00F9344F"/>
    <w:rsid w:val="00F967B1"/>
    <w:rsid w:val="00FA1E5E"/>
    <w:rsid w:val="00FA25B7"/>
    <w:rsid w:val="00FA29C4"/>
    <w:rsid w:val="00FA4DE2"/>
    <w:rsid w:val="00FA61ED"/>
    <w:rsid w:val="00FA65FF"/>
    <w:rsid w:val="00FA701C"/>
    <w:rsid w:val="00FA7798"/>
    <w:rsid w:val="00FA7FF2"/>
    <w:rsid w:val="00FB019C"/>
    <w:rsid w:val="00FB0990"/>
    <w:rsid w:val="00FB0E97"/>
    <w:rsid w:val="00FB4E84"/>
    <w:rsid w:val="00FB5AA1"/>
    <w:rsid w:val="00FB640E"/>
    <w:rsid w:val="00FB7122"/>
    <w:rsid w:val="00FB72DE"/>
    <w:rsid w:val="00FB7385"/>
    <w:rsid w:val="00FB77B9"/>
    <w:rsid w:val="00FC1264"/>
    <w:rsid w:val="00FC1A33"/>
    <w:rsid w:val="00FC21EB"/>
    <w:rsid w:val="00FC4DA9"/>
    <w:rsid w:val="00FC5313"/>
    <w:rsid w:val="00FD11C2"/>
    <w:rsid w:val="00FD2D2D"/>
    <w:rsid w:val="00FD569A"/>
    <w:rsid w:val="00FE00F5"/>
    <w:rsid w:val="00FE3505"/>
    <w:rsid w:val="00FE37D8"/>
    <w:rsid w:val="00FE4AB3"/>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FF"/>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200C-99F0-4EEB-8F1D-11A92A79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5677</Words>
  <Characters>31224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2025-01-16T23:55:00Z</cp:lastPrinted>
  <dcterms:created xsi:type="dcterms:W3CDTF">2025-01-16T23:54:00Z</dcterms:created>
  <dcterms:modified xsi:type="dcterms:W3CDTF">2025-01-16T23:55:00Z</dcterms:modified>
</cp:coreProperties>
</file>