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D66C2" w14:textId="77777777" w:rsidR="004C57BE" w:rsidRPr="00C3207B" w:rsidRDefault="004C57BE" w:rsidP="00E52828">
      <w:pPr>
        <w:pStyle w:val="TtulodeTDC"/>
        <w:spacing w:before="0" w:line="240" w:lineRule="auto"/>
        <w:jc w:val="center"/>
        <w:rPr>
          <w:rFonts w:ascii="Palatino Linotype" w:eastAsiaTheme="minorHAnsi" w:hAnsi="Palatino Linotype" w:cstheme="minorBidi"/>
          <w:color w:val="FF0000"/>
          <w:sz w:val="22"/>
          <w:szCs w:val="22"/>
          <w:lang w:val="es-ES" w:eastAsia="en-US"/>
        </w:rPr>
      </w:pPr>
    </w:p>
    <w:sdt>
      <w:sdtPr>
        <w:rPr>
          <w:rFonts w:ascii="Palatino Linotype" w:eastAsiaTheme="minorHAnsi" w:hAnsi="Palatino Linotype" w:cstheme="minorBidi"/>
          <w:color w:val="FF0000"/>
          <w:sz w:val="22"/>
          <w:szCs w:val="22"/>
          <w:lang w:val="es-ES" w:eastAsia="en-US"/>
        </w:rPr>
        <w:id w:val="1217700029"/>
        <w:docPartObj>
          <w:docPartGallery w:val="Table of Contents"/>
          <w:docPartUnique/>
        </w:docPartObj>
      </w:sdtPr>
      <w:sdtEndPr>
        <w:rPr>
          <w:b/>
          <w:bCs/>
        </w:rPr>
      </w:sdtEndPr>
      <w:sdtContent>
        <w:p w14:paraId="09C5D268" w14:textId="07C0027F" w:rsidR="001B0FD7" w:rsidRPr="003C1891" w:rsidRDefault="001B0FD7" w:rsidP="00E52828">
          <w:pPr>
            <w:pStyle w:val="TtulodeTDC"/>
            <w:spacing w:before="0" w:line="240" w:lineRule="auto"/>
            <w:jc w:val="center"/>
            <w:rPr>
              <w:rFonts w:ascii="Palatino Linotype" w:hAnsi="Palatino Linotype"/>
              <w:color w:val="auto"/>
              <w:sz w:val="22"/>
              <w:szCs w:val="22"/>
            </w:rPr>
          </w:pPr>
          <w:r w:rsidRPr="003C1891">
            <w:rPr>
              <w:rFonts w:ascii="Palatino Linotype" w:hAnsi="Palatino Linotype"/>
              <w:color w:val="auto"/>
              <w:sz w:val="22"/>
              <w:szCs w:val="22"/>
              <w:lang w:val="es-ES"/>
            </w:rPr>
            <w:t xml:space="preserve">RESOLUCIÓN DEL RECURSO DE REVISIÓN </w:t>
          </w:r>
          <w:r w:rsidR="003C1891" w:rsidRPr="003C1891">
            <w:rPr>
              <w:rFonts w:ascii="Palatino Linotype" w:hAnsi="Palatino Linotype"/>
              <w:color w:val="auto"/>
              <w:sz w:val="22"/>
              <w:szCs w:val="22"/>
              <w:lang w:val="es-ES"/>
            </w:rPr>
            <w:t>11751</w:t>
          </w:r>
          <w:r w:rsidR="00361461" w:rsidRPr="003C1891">
            <w:rPr>
              <w:rFonts w:ascii="Palatino Linotype" w:hAnsi="Palatino Linotype"/>
              <w:color w:val="auto"/>
              <w:sz w:val="22"/>
              <w:szCs w:val="22"/>
              <w:lang w:val="es-ES"/>
            </w:rPr>
            <w:t>/INFOEM/IP/RR/2025</w:t>
          </w:r>
          <w:r w:rsidR="00F01DD7" w:rsidRPr="003C1891">
            <w:rPr>
              <w:rFonts w:ascii="Palatino Linotype" w:hAnsi="Palatino Linotype"/>
              <w:color w:val="auto"/>
              <w:sz w:val="22"/>
              <w:szCs w:val="22"/>
              <w:lang w:val="es-ES"/>
            </w:rPr>
            <w:t xml:space="preserve"> </w:t>
          </w:r>
          <w:r w:rsidRPr="003C1891">
            <w:rPr>
              <w:rFonts w:ascii="Palatino Linotype" w:hAnsi="Palatino Linotype"/>
              <w:color w:val="auto"/>
              <w:sz w:val="22"/>
              <w:szCs w:val="22"/>
              <w:lang w:val="es-ES"/>
            </w:rPr>
            <w:t>Y ACUMULADO</w:t>
          </w:r>
          <w:r w:rsidR="00C3207B" w:rsidRPr="003C1891">
            <w:rPr>
              <w:rFonts w:ascii="Palatino Linotype" w:hAnsi="Palatino Linotype"/>
              <w:color w:val="auto"/>
              <w:sz w:val="22"/>
              <w:szCs w:val="22"/>
              <w:lang w:val="es-ES"/>
            </w:rPr>
            <w:t>S</w:t>
          </w:r>
        </w:p>
        <w:p w14:paraId="0E23407D" w14:textId="3765296F" w:rsidR="00580C19" w:rsidRDefault="001B0FD7">
          <w:pPr>
            <w:pStyle w:val="TDC1"/>
            <w:tabs>
              <w:tab w:val="right" w:leader="dot" w:pos="8921"/>
            </w:tabs>
            <w:rPr>
              <w:rFonts w:asciiTheme="minorHAnsi" w:eastAsiaTheme="minorEastAsia" w:hAnsiTheme="minorHAnsi"/>
              <w:noProof/>
              <w:color w:val="auto"/>
              <w:lang w:eastAsia="es-MX"/>
            </w:rPr>
          </w:pPr>
          <w:r w:rsidRPr="00C3207B">
            <w:rPr>
              <w:color w:val="FF0000"/>
            </w:rPr>
            <w:fldChar w:fldCharType="begin"/>
          </w:r>
          <w:r w:rsidRPr="00C3207B">
            <w:rPr>
              <w:color w:val="FF0000"/>
            </w:rPr>
            <w:instrText xml:space="preserve"> TOC \o "1-3" \h \z \u </w:instrText>
          </w:r>
          <w:r w:rsidRPr="00C3207B">
            <w:rPr>
              <w:color w:val="FF0000"/>
            </w:rPr>
            <w:fldChar w:fldCharType="separate"/>
          </w:r>
          <w:hyperlink w:anchor="_Toc213328969" w:history="1">
            <w:r w:rsidR="00580C19" w:rsidRPr="003E1792">
              <w:rPr>
                <w:rStyle w:val="Hipervnculo"/>
                <w:noProof/>
              </w:rPr>
              <w:t>A N T E C E D E N T E S</w:t>
            </w:r>
            <w:r w:rsidR="00580C19">
              <w:rPr>
                <w:noProof/>
                <w:webHidden/>
              </w:rPr>
              <w:tab/>
            </w:r>
            <w:r w:rsidR="00580C19">
              <w:rPr>
                <w:noProof/>
                <w:webHidden/>
              </w:rPr>
              <w:fldChar w:fldCharType="begin"/>
            </w:r>
            <w:r w:rsidR="00580C19">
              <w:rPr>
                <w:noProof/>
                <w:webHidden/>
              </w:rPr>
              <w:instrText xml:space="preserve"> PAGEREF _Toc213328969 \h </w:instrText>
            </w:r>
            <w:r w:rsidR="00580C19">
              <w:rPr>
                <w:noProof/>
                <w:webHidden/>
              </w:rPr>
            </w:r>
            <w:r w:rsidR="00580C19">
              <w:rPr>
                <w:noProof/>
                <w:webHidden/>
              </w:rPr>
              <w:fldChar w:fldCharType="separate"/>
            </w:r>
            <w:r w:rsidR="001C5FEB">
              <w:rPr>
                <w:noProof/>
                <w:webHidden/>
              </w:rPr>
              <w:t>2</w:t>
            </w:r>
            <w:r w:rsidR="00580C19">
              <w:rPr>
                <w:noProof/>
                <w:webHidden/>
              </w:rPr>
              <w:fldChar w:fldCharType="end"/>
            </w:r>
          </w:hyperlink>
        </w:p>
        <w:p w14:paraId="796DC1EA" w14:textId="19D7DA73" w:rsidR="00580C19" w:rsidRDefault="00B950F8">
          <w:pPr>
            <w:pStyle w:val="TDC2"/>
            <w:tabs>
              <w:tab w:val="right" w:leader="dot" w:pos="8921"/>
            </w:tabs>
            <w:rPr>
              <w:rFonts w:asciiTheme="minorHAnsi" w:eastAsiaTheme="minorEastAsia" w:hAnsiTheme="minorHAnsi"/>
              <w:noProof/>
              <w:color w:val="auto"/>
              <w:lang w:eastAsia="es-MX"/>
            </w:rPr>
          </w:pPr>
          <w:hyperlink w:anchor="_Toc213328970" w:history="1">
            <w:r w:rsidR="00580C19" w:rsidRPr="003E1792">
              <w:rPr>
                <w:rStyle w:val="Hipervnculo"/>
                <w:noProof/>
              </w:rPr>
              <w:t>I. Presentación de las solicitudes de información</w:t>
            </w:r>
            <w:r w:rsidR="00580C19">
              <w:rPr>
                <w:noProof/>
                <w:webHidden/>
              </w:rPr>
              <w:tab/>
            </w:r>
            <w:r w:rsidR="00580C19">
              <w:rPr>
                <w:noProof/>
                <w:webHidden/>
              </w:rPr>
              <w:fldChar w:fldCharType="begin"/>
            </w:r>
            <w:r w:rsidR="00580C19">
              <w:rPr>
                <w:noProof/>
                <w:webHidden/>
              </w:rPr>
              <w:instrText xml:space="preserve"> PAGEREF _Toc213328970 \h </w:instrText>
            </w:r>
            <w:r w:rsidR="00580C19">
              <w:rPr>
                <w:noProof/>
                <w:webHidden/>
              </w:rPr>
            </w:r>
            <w:r w:rsidR="00580C19">
              <w:rPr>
                <w:noProof/>
                <w:webHidden/>
              </w:rPr>
              <w:fldChar w:fldCharType="separate"/>
            </w:r>
            <w:r w:rsidR="001C5FEB">
              <w:rPr>
                <w:noProof/>
                <w:webHidden/>
              </w:rPr>
              <w:t>2</w:t>
            </w:r>
            <w:r w:rsidR="00580C19">
              <w:rPr>
                <w:noProof/>
                <w:webHidden/>
              </w:rPr>
              <w:fldChar w:fldCharType="end"/>
            </w:r>
          </w:hyperlink>
        </w:p>
        <w:p w14:paraId="02B52B4B" w14:textId="3543B09C" w:rsidR="00580C19" w:rsidRDefault="00B950F8">
          <w:pPr>
            <w:pStyle w:val="TDC2"/>
            <w:tabs>
              <w:tab w:val="right" w:leader="dot" w:pos="8921"/>
            </w:tabs>
            <w:rPr>
              <w:rFonts w:asciiTheme="minorHAnsi" w:eastAsiaTheme="minorEastAsia" w:hAnsiTheme="minorHAnsi"/>
              <w:noProof/>
              <w:color w:val="auto"/>
              <w:lang w:eastAsia="es-MX"/>
            </w:rPr>
          </w:pPr>
          <w:hyperlink w:anchor="_Toc213328971" w:history="1">
            <w:r w:rsidR="00580C19" w:rsidRPr="003E1792">
              <w:rPr>
                <w:rStyle w:val="Hipervnculo"/>
                <w:rFonts w:eastAsia="Calibri"/>
                <w:noProof/>
              </w:rPr>
              <w:t>II. Respuesta del Sujeto Obligado</w:t>
            </w:r>
            <w:r w:rsidR="00580C19">
              <w:rPr>
                <w:noProof/>
                <w:webHidden/>
              </w:rPr>
              <w:tab/>
            </w:r>
            <w:r w:rsidR="00580C19">
              <w:rPr>
                <w:noProof/>
                <w:webHidden/>
              </w:rPr>
              <w:fldChar w:fldCharType="begin"/>
            </w:r>
            <w:r w:rsidR="00580C19">
              <w:rPr>
                <w:noProof/>
                <w:webHidden/>
              </w:rPr>
              <w:instrText xml:space="preserve"> PAGEREF _Toc213328971 \h </w:instrText>
            </w:r>
            <w:r w:rsidR="00580C19">
              <w:rPr>
                <w:noProof/>
                <w:webHidden/>
              </w:rPr>
            </w:r>
            <w:r w:rsidR="00580C19">
              <w:rPr>
                <w:noProof/>
                <w:webHidden/>
              </w:rPr>
              <w:fldChar w:fldCharType="separate"/>
            </w:r>
            <w:r w:rsidR="001C5FEB">
              <w:rPr>
                <w:noProof/>
                <w:webHidden/>
              </w:rPr>
              <w:t>3</w:t>
            </w:r>
            <w:r w:rsidR="00580C19">
              <w:rPr>
                <w:noProof/>
                <w:webHidden/>
              </w:rPr>
              <w:fldChar w:fldCharType="end"/>
            </w:r>
          </w:hyperlink>
        </w:p>
        <w:p w14:paraId="7B4A8454" w14:textId="72FAB542" w:rsidR="00580C19" w:rsidRDefault="00B950F8">
          <w:pPr>
            <w:pStyle w:val="TDC2"/>
            <w:tabs>
              <w:tab w:val="right" w:leader="dot" w:pos="8921"/>
            </w:tabs>
            <w:rPr>
              <w:rFonts w:asciiTheme="minorHAnsi" w:eastAsiaTheme="minorEastAsia" w:hAnsiTheme="minorHAnsi"/>
              <w:noProof/>
              <w:color w:val="auto"/>
              <w:lang w:eastAsia="es-MX"/>
            </w:rPr>
          </w:pPr>
          <w:hyperlink w:anchor="_Toc213328972" w:history="1">
            <w:r w:rsidR="00580C19" w:rsidRPr="003E1792">
              <w:rPr>
                <w:rStyle w:val="Hipervnculo"/>
                <w:rFonts w:eastAsia="Calibri"/>
                <w:noProof/>
              </w:rPr>
              <w:t>III. Interposición del Recurso de Revisión</w:t>
            </w:r>
            <w:r w:rsidR="00580C19">
              <w:rPr>
                <w:noProof/>
                <w:webHidden/>
              </w:rPr>
              <w:tab/>
            </w:r>
            <w:r w:rsidR="00580C19">
              <w:rPr>
                <w:noProof/>
                <w:webHidden/>
              </w:rPr>
              <w:fldChar w:fldCharType="begin"/>
            </w:r>
            <w:r w:rsidR="00580C19">
              <w:rPr>
                <w:noProof/>
                <w:webHidden/>
              </w:rPr>
              <w:instrText xml:space="preserve"> PAGEREF _Toc213328972 \h </w:instrText>
            </w:r>
            <w:r w:rsidR="00580C19">
              <w:rPr>
                <w:noProof/>
                <w:webHidden/>
              </w:rPr>
            </w:r>
            <w:r w:rsidR="00580C19">
              <w:rPr>
                <w:noProof/>
                <w:webHidden/>
              </w:rPr>
              <w:fldChar w:fldCharType="separate"/>
            </w:r>
            <w:r w:rsidR="001C5FEB">
              <w:rPr>
                <w:noProof/>
                <w:webHidden/>
              </w:rPr>
              <w:t>4</w:t>
            </w:r>
            <w:r w:rsidR="00580C19">
              <w:rPr>
                <w:noProof/>
                <w:webHidden/>
              </w:rPr>
              <w:fldChar w:fldCharType="end"/>
            </w:r>
          </w:hyperlink>
        </w:p>
        <w:p w14:paraId="74C39189" w14:textId="41A473C6" w:rsidR="00580C19" w:rsidRDefault="00B950F8">
          <w:pPr>
            <w:pStyle w:val="TDC2"/>
            <w:tabs>
              <w:tab w:val="right" w:leader="dot" w:pos="8921"/>
            </w:tabs>
            <w:rPr>
              <w:rFonts w:asciiTheme="minorHAnsi" w:eastAsiaTheme="minorEastAsia" w:hAnsiTheme="minorHAnsi"/>
              <w:noProof/>
              <w:color w:val="auto"/>
              <w:lang w:eastAsia="es-MX"/>
            </w:rPr>
          </w:pPr>
          <w:hyperlink w:anchor="_Toc213328973" w:history="1">
            <w:r w:rsidR="00580C19" w:rsidRPr="003E1792">
              <w:rPr>
                <w:rStyle w:val="Hipervnculo"/>
                <w:rFonts w:eastAsia="Calibri"/>
                <w:noProof/>
              </w:rPr>
              <w:t xml:space="preserve">IV. </w:t>
            </w:r>
            <w:r w:rsidR="00580C19" w:rsidRPr="003E1792">
              <w:rPr>
                <w:rStyle w:val="Hipervnculo"/>
                <w:rFonts w:eastAsia="Batang"/>
                <w:noProof/>
              </w:rPr>
              <w:t>Trámite de los Recursos de Revisión</w:t>
            </w:r>
            <w:r w:rsidR="00580C19" w:rsidRPr="003E1792">
              <w:rPr>
                <w:rStyle w:val="Hipervnculo"/>
                <w:rFonts w:eastAsia="Calibri"/>
                <w:noProof/>
              </w:rPr>
              <w:t xml:space="preserve"> </w:t>
            </w:r>
            <w:r w:rsidR="00580C19" w:rsidRPr="003E1792">
              <w:rPr>
                <w:rStyle w:val="Hipervnculo"/>
                <w:rFonts w:eastAsia="Batang"/>
                <w:noProof/>
              </w:rPr>
              <w:t>ante este Instituto</w:t>
            </w:r>
            <w:r w:rsidR="00580C19">
              <w:rPr>
                <w:noProof/>
                <w:webHidden/>
              </w:rPr>
              <w:tab/>
            </w:r>
            <w:r w:rsidR="00580C19">
              <w:rPr>
                <w:noProof/>
                <w:webHidden/>
              </w:rPr>
              <w:fldChar w:fldCharType="begin"/>
            </w:r>
            <w:r w:rsidR="00580C19">
              <w:rPr>
                <w:noProof/>
                <w:webHidden/>
              </w:rPr>
              <w:instrText xml:space="preserve"> PAGEREF _Toc213328973 \h </w:instrText>
            </w:r>
            <w:r w:rsidR="00580C19">
              <w:rPr>
                <w:noProof/>
                <w:webHidden/>
              </w:rPr>
            </w:r>
            <w:r w:rsidR="00580C19">
              <w:rPr>
                <w:noProof/>
                <w:webHidden/>
              </w:rPr>
              <w:fldChar w:fldCharType="separate"/>
            </w:r>
            <w:r w:rsidR="001C5FEB">
              <w:rPr>
                <w:noProof/>
                <w:webHidden/>
              </w:rPr>
              <w:t>5</w:t>
            </w:r>
            <w:r w:rsidR="00580C19">
              <w:rPr>
                <w:noProof/>
                <w:webHidden/>
              </w:rPr>
              <w:fldChar w:fldCharType="end"/>
            </w:r>
          </w:hyperlink>
        </w:p>
        <w:p w14:paraId="0DB331D4" w14:textId="0826A157" w:rsidR="00580C19" w:rsidRDefault="00B950F8">
          <w:pPr>
            <w:pStyle w:val="TDC1"/>
            <w:tabs>
              <w:tab w:val="right" w:leader="dot" w:pos="8921"/>
            </w:tabs>
            <w:rPr>
              <w:rFonts w:asciiTheme="minorHAnsi" w:eastAsiaTheme="minorEastAsia" w:hAnsiTheme="minorHAnsi"/>
              <w:noProof/>
              <w:color w:val="auto"/>
              <w:lang w:eastAsia="es-MX"/>
            </w:rPr>
          </w:pPr>
          <w:hyperlink w:anchor="_Toc213328974" w:history="1">
            <w:r w:rsidR="00580C19" w:rsidRPr="003E1792">
              <w:rPr>
                <w:rStyle w:val="Hipervnculo"/>
                <w:noProof/>
                <w:lang w:val="es-ES"/>
              </w:rPr>
              <w:t>CONSIDERANDOS</w:t>
            </w:r>
            <w:r w:rsidR="00580C19">
              <w:rPr>
                <w:noProof/>
                <w:webHidden/>
              </w:rPr>
              <w:tab/>
            </w:r>
            <w:r w:rsidR="00580C19">
              <w:rPr>
                <w:noProof/>
                <w:webHidden/>
              </w:rPr>
              <w:fldChar w:fldCharType="begin"/>
            </w:r>
            <w:r w:rsidR="00580C19">
              <w:rPr>
                <w:noProof/>
                <w:webHidden/>
              </w:rPr>
              <w:instrText xml:space="preserve"> PAGEREF _Toc213328974 \h </w:instrText>
            </w:r>
            <w:r w:rsidR="00580C19">
              <w:rPr>
                <w:noProof/>
                <w:webHidden/>
              </w:rPr>
            </w:r>
            <w:r w:rsidR="00580C19">
              <w:rPr>
                <w:noProof/>
                <w:webHidden/>
              </w:rPr>
              <w:fldChar w:fldCharType="separate"/>
            </w:r>
            <w:r w:rsidR="001C5FEB">
              <w:rPr>
                <w:noProof/>
                <w:webHidden/>
              </w:rPr>
              <w:t>6</w:t>
            </w:r>
            <w:r w:rsidR="00580C19">
              <w:rPr>
                <w:noProof/>
                <w:webHidden/>
              </w:rPr>
              <w:fldChar w:fldCharType="end"/>
            </w:r>
          </w:hyperlink>
        </w:p>
        <w:p w14:paraId="2E8B4BA3" w14:textId="4DEB7D59" w:rsidR="00580C19" w:rsidRDefault="00B950F8">
          <w:pPr>
            <w:pStyle w:val="TDC2"/>
            <w:tabs>
              <w:tab w:val="right" w:leader="dot" w:pos="8921"/>
            </w:tabs>
            <w:rPr>
              <w:rFonts w:asciiTheme="minorHAnsi" w:eastAsiaTheme="minorEastAsia" w:hAnsiTheme="minorHAnsi"/>
              <w:noProof/>
              <w:color w:val="auto"/>
              <w:lang w:eastAsia="es-MX"/>
            </w:rPr>
          </w:pPr>
          <w:hyperlink w:anchor="_Toc213328975" w:history="1">
            <w:r w:rsidR="00580C19" w:rsidRPr="003E1792">
              <w:rPr>
                <w:rStyle w:val="Hipervnculo"/>
                <w:rFonts w:eastAsia="Calibri"/>
                <w:noProof/>
                <w:lang w:val="es-ES" w:eastAsia="es-MX"/>
              </w:rPr>
              <w:t xml:space="preserve">PRIMERO. </w:t>
            </w:r>
            <w:r w:rsidR="00580C19" w:rsidRPr="003E1792">
              <w:rPr>
                <w:rStyle w:val="Hipervnculo"/>
                <w:noProof/>
                <w:lang w:val="es-ES"/>
              </w:rPr>
              <w:t>Competencia</w:t>
            </w:r>
            <w:r w:rsidR="00580C19">
              <w:rPr>
                <w:noProof/>
                <w:webHidden/>
              </w:rPr>
              <w:tab/>
            </w:r>
            <w:r w:rsidR="00580C19">
              <w:rPr>
                <w:noProof/>
                <w:webHidden/>
              </w:rPr>
              <w:fldChar w:fldCharType="begin"/>
            </w:r>
            <w:r w:rsidR="00580C19">
              <w:rPr>
                <w:noProof/>
                <w:webHidden/>
              </w:rPr>
              <w:instrText xml:space="preserve"> PAGEREF _Toc213328975 \h </w:instrText>
            </w:r>
            <w:r w:rsidR="00580C19">
              <w:rPr>
                <w:noProof/>
                <w:webHidden/>
              </w:rPr>
            </w:r>
            <w:r w:rsidR="00580C19">
              <w:rPr>
                <w:noProof/>
                <w:webHidden/>
              </w:rPr>
              <w:fldChar w:fldCharType="separate"/>
            </w:r>
            <w:r w:rsidR="001C5FEB">
              <w:rPr>
                <w:noProof/>
                <w:webHidden/>
              </w:rPr>
              <w:t>7</w:t>
            </w:r>
            <w:r w:rsidR="00580C19">
              <w:rPr>
                <w:noProof/>
                <w:webHidden/>
              </w:rPr>
              <w:fldChar w:fldCharType="end"/>
            </w:r>
          </w:hyperlink>
        </w:p>
        <w:p w14:paraId="30E179D8" w14:textId="20D13695" w:rsidR="00580C19" w:rsidRDefault="00B950F8">
          <w:pPr>
            <w:pStyle w:val="TDC2"/>
            <w:tabs>
              <w:tab w:val="right" w:leader="dot" w:pos="8921"/>
            </w:tabs>
            <w:rPr>
              <w:rFonts w:asciiTheme="minorHAnsi" w:eastAsiaTheme="minorEastAsia" w:hAnsiTheme="minorHAnsi"/>
              <w:noProof/>
              <w:color w:val="auto"/>
              <w:lang w:eastAsia="es-MX"/>
            </w:rPr>
          </w:pPr>
          <w:hyperlink w:anchor="_Toc213328976" w:history="1">
            <w:r w:rsidR="00580C19" w:rsidRPr="003E1792">
              <w:rPr>
                <w:rStyle w:val="Hipervnculo"/>
                <w:rFonts w:eastAsia="Calibri"/>
                <w:noProof/>
                <w:lang w:val="es-ES" w:eastAsia="es-MX"/>
              </w:rPr>
              <w:t xml:space="preserve">SEGUNDO. </w:t>
            </w:r>
            <w:r w:rsidR="00580C19" w:rsidRPr="003E1792">
              <w:rPr>
                <w:rStyle w:val="Hipervnculo"/>
                <w:noProof/>
                <w:lang w:val="es-ES"/>
              </w:rPr>
              <w:t>Causales de improcedencia y sobreseimiento</w:t>
            </w:r>
            <w:r w:rsidR="00580C19">
              <w:rPr>
                <w:noProof/>
                <w:webHidden/>
              </w:rPr>
              <w:tab/>
            </w:r>
            <w:r w:rsidR="00580C19">
              <w:rPr>
                <w:noProof/>
                <w:webHidden/>
              </w:rPr>
              <w:fldChar w:fldCharType="begin"/>
            </w:r>
            <w:r w:rsidR="00580C19">
              <w:rPr>
                <w:noProof/>
                <w:webHidden/>
              </w:rPr>
              <w:instrText xml:space="preserve"> PAGEREF _Toc213328976 \h </w:instrText>
            </w:r>
            <w:r w:rsidR="00580C19">
              <w:rPr>
                <w:noProof/>
                <w:webHidden/>
              </w:rPr>
            </w:r>
            <w:r w:rsidR="00580C19">
              <w:rPr>
                <w:noProof/>
                <w:webHidden/>
              </w:rPr>
              <w:fldChar w:fldCharType="separate"/>
            </w:r>
            <w:r w:rsidR="001C5FEB">
              <w:rPr>
                <w:noProof/>
                <w:webHidden/>
              </w:rPr>
              <w:t>7</w:t>
            </w:r>
            <w:r w:rsidR="00580C19">
              <w:rPr>
                <w:noProof/>
                <w:webHidden/>
              </w:rPr>
              <w:fldChar w:fldCharType="end"/>
            </w:r>
          </w:hyperlink>
        </w:p>
        <w:p w14:paraId="550C0DD6" w14:textId="31FCA3F3" w:rsidR="00580C19" w:rsidRDefault="00B950F8">
          <w:pPr>
            <w:pStyle w:val="TDC2"/>
            <w:tabs>
              <w:tab w:val="right" w:leader="dot" w:pos="8921"/>
            </w:tabs>
            <w:rPr>
              <w:rFonts w:asciiTheme="minorHAnsi" w:eastAsiaTheme="minorEastAsia" w:hAnsiTheme="minorHAnsi"/>
              <w:noProof/>
              <w:color w:val="auto"/>
              <w:lang w:eastAsia="es-MX"/>
            </w:rPr>
          </w:pPr>
          <w:hyperlink w:anchor="_Toc213328977" w:history="1">
            <w:r w:rsidR="00580C19" w:rsidRPr="003E1792">
              <w:rPr>
                <w:rStyle w:val="Hipervnculo"/>
                <w:rFonts w:eastAsia="Calibri"/>
                <w:noProof/>
                <w:lang w:val="es-ES" w:eastAsia="es-ES_tradnl"/>
              </w:rPr>
              <w:t>TERCERO. Determinación de la Controversia</w:t>
            </w:r>
            <w:r w:rsidR="00580C19">
              <w:rPr>
                <w:noProof/>
                <w:webHidden/>
              </w:rPr>
              <w:tab/>
            </w:r>
            <w:r w:rsidR="00580C19">
              <w:rPr>
                <w:noProof/>
                <w:webHidden/>
              </w:rPr>
              <w:fldChar w:fldCharType="begin"/>
            </w:r>
            <w:r w:rsidR="00580C19">
              <w:rPr>
                <w:noProof/>
                <w:webHidden/>
              </w:rPr>
              <w:instrText xml:space="preserve"> PAGEREF _Toc213328977 \h </w:instrText>
            </w:r>
            <w:r w:rsidR="00580C19">
              <w:rPr>
                <w:noProof/>
                <w:webHidden/>
              </w:rPr>
            </w:r>
            <w:r w:rsidR="00580C19">
              <w:rPr>
                <w:noProof/>
                <w:webHidden/>
              </w:rPr>
              <w:fldChar w:fldCharType="separate"/>
            </w:r>
            <w:r w:rsidR="001C5FEB">
              <w:rPr>
                <w:noProof/>
                <w:webHidden/>
              </w:rPr>
              <w:t>9</w:t>
            </w:r>
            <w:r w:rsidR="00580C19">
              <w:rPr>
                <w:noProof/>
                <w:webHidden/>
              </w:rPr>
              <w:fldChar w:fldCharType="end"/>
            </w:r>
          </w:hyperlink>
        </w:p>
        <w:p w14:paraId="4A7BB7B0" w14:textId="2A8BB90D" w:rsidR="00580C19" w:rsidRDefault="00B950F8">
          <w:pPr>
            <w:pStyle w:val="TDC2"/>
            <w:tabs>
              <w:tab w:val="right" w:leader="dot" w:pos="8921"/>
            </w:tabs>
            <w:rPr>
              <w:rFonts w:asciiTheme="minorHAnsi" w:eastAsiaTheme="minorEastAsia" w:hAnsiTheme="minorHAnsi"/>
              <w:noProof/>
              <w:color w:val="auto"/>
              <w:lang w:eastAsia="es-MX"/>
            </w:rPr>
          </w:pPr>
          <w:hyperlink w:anchor="_Toc213328978" w:history="1">
            <w:r w:rsidR="00580C19" w:rsidRPr="003E1792">
              <w:rPr>
                <w:rStyle w:val="Hipervnculo"/>
                <w:noProof/>
                <w:lang w:val="es-ES"/>
              </w:rPr>
              <w:t xml:space="preserve">CUARTO. </w:t>
            </w:r>
            <w:r w:rsidR="00580C19" w:rsidRPr="003E1792">
              <w:rPr>
                <w:rStyle w:val="Hipervnculo"/>
                <w:noProof/>
              </w:rPr>
              <w:t>Marco normativo aplicable en materia de transparencia y acceso a la información pública</w:t>
            </w:r>
            <w:r w:rsidR="00580C19">
              <w:rPr>
                <w:noProof/>
                <w:webHidden/>
              </w:rPr>
              <w:tab/>
            </w:r>
            <w:r w:rsidR="00580C19">
              <w:rPr>
                <w:noProof/>
                <w:webHidden/>
              </w:rPr>
              <w:fldChar w:fldCharType="begin"/>
            </w:r>
            <w:r w:rsidR="00580C19">
              <w:rPr>
                <w:noProof/>
                <w:webHidden/>
              </w:rPr>
              <w:instrText xml:space="preserve"> PAGEREF _Toc213328978 \h </w:instrText>
            </w:r>
            <w:r w:rsidR="00580C19">
              <w:rPr>
                <w:noProof/>
                <w:webHidden/>
              </w:rPr>
            </w:r>
            <w:r w:rsidR="00580C19">
              <w:rPr>
                <w:noProof/>
                <w:webHidden/>
              </w:rPr>
              <w:fldChar w:fldCharType="separate"/>
            </w:r>
            <w:r w:rsidR="001C5FEB">
              <w:rPr>
                <w:noProof/>
                <w:webHidden/>
              </w:rPr>
              <w:t>10</w:t>
            </w:r>
            <w:r w:rsidR="00580C19">
              <w:rPr>
                <w:noProof/>
                <w:webHidden/>
              </w:rPr>
              <w:fldChar w:fldCharType="end"/>
            </w:r>
          </w:hyperlink>
        </w:p>
        <w:p w14:paraId="0742B8D4" w14:textId="33315B3E" w:rsidR="00580C19" w:rsidRDefault="00B950F8">
          <w:pPr>
            <w:pStyle w:val="TDC2"/>
            <w:tabs>
              <w:tab w:val="right" w:leader="dot" w:pos="8921"/>
            </w:tabs>
            <w:rPr>
              <w:rFonts w:asciiTheme="minorHAnsi" w:eastAsiaTheme="minorEastAsia" w:hAnsiTheme="minorHAnsi"/>
              <w:noProof/>
              <w:color w:val="auto"/>
              <w:lang w:eastAsia="es-MX"/>
            </w:rPr>
          </w:pPr>
          <w:hyperlink w:anchor="_Toc213328979" w:history="1">
            <w:r w:rsidR="00580C19" w:rsidRPr="003E1792">
              <w:rPr>
                <w:rStyle w:val="Hipervnculo"/>
                <w:rFonts w:eastAsia="Times New Roman"/>
                <w:noProof/>
                <w:lang w:val="es-ES" w:eastAsia="es-ES"/>
              </w:rPr>
              <w:t>QUINTO. Estudio de Fondo</w:t>
            </w:r>
            <w:r w:rsidR="00580C19">
              <w:rPr>
                <w:noProof/>
                <w:webHidden/>
              </w:rPr>
              <w:tab/>
            </w:r>
            <w:r w:rsidR="00580C19">
              <w:rPr>
                <w:noProof/>
                <w:webHidden/>
              </w:rPr>
              <w:fldChar w:fldCharType="begin"/>
            </w:r>
            <w:r w:rsidR="00580C19">
              <w:rPr>
                <w:noProof/>
                <w:webHidden/>
              </w:rPr>
              <w:instrText xml:space="preserve"> PAGEREF _Toc213328979 \h </w:instrText>
            </w:r>
            <w:r w:rsidR="00580C19">
              <w:rPr>
                <w:noProof/>
                <w:webHidden/>
              </w:rPr>
            </w:r>
            <w:r w:rsidR="00580C19">
              <w:rPr>
                <w:noProof/>
                <w:webHidden/>
              </w:rPr>
              <w:fldChar w:fldCharType="separate"/>
            </w:r>
            <w:r w:rsidR="001C5FEB">
              <w:rPr>
                <w:noProof/>
                <w:webHidden/>
              </w:rPr>
              <w:t>12</w:t>
            </w:r>
            <w:r w:rsidR="00580C19">
              <w:rPr>
                <w:noProof/>
                <w:webHidden/>
              </w:rPr>
              <w:fldChar w:fldCharType="end"/>
            </w:r>
          </w:hyperlink>
        </w:p>
        <w:p w14:paraId="25B940FC" w14:textId="40CC7B36" w:rsidR="00580C19" w:rsidRDefault="00B950F8">
          <w:pPr>
            <w:pStyle w:val="TDC2"/>
            <w:tabs>
              <w:tab w:val="right" w:leader="dot" w:pos="8921"/>
            </w:tabs>
            <w:rPr>
              <w:rFonts w:asciiTheme="minorHAnsi" w:eastAsiaTheme="minorEastAsia" w:hAnsiTheme="minorHAnsi"/>
              <w:noProof/>
              <w:color w:val="auto"/>
              <w:lang w:eastAsia="es-MX"/>
            </w:rPr>
          </w:pPr>
          <w:hyperlink w:anchor="_Toc213328980" w:history="1">
            <w:r w:rsidR="00580C19" w:rsidRPr="003E1792">
              <w:rPr>
                <w:rStyle w:val="Hipervnculo"/>
                <w:rFonts w:eastAsia="Times New Roman"/>
                <w:noProof/>
                <w:lang w:eastAsia="es-ES"/>
              </w:rPr>
              <w:t>SEXTO. Decisión</w:t>
            </w:r>
            <w:r w:rsidR="00580C19">
              <w:rPr>
                <w:noProof/>
                <w:webHidden/>
              </w:rPr>
              <w:tab/>
            </w:r>
            <w:r w:rsidR="00580C19">
              <w:rPr>
                <w:noProof/>
                <w:webHidden/>
              </w:rPr>
              <w:fldChar w:fldCharType="begin"/>
            </w:r>
            <w:r w:rsidR="00580C19">
              <w:rPr>
                <w:noProof/>
                <w:webHidden/>
              </w:rPr>
              <w:instrText xml:space="preserve"> PAGEREF _Toc213328980 \h </w:instrText>
            </w:r>
            <w:r w:rsidR="00580C19">
              <w:rPr>
                <w:noProof/>
                <w:webHidden/>
              </w:rPr>
            </w:r>
            <w:r w:rsidR="00580C19">
              <w:rPr>
                <w:noProof/>
                <w:webHidden/>
              </w:rPr>
              <w:fldChar w:fldCharType="separate"/>
            </w:r>
            <w:r w:rsidR="001C5FEB">
              <w:rPr>
                <w:noProof/>
                <w:webHidden/>
              </w:rPr>
              <w:t>20</w:t>
            </w:r>
            <w:r w:rsidR="00580C19">
              <w:rPr>
                <w:noProof/>
                <w:webHidden/>
              </w:rPr>
              <w:fldChar w:fldCharType="end"/>
            </w:r>
          </w:hyperlink>
        </w:p>
        <w:p w14:paraId="4EFEBE37" w14:textId="275A7704" w:rsidR="00580C19" w:rsidRDefault="00B950F8">
          <w:pPr>
            <w:pStyle w:val="TDC2"/>
            <w:tabs>
              <w:tab w:val="right" w:leader="dot" w:pos="8921"/>
            </w:tabs>
            <w:rPr>
              <w:rFonts w:asciiTheme="minorHAnsi" w:eastAsiaTheme="minorEastAsia" w:hAnsiTheme="minorHAnsi"/>
              <w:noProof/>
              <w:color w:val="auto"/>
              <w:lang w:eastAsia="es-MX"/>
            </w:rPr>
          </w:pPr>
          <w:hyperlink w:anchor="_Toc213328981" w:history="1">
            <w:r w:rsidR="00580C19" w:rsidRPr="003E1792">
              <w:rPr>
                <w:rStyle w:val="Hipervnculo"/>
                <w:rFonts w:eastAsia="Times New Roman"/>
                <w:noProof/>
                <w:lang w:val="es-ES" w:eastAsia="es-ES"/>
              </w:rPr>
              <w:t>SÉPTIMO. Vista a la Secretaría Técnica del Pleno</w:t>
            </w:r>
            <w:r w:rsidR="00580C19">
              <w:rPr>
                <w:noProof/>
                <w:webHidden/>
              </w:rPr>
              <w:tab/>
            </w:r>
            <w:r w:rsidR="00580C19">
              <w:rPr>
                <w:noProof/>
                <w:webHidden/>
              </w:rPr>
              <w:fldChar w:fldCharType="begin"/>
            </w:r>
            <w:r w:rsidR="00580C19">
              <w:rPr>
                <w:noProof/>
                <w:webHidden/>
              </w:rPr>
              <w:instrText xml:space="preserve"> PAGEREF _Toc213328981 \h </w:instrText>
            </w:r>
            <w:r w:rsidR="00580C19">
              <w:rPr>
                <w:noProof/>
                <w:webHidden/>
              </w:rPr>
            </w:r>
            <w:r w:rsidR="00580C19">
              <w:rPr>
                <w:noProof/>
                <w:webHidden/>
              </w:rPr>
              <w:fldChar w:fldCharType="separate"/>
            </w:r>
            <w:r w:rsidR="001C5FEB">
              <w:rPr>
                <w:noProof/>
                <w:webHidden/>
              </w:rPr>
              <w:t>20</w:t>
            </w:r>
            <w:r w:rsidR="00580C19">
              <w:rPr>
                <w:noProof/>
                <w:webHidden/>
              </w:rPr>
              <w:fldChar w:fldCharType="end"/>
            </w:r>
          </w:hyperlink>
        </w:p>
        <w:p w14:paraId="1DD42670" w14:textId="669EC889" w:rsidR="00580C19" w:rsidRDefault="00B950F8">
          <w:pPr>
            <w:pStyle w:val="TDC1"/>
            <w:tabs>
              <w:tab w:val="right" w:leader="dot" w:pos="8921"/>
            </w:tabs>
            <w:rPr>
              <w:rFonts w:asciiTheme="minorHAnsi" w:eastAsiaTheme="minorEastAsia" w:hAnsiTheme="minorHAnsi"/>
              <w:noProof/>
              <w:color w:val="auto"/>
              <w:lang w:eastAsia="es-MX"/>
            </w:rPr>
          </w:pPr>
          <w:hyperlink w:anchor="_Toc213328982" w:history="1">
            <w:r w:rsidR="00580C19" w:rsidRPr="003E1792">
              <w:rPr>
                <w:rStyle w:val="Hipervnculo"/>
                <w:rFonts w:eastAsia="Times New Roman"/>
                <w:noProof/>
                <w:lang w:val="es-ES" w:eastAsia="es-ES"/>
              </w:rPr>
              <w:t>R E S U E L V E</w:t>
            </w:r>
            <w:r w:rsidR="00580C19">
              <w:rPr>
                <w:noProof/>
                <w:webHidden/>
              </w:rPr>
              <w:tab/>
            </w:r>
            <w:r w:rsidR="00580C19">
              <w:rPr>
                <w:noProof/>
                <w:webHidden/>
              </w:rPr>
              <w:fldChar w:fldCharType="begin"/>
            </w:r>
            <w:r w:rsidR="00580C19">
              <w:rPr>
                <w:noProof/>
                <w:webHidden/>
              </w:rPr>
              <w:instrText xml:space="preserve"> PAGEREF _Toc213328982 \h </w:instrText>
            </w:r>
            <w:r w:rsidR="00580C19">
              <w:rPr>
                <w:noProof/>
                <w:webHidden/>
              </w:rPr>
            </w:r>
            <w:r w:rsidR="00580C19">
              <w:rPr>
                <w:noProof/>
                <w:webHidden/>
              </w:rPr>
              <w:fldChar w:fldCharType="separate"/>
            </w:r>
            <w:r w:rsidR="001C5FEB">
              <w:rPr>
                <w:noProof/>
                <w:webHidden/>
              </w:rPr>
              <w:t>22</w:t>
            </w:r>
            <w:r w:rsidR="00580C19">
              <w:rPr>
                <w:noProof/>
                <w:webHidden/>
              </w:rPr>
              <w:fldChar w:fldCharType="end"/>
            </w:r>
          </w:hyperlink>
        </w:p>
        <w:p w14:paraId="052595E2" w14:textId="577D9F12" w:rsidR="001B0FD7" w:rsidRPr="00C3207B" w:rsidRDefault="001B0FD7" w:rsidP="00E52828">
          <w:pPr>
            <w:spacing w:line="240" w:lineRule="auto"/>
            <w:rPr>
              <w:color w:val="FF0000"/>
            </w:rPr>
          </w:pPr>
          <w:r w:rsidRPr="00C3207B">
            <w:rPr>
              <w:b/>
              <w:bCs/>
              <w:color w:val="FF0000"/>
              <w:lang w:val="es-ES"/>
            </w:rPr>
            <w:fldChar w:fldCharType="end"/>
          </w:r>
        </w:p>
      </w:sdtContent>
    </w:sdt>
    <w:p w14:paraId="23B8A1BF" w14:textId="77777777" w:rsidR="00EF37E1" w:rsidRPr="00C3207B" w:rsidRDefault="001B0FD7" w:rsidP="00225915">
      <w:pPr>
        <w:tabs>
          <w:tab w:val="left" w:pos="8931"/>
        </w:tabs>
        <w:spacing w:after="0" w:line="360" w:lineRule="auto"/>
        <w:rPr>
          <w:rFonts w:cs="Tahoma"/>
          <w:bCs/>
          <w:color w:val="FF0000"/>
        </w:rPr>
      </w:pPr>
      <w:r w:rsidRPr="00C3207B">
        <w:rPr>
          <w:rFonts w:cs="Tahoma"/>
          <w:bCs/>
          <w:color w:val="FF0000"/>
        </w:rPr>
        <w:br w:type="column"/>
      </w:r>
    </w:p>
    <w:p w14:paraId="6730EDA1" w14:textId="3C4FB546" w:rsidR="009109DA" w:rsidRPr="003C1891" w:rsidRDefault="009109DA" w:rsidP="00225915">
      <w:pPr>
        <w:tabs>
          <w:tab w:val="left" w:pos="8931"/>
        </w:tabs>
        <w:spacing w:after="0" w:line="360" w:lineRule="auto"/>
        <w:rPr>
          <w:rFonts w:eastAsia="Calibri" w:cs="Tahoma"/>
          <w:color w:val="auto"/>
          <w:lang w:val="es-ES"/>
        </w:rPr>
      </w:pPr>
      <w:r w:rsidRPr="003C1891">
        <w:rPr>
          <w:rFonts w:cs="Tahoma"/>
          <w:bCs/>
          <w:color w:val="auto"/>
        </w:rPr>
        <w:t xml:space="preserve">Resolución del Pleno del Instituto de Transparencia, Acceso a la Información Pública y Protección de Datos Personales del Estado de México y Municipios, con domicilio en Metepec, </w:t>
      </w:r>
      <w:r w:rsidRPr="003C1891">
        <w:rPr>
          <w:rFonts w:eastAsia="Calibri" w:cs="Tahoma"/>
          <w:color w:val="auto"/>
          <w:lang w:val="es-ES"/>
        </w:rPr>
        <w:t xml:space="preserve">Estado de México, de fecha </w:t>
      </w:r>
      <w:r w:rsidR="003C1891" w:rsidRPr="003C1891">
        <w:rPr>
          <w:rFonts w:eastAsia="Calibri" w:cs="Tahoma"/>
          <w:color w:val="auto"/>
          <w:lang w:val="es-ES"/>
        </w:rPr>
        <w:t xml:space="preserve">doce de noviembre </w:t>
      </w:r>
      <w:r w:rsidR="00CD36B3" w:rsidRPr="003C1891">
        <w:rPr>
          <w:rFonts w:eastAsia="Calibri" w:cs="Tahoma"/>
          <w:color w:val="auto"/>
          <w:lang w:val="es-ES"/>
        </w:rPr>
        <w:t>de dos mil veinticinco.</w:t>
      </w:r>
    </w:p>
    <w:p w14:paraId="5B192EAD" w14:textId="77777777" w:rsidR="009109DA" w:rsidRPr="00C3207B" w:rsidRDefault="009109DA" w:rsidP="00225915">
      <w:pPr>
        <w:spacing w:after="0" w:line="360" w:lineRule="auto"/>
        <w:rPr>
          <w:rFonts w:eastAsia="Calibri" w:cs="Tahoma"/>
          <w:b/>
          <w:bCs/>
          <w:color w:val="FF0000"/>
          <w:lang w:val="es-ES"/>
        </w:rPr>
      </w:pPr>
    </w:p>
    <w:p w14:paraId="5B5C7008" w14:textId="5217D16C" w:rsidR="00005BF0" w:rsidRPr="00DF778F" w:rsidRDefault="00005BF0" w:rsidP="00225915">
      <w:pPr>
        <w:spacing w:after="0" w:line="360" w:lineRule="auto"/>
        <w:rPr>
          <w:rFonts w:cs="Tahoma"/>
          <w:color w:val="auto"/>
          <w:lang w:val="es-ES_tradnl"/>
        </w:rPr>
      </w:pPr>
      <w:r w:rsidRPr="003C1891">
        <w:rPr>
          <w:rFonts w:cs="Tahoma"/>
          <w:b/>
          <w:bCs/>
          <w:color w:val="auto"/>
          <w:lang w:val="es-ES_tradnl"/>
        </w:rPr>
        <w:t xml:space="preserve">VISTO </w:t>
      </w:r>
      <w:r w:rsidRPr="003C1891">
        <w:rPr>
          <w:rFonts w:cs="Tahoma"/>
          <w:bCs/>
          <w:color w:val="auto"/>
          <w:lang w:val="es-ES_tradnl"/>
        </w:rPr>
        <w:t>el expediente conformado con mo</w:t>
      </w:r>
      <w:r w:rsidR="00361461" w:rsidRPr="003C1891">
        <w:rPr>
          <w:rFonts w:cs="Tahoma"/>
          <w:bCs/>
          <w:color w:val="auto"/>
          <w:lang w:val="es-ES_tradnl"/>
        </w:rPr>
        <w:t xml:space="preserve">tivo </w:t>
      </w:r>
      <w:r w:rsidR="003C1891" w:rsidRPr="003C1891">
        <w:rPr>
          <w:rFonts w:cs="Tahoma"/>
          <w:bCs/>
          <w:color w:val="auto"/>
          <w:lang w:val="es-ES_tradnl"/>
        </w:rPr>
        <w:t xml:space="preserve">de los Recurso de Revisión </w:t>
      </w:r>
      <w:r w:rsidR="003C1891" w:rsidRPr="0047276C">
        <w:rPr>
          <w:rFonts w:cs="Tahoma"/>
          <w:b/>
          <w:color w:val="auto"/>
          <w:lang w:val="es-ES_tradnl"/>
        </w:rPr>
        <w:t>11751</w:t>
      </w:r>
      <w:r w:rsidR="00361461" w:rsidRPr="0047276C">
        <w:rPr>
          <w:rFonts w:cs="Tahoma"/>
          <w:b/>
          <w:color w:val="auto"/>
          <w:lang w:val="es-ES_tradnl"/>
        </w:rPr>
        <w:t>/INFOEM/IP/RR/2025</w:t>
      </w:r>
      <w:r w:rsidR="003C1891" w:rsidRPr="0047276C">
        <w:rPr>
          <w:rFonts w:cs="Tahoma"/>
          <w:b/>
          <w:color w:val="auto"/>
          <w:lang w:val="es-ES_tradnl"/>
        </w:rPr>
        <w:t>, 11752/INFOEM/IP/RR/2025 y 11753/INFOEM/IP/RR/2025</w:t>
      </w:r>
      <w:r w:rsidRPr="003C1891">
        <w:rPr>
          <w:rFonts w:cs="Tahoma"/>
          <w:color w:val="auto"/>
          <w:lang w:val="es-ES_tradnl"/>
        </w:rPr>
        <w:t>, interpuesto</w:t>
      </w:r>
      <w:r w:rsidR="00794D11" w:rsidRPr="003C1891">
        <w:rPr>
          <w:rFonts w:cs="Tahoma"/>
          <w:color w:val="auto"/>
          <w:lang w:val="es-ES_tradnl"/>
        </w:rPr>
        <w:t xml:space="preserve">s </w:t>
      </w:r>
      <w:r w:rsidR="003C1891" w:rsidRPr="003C1891">
        <w:rPr>
          <w:rFonts w:cs="Tahoma"/>
          <w:color w:val="auto"/>
          <w:lang w:val="es-ES_tradnl"/>
        </w:rPr>
        <w:t xml:space="preserve">por </w:t>
      </w:r>
      <w:r w:rsidR="00DF778F" w:rsidRPr="00DF778F">
        <w:rPr>
          <w:rFonts w:eastAsia="Calibri" w:cs="Tahoma"/>
          <w:highlight w:val="black"/>
        </w:rPr>
        <w:t>XXXXXXXXXXXXXXXXXXX</w:t>
      </w:r>
      <w:r w:rsidR="00DF778F">
        <w:rPr>
          <w:rFonts w:cs="Tahoma"/>
          <w:color w:val="auto"/>
          <w:lang w:val="es-ES_tradnl"/>
        </w:rPr>
        <w:t xml:space="preserve"> </w:t>
      </w:r>
      <w:bookmarkStart w:id="0" w:name="_GoBack"/>
      <w:bookmarkEnd w:id="0"/>
      <w:r w:rsidR="00CD36B3" w:rsidRPr="003C1891">
        <w:rPr>
          <w:rFonts w:cs="Tahoma"/>
          <w:color w:val="auto"/>
          <w:lang w:val="es-ES_tradnl"/>
        </w:rPr>
        <w:t xml:space="preserve">en lo sucesivo </w:t>
      </w:r>
      <w:r w:rsidR="00762337" w:rsidRPr="003C1891">
        <w:rPr>
          <w:rFonts w:cs="Tahoma"/>
          <w:color w:val="auto"/>
          <w:lang w:val="es-ES_tradnl"/>
        </w:rPr>
        <w:t xml:space="preserve"> </w:t>
      </w:r>
      <w:r w:rsidR="00496AEA" w:rsidRPr="003C1891">
        <w:rPr>
          <w:rFonts w:cs="Tahoma"/>
          <w:color w:val="auto"/>
          <w:lang w:val="es-ES_tradnl"/>
        </w:rPr>
        <w:t>la persona</w:t>
      </w:r>
      <w:r w:rsidR="00084D97" w:rsidRPr="003C1891">
        <w:rPr>
          <w:rFonts w:cs="Tahoma"/>
          <w:color w:val="auto"/>
          <w:lang w:val="es-ES_tradnl"/>
        </w:rPr>
        <w:t xml:space="preserve"> </w:t>
      </w:r>
      <w:r w:rsidRPr="003C1891">
        <w:rPr>
          <w:rFonts w:cs="Tahoma"/>
          <w:color w:val="auto"/>
          <w:lang w:val="es-ES_tradnl"/>
        </w:rPr>
        <w:t xml:space="preserve">Recurrente o Particular, en contra de la </w:t>
      </w:r>
      <w:r w:rsidR="0080627B" w:rsidRPr="003C1891">
        <w:rPr>
          <w:rFonts w:cs="Tahoma"/>
          <w:color w:val="auto"/>
          <w:lang w:val="es-ES_tradnl"/>
        </w:rPr>
        <w:t xml:space="preserve">falta de </w:t>
      </w:r>
      <w:r w:rsidRPr="003C1891">
        <w:rPr>
          <w:rFonts w:cs="Tahoma"/>
          <w:color w:val="auto"/>
          <w:lang w:val="es-ES_tradnl"/>
        </w:rPr>
        <w:t xml:space="preserve">respuesta del Sujeto Obligado, </w:t>
      </w:r>
      <w:r w:rsidR="00CD36B3" w:rsidRPr="0047276C">
        <w:rPr>
          <w:rFonts w:eastAsia="Calibri" w:cs="Tahoma"/>
          <w:b/>
          <w:bCs/>
          <w:color w:val="auto"/>
        </w:rPr>
        <w:t>Ayuntamiento de</w:t>
      </w:r>
      <w:r w:rsidR="003C1891" w:rsidRPr="0047276C">
        <w:rPr>
          <w:rFonts w:eastAsia="Calibri" w:cs="Tahoma"/>
          <w:b/>
          <w:bCs/>
          <w:color w:val="auto"/>
        </w:rPr>
        <w:t xml:space="preserve"> Almoloya de Juárez</w:t>
      </w:r>
      <w:r w:rsidRPr="0047276C">
        <w:rPr>
          <w:rFonts w:cs="Tahoma"/>
          <w:b/>
          <w:bCs/>
          <w:color w:val="auto"/>
          <w:lang w:val="es-ES_tradnl"/>
        </w:rPr>
        <w:t>,</w:t>
      </w:r>
      <w:r w:rsidRPr="0047276C">
        <w:rPr>
          <w:rFonts w:cs="Tahoma"/>
          <w:b/>
          <w:bCs/>
          <w:color w:val="auto"/>
        </w:rPr>
        <w:t xml:space="preserve"> </w:t>
      </w:r>
      <w:r w:rsidRPr="003C1891">
        <w:rPr>
          <w:rFonts w:cs="Tahoma"/>
          <w:color w:val="auto"/>
        </w:rPr>
        <w:t>a las solicitudes de acceso a la información pública</w:t>
      </w:r>
      <w:r w:rsidR="00794D11" w:rsidRPr="003C1891">
        <w:rPr>
          <w:rFonts w:cs="Tahoma"/>
          <w:color w:val="auto"/>
        </w:rPr>
        <w:t xml:space="preserve"> </w:t>
      </w:r>
      <w:r w:rsidR="003C1891" w:rsidRPr="003C1891">
        <w:rPr>
          <w:rFonts w:cs="Tahoma"/>
          <w:color w:val="auto"/>
        </w:rPr>
        <w:t>00405/ALMOJU/IP/2025, 00406/ALMOJU/IP/2025 y 00407/ALMOJU/IP/2025</w:t>
      </w:r>
      <w:r w:rsidR="003D6320" w:rsidRPr="003C1891">
        <w:rPr>
          <w:rFonts w:cs="Tahoma"/>
          <w:color w:val="auto"/>
        </w:rPr>
        <w:t>,</w:t>
      </w:r>
      <w:r w:rsidR="00407A01" w:rsidRPr="003C1891">
        <w:rPr>
          <w:rFonts w:cs="Tahoma"/>
          <w:color w:val="auto"/>
        </w:rPr>
        <w:t xml:space="preserve"> y </w:t>
      </w:r>
      <w:r w:rsidRPr="003C1891">
        <w:rPr>
          <w:rFonts w:cs="Tahoma"/>
          <w:color w:val="auto"/>
          <w:lang w:val="es-ES_tradnl"/>
        </w:rPr>
        <w:t>se emite la</w:t>
      </w:r>
      <w:r w:rsidRPr="003C1891">
        <w:rPr>
          <w:rFonts w:cs="Tahoma"/>
          <w:bCs/>
          <w:color w:val="auto"/>
          <w:lang w:val="es-ES_tradnl"/>
        </w:rPr>
        <w:t xml:space="preserve"> presente Resolución, con base en los Antecedentes y Considerandos que a continuación se exponen:</w:t>
      </w:r>
    </w:p>
    <w:p w14:paraId="2D4D3038" w14:textId="77777777" w:rsidR="009109DA" w:rsidRPr="003C1891" w:rsidRDefault="009109DA" w:rsidP="00225915">
      <w:pPr>
        <w:spacing w:after="0" w:line="360" w:lineRule="auto"/>
        <w:rPr>
          <w:rFonts w:eastAsia="Calibri" w:cs="Tahoma"/>
          <w:b/>
          <w:bCs/>
          <w:color w:val="auto"/>
        </w:rPr>
      </w:pPr>
    </w:p>
    <w:p w14:paraId="053F92C3" w14:textId="164080E8" w:rsidR="009109DA" w:rsidRPr="003C1891" w:rsidRDefault="009109DA" w:rsidP="001B0FD7">
      <w:pPr>
        <w:pStyle w:val="Ttulo1"/>
        <w:rPr>
          <w:color w:val="auto"/>
        </w:rPr>
      </w:pPr>
      <w:bookmarkStart w:id="1" w:name="_Toc213328969"/>
      <w:r w:rsidRPr="003C1891">
        <w:rPr>
          <w:color w:val="auto"/>
        </w:rPr>
        <w:t>A N T E C E D E N T E S</w:t>
      </w:r>
      <w:bookmarkEnd w:id="1"/>
    </w:p>
    <w:p w14:paraId="3E22B062" w14:textId="77777777" w:rsidR="009109DA" w:rsidRPr="00C3207B" w:rsidRDefault="009109DA" w:rsidP="00225915">
      <w:pPr>
        <w:spacing w:after="0" w:line="360" w:lineRule="auto"/>
        <w:rPr>
          <w:rFonts w:eastAsia="Calibri" w:cs="Tahoma"/>
          <w:b/>
          <w:bCs/>
          <w:color w:val="FF0000"/>
          <w:lang w:val="es-ES"/>
        </w:rPr>
      </w:pPr>
    </w:p>
    <w:p w14:paraId="2C7DEFAF" w14:textId="38CE47A2" w:rsidR="0051666C" w:rsidRPr="00250669" w:rsidRDefault="0051666C" w:rsidP="001B0FD7">
      <w:pPr>
        <w:pStyle w:val="Ttulo2"/>
        <w:rPr>
          <w:color w:val="auto"/>
        </w:rPr>
      </w:pPr>
      <w:bookmarkStart w:id="2" w:name="_Toc213328970"/>
      <w:r w:rsidRPr="00250669">
        <w:rPr>
          <w:color w:val="auto"/>
        </w:rPr>
        <w:t>I. Presentación de las solicitudes de información</w:t>
      </w:r>
      <w:bookmarkEnd w:id="2"/>
    </w:p>
    <w:p w14:paraId="7660E79C" w14:textId="77777777" w:rsidR="0051666C" w:rsidRPr="00C3207B" w:rsidRDefault="0051666C" w:rsidP="00225915">
      <w:pPr>
        <w:tabs>
          <w:tab w:val="left" w:pos="567"/>
        </w:tabs>
        <w:spacing w:after="0" w:line="360" w:lineRule="auto"/>
        <w:ind w:left="54"/>
        <w:contextualSpacing/>
        <w:rPr>
          <w:rFonts w:cs="Tahoma"/>
          <w:b/>
          <w:color w:val="FF0000"/>
          <w:lang w:val="es-ES_tradnl"/>
        </w:rPr>
      </w:pPr>
    </w:p>
    <w:p w14:paraId="7EA2401B" w14:textId="3B2C585B" w:rsidR="0051666C" w:rsidRPr="00250669" w:rsidRDefault="00496AEA" w:rsidP="00225915">
      <w:pPr>
        <w:tabs>
          <w:tab w:val="left" w:pos="567"/>
        </w:tabs>
        <w:spacing w:after="0" w:line="360" w:lineRule="auto"/>
        <w:rPr>
          <w:rFonts w:eastAsia="Calibri" w:cs="Times New Roman"/>
          <w:color w:val="auto"/>
        </w:rPr>
      </w:pPr>
      <w:r w:rsidRPr="00250669">
        <w:rPr>
          <w:rFonts w:cs="Tahoma"/>
          <w:color w:val="auto"/>
          <w:lang w:val="es-ES_tradnl"/>
        </w:rPr>
        <w:t>El</w:t>
      </w:r>
      <w:r w:rsidR="00A13DD4" w:rsidRPr="00250669">
        <w:rPr>
          <w:rFonts w:cs="Tahoma"/>
          <w:color w:val="auto"/>
          <w:lang w:val="es-ES_tradnl"/>
        </w:rPr>
        <w:t xml:space="preserve"> </w:t>
      </w:r>
      <w:r w:rsidR="00250669" w:rsidRPr="00250669">
        <w:rPr>
          <w:rFonts w:cs="Tahoma"/>
          <w:color w:val="auto"/>
          <w:lang w:val="es-ES_tradnl"/>
        </w:rPr>
        <w:t xml:space="preserve">diecisiete de septiembre </w:t>
      </w:r>
      <w:r w:rsidR="0051666C" w:rsidRPr="00250669">
        <w:rPr>
          <w:rFonts w:cs="Tahoma"/>
          <w:color w:val="auto"/>
          <w:lang w:val="es-ES_tradnl"/>
        </w:rPr>
        <w:t xml:space="preserve">de dos mil </w:t>
      </w:r>
      <w:r w:rsidR="00270FA7" w:rsidRPr="00250669">
        <w:rPr>
          <w:rFonts w:cs="Tahoma"/>
          <w:color w:val="auto"/>
          <w:lang w:val="es-ES_tradnl"/>
        </w:rPr>
        <w:t>veinticinco</w:t>
      </w:r>
      <w:r w:rsidRPr="00250669">
        <w:rPr>
          <w:rFonts w:cs="Tahoma"/>
          <w:color w:val="auto"/>
          <w:lang w:val="es-ES_tradnl"/>
        </w:rPr>
        <w:t>,</w:t>
      </w:r>
      <w:r w:rsidR="00E152A2" w:rsidRPr="00250669">
        <w:rPr>
          <w:rFonts w:cs="Tahoma"/>
          <w:color w:val="auto"/>
          <w:lang w:val="es-ES_tradnl"/>
        </w:rPr>
        <w:t xml:space="preserve"> </w:t>
      </w:r>
      <w:r w:rsidR="00084D97" w:rsidRPr="00250669">
        <w:rPr>
          <w:rFonts w:cs="Tahoma"/>
          <w:color w:val="auto"/>
          <w:lang w:val="es-ES_tradnl"/>
        </w:rPr>
        <w:t>el</w:t>
      </w:r>
      <w:r w:rsidR="0051666C" w:rsidRPr="00250669">
        <w:rPr>
          <w:rFonts w:cs="Tahoma"/>
          <w:color w:val="auto"/>
          <w:lang w:val="es-ES_tradnl"/>
        </w:rPr>
        <w:t xml:space="preserve"> Particular presentó </w:t>
      </w:r>
      <w:r w:rsidR="00250669" w:rsidRPr="00250669">
        <w:rPr>
          <w:rFonts w:cs="Tahoma"/>
          <w:color w:val="auto"/>
          <w:lang w:val="es-ES_tradnl"/>
        </w:rPr>
        <w:t>tres</w:t>
      </w:r>
      <w:r w:rsidR="0051666C" w:rsidRPr="00250669">
        <w:rPr>
          <w:rFonts w:cs="Tahoma"/>
          <w:color w:val="auto"/>
          <w:lang w:val="es-ES_tradnl"/>
        </w:rPr>
        <w:t xml:space="preserve"> solicitudes de acceso a la información pública, </w:t>
      </w:r>
      <w:r w:rsidR="0051666C" w:rsidRPr="00250669">
        <w:rPr>
          <w:rFonts w:cs="Tahoma"/>
          <w:color w:val="auto"/>
        </w:rPr>
        <w:t>a través del Sistema de Acceso a la Información Mexiquense (SAIMEX),</w:t>
      </w:r>
      <w:r w:rsidR="00AA52EF" w:rsidRPr="00250669">
        <w:rPr>
          <w:rFonts w:eastAsia="Calibri" w:cs="Times New Roman"/>
          <w:b/>
          <w:bCs/>
          <w:color w:val="auto"/>
        </w:rPr>
        <w:t xml:space="preserve"> </w:t>
      </w:r>
      <w:r w:rsidR="0051666C" w:rsidRPr="00250669">
        <w:rPr>
          <w:rFonts w:cs="Tahoma"/>
          <w:color w:val="auto"/>
        </w:rPr>
        <w:t>ante</w:t>
      </w:r>
      <w:r w:rsidR="00794D11" w:rsidRPr="00250669">
        <w:rPr>
          <w:rFonts w:cs="Tahoma"/>
          <w:color w:val="auto"/>
        </w:rPr>
        <w:t xml:space="preserve"> el</w:t>
      </w:r>
      <w:r w:rsidR="00CD36B3" w:rsidRPr="00250669">
        <w:rPr>
          <w:rFonts w:eastAsia="Calibri" w:cs="Tahoma"/>
          <w:color w:val="auto"/>
        </w:rPr>
        <w:t xml:space="preserve"> Ayuntamiento de</w:t>
      </w:r>
      <w:r w:rsidR="00250669" w:rsidRPr="00250669">
        <w:rPr>
          <w:rFonts w:eastAsia="Calibri" w:cs="Tahoma"/>
          <w:color w:val="auto"/>
        </w:rPr>
        <w:t xml:space="preserve"> Almoloya de Juárez</w:t>
      </w:r>
      <w:r w:rsidR="00287DD2" w:rsidRPr="00250669">
        <w:rPr>
          <w:rFonts w:eastAsia="Calibri" w:cs="Times New Roman"/>
          <w:b/>
          <w:bCs/>
          <w:color w:val="auto"/>
        </w:rPr>
        <w:t>,</w:t>
      </w:r>
      <w:r w:rsidR="0051666C" w:rsidRPr="00250669">
        <w:rPr>
          <w:rFonts w:eastAsia="Calibri" w:cs="Times New Roman"/>
          <w:b/>
          <w:bCs/>
          <w:color w:val="auto"/>
        </w:rPr>
        <w:t xml:space="preserve"> </w:t>
      </w:r>
      <w:r w:rsidR="0051666C" w:rsidRPr="00250669">
        <w:rPr>
          <w:rFonts w:eastAsia="Calibri" w:cs="Times New Roman"/>
          <w:bCs/>
          <w:color w:val="auto"/>
        </w:rPr>
        <w:t>en los siguientes términos:</w:t>
      </w:r>
    </w:p>
    <w:p w14:paraId="30A5E0D1" w14:textId="77777777" w:rsidR="00496AEA" w:rsidRPr="00C3207B" w:rsidRDefault="00496AEA" w:rsidP="00225915">
      <w:pPr>
        <w:tabs>
          <w:tab w:val="left" w:pos="567"/>
        </w:tabs>
        <w:spacing w:after="0" w:line="360" w:lineRule="auto"/>
        <w:rPr>
          <w:rFonts w:eastAsia="Calibri" w:cs="Times New Roman"/>
          <w:bCs/>
          <w:color w:val="FF0000"/>
        </w:rPr>
      </w:pPr>
    </w:p>
    <w:p w14:paraId="004FFBE8" w14:textId="77777777" w:rsidR="00270FA7" w:rsidRPr="00C3207B" w:rsidRDefault="00270FA7" w:rsidP="00225915">
      <w:pPr>
        <w:tabs>
          <w:tab w:val="left" w:pos="567"/>
        </w:tabs>
        <w:spacing w:after="0" w:line="360" w:lineRule="auto"/>
        <w:rPr>
          <w:rFonts w:eastAsia="Calibri" w:cs="Times New Roman"/>
          <w:bCs/>
          <w:color w:val="FF0000"/>
        </w:rPr>
      </w:pPr>
    </w:p>
    <w:tbl>
      <w:tblPr>
        <w:tblStyle w:val="Tablaconcuadrcula2"/>
        <w:tblW w:w="8926" w:type="dxa"/>
        <w:tblLook w:val="04A0" w:firstRow="1" w:lastRow="0" w:firstColumn="1" w:lastColumn="0" w:noHBand="0" w:noVBand="1"/>
      </w:tblPr>
      <w:tblGrid>
        <w:gridCol w:w="3124"/>
        <w:gridCol w:w="5802"/>
      </w:tblGrid>
      <w:tr w:rsidR="00C3207B" w:rsidRPr="00C3207B" w14:paraId="2E0AFC1B" w14:textId="77777777" w:rsidTr="00DF6664">
        <w:tc>
          <w:tcPr>
            <w:tcW w:w="3124" w:type="dxa"/>
            <w:tcBorders>
              <w:top w:val="single" w:sz="4" w:space="0" w:color="auto"/>
              <w:left w:val="single" w:sz="4" w:space="0" w:color="auto"/>
              <w:bottom w:val="single" w:sz="4" w:space="0" w:color="auto"/>
              <w:right w:val="single" w:sz="4" w:space="0" w:color="auto"/>
            </w:tcBorders>
            <w:shd w:val="clear" w:color="auto" w:fill="D0CECE"/>
            <w:hideMark/>
          </w:tcPr>
          <w:p w14:paraId="4D346813" w14:textId="77777777" w:rsidR="00D94483" w:rsidRPr="00250669" w:rsidRDefault="00D94483" w:rsidP="00A05166">
            <w:pPr>
              <w:tabs>
                <w:tab w:val="left" w:pos="567"/>
              </w:tabs>
              <w:ind w:right="-28"/>
              <w:contextualSpacing/>
              <w:rPr>
                <w:rFonts w:cs="Tahoma"/>
                <w:b/>
                <w:color w:val="auto"/>
                <w:sz w:val="20"/>
                <w:szCs w:val="20"/>
              </w:rPr>
            </w:pPr>
            <w:r w:rsidRPr="00250669">
              <w:rPr>
                <w:rFonts w:cs="Tahoma"/>
                <w:b/>
                <w:color w:val="auto"/>
                <w:sz w:val="20"/>
                <w:szCs w:val="20"/>
              </w:rPr>
              <w:t>FOLIO DE SOLICITUD</w:t>
            </w:r>
          </w:p>
        </w:tc>
        <w:tc>
          <w:tcPr>
            <w:tcW w:w="5802" w:type="dxa"/>
            <w:tcBorders>
              <w:top w:val="single" w:sz="4" w:space="0" w:color="auto"/>
              <w:left w:val="single" w:sz="4" w:space="0" w:color="auto"/>
              <w:bottom w:val="single" w:sz="4" w:space="0" w:color="auto"/>
              <w:right w:val="single" w:sz="4" w:space="0" w:color="auto"/>
            </w:tcBorders>
            <w:shd w:val="clear" w:color="auto" w:fill="D0CECE"/>
            <w:hideMark/>
          </w:tcPr>
          <w:p w14:paraId="6E898D9F" w14:textId="7A158991" w:rsidR="00D94483" w:rsidRPr="00250669" w:rsidRDefault="00DF6664" w:rsidP="00A05166">
            <w:pPr>
              <w:tabs>
                <w:tab w:val="left" w:pos="567"/>
              </w:tabs>
              <w:contextualSpacing/>
              <w:rPr>
                <w:rFonts w:cs="Tahoma"/>
                <w:b/>
                <w:color w:val="auto"/>
                <w:sz w:val="20"/>
                <w:szCs w:val="20"/>
              </w:rPr>
            </w:pPr>
            <w:r w:rsidRPr="00250669">
              <w:rPr>
                <w:rFonts w:cs="Tahoma"/>
                <w:b/>
                <w:color w:val="auto"/>
                <w:sz w:val="20"/>
                <w:szCs w:val="20"/>
              </w:rPr>
              <w:t>“</w:t>
            </w:r>
            <w:r w:rsidR="00D94483" w:rsidRPr="00250669">
              <w:rPr>
                <w:rFonts w:cs="Tahoma"/>
                <w:b/>
                <w:color w:val="auto"/>
                <w:sz w:val="20"/>
                <w:szCs w:val="20"/>
              </w:rPr>
              <w:t>DESCRIPCIÓN CLARA Y PRECISA DE LA INFORMACIÓN SOLICITADA</w:t>
            </w:r>
          </w:p>
        </w:tc>
      </w:tr>
      <w:tr w:rsidR="00C3207B" w:rsidRPr="00C3207B" w14:paraId="1F325B7A" w14:textId="77777777" w:rsidTr="00DF6664">
        <w:tc>
          <w:tcPr>
            <w:tcW w:w="3124" w:type="dxa"/>
            <w:tcBorders>
              <w:top w:val="single" w:sz="4" w:space="0" w:color="auto"/>
              <w:left w:val="single" w:sz="4" w:space="0" w:color="auto"/>
              <w:bottom w:val="single" w:sz="4" w:space="0" w:color="auto"/>
              <w:right w:val="single" w:sz="4" w:space="0" w:color="auto"/>
            </w:tcBorders>
          </w:tcPr>
          <w:p w14:paraId="387FC426" w14:textId="3B6CE333" w:rsidR="00D94483" w:rsidRPr="00250669" w:rsidRDefault="00361461" w:rsidP="00250669">
            <w:pPr>
              <w:tabs>
                <w:tab w:val="left" w:pos="567"/>
              </w:tabs>
              <w:ind w:right="-28"/>
              <w:contextualSpacing/>
              <w:rPr>
                <w:rFonts w:cs="Tahoma"/>
                <w:b/>
                <w:bCs/>
                <w:i/>
                <w:iCs/>
                <w:color w:val="auto"/>
                <w:sz w:val="20"/>
                <w:szCs w:val="20"/>
              </w:rPr>
            </w:pPr>
            <w:r w:rsidRPr="00250669">
              <w:rPr>
                <w:rFonts w:cs="Tahoma"/>
                <w:b/>
                <w:bCs/>
                <w:i/>
                <w:iCs/>
                <w:color w:val="auto"/>
                <w:sz w:val="20"/>
                <w:szCs w:val="20"/>
              </w:rPr>
              <w:t xml:space="preserve"> </w:t>
            </w:r>
            <w:r w:rsidR="00250669" w:rsidRPr="00250669">
              <w:rPr>
                <w:rFonts w:cs="Tahoma"/>
                <w:b/>
                <w:bCs/>
                <w:i/>
                <w:iCs/>
                <w:color w:val="auto"/>
                <w:sz w:val="20"/>
                <w:szCs w:val="20"/>
              </w:rPr>
              <w:t>00405/ALMOJU/IP/2025</w:t>
            </w:r>
          </w:p>
        </w:tc>
        <w:tc>
          <w:tcPr>
            <w:tcW w:w="5802" w:type="dxa"/>
            <w:tcBorders>
              <w:top w:val="single" w:sz="4" w:space="0" w:color="auto"/>
              <w:left w:val="single" w:sz="4" w:space="0" w:color="auto"/>
              <w:bottom w:val="single" w:sz="4" w:space="0" w:color="auto"/>
              <w:right w:val="single" w:sz="4" w:space="0" w:color="auto"/>
            </w:tcBorders>
          </w:tcPr>
          <w:p w14:paraId="1894CABC" w14:textId="425A4B65" w:rsidR="00270FA7" w:rsidRPr="00250669" w:rsidRDefault="00250669" w:rsidP="00270FA7">
            <w:pPr>
              <w:tabs>
                <w:tab w:val="left" w:pos="567"/>
              </w:tabs>
              <w:spacing w:line="360" w:lineRule="auto"/>
              <w:contextualSpacing/>
              <w:rPr>
                <w:rFonts w:cs="Tahoma"/>
                <w:i/>
                <w:iCs/>
                <w:color w:val="auto"/>
                <w:sz w:val="20"/>
                <w:szCs w:val="20"/>
                <w:lang w:val="es-MX"/>
              </w:rPr>
            </w:pPr>
            <w:r w:rsidRPr="00250669">
              <w:rPr>
                <w:rFonts w:cs="Tahoma"/>
                <w:i/>
                <w:iCs/>
                <w:color w:val="auto"/>
                <w:sz w:val="20"/>
                <w:szCs w:val="20"/>
                <w:lang w:val="es-MX"/>
              </w:rPr>
              <w:t>Se solicita: Contratos de arrendamiento de inmuebles que ocupa el Ayuntamiento de Almoloya de Juárez, arrendamiento de vehículos utilitarios, patrullas, ambulancias y camiones recolectores de basura, arrendamiento de computadoras y fotocopiadoras, arrendamiento de lonas, carpas y mobiliario, contratación de grupos musicales y juegos mecánicos. Aplica desde el 1 de enero 2025 a la fecha de resolución donde debe especificar montos, periodo de contratación y nombre del arrendador ya sea persona fisica o moral.” (Sic)</w:t>
            </w:r>
          </w:p>
        </w:tc>
      </w:tr>
      <w:tr w:rsidR="00250669" w:rsidRPr="00C3207B" w14:paraId="5E133AE9" w14:textId="77777777" w:rsidTr="00DF6664">
        <w:tc>
          <w:tcPr>
            <w:tcW w:w="3124" w:type="dxa"/>
            <w:tcBorders>
              <w:top w:val="single" w:sz="4" w:space="0" w:color="auto"/>
              <w:left w:val="single" w:sz="4" w:space="0" w:color="auto"/>
              <w:bottom w:val="single" w:sz="4" w:space="0" w:color="auto"/>
              <w:right w:val="single" w:sz="4" w:space="0" w:color="auto"/>
            </w:tcBorders>
          </w:tcPr>
          <w:p w14:paraId="1FEB3FD6" w14:textId="1DAB603A" w:rsidR="00D94483" w:rsidRPr="00C3207B" w:rsidRDefault="00250669" w:rsidP="00A05166">
            <w:pPr>
              <w:tabs>
                <w:tab w:val="left" w:pos="567"/>
              </w:tabs>
              <w:ind w:right="-28"/>
              <w:contextualSpacing/>
              <w:rPr>
                <w:rFonts w:cs="Tahoma"/>
                <w:b/>
                <w:bCs/>
                <w:i/>
                <w:iCs/>
                <w:color w:val="FF0000"/>
                <w:sz w:val="20"/>
                <w:szCs w:val="20"/>
              </w:rPr>
            </w:pPr>
            <w:r>
              <w:rPr>
                <w:rFonts w:cs="Tahoma"/>
                <w:b/>
                <w:bCs/>
                <w:i/>
                <w:iCs/>
                <w:color w:val="auto"/>
                <w:sz w:val="20"/>
                <w:szCs w:val="20"/>
              </w:rPr>
              <w:t>00406</w:t>
            </w:r>
            <w:r w:rsidRPr="00250669">
              <w:rPr>
                <w:rFonts w:cs="Tahoma"/>
                <w:b/>
                <w:bCs/>
                <w:i/>
                <w:iCs/>
                <w:color w:val="auto"/>
                <w:sz w:val="20"/>
                <w:szCs w:val="20"/>
              </w:rPr>
              <w:t>/ALMOJU/IP/2025</w:t>
            </w:r>
          </w:p>
        </w:tc>
        <w:tc>
          <w:tcPr>
            <w:tcW w:w="5802" w:type="dxa"/>
            <w:tcBorders>
              <w:top w:val="single" w:sz="4" w:space="0" w:color="auto"/>
              <w:left w:val="single" w:sz="4" w:space="0" w:color="auto"/>
              <w:bottom w:val="single" w:sz="4" w:space="0" w:color="auto"/>
              <w:right w:val="single" w:sz="4" w:space="0" w:color="auto"/>
            </w:tcBorders>
          </w:tcPr>
          <w:p w14:paraId="1EFCAA05" w14:textId="4F28B772" w:rsidR="003A1DBB" w:rsidRPr="00C3207B" w:rsidRDefault="00682B8E" w:rsidP="00270FA7">
            <w:pPr>
              <w:tabs>
                <w:tab w:val="left" w:pos="567"/>
              </w:tabs>
              <w:spacing w:line="360" w:lineRule="auto"/>
              <w:contextualSpacing/>
              <w:rPr>
                <w:rFonts w:cs="Tahoma"/>
                <w:i/>
                <w:iCs/>
                <w:color w:val="FF0000"/>
                <w:sz w:val="20"/>
                <w:szCs w:val="20"/>
                <w:lang w:val="es-MX"/>
              </w:rPr>
            </w:pPr>
            <w:r w:rsidRPr="00682B8E">
              <w:rPr>
                <w:rFonts w:cs="Tahoma"/>
                <w:i/>
                <w:iCs/>
                <w:color w:val="auto"/>
                <w:sz w:val="20"/>
                <w:szCs w:val="20"/>
                <w:lang w:val="es-MX"/>
              </w:rPr>
              <w:t>Se solicita: Contratos de de Grupos musicales, pirotécnia, mariachi, alimentos que se contrataron para la noche de la celebración del Grito de Independencia en el municipio, así como el monto gastado en dicho evento</w:t>
            </w:r>
            <w:r>
              <w:rPr>
                <w:rFonts w:cs="Tahoma"/>
                <w:i/>
                <w:iCs/>
                <w:color w:val="auto"/>
                <w:sz w:val="20"/>
                <w:szCs w:val="20"/>
                <w:lang w:val="es-MX"/>
              </w:rPr>
              <w:t>” (Sic)</w:t>
            </w:r>
          </w:p>
        </w:tc>
      </w:tr>
      <w:tr w:rsidR="00E465B5" w:rsidRPr="00C3207B" w14:paraId="5A04AC95" w14:textId="77777777" w:rsidTr="00DF6664">
        <w:tc>
          <w:tcPr>
            <w:tcW w:w="3124" w:type="dxa"/>
            <w:tcBorders>
              <w:top w:val="single" w:sz="4" w:space="0" w:color="auto"/>
              <w:left w:val="single" w:sz="4" w:space="0" w:color="auto"/>
              <w:bottom w:val="single" w:sz="4" w:space="0" w:color="auto"/>
              <w:right w:val="single" w:sz="4" w:space="0" w:color="auto"/>
            </w:tcBorders>
          </w:tcPr>
          <w:p w14:paraId="7F85C6D9" w14:textId="531244B0" w:rsidR="00E465B5" w:rsidRDefault="00E465B5" w:rsidP="00A05166">
            <w:pPr>
              <w:tabs>
                <w:tab w:val="left" w:pos="567"/>
              </w:tabs>
              <w:ind w:right="-28"/>
              <w:contextualSpacing/>
              <w:rPr>
                <w:rFonts w:cs="Tahoma"/>
                <w:b/>
                <w:bCs/>
                <w:i/>
                <w:iCs/>
                <w:color w:val="auto"/>
                <w:sz w:val="20"/>
                <w:szCs w:val="20"/>
              </w:rPr>
            </w:pPr>
            <w:r>
              <w:rPr>
                <w:rFonts w:cs="Tahoma"/>
                <w:b/>
                <w:bCs/>
                <w:i/>
                <w:iCs/>
                <w:color w:val="auto"/>
                <w:sz w:val="20"/>
                <w:szCs w:val="20"/>
              </w:rPr>
              <w:t>00407</w:t>
            </w:r>
            <w:r w:rsidRPr="00250669">
              <w:rPr>
                <w:rFonts w:cs="Tahoma"/>
                <w:b/>
                <w:bCs/>
                <w:i/>
                <w:iCs/>
                <w:color w:val="auto"/>
                <w:sz w:val="20"/>
                <w:szCs w:val="20"/>
              </w:rPr>
              <w:t>/ALMOJU/IP/2025</w:t>
            </w:r>
          </w:p>
        </w:tc>
        <w:tc>
          <w:tcPr>
            <w:tcW w:w="5802" w:type="dxa"/>
            <w:tcBorders>
              <w:top w:val="single" w:sz="4" w:space="0" w:color="auto"/>
              <w:left w:val="single" w:sz="4" w:space="0" w:color="auto"/>
              <w:bottom w:val="single" w:sz="4" w:space="0" w:color="auto"/>
              <w:right w:val="single" w:sz="4" w:space="0" w:color="auto"/>
            </w:tcBorders>
          </w:tcPr>
          <w:p w14:paraId="4A2A762E" w14:textId="36B5D6E4" w:rsidR="00E465B5" w:rsidRPr="00682B8E" w:rsidRDefault="00E465B5" w:rsidP="00270FA7">
            <w:pPr>
              <w:tabs>
                <w:tab w:val="left" w:pos="567"/>
              </w:tabs>
              <w:spacing w:line="360" w:lineRule="auto"/>
              <w:contextualSpacing/>
              <w:rPr>
                <w:rFonts w:cs="Tahoma"/>
                <w:i/>
                <w:iCs/>
                <w:color w:val="auto"/>
                <w:sz w:val="20"/>
                <w:szCs w:val="20"/>
              </w:rPr>
            </w:pPr>
            <w:r w:rsidRPr="00E465B5">
              <w:rPr>
                <w:rFonts w:cs="Tahoma"/>
                <w:i/>
                <w:iCs/>
                <w:color w:val="auto"/>
                <w:sz w:val="20"/>
                <w:szCs w:val="20"/>
                <w:lang w:val="es-MX"/>
              </w:rPr>
              <w:t>Se solicita al municipio muestre los contratos de grupos musicales, vehículos (trailer), comida y bebidas que se contrataron para el evento denominado "Cabalgata", la cual se llevó a cabo en elmunicipio de Almoloya de Juarez el día 14 de Septiembre de 2025. Asimismo se indique el monto gastado en bebidas alcoholicas como tequila cuyo envase ostenta el logo de Almolya de Juárez, así como cerveza, Ron y whisky. Asimismo se muestren las facturas que amparan dichos pagos con cargo al erario público</w:t>
            </w:r>
            <w:r>
              <w:rPr>
                <w:rFonts w:cs="Tahoma"/>
                <w:i/>
                <w:iCs/>
                <w:color w:val="auto"/>
                <w:sz w:val="20"/>
                <w:szCs w:val="20"/>
                <w:lang w:val="es-MX"/>
              </w:rPr>
              <w:t>” (Sic)</w:t>
            </w:r>
          </w:p>
        </w:tc>
      </w:tr>
    </w:tbl>
    <w:p w14:paraId="49C2A683" w14:textId="77777777" w:rsidR="00825FAA" w:rsidRPr="00C3207B" w:rsidRDefault="00825FAA" w:rsidP="00496AEA">
      <w:pPr>
        <w:spacing w:after="0" w:line="360" w:lineRule="auto"/>
        <w:ind w:right="567"/>
        <w:contextualSpacing/>
        <w:rPr>
          <w:i/>
          <w:color w:val="FF0000"/>
          <w:sz w:val="20"/>
          <w:szCs w:val="20"/>
        </w:rPr>
      </w:pPr>
    </w:p>
    <w:p w14:paraId="37680469" w14:textId="3BFD8459" w:rsidR="0051666C" w:rsidRPr="00B11EB9" w:rsidRDefault="0051666C" w:rsidP="00225915">
      <w:pPr>
        <w:tabs>
          <w:tab w:val="left" w:pos="4667"/>
        </w:tabs>
        <w:spacing w:after="0" w:line="360" w:lineRule="auto"/>
        <w:rPr>
          <w:rFonts w:cs="Tahoma"/>
          <w:bCs/>
          <w:i/>
          <w:color w:val="auto"/>
        </w:rPr>
      </w:pPr>
      <w:r w:rsidRPr="00B11EB9">
        <w:rPr>
          <w:rFonts w:cs="Tahoma"/>
          <w:bCs/>
          <w:iCs/>
          <w:color w:val="auto"/>
        </w:rPr>
        <w:t xml:space="preserve">Es de señalar que en las </w:t>
      </w:r>
      <w:r w:rsidR="00AE345C" w:rsidRPr="00B11EB9">
        <w:rPr>
          <w:rFonts w:cs="Tahoma"/>
          <w:bCs/>
          <w:iCs/>
          <w:color w:val="auto"/>
        </w:rPr>
        <w:t>siete</w:t>
      </w:r>
      <w:r w:rsidRPr="00B11EB9">
        <w:rPr>
          <w:rFonts w:cs="Tahoma"/>
          <w:bCs/>
          <w:iCs/>
          <w:color w:val="auto"/>
        </w:rPr>
        <w:t xml:space="preserve"> solicitudes de acceso a la información el ahora Recurrente eligió como modalidad de entrega de la información </w:t>
      </w:r>
      <w:r w:rsidRPr="00B11EB9">
        <w:rPr>
          <w:rFonts w:cs="Tahoma"/>
          <w:bCs/>
          <w:i/>
          <w:color w:val="auto"/>
        </w:rPr>
        <w:t>“A través del SAIMEX”.</w:t>
      </w:r>
    </w:p>
    <w:p w14:paraId="3B9ED445" w14:textId="77777777" w:rsidR="00F46DF7" w:rsidRPr="00C3207B" w:rsidRDefault="00F46DF7" w:rsidP="00225915">
      <w:pPr>
        <w:spacing w:after="0" w:line="360" w:lineRule="auto"/>
        <w:rPr>
          <w:rFonts w:eastAsia="Calibri" w:cs="Tahoma"/>
          <w:b/>
          <w:bCs/>
          <w:color w:val="FF0000"/>
        </w:rPr>
      </w:pPr>
    </w:p>
    <w:p w14:paraId="63CFD72F" w14:textId="3B3F5E01" w:rsidR="009109DA" w:rsidRPr="00B11EB9" w:rsidRDefault="00292386" w:rsidP="001B0FD7">
      <w:pPr>
        <w:pStyle w:val="Ttulo2"/>
        <w:rPr>
          <w:rFonts w:eastAsia="Calibri"/>
          <w:color w:val="auto"/>
        </w:rPr>
      </w:pPr>
      <w:bookmarkStart w:id="3" w:name="_Toc213328971"/>
      <w:r w:rsidRPr="00B11EB9">
        <w:rPr>
          <w:rFonts w:eastAsia="Calibri"/>
          <w:color w:val="auto"/>
        </w:rPr>
        <w:t>I</w:t>
      </w:r>
      <w:r w:rsidR="00D96DD8" w:rsidRPr="00B11EB9">
        <w:rPr>
          <w:rFonts w:eastAsia="Calibri"/>
          <w:color w:val="auto"/>
        </w:rPr>
        <w:t>I</w:t>
      </w:r>
      <w:r w:rsidR="009109DA" w:rsidRPr="00B11EB9">
        <w:rPr>
          <w:rFonts w:eastAsia="Calibri"/>
          <w:color w:val="auto"/>
        </w:rPr>
        <w:t>. Respuesta del Sujeto Obligado</w:t>
      </w:r>
      <w:bookmarkEnd w:id="3"/>
    </w:p>
    <w:p w14:paraId="377F0D07" w14:textId="77777777" w:rsidR="009109DA" w:rsidRPr="00B11EB9" w:rsidRDefault="009109DA" w:rsidP="00225915">
      <w:pPr>
        <w:spacing w:after="0" w:line="360" w:lineRule="auto"/>
        <w:rPr>
          <w:rFonts w:eastAsia="Calibri" w:cs="Tahoma"/>
          <w:b/>
          <w:bCs/>
          <w:color w:val="auto"/>
        </w:rPr>
      </w:pPr>
    </w:p>
    <w:p w14:paraId="242D1AD4" w14:textId="1287ECD8" w:rsidR="006F532C" w:rsidRPr="00B11EB9" w:rsidRDefault="006F532C" w:rsidP="00225915">
      <w:pPr>
        <w:tabs>
          <w:tab w:val="left" w:pos="4667"/>
        </w:tabs>
        <w:spacing w:after="0" w:line="360" w:lineRule="auto"/>
        <w:rPr>
          <w:rFonts w:eastAsia="Calibri" w:cs="Tahoma"/>
          <w:b/>
          <w:bCs/>
          <w:color w:val="auto"/>
        </w:rPr>
      </w:pPr>
      <w:r w:rsidRPr="00B11EB9">
        <w:rPr>
          <w:rFonts w:eastAsia="Times New Roman" w:cs="Tahoma"/>
          <w:color w:val="auto"/>
          <w:szCs w:val="24"/>
          <w:lang w:eastAsia="es-ES"/>
        </w:rPr>
        <w:t>De conformidad con el artículo 163, párrafo primero de la Ley de Transparencia y Acceso a la Información Pública del Estado de México y Municipios, el Sujeto Obligado debió dar contestación a la</w:t>
      </w:r>
      <w:r w:rsidR="000A38DF" w:rsidRPr="00B11EB9">
        <w:rPr>
          <w:rFonts w:eastAsia="Times New Roman" w:cs="Tahoma"/>
          <w:color w:val="auto"/>
          <w:szCs w:val="24"/>
          <w:lang w:eastAsia="es-ES"/>
        </w:rPr>
        <w:t>s</w:t>
      </w:r>
      <w:r w:rsidRPr="00B11EB9">
        <w:rPr>
          <w:rFonts w:eastAsia="Times New Roman" w:cs="Tahoma"/>
          <w:color w:val="auto"/>
          <w:szCs w:val="24"/>
          <w:lang w:eastAsia="es-ES"/>
        </w:rPr>
        <w:t xml:space="preserve"> solicitud</w:t>
      </w:r>
      <w:r w:rsidR="000A38DF" w:rsidRPr="00B11EB9">
        <w:rPr>
          <w:rFonts w:eastAsia="Times New Roman" w:cs="Tahoma"/>
          <w:color w:val="auto"/>
          <w:szCs w:val="24"/>
          <w:lang w:eastAsia="es-ES"/>
        </w:rPr>
        <w:t>es</w:t>
      </w:r>
      <w:r w:rsidRPr="00B11EB9">
        <w:rPr>
          <w:rFonts w:eastAsia="Times New Roman" w:cs="Tahoma"/>
          <w:color w:val="auto"/>
          <w:szCs w:val="24"/>
          <w:lang w:eastAsia="es-ES"/>
        </w:rPr>
        <w:t xml:space="preserve"> de acceso a la información; sin embargo, de las constancias que obran en el expediente electrónico del </w:t>
      </w:r>
      <w:r w:rsidRPr="00B11EB9">
        <w:rPr>
          <w:rFonts w:eastAsia="Times New Roman" w:cs="Tahoma"/>
          <w:color w:val="auto"/>
          <w:szCs w:val="24"/>
          <w:lang w:val="es-ES" w:eastAsia="es-ES"/>
        </w:rPr>
        <w:t>Sistema de Acceso a la Información Mexiquense (SAIMEX), se advierte que el</w:t>
      </w:r>
      <w:r w:rsidR="00DF6664" w:rsidRPr="00B11EB9">
        <w:rPr>
          <w:rFonts w:eastAsia="Times New Roman" w:cs="Tahoma"/>
          <w:color w:val="auto"/>
          <w:szCs w:val="24"/>
          <w:lang w:val="es-ES" w:eastAsia="es-ES"/>
        </w:rPr>
        <w:t xml:space="preserve"> </w:t>
      </w:r>
      <w:r w:rsidR="00DF6664" w:rsidRPr="00B11EB9">
        <w:rPr>
          <w:rFonts w:eastAsia="Times New Roman" w:cs="Tahoma"/>
          <w:b/>
          <w:bCs/>
          <w:color w:val="auto"/>
          <w:szCs w:val="24"/>
          <w:lang w:eastAsia="es-ES"/>
        </w:rPr>
        <w:t>Ayuntamiento de</w:t>
      </w:r>
      <w:r w:rsidR="00B11EB9">
        <w:rPr>
          <w:rFonts w:eastAsia="Times New Roman" w:cs="Tahoma"/>
          <w:b/>
          <w:bCs/>
          <w:color w:val="auto"/>
          <w:szCs w:val="24"/>
          <w:lang w:eastAsia="es-ES"/>
        </w:rPr>
        <w:t xml:space="preserve"> Almoloya de Juárez</w:t>
      </w:r>
      <w:r w:rsidRPr="00B11EB9">
        <w:rPr>
          <w:rFonts w:eastAsia="Times New Roman" w:cs="Tahoma"/>
          <w:b/>
          <w:bCs/>
          <w:color w:val="auto"/>
          <w:szCs w:val="24"/>
          <w:lang w:eastAsia="es-ES"/>
        </w:rPr>
        <w:t>,</w:t>
      </w:r>
      <w:r w:rsidRPr="00B11EB9">
        <w:rPr>
          <w:rFonts w:eastAsia="Times New Roman" w:cs="Tahoma"/>
          <w:bCs/>
          <w:color w:val="auto"/>
          <w:szCs w:val="24"/>
          <w:lang w:eastAsia="es-ES"/>
        </w:rPr>
        <w:t xml:space="preserve"> omitió dar respuesta a las solicitudes de información, por lo que se configura la</w:t>
      </w:r>
      <w:r w:rsidRPr="00B11EB9">
        <w:rPr>
          <w:rFonts w:eastAsia="Times New Roman" w:cs="Tahoma"/>
          <w:b/>
          <w:color w:val="auto"/>
          <w:szCs w:val="24"/>
          <w:lang w:eastAsia="es-ES"/>
        </w:rPr>
        <w:t xml:space="preserve"> </w:t>
      </w:r>
      <w:r w:rsidRPr="00B11EB9">
        <w:rPr>
          <w:rFonts w:eastAsia="Times New Roman" w:cs="Tahoma"/>
          <w:b/>
          <w:color w:val="auto"/>
          <w:szCs w:val="24"/>
          <w:lang w:val="es-ES" w:eastAsia="es-ES"/>
        </w:rPr>
        <w:t>negativa ficta</w:t>
      </w:r>
      <w:r w:rsidRPr="00B11EB9">
        <w:rPr>
          <w:rFonts w:eastAsia="Times New Roman" w:cs="Tahoma"/>
          <w:color w:val="auto"/>
          <w:szCs w:val="24"/>
          <w:lang w:val="es-ES" w:eastAsia="es-ES"/>
        </w:rPr>
        <w:t xml:space="preserve"> a entregar información, prevista en los artículos 166, párrafo cuarto y 178, párrafo segundo, de la Ley de Transparencia y Acceso a la Información Pública del Estado de México y Municipios.</w:t>
      </w:r>
    </w:p>
    <w:p w14:paraId="570E7704" w14:textId="77777777" w:rsidR="009109DA" w:rsidRPr="00B11EB9" w:rsidRDefault="009109DA" w:rsidP="00225915">
      <w:pPr>
        <w:autoSpaceDE w:val="0"/>
        <w:autoSpaceDN w:val="0"/>
        <w:adjustRightInd w:val="0"/>
        <w:spacing w:after="0" w:line="360" w:lineRule="auto"/>
        <w:rPr>
          <w:rFonts w:eastAsia="Calibri" w:cs="Tahoma"/>
          <w:b/>
          <w:color w:val="auto"/>
        </w:rPr>
      </w:pPr>
    </w:p>
    <w:p w14:paraId="60F8A719" w14:textId="2DCFB0DC" w:rsidR="009109DA" w:rsidRPr="00B11EB9" w:rsidRDefault="00D96DD8" w:rsidP="001B0FD7">
      <w:pPr>
        <w:pStyle w:val="Ttulo2"/>
        <w:rPr>
          <w:rFonts w:eastAsia="Calibri"/>
          <w:color w:val="auto"/>
        </w:rPr>
      </w:pPr>
      <w:bookmarkStart w:id="4" w:name="_Toc213328972"/>
      <w:r w:rsidRPr="00B11EB9">
        <w:rPr>
          <w:rFonts w:eastAsia="Calibri"/>
          <w:color w:val="auto"/>
        </w:rPr>
        <w:t>I</w:t>
      </w:r>
      <w:r w:rsidR="008C30A9" w:rsidRPr="00B11EB9">
        <w:rPr>
          <w:rFonts w:eastAsia="Calibri"/>
          <w:color w:val="auto"/>
        </w:rPr>
        <w:t>II</w:t>
      </w:r>
      <w:r w:rsidR="009109DA" w:rsidRPr="00B11EB9">
        <w:rPr>
          <w:rFonts w:eastAsia="Calibri"/>
          <w:color w:val="auto"/>
        </w:rPr>
        <w:t>. Interposición del Recurso de Revisión</w:t>
      </w:r>
      <w:bookmarkEnd w:id="4"/>
      <w:r w:rsidR="009109DA" w:rsidRPr="00B11EB9">
        <w:rPr>
          <w:rFonts w:eastAsia="Calibri"/>
          <w:color w:val="auto"/>
        </w:rPr>
        <w:t xml:space="preserve"> </w:t>
      </w:r>
    </w:p>
    <w:p w14:paraId="3E2F5155" w14:textId="77777777" w:rsidR="009109DA" w:rsidRPr="00C3207B" w:rsidRDefault="009109DA" w:rsidP="00225915">
      <w:pPr>
        <w:spacing w:after="0" w:line="360" w:lineRule="auto"/>
        <w:rPr>
          <w:rFonts w:eastAsia="Times New Roman" w:cs="Tahoma"/>
          <w:bCs/>
          <w:color w:val="FF0000"/>
          <w:lang w:eastAsia="es-ES"/>
        </w:rPr>
      </w:pPr>
    </w:p>
    <w:p w14:paraId="52C1A86B" w14:textId="154FC37F" w:rsidR="00113AE3" w:rsidRPr="00B11EB9" w:rsidRDefault="00121FAB" w:rsidP="00225915">
      <w:pPr>
        <w:spacing w:after="0" w:line="360" w:lineRule="auto"/>
        <w:rPr>
          <w:rFonts w:eastAsia="Times New Roman" w:cs="Tahoma"/>
          <w:bCs/>
          <w:color w:val="auto"/>
          <w:lang w:eastAsia="es-ES"/>
        </w:rPr>
      </w:pPr>
      <w:r w:rsidRPr="00B11EB9">
        <w:rPr>
          <w:rFonts w:eastAsia="Times New Roman" w:cs="Tahoma"/>
          <w:bCs/>
          <w:color w:val="auto"/>
          <w:lang w:eastAsia="es-ES"/>
        </w:rPr>
        <w:t>El</w:t>
      </w:r>
      <w:r w:rsidR="00DF6664" w:rsidRPr="00B11EB9">
        <w:rPr>
          <w:rFonts w:eastAsia="Times New Roman" w:cs="Tahoma"/>
          <w:bCs/>
          <w:color w:val="auto"/>
          <w:lang w:eastAsia="es-ES"/>
        </w:rPr>
        <w:t xml:space="preserve"> </w:t>
      </w:r>
      <w:r w:rsidR="00B11EB9" w:rsidRPr="00B11EB9">
        <w:rPr>
          <w:rFonts w:eastAsia="Times New Roman" w:cs="Tahoma"/>
          <w:bCs/>
          <w:color w:val="auto"/>
          <w:lang w:eastAsia="es-ES"/>
        </w:rPr>
        <w:t xml:space="preserve">diez de octubre </w:t>
      </w:r>
      <w:r w:rsidR="00DF6664" w:rsidRPr="00B11EB9">
        <w:rPr>
          <w:rFonts w:eastAsia="Times New Roman" w:cs="Tahoma"/>
          <w:bCs/>
          <w:color w:val="auto"/>
          <w:lang w:eastAsia="es-ES"/>
        </w:rPr>
        <w:t>de dos mil veinticinco</w:t>
      </w:r>
      <w:r w:rsidR="00113AE3" w:rsidRPr="00B11EB9">
        <w:rPr>
          <w:rFonts w:eastAsia="Times New Roman" w:cs="Tahoma"/>
          <w:bCs/>
          <w:color w:val="auto"/>
          <w:lang w:eastAsia="es-ES"/>
        </w:rPr>
        <w:t xml:space="preserve">, </w:t>
      </w:r>
      <w:r w:rsidR="00DF6664" w:rsidRPr="00B11EB9">
        <w:rPr>
          <w:rFonts w:eastAsia="Times New Roman" w:cs="Tahoma"/>
          <w:bCs/>
          <w:color w:val="auto"/>
          <w:lang w:eastAsia="es-ES"/>
        </w:rPr>
        <w:t>se recibieron</w:t>
      </w:r>
      <w:r w:rsidR="00113AE3" w:rsidRPr="00B11EB9">
        <w:rPr>
          <w:rFonts w:eastAsia="Times New Roman" w:cs="Tahoma"/>
          <w:bCs/>
          <w:color w:val="auto"/>
          <w:lang w:eastAsia="es-ES"/>
        </w:rPr>
        <w:t xml:space="preserve"> en este Instituto, a través del </w:t>
      </w:r>
      <w:r w:rsidR="00113AE3" w:rsidRPr="00B11EB9">
        <w:rPr>
          <w:rFonts w:eastAsia="Times New Roman" w:cs="Tahoma"/>
          <w:bCs/>
          <w:color w:val="auto"/>
          <w:lang w:val="es-ES" w:eastAsia="es-ES"/>
        </w:rPr>
        <w:t>Sistema de Acceso a la Información Mexiquense (SAIMEX)</w:t>
      </w:r>
      <w:r w:rsidR="00113AE3" w:rsidRPr="00B11EB9">
        <w:rPr>
          <w:rFonts w:eastAsia="Times New Roman" w:cs="Tahoma"/>
          <w:bCs/>
          <w:color w:val="auto"/>
          <w:lang w:eastAsia="es-ES"/>
        </w:rPr>
        <w:t xml:space="preserve">, </w:t>
      </w:r>
      <w:r w:rsidR="00B11EB9" w:rsidRPr="00B11EB9">
        <w:rPr>
          <w:rFonts w:eastAsia="Times New Roman" w:cs="Tahoma"/>
          <w:bCs/>
          <w:color w:val="auto"/>
          <w:lang w:eastAsia="es-ES"/>
        </w:rPr>
        <w:t>tres</w:t>
      </w:r>
      <w:r w:rsidR="00113AE3" w:rsidRPr="00B11EB9">
        <w:rPr>
          <w:rFonts w:eastAsia="Times New Roman" w:cs="Tahoma"/>
          <w:bCs/>
          <w:color w:val="auto"/>
          <w:lang w:eastAsia="es-ES"/>
        </w:rPr>
        <w:t xml:space="preserve"> Recursos de Revisión interpuestos por la p</w:t>
      </w:r>
      <w:r w:rsidR="002514BF" w:rsidRPr="00B11EB9">
        <w:rPr>
          <w:rFonts w:eastAsia="Times New Roman" w:cs="Tahoma"/>
          <w:bCs/>
          <w:color w:val="auto"/>
          <w:lang w:eastAsia="es-ES"/>
        </w:rPr>
        <w:t>ersona</w:t>
      </w:r>
      <w:r w:rsidR="00113AE3" w:rsidRPr="00B11EB9">
        <w:rPr>
          <w:rFonts w:eastAsia="Times New Roman" w:cs="Tahoma"/>
          <w:bCs/>
          <w:color w:val="auto"/>
          <w:lang w:eastAsia="es-ES"/>
        </w:rPr>
        <w:t xml:space="preserve"> Recurrente, en contra de la falta de respuesta del Sujeto Obligado</w:t>
      </w:r>
      <w:r w:rsidR="0028229D" w:rsidRPr="00B11EB9">
        <w:rPr>
          <w:rFonts w:cs="Tahoma"/>
          <w:color w:val="auto"/>
          <w:lang w:val="es-ES"/>
        </w:rPr>
        <w:t xml:space="preserve">, </w:t>
      </w:r>
      <w:r w:rsidR="00DA5EED" w:rsidRPr="00B11EB9">
        <w:rPr>
          <w:rFonts w:eastAsia="Times New Roman" w:cs="Tahoma"/>
          <w:bCs/>
          <w:color w:val="auto"/>
          <w:lang w:eastAsia="es-ES"/>
        </w:rPr>
        <w:t xml:space="preserve">en </w:t>
      </w:r>
      <w:r w:rsidR="002119B2">
        <w:rPr>
          <w:rFonts w:eastAsia="Times New Roman" w:cs="Tahoma"/>
          <w:bCs/>
          <w:color w:val="auto"/>
          <w:lang w:eastAsia="es-ES"/>
        </w:rPr>
        <w:t>términos similares de conformidad con lo siguiente:</w:t>
      </w:r>
    </w:p>
    <w:p w14:paraId="7A3DB35F" w14:textId="77777777" w:rsidR="00802B14" w:rsidRPr="00C3207B" w:rsidRDefault="00802B14" w:rsidP="00225915">
      <w:pPr>
        <w:widowControl w:val="0"/>
        <w:spacing w:after="0" w:line="360" w:lineRule="auto"/>
        <w:rPr>
          <w:rFonts w:cs="Tahoma"/>
          <w:i/>
          <w:color w:val="FF0000"/>
          <w:lang w:val="es-ES"/>
        </w:rPr>
      </w:pPr>
    </w:p>
    <w:p w14:paraId="1096B75F" w14:textId="2E72E442" w:rsidR="00802B14" w:rsidRPr="007F2D8D" w:rsidRDefault="00802B14" w:rsidP="00225915">
      <w:pPr>
        <w:spacing w:after="0" w:line="360" w:lineRule="auto"/>
        <w:ind w:left="567" w:right="567"/>
        <w:contextualSpacing/>
        <w:rPr>
          <w:rFonts w:cs="Tahoma"/>
          <w:b/>
          <w:bCs/>
          <w:i/>
          <w:color w:val="auto"/>
          <w:sz w:val="20"/>
          <w:szCs w:val="20"/>
        </w:rPr>
      </w:pPr>
      <w:r w:rsidRPr="007F2D8D">
        <w:rPr>
          <w:rFonts w:cs="Tahoma"/>
          <w:b/>
          <w:bCs/>
          <w:i/>
          <w:color w:val="auto"/>
          <w:sz w:val="20"/>
          <w:szCs w:val="20"/>
        </w:rPr>
        <w:t>ACTO IMPUGNADO</w:t>
      </w:r>
    </w:p>
    <w:p w14:paraId="01057F4C" w14:textId="6AC7FE94" w:rsidR="00802B14" w:rsidRPr="007F2D8D" w:rsidRDefault="007F2D8D" w:rsidP="009817EE">
      <w:pPr>
        <w:tabs>
          <w:tab w:val="left" w:pos="4667"/>
        </w:tabs>
        <w:spacing w:after="0" w:line="360" w:lineRule="auto"/>
        <w:ind w:left="567" w:right="567"/>
        <w:rPr>
          <w:rFonts w:cs="Tahoma"/>
          <w:bCs/>
          <w:i/>
          <w:color w:val="auto"/>
          <w:sz w:val="20"/>
          <w:szCs w:val="20"/>
        </w:rPr>
      </w:pPr>
      <w:r w:rsidRPr="007F2D8D">
        <w:rPr>
          <w:rFonts w:cs="Tahoma"/>
          <w:bCs/>
          <w:i/>
          <w:color w:val="auto"/>
          <w:sz w:val="20"/>
          <w:szCs w:val="20"/>
        </w:rPr>
        <w:t>NO ENTREGA LA INFORMACION</w:t>
      </w:r>
      <w:r w:rsidR="00DA5EED" w:rsidRPr="007F2D8D">
        <w:rPr>
          <w:rFonts w:cs="Tahoma"/>
          <w:bCs/>
          <w:i/>
          <w:color w:val="auto"/>
          <w:sz w:val="20"/>
          <w:szCs w:val="20"/>
        </w:rPr>
        <w:t xml:space="preserve">” </w:t>
      </w:r>
      <w:r w:rsidR="00F46DF7" w:rsidRPr="007F2D8D">
        <w:rPr>
          <w:rFonts w:cs="Tahoma"/>
          <w:bCs/>
          <w:i/>
          <w:color w:val="auto"/>
          <w:sz w:val="20"/>
          <w:szCs w:val="20"/>
        </w:rPr>
        <w:t>(Sic.)</w:t>
      </w:r>
    </w:p>
    <w:p w14:paraId="4AF13A89" w14:textId="77777777" w:rsidR="00802B14" w:rsidRPr="00C3207B" w:rsidRDefault="00802B14" w:rsidP="00225915">
      <w:pPr>
        <w:tabs>
          <w:tab w:val="left" w:pos="4667"/>
        </w:tabs>
        <w:spacing w:after="0" w:line="360" w:lineRule="auto"/>
        <w:ind w:left="567" w:right="567"/>
        <w:rPr>
          <w:rFonts w:cs="Tahoma"/>
          <w:bCs/>
          <w:i/>
          <w:color w:val="FF0000"/>
          <w:sz w:val="20"/>
          <w:szCs w:val="20"/>
        </w:rPr>
      </w:pPr>
    </w:p>
    <w:p w14:paraId="235F6EE4" w14:textId="08AB95DE" w:rsidR="00802B14" w:rsidRPr="007F2D8D" w:rsidRDefault="00802B14" w:rsidP="00225915">
      <w:pPr>
        <w:tabs>
          <w:tab w:val="left" w:pos="4667"/>
        </w:tabs>
        <w:spacing w:after="0" w:line="360" w:lineRule="auto"/>
        <w:ind w:left="567" w:right="567"/>
        <w:rPr>
          <w:rFonts w:cs="Tahoma"/>
          <w:b/>
          <w:bCs/>
          <w:i/>
          <w:color w:val="auto"/>
          <w:sz w:val="20"/>
          <w:szCs w:val="20"/>
        </w:rPr>
      </w:pPr>
      <w:r w:rsidRPr="007F2D8D">
        <w:rPr>
          <w:rFonts w:cs="Tahoma"/>
          <w:b/>
          <w:bCs/>
          <w:i/>
          <w:color w:val="auto"/>
          <w:sz w:val="20"/>
          <w:szCs w:val="20"/>
        </w:rPr>
        <w:t>RAZONES O MOTIVOS DE LA INCONFORMIDAD</w:t>
      </w:r>
    </w:p>
    <w:p w14:paraId="584980F1" w14:textId="015DAA1D" w:rsidR="00F46DF7" w:rsidRPr="007F2D8D" w:rsidRDefault="007F2D8D" w:rsidP="00225915">
      <w:pPr>
        <w:tabs>
          <w:tab w:val="left" w:pos="4667"/>
        </w:tabs>
        <w:spacing w:after="0" w:line="360" w:lineRule="auto"/>
        <w:ind w:left="567" w:right="567"/>
        <w:rPr>
          <w:rFonts w:cs="Tahoma"/>
          <w:bCs/>
          <w:i/>
          <w:color w:val="auto"/>
          <w:sz w:val="20"/>
          <w:szCs w:val="20"/>
        </w:rPr>
      </w:pPr>
      <w:r w:rsidRPr="007F2D8D">
        <w:rPr>
          <w:rFonts w:cs="Tahoma"/>
          <w:bCs/>
          <w:i/>
          <w:color w:val="auto"/>
          <w:sz w:val="20"/>
          <w:szCs w:val="20"/>
        </w:rPr>
        <w:t>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Almoloya de Juárez,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00DA5EED" w:rsidRPr="007F2D8D">
        <w:rPr>
          <w:rFonts w:cs="Tahoma"/>
          <w:bCs/>
          <w:i/>
          <w:color w:val="auto"/>
          <w:sz w:val="20"/>
          <w:szCs w:val="20"/>
        </w:rPr>
        <w:t>” (Sic.)</w:t>
      </w:r>
    </w:p>
    <w:p w14:paraId="07312032" w14:textId="77777777" w:rsidR="00FF03B6" w:rsidRPr="00C3207B" w:rsidRDefault="00FF03B6" w:rsidP="00225915">
      <w:pPr>
        <w:spacing w:after="0" w:line="360" w:lineRule="auto"/>
        <w:rPr>
          <w:rFonts w:eastAsia="Times New Roman" w:cs="Tahoma"/>
          <w:bCs/>
          <w:color w:val="FF0000"/>
          <w:lang w:eastAsia="es-ES"/>
        </w:rPr>
      </w:pPr>
    </w:p>
    <w:p w14:paraId="5EC0DAEA" w14:textId="13C0BFE4" w:rsidR="009109DA" w:rsidRPr="00BB7852" w:rsidRDefault="008C30A9" w:rsidP="001B0FD7">
      <w:pPr>
        <w:pStyle w:val="Ttulo2"/>
        <w:rPr>
          <w:rFonts w:eastAsia="Batang"/>
          <w:color w:val="auto"/>
        </w:rPr>
      </w:pPr>
      <w:bookmarkStart w:id="5" w:name="_Toc213328973"/>
      <w:r w:rsidRPr="00BB7852">
        <w:rPr>
          <w:rFonts w:eastAsia="Calibri"/>
          <w:color w:val="auto"/>
        </w:rPr>
        <w:t>I</w:t>
      </w:r>
      <w:r w:rsidR="009109DA" w:rsidRPr="00BB7852">
        <w:rPr>
          <w:rFonts w:eastAsia="Calibri"/>
          <w:color w:val="auto"/>
        </w:rPr>
        <w:t xml:space="preserve">V. </w:t>
      </w:r>
      <w:r w:rsidR="009109DA" w:rsidRPr="00BB7852">
        <w:rPr>
          <w:rFonts w:eastAsia="Batang"/>
          <w:color w:val="auto"/>
        </w:rPr>
        <w:t>Trámite de</w:t>
      </w:r>
      <w:r w:rsidR="00A53AD2" w:rsidRPr="00BB7852">
        <w:rPr>
          <w:rFonts w:eastAsia="Batang"/>
          <w:color w:val="auto"/>
        </w:rPr>
        <w:t xml:space="preserve"> los</w:t>
      </w:r>
      <w:r w:rsidR="009109DA" w:rsidRPr="00BB7852">
        <w:rPr>
          <w:rFonts w:eastAsia="Batang"/>
          <w:color w:val="auto"/>
        </w:rPr>
        <w:t xml:space="preserve"> Recurso</w:t>
      </w:r>
      <w:r w:rsidR="00A53AD2" w:rsidRPr="00BB7852">
        <w:rPr>
          <w:rFonts w:eastAsia="Batang"/>
          <w:color w:val="auto"/>
        </w:rPr>
        <w:t>s</w:t>
      </w:r>
      <w:r w:rsidR="009109DA" w:rsidRPr="00BB7852">
        <w:rPr>
          <w:rFonts w:eastAsia="Batang"/>
          <w:color w:val="auto"/>
        </w:rPr>
        <w:t xml:space="preserve"> de Revisión</w:t>
      </w:r>
      <w:r w:rsidR="009109DA" w:rsidRPr="00BB7852">
        <w:rPr>
          <w:rFonts w:eastAsia="Calibri"/>
          <w:color w:val="auto"/>
        </w:rPr>
        <w:t xml:space="preserve"> </w:t>
      </w:r>
      <w:r w:rsidR="009109DA" w:rsidRPr="00BB7852">
        <w:rPr>
          <w:rFonts w:eastAsia="Batang"/>
          <w:color w:val="auto"/>
        </w:rPr>
        <w:t>ante este Instituto</w:t>
      </w:r>
      <w:bookmarkEnd w:id="5"/>
    </w:p>
    <w:p w14:paraId="279B26E4" w14:textId="77777777" w:rsidR="009109DA" w:rsidRPr="00C3207B" w:rsidRDefault="009109DA" w:rsidP="00225915">
      <w:pPr>
        <w:spacing w:after="0" w:line="360" w:lineRule="auto"/>
        <w:rPr>
          <w:rFonts w:eastAsia="Batang" w:cs="Tahoma"/>
          <w:b/>
          <w:bCs/>
          <w:color w:val="FF0000"/>
        </w:rPr>
      </w:pPr>
    </w:p>
    <w:p w14:paraId="46DAAD54" w14:textId="38A33247" w:rsidR="007960AB" w:rsidRPr="00BB7852" w:rsidRDefault="007960AB" w:rsidP="00225915">
      <w:pPr>
        <w:spacing w:after="0" w:line="360" w:lineRule="auto"/>
        <w:contextualSpacing/>
        <w:rPr>
          <w:rFonts w:eastAsia="Batang" w:cs="Tahoma"/>
          <w:bCs/>
          <w:color w:val="auto"/>
          <w:lang w:val="es-ES_tradnl"/>
        </w:rPr>
      </w:pPr>
      <w:r w:rsidRPr="00BB7852">
        <w:rPr>
          <w:rFonts w:eastAsia="Batang" w:cs="Tahoma"/>
          <w:b/>
          <w:bCs/>
          <w:color w:val="auto"/>
          <w:lang w:val="es-ES_tradnl"/>
        </w:rPr>
        <w:t xml:space="preserve">a) Turno del </w:t>
      </w:r>
      <w:r w:rsidRPr="00BB7852">
        <w:rPr>
          <w:rFonts w:cs="Tahoma"/>
          <w:b/>
          <w:color w:val="auto"/>
          <w:lang w:val="es-ES_tradnl"/>
        </w:rPr>
        <w:t>Recurso de Revisión</w:t>
      </w:r>
      <w:r w:rsidRPr="00BB7852">
        <w:rPr>
          <w:rFonts w:eastAsia="Batang" w:cs="Tahoma"/>
          <w:b/>
          <w:bCs/>
          <w:color w:val="auto"/>
          <w:lang w:val="es-ES_tradnl"/>
        </w:rPr>
        <w:t>.</w:t>
      </w:r>
      <w:r w:rsidR="00E5030C" w:rsidRPr="00BB7852">
        <w:rPr>
          <w:rFonts w:eastAsia="Batang" w:cs="Tahoma"/>
          <w:bCs/>
          <w:color w:val="auto"/>
          <w:lang w:val="es-ES_tradnl"/>
        </w:rPr>
        <w:t xml:space="preserve"> </w:t>
      </w:r>
      <w:r w:rsidR="00E5030C" w:rsidRPr="00BB7852">
        <w:rPr>
          <w:rFonts w:eastAsia="Times New Roman" w:cs="Tahoma"/>
          <w:bCs/>
          <w:color w:val="auto"/>
          <w:lang w:val="es-ES" w:eastAsia="es-ES"/>
        </w:rPr>
        <w:t xml:space="preserve">El </w:t>
      </w:r>
      <w:r w:rsidR="00BB7852" w:rsidRPr="00BB7852">
        <w:rPr>
          <w:rFonts w:eastAsia="Times New Roman" w:cs="Tahoma"/>
          <w:bCs/>
          <w:color w:val="auto"/>
          <w:lang w:val="es-ES" w:eastAsia="es-ES"/>
        </w:rPr>
        <w:t xml:space="preserve">diez de octubre </w:t>
      </w:r>
      <w:r w:rsidR="003A1DBB" w:rsidRPr="00BB7852">
        <w:rPr>
          <w:rFonts w:eastAsia="Times New Roman" w:cs="Tahoma"/>
          <w:bCs/>
          <w:color w:val="auto"/>
          <w:lang w:val="es-ES" w:eastAsia="es-ES"/>
        </w:rPr>
        <w:t>de dos mil veinticinco</w:t>
      </w:r>
      <w:r w:rsidRPr="00BB7852">
        <w:rPr>
          <w:rFonts w:eastAsia="Batang" w:cs="Tahoma"/>
          <w:bCs/>
          <w:color w:val="auto"/>
          <w:lang w:val="es-ES_tradnl"/>
        </w:rPr>
        <w:t xml:space="preserve">, el </w:t>
      </w:r>
      <w:r w:rsidRPr="00BB7852">
        <w:rPr>
          <w:rFonts w:cs="Tahoma"/>
          <w:color w:val="auto"/>
          <w:lang w:val="es-ES"/>
        </w:rPr>
        <w:t>Sistema de Acceso a la Información Mexiquense (SAIMEX),</w:t>
      </w:r>
      <w:r w:rsidRPr="00BB7852">
        <w:rPr>
          <w:rFonts w:eastAsia="Batang" w:cs="Tahoma"/>
          <w:bCs/>
          <w:color w:val="auto"/>
          <w:lang w:val="es-ES_tradnl"/>
        </w:rPr>
        <w:t xml:space="preserve"> asignó los números de expediente</w:t>
      </w:r>
      <w:r w:rsidR="00BB7852" w:rsidRPr="00BB7852">
        <w:rPr>
          <w:rFonts w:eastAsia="Batang" w:cs="Tahoma"/>
          <w:bCs/>
          <w:color w:val="auto"/>
          <w:lang w:val="es-ES_tradnl"/>
        </w:rPr>
        <w:t>s</w:t>
      </w:r>
      <w:r w:rsidR="0080192A" w:rsidRPr="00BB7852">
        <w:rPr>
          <w:rFonts w:eastAsia="Batang" w:cs="Tahoma"/>
          <w:bCs/>
          <w:color w:val="auto"/>
          <w:lang w:val="es-ES_tradnl"/>
        </w:rPr>
        <w:t xml:space="preserve"> </w:t>
      </w:r>
      <w:r w:rsidR="00BB7852" w:rsidRPr="00BB7852">
        <w:rPr>
          <w:rFonts w:cs="Tahoma"/>
          <w:b/>
          <w:bCs/>
          <w:color w:val="auto"/>
          <w:lang w:val="es-ES_tradnl"/>
        </w:rPr>
        <w:t>11751/INFOEM/IP/RR/2025, 11752/INFOEM/IP/RR/2025 y 11753/INFOEM/IP/RR/2025</w:t>
      </w:r>
      <w:r w:rsidR="00BB7852" w:rsidRPr="00BB7852">
        <w:rPr>
          <w:rFonts w:eastAsia="Batang" w:cs="Tahoma"/>
          <w:bCs/>
          <w:color w:val="auto"/>
          <w:lang w:val="es-ES_tradnl"/>
        </w:rPr>
        <w:t xml:space="preserve"> </w:t>
      </w:r>
      <w:r w:rsidRPr="00BB7852">
        <w:rPr>
          <w:rFonts w:eastAsia="Batang" w:cs="Tahoma"/>
          <w:bCs/>
          <w:color w:val="auto"/>
          <w:lang w:val="es-ES_tradnl"/>
        </w:rPr>
        <w:t>a</w:t>
      </w:r>
      <w:r w:rsidR="00BB7852" w:rsidRPr="00BB7852">
        <w:rPr>
          <w:rFonts w:eastAsia="Batang" w:cs="Tahoma"/>
          <w:bCs/>
          <w:color w:val="auto"/>
          <w:lang w:val="es-ES_tradnl"/>
        </w:rPr>
        <w:t xml:space="preserve"> los </w:t>
      </w:r>
      <w:r w:rsidR="009764EC" w:rsidRPr="00BB7852">
        <w:rPr>
          <w:rFonts w:eastAsia="Batang" w:cs="Tahoma"/>
          <w:bCs/>
          <w:color w:val="auto"/>
          <w:lang w:val="es-ES_tradnl"/>
        </w:rPr>
        <w:t>M</w:t>
      </w:r>
      <w:r w:rsidRPr="00BB7852">
        <w:rPr>
          <w:rFonts w:eastAsia="Batang" w:cs="Tahoma"/>
          <w:bCs/>
          <w:color w:val="auto"/>
          <w:lang w:val="es-ES_tradnl"/>
        </w:rPr>
        <w:t>edio</w:t>
      </w:r>
      <w:r w:rsidR="00BB7852" w:rsidRPr="00BB7852">
        <w:rPr>
          <w:rFonts w:eastAsia="Batang" w:cs="Tahoma"/>
          <w:bCs/>
          <w:color w:val="auto"/>
          <w:lang w:val="es-ES_tradnl"/>
        </w:rPr>
        <w:t>s</w:t>
      </w:r>
      <w:r w:rsidRPr="00BB7852">
        <w:rPr>
          <w:rFonts w:eastAsia="Batang" w:cs="Tahoma"/>
          <w:bCs/>
          <w:color w:val="auto"/>
          <w:lang w:val="es-ES_tradnl"/>
        </w:rPr>
        <w:t xml:space="preserve"> de </w:t>
      </w:r>
      <w:r w:rsidR="009764EC" w:rsidRPr="00BB7852">
        <w:rPr>
          <w:rFonts w:eastAsia="Batang" w:cs="Tahoma"/>
          <w:bCs/>
          <w:color w:val="auto"/>
          <w:lang w:val="es-ES_tradnl"/>
        </w:rPr>
        <w:t>I</w:t>
      </w:r>
      <w:r w:rsidRPr="00BB7852">
        <w:rPr>
          <w:rFonts w:eastAsia="Batang" w:cs="Tahoma"/>
          <w:bCs/>
          <w:color w:val="auto"/>
          <w:lang w:val="es-ES_tradnl"/>
        </w:rPr>
        <w:t>mpugnación que nos ocupa</w:t>
      </w:r>
      <w:r w:rsidR="00BB7852" w:rsidRPr="00BB7852">
        <w:rPr>
          <w:rFonts w:eastAsia="Batang" w:cs="Tahoma"/>
          <w:bCs/>
          <w:color w:val="auto"/>
          <w:lang w:val="es-ES_tradnl"/>
        </w:rPr>
        <w:t>n</w:t>
      </w:r>
      <w:r w:rsidRPr="00BB7852">
        <w:rPr>
          <w:rFonts w:eastAsia="Batang" w:cs="Tahoma"/>
          <w:bCs/>
          <w:color w:val="auto"/>
          <w:lang w:val="es-ES_tradnl"/>
        </w:rPr>
        <w:t xml:space="preserve">, con base en el sistema aprobado por el Pleno de este </w:t>
      </w:r>
      <w:r w:rsidR="00341274" w:rsidRPr="00BB7852">
        <w:rPr>
          <w:rFonts w:eastAsia="Batang" w:cs="Tahoma"/>
          <w:bCs/>
          <w:color w:val="auto"/>
          <w:lang w:val="es-ES_tradnl"/>
        </w:rPr>
        <w:t>Organismo</w:t>
      </w:r>
      <w:r w:rsidRPr="00BB7852">
        <w:rPr>
          <w:rFonts w:eastAsia="Batang" w:cs="Tahoma"/>
          <w:bCs/>
          <w:color w:val="auto"/>
          <w:lang w:val="es-ES_tradnl"/>
        </w:rPr>
        <w:t xml:space="preserve"> Garante y lo</w:t>
      </w:r>
      <w:r w:rsidR="009764EC" w:rsidRPr="00BB7852">
        <w:rPr>
          <w:rFonts w:eastAsia="Batang" w:cs="Tahoma"/>
          <w:bCs/>
          <w:color w:val="auto"/>
          <w:lang w:val="es-ES_tradnl"/>
        </w:rPr>
        <w:t>s</w:t>
      </w:r>
      <w:r w:rsidRPr="00BB7852">
        <w:rPr>
          <w:rFonts w:eastAsia="Batang" w:cs="Tahoma"/>
          <w:bCs/>
          <w:color w:val="auto"/>
          <w:lang w:val="es-ES_tradnl"/>
        </w:rPr>
        <w:t xml:space="preserve"> turnó a</w:t>
      </w:r>
      <w:r w:rsidR="0055375C" w:rsidRPr="00BB7852">
        <w:rPr>
          <w:rFonts w:eastAsia="Batang" w:cs="Tahoma"/>
          <w:bCs/>
          <w:color w:val="auto"/>
          <w:lang w:val="es-ES_tradnl"/>
        </w:rPr>
        <w:t xml:space="preserve"> los</w:t>
      </w:r>
      <w:r w:rsidRPr="00BB7852">
        <w:rPr>
          <w:rFonts w:eastAsia="Batang" w:cs="Tahoma"/>
          <w:bCs/>
          <w:color w:val="auto"/>
          <w:lang w:val="es-ES_tradnl"/>
        </w:rPr>
        <w:t xml:space="preserve"> </w:t>
      </w:r>
      <w:r w:rsidR="00BB7852" w:rsidRPr="00BB7852">
        <w:rPr>
          <w:rFonts w:eastAsia="Batang" w:cs="Tahoma"/>
          <w:bCs/>
          <w:color w:val="auto"/>
          <w:lang w:val="es-ES_tradnl"/>
        </w:rPr>
        <w:t xml:space="preserve">Comisionados María Del Rosario Mejía Ayala, </w:t>
      </w:r>
      <w:r w:rsidR="00BB7852" w:rsidRPr="00BB7852">
        <w:rPr>
          <w:rFonts w:eastAsia="Times New Roman" w:cs="Tahoma"/>
          <w:bCs/>
          <w:iCs/>
          <w:color w:val="auto"/>
          <w:lang w:val="es-ES" w:eastAsia="es-ES"/>
        </w:rPr>
        <w:t>Sharon Cristina Morales Martínez</w:t>
      </w:r>
      <w:r w:rsidR="00BB7852" w:rsidRPr="00BB7852">
        <w:rPr>
          <w:rFonts w:eastAsia="Batang" w:cs="Tahoma"/>
          <w:bCs/>
          <w:color w:val="auto"/>
          <w:lang w:val="es-ES_tradnl"/>
        </w:rPr>
        <w:t xml:space="preserve"> </w:t>
      </w:r>
      <w:r w:rsidR="0055375C" w:rsidRPr="00BB7852">
        <w:rPr>
          <w:rFonts w:eastAsia="Batang" w:cs="Tahoma"/>
          <w:bCs/>
          <w:color w:val="auto"/>
          <w:lang w:val="es-ES_tradnl"/>
        </w:rPr>
        <w:t>y</w:t>
      </w:r>
      <w:r w:rsidRPr="00BB7852">
        <w:rPr>
          <w:rFonts w:eastAsia="Batang" w:cs="Tahoma"/>
          <w:bCs/>
          <w:color w:val="auto"/>
          <w:lang w:val="es-ES_tradnl"/>
        </w:rPr>
        <w:t xml:space="preserve"> Luis Gustavo Parra Noriega</w:t>
      </w:r>
      <w:r w:rsidR="009764EC" w:rsidRPr="00BB7852">
        <w:rPr>
          <w:rFonts w:eastAsia="Batang" w:cs="Tahoma"/>
          <w:bCs/>
          <w:color w:val="auto"/>
          <w:lang w:val="es-ES_tradnl"/>
        </w:rPr>
        <w:t>, respectivamente</w:t>
      </w:r>
      <w:r w:rsidRPr="00BB7852">
        <w:rPr>
          <w:rFonts w:eastAsia="Batang" w:cs="Tahoma"/>
          <w:bCs/>
          <w:color w:val="auto"/>
          <w:lang w:val="es-ES_tradnl"/>
        </w:rPr>
        <w:t>, para los efectos del artículo 185, fracción I de la Ley de Transparencia y Acceso a la Información Pública del Estado de México y Municipios.</w:t>
      </w:r>
    </w:p>
    <w:p w14:paraId="6EACD599" w14:textId="77777777" w:rsidR="009109DA" w:rsidRPr="00C3207B" w:rsidRDefault="009109DA" w:rsidP="00225915">
      <w:pPr>
        <w:spacing w:after="0" w:line="360" w:lineRule="auto"/>
        <w:rPr>
          <w:rFonts w:eastAsia="Batang" w:cs="Tahoma"/>
          <w:bCs/>
          <w:color w:val="FF0000"/>
        </w:rPr>
      </w:pPr>
    </w:p>
    <w:p w14:paraId="5F5565B2" w14:textId="0CC09386" w:rsidR="00B936FD" w:rsidRPr="00BB7852" w:rsidRDefault="00B936FD" w:rsidP="00225915">
      <w:pPr>
        <w:spacing w:after="0" w:line="360" w:lineRule="auto"/>
        <w:rPr>
          <w:rFonts w:eastAsia="Batang" w:cs="Tahoma"/>
          <w:color w:val="auto"/>
          <w:lang w:val="es-ES_tradnl"/>
        </w:rPr>
      </w:pPr>
      <w:r w:rsidRPr="00BB7852">
        <w:rPr>
          <w:rFonts w:eastAsia="Batang" w:cs="Tahoma"/>
          <w:b/>
          <w:bCs/>
          <w:color w:val="auto"/>
        </w:rPr>
        <w:t>b) Admisión del Recurso de Revisión</w:t>
      </w:r>
      <w:r w:rsidRPr="00BB7852">
        <w:rPr>
          <w:rFonts w:eastAsia="Batang" w:cs="Tahoma"/>
          <w:b/>
          <w:bCs/>
          <w:color w:val="auto"/>
          <w:lang w:val="es-ES_tradnl"/>
        </w:rPr>
        <w:t xml:space="preserve">. </w:t>
      </w:r>
      <w:r w:rsidRPr="00BB7852">
        <w:rPr>
          <w:rFonts w:eastAsia="Batang" w:cs="Tahoma"/>
          <w:color w:val="auto"/>
          <w:lang w:val="es-ES_tradnl"/>
        </w:rPr>
        <w:t>El</w:t>
      </w:r>
      <w:r w:rsidR="009277AF" w:rsidRPr="00BB7852">
        <w:rPr>
          <w:rFonts w:eastAsia="Batang" w:cs="Tahoma"/>
          <w:color w:val="auto"/>
          <w:lang w:val="es-ES_tradnl"/>
        </w:rPr>
        <w:t xml:space="preserve"> </w:t>
      </w:r>
      <w:r w:rsidR="00BB7852" w:rsidRPr="00BB7852">
        <w:rPr>
          <w:rFonts w:eastAsia="Batang" w:cs="Tahoma"/>
          <w:color w:val="auto"/>
          <w:lang w:val="es-ES_tradnl"/>
        </w:rPr>
        <w:t xml:space="preserve">catorce  y quince de octubre </w:t>
      </w:r>
      <w:r w:rsidR="001E2BC4" w:rsidRPr="00BB7852">
        <w:rPr>
          <w:rFonts w:eastAsia="Batang" w:cs="Tahoma"/>
          <w:color w:val="auto"/>
          <w:lang w:val="es-ES_tradnl"/>
        </w:rPr>
        <w:t xml:space="preserve">de dos mil veinticinco, </w:t>
      </w:r>
      <w:r w:rsidRPr="00BB7852">
        <w:rPr>
          <w:rFonts w:eastAsia="Batang" w:cs="Tahoma"/>
          <w:color w:val="auto"/>
          <w:lang w:val="es-ES_tradnl"/>
        </w:rPr>
        <w:t>se acordó la admisión de</w:t>
      </w:r>
      <w:r w:rsidR="0093175C" w:rsidRPr="00BB7852">
        <w:rPr>
          <w:rFonts w:eastAsia="Batang" w:cs="Tahoma"/>
          <w:color w:val="auto"/>
          <w:lang w:val="es-ES_tradnl"/>
        </w:rPr>
        <w:t xml:space="preserve"> los</w:t>
      </w:r>
      <w:r w:rsidRPr="00BB7852">
        <w:rPr>
          <w:rFonts w:eastAsia="Batang" w:cs="Tahoma"/>
          <w:color w:val="auto"/>
          <w:lang w:val="es-ES_tradnl"/>
        </w:rPr>
        <w:t xml:space="preserve"> Recurso</w:t>
      </w:r>
      <w:r w:rsidR="0093175C" w:rsidRPr="00BB7852">
        <w:rPr>
          <w:rFonts w:eastAsia="Batang" w:cs="Tahoma"/>
          <w:color w:val="auto"/>
          <w:lang w:val="es-ES_tradnl"/>
        </w:rPr>
        <w:t>s</w:t>
      </w:r>
      <w:r w:rsidRPr="00BB7852">
        <w:rPr>
          <w:rFonts w:eastAsia="Batang" w:cs="Tahoma"/>
          <w:color w:val="auto"/>
          <w:lang w:val="es-ES_tradnl"/>
        </w:rPr>
        <w:t xml:space="preserve"> de Revisión interpuesto</w:t>
      </w:r>
      <w:r w:rsidR="0093175C" w:rsidRPr="00BB7852">
        <w:rPr>
          <w:rFonts w:eastAsia="Batang" w:cs="Tahoma"/>
          <w:color w:val="auto"/>
          <w:lang w:val="es-ES_tradnl"/>
        </w:rPr>
        <w:t>s</w:t>
      </w:r>
      <w:r w:rsidRPr="00BB7852">
        <w:rPr>
          <w:rFonts w:eastAsia="Batang" w:cs="Tahoma"/>
          <w:color w:val="auto"/>
          <w:lang w:val="es-ES_tradnl"/>
        </w:rPr>
        <w:t xml:space="preserve"> por </w:t>
      </w:r>
      <w:r w:rsidR="00FF1373" w:rsidRPr="00BB7852">
        <w:rPr>
          <w:rFonts w:eastAsia="Batang" w:cs="Tahoma"/>
          <w:color w:val="auto"/>
          <w:lang w:val="es-ES_tradnl"/>
        </w:rPr>
        <w:t>la</w:t>
      </w:r>
      <w:r w:rsidRPr="00BB7852">
        <w:rPr>
          <w:rFonts w:eastAsia="Batang" w:cs="Tahoma"/>
          <w:color w:val="auto"/>
          <w:lang w:val="es-ES_tradnl"/>
        </w:rPr>
        <w:t xml:space="preserve"> </w:t>
      </w:r>
      <w:r w:rsidR="009931C7" w:rsidRPr="00BB7852">
        <w:rPr>
          <w:rFonts w:eastAsia="Batang" w:cs="Tahoma"/>
          <w:color w:val="auto"/>
          <w:lang w:val="es-ES_tradnl"/>
        </w:rPr>
        <w:t xml:space="preserve">persona </w:t>
      </w:r>
      <w:r w:rsidRPr="00BB7852">
        <w:rPr>
          <w:rFonts w:eastAsia="Batang" w:cs="Tahoma"/>
          <w:color w:val="auto"/>
          <w:lang w:val="es-ES_tradnl"/>
        </w:rPr>
        <w:t>Recurrente en contra del Sujeto Obligado, en términos del artículo 185, fracciones I y II de la Ley de Transparencia y Acceso a la Información Pública del Estado de México y Municipios, el cual fue notificado a las partes</w:t>
      </w:r>
      <w:r w:rsidR="00BB7852" w:rsidRPr="00BB7852">
        <w:rPr>
          <w:rFonts w:eastAsia="Batang" w:cs="Tahoma"/>
          <w:color w:val="auto"/>
          <w:lang w:val="es-ES_tradnl"/>
        </w:rPr>
        <w:t xml:space="preserve"> los mismos días</w:t>
      </w:r>
      <w:r w:rsidR="00CD5EB3" w:rsidRPr="00BB7852">
        <w:rPr>
          <w:rFonts w:eastAsia="Batang" w:cs="Tahoma"/>
          <w:color w:val="auto"/>
          <w:lang w:val="es-ES_tradnl"/>
        </w:rPr>
        <w:t>,</w:t>
      </w:r>
      <w:r w:rsidRPr="00BB7852">
        <w:rPr>
          <w:rFonts w:eastAsia="Batang" w:cs="Tahoma"/>
          <w:color w:val="auto"/>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14:paraId="3662E674" w14:textId="77777777" w:rsidR="009109DA" w:rsidRPr="00C3207B" w:rsidRDefault="009109DA" w:rsidP="00225915">
      <w:pPr>
        <w:spacing w:after="0" w:line="360" w:lineRule="auto"/>
        <w:rPr>
          <w:rFonts w:cs="Tahoma"/>
          <w:color w:val="FF0000"/>
        </w:rPr>
      </w:pPr>
    </w:p>
    <w:p w14:paraId="4A355E62" w14:textId="5F15AC19" w:rsidR="00DC7AA4" w:rsidRDefault="00FD288C" w:rsidP="00A16B9F">
      <w:pPr>
        <w:spacing w:line="360" w:lineRule="auto"/>
        <w:rPr>
          <w:rFonts w:eastAsia="Calibri" w:cs="Tahoma"/>
          <w:color w:val="auto"/>
        </w:rPr>
      </w:pPr>
      <w:r w:rsidRPr="00A16B9F">
        <w:rPr>
          <w:rFonts w:cs="Tahoma"/>
          <w:b/>
          <w:color w:val="auto"/>
        </w:rPr>
        <w:t xml:space="preserve">c) </w:t>
      </w:r>
      <w:r w:rsidRPr="00A16B9F">
        <w:rPr>
          <w:rFonts w:eastAsia="Calibri" w:cs="Tahoma"/>
          <w:b/>
          <w:color w:val="auto"/>
        </w:rPr>
        <w:t>Acumulación de los asuntos.</w:t>
      </w:r>
      <w:r w:rsidRPr="00A16B9F">
        <w:rPr>
          <w:rFonts w:eastAsia="Calibri" w:cs="Tahoma"/>
          <w:color w:val="auto"/>
        </w:rPr>
        <w:t xml:space="preserve"> El </w:t>
      </w:r>
      <w:r w:rsidR="00BB7852" w:rsidRPr="00A16B9F">
        <w:rPr>
          <w:rFonts w:eastAsia="Calibri" w:cs="Tahoma"/>
          <w:color w:val="auto"/>
        </w:rPr>
        <w:t xml:space="preserve">veintidós de octubre </w:t>
      </w:r>
      <w:r w:rsidRPr="00A16B9F">
        <w:rPr>
          <w:rFonts w:eastAsia="Calibri" w:cs="Tahoma"/>
          <w:color w:val="auto"/>
        </w:rPr>
        <w:t>de dos mil veintic</w:t>
      </w:r>
      <w:r w:rsidR="004910E7" w:rsidRPr="00A16B9F">
        <w:rPr>
          <w:rFonts w:eastAsia="Calibri" w:cs="Tahoma"/>
          <w:color w:val="auto"/>
        </w:rPr>
        <w:t>inco</w:t>
      </w:r>
      <w:r w:rsidRPr="00A16B9F">
        <w:rPr>
          <w:rFonts w:eastAsia="Calibri" w:cs="Tahoma"/>
          <w:color w:val="auto"/>
        </w:rPr>
        <w:t xml:space="preserve">, el Pleno del Instituto de Transparencia, Acceso a la Información Pública y Protección de Datos Personales del Estado de México y Municipios,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w:t>
      </w:r>
      <w:r w:rsidRPr="00A16B9F">
        <w:rPr>
          <w:rFonts w:eastAsia="Calibri" w:cs="Tahoma"/>
          <w:b/>
          <w:bCs/>
          <w:color w:val="auto"/>
        </w:rPr>
        <w:t xml:space="preserve">decretó </w:t>
      </w:r>
      <w:r w:rsidRPr="00A16B9F">
        <w:rPr>
          <w:rFonts w:eastAsia="Calibri" w:cs="Tahoma"/>
          <w:color w:val="auto"/>
        </w:rPr>
        <w:t>la acumulación de</w:t>
      </w:r>
      <w:r w:rsidR="00A16B9F" w:rsidRPr="00A16B9F">
        <w:rPr>
          <w:rFonts w:eastAsia="Calibri" w:cs="Tahoma"/>
          <w:color w:val="auto"/>
        </w:rPr>
        <w:t xml:space="preserve"> los Recurso de Revisión </w:t>
      </w:r>
      <w:r w:rsidR="00A16B9F" w:rsidRPr="00A16B9F">
        <w:rPr>
          <w:rFonts w:eastAsia="Calibri" w:cs="Tahoma"/>
          <w:b/>
          <w:bCs/>
          <w:color w:val="auto"/>
          <w:lang w:val="es-ES"/>
        </w:rPr>
        <w:t>11752/INFOEM/IP/RR/2025 y 11753/INFOEM/IP/RR/2025</w:t>
      </w:r>
      <w:r w:rsidR="00A16B9F" w:rsidRPr="00A16B9F">
        <w:rPr>
          <w:rFonts w:eastAsia="Calibri" w:cs="Tahoma"/>
          <w:color w:val="auto"/>
        </w:rPr>
        <w:t xml:space="preserve"> al diverso</w:t>
      </w:r>
      <w:r w:rsidR="00A16B9F" w:rsidRPr="00A16B9F">
        <w:rPr>
          <w:rFonts w:eastAsia="Calibri" w:cs="Tahoma"/>
          <w:b/>
          <w:bCs/>
          <w:color w:val="auto"/>
        </w:rPr>
        <w:t xml:space="preserve"> </w:t>
      </w:r>
      <w:r w:rsidR="00A16B9F" w:rsidRPr="00A16B9F">
        <w:rPr>
          <w:rFonts w:eastAsia="Calibri" w:cs="Tahoma"/>
          <w:b/>
          <w:bCs/>
          <w:color w:val="auto"/>
          <w:lang w:val="es-ES"/>
        </w:rPr>
        <w:t>11751/INFOEM/IP/RR/2025</w:t>
      </w:r>
      <w:r w:rsidR="00A16B9F" w:rsidRPr="00A16B9F">
        <w:rPr>
          <w:rFonts w:eastAsia="Calibri" w:cs="Tahoma"/>
          <w:color w:val="auto"/>
        </w:rPr>
        <w:t>, por ser este último el más antiguo, sustanciado bajo el índice de esta ponencia.</w:t>
      </w:r>
    </w:p>
    <w:p w14:paraId="5D783537" w14:textId="77777777" w:rsidR="00A16B9F" w:rsidRPr="00A16B9F" w:rsidRDefault="00A16B9F" w:rsidP="00A16B9F">
      <w:pPr>
        <w:spacing w:line="360" w:lineRule="auto"/>
        <w:rPr>
          <w:rFonts w:eastAsia="Calibri" w:cs="Tahoma"/>
          <w:b/>
          <w:bCs/>
          <w:color w:val="auto"/>
        </w:rPr>
      </w:pPr>
    </w:p>
    <w:p w14:paraId="74767324" w14:textId="68254DFD" w:rsidR="00E22655" w:rsidRPr="00A16B9F" w:rsidRDefault="00CE1307" w:rsidP="00225915">
      <w:pPr>
        <w:spacing w:after="0" w:line="360" w:lineRule="auto"/>
        <w:rPr>
          <w:rFonts w:cs="Tahoma"/>
          <w:bCs/>
          <w:iCs/>
          <w:color w:val="auto"/>
          <w:lang w:val="es-ES"/>
        </w:rPr>
      </w:pPr>
      <w:r w:rsidRPr="00A16B9F">
        <w:rPr>
          <w:rFonts w:cs="Tahoma"/>
          <w:b/>
          <w:color w:val="auto"/>
        </w:rPr>
        <w:t xml:space="preserve">d) </w:t>
      </w:r>
      <w:r w:rsidRPr="00A16B9F">
        <w:rPr>
          <w:rFonts w:cs="Tahoma"/>
          <w:b/>
          <w:bCs/>
          <w:iCs/>
          <w:color w:val="auto"/>
          <w:lang w:val="es-ES"/>
        </w:rPr>
        <w:t>Informe Justificado o manifestaciones</w:t>
      </w:r>
      <w:r w:rsidR="002B3033" w:rsidRPr="00A16B9F">
        <w:rPr>
          <w:rFonts w:cs="Tahoma"/>
          <w:b/>
          <w:bCs/>
          <w:iCs/>
          <w:color w:val="auto"/>
          <w:lang w:val="es-ES"/>
        </w:rPr>
        <w:t xml:space="preserve">. </w:t>
      </w:r>
      <w:r w:rsidR="002B3033" w:rsidRPr="00A16B9F">
        <w:rPr>
          <w:rFonts w:cs="Tahoma"/>
          <w:iCs/>
          <w:color w:val="auto"/>
          <w:lang w:val="es-ES"/>
        </w:rPr>
        <w:t xml:space="preserve">Las </w:t>
      </w:r>
      <w:r w:rsidR="009367AE" w:rsidRPr="00A16B9F">
        <w:rPr>
          <w:rFonts w:cs="Tahoma"/>
          <w:iCs/>
          <w:color w:val="auto"/>
          <w:lang w:val="es-ES"/>
        </w:rPr>
        <w:t>partes fueron omisas en emitir manifestaciones o alegatos</w:t>
      </w:r>
      <w:r w:rsidR="00E22655" w:rsidRPr="00A16B9F">
        <w:rPr>
          <w:rFonts w:cs="Tahoma"/>
          <w:color w:val="auto"/>
        </w:rPr>
        <w:t>.</w:t>
      </w:r>
    </w:p>
    <w:p w14:paraId="2D5EF63B" w14:textId="77777777" w:rsidR="00B93FC1" w:rsidRPr="00C3207B" w:rsidRDefault="00B93FC1" w:rsidP="00225915">
      <w:pPr>
        <w:spacing w:after="0" w:line="360" w:lineRule="auto"/>
        <w:rPr>
          <w:rFonts w:eastAsia="Times New Roman" w:cs="Tahoma"/>
          <w:b/>
          <w:color w:val="FF0000"/>
          <w:szCs w:val="24"/>
          <w:lang w:eastAsia="es-ES"/>
        </w:rPr>
      </w:pPr>
    </w:p>
    <w:p w14:paraId="3C2ECF04" w14:textId="72B2E7CD" w:rsidR="009109DA" w:rsidRPr="00A16B9F" w:rsidRDefault="007B1E83" w:rsidP="00225915">
      <w:pPr>
        <w:spacing w:after="0" w:line="360" w:lineRule="auto"/>
        <w:rPr>
          <w:rFonts w:eastAsia="Times New Roman" w:cs="Tahoma"/>
          <w:color w:val="auto"/>
          <w:szCs w:val="24"/>
          <w:lang w:eastAsia="es-ES"/>
        </w:rPr>
      </w:pPr>
      <w:r w:rsidRPr="00A16B9F">
        <w:rPr>
          <w:rFonts w:eastAsia="Times New Roman" w:cs="Tahoma"/>
          <w:b/>
          <w:color w:val="auto"/>
          <w:szCs w:val="24"/>
          <w:lang w:eastAsia="es-ES"/>
        </w:rPr>
        <w:t>e</w:t>
      </w:r>
      <w:r w:rsidR="009109DA" w:rsidRPr="00A16B9F">
        <w:rPr>
          <w:rFonts w:eastAsia="Times New Roman" w:cs="Tahoma"/>
          <w:b/>
          <w:color w:val="auto"/>
          <w:szCs w:val="24"/>
          <w:lang w:eastAsia="es-ES"/>
        </w:rPr>
        <w:t>) Cierre de instrucción.</w:t>
      </w:r>
      <w:r w:rsidR="009109DA" w:rsidRPr="00A16B9F">
        <w:rPr>
          <w:rFonts w:eastAsia="Times New Roman" w:cs="Tahoma"/>
          <w:color w:val="auto"/>
          <w:szCs w:val="24"/>
          <w:lang w:eastAsia="es-ES"/>
        </w:rPr>
        <w:t xml:space="preserve"> El</w:t>
      </w:r>
      <w:r w:rsidR="00A16B9F" w:rsidRPr="00A16B9F">
        <w:rPr>
          <w:rFonts w:eastAsia="Times New Roman" w:cs="Tahoma"/>
          <w:color w:val="auto"/>
          <w:szCs w:val="24"/>
          <w:lang w:eastAsia="es-ES"/>
        </w:rPr>
        <w:t xml:space="preserve"> seis de noviembre de dos mil veinticinco</w:t>
      </w:r>
      <w:r w:rsidR="009109DA" w:rsidRPr="00A16B9F">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9109DA" w:rsidRPr="00A16B9F">
        <w:rPr>
          <w:rFonts w:eastAsia="Times New Roman" w:cs="Tahoma"/>
          <w:color w:val="auto"/>
          <w:szCs w:val="20"/>
          <w:lang w:val="es-ES" w:eastAsia="es-ES"/>
        </w:rPr>
        <w:t>Sistema de Acceso a la Información Mexiquense (SAIMEX)</w:t>
      </w:r>
      <w:r w:rsidR="009109DA" w:rsidRPr="00A16B9F">
        <w:rPr>
          <w:rFonts w:eastAsia="Times New Roman" w:cs="Tahoma"/>
          <w:color w:val="auto"/>
          <w:szCs w:val="24"/>
          <w:lang w:eastAsia="es-ES"/>
        </w:rPr>
        <w:t xml:space="preserve">. </w:t>
      </w:r>
    </w:p>
    <w:p w14:paraId="6AC8A71D" w14:textId="77777777" w:rsidR="009109DA" w:rsidRPr="00C3207B" w:rsidRDefault="009109DA" w:rsidP="00225915">
      <w:pPr>
        <w:spacing w:after="0" w:line="360" w:lineRule="auto"/>
        <w:rPr>
          <w:rFonts w:eastAsia="Times New Roman" w:cs="Tahoma"/>
          <w:color w:val="FF0000"/>
          <w:szCs w:val="24"/>
          <w:lang w:eastAsia="es-ES"/>
        </w:rPr>
      </w:pPr>
    </w:p>
    <w:p w14:paraId="661E652A" w14:textId="02ACD4DE" w:rsidR="009109DA" w:rsidRPr="00A16B9F" w:rsidRDefault="009109DA" w:rsidP="00225915">
      <w:pPr>
        <w:spacing w:after="0" w:line="360" w:lineRule="auto"/>
        <w:rPr>
          <w:rFonts w:eastAsia="Times New Roman" w:cs="Tahoma"/>
          <w:color w:val="auto"/>
          <w:szCs w:val="24"/>
          <w:lang w:eastAsia="es-ES"/>
        </w:rPr>
      </w:pPr>
      <w:r w:rsidRPr="00A16B9F">
        <w:rPr>
          <w:rFonts w:eastAsia="Times New Roman" w:cs="Tahoma"/>
          <w:color w:val="auto"/>
          <w:szCs w:val="24"/>
          <w:lang w:eastAsia="es-ES"/>
        </w:rPr>
        <w:t>En razón de que fue debidamente sustanciado e integrado el expediente electrónico y no existe diligencia pendiente de desahogo, se emite la resolución que conforme a Derecho proceda, de acuerdo a los siguientes:</w:t>
      </w:r>
    </w:p>
    <w:p w14:paraId="237A7146" w14:textId="77777777" w:rsidR="00FF03B6" w:rsidRPr="00A16B9F" w:rsidRDefault="00FF03B6" w:rsidP="00225915">
      <w:pPr>
        <w:spacing w:after="0" w:line="360" w:lineRule="auto"/>
        <w:rPr>
          <w:rFonts w:eastAsia="Times New Roman" w:cs="Tahoma"/>
          <w:b/>
          <w:color w:val="auto"/>
          <w:lang w:val="es-ES" w:eastAsia="es-ES"/>
        </w:rPr>
      </w:pPr>
    </w:p>
    <w:p w14:paraId="68BF6408" w14:textId="6E2103A3" w:rsidR="00712AB9" w:rsidRPr="00A16B9F" w:rsidRDefault="00712AB9" w:rsidP="001B0FD7">
      <w:pPr>
        <w:pStyle w:val="Ttulo1"/>
        <w:rPr>
          <w:color w:val="auto"/>
          <w:lang w:val="es-ES"/>
        </w:rPr>
      </w:pPr>
      <w:bookmarkStart w:id="6" w:name="_Toc213328974"/>
      <w:r w:rsidRPr="00A16B9F">
        <w:rPr>
          <w:color w:val="auto"/>
          <w:lang w:val="es-ES"/>
        </w:rPr>
        <w:t>CONSIDERANDOS</w:t>
      </w:r>
      <w:bookmarkEnd w:id="6"/>
    </w:p>
    <w:p w14:paraId="116D689E" w14:textId="77777777" w:rsidR="00712AB9" w:rsidRPr="00A16B9F" w:rsidRDefault="00712AB9" w:rsidP="00225915">
      <w:pPr>
        <w:spacing w:after="0" w:line="360" w:lineRule="auto"/>
        <w:rPr>
          <w:rFonts w:cs="Tahoma"/>
          <w:b/>
          <w:color w:val="auto"/>
          <w:lang w:val="es-ES"/>
        </w:rPr>
      </w:pPr>
    </w:p>
    <w:p w14:paraId="2D53237B" w14:textId="03957B6E" w:rsidR="00712AB9" w:rsidRPr="00A16B9F" w:rsidRDefault="00712AB9" w:rsidP="001B0FD7">
      <w:pPr>
        <w:pStyle w:val="Ttulo2"/>
        <w:rPr>
          <w:color w:val="auto"/>
          <w:lang w:val="es-ES"/>
        </w:rPr>
      </w:pPr>
      <w:bookmarkStart w:id="7" w:name="_Toc213328975"/>
      <w:r w:rsidRPr="00A16B9F">
        <w:rPr>
          <w:rFonts w:eastAsia="Calibri"/>
          <w:color w:val="auto"/>
          <w:lang w:val="es-ES" w:eastAsia="es-MX"/>
        </w:rPr>
        <w:t xml:space="preserve">PRIMERO. </w:t>
      </w:r>
      <w:r w:rsidRPr="00A16B9F">
        <w:rPr>
          <w:color w:val="auto"/>
          <w:lang w:val="es-ES"/>
        </w:rPr>
        <w:t>Competencia</w:t>
      </w:r>
      <w:bookmarkEnd w:id="7"/>
    </w:p>
    <w:p w14:paraId="6984F45B" w14:textId="77777777" w:rsidR="00712AB9" w:rsidRPr="00A16B9F" w:rsidRDefault="00712AB9" w:rsidP="00225915">
      <w:pPr>
        <w:autoSpaceDE w:val="0"/>
        <w:autoSpaceDN w:val="0"/>
        <w:adjustRightInd w:val="0"/>
        <w:spacing w:after="0" w:line="360" w:lineRule="auto"/>
        <w:rPr>
          <w:rFonts w:cs="Tahoma"/>
          <w:b/>
          <w:color w:val="auto"/>
          <w:lang w:val="es-ES"/>
        </w:rPr>
      </w:pPr>
    </w:p>
    <w:p w14:paraId="30752C67" w14:textId="623E51E0" w:rsidR="005B5851" w:rsidRPr="002E6662" w:rsidRDefault="002E6662" w:rsidP="00225915">
      <w:pPr>
        <w:autoSpaceDE w:val="0"/>
        <w:autoSpaceDN w:val="0"/>
        <w:adjustRightInd w:val="0"/>
        <w:spacing w:after="0" w:line="360" w:lineRule="auto"/>
        <w:rPr>
          <w:rFonts w:eastAsia="Calibri" w:cs="Tahoma"/>
          <w:color w:val="auto"/>
          <w:lang w:eastAsia="es-MX"/>
        </w:rPr>
      </w:pPr>
      <w:r w:rsidRPr="002E6662">
        <w:rPr>
          <w:rFonts w:eastAsia="Calibri" w:cs="Tahoma"/>
          <w:color w:val="auto"/>
          <w:lang w:eastAsia="es-MX"/>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0BD7FBBC" w14:textId="77777777" w:rsidR="002E6662" w:rsidRPr="00A16B9F" w:rsidRDefault="002E6662" w:rsidP="00225915">
      <w:pPr>
        <w:autoSpaceDE w:val="0"/>
        <w:autoSpaceDN w:val="0"/>
        <w:adjustRightInd w:val="0"/>
        <w:spacing w:after="0" w:line="360" w:lineRule="auto"/>
        <w:rPr>
          <w:rFonts w:eastAsia="Calibri" w:cs="Tahoma"/>
          <w:b/>
          <w:color w:val="auto"/>
          <w:lang w:eastAsia="es-MX"/>
        </w:rPr>
      </w:pPr>
    </w:p>
    <w:p w14:paraId="456E3B01" w14:textId="27471711" w:rsidR="00712AB9" w:rsidRPr="00A16B9F" w:rsidRDefault="00712AB9" w:rsidP="001B0FD7">
      <w:pPr>
        <w:pStyle w:val="Ttulo2"/>
        <w:rPr>
          <w:color w:val="auto"/>
          <w:lang w:val="es-ES"/>
        </w:rPr>
      </w:pPr>
      <w:bookmarkStart w:id="8" w:name="_Toc213328976"/>
      <w:r w:rsidRPr="00A16B9F">
        <w:rPr>
          <w:rFonts w:eastAsia="Calibri"/>
          <w:color w:val="auto"/>
          <w:lang w:val="es-ES" w:eastAsia="es-MX"/>
        </w:rPr>
        <w:t xml:space="preserve">SEGUNDO. </w:t>
      </w:r>
      <w:r w:rsidRPr="00A16B9F">
        <w:rPr>
          <w:color w:val="auto"/>
          <w:lang w:val="es-ES"/>
        </w:rPr>
        <w:t>Causales de improcedencia y sobreseimiento</w:t>
      </w:r>
      <w:bookmarkEnd w:id="8"/>
    </w:p>
    <w:p w14:paraId="30DA7B31" w14:textId="77777777" w:rsidR="00712AB9" w:rsidRPr="00A16B9F" w:rsidRDefault="00712AB9" w:rsidP="00225915">
      <w:pPr>
        <w:autoSpaceDE w:val="0"/>
        <w:autoSpaceDN w:val="0"/>
        <w:adjustRightInd w:val="0"/>
        <w:spacing w:after="0" w:line="360" w:lineRule="auto"/>
        <w:rPr>
          <w:rFonts w:cs="Tahoma"/>
          <w:b/>
          <w:color w:val="auto"/>
          <w:lang w:val="es-ES"/>
        </w:rPr>
      </w:pPr>
    </w:p>
    <w:p w14:paraId="48B4DADF" w14:textId="77777777" w:rsidR="00712AB9" w:rsidRPr="00A16B9F" w:rsidRDefault="00712AB9" w:rsidP="00225915">
      <w:pPr>
        <w:autoSpaceDE w:val="0"/>
        <w:autoSpaceDN w:val="0"/>
        <w:adjustRightInd w:val="0"/>
        <w:spacing w:after="0" w:line="360" w:lineRule="auto"/>
        <w:rPr>
          <w:rFonts w:cs="Tahoma"/>
          <w:color w:val="auto"/>
          <w:lang w:val="es-ES"/>
        </w:rPr>
      </w:pPr>
      <w:r w:rsidRPr="00A16B9F">
        <w:rPr>
          <w:rFonts w:cs="Tahoma"/>
          <w:color w:val="auto"/>
          <w:lang w:val="es-ES"/>
        </w:rPr>
        <w:t xml:space="preserve">De las constancias que forma parte del Recurso de Revisión que se analiza, se advierte que previo al estudio del fondo de la </w:t>
      </w:r>
      <w:r w:rsidRPr="00A16B9F">
        <w:rPr>
          <w:rFonts w:cs="Tahoma"/>
          <w:i/>
          <w:color w:val="auto"/>
          <w:lang w:val="es-ES"/>
        </w:rPr>
        <w:t>litis</w:t>
      </w:r>
      <w:r w:rsidRPr="00A16B9F">
        <w:rPr>
          <w:rFonts w:cs="Tahoma"/>
          <w:color w:val="auto"/>
          <w:lang w:val="es-ES"/>
        </w:rPr>
        <w:t>, es necesario estudiar las causales de improcedencia y sobreseimiento que se adviertan, para determinar lo que en Derecho proceda.</w:t>
      </w:r>
    </w:p>
    <w:p w14:paraId="5D3D6F35" w14:textId="77777777" w:rsidR="00712AB9" w:rsidRPr="00A16B9F" w:rsidRDefault="00712AB9" w:rsidP="00225915">
      <w:pPr>
        <w:autoSpaceDE w:val="0"/>
        <w:autoSpaceDN w:val="0"/>
        <w:adjustRightInd w:val="0"/>
        <w:spacing w:after="0" w:line="360" w:lineRule="auto"/>
        <w:rPr>
          <w:rFonts w:cs="Tahoma"/>
          <w:color w:val="auto"/>
          <w:lang w:val="es-ES"/>
        </w:rPr>
      </w:pPr>
    </w:p>
    <w:p w14:paraId="18E02810" w14:textId="6D4CC090" w:rsidR="00712AB9" w:rsidRPr="00A16B9F" w:rsidRDefault="00712AB9" w:rsidP="00225915">
      <w:pPr>
        <w:autoSpaceDE w:val="0"/>
        <w:autoSpaceDN w:val="0"/>
        <w:adjustRightInd w:val="0"/>
        <w:spacing w:after="0" w:line="360" w:lineRule="auto"/>
        <w:rPr>
          <w:rFonts w:eastAsia="Calibri" w:cs="Tahoma"/>
          <w:b/>
          <w:color w:val="auto"/>
          <w:lang w:val="es-ES" w:eastAsia="es-MX"/>
        </w:rPr>
      </w:pPr>
      <w:r w:rsidRPr="00A16B9F">
        <w:rPr>
          <w:rFonts w:eastAsia="Calibri" w:cs="Tahoma"/>
          <w:b/>
          <w:color w:val="auto"/>
          <w:lang w:val="es-ES" w:eastAsia="es-MX"/>
        </w:rPr>
        <w:t>Causales de improcedencia</w:t>
      </w:r>
    </w:p>
    <w:p w14:paraId="6A6D9F30" w14:textId="77777777" w:rsidR="00712AB9" w:rsidRPr="00A16B9F" w:rsidRDefault="00712AB9" w:rsidP="00225915">
      <w:pPr>
        <w:autoSpaceDE w:val="0"/>
        <w:autoSpaceDN w:val="0"/>
        <w:adjustRightInd w:val="0"/>
        <w:spacing w:after="0" w:line="360" w:lineRule="auto"/>
        <w:rPr>
          <w:rFonts w:eastAsia="Calibri" w:cs="Tahoma"/>
          <w:color w:val="auto"/>
          <w:lang w:val="es-ES" w:eastAsia="es-MX"/>
        </w:rPr>
      </w:pPr>
    </w:p>
    <w:p w14:paraId="0A80E92E" w14:textId="77777777" w:rsidR="00712AB9" w:rsidRPr="00A16B9F" w:rsidRDefault="00712AB9" w:rsidP="00225915">
      <w:pPr>
        <w:spacing w:after="0" w:line="360" w:lineRule="auto"/>
        <w:rPr>
          <w:rFonts w:eastAsia="Times New Roman" w:cs="Tahoma"/>
          <w:color w:val="auto"/>
          <w:lang w:eastAsia="es-ES"/>
        </w:rPr>
      </w:pPr>
      <w:r w:rsidRPr="00A16B9F">
        <w:rPr>
          <w:rFonts w:cs="Tahoma"/>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E7E3D0A" w14:textId="77777777" w:rsidR="00712AB9" w:rsidRPr="00A16B9F" w:rsidRDefault="00712AB9" w:rsidP="00225915">
      <w:pPr>
        <w:spacing w:after="0" w:line="360" w:lineRule="auto"/>
        <w:rPr>
          <w:rFonts w:cs="Tahoma"/>
          <w:color w:val="auto"/>
        </w:rPr>
      </w:pPr>
      <w:r w:rsidRPr="00A16B9F">
        <w:rPr>
          <w:rFonts w:cs="Tahoma"/>
          <w:color w:val="auto"/>
        </w:rPr>
        <w:t xml:space="preserve">  </w:t>
      </w:r>
    </w:p>
    <w:p w14:paraId="1BF86C5F" w14:textId="77777777" w:rsidR="00712AB9" w:rsidRPr="00A16B9F" w:rsidRDefault="00712AB9" w:rsidP="00225915">
      <w:pPr>
        <w:spacing w:after="0" w:line="360" w:lineRule="auto"/>
        <w:rPr>
          <w:rFonts w:cs="Tahoma"/>
          <w:color w:val="auto"/>
        </w:rPr>
      </w:pPr>
      <w:r w:rsidRPr="00A16B9F">
        <w:rPr>
          <w:rFonts w:cs="Tahoma"/>
          <w:color w:val="auto"/>
        </w:rPr>
        <w:t>En el presente caso, </w:t>
      </w:r>
      <w:r w:rsidRPr="00A16B9F">
        <w:rPr>
          <w:rFonts w:cs="Tahoma"/>
          <w:b/>
          <w:bCs/>
          <w:color w:val="auto"/>
        </w:rPr>
        <w:t>no se actualiza ninguna de las causales de improcedencia</w:t>
      </w:r>
      <w:r w:rsidRPr="00A16B9F">
        <w:rPr>
          <w:rFonts w:cs="Tahoma"/>
          <w:color w:val="auto"/>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46233C8" w14:textId="77777777" w:rsidR="00712AB9" w:rsidRPr="00A16B9F" w:rsidRDefault="00712AB9" w:rsidP="00225915">
      <w:pPr>
        <w:spacing w:after="0" w:line="360" w:lineRule="auto"/>
        <w:rPr>
          <w:rFonts w:cs="Tahoma"/>
          <w:color w:val="auto"/>
        </w:rPr>
      </w:pPr>
    </w:p>
    <w:p w14:paraId="66694D21" w14:textId="08C12EC7" w:rsidR="00712AB9" w:rsidRPr="00A16B9F" w:rsidRDefault="00712AB9" w:rsidP="00225915">
      <w:pPr>
        <w:spacing w:after="0" w:line="360" w:lineRule="auto"/>
        <w:rPr>
          <w:rFonts w:cs="Tahoma"/>
          <w:color w:val="auto"/>
          <w:lang w:val="es-ES"/>
        </w:rPr>
      </w:pPr>
      <w:r w:rsidRPr="00A16B9F">
        <w:rPr>
          <w:rFonts w:cs="Tahoma"/>
          <w:color w:val="auto"/>
          <w:lang w:val="es-ES"/>
        </w:rPr>
        <w:t xml:space="preserve">Además, de que el Medio de Impugnación fue presentado en tiempo, toda vez que ante la ausencia de las respuestas del Ente Recurrido, se constituyó la </w:t>
      </w:r>
      <w:r w:rsidRPr="00A16B9F">
        <w:rPr>
          <w:rFonts w:cs="Tahoma"/>
          <w:b/>
          <w:color w:val="auto"/>
          <w:lang w:val="es-ES"/>
        </w:rPr>
        <w:t>negativa ficta</w:t>
      </w:r>
      <w:r w:rsidRPr="00A16B9F">
        <w:rPr>
          <w:rFonts w:cs="Tahoma"/>
          <w:color w:val="auto"/>
          <w:lang w:val="es-ES"/>
        </w:rPr>
        <w:t xml:space="preserve">, que genera la posibilidad de los particulares de interponer un recurso de revisión ante tal omisión, </w:t>
      </w:r>
      <w:r w:rsidRPr="00A16B9F">
        <w:rPr>
          <w:rFonts w:cs="Tahoma"/>
          <w:color w:val="auto"/>
          <w:u w:val="single"/>
          <w:lang w:val="es-ES"/>
        </w:rPr>
        <w:t>en cualquier momento</w:t>
      </w:r>
      <w:r w:rsidRPr="00A16B9F">
        <w:rPr>
          <w:rFonts w:cs="Tahoma"/>
          <w:color w:val="auto"/>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C0E425" w14:textId="77777777" w:rsidR="00712AB9" w:rsidRPr="00A16B9F" w:rsidRDefault="00712AB9" w:rsidP="00225915">
      <w:pPr>
        <w:spacing w:after="0" w:line="360" w:lineRule="auto"/>
        <w:rPr>
          <w:rFonts w:cs="Tahoma"/>
          <w:color w:val="auto"/>
          <w:lang w:val="es-ES"/>
        </w:rPr>
      </w:pPr>
    </w:p>
    <w:p w14:paraId="32FD54A1" w14:textId="77777777" w:rsidR="00712AB9" w:rsidRPr="00A16B9F" w:rsidRDefault="00712AB9" w:rsidP="00225915">
      <w:pPr>
        <w:spacing w:after="0" w:line="360" w:lineRule="auto"/>
        <w:rPr>
          <w:rFonts w:eastAsia="Times New Roman" w:cs="Tahoma"/>
          <w:color w:val="auto"/>
          <w:lang w:val="es-ES" w:eastAsia="es-ES"/>
        </w:rPr>
      </w:pPr>
      <w:r w:rsidRPr="00A16B9F">
        <w:rPr>
          <w:rFonts w:cs="Tahoma"/>
          <w:color w:val="auto"/>
        </w:rPr>
        <w:t xml:space="preserve">Por lo cual, se actualiza la causal de procedencia del Recurso de Revisión señalada en el artículo 179, fracción VII, de la Ley en cita, </w:t>
      </w:r>
      <w:r w:rsidRPr="00A16B9F">
        <w:rPr>
          <w:rFonts w:eastAsia="Calibri" w:cs="Tahoma"/>
          <w:color w:val="auto"/>
          <w:lang w:eastAsia="es-MX"/>
        </w:rPr>
        <w:t xml:space="preserve">pues la parte Recurrente se inconformó </w:t>
      </w:r>
      <w:r w:rsidRPr="00A16B9F">
        <w:rPr>
          <w:rFonts w:cs="Tahoma"/>
          <w:color w:val="auto"/>
          <w:lang w:val="es-ES"/>
        </w:rPr>
        <w:t>con la falta de respuesta a la solicitud de acceso a la información.</w:t>
      </w:r>
    </w:p>
    <w:p w14:paraId="3BA481A0" w14:textId="77777777" w:rsidR="00712AB9" w:rsidRPr="00A16B9F" w:rsidRDefault="00712AB9" w:rsidP="00225915">
      <w:pPr>
        <w:spacing w:after="0" w:line="360" w:lineRule="auto"/>
        <w:rPr>
          <w:rFonts w:cs="Tahoma"/>
          <w:color w:val="auto"/>
          <w:lang w:val="es-ES"/>
        </w:rPr>
      </w:pPr>
    </w:p>
    <w:p w14:paraId="67E685C1" w14:textId="348448E7" w:rsidR="005D2C72" w:rsidRPr="00A16B9F" w:rsidRDefault="00712AB9" w:rsidP="00225915">
      <w:pPr>
        <w:spacing w:after="0" w:line="360" w:lineRule="auto"/>
        <w:rPr>
          <w:rFonts w:cs="Tahoma"/>
          <w:color w:val="auto"/>
        </w:rPr>
      </w:pPr>
      <w:r w:rsidRPr="00A16B9F">
        <w:rPr>
          <w:rFonts w:cs="Tahoma"/>
          <w:b/>
          <w:bCs/>
          <w:color w:val="auto"/>
        </w:rPr>
        <w:t>Causales de sobreseimiento</w:t>
      </w:r>
    </w:p>
    <w:p w14:paraId="11A620EC" w14:textId="77777777" w:rsidR="005D2C72" w:rsidRPr="00A16B9F" w:rsidRDefault="005D2C72" w:rsidP="00225915">
      <w:pPr>
        <w:spacing w:after="0" w:line="360" w:lineRule="auto"/>
        <w:rPr>
          <w:rFonts w:cs="Tahoma"/>
          <w:color w:val="auto"/>
        </w:rPr>
      </w:pPr>
    </w:p>
    <w:p w14:paraId="236F1C2A" w14:textId="77777777" w:rsidR="00712AB9" w:rsidRPr="00A16B9F" w:rsidRDefault="00712AB9" w:rsidP="00225915">
      <w:pPr>
        <w:spacing w:after="0" w:line="360" w:lineRule="auto"/>
        <w:rPr>
          <w:rFonts w:cs="Tahoma"/>
          <w:color w:val="auto"/>
        </w:rPr>
      </w:pPr>
      <w:r w:rsidRPr="00A16B9F">
        <w:rPr>
          <w:rFonts w:cs="Tahoma"/>
          <w:color w:val="auto"/>
        </w:rPr>
        <w:t>Por ser de previo y especial pronunciamiento, este Instituto analiza si se actualiza alguna causal de sobreseimiento.</w:t>
      </w:r>
    </w:p>
    <w:p w14:paraId="78984182" w14:textId="77777777" w:rsidR="00712AB9" w:rsidRPr="00A16B9F" w:rsidRDefault="00712AB9" w:rsidP="00225915">
      <w:pPr>
        <w:spacing w:after="0" w:line="360" w:lineRule="auto"/>
        <w:rPr>
          <w:rFonts w:cs="Tahoma"/>
          <w:color w:val="auto"/>
        </w:rPr>
      </w:pPr>
    </w:p>
    <w:p w14:paraId="041618A8" w14:textId="77777777" w:rsidR="00712AB9" w:rsidRPr="00A16B9F" w:rsidRDefault="00712AB9" w:rsidP="00225915">
      <w:pPr>
        <w:spacing w:after="0" w:line="360" w:lineRule="auto"/>
        <w:rPr>
          <w:rFonts w:cs="Tahoma"/>
          <w:color w:val="auto"/>
        </w:rPr>
      </w:pPr>
      <w:r w:rsidRPr="00A16B9F">
        <w:rPr>
          <w:rFonts w:cs="Tahoma"/>
          <w:color w:val="auto"/>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2A2F8A2C" w14:textId="77777777" w:rsidR="00FB1036" w:rsidRPr="00A16B9F" w:rsidRDefault="00FB1036" w:rsidP="00225915">
      <w:pPr>
        <w:spacing w:after="0" w:line="360" w:lineRule="auto"/>
        <w:rPr>
          <w:rFonts w:cs="Tahoma"/>
          <w:color w:val="auto"/>
        </w:rPr>
      </w:pPr>
    </w:p>
    <w:p w14:paraId="0621EEA9" w14:textId="77777777" w:rsidR="00712AB9" w:rsidRPr="00A16B9F" w:rsidRDefault="00712AB9" w:rsidP="00225915">
      <w:pPr>
        <w:tabs>
          <w:tab w:val="left" w:pos="4962"/>
        </w:tabs>
        <w:spacing w:after="0" w:line="360" w:lineRule="auto"/>
        <w:rPr>
          <w:rFonts w:cs="Tahoma"/>
          <w:color w:val="auto"/>
          <w:lang w:val="es-ES"/>
        </w:rPr>
      </w:pPr>
      <w:r w:rsidRPr="00A16B9F">
        <w:rPr>
          <w:rFonts w:cs="Tahoma"/>
          <w:bCs/>
          <w:color w:val="auto"/>
          <w:lang w:val="es-ES"/>
        </w:rPr>
        <w:t xml:space="preserve">Por tales motivos, </w:t>
      </w:r>
      <w:r w:rsidRPr="00A16B9F">
        <w:rPr>
          <w:rFonts w:cs="Tahoma"/>
          <w:color w:val="auto"/>
          <w:lang w:val="es-ES"/>
        </w:rPr>
        <w:t xml:space="preserve">se considera procedente entrar al fondo del presente asunto. </w:t>
      </w:r>
    </w:p>
    <w:p w14:paraId="5ECD6A23" w14:textId="77777777" w:rsidR="00712AB9" w:rsidRPr="00A16B9F" w:rsidRDefault="00712AB9" w:rsidP="00225915">
      <w:pPr>
        <w:tabs>
          <w:tab w:val="left" w:pos="4962"/>
        </w:tabs>
        <w:spacing w:after="0" w:line="360" w:lineRule="auto"/>
        <w:rPr>
          <w:rFonts w:eastAsia="Calibri" w:cs="Tahoma"/>
          <w:b/>
          <w:iCs/>
          <w:color w:val="auto"/>
          <w:lang w:val="es-ES" w:eastAsia="es-ES_tradnl"/>
        </w:rPr>
      </w:pPr>
    </w:p>
    <w:p w14:paraId="096DA905" w14:textId="646E3145" w:rsidR="00712AB9" w:rsidRPr="00A16B9F" w:rsidRDefault="00712AB9" w:rsidP="001B0FD7">
      <w:pPr>
        <w:pStyle w:val="Ttulo2"/>
        <w:rPr>
          <w:rFonts w:eastAsia="Calibri"/>
          <w:color w:val="auto"/>
          <w:lang w:val="es-ES" w:eastAsia="es-ES_tradnl"/>
        </w:rPr>
      </w:pPr>
      <w:bookmarkStart w:id="9" w:name="_Toc213328977"/>
      <w:r w:rsidRPr="00A16B9F">
        <w:rPr>
          <w:rFonts w:eastAsia="Calibri"/>
          <w:color w:val="auto"/>
          <w:lang w:val="es-ES" w:eastAsia="es-ES_tradnl"/>
        </w:rPr>
        <w:t>TERCERO. Determinación de la Controversia</w:t>
      </w:r>
      <w:bookmarkEnd w:id="9"/>
      <w:r w:rsidRPr="00A16B9F">
        <w:rPr>
          <w:rFonts w:eastAsia="Calibri"/>
          <w:color w:val="auto"/>
          <w:lang w:val="es-ES" w:eastAsia="es-ES_tradnl"/>
        </w:rPr>
        <w:t xml:space="preserve"> </w:t>
      </w:r>
    </w:p>
    <w:p w14:paraId="4EF9D24C" w14:textId="77777777" w:rsidR="00712AB9" w:rsidRPr="00A16B9F" w:rsidRDefault="00712AB9" w:rsidP="00225915">
      <w:pPr>
        <w:spacing w:after="0" w:line="360" w:lineRule="auto"/>
        <w:rPr>
          <w:color w:val="auto"/>
        </w:rPr>
      </w:pPr>
    </w:p>
    <w:p w14:paraId="0BA74EBF" w14:textId="25037091" w:rsidR="005B5851" w:rsidRPr="00A16B9F" w:rsidRDefault="00712AB9" w:rsidP="000F7BE5">
      <w:pPr>
        <w:tabs>
          <w:tab w:val="left" w:pos="4962"/>
        </w:tabs>
        <w:spacing w:after="0" w:line="360" w:lineRule="auto"/>
        <w:rPr>
          <w:rFonts w:eastAsia="Calibri" w:cs="Tahoma"/>
          <w:iCs/>
          <w:color w:val="auto"/>
          <w:lang w:val="es-ES" w:eastAsia="es-ES_tradnl"/>
        </w:rPr>
      </w:pPr>
      <w:r w:rsidRPr="00A16B9F">
        <w:rPr>
          <w:rFonts w:eastAsia="Calibri" w:cs="Tahoma"/>
          <w:iCs/>
          <w:color w:val="auto"/>
          <w:lang w:val="es-ES" w:eastAsia="es-ES_tradnl"/>
        </w:rPr>
        <w:t xml:space="preserve">Con el objeto de ilustrar la controversia planteada, resulta conveniente precisar que, una vez realizado el estudio de las constancias que integran el expediente en que se actúa, se desprende que </w:t>
      </w:r>
      <w:r w:rsidR="00696EE5" w:rsidRPr="00A16B9F">
        <w:rPr>
          <w:rFonts w:eastAsia="Calibri" w:cs="Tahoma"/>
          <w:iCs/>
          <w:color w:val="auto"/>
          <w:lang w:val="es-ES" w:eastAsia="es-ES_tradnl"/>
        </w:rPr>
        <w:t>la</w:t>
      </w:r>
      <w:r w:rsidR="008F2BA2" w:rsidRPr="00A16B9F">
        <w:rPr>
          <w:rFonts w:eastAsia="Calibri" w:cs="Tahoma"/>
          <w:iCs/>
          <w:color w:val="auto"/>
          <w:lang w:val="es-ES" w:eastAsia="es-ES_tradnl"/>
        </w:rPr>
        <w:t xml:space="preserve"> persona</w:t>
      </w:r>
      <w:r w:rsidRPr="00A16B9F">
        <w:rPr>
          <w:rFonts w:eastAsia="Calibri" w:cs="Tahoma"/>
          <w:iCs/>
          <w:color w:val="auto"/>
          <w:lang w:val="es-ES" w:eastAsia="es-ES_tradnl"/>
        </w:rPr>
        <w:t xml:space="preserve"> Recurrente </w:t>
      </w:r>
      <w:r w:rsidR="00F018F5" w:rsidRPr="00A16B9F">
        <w:rPr>
          <w:rFonts w:eastAsia="Calibri" w:cs="Tahoma"/>
          <w:iCs/>
          <w:color w:val="auto"/>
          <w:lang w:val="es-ES" w:eastAsia="es-ES_tradnl"/>
        </w:rPr>
        <w:t>requirió</w:t>
      </w:r>
      <w:r w:rsidR="00D23BDA" w:rsidRPr="00A16B9F">
        <w:rPr>
          <w:rFonts w:eastAsia="Calibri" w:cs="Tahoma"/>
          <w:iCs/>
          <w:color w:val="auto"/>
          <w:lang w:val="es-ES" w:eastAsia="es-ES_tradnl"/>
        </w:rPr>
        <w:t xml:space="preserve">, </w:t>
      </w:r>
      <w:r w:rsidR="005B5851" w:rsidRPr="00A16B9F">
        <w:rPr>
          <w:rFonts w:eastAsia="Calibri" w:cs="Tahoma"/>
          <w:iCs/>
          <w:color w:val="auto"/>
          <w:lang w:val="es-ES" w:eastAsia="es-ES_tradnl"/>
        </w:rPr>
        <w:t>lo siguiente:</w:t>
      </w:r>
    </w:p>
    <w:p w14:paraId="11584C8A" w14:textId="77777777" w:rsidR="005B5851" w:rsidRPr="00C3207B" w:rsidRDefault="005B5851" w:rsidP="000F7BE5">
      <w:pPr>
        <w:tabs>
          <w:tab w:val="left" w:pos="4962"/>
        </w:tabs>
        <w:spacing w:after="0" w:line="360" w:lineRule="auto"/>
        <w:rPr>
          <w:rFonts w:eastAsia="Calibri" w:cs="Tahoma"/>
          <w:iCs/>
          <w:color w:val="FF0000"/>
          <w:lang w:val="es-ES" w:eastAsia="es-ES_tradnl"/>
        </w:rPr>
      </w:pPr>
    </w:p>
    <w:p w14:paraId="4F4C55BE" w14:textId="79798213" w:rsidR="009A1D55" w:rsidRDefault="009A1D55" w:rsidP="00A16B9F">
      <w:pPr>
        <w:pStyle w:val="Prrafodelista"/>
        <w:numPr>
          <w:ilvl w:val="0"/>
          <w:numId w:val="44"/>
        </w:numPr>
        <w:tabs>
          <w:tab w:val="left" w:pos="4962"/>
        </w:tabs>
        <w:spacing w:after="0" w:line="360" w:lineRule="auto"/>
        <w:rPr>
          <w:rFonts w:eastAsia="Calibri" w:cs="Tahoma"/>
          <w:iCs/>
          <w:color w:val="auto"/>
          <w:lang w:val="es-ES" w:eastAsia="es-ES_tradnl"/>
        </w:rPr>
      </w:pPr>
      <w:r w:rsidRPr="00A16B9F">
        <w:rPr>
          <w:rFonts w:eastAsia="Calibri" w:cs="Tahoma"/>
          <w:iCs/>
          <w:color w:val="auto"/>
          <w:lang w:val="es-ES" w:eastAsia="es-ES_tradnl"/>
        </w:rPr>
        <w:t xml:space="preserve">Los </w:t>
      </w:r>
      <w:r w:rsidR="00A16B9F" w:rsidRPr="00A16B9F">
        <w:rPr>
          <w:rFonts w:eastAsia="Calibri" w:cs="Tahoma"/>
          <w:iCs/>
          <w:color w:val="auto"/>
          <w:lang w:val="es-ES" w:eastAsia="es-ES_tradnl"/>
        </w:rPr>
        <w:t>contratos de arrendamiento de inmuebles que ocupa el Ayuntamiento de Almoloya de Juárez, arrendamiento de vehículos utilitarios, patrullas, ambulancias y camiones recolectores de basura, arrendamiento de computadoras y fotocopiadoras, arrendamiento de lonas, carpas y mobiliario, contratación de grup</w:t>
      </w:r>
      <w:r w:rsidR="00A16B9F">
        <w:rPr>
          <w:rFonts w:eastAsia="Calibri" w:cs="Tahoma"/>
          <w:iCs/>
          <w:color w:val="auto"/>
          <w:lang w:val="es-ES" w:eastAsia="es-ES_tradnl"/>
        </w:rPr>
        <w:t xml:space="preserve">os musicales y juegos mecánicos, </w:t>
      </w:r>
      <w:r w:rsidR="00A16B9F" w:rsidRPr="00A16B9F">
        <w:rPr>
          <w:rFonts w:eastAsia="Calibri" w:cs="Tahoma"/>
          <w:iCs/>
          <w:color w:val="auto"/>
          <w:lang w:val="es-ES" w:eastAsia="es-ES_tradnl"/>
        </w:rPr>
        <w:t xml:space="preserve"> </w:t>
      </w:r>
      <w:r w:rsidR="00A16B9F">
        <w:rPr>
          <w:rFonts w:eastAsia="Calibri" w:cs="Tahoma"/>
          <w:iCs/>
          <w:color w:val="auto"/>
          <w:lang w:val="es-ES" w:eastAsia="es-ES_tradnl"/>
        </w:rPr>
        <w:t xml:space="preserve">del primero de enero a la </w:t>
      </w:r>
      <w:r w:rsidR="00A16B9F" w:rsidRPr="00A16B9F">
        <w:rPr>
          <w:rFonts w:eastAsia="Calibri" w:cs="Tahoma"/>
          <w:iCs/>
          <w:color w:val="auto"/>
          <w:lang w:val="es-ES" w:eastAsia="es-ES_tradnl"/>
        </w:rPr>
        <w:t>fecha de resolución</w:t>
      </w:r>
      <w:r w:rsidR="00A16B9F">
        <w:rPr>
          <w:rFonts w:eastAsia="Calibri" w:cs="Tahoma"/>
          <w:iCs/>
          <w:color w:val="auto"/>
          <w:lang w:val="es-ES" w:eastAsia="es-ES_tradnl"/>
        </w:rPr>
        <w:t xml:space="preserve">, en los cuales se especifiquen </w:t>
      </w:r>
      <w:r w:rsidR="00A16B9F" w:rsidRPr="00A16B9F">
        <w:rPr>
          <w:rFonts w:eastAsia="Calibri" w:cs="Tahoma"/>
          <w:iCs/>
          <w:color w:val="auto"/>
          <w:lang w:val="es-ES" w:eastAsia="es-ES_tradnl"/>
        </w:rPr>
        <w:t>montos, periodo de contratación y nombre del arrendador ya sea persona física o moral.</w:t>
      </w:r>
    </w:p>
    <w:p w14:paraId="20E6A309" w14:textId="77777777" w:rsidR="00747C47" w:rsidRDefault="00747C47" w:rsidP="00747C47">
      <w:pPr>
        <w:pStyle w:val="Prrafodelista"/>
        <w:tabs>
          <w:tab w:val="left" w:pos="4962"/>
        </w:tabs>
        <w:spacing w:after="0" w:line="360" w:lineRule="auto"/>
        <w:rPr>
          <w:rFonts w:eastAsia="Calibri" w:cs="Tahoma"/>
          <w:iCs/>
          <w:color w:val="auto"/>
          <w:lang w:val="es-ES" w:eastAsia="es-ES_tradnl"/>
        </w:rPr>
      </w:pPr>
    </w:p>
    <w:p w14:paraId="45800864" w14:textId="5FA6E687" w:rsidR="00A16B9F" w:rsidRDefault="00747C47" w:rsidP="00A16B9F">
      <w:pPr>
        <w:pStyle w:val="Prrafodelista"/>
        <w:numPr>
          <w:ilvl w:val="0"/>
          <w:numId w:val="44"/>
        </w:numPr>
        <w:tabs>
          <w:tab w:val="left" w:pos="4962"/>
        </w:tabs>
        <w:spacing w:after="0" w:line="360" w:lineRule="auto"/>
        <w:rPr>
          <w:rFonts w:eastAsia="Calibri" w:cs="Tahoma"/>
          <w:iCs/>
          <w:color w:val="auto"/>
          <w:lang w:val="es-ES" w:eastAsia="es-ES_tradnl"/>
        </w:rPr>
      </w:pPr>
      <w:r w:rsidRPr="00747C47">
        <w:rPr>
          <w:rFonts w:eastAsia="Calibri" w:cs="Tahoma"/>
          <w:iCs/>
          <w:color w:val="auto"/>
          <w:lang w:val="es-ES" w:eastAsia="es-ES_tradnl"/>
        </w:rPr>
        <w:t>Los c</w:t>
      </w:r>
      <w:r>
        <w:rPr>
          <w:rFonts w:eastAsia="Calibri" w:cs="Tahoma"/>
          <w:iCs/>
          <w:color w:val="auto"/>
          <w:lang w:val="es-ES" w:eastAsia="es-ES_tradnl"/>
        </w:rPr>
        <w:t>ontratos de g</w:t>
      </w:r>
      <w:r w:rsidRPr="00747C47">
        <w:rPr>
          <w:rFonts w:eastAsia="Calibri" w:cs="Tahoma"/>
          <w:iCs/>
          <w:color w:val="auto"/>
          <w:lang w:val="es-ES" w:eastAsia="es-ES_tradnl"/>
        </w:rPr>
        <w:t>rupos musicales, pirotecnia, mariachi, alimentos que se contrataron para la noche de la celebración del Grito de Independencia en el municipio, así como el monto gastado en dicho evento</w:t>
      </w:r>
    </w:p>
    <w:p w14:paraId="3E561E1A" w14:textId="77777777" w:rsidR="00747C47" w:rsidRPr="00747C47" w:rsidRDefault="00747C47" w:rsidP="00747C47">
      <w:pPr>
        <w:pStyle w:val="Prrafodelista"/>
        <w:rPr>
          <w:rFonts w:eastAsia="Calibri" w:cs="Tahoma"/>
          <w:iCs/>
          <w:color w:val="auto"/>
          <w:lang w:val="es-ES" w:eastAsia="es-ES_tradnl"/>
        </w:rPr>
      </w:pPr>
    </w:p>
    <w:p w14:paraId="4B094984" w14:textId="34BB9B90" w:rsidR="00747C47" w:rsidRPr="00A16B9F" w:rsidRDefault="00747C47" w:rsidP="00A16B9F">
      <w:pPr>
        <w:pStyle w:val="Prrafodelista"/>
        <w:numPr>
          <w:ilvl w:val="0"/>
          <w:numId w:val="44"/>
        </w:numPr>
        <w:tabs>
          <w:tab w:val="left" w:pos="4962"/>
        </w:tabs>
        <w:spacing w:after="0" w:line="360" w:lineRule="auto"/>
        <w:rPr>
          <w:rFonts w:eastAsia="Calibri" w:cs="Tahoma"/>
          <w:iCs/>
          <w:color w:val="auto"/>
          <w:lang w:val="es-ES" w:eastAsia="es-ES_tradnl"/>
        </w:rPr>
      </w:pPr>
      <w:r>
        <w:rPr>
          <w:rFonts w:eastAsia="Calibri" w:cs="Tahoma"/>
          <w:iCs/>
          <w:color w:val="auto"/>
          <w:lang w:val="es-ES" w:eastAsia="es-ES_tradnl"/>
        </w:rPr>
        <w:t>L</w:t>
      </w:r>
      <w:r w:rsidRPr="00747C47">
        <w:rPr>
          <w:rFonts w:eastAsia="Calibri" w:cs="Tahoma"/>
          <w:iCs/>
          <w:color w:val="auto"/>
          <w:lang w:val="es-ES" w:eastAsia="es-ES_tradnl"/>
        </w:rPr>
        <w:t>os contratos de grupos musicales, vehículos (tráiler), comida y bebidas que se contrataron para el evento denominado "Cabalgata", la cual se llevó a cabo en el municipio de Almoloya de Juárez</w:t>
      </w:r>
      <w:r>
        <w:rPr>
          <w:rFonts w:eastAsia="Calibri" w:cs="Tahoma"/>
          <w:iCs/>
          <w:color w:val="auto"/>
          <w:lang w:val="es-ES" w:eastAsia="es-ES_tradnl"/>
        </w:rPr>
        <w:t xml:space="preserve"> el día catorce de Septiembre de dos mil veinticinco así como, </w:t>
      </w:r>
      <w:r w:rsidRPr="00747C47">
        <w:rPr>
          <w:rFonts w:eastAsia="Calibri" w:cs="Tahoma"/>
          <w:iCs/>
          <w:color w:val="auto"/>
          <w:lang w:val="es-ES" w:eastAsia="es-ES_tradnl"/>
        </w:rPr>
        <w:t xml:space="preserve"> el monto gastado en bebidas alcohólicas como</w:t>
      </w:r>
      <w:r>
        <w:rPr>
          <w:rFonts w:eastAsia="Calibri" w:cs="Tahoma"/>
          <w:iCs/>
          <w:color w:val="auto"/>
          <w:lang w:val="es-ES" w:eastAsia="es-ES_tradnl"/>
        </w:rPr>
        <w:t xml:space="preserve"> el</w:t>
      </w:r>
      <w:r w:rsidRPr="00747C47">
        <w:rPr>
          <w:rFonts w:eastAsia="Calibri" w:cs="Tahoma"/>
          <w:iCs/>
          <w:color w:val="auto"/>
          <w:lang w:val="es-ES" w:eastAsia="es-ES_tradnl"/>
        </w:rPr>
        <w:t xml:space="preserve"> tequila cuyo envase ostenta el logo de Almoloya de Juárez, así como cerveza, Ron y whisk</w:t>
      </w:r>
      <w:r>
        <w:rPr>
          <w:rFonts w:eastAsia="Calibri" w:cs="Tahoma"/>
          <w:iCs/>
          <w:color w:val="auto"/>
          <w:lang w:val="es-ES" w:eastAsia="es-ES_tradnl"/>
        </w:rPr>
        <w:t>y y</w:t>
      </w:r>
      <w:r w:rsidR="008221FA">
        <w:rPr>
          <w:rFonts w:eastAsia="Calibri" w:cs="Tahoma"/>
          <w:iCs/>
          <w:color w:val="auto"/>
          <w:lang w:val="es-ES" w:eastAsia="es-ES_tradnl"/>
        </w:rPr>
        <w:t xml:space="preserve"> </w:t>
      </w:r>
      <w:r w:rsidRPr="00747C47">
        <w:rPr>
          <w:rFonts w:eastAsia="Calibri" w:cs="Tahoma"/>
          <w:iCs/>
          <w:color w:val="auto"/>
          <w:lang w:val="es-ES" w:eastAsia="es-ES_tradnl"/>
        </w:rPr>
        <w:t>las facturas que amparan dichos pagos con cargo al erario público</w:t>
      </w:r>
    </w:p>
    <w:p w14:paraId="157642E6" w14:textId="77777777" w:rsidR="00344EE8" w:rsidRPr="00C3207B" w:rsidRDefault="00344EE8" w:rsidP="00225915">
      <w:pPr>
        <w:tabs>
          <w:tab w:val="left" w:pos="4962"/>
        </w:tabs>
        <w:spacing w:after="0" w:line="360" w:lineRule="auto"/>
        <w:rPr>
          <w:rFonts w:eastAsia="Calibri" w:cs="Tahoma"/>
          <w:iCs/>
          <w:color w:val="FF0000"/>
          <w:lang w:val="es-ES" w:eastAsia="es-ES_tradnl"/>
        </w:rPr>
      </w:pPr>
    </w:p>
    <w:p w14:paraId="5400FCD8" w14:textId="2761C90F" w:rsidR="00712AB9" w:rsidRPr="00807756" w:rsidRDefault="00712AB9" w:rsidP="00225915">
      <w:pPr>
        <w:pStyle w:val="NormalWeb"/>
        <w:spacing w:after="0" w:line="360" w:lineRule="auto"/>
        <w:ind w:right="-28"/>
        <w:rPr>
          <w:rFonts w:ascii="Palatino Linotype" w:eastAsia="Calibri" w:hAnsi="Palatino Linotype" w:cs="Tahoma"/>
          <w:color w:val="auto"/>
          <w:sz w:val="22"/>
          <w:szCs w:val="22"/>
          <w:lang w:val="es-ES"/>
        </w:rPr>
      </w:pPr>
      <w:r w:rsidRPr="00807756">
        <w:rPr>
          <w:rFonts w:ascii="Palatino Linotype" w:hAnsi="Palatino Linotype" w:cs="Tahoma"/>
          <w:bCs/>
          <w:iCs/>
          <w:color w:val="auto"/>
          <w:sz w:val="22"/>
          <w:szCs w:val="22"/>
          <w:lang w:val="es-ES"/>
        </w:rPr>
        <w:t xml:space="preserve">Ante la falta de respuesta del Ente Recurrido, </w:t>
      </w:r>
      <w:r w:rsidR="008B0D92" w:rsidRPr="00807756">
        <w:rPr>
          <w:rFonts w:ascii="Palatino Linotype" w:hAnsi="Palatino Linotype" w:cs="Tahoma"/>
          <w:bCs/>
          <w:iCs/>
          <w:color w:val="auto"/>
          <w:sz w:val="22"/>
          <w:szCs w:val="22"/>
          <w:lang w:val="es-ES"/>
        </w:rPr>
        <w:t>el</w:t>
      </w:r>
      <w:r w:rsidRPr="00807756">
        <w:rPr>
          <w:rFonts w:ascii="Palatino Linotype" w:hAnsi="Palatino Linotype" w:cs="Tahoma"/>
          <w:bCs/>
          <w:iCs/>
          <w:color w:val="auto"/>
          <w:sz w:val="22"/>
          <w:szCs w:val="22"/>
          <w:lang w:val="es-ES"/>
        </w:rPr>
        <w:t xml:space="preserve"> Particular, justamente se inconformó porque no le dieron contestación a su</w:t>
      </w:r>
      <w:r w:rsidR="00EA449A" w:rsidRPr="00807756">
        <w:rPr>
          <w:rFonts w:ascii="Palatino Linotype" w:hAnsi="Palatino Linotype" w:cs="Tahoma"/>
          <w:bCs/>
          <w:iCs/>
          <w:color w:val="auto"/>
          <w:sz w:val="22"/>
          <w:szCs w:val="22"/>
          <w:lang w:val="es-ES"/>
        </w:rPr>
        <w:t>s</w:t>
      </w:r>
      <w:r w:rsidRPr="00807756">
        <w:rPr>
          <w:rFonts w:ascii="Palatino Linotype" w:hAnsi="Palatino Linotype" w:cs="Tahoma"/>
          <w:bCs/>
          <w:iCs/>
          <w:color w:val="auto"/>
          <w:sz w:val="22"/>
          <w:szCs w:val="22"/>
          <w:lang w:val="es-ES"/>
        </w:rPr>
        <w:t xml:space="preserve"> requerimiento</w:t>
      </w:r>
      <w:r w:rsidR="00EA449A" w:rsidRPr="00807756">
        <w:rPr>
          <w:rFonts w:ascii="Palatino Linotype" w:hAnsi="Palatino Linotype" w:cs="Tahoma"/>
          <w:bCs/>
          <w:iCs/>
          <w:color w:val="auto"/>
          <w:sz w:val="22"/>
          <w:szCs w:val="22"/>
          <w:lang w:val="es-ES"/>
        </w:rPr>
        <w:t>s</w:t>
      </w:r>
      <w:r w:rsidRPr="00807756">
        <w:rPr>
          <w:rFonts w:ascii="Palatino Linotype" w:hAnsi="Palatino Linotype" w:cs="Tahoma"/>
          <w:bCs/>
          <w:iCs/>
          <w:color w:val="auto"/>
          <w:sz w:val="22"/>
          <w:szCs w:val="22"/>
          <w:lang w:val="es-ES"/>
        </w:rPr>
        <w:t xml:space="preserve"> de información, lo cual se actualiza el supuesto previsto en el artículo 179, fracción VII, de la Ley de Transparencia y Acceso a la Información Pública del Estado de México y Municipios</w:t>
      </w:r>
      <w:r w:rsidRPr="00807756">
        <w:rPr>
          <w:rFonts w:ascii="Palatino Linotype" w:hAnsi="Palatino Linotype" w:cs="Tahoma"/>
          <w:bCs/>
          <w:iCs/>
          <w:color w:val="auto"/>
          <w:sz w:val="22"/>
          <w:szCs w:val="22"/>
          <w:shd w:val="clear" w:color="auto" w:fill="FFFFFF"/>
        </w:rPr>
        <w:t xml:space="preserve">. </w:t>
      </w:r>
      <w:r w:rsidR="00F66423" w:rsidRPr="00807756">
        <w:rPr>
          <w:rFonts w:ascii="Palatino Linotype" w:eastAsia="Calibri" w:hAnsi="Palatino Linotype" w:cs="Tahoma"/>
          <w:color w:val="auto"/>
          <w:sz w:val="22"/>
          <w:szCs w:val="22"/>
          <w:lang w:val="es-ES"/>
        </w:rPr>
        <w:t>Así las cosas, una vez admitido y notificado el Recurso de Revisión a las partes,</w:t>
      </w:r>
      <w:r w:rsidR="00482426" w:rsidRPr="00807756">
        <w:rPr>
          <w:rFonts w:ascii="Palatino Linotype" w:eastAsia="Calibri" w:hAnsi="Palatino Linotype" w:cs="Tahoma"/>
          <w:color w:val="auto"/>
          <w:sz w:val="22"/>
          <w:szCs w:val="22"/>
          <w:lang w:val="es-ES"/>
        </w:rPr>
        <w:t xml:space="preserve"> </w:t>
      </w:r>
      <w:r w:rsidR="00482426" w:rsidRPr="00807756">
        <w:rPr>
          <w:rFonts w:ascii="Palatino Linotype" w:hAnsi="Palatino Linotype" w:cs="Tahoma"/>
          <w:color w:val="auto"/>
          <w:sz w:val="22"/>
          <w:szCs w:val="22"/>
          <w:lang w:val="es-ES"/>
        </w:rPr>
        <w:t>estas</w:t>
      </w:r>
      <w:r w:rsidR="00482426" w:rsidRPr="00807756">
        <w:rPr>
          <w:rFonts w:ascii="Palatino Linotype" w:hAnsi="Palatino Linotype" w:cs="Tahoma"/>
          <w:bCs/>
          <w:iCs/>
          <w:color w:val="auto"/>
          <w:sz w:val="22"/>
          <w:szCs w:val="22"/>
          <w:lang w:val="es-ES" w:eastAsia="es-ES"/>
        </w:rPr>
        <w:t xml:space="preserve"> fueron omisas en realizar manifestaciones o alegatos.</w:t>
      </w:r>
    </w:p>
    <w:p w14:paraId="44F0C369" w14:textId="77777777" w:rsidR="00712AB9" w:rsidRPr="00807756" w:rsidRDefault="00712AB9" w:rsidP="00225915">
      <w:pPr>
        <w:tabs>
          <w:tab w:val="left" w:pos="4962"/>
        </w:tabs>
        <w:spacing w:after="0" w:line="360" w:lineRule="auto"/>
        <w:rPr>
          <w:rFonts w:eastAsia="Calibri" w:cs="Tahoma"/>
          <w:iCs/>
          <w:color w:val="auto"/>
          <w:lang w:val="es-ES" w:eastAsia="es-ES_tradnl"/>
        </w:rPr>
      </w:pPr>
    </w:p>
    <w:p w14:paraId="63855DEC" w14:textId="6CA7C123" w:rsidR="00712AB9" w:rsidRPr="00807756" w:rsidRDefault="00712AB9" w:rsidP="00225915">
      <w:pPr>
        <w:tabs>
          <w:tab w:val="left" w:pos="4962"/>
        </w:tabs>
        <w:spacing w:after="0" w:line="360" w:lineRule="auto"/>
        <w:rPr>
          <w:rFonts w:eastAsia="Calibri" w:cs="Tahoma"/>
          <w:bCs/>
          <w:color w:val="auto"/>
        </w:rPr>
      </w:pPr>
      <w:r w:rsidRPr="00807756">
        <w:rPr>
          <w:rFonts w:eastAsia="Calibri" w:cs="Tahoma"/>
          <w:iCs/>
          <w:color w:val="auto"/>
          <w:lang w:val="es-ES" w:eastAsia="es-ES_tradnl"/>
        </w:rPr>
        <w:t>Lo anterior, se desprende de las documentales que obran en los expedientes de referencia, materia de la presente resolución, consistente en: la solic</w:t>
      </w:r>
      <w:r w:rsidR="00032C2C" w:rsidRPr="00807756">
        <w:rPr>
          <w:rFonts w:eastAsia="Calibri" w:cs="Tahoma"/>
          <w:iCs/>
          <w:color w:val="auto"/>
          <w:lang w:val="es-ES" w:eastAsia="es-ES_tradnl"/>
        </w:rPr>
        <w:t>itud de acceso a la información</w:t>
      </w:r>
      <w:r w:rsidR="00D94483" w:rsidRPr="00807756">
        <w:rPr>
          <w:rFonts w:eastAsia="Calibri" w:cs="Tahoma"/>
          <w:iCs/>
          <w:color w:val="auto"/>
          <w:lang w:val="es-ES" w:eastAsia="es-ES_tradnl"/>
        </w:rPr>
        <w:t xml:space="preserve"> y</w:t>
      </w:r>
      <w:r w:rsidRPr="00807756">
        <w:rPr>
          <w:rFonts w:eastAsia="Calibri" w:cs="Tahoma"/>
          <w:iCs/>
          <w:color w:val="auto"/>
          <w:lang w:eastAsia="es-ES_tradnl"/>
        </w:rPr>
        <w:t xml:space="preserve"> el escrito recursal; </w:t>
      </w:r>
      <w:r w:rsidRPr="00807756">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0E710B37" w14:textId="77777777" w:rsidR="00712AB9" w:rsidRPr="00807756" w:rsidRDefault="00712AB9" w:rsidP="00225915">
      <w:pPr>
        <w:tabs>
          <w:tab w:val="left" w:pos="4962"/>
        </w:tabs>
        <w:spacing w:after="0" w:line="360" w:lineRule="auto"/>
        <w:rPr>
          <w:rFonts w:eastAsia="Calibri" w:cs="Tahoma"/>
          <w:bCs/>
          <w:color w:val="auto"/>
        </w:rPr>
      </w:pPr>
    </w:p>
    <w:p w14:paraId="21C806B6" w14:textId="53DC00B4" w:rsidR="00712AB9" w:rsidRPr="00807756" w:rsidRDefault="00712AB9" w:rsidP="001B0FD7">
      <w:pPr>
        <w:pStyle w:val="Ttulo2"/>
        <w:rPr>
          <w:color w:val="auto"/>
        </w:rPr>
      </w:pPr>
      <w:bookmarkStart w:id="10" w:name="_Toc213328978"/>
      <w:r w:rsidRPr="00807756">
        <w:rPr>
          <w:color w:val="auto"/>
          <w:lang w:val="es-ES"/>
        </w:rPr>
        <w:t xml:space="preserve">CUARTO. </w:t>
      </w:r>
      <w:r w:rsidRPr="00807756">
        <w:rPr>
          <w:color w:val="auto"/>
        </w:rPr>
        <w:t>Marco normativo aplicable en materia de transparencia y acceso a la información pública</w:t>
      </w:r>
      <w:bookmarkEnd w:id="10"/>
    </w:p>
    <w:p w14:paraId="11B643C5" w14:textId="77777777" w:rsidR="00712AB9" w:rsidRPr="00807756" w:rsidRDefault="00712AB9" w:rsidP="00225915">
      <w:pPr>
        <w:spacing w:after="0" w:line="360" w:lineRule="auto"/>
        <w:rPr>
          <w:rFonts w:cs="Tahoma"/>
          <w:b/>
          <w:color w:val="auto"/>
        </w:rPr>
      </w:pPr>
    </w:p>
    <w:p w14:paraId="0C091C32" w14:textId="77777777" w:rsidR="00FB1036" w:rsidRPr="00807756" w:rsidRDefault="00FB1036" w:rsidP="00FB1036">
      <w:pPr>
        <w:spacing w:after="0" w:line="360" w:lineRule="auto"/>
        <w:rPr>
          <w:rFonts w:eastAsia="Times New Roman" w:cs="Tahoma"/>
          <w:color w:val="auto"/>
          <w:lang w:eastAsia="es-ES"/>
        </w:rPr>
      </w:pPr>
      <w:r w:rsidRPr="00807756">
        <w:rPr>
          <w:rFonts w:eastAsia="Times New Roman" w:cs="Tahoma"/>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E4404D8" w14:textId="77777777" w:rsidR="00FB1036" w:rsidRPr="00807756" w:rsidRDefault="00FB1036" w:rsidP="00FB1036">
      <w:pPr>
        <w:spacing w:after="0" w:line="360" w:lineRule="auto"/>
        <w:rPr>
          <w:rFonts w:eastAsia="Times New Roman" w:cs="Tahoma"/>
          <w:color w:val="auto"/>
          <w:lang w:eastAsia="es-ES"/>
        </w:rPr>
      </w:pPr>
    </w:p>
    <w:p w14:paraId="04A20B14" w14:textId="0697C8EF" w:rsidR="00FB1036" w:rsidRPr="00807756" w:rsidRDefault="00FB1036" w:rsidP="00FB1036">
      <w:pPr>
        <w:spacing w:after="0" w:line="360" w:lineRule="auto"/>
        <w:rPr>
          <w:rFonts w:eastAsia="Times New Roman" w:cs="Tahoma"/>
          <w:color w:val="auto"/>
          <w:lang w:eastAsia="es-ES"/>
        </w:rPr>
      </w:pPr>
      <w:r w:rsidRPr="00807756">
        <w:rPr>
          <w:rFonts w:eastAsia="Times New Roman" w:cs="Tahoma"/>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578FA8E6" w14:textId="77777777" w:rsidR="00FB1036" w:rsidRPr="00807756" w:rsidRDefault="00FB1036" w:rsidP="00FB1036">
      <w:pPr>
        <w:spacing w:after="0" w:line="360" w:lineRule="auto"/>
        <w:rPr>
          <w:rFonts w:eastAsia="Times New Roman" w:cs="Tahoma"/>
          <w:color w:val="auto"/>
          <w:lang w:eastAsia="es-ES"/>
        </w:rPr>
      </w:pPr>
    </w:p>
    <w:p w14:paraId="3D4F66F5" w14:textId="77777777" w:rsidR="00FB1036" w:rsidRPr="00807756" w:rsidRDefault="00FB1036" w:rsidP="00FB1036">
      <w:pPr>
        <w:spacing w:after="0" w:line="360" w:lineRule="auto"/>
        <w:rPr>
          <w:rFonts w:eastAsia="Times New Roman" w:cs="Tahoma"/>
          <w:color w:val="auto"/>
          <w:lang w:eastAsia="es-ES"/>
        </w:rPr>
      </w:pPr>
      <w:r w:rsidRPr="00807756">
        <w:rPr>
          <w:rFonts w:eastAsia="Times New Roman" w:cs="Tahoma"/>
          <w:color w:val="auto"/>
          <w:lang w:eastAsia="es-ES"/>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919E6EE" w14:textId="77777777" w:rsidR="00D94483" w:rsidRPr="00807756" w:rsidRDefault="00D94483" w:rsidP="00D94483">
      <w:pPr>
        <w:spacing w:after="0" w:line="360" w:lineRule="auto"/>
        <w:rPr>
          <w:rFonts w:eastAsia="Times New Roman" w:cs="Tahoma"/>
          <w:iCs/>
          <w:color w:val="auto"/>
          <w:lang w:eastAsia="es-ES"/>
        </w:rPr>
      </w:pPr>
    </w:p>
    <w:p w14:paraId="01BD0FFB" w14:textId="77777777" w:rsidR="00D94483" w:rsidRPr="00807756" w:rsidRDefault="00D94483" w:rsidP="00D94483">
      <w:pPr>
        <w:spacing w:after="0" w:line="360" w:lineRule="auto"/>
        <w:rPr>
          <w:rFonts w:eastAsia="Times New Roman" w:cs="Tahoma"/>
          <w:iCs/>
          <w:color w:val="auto"/>
          <w:lang w:eastAsia="es-ES"/>
        </w:rPr>
      </w:pPr>
      <w:r w:rsidRPr="00807756">
        <w:rPr>
          <w:rFonts w:eastAsia="Times New Roman" w:cs="Tahoma"/>
          <w:iCs/>
          <w:color w:val="auto"/>
          <w:lang w:eastAsia="es-ES"/>
        </w:rPr>
        <w:t>En ese sentido, la Ley de Transparencia y Acceso a la Información Pública del Estado de México y Municipios (Reglamentaria del artículo 5° de la Constitución Local), establece lo siguiente:</w:t>
      </w:r>
    </w:p>
    <w:p w14:paraId="374B6F01" w14:textId="77777777" w:rsidR="00712AB9" w:rsidRPr="00807756" w:rsidRDefault="00712AB9" w:rsidP="00225915">
      <w:pPr>
        <w:widowControl w:val="0"/>
        <w:spacing w:after="0" w:line="360" w:lineRule="auto"/>
        <w:rPr>
          <w:rFonts w:eastAsia="Times New Roman" w:cs="Tahoma"/>
          <w:color w:val="auto"/>
          <w:lang w:eastAsia="es-MX"/>
        </w:rPr>
      </w:pPr>
    </w:p>
    <w:p w14:paraId="63EE3CA6" w14:textId="77777777" w:rsidR="00712AB9" w:rsidRPr="00807756" w:rsidRDefault="00712AB9" w:rsidP="00225915">
      <w:pPr>
        <w:widowControl w:val="0"/>
        <w:spacing w:after="0" w:line="360" w:lineRule="auto"/>
        <w:rPr>
          <w:rFonts w:eastAsia="Times New Roman" w:cs="Tahoma"/>
          <w:color w:val="auto"/>
          <w:lang w:eastAsia="es-MX"/>
        </w:rPr>
      </w:pPr>
      <w:r w:rsidRPr="00807756">
        <w:rPr>
          <w:rFonts w:eastAsia="Times New Roman" w:cs="Tahoma"/>
          <w:color w:val="auto"/>
          <w:lang w:eastAsia="es-MX"/>
        </w:rPr>
        <w:t>El artículo 12, que, quienes generen, recopilen, administren, manejen, procesen, archiven o conserven información pública serán responsables de la misma.</w:t>
      </w:r>
    </w:p>
    <w:p w14:paraId="45998A7D" w14:textId="77777777" w:rsidR="00712AB9" w:rsidRPr="00807756" w:rsidRDefault="00712AB9" w:rsidP="00225915">
      <w:pPr>
        <w:widowControl w:val="0"/>
        <w:spacing w:after="0" w:line="360" w:lineRule="auto"/>
        <w:rPr>
          <w:rFonts w:eastAsia="Times New Roman" w:cs="Tahoma"/>
          <w:color w:val="auto"/>
          <w:lang w:eastAsia="es-MX"/>
        </w:rPr>
      </w:pPr>
    </w:p>
    <w:p w14:paraId="2E62C39D" w14:textId="77777777" w:rsidR="00712AB9" w:rsidRPr="00807756" w:rsidRDefault="00712AB9" w:rsidP="00225915">
      <w:pPr>
        <w:widowControl w:val="0"/>
        <w:spacing w:after="0" w:line="360" w:lineRule="auto"/>
        <w:rPr>
          <w:rFonts w:eastAsia="Times New Roman" w:cs="Tahoma"/>
          <w:color w:val="auto"/>
          <w:lang w:eastAsia="es-MX"/>
        </w:rPr>
      </w:pPr>
      <w:r w:rsidRPr="00807756">
        <w:rPr>
          <w:rFonts w:eastAsia="Times New Roman" w:cs="Tahoma"/>
          <w:color w:val="auto"/>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1DF72E96" w14:textId="77777777" w:rsidR="00712AB9" w:rsidRPr="00807756" w:rsidRDefault="00712AB9" w:rsidP="00225915">
      <w:pPr>
        <w:widowControl w:val="0"/>
        <w:spacing w:after="0" w:line="360" w:lineRule="auto"/>
        <w:rPr>
          <w:rFonts w:eastAsia="Times New Roman" w:cs="Tahoma"/>
          <w:color w:val="auto"/>
          <w:lang w:eastAsia="es-MX"/>
        </w:rPr>
      </w:pPr>
    </w:p>
    <w:p w14:paraId="2EC2EE16" w14:textId="77777777" w:rsidR="00712AB9" w:rsidRPr="00807756" w:rsidRDefault="00712AB9" w:rsidP="00225915">
      <w:pPr>
        <w:spacing w:after="0" w:line="360" w:lineRule="auto"/>
        <w:rPr>
          <w:rFonts w:eastAsia="Times New Roman" w:cs="Tahoma"/>
          <w:color w:val="auto"/>
          <w:lang w:eastAsia="es-MX"/>
        </w:rPr>
      </w:pPr>
      <w:r w:rsidRPr="00807756">
        <w:rPr>
          <w:rFonts w:eastAsia="Times New Roman" w:cs="Tahoma"/>
          <w:color w:val="auto"/>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1A0EC9D" w14:textId="77777777" w:rsidR="008B0D92" w:rsidRPr="00807756" w:rsidRDefault="008B0D92" w:rsidP="00225915">
      <w:pPr>
        <w:spacing w:after="0" w:line="360" w:lineRule="auto"/>
        <w:rPr>
          <w:rFonts w:eastAsia="Times New Roman" w:cs="Tahoma"/>
          <w:color w:val="auto"/>
          <w:lang w:eastAsia="es-MX"/>
        </w:rPr>
      </w:pPr>
    </w:p>
    <w:p w14:paraId="045179D6" w14:textId="3A13E537" w:rsidR="00712AB9" w:rsidRPr="00807756" w:rsidRDefault="00712AB9" w:rsidP="001B0FD7">
      <w:pPr>
        <w:pStyle w:val="Ttulo2"/>
        <w:rPr>
          <w:rFonts w:eastAsia="Times New Roman"/>
          <w:color w:val="auto"/>
          <w:lang w:val="es-ES" w:eastAsia="es-ES"/>
        </w:rPr>
      </w:pPr>
      <w:bookmarkStart w:id="11" w:name="_Toc213328979"/>
      <w:r w:rsidRPr="00807756">
        <w:rPr>
          <w:rFonts w:eastAsia="Times New Roman"/>
          <w:color w:val="auto"/>
          <w:lang w:val="es-ES" w:eastAsia="es-ES"/>
        </w:rPr>
        <w:t>QUINTO. Estudio de Fondo</w:t>
      </w:r>
      <w:bookmarkEnd w:id="11"/>
    </w:p>
    <w:p w14:paraId="44BBBAD1" w14:textId="77777777" w:rsidR="00712AB9" w:rsidRPr="00807756" w:rsidRDefault="00712AB9" w:rsidP="00225915">
      <w:pPr>
        <w:spacing w:after="0" w:line="360" w:lineRule="auto"/>
        <w:rPr>
          <w:rFonts w:eastAsia="Times New Roman" w:cs="Tahoma"/>
          <w:b/>
          <w:color w:val="auto"/>
          <w:lang w:val="es-ES" w:eastAsia="es-ES"/>
        </w:rPr>
      </w:pPr>
    </w:p>
    <w:p w14:paraId="70FAC6FA" w14:textId="468AC6D6" w:rsidR="00712AB9" w:rsidRPr="00807756" w:rsidRDefault="00712AB9" w:rsidP="00225915">
      <w:pPr>
        <w:widowControl w:val="0"/>
        <w:spacing w:after="0" w:line="360" w:lineRule="auto"/>
        <w:rPr>
          <w:rFonts w:eastAsia="Calibri" w:cs="Tahoma"/>
          <w:color w:val="auto"/>
        </w:rPr>
      </w:pPr>
      <w:r w:rsidRPr="00807756">
        <w:rPr>
          <w:rFonts w:eastAsia="Times New Roman" w:cs="Tahoma"/>
          <w:color w:val="auto"/>
          <w:lang w:eastAsia="es-MX"/>
        </w:rPr>
        <w:t xml:space="preserve">Expuestas las posturas de las partes, se procede al análisis del agravio hecho valer por </w:t>
      </w:r>
      <w:r w:rsidR="00BD5769" w:rsidRPr="00807756">
        <w:rPr>
          <w:rFonts w:eastAsia="Times New Roman" w:cs="Tahoma"/>
          <w:color w:val="auto"/>
          <w:lang w:eastAsia="es-MX"/>
        </w:rPr>
        <w:t>la persona</w:t>
      </w:r>
      <w:r w:rsidRPr="00807756">
        <w:rPr>
          <w:rFonts w:eastAsia="Times New Roman" w:cs="Tahoma"/>
          <w:color w:val="auto"/>
          <w:lang w:eastAsia="es-MX"/>
        </w:rPr>
        <w:t xml:space="preserve"> Recurrente, concerniente a la falta de respuesta del</w:t>
      </w:r>
      <w:r w:rsidR="00122B7A" w:rsidRPr="00807756">
        <w:rPr>
          <w:rFonts w:eastAsia="Calibri" w:cs="Tahoma"/>
          <w:color w:val="auto"/>
        </w:rPr>
        <w:t xml:space="preserve"> </w:t>
      </w:r>
      <w:r w:rsidR="00CE143A" w:rsidRPr="00807756">
        <w:rPr>
          <w:rFonts w:eastAsia="Calibri" w:cs="Tahoma"/>
          <w:b/>
          <w:color w:val="auto"/>
        </w:rPr>
        <w:t>Ayuntamiento de</w:t>
      </w:r>
      <w:r w:rsidR="00807756">
        <w:rPr>
          <w:rFonts w:eastAsia="Calibri" w:cs="Tahoma"/>
          <w:b/>
          <w:color w:val="auto"/>
        </w:rPr>
        <w:t xml:space="preserve"> Almoloya de Juárez</w:t>
      </w:r>
      <w:r w:rsidR="00822090" w:rsidRPr="00807756">
        <w:rPr>
          <w:rFonts w:eastAsia="Times New Roman" w:cs="Tahoma"/>
          <w:color w:val="auto"/>
          <w:lang w:eastAsia="es-MX"/>
        </w:rPr>
        <w:t>,</w:t>
      </w:r>
      <w:r w:rsidR="00BD5769" w:rsidRPr="00807756">
        <w:rPr>
          <w:rFonts w:eastAsia="Times New Roman" w:cs="Tahoma"/>
          <w:color w:val="auto"/>
          <w:lang w:eastAsia="es-MX"/>
        </w:rPr>
        <w:t xml:space="preserve"> </w:t>
      </w:r>
      <w:r w:rsidRPr="00807756">
        <w:rPr>
          <w:rFonts w:eastAsia="Times New Roman" w:cs="Tahoma"/>
          <w:color w:val="auto"/>
          <w:lang w:eastAsia="es-MX"/>
        </w:rPr>
        <w:t>a la</w:t>
      </w:r>
      <w:r w:rsidR="00EA449A" w:rsidRPr="00807756">
        <w:rPr>
          <w:rFonts w:eastAsia="Times New Roman" w:cs="Tahoma"/>
          <w:color w:val="auto"/>
          <w:lang w:eastAsia="es-MX"/>
        </w:rPr>
        <w:t xml:space="preserve">s </w:t>
      </w:r>
      <w:r w:rsidRPr="00807756">
        <w:rPr>
          <w:rFonts w:eastAsia="Times New Roman" w:cs="Tahoma"/>
          <w:color w:val="auto"/>
          <w:lang w:eastAsia="es-MX"/>
        </w:rPr>
        <w:t>solicitud</w:t>
      </w:r>
      <w:r w:rsidR="00EA449A" w:rsidRPr="00807756">
        <w:rPr>
          <w:rFonts w:eastAsia="Times New Roman" w:cs="Tahoma"/>
          <w:color w:val="auto"/>
          <w:lang w:eastAsia="es-MX"/>
        </w:rPr>
        <w:t>es</w:t>
      </w:r>
      <w:r w:rsidRPr="00807756">
        <w:rPr>
          <w:rFonts w:eastAsia="Times New Roman" w:cs="Tahoma"/>
          <w:color w:val="auto"/>
          <w:lang w:eastAsia="es-MX"/>
        </w:rPr>
        <w:t xml:space="preserve"> de información</w:t>
      </w:r>
      <w:r w:rsidR="00822090" w:rsidRPr="00807756">
        <w:rPr>
          <w:rFonts w:eastAsia="Times New Roman" w:cs="Tahoma"/>
          <w:color w:val="auto"/>
          <w:lang w:eastAsia="es-MX"/>
        </w:rPr>
        <w:t xml:space="preserve"> pública</w:t>
      </w:r>
      <w:r w:rsidRPr="00807756">
        <w:rPr>
          <w:rFonts w:eastAsia="Times New Roman" w:cs="Tahoma"/>
          <w:color w:val="auto"/>
          <w:lang w:eastAsia="es-MX"/>
        </w:rPr>
        <w:t>.</w:t>
      </w:r>
    </w:p>
    <w:p w14:paraId="2B7965B9" w14:textId="77777777" w:rsidR="00F32CEA" w:rsidRPr="00807756" w:rsidRDefault="00F32CEA" w:rsidP="00225915">
      <w:pPr>
        <w:widowControl w:val="0"/>
        <w:spacing w:after="0" w:line="360" w:lineRule="auto"/>
        <w:rPr>
          <w:rFonts w:eastAsia="Times New Roman" w:cs="Tahoma"/>
          <w:color w:val="auto"/>
          <w:lang w:eastAsia="es-MX"/>
        </w:rPr>
      </w:pPr>
    </w:p>
    <w:p w14:paraId="0DDE2065" w14:textId="77777777" w:rsidR="00712AB9" w:rsidRPr="00807756" w:rsidRDefault="00712AB9" w:rsidP="00225915">
      <w:pPr>
        <w:spacing w:after="0" w:line="360" w:lineRule="auto"/>
        <w:rPr>
          <w:rFonts w:eastAsia="Calibri" w:cs="Tahoma"/>
          <w:bCs/>
          <w:color w:val="auto"/>
        </w:rPr>
      </w:pPr>
      <w:r w:rsidRPr="00807756">
        <w:rPr>
          <w:rFonts w:eastAsia="Calibri" w:cs="Tahoma"/>
          <w:bCs/>
          <w:color w:val="auto"/>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1D8D793E" w14:textId="77777777" w:rsidR="00712AB9" w:rsidRPr="00807756" w:rsidRDefault="00712AB9" w:rsidP="00225915">
      <w:pPr>
        <w:spacing w:after="0" w:line="360" w:lineRule="auto"/>
        <w:rPr>
          <w:rFonts w:eastAsia="Calibri" w:cs="Tahoma"/>
          <w:bCs/>
          <w:color w:val="auto"/>
        </w:rPr>
      </w:pPr>
    </w:p>
    <w:p w14:paraId="5770FBFD" w14:textId="77777777" w:rsidR="00712AB9" w:rsidRPr="00807756" w:rsidRDefault="00712AB9" w:rsidP="00225915">
      <w:pPr>
        <w:numPr>
          <w:ilvl w:val="0"/>
          <w:numId w:val="9"/>
        </w:numPr>
        <w:spacing w:after="0" w:line="360" w:lineRule="auto"/>
        <w:contextualSpacing/>
        <w:rPr>
          <w:rFonts w:eastAsia="Calibri" w:cs="Tahoma"/>
          <w:bCs/>
          <w:color w:val="auto"/>
        </w:rPr>
      </w:pPr>
      <w:r w:rsidRPr="00807756">
        <w:rPr>
          <w:rFonts w:eastAsia="Calibri" w:cs="Tahoma"/>
          <w:bCs/>
          <w:color w:val="auto"/>
        </w:rPr>
        <w:t>Proveer lo necesario para garantizar a toda persona el derecho de acceso a la información pública, a través de procedimientos sencillos, expeditos, oportunos y gratuitos;</w:t>
      </w:r>
    </w:p>
    <w:p w14:paraId="24800928" w14:textId="77777777" w:rsidR="00712AB9" w:rsidRPr="00807756" w:rsidRDefault="00712AB9" w:rsidP="00225915">
      <w:pPr>
        <w:spacing w:after="0" w:line="360" w:lineRule="auto"/>
        <w:ind w:left="720"/>
        <w:contextualSpacing/>
        <w:rPr>
          <w:rFonts w:eastAsia="Calibri" w:cs="Tahoma"/>
          <w:bCs/>
          <w:color w:val="auto"/>
        </w:rPr>
      </w:pPr>
    </w:p>
    <w:p w14:paraId="5EEBFAC0" w14:textId="77777777" w:rsidR="00712AB9" w:rsidRPr="00807756" w:rsidRDefault="00712AB9" w:rsidP="00225915">
      <w:pPr>
        <w:numPr>
          <w:ilvl w:val="0"/>
          <w:numId w:val="9"/>
        </w:numPr>
        <w:spacing w:after="0" w:line="360" w:lineRule="auto"/>
        <w:contextualSpacing/>
        <w:rPr>
          <w:rFonts w:eastAsia="Calibri" w:cs="Tahoma"/>
          <w:bCs/>
          <w:color w:val="auto"/>
        </w:rPr>
      </w:pPr>
      <w:r w:rsidRPr="00807756">
        <w:rPr>
          <w:rFonts w:eastAsia="Calibri" w:cs="Tahoma"/>
          <w:bCs/>
          <w:color w:val="auto"/>
        </w:rPr>
        <w:t>Transparentar la gestión pública, mediante la difusión de la información generada por los Sujetos Obligados, y</w:t>
      </w:r>
    </w:p>
    <w:p w14:paraId="1DFF92EF" w14:textId="77777777" w:rsidR="00712AB9" w:rsidRPr="00807756" w:rsidRDefault="00712AB9" w:rsidP="00225915">
      <w:pPr>
        <w:spacing w:after="0" w:line="360" w:lineRule="auto"/>
        <w:ind w:left="720"/>
        <w:contextualSpacing/>
        <w:rPr>
          <w:rFonts w:eastAsia="Calibri" w:cs="Tahoma"/>
          <w:bCs/>
          <w:color w:val="auto"/>
        </w:rPr>
      </w:pPr>
    </w:p>
    <w:p w14:paraId="70B4A5FA" w14:textId="77777777" w:rsidR="00712AB9" w:rsidRPr="00807756" w:rsidRDefault="00712AB9" w:rsidP="00225915">
      <w:pPr>
        <w:numPr>
          <w:ilvl w:val="0"/>
          <w:numId w:val="9"/>
        </w:numPr>
        <w:spacing w:after="0" w:line="360" w:lineRule="auto"/>
        <w:contextualSpacing/>
        <w:rPr>
          <w:rFonts w:eastAsia="Calibri" w:cs="Tahoma"/>
          <w:bCs/>
          <w:color w:val="auto"/>
        </w:rPr>
      </w:pPr>
      <w:r w:rsidRPr="00807756">
        <w:rPr>
          <w:rFonts w:eastAsia="Calibri" w:cs="Tahoma"/>
          <w:bCs/>
          <w:color w:val="auto"/>
        </w:rPr>
        <w:t>Promover, fomentar y difundir la cultura de la transparencia en el ejercicio de la función pública, el acceso a la información y la participación ciudadana, así como, la rendición de cuentas.</w:t>
      </w:r>
    </w:p>
    <w:p w14:paraId="5D5048C7" w14:textId="77777777" w:rsidR="00712AB9" w:rsidRPr="00807756" w:rsidRDefault="00712AB9" w:rsidP="00225915">
      <w:pPr>
        <w:spacing w:after="0" w:line="360" w:lineRule="auto"/>
        <w:rPr>
          <w:rFonts w:eastAsia="Calibri" w:cs="Tahoma"/>
          <w:bCs/>
          <w:color w:val="auto"/>
        </w:rPr>
      </w:pPr>
    </w:p>
    <w:p w14:paraId="6C04D5EE" w14:textId="77777777" w:rsidR="00712AB9" w:rsidRPr="00807756" w:rsidRDefault="00712AB9" w:rsidP="00225915">
      <w:pPr>
        <w:spacing w:after="0" w:line="360" w:lineRule="auto"/>
        <w:rPr>
          <w:rFonts w:eastAsia="Calibri" w:cs="Tahoma"/>
          <w:bCs/>
          <w:color w:val="auto"/>
        </w:rPr>
      </w:pPr>
      <w:r w:rsidRPr="00807756">
        <w:rPr>
          <w:rFonts w:eastAsia="Calibri" w:cs="Tahoma"/>
          <w:bCs/>
          <w:color w:val="auto"/>
        </w:rPr>
        <w:t xml:space="preserve">Conforme a lo anterior, se desprende que </w:t>
      </w:r>
      <w:r w:rsidRPr="00807756">
        <w:rPr>
          <w:rFonts w:eastAsia="Calibri" w:cs="Tahoma"/>
          <w:b/>
          <w:bCs/>
          <w:color w:val="auto"/>
        </w:rPr>
        <w:t>los objetivos de la Ley de la materia,</w:t>
      </w:r>
      <w:r w:rsidRPr="00807756">
        <w:rPr>
          <w:rFonts w:eastAsia="Calibri" w:cs="Tahoma"/>
          <w:bCs/>
          <w:color w:val="auto"/>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108FEAEC" w14:textId="77777777" w:rsidR="00712AB9" w:rsidRPr="00807756" w:rsidRDefault="00712AB9" w:rsidP="00225915">
      <w:pPr>
        <w:spacing w:after="0" w:line="360" w:lineRule="auto"/>
        <w:rPr>
          <w:rFonts w:eastAsia="Calibri" w:cs="Tahoma"/>
          <w:bCs/>
          <w:color w:val="auto"/>
        </w:rPr>
      </w:pPr>
    </w:p>
    <w:p w14:paraId="7C342317" w14:textId="77777777" w:rsidR="00712AB9" w:rsidRPr="00807756" w:rsidRDefault="00712AB9" w:rsidP="00225915">
      <w:pPr>
        <w:spacing w:after="0" w:line="360" w:lineRule="auto"/>
        <w:rPr>
          <w:rFonts w:eastAsia="Calibri" w:cs="Tahoma"/>
          <w:bCs/>
          <w:color w:val="auto"/>
        </w:rPr>
      </w:pPr>
      <w:r w:rsidRPr="00807756">
        <w:rPr>
          <w:rFonts w:eastAsia="Calibri" w:cs="Tahoma"/>
          <w:bCs/>
          <w:color w:val="auto"/>
        </w:rPr>
        <w:t xml:space="preserve">En ese orden de ideas, para la atención de las solicitudes de acceso a la información, debe privilegiarse el </w:t>
      </w:r>
      <w:r w:rsidRPr="00807756">
        <w:rPr>
          <w:rFonts w:eastAsia="Calibri" w:cs="Tahoma"/>
          <w:b/>
          <w:bCs/>
          <w:color w:val="auto"/>
        </w:rPr>
        <w:t>principio de máxima publicidad</w:t>
      </w:r>
      <w:r w:rsidRPr="00807756">
        <w:rPr>
          <w:rFonts w:eastAsia="Calibri" w:cs="Tahoma"/>
          <w:bCs/>
          <w:color w:val="auto"/>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73334DE" w14:textId="77777777" w:rsidR="00712AB9" w:rsidRPr="00807756" w:rsidRDefault="00712AB9" w:rsidP="00225915">
      <w:pPr>
        <w:spacing w:after="0" w:line="360" w:lineRule="auto"/>
        <w:rPr>
          <w:rFonts w:eastAsia="Calibri" w:cs="Tahoma"/>
          <w:bCs/>
          <w:color w:val="auto"/>
        </w:rPr>
      </w:pPr>
    </w:p>
    <w:p w14:paraId="0280313F" w14:textId="77777777" w:rsidR="00712AB9" w:rsidRPr="00807756" w:rsidRDefault="00712AB9" w:rsidP="00225915">
      <w:pPr>
        <w:spacing w:after="0" w:line="360" w:lineRule="auto"/>
        <w:rPr>
          <w:rFonts w:eastAsia="Calibri" w:cs="Tahoma"/>
          <w:bCs/>
          <w:color w:val="auto"/>
        </w:rPr>
      </w:pPr>
      <w:r w:rsidRPr="00807756">
        <w:rPr>
          <w:rFonts w:eastAsia="Calibri" w:cs="Tahoma"/>
          <w:bCs/>
          <w:color w:val="auto"/>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0AEDF676" w14:textId="77777777" w:rsidR="00712AB9" w:rsidRPr="00807756" w:rsidRDefault="00712AB9" w:rsidP="00225915">
      <w:pPr>
        <w:spacing w:after="0" w:line="360" w:lineRule="auto"/>
        <w:rPr>
          <w:rFonts w:eastAsia="Calibri" w:cs="Tahoma"/>
          <w:bCs/>
          <w:color w:val="auto"/>
        </w:rPr>
      </w:pPr>
    </w:p>
    <w:p w14:paraId="6614C5AA" w14:textId="77777777" w:rsidR="00712AB9" w:rsidRPr="00807756" w:rsidRDefault="00712AB9" w:rsidP="00225915">
      <w:pPr>
        <w:numPr>
          <w:ilvl w:val="0"/>
          <w:numId w:val="10"/>
        </w:numPr>
        <w:spacing w:after="0" w:line="360" w:lineRule="auto"/>
        <w:contextualSpacing/>
        <w:rPr>
          <w:rFonts w:eastAsia="Calibri" w:cs="Tahoma"/>
          <w:bCs/>
          <w:color w:val="auto"/>
        </w:rPr>
      </w:pPr>
      <w:r w:rsidRPr="00807756">
        <w:rPr>
          <w:rFonts w:eastAsia="Calibri" w:cs="Tahoma"/>
          <w:bCs/>
          <w:color w:val="auto"/>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5EFEF74" w14:textId="77777777" w:rsidR="00712AB9" w:rsidRPr="00807756" w:rsidRDefault="00712AB9" w:rsidP="00225915">
      <w:pPr>
        <w:spacing w:after="0" w:line="360" w:lineRule="auto"/>
        <w:ind w:left="720"/>
        <w:contextualSpacing/>
        <w:rPr>
          <w:rFonts w:eastAsia="Calibri" w:cs="Tahoma"/>
          <w:bCs/>
          <w:color w:val="auto"/>
        </w:rPr>
      </w:pPr>
    </w:p>
    <w:p w14:paraId="20C2047E" w14:textId="77777777" w:rsidR="00712AB9" w:rsidRPr="00807756" w:rsidRDefault="00712AB9" w:rsidP="00225915">
      <w:pPr>
        <w:numPr>
          <w:ilvl w:val="0"/>
          <w:numId w:val="10"/>
        </w:numPr>
        <w:spacing w:after="0" w:line="360" w:lineRule="auto"/>
        <w:contextualSpacing/>
        <w:rPr>
          <w:rFonts w:eastAsia="Calibri" w:cs="Tahoma"/>
          <w:bCs/>
          <w:color w:val="auto"/>
        </w:rPr>
      </w:pPr>
      <w:r w:rsidRPr="00807756">
        <w:rPr>
          <w:rFonts w:eastAsia="Calibri" w:cs="Tahoma"/>
          <w:bCs/>
          <w:color w:val="auto"/>
        </w:rPr>
        <w:t xml:space="preserve">Las respuestas a los requerimientos informativos deberán notificarse al interesado en el menor tiempo posible, que no podrá exceder </w:t>
      </w:r>
      <w:r w:rsidRPr="00807756">
        <w:rPr>
          <w:rFonts w:eastAsia="Calibri" w:cs="Tahoma"/>
          <w:b/>
          <w:bCs/>
          <w:color w:val="auto"/>
        </w:rPr>
        <w:t>quince días, contados a partir del día siguiente a la presentación de ésta.</w:t>
      </w:r>
      <w:r w:rsidRPr="00807756">
        <w:rPr>
          <w:rFonts w:eastAsia="Calibri" w:cs="Tahoma"/>
          <w:bCs/>
          <w:color w:val="auto"/>
        </w:rPr>
        <w:t xml:space="preserve"> Excepcionalmente, el plazo referido podrá ampliarse por siete días hábiles más, cuando existan razones fundadas y motivadas, a través del Comité de Transparencia;</w:t>
      </w:r>
    </w:p>
    <w:p w14:paraId="4E3316F6" w14:textId="77777777" w:rsidR="00712AB9" w:rsidRPr="00807756" w:rsidRDefault="00712AB9" w:rsidP="00225915">
      <w:pPr>
        <w:spacing w:after="0" w:line="360" w:lineRule="auto"/>
        <w:ind w:left="720"/>
        <w:contextualSpacing/>
        <w:rPr>
          <w:rFonts w:eastAsia="Calibri" w:cs="Tahoma"/>
          <w:bCs/>
          <w:color w:val="auto"/>
        </w:rPr>
      </w:pPr>
    </w:p>
    <w:p w14:paraId="1904B642" w14:textId="77777777" w:rsidR="00712AB9" w:rsidRPr="00807756" w:rsidRDefault="00712AB9" w:rsidP="00225915">
      <w:pPr>
        <w:numPr>
          <w:ilvl w:val="0"/>
          <w:numId w:val="10"/>
        </w:numPr>
        <w:spacing w:after="0" w:line="360" w:lineRule="auto"/>
        <w:contextualSpacing/>
        <w:rPr>
          <w:rFonts w:eastAsia="Calibri" w:cs="Tahoma"/>
          <w:b/>
          <w:bCs/>
          <w:color w:val="auto"/>
        </w:rPr>
      </w:pPr>
      <w:r w:rsidRPr="00807756">
        <w:rPr>
          <w:rFonts w:eastAsia="Calibri" w:cs="Tahoma"/>
          <w:bCs/>
          <w:color w:val="auto"/>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807756">
        <w:rPr>
          <w:rFonts w:eastAsia="Calibri" w:cs="Tahoma"/>
          <w:b/>
          <w:bCs/>
          <w:color w:val="auto"/>
        </w:rPr>
        <w:t>que se encuentren en sus archivos o que estén constreñidos a elaborar;</w:t>
      </w:r>
    </w:p>
    <w:p w14:paraId="64D0C21D" w14:textId="77777777" w:rsidR="00712AB9" w:rsidRPr="00807756" w:rsidRDefault="00712AB9" w:rsidP="00225915">
      <w:pPr>
        <w:spacing w:after="0" w:line="360" w:lineRule="auto"/>
        <w:ind w:left="720"/>
        <w:contextualSpacing/>
        <w:rPr>
          <w:rFonts w:eastAsia="Calibri" w:cs="Tahoma"/>
          <w:b/>
          <w:bCs/>
          <w:color w:val="auto"/>
        </w:rPr>
      </w:pPr>
    </w:p>
    <w:p w14:paraId="37B3BEF5" w14:textId="77777777" w:rsidR="00712AB9" w:rsidRPr="00807756" w:rsidRDefault="00712AB9" w:rsidP="00225915">
      <w:pPr>
        <w:numPr>
          <w:ilvl w:val="0"/>
          <w:numId w:val="10"/>
        </w:numPr>
        <w:spacing w:after="0" w:line="360" w:lineRule="auto"/>
        <w:contextualSpacing/>
        <w:rPr>
          <w:rFonts w:eastAsia="Calibri" w:cs="Tahoma"/>
          <w:b/>
          <w:bCs/>
          <w:color w:val="auto"/>
        </w:rPr>
      </w:pPr>
      <w:r w:rsidRPr="00807756">
        <w:rPr>
          <w:rFonts w:eastAsia="Calibri" w:cs="Tahoma"/>
          <w:bCs/>
          <w:color w:val="auto"/>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5B1907A" w14:textId="77777777" w:rsidR="00712AB9" w:rsidRPr="00807756" w:rsidRDefault="00712AB9" w:rsidP="00225915">
      <w:pPr>
        <w:spacing w:after="0" w:line="360" w:lineRule="auto"/>
        <w:ind w:left="720"/>
        <w:contextualSpacing/>
        <w:rPr>
          <w:rFonts w:eastAsia="Calibri" w:cs="Tahoma"/>
          <w:b/>
          <w:bCs/>
          <w:color w:val="auto"/>
        </w:rPr>
      </w:pPr>
    </w:p>
    <w:p w14:paraId="08005923" w14:textId="77777777" w:rsidR="00712AB9" w:rsidRPr="00807756" w:rsidRDefault="00712AB9" w:rsidP="00225915">
      <w:pPr>
        <w:numPr>
          <w:ilvl w:val="0"/>
          <w:numId w:val="10"/>
        </w:numPr>
        <w:spacing w:after="0" w:line="360" w:lineRule="auto"/>
        <w:contextualSpacing/>
        <w:rPr>
          <w:rFonts w:eastAsia="Calibri" w:cs="Tahoma"/>
          <w:b/>
          <w:bCs/>
          <w:color w:val="auto"/>
        </w:rPr>
      </w:pPr>
      <w:r w:rsidRPr="00807756">
        <w:rPr>
          <w:rFonts w:eastAsia="Calibri" w:cs="Tahoma"/>
          <w:bCs/>
          <w:color w:val="auto"/>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0684BC4" w14:textId="77777777" w:rsidR="00712AB9" w:rsidRPr="00807756" w:rsidRDefault="00712AB9" w:rsidP="00225915">
      <w:pPr>
        <w:spacing w:after="0" w:line="360" w:lineRule="auto"/>
        <w:rPr>
          <w:rFonts w:cs="Tahoma"/>
          <w:color w:val="auto"/>
        </w:rPr>
      </w:pPr>
    </w:p>
    <w:p w14:paraId="0C2F4C96" w14:textId="52803184" w:rsidR="00712AB9" w:rsidRPr="00807756" w:rsidRDefault="00712AB9" w:rsidP="00225915">
      <w:pPr>
        <w:spacing w:after="0" w:line="360" w:lineRule="auto"/>
        <w:rPr>
          <w:rFonts w:eastAsia="Calibri" w:cs="Tahoma"/>
          <w:b/>
          <w:color w:val="FF0000"/>
        </w:rPr>
      </w:pPr>
      <w:r w:rsidRPr="00807756">
        <w:rPr>
          <w:rFonts w:cs="Tahoma"/>
          <w:color w:val="auto"/>
        </w:rPr>
        <w:t>Una vez establecido lo anterior, es de indicar que el agravio de</w:t>
      </w:r>
      <w:r w:rsidR="00205855" w:rsidRPr="00807756">
        <w:rPr>
          <w:rFonts w:cs="Tahoma"/>
          <w:color w:val="auto"/>
        </w:rPr>
        <w:t>l</w:t>
      </w:r>
      <w:r w:rsidRPr="00807756">
        <w:rPr>
          <w:rFonts w:cs="Tahoma"/>
          <w:color w:val="auto"/>
        </w:rPr>
        <w:t xml:space="preserve"> Particular consistió en que, a la fecha de interposición de</w:t>
      </w:r>
      <w:r w:rsidR="004E0B39" w:rsidRPr="00807756">
        <w:rPr>
          <w:rFonts w:cs="Tahoma"/>
          <w:color w:val="auto"/>
        </w:rPr>
        <w:t xml:space="preserve"> los </w:t>
      </w:r>
      <w:r w:rsidRPr="00807756">
        <w:rPr>
          <w:rFonts w:cs="Tahoma"/>
          <w:color w:val="auto"/>
        </w:rPr>
        <w:t>Recurso</w:t>
      </w:r>
      <w:r w:rsidR="004E0B39" w:rsidRPr="00807756">
        <w:rPr>
          <w:rFonts w:cs="Tahoma"/>
          <w:color w:val="auto"/>
        </w:rPr>
        <w:t>s</w:t>
      </w:r>
      <w:r w:rsidRPr="00807756">
        <w:rPr>
          <w:rFonts w:cs="Tahoma"/>
          <w:color w:val="auto"/>
        </w:rPr>
        <w:t xml:space="preserve"> de </w:t>
      </w:r>
      <w:r w:rsidRPr="00E252A5">
        <w:rPr>
          <w:rFonts w:cs="Tahoma"/>
          <w:color w:val="auto"/>
        </w:rPr>
        <w:t>Revisión, el</w:t>
      </w:r>
      <w:r w:rsidR="00CE143A" w:rsidRPr="00E252A5">
        <w:rPr>
          <w:rFonts w:eastAsia="Calibri" w:cs="Tahoma"/>
          <w:color w:val="auto"/>
        </w:rPr>
        <w:t xml:space="preserve"> </w:t>
      </w:r>
      <w:r w:rsidR="00CE143A" w:rsidRPr="00E252A5">
        <w:rPr>
          <w:rFonts w:eastAsia="Calibri" w:cs="Tahoma"/>
          <w:b/>
          <w:color w:val="auto"/>
        </w:rPr>
        <w:t xml:space="preserve">Ayuntamiento de </w:t>
      </w:r>
      <w:r w:rsidR="00807756" w:rsidRPr="00E252A5">
        <w:rPr>
          <w:rFonts w:eastAsia="Calibri" w:cs="Tahoma"/>
          <w:b/>
          <w:color w:val="auto"/>
        </w:rPr>
        <w:t>Almoloya de Juárez</w:t>
      </w:r>
      <w:r w:rsidRPr="00E252A5">
        <w:rPr>
          <w:rFonts w:cs="Tahoma"/>
          <w:color w:val="auto"/>
        </w:rPr>
        <w:t>, no había registrado respuesta a</w:t>
      </w:r>
      <w:r w:rsidR="004E0B39" w:rsidRPr="00E252A5">
        <w:rPr>
          <w:rFonts w:cs="Tahoma"/>
          <w:color w:val="auto"/>
        </w:rPr>
        <w:t xml:space="preserve"> los</w:t>
      </w:r>
      <w:r w:rsidRPr="00E252A5">
        <w:rPr>
          <w:rFonts w:cs="Tahoma"/>
          <w:color w:val="auto"/>
        </w:rPr>
        <w:t xml:space="preserve"> requerimiento</w:t>
      </w:r>
      <w:r w:rsidR="004E0B39" w:rsidRPr="00E252A5">
        <w:rPr>
          <w:rFonts w:cs="Tahoma"/>
          <w:color w:val="auto"/>
        </w:rPr>
        <w:t xml:space="preserve">s </w:t>
      </w:r>
      <w:r w:rsidRPr="00E252A5">
        <w:rPr>
          <w:rFonts w:cs="Tahoma"/>
          <w:color w:val="auto"/>
        </w:rPr>
        <w:t xml:space="preserve">de acceso a la información, </w:t>
      </w:r>
      <w:r w:rsidR="004E0B39" w:rsidRPr="00E252A5">
        <w:rPr>
          <w:rFonts w:cs="Tahoma"/>
          <w:color w:val="auto"/>
        </w:rPr>
        <w:t>los</w:t>
      </w:r>
      <w:r w:rsidRPr="00E252A5">
        <w:rPr>
          <w:rFonts w:cs="Tahoma"/>
          <w:color w:val="auto"/>
        </w:rPr>
        <w:t xml:space="preserve"> cual</w:t>
      </w:r>
      <w:r w:rsidR="004E0B39" w:rsidRPr="00E252A5">
        <w:rPr>
          <w:rFonts w:cs="Tahoma"/>
          <w:color w:val="auto"/>
        </w:rPr>
        <w:t>es</w:t>
      </w:r>
      <w:r w:rsidRPr="00E252A5">
        <w:rPr>
          <w:rFonts w:cs="Tahoma"/>
          <w:color w:val="auto"/>
        </w:rPr>
        <w:t xml:space="preserve"> se </w:t>
      </w:r>
      <w:r w:rsidR="00225915" w:rsidRPr="00E252A5">
        <w:rPr>
          <w:rFonts w:cs="Tahoma"/>
          <w:color w:val="auto"/>
        </w:rPr>
        <w:t>presentaron</w:t>
      </w:r>
      <w:r w:rsidRPr="00E252A5">
        <w:rPr>
          <w:rFonts w:cs="Tahoma"/>
          <w:color w:val="auto"/>
        </w:rPr>
        <w:t xml:space="preserve"> el</w:t>
      </w:r>
      <w:r w:rsidR="0002483B" w:rsidRPr="00E252A5">
        <w:rPr>
          <w:rFonts w:cs="Tahoma"/>
          <w:color w:val="auto"/>
        </w:rPr>
        <w:t xml:space="preserve"> </w:t>
      </w:r>
      <w:r w:rsidR="00807756" w:rsidRPr="00E252A5">
        <w:rPr>
          <w:rFonts w:cs="Tahoma"/>
          <w:color w:val="auto"/>
          <w:lang w:val="es-ES_tradnl"/>
        </w:rPr>
        <w:t>diecisiete de septiembre de dos mil veinticinco.</w:t>
      </w:r>
    </w:p>
    <w:p w14:paraId="0D99DAAE" w14:textId="77777777" w:rsidR="00712AB9" w:rsidRPr="00C3207B" w:rsidRDefault="00712AB9" w:rsidP="00225915">
      <w:pPr>
        <w:spacing w:after="0" w:line="360" w:lineRule="auto"/>
        <w:rPr>
          <w:rFonts w:cs="Tahoma"/>
          <w:color w:val="FF0000"/>
        </w:rPr>
      </w:pPr>
    </w:p>
    <w:p w14:paraId="0CF93B57" w14:textId="4E935967" w:rsidR="00633F72" w:rsidRPr="0078602E" w:rsidRDefault="00633F72" w:rsidP="00225915">
      <w:pPr>
        <w:spacing w:after="0" w:line="360" w:lineRule="auto"/>
        <w:rPr>
          <w:rFonts w:eastAsia="Calibri" w:cs="Tahoma"/>
          <w:color w:val="auto"/>
        </w:rPr>
      </w:pPr>
      <w:r w:rsidRPr="0078602E">
        <w:rPr>
          <w:rFonts w:eastAsia="Calibri" w:cs="Tahoma"/>
          <w:bCs/>
          <w:color w:val="auto"/>
        </w:rPr>
        <w:t xml:space="preserve">En ese orden de ideas, el plazo con el que contaba el Sujeto Obligado para emitir contestación al requerimiento informativo, </w:t>
      </w:r>
      <w:r w:rsidRPr="0078602E">
        <w:rPr>
          <w:rFonts w:eastAsia="Calibri" w:cs="Tahoma"/>
          <w:b/>
          <w:bCs/>
          <w:color w:val="auto"/>
        </w:rPr>
        <w:t xml:space="preserve">comenzó a correr el </w:t>
      </w:r>
      <w:r w:rsidR="00E252A5" w:rsidRPr="0078602E">
        <w:rPr>
          <w:rFonts w:eastAsia="Calibri" w:cs="Tahoma"/>
          <w:b/>
          <w:bCs/>
          <w:color w:val="auto"/>
        </w:rPr>
        <w:t>dieciocho de octubre y feneció el ocho de octubre de dos mil veinticinco</w:t>
      </w:r>
      <w:r w:rsidR="00A05166" w:rsidRPr="0078602E">
        <w:rPr>
          <w:rFonts w:eastAsia="Calibri" w:cs="Tahoma"/>
          <w:b/>
          <w:bCs/>
          <w:color w:val="auto"/>
        </w:rPr>
        <w:t xml:space="preserve">, </w:t>
      </w:r>
      <w:r w:rsidRPr="0078602E">
        <w:rPr>
          <w:rFonts w:eastAsia="Calibri" w:cs="Tahoma"/>
          <w:color w:val="auto"/>
        </w:rPr>
        <w:t>lo anterior, sin contar los días,</w:t>
      </w:r>
      <w:r w:rsidR="00A05166" w:rsidRPr="0078602E">
        <w:rPr>
          <w:rFonts w:eastAsia="Calibri" w:cs="Tahoma"/>
          <w:color w:val="auto"/>
        </w:rPr>
        <w:t xml:space="preserve"> </w:t>
      </w:r>
      <w:r w:rsidR="00E252A5" w:rsidRPr="0078602E">
        <w:rPr>
          <w:rFonts w:eastAsia="Calibri" w:cs="Tahoma"/>
          <w:color w:val="auto"/>
        </w:rPr>
        <w:t>veinte, veintiuno, veintisiete y veintiocho de septiembre, así como los días</w:t>
      </w:r>
      <w:r w:rsidR="0078602E" w:rsidRPr="0078602E">
        <w:rPr>
          <w:rFonts w:eastAsia="Calibri" w:cs="Tahoma"/>
          <w:color w:val="auto"/>
        </w:rPr>
        <w:t xml:space="preserve"> cuatro y cinco de octubre de </w:t>
      </w:r>
      <w:r w:rsidR="00A05166" w:rsidRPr="0078602E">
        <w:rPr>
          <w:rFonts w:eastAsia="Calibri" w:cs="Tahoma"/>
          <w:color w:val="auto"/>
        </w:rPr>
        <w:t>dos mil veinticinco</w:t>
      </w:r>
      <w:r w:rsidRPr="0078602E">
        <w:rPr>
          <w:rFonts w:eastAsia="Calibri" w:cs="Tahoma"/>
          <w:color w:val="auto"/>
        </w:rPr>
        <w:t xml:space="preserve">, al ser inhábiles, </w:t>
      </w:r>
      <w:r w:rsidRPr="0078602E">
        <w:rPr>
          <w:rFonts w:eastAsia="Batang" w:cs="Tahoma"/>
          <w:bCs/>
          <w:color w:val="auto"/>
        </w:rPr>
        <w:t>de conformidad con el artículo 3°, fracción X, de la Ley de Transparencia y Acceso a la Información Pública del Estado de México y Municipios</w:t>
      </w:r>
      <w:r w:rsidR="00225915" w:rsidRPr="0078602E">
        <w:rPr>
          <w:rFonts w:eastAsia="Batang" w:cs="Tahoma"/>
          <w:bCs/>
          <w:color w:val="auto"/>
        </w:rPr>
        <w:t xml:space="preserve">, </w:t>
      </w:r>
      <w:r w:rsidRPr="0078602E">
        <w:rPr>
          <w:rFonts w:eastAsia="Batang" w:cs="Tahoma"/>
          <w:bCs/>
          <w:color w:val="auto"/>
        </w:rPr>
        <w:t xml:space="preserve">el </w:t>
      </w:r>
      <w:r w:rsidRPr="0078602E">
        <w:rPr>
          <w:rFonts w:eastAsia="Batang" w:cs="Tahoma"/>
          <w:color w:val="auto"/>
          <w:lang w:val="es-ES"/>
        </w:rPr>
        <w:t>Calendario Oficial en Materia de Transparencia, Acceso a la Información Pública y Protección de Datos Personales del Estado de México y Municipios, así como de laborales de este Instituto, para el año dos mil veinti</w:t>
      </w:r>
      <w:r w:rsidR="00F77EA7" w:rsidRPr="0078602E">
        <w:rPr>
          <w:rFonts w:eastAsia="Batang" w:cs="Tahoma"/>
          <w:color w:val="auto"/>
          <w:lang w:val="es-ES"/>
        </w:rPr>
        <w:t>cinco.</w:t>
      </w:r>
    </w:p>
    <w:p w14:paraId="250E7636" w14:textId="77777777" w:rsidR="00712AB9" w:rsidRPr="00C3207B" w:rsidRDefault="00712AB9" w:rsidP="00225915">
      <w:pPr>
        <w:spacing w:after="0" w:line="360" w:lineRule="auto"/>
        <w:rPr>
          <w:rFonts w:eastAsia="Calibri" w:cs="Tahoma"/>
          <w:color w:val="FF0000"/>
        </w:rPr>
      </w:pPr>
    </w:p>
    <w:p w14:paraId="6E169D42" w14:textId="106C3365" w:rsidR="0078602E" w:rsidRPr="0078602E" w:rsidRDefault="00712AB9" w:rsidP="00427049">
      <w:pPr>
        <w:spacing w:after="0" w:line="360" w:lineRule="auto"/>
        <w:rPr>
          <w:rFonts w:eastAsia="Calibri" w:cs="Tahoma"/>
          <w:color w:val="auto"/>
          <w:lang w:val="es-ES"/>
        </w:rPr>
        <w:sectPr w:rsidR="0078602E" w:rsidRPr="0078602E" w:rsidSect="00021304">
          <w:headerReference w:type="even" r:id="rId8"/>
          <w:headerReference w:type="default" r:id="rId9"/>
          <w:footerReference w:type="even" r:id="rId10"/>
          <w:footerReference w:type="default" r:id="rId11"/>
          <w:headerReference w:type="first" r:id="rId12"/>
          <w:footerReference w:type="first" r:id="rId13"/>
          <w:pgSz w:w="12240" w:h="15840"/>
          <w:pgMar w:top="1418" w:right="1608" w:bottom="1560" w:left="1701" w:header="851" w:footer="709" w:gutter="0"/>
          <w:cols w:space="708"/>
          <w:titlePg/>
          <w:docGrid w:linePitch="360"/>
        </w:sectPr>
      </w:pPr>
      <w:r w:rsidRPr="0078602E">
        <w:rPr>
          <w:rFonts w:eastAsia="Calibri" w:cs="Tahoma"/>
          <w:color w:val="auto"/>
        </w:rPr>
        <w:t>Conforme a lo anterior, este Instituto verificó que, en efecto, no se registró una respuesta a la</w:t>
      </w:r>
      <w:r w:rsidR="005A7869" w:rsidRPr="0078602E">
        <w:rPr>
          <w:rFonts w:eastAsia="Calibri" w:cs="Tahoma"/>
          <w:color w:val="auto"/>
        </w:rPr>
        <w:t>s</w:t>
      </w:r>
      <w:r w:rsidRPr="0078602E">
        <w:rPr>
          <w:rFonts w:eastAsia="Calibri" w:cs="Tahoma"/>
          <w:color w:val="auto"/>
        </w:rPr>
        <w:t xml:space="preserve"> solicitud</w:t>
      </w:r>
      <w:r w:rsidR="005A7869" w:rsidRPr="0078602E">
        <w:rPr>
          <w:rFonts w:eastAsia="Calibri" w:cs="Tahoma"/>
          <w:color w:val="auto"/>
        </w:rPr>
        <w:t>es</w:t>
      </w:r>
      <w:r w:rsidRPr="0078602E">
        <w:rPr>
          <w:rFonts w:eastAsia="Calibri" w:cs="Tahoma"/>
          <w:color w:val="auto"/>
        </w:rPr>
        <w:t xml:space="preserve"> del ahora Recurrente, en el </w:t>
      </w:r>
      <w:r w:rsidRPr="0078602E">
        <w:rPr>
          <w:rFonts w:eastAsia="Calibri" w:cs="Tahoma"/>
          <w:color w:val="auto"/>
          <w:lang w:val="es-ES"/>
        </w:rPr>
        <w:t>Sistema de Acceso a la Información Mexiquense (SAIMEX), sistema utilizado para presentar el requerimiento informativo, tal como se observa a continuación:</w:t>
      </w:r>
    </w:p>
    <w:p w14:paraId="07F77484" w14:textId="06B67BE7" w:rsidR="00830672" w:rsidRPr="00C3207B" w:rsidRDefault="00830672" w:rsidP="0078602E">
      <w:pPr>
        <w:spacing w:after="0" w:line="360" w:lineRule="auto"/>
        <w:jc w:val="center"/>
        <w:rPr>
          <w:rFonts w:eastAsia="Calibri" w:cs="Tahoma"/>
          <w:color w:val="FF0000"/>
          <w:lang w:val="es-ES"/>
        </w:rPr>
        <w:sectPr w:rsidR="00830672" w:rsidRPr="00C3207B" w:rsidSect="007F77E2">
          <w:type w:val="continuous"/>
          <w:pgSz w:w="12240" w:h="15840"/>
          <w:pgMar w:top="1418" w:right="1608" w:bottom="1560" w:left="1701" w:header="851" w:footer="709" w:gutter="0"/>
          <w:cols w:num="2" w:space="708"/>
          <w:titlePg/>
          <w:docGrid w:linePitch="360"/>
        </w:sectPr>
      </w:pPr>
    </w:p>
    <w:p w14:paraId="1CF4D183" w14:textId="4BA708FA" w:rsidR="00184471" w:rsidRPr="00C3207B" w:rsidRDefault="00427049" w:rsidP="00BA471C">
      <w:pPr>
        <w:spacing w:after="0" w:line="360" w:lineRule="auto"/>
        <w:jc w:val="center"/>
        <w:rPr>
          <w:rFonts w:eastAsia="Calibri" w:cs="Tahoma"/>
          <w:noProof/>
          <w:color w:val="FF0000"/>
          <w:lang w:eastAsia="es-MX"/>
        </w:rPr>
      </w:pPr>
      <w:r>
        <w:rPr>
          <w:rFonts w:eastAsia="Calibri" w:cs="Tahoma"/>
          <w:noProof/>
          <w:color w:val="FF0000"/>
          <w:lang w:eastAsia="es-MX"/>
        </w:rPr>
        <w:drawing>
          <wp:inline distT="0" distB="0" distL="0" distR="0" wp14:anchorId="45596980" wp14:editId="2FA1E583">
            <wp:extent cx="3356417" cy="10668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3331" cy="1068998"/>
                    </a:xfrm>
                    <a:prstGeom prst="rect">
                      <a:avLst/>
                    </a:prstGeom>
                    <a:noFill/>
                  </pic:spPr>
                </pic:pic>
              </a:graphicData>
            </a:graphic>
          </wp:inline>
        </w:drawing>
      </w:r>
      <w:r w:rsidR="000C230B" w:rsidRPr="00C3207B">
        <w:rPr>
          <w:rFonts w:eastAsia="Calibri" w:cs="Tahoma"/>
          <w:noProof/>
          <w:color w:val="FF0000"/>
          <w:lang w:eastAsia="es-MX"/>
        </w:rPr>
        <w:t xml:space="preserve"> </w:t>
      </w:r>
    </w:p>
    <w:p w14:paraId="24F14122" w14:textId="0C6CF95C" w:rsidR="00427049" w:rsidRDefault="00427049" w:rsidP="00BA471C">
      <w:pPr>
        <w:spacing w:after="0" w:line="360" w:lineRule="auto"/>
        <w:jc w:val="center"/>
        <w:rPr>
          <w:rFonts w:eastAsia="Calibri" w:cs="Tahoma"/>
          <w:noProof/>
          <w:color w:val="FF0000"/>
          <w:lang w:eastAsia="es-MX"/>
        </w:rPr>
      </w:pPr>
      <w:r>
        <w:rPr>
          <w:rFonts w:eastAsia="Calibri" w:cs="Tahoma"/>
          <w:noProof/>
          <w:color w:val="FF0000"/>
          <w:lang w:eastAsia="es-MX"/>
        </w:rPr>
        <w:drawing>
          <wp:inline distT="0" distB="0" distL="0" distR="0" wp14:anchorId="023610F5" wp14:editId="3BF3B305">
            <wp:extent cx="3379215" cy="10382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90100" cy="1072293"/>
                    </a:xfrm>
                    <a:prstGeom prst="rect">
                      <a:avLst/>
                    </a:prstGeom>
                    <a:noFill/>
                  </pic:spPr>
                </pic:pic>
              </a:graphicData>
            </a:graphic>
          </wp:inline>
        </w:drawing>
      </w:r>
    </w:p>
    <w:p w14:paraId="565C7B69" w14:textId="3307FE60" w:rsidR="00427049" w:rsidRPr="00C3207B" w:rsidRDefault="00BA471C" w:rsidP="00427049">
      <w:pPr>
        <w:spacing w:after="0" w:line="360" w:lineRule="auto"/>
        <w:jc w:val="center"/>
        <w:rPr>
          <w:rFonts w:eastAsia="Calibri" w:cs="Tahoma"/>
          <w:noProof/>
          <w:color w:val="FF0000"/>
          <w:lang w:eastAsia="es-MX"/>
        </w:rPr>
        <w:sectPr w:rsidR="00427049" w:rsidRPr="00C3207B" w:rsidSect="00830672">
          <w:type w:val="continuous"/>
          <w:pgSz w:w="12240" w:h="15840"/>
          <w:pgMar w:top="1418" w:right="1608" w:bottom="1560" w:left="1701" w:header="851" w:footer="709" w:gutter="0"/>
          <w:cols w:space="708"/>
          <w:titlePg/>
          <w:docGrid w:linePitch="360"/>
        </w:sectPr>
      </w:pPr>
      <w:r>
        <w:rPr>
          <w:rFonts w:eastAsia="Calibri" w:cs="Tahoma"/>
          <w:noProof/>
          <w:color w:val="FF0000"/>
          <w:lang w:eastAsia="es-MX"/>
        </w:rPr>
        <w:drawing>
          <wp:inline distT="0" distB="0" distL="0" distR="0" wp14:anchorId="03E21B3F" wp14:editId="3E16B106">
            <wp:extent cx="3345723" cy="104775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76423" cy="1057364"/>
                    </a:xfrm>
                    <a:prstGeom prst="rect">
                      <a:avLst/>
                    </a:prstGeom>
                    <a:noFill/>
                  </pic:spPr>
                </pic:pic>
              </a:graphicData>
            </a:graphic>
          </wp:inline>
        </w:drawing>
      </w:r>
    </w:p>
    <w:p w14:paraId="3B3DB1C9" w14:textId="3F4113BF" w:rsidR="00830672" w:rsidRPr="00C3207B" w:rsidRDefault="00830672" w:rsidP="00225915">
      <w:pPr>
        <w:spacing w:after="0" w:line="360" w:lineRule="auto"/>
        <w:rPr>
          <w:rFonts w:eastAsia="Calibri" w:cs="Tahoma"/>
          <w:color w:val="FF0000"/>
          <w:lang w:val="es-ES"/>
        </w:rPr>
        <w:sectPr w:rsidR="00830672" w:rsidRPr="00C3207B" w:rsidSect="007F77E2">
          <w:type w:val="continuous"/>
          <w:pgSz w:w="12240" w:h="15840"/>
          <w:pgMar w:top="1418" w:right="1608" w:bottom="1560" w:left="1701" w:header="851" w:footer="709" w:gutter="0"/>
          <w:cols w:space="708"/>
          <w:titlePg/>
          <w:docGrid w:linePitch="360"/>
        </w:sectPr>
      </w:pPr>
    </w:p>
    <w:p w14:paraId="0388E89B" w14:textId="3C1EFEB2" w:rsidR="00712AB9" w:rsidRPr="00BA471C" w:rsidRDefault="00712AB9" w:rsidP="00225915">
      <w:pPr>
        <w:spacing w:after="0" w:line="360" w:lineRule="auto"/>
        <w:rPr>
          <w:rFonts w:eastAsia="Calibri" w:cs="Tahoma"/>
          <w:b/>
          <w:bCs/>
          <w:color w:val="auto"/>
        </w:rPr>
      </w:pPr>
      <w:r w:rsidRPr="00BA471C">
        <w:rPr>
          <w:rFonts w:eastAsia="Calibri" w:cs="Tahoma"/>
          <w:bCs/>
          <w:color w:val="auto"/>
        </w:rPr>
        <w:t xml:space="preserve">Así, se colige que, tal como lo precisó </w:t>
      </w:r>
      <w:r w:rsidR="00F34CA9" w:rsidRPr="00BA471C">
        <w:rPr>
          <w:rFonts w:eastAsia="Calibri" w:cs="Tahoma"/>
          <w:bCs/>
          <w:color w:val="auto"/>
        </w:rPr>
        <w:t>el</w:t>
      </w:r>
      <w:r w:rsidRPr="00BA471C">
        <w:rPr>
          <w:rFonts w:eastAsia="Calibri" w:cs="Tahoma"/>
          <w:bCs/>
          <w:color w:val="auto"/>
        </w:rPr>
        <w:t xml:space="preserve"> Particular, </w:t>
      </w:r>
      <w:r w:rsidRPr="00BA471C">
        <w:rPr>
          <w:rFonts w:eastAsia="Calibri" w:cs="Tahoma"/>
          <w:b/>
          <w:bCs/>
          <w:color w:val="auto"/>
        </w:rPr>
        <w:t>el</w:t>
      </w:r>
      <w:r w:rsidR="00570A07" w:rsidRPr="00BA471C">
        <w:rPr>
          <w:rFonts w:eastAsia="Calibri" w:cs="Tahoma"/>
          <w:b/>
          <w:bCs/>
          <w:color w:val="auto"/>
        </w:rPr>
        <w:t xml:space="preserve"> </w:t>
      </w:r>
      <w:r w:rsidR="0042634D" w:rsidRPr="00BA471C">
        <w:rPr>
          <w:rFonts w:eastAsia="Calibri" w:cs="Tahoma"/>
          <w:b/>
          <w:bCs/>
          <w:color w:val="auto"/>
        </w:rPr>
        <w:t>Ayuntamiento de</w:t>
      </w:r>
      <w:r w:rsidR="00BA471C" w:rsidRPr="00BA471C">
        <w:rPr>
          <w:rFonts w:eastAsia="Calibri" w:cs="Tahoma"/>
          <w:b/>
          <w:bCs/>
          <w:color w:val="auto"/>
        </w:rPr>
        <w:t xml:space="preserve"> Almoloya de Juárez</w:t>
      </w:r>
      <w:r w:rsidR="0042634D" w:rsidRPr="00BA471C">
        <w:rPr>
          <w:rFonts w:eastAsia="Calibri" w:cs="Tahoma"/>
          <w:b/>
          <w:bCs/>
          <w:color w:val="auto"/>
        </w:rPr>
        <w:t xml:space="preserve">, </w:t>
      </w:r>
      <w:r w:rsidRPr="00BA471C">
        <w:rPr>
          <w:rFonts w:eastAsia="Calibri" w:cs="Tahoma"/>
          <w:bCs/>
          <w:color w:val="auto"/>
        </w:rPr>
        <w:t>no emitió respuesta para dar contestación a la</w:t>
      </w:r>
      <w:r w:rsidR="0013028B" w:rsidRPr="00BA471C">
        <w:rPr>
          <w:rFonts w:eastAsia="Calibri" w:cs="Tahoma"/>
          <w:bCs/>
          <w:color w:val="auto"/>
        </w:rPr>
        <w:t>s</w:t>
      </w:r>
      <w:r w:rsidRPr="00BA471C">
        <w:rPr>
          <w:rFonts w:eastAsia="Calibri" w:cs="Tahoma"/>
          <w:bCs/>
          <w:color w:val="auto"/>
        </w:rPr>
        <w:t xml:space="preserve"> solicitud</w:t>
      </w:r>
      <w:r w:rsidR="0013028B" w:rsidRPr="00BA471C">
        <w:rPr>
          <w:rFonts w:eastAsia="Calibri" w:cs="Tahoma"/>
          <w:bCs/>
          <w:color w:val="auto"/>
        </w:rPr>
        <w:t>es</w:t>
      </w:r>
      <w:r w:rsidRPr="00BA471C">
        <w:rPr>
          <w:rFonts w:eastAsia="Calibri" w:cs="Tahoma"/>
          <w:bCs/>
          <w:color w:val="auto"/>
        </w:rPr>
        <w:t xml:space="preserve"> de información, dentro de los plazos establecidos en el artículo 163, de la Ley de la materia, pues </w:t>
      </w:r>
      <w:r w:rsidRPr="00BA471C">
        <w:rPr>
          <w:rFonts w:eastAsia="Calibri" w:cs="Tahoma"/>
          <w:b/>
          <w:bCs/>
          <w:color w:val="auto"/>
        </w:rPr>
        <w:t xml:space="preserve">tenía hasta </w:t>
      </w:r>
      <w:r w:rsidR="0076191A" w:rsidRPr="00BA471C">
        <w:rPr>
          <w:rFonts w:eastAsia="Calibri" w:cs="Tahoma"/>
          <w:b/>
          <w:bCs/>
          <w:color w:val="auto"/>
        </w:rPr>
        <w:t>el</w:t>
      </w:r>
      <w:r w:rsidR="008D6E84" w:rsidRPr="00BA471C">
        <w:rPr>
          <w:rFonts w:eastAsia="Calibri" w:cs="Tahoma"/>
          <w:b/>
          <w:bCs/>
          <w:color w:val="auto"/>
        </w:rPr>
        <w:t xml:space="preserve"> </w:t>
      </w:r>
      <w:r w:rsidR="0042634D" w:rsidRPr="00BA471C">
        <w:rPr>
          <w:rFonts w:eastAsia="Calibri" w:cs="Tahoma"/>
          <w:b/>
          <w:bCs/>
          <w:color w:val="auto"/>
        </w:rPr>
        <w:t>cuatro</w:t>
      </w:r>
      <w:r w:rsidR="009A6C9B" w:rsidRPr="00BA471C">
        <w:rPr>
          <w:rFonts w:eastAsia="Calibri" w:cs="Tahoma"/>
          <w:b/>
          <w:bCs/>
          <w:color w:val="auto"/>
        </w:rPr>
        <w:t xml:space="preserve"> de junio</w:t>
      </w:r>
      <w:r w:rsidR="0042634D" w:rsidRPr="00BA471C">
        <w:rPr>
          <w:rFonts w:eastAsia="Calibri" w:cs="Tahoma"/>
          <w:b/>
          <w:bCs/>
          <w:color w:val="auto"/>
        </w:rPr>
        <w:t xml:space="preserve"> y dieciséis </w:t>
      </w:r>
      <w:r w:rsidR="009A6C9B" w:rsidRPr="00BA471C">
        <w:rPr>
          <w:rFonts w:eastAsia="Calibri" w:cs="Tahoma"/>
          <w:b/>
          <w:bCs/>
          <w:color w:val="auto"/>
        </w:rPr>
        <w:t xml:space="preserve"> de julio </w:t>
      </w:r>
      <w:r w:rsidR="000C230B" w:rsidRPr="00BA471C">
        <w:rPr>
          <w:rFonts w:eastAsia="Calibri" w:cs="Tahoma"/>
          <w:b/>
          <w:bCs/>
          <w:color w:val="auto"/>
        </w:rPr>
        <w:t>de dos mil veinticinco</w:t>
      </w:r>
      <w:r w:rsidRPr="00BA471C">
        <w:rPr>
          <w:rFonts w:eastAsia="Calibri" w:cs="Tahoma"/>
          <w:bCs/>
          <w:color w:val="auto"/>
        </w:rPr>
        <w:t>, para realizar dicha situación, inclusive a la presente fecha, dicho ente no ha emitido contestación alguna; por lo que, resulta evidente que el agravio hecho valer por el Recurrente resulta</w:t>
      </w:r>
      <w:r w:rsidRPr="00BA471C">
        <w:rPr>
          <w:rFonts w:eastAsia="Calibri" w:cs="Tahoma"/>
          <w:b/>
          <w:bCs/>
          <w:color w:val="auto"/>
        </w:rPr>
        <w:t xml:space="preserve"> FUNDADO.</w:t>
      </w:r>
    </w:p>
    <w:p w14:paraId="3650364F" w14:textId="77777777" w:rsidR="00712AB9" w:rsidRPr="00BA471C" w:rsidRDefault="00712AB9" w:rsidP="00225915">
      <w:pPr>
        <w:spacing w:after="0" w:line="360" w:lineRule="auto"/>
        <w:rPr>
          <w:rFonts w:eastAsia="Calibri" w:cs="Tahoma"/>
          <w:bCs/>
          <w:color w:val="auto"/>
        </w:rPr>
      </w:pPr>
    </w:p>
    <w:p w14:paraId="10D9C419" w14:textId="71829269" w:rsidR="00127605" w:rsidRDefault="00127605" w:rsidP="00225915">
      <w:pPr>
        <w:tabs>
          <w:tab w:val="left" w:pos="4962"/>
        </w:tabs>
        <w:spacing w:after="0" w:line="360" w:lineRule="auto"/>
        <w:rPr>
          <w:rFonts w:eastAsia="Calibri" w:cs="Tahoma"/>
          <w:bCs/>
          <w:color w:val="auto"/>
        </w:rPr>
      </w:pPr>
      <w:r w:rsidRPr="00BA471C">
        <w:rPr>
          <w:rFonts w:eastAsia="Calibri" w:cs="Tahoma"/>
          <w:bCs/>
          <w:color w:val="auto"/>
        </w:rPr>
        <w:t xml:space="preserve">Con base en lo expuesto, es procedente </w:t>
      </w:r>
      <w:r w:rsidRPr="00BA471C">
        <w:rPr>
          <w:rFonts w:eastAsia="Calibri" w:cs="Tahoma"/>
          <w:b/>
          <w:bCs/>
          <w:color w:val="auto"/>
        </w:rPr>
        <w:t>ORDENAR</w:t>
      </w:r>
      <w:r w:rsidRPr="00BA471C">
        <w:rPr>
          <w:rFonts w:eastAsia="Calibri" w:cs="Tahoma"/>
          <w:bCs/>
          <w:color w:val="auto"/>
        </w:rPr>
        <w:t xml:space="preserve"> al Sujeto Obligado, que emita respuesta que a derecho corresponda, a</w:t>
      </w:r>
      <w:r w:rsidR="0069289F" w:rsidRPr="00BA471C">
        <w:rPr>
          <w:rFonts w:eastAsia="Calibri" w:cs="Tahoma"/>
          <w:bCs/>
          <w:color w:val="auto"/>
        </w:rPr>
        <w:t xml:space="preserve"> los</w:t>
      </w:r>
      <w:r w:rsidRPr="00BA471C">
        <w:rPr>
          <w:rFonts w:eastAsia="Calibri" w:cs="Tahoma"/>
          <w:bCs/>
          <w:color w:val="auto"/>
        </w:rPr>
        <w:t xml:space="preserve"> requerimiento</w:t>
      </w:r>
      <w:r w:rsidR="0069289F" w:rsidRPr="00BA471C">
        <w:rPr>
          <w:rFonts w:eastAsia="Calibri" w:cs="Tahoma"/>
          <w:bCs/>
          <w:color w:val="auto"/>
        </w:rPr>
        <w:t>s</w:t>
      </w:r>
      <w:r w:rsidRPr="00BA471C">
        <w:rPr>
          <w:rFonts w:eastAsia="Calibri" w:cs="Tahoma"/>
          <w:bCs/>
          <w:color w:val="auto"/>
        </w:rPr>
        <w:t xml:space="preserve"> de información; no obstante, para tal circunstancia es necesario </w:t>
      </w:r>
      <w:r w:rsidR="007C2C93" w:rsidRPr="00BA471C">
        <w:rPr>
          <w:rFonts w:eastAsia="Calibri" w:cs="Tahoma"/>
          <w:bCs/>
          <w:color w:val="auto"/>
        </w:rPr>
        <w:t>contextualizar la solicitud de información.</w:t>
      </w:r>
    </w:p>
    <w:p w14:paraId="0C1DCC78" w14:textId="77777777" w:rsidR="00BA471C" w:rsidRDefault="00BA471C" w:rsidP="00225915">
      <w:pPr>
        <w:tabs>
          <w:tab w:val="left" w:pos="4962"/>
        </w:tabs>
        <w:spacing w:after="0" w:line="360" w:lineRule="auto"/>
        <w:rPr>
          <w:rFonts w:eastAsia="Calibri" w:cs="Tahoma"/>
          <w:bCs/>
          <w:color w:val="auto"/>
        </w:rPr>
      </w:pPr>
    </w:p>
    <w:p w14:paraId="13DE202E" w14:textId="77777777" w:rsidR="0067568E" w:rsidRPr="0067568E" w:rsidRDefault="0067568E" w:rsidP="0067568E">
      <w:pPr>
        <w:tabs>
          <w:tab w:val="left" w:pos="4962"/>
        </w:tabs>
        <w:spacing w:after="0" w:line="360" w:lineRule="auto"/>
        <w:rPr>
          <w:rFonts w:eastAsia="Calibri" w:cs="Tahoma"/>
          <w:bCs/>
          <w:color w:val="auto"/>
          <w:lang w:eastAsia="es-ES"/>
        </w:rPr>
      </w:pPr>
      <w:r w:rsidRPr="0067568E">
        <w:rPr>
          <w:rFonts w:eastAsia="Calibri" w:cs="Tahoma"/>
          <w:bCs/>
          <w:color w:val="auto"/>
          <w:lang w:eastAsia="es-ES"/>
        </w:rPr>
        <w:t xml:space="preserve">Sobre el tema, López Olvera, Miguel Alejandro Cancino Gómez, Rodolfo. (2020). “La Contratación Pública y el Sistema Nacional Anticorrupción”. (p. 4) </w:t>
      </w:r>
      <w:r w:rsidRPr="0067568E">
        <w:rPr>
          <w:rFonts w:eastAsia="Calibri" w:cs="Tahoma"/>
          <w:b/>
          <w:bCs/>
          <w:color w:val="auto"/>
          <w:lang w:eastAsia="es-ES"/>
        </w:rPr>
        <w:t xml:space="preserve">la contratación pública, </w:t>
      </w:r>
      <w:r w:rsidRPr="0067568E">
        <w:rPr>
          <w:rFonts w:eastAsia="Calibri" w:cs="Tahoma"/>
          <w:bCs/>
          <w:color w:val="auto"/>
          <w:lang w:eastAsia="es-ES"/>
        </w:rPr>
        <w:t>es el procedimiento de carácter administrativo, por medio del cual, un ente público selecciona y posteriormente, celebra un acuerdo de voluntades, con una persona física o jurídica colectiva, para que ésta, preste algún servicio público o lleve a cabo la ejecución de una obra pública, con recursos públicos del Estado y en beneficio de la colectividad.</w:t>
      </w:r>
    </w:p>
    <w:p w14:paraId="4B8543F3" w14:textId="77777777" w:rsidR="0067568E" w:rsidRPr="0067568E" w:rsidRDefault="0067568E" w:rsidP="0067568E">
      <w:pPr>
        <w:tabs>
          <w:tab w:val="left" w:pos="4962"/>
        </w:tabs>
        <w:spacing w:after="0" w:line="360" w:lineRule="auto"/>
        <w:rPr>
          <w:rFonts w:eastAsia="Calibri" w:cs="Tahoma"/>
          <w:bCs/>
          <w:color w:val="auto"/>
          <w:lang w:eastAsia="es-ES"/>
        </w:rPr>
      </w:pPr>
    </w:p>
    <w:p w14:paraId="528CA6CE" w14:textId="77777777" w:rsidR="0067568E" w:rsidRPr="0067568E" w:rsidRDefault="0067568E" w:rsidP="0067568E">
      <w:pPr>
        <w:tabs>
          <w:tab w:val="left" w:pos="4962"/>
        </w:tabs>
        <w:spacing w:after="0" w:line="360" w:lineRule="auto"/>
        <w:rPr>
          <w:rFonts w:eastAsia="Calibri" w:cs="Tahoma"/>
          <w:b/>
          <w:bCs/>
          <w:color w:val="auto"/>
          <w:lang w:eastAsia="es-ES"/>
        </w:rPr>
      </w:pPr>
      <w:r w:rsidRPr="0067568E">
        <w:rPr>
          <w:rFonts w:eastAsia="Calibri" w:cs="Tahoma"/>
          <w:bCs/>
          <w:color w:val="auto"/>
          <w:lang w:eastAsia="es-ES"/>
        </w:rPr>
        <w:t xml:space="preserve">Por otra parte, los artículos 1°, fracción III, y 4°de la Ley de la de Contratación Pública del Estado de México y Municipios, especifica que los Ayuntamientos, así como los organismos auxiliares y fideicomisos públicos de carácter municipal,  serán los encargados de realizar los actos relativos a la planeación, programación, presupuestación, ejecución y control de la adquisición (bienes muebles e inmuebles), arrendamiento (bienes muebles e inmuebles), y la </w:t>
      </w:r>
      <w:r w:rsidRPr="0067568E">
        <w:rPr>
          <w:rFonts w:eastAsia="Calibri" w:cs="Tahoma"/>
          <w:b/>
          <w:bCs/>
          <w:color w:val="auto"/>
          <w:lang w:eastAsia="es-ES"/>
        </w:rPr>
        <w:t>contratación de servicios de cualquier naturaleza.</w:t>
      </w:r>
    </w:p>
    <w:p w14:paraId="78E80B64" w14:textId="77777777" w:rsidR="0067568E" w:rsidRPr="0067568E" w:rsidRDefault="0067568E" w:rsidP="0067568E">
      <w:pPr>
        <w:tabs>
          <w:tab w:val="left" w:pos="4962"/>
        </w:tabs>
        <w:spacing w:after="0" w:line="360" w:lineRule="auto"/>
        <w:rPr>
          <w:rFonts w:eastAsia="Calibri" w:cs="Tahoma"/>
          <w:b/>
          <w:bCs/>
          <w:color w:val="auto"/>
          <w:lang w:eastAsia="es-ES"/>
        </w:rPr>
      </w:pPr>
    </w:p>
    <w:p w14:paraId="790A045E" w14:textId="77777777" w:rsidR="0067568E" w:rsidRDefault="0067568E" w:rsidP="0067568E">
      <w:pPr>
        <w:tabs>
          <w:tab w:val="left" w:pos="4962"/>
        </w:tabs>
        <w:spacing w:after="0" w:line="360" w:lineRule="auto"/>
        <w:rPr>
          <w:rFonts w:eastAsia="Calibri" w:cs="Tahoma"/>
          <w:bCs/>
          <w:color w:val="auto"/>
          <w:lang w:eastAsia="es-ES"/>
        </w:rPr>
      </w:pPr>
      <w:r w:rsidRPr="0067568E">
        <w:rPr>
          <w:rFonts w:eastAsia="Calibri" w:cs="Tahoma"/>
          <w:bCs/>
          <w:color w:val="auto"/>
          <w:lang w:eastAsia="es-ES"/>
        </w:rPr>
        <w:t>En ese contexto, conforme a los artículos 26 y 27 de dicho ordenamiento jurídico, las adquisiciones, arrendamientos y servicios, se adjudicarán a través de procedimientos de licitación pública, invitación restringida y adjudicación directa.</w:t>
      </w:r>
    </w:p>
    <w:p w14:paraId="6A64605D" w14:textId="77777777" w:rsidR="0067568E" w:rsidRDefault="0067568E" w:rsidP="0067568E">
      <w:pPr>
        <w:tabs>
          <w:tab w:val="left" w:pos="4962"/>
        </w:tabs>
        <w:spacing w:after="0" w:line="360" w:lineRule="auto"/>
        <w:rPr>
          <w:rFonts w:eastAsia="Calibri" w:cs="Tahoma"/>
          <w:bCs/>
          <w:color w:val="auto"/>
          <w:lang w:eastAsia="es-ES"/>
        </w:rPr>
      </w:pPr>
    </w:p>
    <w:p w14:paraId="27D1B072" w14:textId="700DEF88" w:rsidR="0067568E" w:rsidRDefault="0067568E" w:rsidP="0067568E">
      <w:pPr>
        <w:tabs>
          <w:tab w:val="left" w:pos="4962"/>
        </w:tabs>
        <w:spacing w:after="0" w:line="360" w:lineRule="auto"/>
      </w:pPr>
      <w:r>
        <w:t xml:space="preserve">En ese orden de ideas, conforme al artículo 65 de la Ley de Contratación Pública del Estado de México y Municipios, la adjudicación de un procedimiento de </w:t>
      </w:r>
      <w:r w:rsidRPr="0067568E">
        <w:rPr>
          <w:b/>
        </w:rPr>
        <w:t xml:space="preserve">adquisición y arrendamiento de bienes y contratación de servicios se realizará mediante la </w:t>
      </w:r>
      <w:r w:rsidRPr="0067568E">
        <w:rPr>
          <w:b/>
          <w:u w:val="single"/>
        </w:rPr>
        <w:t>suscripción de un contrato</w:t>
      </w:r>
      <w:r w:rsidRPr="0067568E">
        <w:rPr>
          <w:u w:val="single"/>
        </w:rPr>
        <w:t>,</w:t>
      </w:r>
      <w:r>
        <w:t xml:space="preserve"> entre el Ayuntamiento y la persona a la cual haya ganado el procedimiento respectivo, dentro de los diez días hábiles siguientes a la notificación del fallo.</w:t>
      </w:r>
    </w:p>
    <w:p w14:paraId="58D20E69" w14:textId="77777777" w:rsidR="00967F33" w:rsidRDefault="00967F33" w:rsidP="0067568E">
      <w:pPr>
        <w:tabs>
          <w:tab w:val="left" w:pos="4962"/>
        </w:tabs>
        <w:spacing w:after="0" w:line="360" w:lineRule="auto"/>
      </w:pPr>
    </w:p>
    <w:p w14:paraId="0D7FC84F" w14:textId="77777777" w:rsidR="00967F33" w:rsidRPr="00BA471C" w:rsidRDefault="00967F33" w:rsidP="00967F33">
      <w:pPr>
        <w:tabs>
          <w:tab w:val="left" w:pos="4962"/>
        </w:tabs>
        <w:spacing w:after="0" w:line="360" w:lineRule="auto"/>
        <w:rPr>
          <w:rFonts w:eastAsia="Calibri" w:cs="Tahoma"/>
          <w:bCs/>
          <w:color w:val="auto"/>
        </w:rPr>
      </w:pPr>
      <w:r w:rsidRPr="0067568E">
        <w:rPr>
          <w:rFonts w:eastAsia="Calibri" w:cs="Tahoma"/>
          <w:bCs/>
          <w:color w:val="auto"/>
          <w:lang w:eastAsia="es-ES"/>
        </w:rPr>
        <w:t xml:space="preserve">Además, el artículo 70 fracción XXVIII, de la Ley General de Transparencia y Acceso a la Información Pública y 92 fracción XXIX, de la Ley de Transparencia y Acceso a la Información Pública del Estado de México y Municipios, precisa que es información que es pública de oficio, la información sobre los procesos y resultados sobre procedimientos de adjudicación directa, invitación restringida y licitación de cualquier naturaleza, que incluye la versión pública del expediente respectivo y de los </w:t>
      </w:r>
      <w:r w:rsidRPr="0067568E">
        <w:rPr>
          <w:rFonts w:eastAsia="Calibri" w:cs="Tahoma"/>
          <w:b/>
          <w:bCs/>
          <w:color w:val="auto"/>
          <w:lang w:eastAsia="es-ES"/>
        </w:rPr>
        <w:t>contratos celebrados.</w:t>
      </w:r>
    </w:p>
    <w:p w14:paraId="61AB21A6" w14:textId="77777777" w:rsidR="0067568E" w:rsidRDefault="0067568E" w:rsidP="0067568E">
      <w:pPr>
        <w:tabs>
          <w:tab w:val="left" w:pos="4962"/>
        </w:tabs>
        <w:spacing w:after="0" w:line="360" w:lineRule="auto"/>
      </w:pPr>
    </w:p>
    <w:p w14:paraId="7D36D736" w14:textId="10733F58" w:rsidR="0067568E" w:rsidRDefault="0067568E" w:rsidP="0067568E">
      <w:pPr>
        <w:tabs>
          <w:tab w:val="left" w:pos="4962"/>
        </w:tabs>
        <w:spacing w:after="0" w:line="360" w:lineRule="auto"/>
        <w:rPr>
          <w:b/>
          <w:u w:val="single"/>
        </w:rPr>
      </w:pPr>
      <w:r>
        <w:t xml:space="preserve">Ahora bien, conforme al artículo 120 del Reglamento de la Ley de Contratación Pública del Estado de México y Municipios y diverso 104 el Reglamento del Libro Décimo Segundo del Código Administrativo del Estado de México, dichos actos jurídicos se conforman por diversos datos, entre los cuales, se encuentran los datos de identificación de las partes y del contrato, </w:t>
      </w:r>
      <w:r w:rsidRPr="0067568E">
        <w:rPr>
          <w:b/>
          <w:u w:val="single"/>
        </w:rPr>
        <w:t>así como el importe total.</w:t>
      </w:r>
    </w:p>
    <w:p w14:paraId="3051DC7A" w14:textId="77777777" w:rsidR="0067568E" w:rsidRPr="0067568E" w:rsidRDefault="0067568E" w:rsidP="0067568E">
      <w:pPr>
        <w:tabs>
          <w:tab w:val="left" w:pos="4962"/>
        </w:tabs>
        <w:spacing w:after="0" w:line="360" w:lineRule="auto"/>
        <w:rPr>
          <w:rFonts w:eastAsia="Calibri" w:cs="Tahoma"/>
          <w:bCs/>
          <w:color w:val="auto"/>
          <w:lang w:eastAsia="es-ES"/>
        </w:rPr>
      </w:pPr>
    </w:p>
    <w:p w14:paraId="105692E5" w14:textId="22E39E72" w:rsidR="0067568E" w:rsidRDefault="00967F33" w:rsidP="0067568E">
      <w:pPr>
        <w:tabs>
          <w:tab w:val="left" w:pos="4962"/>
        </w:tabs>
        <w:spacing w:after="0" w:line="360" w:lineRule="auto"/>
      </w:pPr>
      <w:r>
        <w:t>En esa misma tesitura, los artículos 16, 18, 19, fracción V, y 34 de la Ley General en comento, establecen que los entes públicos deben contar con un sistema de contabilidad gubernamental en el cual se registrarán operaciones presupuestarias y contables derivadas de la gestión pública, así como otros flujos económicos, los cuales serán expresados en términos monetarios. Dichos registros contables se llevarán con base acumulativa, por lo que contabilización de las transacciones de gasto se hará conforme a la fecha de su realización, independientemente de la de su pago, y la del ingreso se registrará cuando exista jurídicamente el derecho de cobro.</w:t>
      </w:r>
    </w:p>
    <w:p w14:paraId="11423962" w14:textId="3368F358" w:rsidR="00967F33" w:rsidRDefault="00967F33" w:rsidP="0067568E">
      <w:pPr>
        <w:tabs>
          <w:tab w:val="left" w:pos="4962"/>
        </w:tabs>
        <w:spacing w:after="0" w:line="360" w:lineRule="auto"/>
      </w:pPr>
      <w:r>
        <w:t>En ese contexto, la Guía técnica 05 “La contabilidad y la cuenta pública municipal”, emitida por el Instituto Nacional de Administración Pública, establece que la contabilidad municipal es la técnica que permite registrar en forma ordenada, completa y detallada de los ingresos y gastos, con el fin de poder determinar en cualquier momento la situación financiera de la hacienda pública municipal.</w:t>
      </w:r>
    </w:p>
    <w:p w14:paraId="5C4C4D82" w14:textId="77777777" w:rsidR="00967F33" w:rsidRDefault="00967F33" w:rsidP="0067568E">
      <w:pPr>
        <w:tabs>
          <w:tab w:val="left" w:pos="4962"/>
        </w:tabs>
        <w:spacing w:after="0" w:line="360" w:lineRule="auto"/>
      </w:pPr>
    </w:p>
    <w:p w14:paraId="76466C8F" w14:textId="299D61F0" w:rsidR="00967F33" w:rsidRDefault="00967F33" w:rsidP="0067568E">
      <w:pPr>
        <w:tabs>
          <w:tab w:val="left" w:pos="4962"/>
        </w:tabs>
        <w:spacing w:after="0" w:line="360" w:lineRule="auto"/>
        <w:rPr>
          <w:b/>
        </w:rPr>
      </w:pPr>
      <w:r>
        <w:t xml:space="preserve">De este modo, de acuerdo a la naturaleza de información solicitada, resulta necesario traer a colación, la Resolución Miscelánea Fiscal para el 2023, establece que </w:t>
      </w:r>
      <w:r w:rsidRPr="00967F33">
        <w:rPr>
          <w:b/>
        </w:rPr>
        <w:t>la factura</w:t>
      </w:r>
      <w:r>
        <w:t xml:space="preserve"> es lo mismo, que un Comprobante Fiscal Digital por Internet, por lo que, se puede considerar como el documento que comprueba la realización de una </w:t>
      </w:r>
      <w:r w:rsidRPr="00967F33">
        <w:rPr>
          <w:b/>
        </w:rPr>
        <w:t>transacción comercial</w:t>
      </w:r>
      <w:r>
        <w:t xml:space="preserve">, entre un comprador y un vendedor, mediante el cual, el primero queda obligado a realizar un pago, mientras que el segundo, a entregar o brindar un producto o </w:t>
      </w:r>
      <w:r w:rsidRPr="00967F33">
        <w:rPr>
          <w:b/>
        </w:rPr>
        <w:t>servicio.</w:t>
      </w:r>
    </w:p>
    <w:p w14:paraId="15C2F12F" w14:textId="77777777" w:rsidR="00967F33" w:rsidRDefault="00967F33" w:rsidP="0067568E">
      <w:pPr>
        <w:tabs>
          <w:tab w:val="left" w:pos="4962"/>
        </w:tabs>
        <w:spacing w:after="0" w:line="360" w:lineRule="auto"/>
        <w:rPr>
          <w:b/>
        </w:rPr>
      </w:pPr>
    </w:p>
    <w:p w14:paraId="72AB4601" w14:textId="5FAED30F" w:rsidR="00967F33" w:rsidRDefault="00967F33" w:rsidP="0067568E">
      <w:pPr>
        <w:tabs>
          <w:tab w:val="left" w:pos="4962"/>
        </w:tabs>
        <w:spacing w:after="0" w:line="360" w:lineRule="auto"/>
        <w:rPr>
          <w:b/>
        </w:rPr>
      </w:pPr>
      <w:r>
        <w:t xml:space="preserve">En ese orden de ideas, los Lineamientos para la Integración y Entrega del Informe Trimestral Municipal, dos mil veinticuatro, entre los formatos que maneja en el </w:t>
      </w:r>
      <w:r w:rsidRPr="00967F33">
        <w:rPr>
          <w:b/>
        </w:rPr>
        <w:t xml:space="preserve">Módulo 1, </w:t>
      </w:r>
      <w:r>
        <w:t xml:space="preserve">se advierte que se encuentran Póliza de Egresos y Póliza Cheque, con los documentos comprobatorios, mismos que serán entregados al Órgano Superior de Fiscalización del Estado de México. Además, se precisa que dichos documentos </w:t>
      </w:r>
      <w:r w:rsidRPr="00641475">
        <w:rPr>
          <w:b/>
        </w:rPr>
        <w:t>deberán contener las imágenes de la documentación comprobatoria y justificativa de los egresos y de las respectivas pólizas, los cuales incluyen los Comprobantes Fiscales Digitales por Internet, facturas o recibos.</w:t>
      </w:r>
    </w:p>
    <w:p w14:paraId="16BFA50F" w14:textId="77777777" w:rsidR="00765B55" w:rsidRDefault="00765B55" w:rsidP="0067568E">
      <w:pPr>
        <w:tabs>
          <w:tab w:val="left" w:pos="4962"/>
        </w:tabs>
        <w:spacing w:after="0" w:line="360" w:lineRule="auto"/>
        <w:rPr>
          <w:b/>
        </w:rPr>
      </w:pPr>
    </w:p>
    <w:p w14:paraId="512BF768" w14:textId="3A7CE923" w:rsidR="00765B55" w:rsidRDefault="00350213" w:rsidP="0067568E">
      <w:pPr>
        <w:tabs>
          <w:tab w:val="left" w:pos="4962"/>
        </w:tabs>
        <w:spacing w:after="0" w:line="360" w:lineRule="auto"/>
      </w:pPr>
      <w:r>
        <w:t xml:space="preserve">Sobre el Tema el Bando Municipal  de Almoloya de Juárez administración 2025 – 2027, en su artículo 68 establece que la Dirección de Administración tiene por objeto </w:t>
      </w:r>
      <w:r w:rsidRPr="00350213">
        <w:rPr>
          <w:b/>
        </w:rPr>
        <w:t>proveer de los bienes y herramientas necesarias a las diferentes dependencias municipales para el cumplimiento de sus objetivos específicos,</w:t>
      </w:r>
      <w:r>
        <w:t xml:space="preserve"> así como brindar los mecanismos para el control de flujo de recursos financieros.</w:t>
      </w:r>
    </w:p>
    <w:p w14:paraId="6508A3DA" w14:textId="77777777" w:rsidR="00350213" w:rsidRDefault="00350213" w:rsidP="0067568E">
      <w:pPr>
        <w:tabs>
          <w:tab w:val="left" w:pos="4962"/>
        </w:tabs>
        <w:spacing w:after="0" w:line="360" w:lineRule="auto"/>
      </w:pPr>
    </w:p>
    <w:p w14:paraId="2CB74877" w14:textId="66A51EC7" w:rsidR="003D6320" w:rsidRDefault="00350213" w:rsidP="00225915">
      <w:pPr>
        <w:tabs>
          <w:tab w:val="left" w:pos="4962"/>
        </w:tabs>
        <w:spacing w:after="0" w:line="360" w:lineRule="auto"/>
        <w:rPr>
          <w:rFonts w:eastAsia="Calibri" w:cs="Tahoma"/>
          <w:b/>
          <w:bCs/>
          <w:color w:val="auto"/>
          <w:lang w:eastAsia="es-ES"/>
        </w:rPr>
      </w:pPr>
      <w:r>
        <w:t xml:space="preserve">La cual, dentro de sus atribuciones se encarga entre otras cosas de </w:t>
      </w:r>
      <w:r w:rsidRPr="00350213">
        <w:rPr>
          <w:b/>
        </w:rPr>
        <w:t>planear, organizar, coordinar y controlar las actividades referentes a adquisiciones, arrendamientos y contratación de servicios requeridos por las dependencias</w:t>
      </w:r>
      <w:r>
        <w:t xml:space="preserve"> y organismos de la Administración Pública Municipal, así como,  de </w:t>
      </w:r>
      <w:r w:rsidRPr="00350213">
        <w:rPr>
          <w:b/>
        </w:rPr>
        <w:t>establecer los instrumentos que permitan llevar a cabo los procedimientos de adquisiciones, arrendamientos y contratación de servicios</w:t>
      </w:r>
      <w:r>
        <w:rPr>
          <w:b/>
        </w:rPr>
        <w:t>.</w:t>
      </w:r>
    </w:p>
    <w:p w14:paraId="679AB678" w14:textId="77777777" w:rsidR="00EE466C" w:rsidRPr="00EE466C" w:rsidRDefault="00EE466C" w:rsidP="00225915">
      <w:pPr>
        <w:tabs>
          <w:tab w:val="left" w:pos="4962"/>
        </w:tabs>
        <w:spacing w:after="0" w:line="360" w:lineRule="auto"/>
        <w:rPr>
          <w:rFonts w:eastAsia="Calibri" w:cs="Tahoma"/>
          <w:b/>
          <w:bCs/>
          <w:color w:val="auto"/>
          <w:lang w:eastAsia="es-ES"/>
        </w:rPr>
      </w:pPr>
    </w:p>
    <w:p w14:paraId="5DE314D6" w14:textId="481B8EA1" w:rsidR="00A5729B" w:rsidRPr="00EE466C" w:rsidRDefault="00750C4D" w:rsidP="00A5729B">
      <w:pPr>
        <w:spacing w:after="0" w:line="360" w:lineRule="auto"/>
        <w:contextualSpacing/>
        <w:rPr>
          <w:rFonts w:eastAsia="Times New Roman" w:cs="Tahoma"/>
          <w:iCs/>
          <w:color w:val="auto"/>
          <w:lang w:eastAsia="es-ES"/>
        </w:rPr>
      </w:pPr>
      <w:r w:rsidRPr="00EE466C">
        <w:rPr>
          <w:rFonts w:cs="Tahoma"/>
          <w:bCs/>
          <w:iCs/>
          <w:color w:val="auto"/>
          <w:lang w:val="es-ES" w:eastAsia="es-MX"/>
        </w:rPr>
        <w:t>Conforme a lo anterior</w:t>
      </w:r>
      <w:r w:rsidR="00BF36A5" w:rsidRPr="00EE466C">
        <w:rPr>
          <w:rFonts w:cs="Tahoma"/>
          <w:bCs/>
          <w:iCs/>
          <w:color w:val="auto"/>
          <w:lang w:val="es-ES" w:eastAsia="es-MX"/>
        </w:rPr>
        <w:t>,</w:t>
      </w:r>
      <w:r w:rsidRPr="00EE466C">
        <w:rPr>
          <w:rFonts w:cs="Tahoma"/>
          <w:bCs/>
          <w:iCs/>
          <w:color w:val="auto"/>
          <w:lang w:val="es-ES" w:eastAsia="es-MX"/>
        </w:rPr>
        <w:t xml:space="preserve"> el Sujeto Obligado </w:t>
      </w:r>
      <w:r w:rsidR="00BF36A5" w:rsidRPr="00EE466C">
        <w:rPr>
          <w:rFonts w:cs="Tahoma"/>
          <w:bCs/>
          <w:iCs/>
          <w:color w:val="auto"/>
          <w:lang w:val="es-ES" w:eastAsia="es-MX"/>
        </w:rPr>
        <w:t>cuenta con competencia para conocer de lo solicitado, por lo que</w:t>
      </w:r>
      <w:r w:rsidR="00B25235" w:rsidRPr="00EE466C">
        <w:rPr>
          <w:rFonts w:cs="Tahoma"/>
          <w:bCs/>
          <w:iCs/>
          <w:color w:val="auto"/>
          <w:lang w:val="es-ES" w:eastAsia="es-MX"/>
        </w:rPr>
        <w:t xml:space="preserve">, </w:t>
      </w:r>
      <w:r w:rsidRPr="00EE466C">
        <w:rPr>
          <w:rFonts w:cs="Tahoma"/>
          <w:bCs/>
          <w:iCs/>
          <w:color w:val="auto"/>
          <w:lang w:val="es-ES" w:eastAsia="es-MX"/>
        </w:rPr>
        <w:t>deberá realizar una búsqueda exhaustiva y razonable en todas las unidades administrativas competentes</w:t>
      </w:r>
      <w:r w:rsidR="00A5729B" w:rsidRPr="00EE466C">
        <w:rPr>
          <w:rFonts w:eastAsia="Times New Roman" w:cs="Tahoma"/>
          <w:bCs/>
          <w:iCs/>
          <w:color w:val="auto"/>
          <w:lang w:eastAsia="es-ES"/>
        </w:rPr>
        <w:t>,</w:t>
      </w:r>
      <w:r w:rsidR="00A5729B" w:rsidRPr="00EE466C">
        <w:rPr>
          <w:rFonts w:eastAsia="Calibri" w:cs="Tahoma"/>
          <w:bCs/>
          <w:color w:val="auto"/>
        </w:rPr>
        <w:t xml:space="preserve"> a efecto de que dé la respuesta que a derecho corresponda y, en su caso, proporcione los documentos que den cuenta de la información solicitada.</w:t>
      </w:r>
    </w:p>
    <w:p w14:paraId="3B1FCA78" w14:textId="6BA3404A" w:rsidR="00021304" w:rsidRPr="00EE466C" w:rsidRDefault="00021304" w:rsidP="00225915">
      <w:pPr>
        <w:tabs>
          <w:tab w:val="left" w:pos="4962"/>
        </w:tabs>
        <w:spacing w:after="0" w:line="360" w:lineRule="auto"/>
        <w:rPr>
          <w:rFonts w:eastAsia="Calibri" w:cs="Tahoma"/>
          <w:bCs/>
          <w:color w:val="auto"/>
        </w:rPr>
      </w:pPr>
    </w:p>
    <w:p w14:paraId="7E9F3B38" w14:textId="77777777" w:rsidR="00FB1036" w:rsidRPr="00EE466C" w:rsidRDefault="00712AB9" w:rsidP="00225915">
      <w:pPr>
        <w:spacing w:after="0" w:line="360" w:lineRule="auto"/>
        <w:rPr>
          <w:rFonts w:eastAsia="Times New Roman" w:cs="Tahoma"/>
          <w:bCs/>
          <w:iCs/>
          <w:color w:val="auto"/>
          <w:lang w:val="es-ES" w:eastAsia="es-ES"/>
        </w:rPr>
      </w:pPr>
      <w:bookmarkStart w:id="12" w:name="_Hlk76480431"/>
      <w:r w:rsidRPr="00EE466C">
        <w:rPr>
          <w:rFonts w:eastAsia="Times New Roman" w:cs="Tahoma"/>
          <w:bCs/>
          <w:iCs/>
          <w:color w:val="auto"/>
          <w:lang w:val="es-ES_tradnl" w:eastAsia="es-ES"/>
        </w:rPr>
        <w:t>No pasa desapercibido para este Instituto que los documentos que den cuenta de lo solicitado, pudieran contener datos</w:t>
      </w:r>
      <w:r w:rsidR="00C2425A" w:rsidRPr="00EE466C">
        <w:rPr>
          <w:rFonts w:eastAsia="Times New Roman" w:cs="Tahoma"/>
          <w:bCs/>
          <w:iCs/>
          <w:color w:val="auto"/>
          <w:lang w:val="es-ES_tradnl" w:eastAsia="es-ES"/>
        </w:rPr>
        <w:t xml:space="preserve"> confidenciales; </w:t>
      </w:r>
      <w:r w:rsidRPr="00EE466C">
        <w:rPr>
          <w:rFonts w:eastAsia="Times New Roman" w:cs="Tahoma"/>
          <w:bCs/>
          <w:iCs/>
          <w:color w:val="auto"/>
          <w:lang w:val="es-ES_tradnl" w:eastAsia="es-ES"/>
        </w:rPr>
        <w:t>a</w:t>
      </w:r>
      <w:r w:rsidRPr="00EE466C">
        <w:rPr>
          <w:rFonts w:eastAsia="Times New Roman" w:cs="Tahoma"/>
          <w:bCs/>
          <w:iCs/>
          <w:color w:val="auto"/>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A59B5F4" w14:textId="77777777" w:rsidR="00FB1036" w:rsidRPr="00EE466C" w:rsidRDefault="00FB1036" w:rsidP="00225915">
      <w:pPr>
        <w:spacing w:after="0" w:line="360" w:lineRule="auto"/>
        <w:rPr>
          <w:rFonts w:eastAsia="Times New Roman" w:cs="Tahoma"/>
          <w:bCs/>
          <w:iCs/>
          <w:color w:val="auto"/>
          <w:lang w:val="es-ES" w:eastAsia="es-ES"/>
        </w:rPr>
      </w:pPr>
    </w:p>
    <w:p w14:paraId="3B083E32" w14:textId="3DAFBFB1" w:rsidR="00712AB9" w:rsidRPr="00EE466C" w:rsidRDefault="00712AB9" w:rsidP="00225915">
      <w:pPr>
        <w:spacing w:after="0" w:line="360" w:lineRule="auto"/>
        <w:rPr>
          <w:rFonts w:eastAsia="Times New Roman" w:cs="Tahoma"/>
          <w:bCs/>
          <w:iCs/>
          <w:color w:val="auto"/>
          <w:lang w:val="es-ES" w:eastAsia="es-ES"/>
        </w:rPr>
      </w:pPr>
      <w:r w:rsidRPr="00EE466C">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w:t>
      </w:r>
      <w:r w:rsidR="00021304" w:rsidRPr="00EE466C">
        <w:rPr>
          <w:rFonts w:eastAsia="Times New Roman" w:cs="Tahoma"/>
          <w:bCs/>
          <w:iCs/>
          <w:color w:val="auto"/>
          <w:lang w:val="es-ES" w:eastAsia="es-ES"/>
        </w:rPr>
        <w:t xml:space="preserve"> o documentos</w:t>
      </w:r>
      <w:r w:rsidRPr="00EE466C">
        <w:rPr>
          <w:rFonts w:eastAsia="Times New Roman" w:cs="Tahoma"/>
          <w:bCs/>
          <w:iCs/>
          <w:color w:val="auto"/>
          <w:lang w:val="es-ES" w:eastAsia="es-ES"/>
        </w:rPr>
        <w:t>, fundando y motivando la clasificación.</w:t>
      </w:r>
      <w:bookmarkEnd w:id="12"/>
    </w:p>
    <w:p w14:paraId="4646E678" w14:textId="77777777" w:rsidR="00712AB9" w:rsidRPr="00EE466C" w:rsidRDefault="00712AB9" w:rsidP="00225915">
      <w:pPr>
        <w:spacing w:after="0" w:line="360" w:lineRule="auto"/>
        <w:rPr>
          <w:rFonts w:eastAsia="Calibri" w:cs="Tahoma"/>
          <w:bCs/>
          <w:color w:val="auto"/>
        </w:rPr>
      </w:pPr>
    </w:p>
    <w:p w14:paraId="29046F6C" w14:textId="54FFE939" w:rsidR="00712AB9" w:rsidRPr="00EE466C" w:rsidRDefault="00712AB9" w:rsidP="001B0FD7">
      <w:pPr>
        <w:pStyle w:val="Ttulo2"/>
        <w:rPr>
          <w:rFonts w:eastAsia="Times New Roman"/>
          <w:color w:val="auto"/>
          <w:lang w:eastAsia="es-ES"/>
        </w:rPr>
      </w:pPr>
      <w:bookmarkStart w:id="13" w:name="_Toc213328980"/>
      <w:r w:rsidRPr="00EE466C">
        <w:rPr>
          <w:rFonts w:eastAsia="Times New Roman"/>
          <w:color w:val="auto"/>
          <w:lang w:eastAsia="es-ES"/>
        </w:rPr>
        <w:t>SEXTO. Decisión</w:t>
      </w:r>
      <w:bookmarkEnd w:id="13"/>
    </w:p>
    <w:p w14:paraId="2A33564E" w14:textId="77777777" w:rsidR="00712AB9" w:rsidRPr="00EE466C" w:rsidRDefault="00712AB9" w:rsidP="00225915">
      <w:pPr>
        <w:spacing w:after="0" w:line="360" w:lineRule="auto"/>
        <w:rPr>
          <w:rFonts w:eastAsia="Times New Roman" w:cs="Tahoma"/>
          <w:color w:val="auto"/>
          <w:lang w:eastAsia="es-ES"/>
        </w:rPr>
      </w:pPr>
    </w:p>
    <w:p w14:paraId="5438BE01" w14:textId="768A9103" w:rsidR="00B360C8" w:rsidRPr="00C3207B" w:rsidRDefault="00B360C8" w:rsidP="00225915">
      <w:pPr>
        <w:spacing w:after="0" w:line="360" w:lineRule="auto"/>
        <w:rPr>
          <w:rFonts w:cs="Tahoma"/>
          <w:color w:val="FF0000"/>
        </w:rPr>
      </w:pPr>
      <w:r w:rsidRPr="00EE466C">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EE466C">
        <w:rPr>
          <w:rFonts w:eastAsia="Times New Roman" w:cs="Tahoma"/>
          <w:b/>
          <w:bCs/>
          <w:color w:val="auto"/>
          <w:lang w:eastAsia="es-ES"/>
        </w:rPr>
        <w:t>ORDENAR</w:t>
      </w:r>
      <w:r w:rsidRPr="00EE466C">
        <w:rPr>
          <w:rFonts w:eastAsia="Times New Roman" w:cs="Tahoma"/>
          <w:color w:val="auto"/>
          <w:lang w:eastAsia="es-ES"/>
        </w:rPr>
        <w:t xml:space="preserve"> al Sujeto Obligado,</w:t>
      </w:r>
      <w:r w:rsidRPr="00EE466C">
        <w:rPr>
          <w:rFonts w:eastAsia="Calibri" w:cs="Tahoma"/>
          <w:color w:val="auto"/>
        </w:rPr>
        <w:t xml:space="preserve"> a que dé trámite y </w:t>
      </w:r>
      <w:r w:rsidRPr="00EE466C">
        <w:rPr>
          <w:rFonts w:eastAsia="Times New Roman" w:cs="Tahoma"/>
          <w:color w:val="auto"/>
          <w:lang w:eastAsia="es-ES"/>
        </w:rPr>
        <w:t xml:space="preserve">respuesta a las solicitudes de información pública con </w:t>
      </w:r>
      <w:r w:rsidR="003D6320" w:rsidRPr="00EE466C">
        <w:rPr>
          <w:rFonts w:eastAsia="Times New Roman" w:cs="Tahoma"/>
          <w:color w:val="auto"/>
          <w:lang w:eastAsia="es-ES"/>
        </w:rPr>
        <w:t>número</w:t>
      </w:r>
      <w:r w:rsidR="003D6320" w:rsidRPr="00C3207B">
        <w:rPr>
          <w:rFonts w:cs="Tahoma"/>
          <w:color w:val="FF0000"/>
        </w:rPr>
        <w:t xml:space="preserve"> </w:t>
      </w:r>
      <w:r w:rsidR="00EE466C" w:rsidRPr="003C1891">
        <w:rPr>
          <w:rFonts w:cs="Tahoma"/>
          <w:color w:val="auto"/>
        </w:rPr>
        <w:t>00405/ALMOJU/IP/2025, 00406/ALMOJU/IP/2025 y 00407/ALMOJU/IP/2025</w:t>
      </w:r>
      <w:r w:rsidR="00EE466C">
        <w:rPr>
          <w:rFonts w:cs="Tahoma"/>
          <w:color w:val="auto"/>
        </w:rPr>
        <w:t>.</w:t>
      </w:r>
    </w:p>
    <w:p w14:paraId="48E0ABC7" w14:textId="0E0221A3" w:rsidR="00D9713D" w:rsidRPr="004F43CA" w:rsidRDefault="00FB1036" w:rsidP="00225915">
      <w:pPr>
        <w:spacing w:after="0" w:line="360" w:lineRule="auto"/>
        <w:rPr>
          <w:color w:val="auto"/>
        </w:rPr>
      </w:pPr>
      <w:r w:rsidRPr="00C3207B">
        <w:rPr>
          <w:color w:val="FF0000"/>
        </w:rPr>
        <w:t xml:space="preserve"> </w:t>
      </w:r>
    </w:p>
    <w:p w14:paraId="16E0554A" w14:textId="77777777" w:rsidR="00D9713D" w:rsidRPr="004F43CA" w:rsidRDefault="00D9713D" w:rsidP="001B0FD7">
      <w:pPr>
        <w:pStyle w:val="Ttulo2"/>
        <w:rPr>
          <w:rFonts w:eastAsia="Times New Roman"/>
          <w:color w:val="auto"/>
          <w:lang w:val="es-ES" w:eastAsia="es-ES"/>
        </w:rPr>
      </w:pPr>
      <w:bookmarkStart w:id="14" w:name="_Toc213328981"/>
      <w:r w:rsidRPr="004F43CA">
        <w:rPr>
          <w:rFonts w:eastAsia="Times New Roman"/>
          <w:color w:val="auto"/>
          <w:lang w:val="es-ES" w:eastAsia="es-ES"/>
        </w:rPr>
        <w:t>SÉPTIMO. Vista a la Secretaría Técnica del Pleno</w:t>
      </w:r>
      <w:bookmarkEnd w:id="14"/>
    </w:p>
    <w:p w14:paraId="3734C6B5" w14:textId="77777777" w:rsidR="00D9713D" w:rsidRPr="004F43CA" w:rsidRDefault="00D9713D" w:rsidP="00D9713D">
      <w:pPr>
        <w:spacing w:after="0" w:line="360" w:lineRule="auto"/>
        <w:rPr>
          <w:rFonts w:eastAsia="Times New Roman" w:cs="Tahoma"/>
          <w:b/>
          <w:bCs/>
          <w:iCs/>
          <w:color w:val="auto"/>
          <w:lang w:val="es-ES" w:eastAsia="es-ES"/>
        </w:rPr>
      </w:pPr>
    </w:p>
    <w:p w14:paraId="46D38B62" w14:textId="7D89E689" w:rsidR="00FB1036" w:rsidRPr="004F43CA" w:rsidRDefault="00D9713D" w:rsidP="00D9713D">
      <w:pPr>
        <w:spacing w:after="0" w:line="360" w:lineRule="auto"/>
        <w:rPr>
          <w:rFonts w:eastAsia="Times New Roman" w:cs="Tahoma"/>
          <w:bCs/>
          <w:iCs/>
          <w:color w:val="auto"/>
          <w:lang w:val="es-ES" w:eastAsia="es-ES"/>
        </w:rPr>
      </w:pPr>
      <w:r w:rsidRPr="004F43CA">
        <w:rPr>
          <w:rFonts w:eastAsia="Times New Roman" w:cs="Tahoma"/>
          <w:bCs/>
          <w:iCs/>
          <w:color w:val="auto"/>
          <w:lang w:val="es-ES" w:eastAsia="es-ES"/>
        </w:rPr>
        <w:t>En el caso en estudio, ha quedado acreditado que el</w:t>
      </w:r>
      <w:r w:rsidR="00960912" w:rsidRPr="004F43CA">
        <w:rPr>
          <w:rFonts w:eastAsia="Calibri" w:cs="Tahoma"/>
          <w:color w:val="auto"/>
        </w:rPr>
        <w:t xml:space="preserve"> Ayuntamiento de</w:t>
      </w:r>
      <w:r w:rsidR="004F43CA" w:rsidRPr="004F43CA">
        <w:rPr>
          <w:rFonts w:eastAsia="Calibri" w:cs="Tahoma"/>
          <w:color w:val="auto"/>
        </w:rPr>
        <w:t xml:space="preserve"> Almoloya de Juárez</w:t>
      </w:r>
      <w:r w:rsidRPr="004F43CA">
        <w:rPr>
          <w:rFonts w:eastAsia="Times New Roman" w:cs="Tahoma"/>
          <w:b/>
          <w:bCs/>
          <w:iCs/>
          <w:color w:val="auto"/>
          <w:lang w:val="es-ES" w:eastAsia="es-ES"/>
        </w:rPr>
        <w:t xml:space="preserve">, </w:t>
      </w:r>
      <w:r w:rsidRPr="004F43CA">
        <w:rPr>
          <w:rFonts w:eastAsia="Times New Roman" w:cs="Tahoma"/>
          <w:bCs/>
          <w:iCs/>
          <w:color w:val="auto"/>
          <w:lang w:val="es-ES" w:eastAsia="es-ES"/>
        </w:rPr>
        <w:t xml:space="preserve">omitió dar respuesta en el plazo señalado en el artículo 163 de la Ley de Transparencia y Acceso a la Información Pública del Estado de México y Municipios. </w:t>
      </w:r>
    </w:p>
    <w:p w14:paraId="090EEA05" w14:textId="77777777" w:rsidR="00FB1036" w:rsidRPr="00C3207B" w:rsidRDefault="00FB1036" w:rsidP="00D9713D">
      <w:pPr>
        <w:spacing w:after="0" w:line="360" w:lineRule="auto"/>
        <w:rPr>
          <w:rFonts w:eastAsia="Times New Roman" w:cs="Tahoma"/>
          <w:bCs/>
          <w:iCs/>
          <w:color w:val="FF0000"/>
          <w:lang w:val="es-ES" w:eastAsia="es-ES"/>
        </w:rPr>
      </w:pPr>
    </w:p>
    <w:p w14:paraId="50B6CE8E" w14:textId="3C9707B1" w:rsidR="00D9713D" w:rsidRPr="004F43CA" w:rsidRDefault="00D9713D" w:rsidP="00D9713D">
      <w:pPr>
        <w:spacing w:after="0" w:line="360" w:lineRule="auto"/>
        <w:rPr>
          <w:rFonts w:eastAsia="Times New Roman" w:cs="Tahoma"/>
          <w:b/>
          <w:bCs/>
          <w:iCs/>
          <w:color w:val="auto"/>
          <w:lang w:val="es-ES" w:eastAsia="es-ES"/>
        </w:rPr>
      </w:pPr>
      <w:r w:rsidRPr="004F43CA">
        <w:rPr>
          <w:rFonts w:eastAsia="Times New Roman" w:cs="Tahoma"/>
          <w:bCs/>
          <w:iCs/>
          <w:color w:val="auto"/>
          <w:lang w:val="es-ES"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4F43CA">
        <w:rPr>
          <w:rFonts w:eastAsia="Times New Roman" w:cs="Tahoma"/>
          <w:b/>
          <w:bCs/>
          <w:iCs/>
          <w:color w:val="auto"/>
          <w:lang w:val="es-ES" w:eastAsia="es-ES"/>
        </w:rPr>
        <w:t xml:space="preserve">. </w:t>
      </w:r>
    </w:p>
    <w:p w14:paraId="6D4A8C31" w14:textId="77777777" w:rsidR="00D94483" w:rsidRPr="004F43CA" w:rsidRDefault="00D94483" w:rsidP="00D9713D">
      <w:pPr>
        <w:spacing w:after="0" w:line="360" w:lineRule="auto"/>
        <w:rPr>
          <w:rFonts w:eastAsia="Times New Roman" w:cs="Tahoma"/>
          <w:b/>
          <w:bCs/>
          <w:iCs/>
          <w:color w:val="auto"/>
          <w:lang w:val="es-ES" w:eastAsia="es-ES"/>
        </w:rPr>
      </w:pPr>
    </w:p>
    <w:p w14:paraId="23E08BC8" w14:textId="77777777" w:rsidR="00FB1036" w:rsidRPr="004F43CA" w:rsidRDefault="00D9713D" w:rsidP="00D9713D">
      <w:pPr>
        <w:spacing w:after="0" w:line="360" w:lineRule="auto"/>
        <w:rPr>
          <w:rFonts w:eastAsia="Times New Roman" w:cs="Tahoma"/>
          <w:bCs/>
          <w:iCs/>
          <w:color w:val="auto"/>
          <w:lang w:val="es-ES" w:eastAsia="es-ES"/>
        </w:rPr>
      </w:pPr>
      <w:r w:rsidRPr="004F43CA">
        <w:rPr>
          <w:rFonts w:eastAsia="Times New Roman" w:cs="Tahoma"/>
          <w:bCs/>
          <w:iCs/>
          <w:color w:val="auto"/>
          <w:lang w:val="es-ES" w:eastAsia="es-E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7931248D" w14:textId="77777777" w:rsidR="00FB1036" w:rsidRPr="004F43CA" w:rsidRDefault="00FB1036" w:rsidP="00D9713D">
      <w:pPr>
        <w:spacing w:after="0" w:line="360" w:lineRule="auto"/>
        <w:rPr>
          <w:rFonts w:eastAsia="Times New Roman" w:cs="Tahoma"/>
          <w:bCs/>
          <w:iCs/>
          <w:color w:val="auto"/>
          <w:lang w:val="es-ES" w:eastAsia="es-ES"/>
        </w:rPr>
      </w:pPr>
    </w:p>
    <w:p w14:paraId="220B2BD4" w14:textId="785F4042" w:rsidR="00D9713D" w:rsidRPr="004F43CA" w:rsidRDefault="00D9713D" w:rsidP="00D9713D">
      <w:pPr>
        <w:spacing w:after="0" w:line="360" w:lineRule="auto"/>
        <w:rPr>
          <w:rFonts w:eastAsia="Times New Roman" w:cs="Tahoma"/>
          <w:bCs/>
          <w:iCs/>
          <w:color w:val="auto"/>
          <w:lang w:val="es-ES" w:eastAsia="es-ES"/>
        </w:rPr>
      </w:pPr>
      <w:r w:rsidRPr="004F43CA">
        <w:rPr>
          <w:rFonts w:eastAsia="Times New Roman" w:cs="Tahoma"/>
          <w:bCs/>
          <w:iCs/>
          <w:color w:val="auto"/>
          <w:lang w:val="es-ES" w:eastAsia="es-E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19D2AAD" w14:textId="77777777" w:rsidR="00D9713D" w:rsidRPr="004F43CA" w:rsidRDefault="00D9713D" w:rsidP="00D9713D">
      <w:pPr>
        <w:spacing w:after="0" w:line="360" w:lineRule="auto"/>
        <w:rPr>
          <w:rFonts w:eastAsia="Times New Roman" w:cs="Tahoma"/>
          <w:bCs/>
          <w:iCs/>
          <w:color w:val="auto"/>
          <w:lang w:val="es-ES" w:eastAsia="es-ES"/>
        </w:rPr>
      </w:pPr>
    </w:p>
    <w:p w14:paraId="257AED57" w14:textId="77777777" w:rsidR="00D9713D" w:rsidRPr="004F43CA" w:rsidRDefault="00D9713D" w:rsidP="00D9713D">
      <w:pPr>
        <w:spacing w:after="0" w:line="360" w:lineRule="auto"/>
        <w:rPr>
          <w:rFonts w:eastAsia="Times New Roman" w:cs="Tahoma"/>
          <w:bCs/>
          <w:iCs/>
          <w:color w:val="auto"/>
          <w:lang w:val="es-ES" w:eastAsia="es-ES"/>
        </w:rPr>
      </w:pPr>
      <w:r w:rsidRPr="004F43CA">
        <w:rPr>
          <w:rFonts w:eastAsia="Times New Roman" w:cs="Tahoma"/>
          <w:bCs/>
          <w:iCs/>
          <w:color w:val="auto"/>
          <w:lang w:val="es-ES" w:eastAsia="es-E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77EFE8CF" w14:textId="77777777" w:rsidR="00D9713D" w:rsidRPr="004F43CA" w:rsidRDefault="00D9713D" w:rsidP="00D9713D">
      <w:pPr>
        <w:spacing w:after="0" w:line="360" w:lineRule="auto"/>
        <w:rPr>
          <w:rFonts w:eastAsia="Times New Roman" w:cs="Tahoma"/>
          <w:bCs/>
          <w:iCs/>
          <w:color w:val="auto"/>
          <w:lang w:val="es-ES" w:eastAsia="es-ES"/>
        </w:rPr>
      </w:pPr>
    </w:p>
    <w:p w14:paraId="49C354F8" w14:textId="77777777" w:rsidR="00D9713D" w:rsidRPr="004F43CA" w:rsidRDefault="00D9713D" w:rsidP="00D9713D">
      <w:pPr>
        <w:spacing w:after="0" w:line="360" w:lineRule="auto"/>
        <w:rPr>
          <w:rFonts w:eastAsia="Times New Roman" w:cs="Tahoma"/>
          <w:bCs/>
          <w:iCs/>
          <w:color w:val="auto"/>
          <w:lang w:val="es-ES" w:eastAsia="es-ES"/>
        </w:rPr>
      </w:pPr>
      <w:r w:rsidRPr="004F43CA">
        <w:rPr>
          <w:rFonts w:eastAsia="Times New Roman" w:cs="Tahoma"/>
          <w:bCs/>
          <w:iCs/>
          <w:color w:val="auto"/>
          <w:lang w:val="es-ES" w:eastAsia="es-ES"/>
        </w:rPr>
        <w:t>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 la Secretaría Técnica de este Instituto, para que realice lo conducente.</w:t>
      </w:r>
    </w:p>
    <w:p w14:paraId="659F8D07" w14:textId="77777777" w:rsidR="00D9713D" w:rsidRPr="004F43CA" w:rsidRDefault="00D9713D" w:rsidP="00D9713D">
      <w:pPr>
        <w:spacing w:after="0" w:line="360" w:lineRule="auto"/>
        <w:rPr>
          <w:rFonts w:eastAsia="Times New Roman" w:cs="Tahoma"/>
          <w:b/>
          <w:bCs/>
          <w:iCs/>
          <w:color w:val="auto"/>
          <w:lang w:val="es-ES" w:eastAsia="es-ES"/>
        </w:rPr>
      </w:pPr>
    </w:p>
    <w:p w14:paraId="34F224B4" w14:textId="77777777" w:rsidR="00D9713D" w:rsidRPr="004F43CA" w:rsidRDefault="00D9713D" w:rsidP="00D9713D">
      <w:pPr>
        <w:spacing w:after="0" w:line="360" w:lineRule="auto"/>
        <w:rPr>
          <w:rFonts w:eastAsia="Times New Roman" w:cs="Tahoma"/>
          <w:b/>
          <w:bCs/>
          <w:iCs/>
          <w:color w:val="auto"/>
          <w:lang w:val="es-ES" w:eastAsia="es-ES"/>
        </w:rPr>
      </w:pPr>
      <w:r w:rsidRPr="004F43CA">
        <w:rPr>
          <w:rFonts w:eastAsia="Times New Roman" w:cs="Tahoma"/>
          <w:b/>
          <w:bCs/>
          <w:iCs/>
          <w:color w:val="auto"/>
          <w:lang w:val="es-ES" w:eastAsia="es-ES"/>
        </w:rPr>
        <w:t>Términos de la Resolución para conocimiento del Particular</w:t>
      </w:r>
    </w:p>
    <w:p w14:paraId="4876DB17" w14:textId="77777777" w:rsidR="00D9713D" w:rsidRPr="004F43CA" w:rsidRDefault="00D9713D" w:rsidP="00D9713D">
      <w:pPr>
        <w:spacing w:after="0" w:line="360" w:lineRule="auto"/>
        <w:rPr>
          <w:rFonts w:eastAsia="Times New Roman" w:cs="Tahoma"/>
          <w:b/>
          <w:bCs/>
          <w:iCs/>
          <w:color w:val="auto"/>
          <w:lang w:val="es-ES" w:eastAsia="es-ES"/>
        </w:rPr>
      </w:pPr>
    </w:p>
    <w:p w14:paraId="2C2A9870" w14:textId="0F8AAF95" w:rsidR="00FB1036" w:rsidRPr="004F43CA" w:rsidRDefault="00D9713D" w:rsidP="00D9713D">
      <w:pPr>
        <w:spacing w:after="0" w:line="360" w:lineRule="auto"/>
        <w:rPr>
          <w:rFonts w:eastAsia="Times New Roman" w:cs="Tahoma"/>
          <w:bCs/>
          <w:iCs/>
          <w:color w:val="auto"/>
          <w:lang w:val="es-ES" w:eastAsia="es-ES"/>
        </w:rPr>
      </w:pPr>
      <w:r w:rsidRPr="004F43CA">
        <w:rPr>
          <w:rFonts w:eastAsia="Times New Roman" w:cs="Tahoma"/>
          <w:bCs/>
          <w:iCs/>
          <w:color w:val="auto"/>
          <w:lang w:val="es-ES" w:eastAsia="es-ES"/>
        </w:rPr>
        <w:t xml:space="preserve">Se le hace del conocimiento al Particular, que, en el presente caso, se le da la razón, pues </w:t>
      </w:r>
      <w:r w:rsidR="00314B2B" w:rsidRPr="004F43CA">
        <w:rPr>
          <w:rFonts w:eastAsia="Times New Roman" w:cs="Tahoma"/>
          <w:bCs/>
          <w:iCs/>
          <w:color w:val="auto"/>
          <w:lang w:val="es-ES" w:eastAsia="es-ES"/>
        </w:rPr>
        <w:t>el</w:t>
      </w:r>
      <w:r w:rsidR="00960912" w:rsidRPr="004F43CA">
        <w:rPr>
          <w:rFonts w:eastAsia="Calibri" w:cs="Tahoma"/>
          <w:color w:val="auto"/>
        </w:rPr>
        <w:t xml:space="preserve"> Ayuntamiento de</w:t>
      </w:r>
      <w:r w:rsidR="004F43CA">
        <w:rPr>
          <w:rFonts w:eastAsia="Calibri" w:cs="Tahoma"/>
          <w:color w:val="auto"/>
        </w:rPr>
        <w:t xml:space="preserve"> Almoloya de Juárez</w:t>
      </w:r>
      <w:r w:rsidRPr="004F43CA">
        <w:rPr>
          <w:rFonts w:eastAsia="Times New Roman" w:cs="Tahoma"/>
          <w:bCs/>
          <w:iCs/>
          <w:color w:val="auto"/>
          <w:lang w:val="es-ES" w:eastAsia="es-ES"/>
        </w:rPr>
        <w:t xml:space="preserve">, no emitió contestación alguna, por lo que, deberá dar atención al requerimiento de información. </w:t>
      </w:r>
    </w:p>
    <w:p w14:paraId="6204DC71" w14:textId="77777777" w:rsidR="00FB1036" w:rsidRPr="004F43CA" w:rsidRDefault="00FB1036" w:rsidP="00D9713D">
      <w:pPr>
        <w:spacing w:after="0" w:line="360" w:lineRule="auto"/>
        <w:rPr>
          <w:rFonts w:eastAsia="Times New Roman" w:cs="Tahoma"/>
          <w:bCs/>
          <w:iCs/>
          <w:color w:val="auto"/>
          <w:lang w:val="es-ES" w:eastAsia="es-ES"/>
        </w:rPr>
      </w:pPr>
    </w:p>
    <w:p w14:paraId="6CA8B1E0" w14:textId="77777777" w:rsidR="00FB1036" w:rsidRPr="004F43CA" w:rsidRDefault="00FB1036" w:rsidP="00FB1036">
      <w:pPr>
        <w:spacing w:after="0" w:line="360" w:lineRule="auto"/>
        <w:rPr>
          <w:rFonts w:eastAsia="Times New Roman" w:cs="Tahoma"/>
          <w:bCs/>
          <w:iCs/>
          <w:color w:val="auto"/>
          <w:lang w:eastAsia="es-ES"/>
        </w:rPr>
      </w:pPr>
      <w:r w:rsidRPr="004F43CA">
        <w:rPr>
          <w:rFonts w:eastAsia="Times New Roman" w:cs="Tahoma"/>
          <w:bCs/>
          <w:iCs/>
          <w:color w:val="auto"/>
          <w:lang w:eastAsia="es-ES"/>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1EBCE087" w14:textId="77777777" w:rsidR="00FB1036" w:rsidRPr="004F43CA" w:rsidRDefault="00FB1036" w:rsidP="00FB1036">
      <w:pPr>
        <w:spacing w:after="0" w:line="360" w:lineRule="auto"/>
        <w:rPr>
          <w:rFonts w:eastAsia="Times New Roman" w:cs="Tahoma"/>
          <w:bCs/>
          <w:iCs/>
          <w:color w:val="auto"/>
          <w:lang w:eastAsia="es-ES"/>
        </w:rPr>
      </w:pPr>
    </w:p>
    <w:p w14:paraId="4EFE6226" w14:textId="77777777" w:rsidR="00FB1036" w:rsidRPr="004F43CA" w:rsidRDefault="00FB1036" w:rsidP="00FB1036">
      <w:pPr>
        <w:spacing w:after="0" w:line="360" w:lineRule="auto"/>
        <w:rPr>
          <w:rFonts w:eastAsia="Calibri" w:cs="Times New Roman"/>
          <w:color w:val="auto"/>
        </w:rPr>
      </w:pPr>
      <w:r w:rsidRPr="004F43CA">
        <w:rPr>
          <w:rFonts w:eastAsia="Calibri" w:cs="Times New Roman"/>
          <w:color w:val="auto"/>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1DD4F3FD" w14:textId="77777777" w:rsidR="00D9713D" w:rsidRPr="004F43CA" w:rsidRDefault="00D9713D" w:rsidP="00D9713D">
      <w:pPr>
        <w:spacing w:after="0" w:line="360" w:lineRule="auto"/>
        <w:rPr>
          <w:rFonts w:eastAsia="Times New Roman" w:cs="Tahoma"/>
          <w:b/>
          <w:bCs/>
          <w:iCs/>
          <w:color w:val="auto"/>
          <w:lang w:eastAsia="es-ES"/>
        </w:rPr>
      </w:pPr>
    </w:p>
    <w:p w14:paraId="15186959" w14:textId="6FF1ACBA" w:rsidR="007F6F21" w:rsidRPr="004F43CA" w:rsidRDefault="00D9713D" w:rsidP="00D9713D">
      <w:pPr>
        <w:spacing w:after="0" w:line="360" w:lineRule="auto"/>
        <w:rPr>
          <w:rFonts w:eastAsia="Times New Roman" w:cs="Tahoma"/>
          <w:bCs/>
          <w:iCs/>
          <w:color w:val="auto"/>
          <w:lang w:val="es-ES" w:eastAsia="es-ES"/>
        </w:rPr>
      </w:pPr>
      <w:r w:rsidRPr="004F43CA">
        <w:rPr>
          <w:rFonts w:eastAsia="Times New Roman" w:cs="Tahoma"/>
          <w:bCs/>
          <w:iCs/>
          <w:color w:val="auto"/>
          <w:lang w:val="es-ES" w:eastAsia="es-ES"/>
        </w:rPr>
        <w:t>Por lo expuesto y fundado, este Pleno:</w:t>
      </w:r>
    </w:p>
    <w:p w14:paraId="4166A1AD" w14:textId="77777777" w:rsidR="007F6F21" w:rsidRPr="00C3207B" w:rsidRDefault="007F6F21" w:rsidP="00D9713D">
      <w:pPr>
        <w:spacing w:after="0" w:line="360" w:lineRule="auto"/>
        <w:rPr>
          <w:rFonts w:eastAsia="Times New Roman" w:cs="Tahoma"/>
          <w:b/>
          <w:bCs/>
          <w:iCs/>
          <w:color w:val="FF0000"/>
          <w:lang w:val="es-ES" w:eastAsia="es-ES"/>
        </w:rPr>
      </w:pPr>
    </w:p>
    <w:p w14:paraId="23B24814" w14:textId="77777777" w:rsidR="003D6320" w:rsidRPr="00C3207B" w:rsidRDefault="003D6320" w:rsidP="00D9713D">
      <w:pPr>
        <w:spacing w:after="0" w:line="360" w:lineRule="auto"/>
        <w:rPr>
          <w:rFonts w:eastAsia="Times New Roman" w:cs="Tahoma"/>
          <w:b/>
          <w:bCs/>
          <w:iCs/>
          <w:color w:val="FF0000"/>
          <w:lang w:val="es-ES" w:eastAsia="es-ES"/>
        </w:rPr>
      </w:pPr>
    </w:p>
    <w:p w14:paraId="7729DF77" w14:textId="77777777" w:rsidR="00D9713D" w:rsidRPr="004F43CA" w:rsidRDefault="00D9713D" w:rsidP="001B0FD7">
      <w:pPr>
        <w:pStyle w:val="Ttulo1"/>
        <w:rPr>
          <w:rFonts w:eastAsia="Times New Roman"/>
          <w:color w:val="auto"/>
          <w:lang w:val="es-ES" w:eastAsia="es-ES"/>
        </w:rPr>
      </w:pPr>
      <w:bookmarkStart w:id="15" w:name="_Toc213328982"/>
      <w:r w:rsidRPr="004F43CA">
        <w:rPr>
          <w:rFonts w:eastAsia="Times New Roman"/>
          <w:color w:val="auto"/>
          <w:lang w:val="es-ES" w:eastAsia="es-ES"/>
        </w:rPr>
        <w:t>R E S U E L V E</w:t>
      </w:r>
      <w:bookmarkEnd w:id="15"/>
    </w:p>
    <w:p w14:paraId="1C6ED00B" w14:textId="77777777" w:rsidR="00D9713D" w:rsidRPr="00C3207B" w:rsidRDefault="00D9713D" w:rsidP="00D9713D">
      <w:pPr>
        <w:spacing w:after="0" w:line="360" w:lineRule="auto"/>
        <w:rPr>
          <w:rFonts w:eastAsia="Times New Roman" w:cs="Tahoma"/>
          <w:b/>
          <w:bCs/>
          <w:iCs/>
          <w:color w:val="FF0000"/>
          <w:lang w:val="es-ES" w:eastAsia="es-ES"/>
        </w:rPr>
      </w:pPr>
    </w:p>
    <w:p w14:paraId="622FFA8E" w14:textId="50887FCD" w:rsidR="00D9713D" w:rsidRPr="004F43CA" w:rsidRDefault="00D9713D" w:rsidP="00D9713D">
      <w:pPr>
        <w:spacing w:after="0" w:line="360" w:lineRule="auto"/>
        <w:rPr>
          <w:rFonts w:eastAsia="Times New Roman" w:cs="Tahoma"/>
          <w:bCs/>
          <w:iCs/>
          <w:color w:val="auto"/>
          <w:lang w:val="es-ES" w:eastAsia="es-ES"/>
        </w:rPr>
      </w:pPr>
      <w:r w:rsidRPr="004F43CA">
        <w:rPr>
          <w:rFonts w:eastAsia="Times New Roman" w:cs="Tahoma"/>
          <w:b/>
          <w:bCs/>
          <w:iCs/>
          <w:color w:val="auto"/>
          <w:lang w:val="es-ES" w:eastAsia="es-ES"/>
        </w:rPr>
        <w:t>PRIMERO.</w:t>
      </w:r>
      <w:r w:rsidRPr="004F43CA">
        <w:rPr>
          <w:rFonts w:eastAsia="Times New Roman" w:cs="Tahoma"/>
          <w:bCs/>
          <w:iCs/>
          <w:color w:val="auto"/>
          <w:lang w:val="es-ES" w:eastAsia="es-ES"/>
        </w:rPr>
        <w:t xml:space="preserve"> Resultan</w:t>
      </w:r>
      <w:r w:rsidRPr="004F43CA">
        <w:rPr>
          <w:rFonts w:eastAsia="Times New Roman" w:cs="Tahoma"/>
          <w:b/>
          <w:bCs/>
          <w:iCs/>
          <w:color w:val="auto"/>
          <w:lang w:val="es-ES" w:eastAsia="es-ES"/>
        </w:rPr>
        <w:t xml:space="preserve"> FUNDADAS </w:t>
      </w:r>
      <w:r w:rsidRPr="004F43CA">
        <w:rPr>
          <w:rFonts w:eastAsia="Times New Roman" w:cs="Tahoma"/>
          <w:bCs/>
          <w:iCs/>
          <w:color w:val="auto"/>
          <w:lang w:val="es-ES" w:eastAsia="es-ES"/>
        </w:rPr>
        <w:t xml:space="preserve">las razones o motivos de inconformidad hechos valer por el Particular en </w:t>
      </w:r>
      <w:r w:rsidR="00DD55A8" w:rsidRPr="004F43CA">
        <w:rPr>
          <w:rFonts w:eastAsia="Times New Roman" w:cs="Tahoma"/>
          <w:bCs/>
          <w:iCs/>
          <w:color w:val="auto"/>
          <w:lang w:val="es-ES" w:eastAsia="es-ES"/>
        </w:rPr>
        <w:t>los</w:t>
      </w:r>
      <w:r w:rsidRPr="004F43CA">
        <w:rPr>
          <w:rFonts w:eastAsia="Times New Roman" w:cs="Tahoma"/>
          <w:bCs/>
          <w:iCs/>
          <w:color w:val="auto"/>
          <w:lang w:val="es-ES" w:eastAsia="es-ES"/>
        </w:rPr>
        <w:t xml:space="preserve"> Recurso</w:t>
      </w:r>
      <w:r w:rsidR="00DD55A8" w:rsidRPr="004F43CA">
        <w:rPr>
          <w:rFonts w:eastAsia="Times New Roman" w:cs="Tahoma"/>
          <w:bCs/>
          <w:iCs/>
          <w:color w:val="auto"/>
          <w:lang w:val="es-ES" w:eastAsia="es-ES"/>
        </w:rPr>
        <w:t>s</w:t>
      </w:r>
      <w:r w:rsidRPr="004F43CA">
        <w:rPr>
          <w:rFonts w:eastAsia="Times New Roman" w:cs="Tahoma"/>
          <w:bCs/>
          <w:iCs/>
          <w:color w:val="auto"/>
          <w:lang w:val="es-ES" w:eastAsia="es-ES"/>
        </w:rPr>
        <w:t xml:space="preserve"> de Revisión</w:t>
      </w:r>
      <w:r w:rsidR="00960912" w:rsidRPr="004F43CA">
        <w:rPr>
          <w:rFonts w:eastAsia="Times New Roman" w:cs="Tahoma"/>
          <w:bCs/>
          <w:iCs/>
          <w:color w:val="auto"/>
          <w:lang w:val="es-ES" w:eastAsia="es-ES"/>
        </w:rPr>
        <w:t xml:space="preserve"> </w:t>
      </w:r>
      <w:r w:rsidR="004F43CA" w:rsidRPr="004F43CA">
        <w:rPr>
          <w:rFonts w:cs="Tahoma"/>
          <w:bCs/>
          <w:color w:val="auto"/>
          <w:lang w:val="es-ES_tradnl"/>
        </w:rPr>
        <w:t>11751/INFOEM/IP/RR/2025, 11752/INFOEM/IP/RR/2025 y 11753/INFOEM/IP/RR/2025</w:t>
      </w:r>
      <w:r w:rsidR="000C230B" w:rsidRPr="004F43CA">
        <w:rPr>
          <w:rFonts w:cs="Tahoma"/>
          <w:color w:val="auto"/>
          <w:lang w:val="es-ES_tradnl"/>
        </w:rPr>
        <w:t xml:space="preserve">, </w:t>
      </w:r>
      <w:r w:rsidRPr="004F43CA">
        <w:rPr>
          <w:rFonts w:eastAsia="Times New Roman" w:cs="Tahoma"/>
          <w:bCs/>
          <w:iCs/>
          <w:color w:val="auto"/>
          <w:lang w:val="es-ES" w:eastAsia="es-ES"/>
        </w:rPr>
        <w:t xml:space="preserve">en términos del considerando </w:t>
      </w:r>
      <w:r w:rsidRPr="004F43CA">
        <w:rPr>
          <w:rFonts w:eastAsia="Times New Roman" w:cs="Tahoma"/>
          <w:b/>
          <w:bCs/>
          <w:iCs/>
          <w:color w:val="auto"/>
          <w:lang w:val="es-ES" w:eastAsia="es-ES"/>
        </w:rPr>
        <w:t>QUINTO</w:t>
      </w:r>
      <w:r w:rsidRPr="004F43CA">
        <w:rPr>
          <w:rFonts w:eastAsia="Times New Roman" w:cs="Tahoma"/>
          <w:bCs/>
          <w:iCs/>
          <w:color w:val="auto"/>
          <w:lang w:val="es-ES" w:eastAsia="es-ES"/>
        </w:rPr>
        <w:t xml:space="preserve"> y </w:t>
      </w:r>
      <w:r w:rsidRPr="004F43CA">
        <w:rPr>
          <w:rFonts w:eastAsia="Times New Roman" w:cs="Tahoma"/>
          <w:b/>
          <w:bCs/>
          <w:iCs/>
          <w:color w:val="auto"/>
          <w:lang w:val="es-ES" w:eastAsia="es-ES"/>
        </w:rPr>
        <w:t xml:space="preserve">SEXTO </w:t>
      </w:r>
      <w:r w:rsidRPr="004F43CA">
        <w:rPr>
          <w:rFonts w:eastAsia="Times New Roman" w:cs="Tahoma"/>
          <w:bCs/>
          <w:iCs/>
          <w:color w:val="auto"/>
          <w:lang w:val="es-ES" w:eastAsia="es-ES"/>
        </w:rPr>
        <w:t>de la presente Resolución</w:t>
      </w:r>
      <w:r w:rsidRPr="004F43CA">
        <w:rPr>
          <w:rFonts w:eastAsia="Times New Roman" w:cs="Tahoma"/>
          <w:b/>
          <w:bCs/>
          <w:iCs/>
          <w:color w:val="auto"/>
          <w:lang w:val="es-ES" w:eastAsia="es-ES"/>
        </w:rPr>
        <w:t>.</w:t>
      </w:r>
    </w:p>
    <w:p w14:paraId="65ABFB24" w14:textId="77777777" w:rsidR="00D9713D" w:rsidRPr="00C3207B" w:rsidRDefault="00D9713D" w:rsidP="00D9713D">
      <w:pPr>
        <w:spacing w:after="0" w:line="360" w:lineRule="auto"/>
        <w:rPr>
          <w:rFonts w:eastAsia="Times New Roman" w:cs="Tahoma"/>
          <w:b/>
          <w:bCs/>
          <w:iCs/>
          <w:color w:val="FF0000"/>
          <w:lang w:val="es-ES" w:eastAsia="es-ES"/>
        </w:rPr>
      </w:pPr>
    </w:p>
    <w:p w14:paraId="11CE80F4" w14:textId="2F8F946E" w:rsidR="00D9713D" w:rsidRPr="00DB6839" w:rsidRDefault="00D9713D" w:rsidP="00D9713D">
      <w:pPr>
        <w:spacing w:after="0" w:line="360" w:lineRule="auto"/>
        <w:rPr>
          <w:rFonts w:cs="Tahoma"/>
          <w:color w:val="auto"/>
        </w:rPr>
      </w:pPr>
      <w:r w:rsidRPr="00DB6839">
        <w:rPr>
          <w:rFonts w:eastAsia="Times New Roman" w:cs="Tahoma"/>
          <w:b/>
          <w:bCs/>
          <w:iCs/>
          <w:color w:val="auto"/>
          <w:lang w:val="es-ES" w:eastAsia="es-ES"/>
        </w:rPr>
        <w:t xml:space="preserve">SEGUNDO. </w:t>
      </w:r>
      <w:r w:rsidRPr="00DB6839">
        <w:rPr>
          <w:rFonts w:eastAsia="Times New Roman" w:cs="Tahoma"/>
          <w:bCs/>
          <w:iCs/>
          <w:color w:val="auto"/>
          <w:lang w:val="es-ES" w:eastAsia="es-ES"/>
        </w:rPr>
        <w:t>Se</w:t>
      </w:r>
      <w:r w:rsidRPr="00DB6839">
        <w:rPr>
          <w:rFonts w:eastAsia="Times New Roman" w:cs="Tahoma"/>
          <w:b/>
          <w:bCs/>
          <w:iCs/>
          <w:color w:val="auto"/>
          <w:lang w:val="es-ES" w:eastAsia="es-ES"/>
        </w:rPr>
        <w:t xml:space="preserve"> ORDENA </w:t>
      </w:r>
      <w:r w:rsidRPr="00DB6839">
        <w:rPr>
          <w:rFonts w:eastAsia="Times New Roman" w:cs="Tahoma"/>
          <w:bCs/>
          <w:iCs/>
          <w:color w:val="auto"/>
          <w:lang w:val="es-ES" w:eastAsia="es-ES"/>
        </w:rPr>
        <w:t>al Sujeto Obligado, a efecto de que dé atención a la</w:t>
      </w:r>
      <w:r w:rsidR="00DD55A8" w:rsidRPr="00DB6839">
        <w:rPr>
          <w:rFonts w:eastAsia="Times New Roman" w:cs="Tahoma"/>
          <w:bCs/>
          <w:iCs/>
          <w:color w:val="auto"/>
          <w:lang w:val="es-ES" w:eastAsia="es-ES"/>
        </w:rPr>
        <w:t>s</w:t>
      </w:r>
      <w:r w:rsidRPr="00DB6839">
        <w:rPr>
          <w:rFonts w:eastAsia="Times New Roman" w:cs="Tahoma"/>
          <w:bCs/>
          <w:iCs/>
          <w:color w:val="auto"/>
          <w:lang w:val="es-ES" w:eastAsia="es-ES"/>
        </w:rPr>
        <w:t xml:space="preserve"> solicitud</w:t>
      </w:r>
      <w:r w:rsidR="00DD55A8" w:rsidRPr="00DB6839">
        <w:rPr>
          <w:rFonts w:eastAsia="Times New Roman" w:cs="Tahoma"/>
          <w:bCs/>
          <w:iCs/>
          <w:color w:val="auto"/>
          <w:lang w:val="es-ES" w:eastAsia="es-ES"/>
        </w:rPr>
        <w:t>es</w:t>
      </w:r>
      <w:r w:rsidRPr="00DB6839">
        <w:rPr>
          <w:rFonts w:eastAsia="Times New Roman" w:cs="Tahoma"/>
          <w:bCs/>
          <w:iCs/>
          <w:color w:val="auto"/>
          <w:lang w:val="es-ES" w:eastAsia="es-ES"/>
        </w:rPr>
        <w:t xml:space="preserve"> de acceso a la información</w:t>
      </w:r>
      <w:r w:rsidR="00407A01" w:rsidRPr="00DB6839">
        <w:rPr>
          <w:rFonts w:cs="Tahoma"/>
          <w:color w:val="auto"/>
        </w:rPr>
        <w:t xml:space="preserve"> </w:t>
      </w:r>
      <w:r w:rsidR="004F43CA" w:rsidRPr="00DB6839">
        <w:rPr>
          <w:rFonts w:cs="Tahoma"/>
          <w:color w:val="auto"/>
        </w:rPr>
        <w:t>00405/ALMOJU/IP/2025, 00406/ALMOJU/IP/2025 y 00407/ALMOJU/IP/2025</w:t>
      </w:r>
      <w:r w:rsidR="00407A01" w:rsidRPr="00DB6839">
        <w:rPr>
          <w:rFonts w:cs="Tahoma"/>
          <w:color w:val="auto"/>
        </w:rPr>
        <w:t>,</w:t>
      </w:r>
      <w:r w:rsidR="00407A01" w:rsidRPr="00DB6839">
        <w:rPr>
          <w:rFonts w:eastAsia="Times New Roman" w:cs="Tahoma"/>
          <w:bCs/>
          <w:iCs/>
          <w:color w:val="auto"/>
          <w:lang w:val="es-ES" w:eastAsia="es-ES"/>
        </w:rPr>
        <w:t xml:space="preserve"> </w:t>
      </w:r>
      <w:r w:rsidRPr="00DB6839">
        <w:rPr>
          <w:rFonts w:eastAsia="Times New Roman" w:cs="Tahoma"/>
          <w:bCs/>
          <w:iCs/>
          <w:color w:val="auto"/>
          <w:lang w:val="es-ES" w:eastAsia="es-ES"/>
        </w:rPr>
        <w:t>a través del Sistema de Acceso a la Información Mexiquense (SAIMEX), dé la respuesta que conforme a derecho corresponda</w:t>
      </w:r>
      <w:r w:rsidRPr="00DB6839">
        <w:rPr>
          <w:rFonts w:eastAsia="Times New Roman" w:cs="Tahoma"/>
          <w:b/>
          <w:bCs/>
          <w:iCs/>
          <w:color w:val="auto"/>
          <w:lang w:val="es-ES" w:eastAsia="es-ES"/>
        </w:rPr>
        <w:t>.</w:t>
      </w:r>
    </w:p>
    <w:p w14:paraId="3A35C132" w14:textId="77777777" w:rsidR="00D9713D" w:rsidRPr="00DB6839" w:rsidRDefault="00D9713D" w:rsidP="00D9713D">
      <w:pPr>
        <w:spacing w:after="0" w:line="360" w:lineRule="auto"/>
        <w:rPr>
          <w:rFonts w:eastAsia="Times New Roman" w:cs="Tahoma"/>
          <w:b/>
          <w:bCs/>
          <w:iCs/>
          <w:color w:val="auto"/>
          <w:lang w:val="es-ES" w:eastAsia="es-ES"/>
        </w:rPr>
      </w:pPr>
    </w:p>
    <w:p w14:paraId="3B41699D" w14:textId="77777777" w:rsidR="00D9713D" w:rsidRPr="00DB6839" w:rsidRDefault="00D9713D" w:rsidP="00D9713D">
      <w:pPr>
        <w:spacing w:after="0" w:line="360" w:lineRule="auto"/>
        <w:rPr>
          <w:rFonts w:eastAsia="Times New Roman" w:cs="Tahoma"/>
          <w:b/>
          <w:bCs/>
          <w:iCs/>
          <w:color w:val="auto"/>
          <w:lang w:val="es-ES" w:eastAsia="es-ES"/>
        </w:rPr>
      </w:pPr>
      <w:r w:rsidRPr="00DB6839">
        <w:rPr>
          <w:rFonts w:eastAsia="Times New Roman" w:cs="Tahoma"/>
          <w:b/>
          <w:bCs/>
          <w:iCs/>
          <w:color w:val="auto"/>
          <w:lang w:val="es-ES" w:eastAsia="es-ES"/>
        </w:rPr>
        <w:t xml:space="preserve">TERCERO. </w:t>
      </w:r>
      <w:r w:rsidRPr="00DB6839">
        <w:rPr>
          <w:rFonts w:eastAsia="Times New Roman" w:cs="Tahoma"/>
          <w:bCs/>
          <w:iCs/>
          <w:color w:val="auto"/>
          <w:lang w:val="es-ES" w:eastAsia="es-ES"/>
        </w:rPr>
        <w:t>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w:t>
      </w:r>
      <w:r w:rsidRPr="00DB6839">
        <w:rPr>
          <w:rFonts w:eastAsia="Times New Roman" w:cs="Tahoma"/>
          <w:b/>
          <w:bCs/>
          <w:iCs/>
          <w:color w:val="auto"/>
          <w:lang w:val="es-ES" w:eastAsia="es-ES"/>
        </w:rPr>
        <w:t xml:space="preserve">.  </w:t>
      </w:r>
    </w:p>
    <w:p w14:paraId="577D8CB1" w14:textId="77777777" w:rsidR="00D9713D" w:rsidRPr="00DB6839" w:rsidRDefault="00D9713D" w:rsidP="00D9713D">
      <w:pPr>
        <w:spacing w:after="0" w:line="360" w:lineRule="auto"/>
        <w:rPr>
          <w:rFonts w:eastAsia="Times New Roman" w:cs="Tahoma"/>
          <w:b/>
          <w:bCs/>
          <w:iCs/>
          <w:color w:val="auto"/>
          <w:lang w:val="es-ES" w:eastAsia="es-ES"/>
        </w:rPr>
      </w:pPr>
    </w:p>
    <w:p w14:paraId="068B4848" w14:textId="77777777" w:rsidR="00D9713D" w:rsidRPr="00DB6839" w:rsidRDefault="00D9713D" w:rsidP="00D9713D">
      <w:pPr>
        <w:spacing w:after="0" w:line="360" w:lineRule="auto"/>
        <w:rPr>
          <w:rFonts w:eastAsia="Times New Roman" w:cs="Tahoma"/>
          <w:b/>
          <w:bCs/>
          <w:iCs/>
          <w:color w:val="auto"/>
          <w:lang w:val="es-ES" w:eastAsia="es-ES"/>
        </w:rPr>
      </w:pPr>
      <w:r w:rsidRPr="00DB6839">
        <w:rPr>
          <w:rFonts w:eastAsia="Times New Roman" w:cs="Tahoma"/>
          <w:b/>
          <w:bCs/>
          <w:iCs/>
          <w:color w:val="auto"/>
          <w:lang w:val="es-ES" w:eastAsia="es-ES"/>
        </w:rPr>
        <w:t xml:space="preserve">CUARTO. NOTIFÍQUESE POR SAIMEX </w:t>
      </w:r>
      <w:r w:rsidRPr="00DB6839">
        <w:rPr>
          <w:rFonts w:eastAsia="Times New Roman" w:cs="Tahoma"/>
          <w:bCs/>
          <w:iCs/>
          <w:color w:val="auto"/>
          <w:lang w:val="es-ES"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2860ADCD" w14:textId="77777777" w:rsidR="00D9713D" w:rsidRPr="00DB6839" w:rsidRDefault="00D9713D" w:rsidP="00D9713D">
      <w:pPr>
        <w:spacing w:after="0" w:line="360" w:lineRule="auto"/>
        <w:rPr>
          <w:rFonts w:eastAsia="Times New Roman" w:cs="Tahoma"/>
          <w:b/>
          <w:bCs/>
          <w:iCs/>
          <w:color w:val="auto"/>
          <w:lang w:val="es-ES" w:eastAsia="es-ES"/>
        </w:rPr>
      </w:pPr>
    </w:p>
    <w:p w14:paraId="1FF85B6E" w14:textId="48B2B00E" w:rsidR="00D9713D" w:rsidRPr="00DB6839" w:rsidRDefault="00D9713D" w:rsidP="00D9713D">
      <w:pPr>
        <w:spacing w:after="0" w:line="360" w:lineRule="auto"/>
        <w:rPr>
          <w:rFonts w:eastAsia="Times New Roman" w:cs="Tahoma"/>
          <w:bCs/>
          <w:iCs/>
          <w:color w:val="auto"/>
          <w:lang w:val="es-ES" w:eastAsia="es-ES"/>
        </w:rPr>
      </w:pPr>
      <w:r w:rsidRPr="00DB6839">
        <w:rPr>
          <w:rFonts w:eastAsia="Times New Roman" w:cs="Tahoma"/>
          <w:b/>
          <w:bCs/>
          <w:iCs/>
          <w:color w:val="auto"/>
          <w:lang w:val="es-ES" w:eastAsia="es-ES"/>
        </w:rPr>
        <w:t xml:space="preserve">QUINTO. NOTIFÍQUESE POR SAIMEX </w:t>
      </w:r>
      <w:r w:rsidRPr="00DB6839">
        <w:rPr>
          <w:rFonts w:eastAsia="Times New Roman" w:cs="Tahoma"/>
          <w:bCs/>
          <w:iCs/>
          <w:color w:val="auto"/>
          <w:lang w:val="es-ES" w:eastAsia="es-ES"/>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5D84928" w14:textId="77777777" w:rsidR="00D9713D" w:rsidRPr="00DB6839" w:rsidRDefault="00D9713D" w:rsidP="00D9713D">
      <w:pPr>
        <w:spacing w:after="0" w:line="360" w:lineRule="auto"/>
        <w:rPr>
          <w:rFonts w:eastAsia="Times New Roman" w:cs="Tahoma"/>
          <w:b/>
          <w:bCs/>
          <w:iCs/>
          <w:color w:val="auto"/>
          <w:lang w:val="es-ES" w:eastAsia="es-ES"/>
        </w:rPr>
      </w:pPr>
    </w:p>
    <w:p w14:paraId="257B2DDE" w14:textId="77777777" w:rsidR="00D9713D" w:rsidRPr="00DB6839" w:rsidRDefault="00D9713D" w:rsidP="00D9713D">
      <w:pPr>
        <w:spacing w:after="0" w:line="360" w:lineRule="auto"/>
        <w:rPr>
          <w:rFonts w:eastAsia="Times New Roman" w:cs="Tahoma"/>
          <w:b/>
          <w:bCs/>
          <w:iCs/>
          <w:color w:val="auto"/>
          <w:lang w:val="es-ES" w:eastAsia="es-ES"/>
        </w:rPr>
      </w:pPr>
      <w:r w:rsidRPr="00DB6839">
        <w:rPr>
          <w:rFonts w:eastAsia="Times New Roman" w:cs="Tahoma"/>
          <w:b/>
          <w:bCs/>
          <w:iCs/>
          <w:color w:val="auto"/>
          <w:lang w:val="es-ES" w:eastAsia="es-ES"/>
        </w:rPr>
        <w:t xml:space="preserve">SEXTO. </w:t>
      </w:r>
      <w:r w:rsidRPr="00DB6839">
        <w:rPr>
          <w:rFonts w:eastAsia="Times New Roman" w:cs="Tahoma"/>
          <w:bCs/>
          <w:iCs/>
          <w:color w:val="auto"/>
          <w:lang w:val="es-ES" w:eastAsia="es-ES"/>
        </w:rPr>
        <w:t xml:space="preserve">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w:t>
      </w:r>
      <w:r w:rsidRPr="00DB6839">
        <w:rPr>
          <w:rFonts w:eastAsia="Times New Roman" w:cs="Tahoma"/>
          <w:b/>
          <w:bCs/>
          <w:iCs/>
          <w:color w:val="auto"/>
          <w:lang w:val="es-ES" w:eastAsia="es-ES"/>
        </w:rPr>
        <w:t>SÉPTIMO</w:t>
      </w:r>
      <w:r w:rsidRPr="00DB6839">
        <w:rPr>
          <w:rFonts w:eastAsia="Times New Roman" w:cs="Tahoma"/>
          <w:bCs/>
          <w:iCs/>
          <w:color w:val="auto"/>
          <w:lang w:val="es-ES" w:eastAsia="es-ES"/>
        </w:rPr>
        <w:t xml:space="preserve"> de la presente Resolución.</w:t>
      </w:r>
    </w:p>
    <w:p w14:paraId="019B692E" w14:textId="77777777" w:rsidR="00D9713D" w:rsidRPr="00DB6839" w:rsidRDefault="00D9713D" w:rsidP="00D9713D">
      <w:pPr>
        <w:spacing w:after="0" w:line="360" w:lineRule="auto"/>
        <w:rPr>
          <w:rFonts w:eastAsia="Times New Roman" w:cs="Tahoma"/>
          <w:b/>
          <w:bCs/>
          <w:iCs/>
          <w:color w:val="auto"/>
          <w:lang w:val="es-ES" w:eastAsia="es-ES"/>
        </w:rPr>
      </w:pPr>
    </w:p>
    <w:p w14:paraId="421EC0C9" w14:textId="368B5077" w:rsidR="00D9713D" w:rsidRPr="00DB6839" w:rsidRDefault="00D9713D" w:rsidP="00D9713D">
      <w:pPr>
        <w:spacing w:after="0" w:line="360" w:lineRule="auto"/>
        <w:rPr>
          <w:rFonts w:eastAsia="Times New Roman" w:cs="Tahoma"/>
          <w:bCs/>
          <w:iCs/>
          <w:color w:val="auto"/>
          <w:lang w:val="es-ES" w:eastAsia="es-ES"/>
        </w:rPr>
      </w:pPr>
      <w:r w:rsidRPr="00DB6839">
        <w:rPr>
          <w:rFonts w:eastAsia="Times New Roman" w:cs="Tahoma"/>
          <w:bCs/>
          <w:iCs/>
          <w:color w:val="auto"/>
          <w:lang w:val="es-ES" w:eastAsia="es-ES"/>
        </w:rPr>
        <w:t xml:space="preserve">ASÍ LO RESUELVE, POR </w:t>
      </w:r>
      <w:r w:rsidRPr="00DB6839">
        <w:rPr>
          <w:rFonts w:eastAsia="Times New Roman" w:cs="Tahoma"/>
          <w:b/>
          <w:bCs/>
          <w:iCs/>
          <w:color w:val="auto"/>
          <w:lang w:val="es-ES" w:eastAsia="es-ES"/>
        </w:rPr>
        <w:t>UNANIMIDAD</w:t>
      </w:r>
      <w:r w:rsidRPr="00DB6839">
        <w:rPr>
          <w:rFonts w:eastAsia="Times New Roman" w:cs="Tahoma"/>
          <w:bCs/>
          <w:iCs/>
          <w:color w:val="auto"/>
          <w:lang w:val="es-ES" w:eastAsia="es-E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B6839">
        <w:rPr>
          <w:rFonts w:eastAsia="Times New Roman" w:cs="Tahoma"/>
          <w:bCs/>
          <w:iCs/>
          <w:color w:val="auto"/>
          <w:lang w:val="es-ES" w:eastAsia="es-ES"/>
        </w:rPr>
        <w:t xml:space="preserve">CUADRAGÉSIMA </w:t>
      </w:r>
      <w:r w:rsidR="00407A01" w:rsidRPr="00DB6839">
        <w:rPr>
          <w:rFonts w:eastAsia="Times New Roman" w:cs="Tahoma"/>
          <w:bCs/>
          <w:iCs/>
          <w:color w:val="auto"/>
          <w:lang w:val="es-ES" w:eastAsia="es-ES"/>
        </w:rPr>
        <w:t xml:space="preserve">SESIÓN ORDINARIA, CELEBRADA EL </w:t>
      </w:r>
      <w:r w:rsidR="00DB6839">
        <w:rPr>
          <w:rFonts w:eastAsia="Times New Roman" w:cs="Tahoma"/>
          <w:bCs/>
          <w:iCs/>
          <w:color w:val="auto"/>
          <w:lang w:val="es-ES" w:eastAsia="es-ES"/>
        </w:rPr>
        <w:t xml:space="preserve">DOCE DE NOVIEMBRE </w:t>
      </w:r>
      <w:r w:rsidRPr="00DB6839">
        <w:rPr>
          <w:rFonts w:eastAsia="Times New Roman" w:cs="Tahoma"/>
          <w:bCs/>
          <w:iCs/>
          <w:color w:val="auto"/>
          <w:lang w:val="es-ES" w:eastAsia="es-ES"/>
        </w:rPr>
        <w:t>DE DOS MIL VEINTIC</w:t>
      </w:r>
      <w:r w:rsidR="0019363F" w:rsidRPr="00DB6839">
        <w:rPr>
          <w:rFonts w:eastAsia="Times New Roman" w:cs="Tahoma"/>
          <w:bCs/>
          <w:iCs/>
          <w:color w:val="auto"/>
          <w:lang w:val="es-ES" w:eastAsia="es-ES"/>
        </w:rPr>
        <w:t>INCO</w:t>
      </w:r>
      <w:r w:rsidRPr="00DB6839">
        <w:rPr>
          <w:rFonts w:eastAsia="Times New Roman" w:cs="Tahoma"/>
          <w:bCs/>
          <w:iCs/>
          <w:color w:val="auto"/>
          <w:lang w:val="es-ES" w:eastAsia="es-ES"/>
        </w:rPr>
        <w:t>, ANTE EL SECRETARIO TÉCNICO DEL PLENO, ALEXIS TAPIA RAMÍREZ.</w:t>
      </w:r>
    </w:p>
    <w:p w14:paraId="7C12D9C2" w14:textId="77777777" w:rsidR="00D9713D" w:rsidRPr="00DB6839" w:rsidRDefault="00D9713D" w:rsidP="00225915">
      <w:pPr>
        <w:spacing w:after="0" w:line="360" w:lineRule="auto"/>
        <w:rPr>
          <w:rFonts w:eastAsia="Times New Roman" w:cs="Tahoma"/>
          <w:color w:val="auto"/>
          <w:lang w:eastAsia="es-ES"/>
        </w:rPr>
      </w:pPr>
    </w:p>
    <w:p w14:paraId="49210536" w14:textId="77777777" w:rsidR="00712AB9" w:rsidRPr="00C3207B" w:rsidRDefault="00712AB9" w:rsidP="00225915">
      <w:pPr>
        <w:spacing w:after="0" w:line="360" w:lineRule="auto"/>
        <w:rPr>
          <w:rFonts w:eastAsia="Times New Roman" w:cs="Tahoma"/>
          <w:color w:val="FF0000"/>
          <w:lang w:eastAsia="es-ES"/>
        </w:rPr>
      </w:pPr>
    </w:p>
    <w:p w14:paraId="562C9EA5" w14:textId="77777777" w:rsidR="00712AB9" w:rsidRPr="00C3207B" w:rsidRDefault="00712AB9" w:rsidP="00225915">
      <w:pPr>
        <w:spacing w:after="0" w:line="360" w:lineRule="auto"/>
        <w:jc w:val="center"/>
        <w:rPr>
          <w:rFonts w:eastAsia="Times New Roman" w:cs="Tahoma"/>
          <w:b/>
          <w:color w:val="FF0000"/>
          <w:lang w:val="es-ES" w:eastAsia="es-ES"/>
        </w:rPr>
      </w:pPr>
    </w:p>
    <w:p w14:paraId="6BC1793A" w14:textId="77777777" w:rsidR="007C0C00" w:rsidRPr="00C3207B" w:rsidRDefault="007C0C00" w:rsidP="00225915">
      <w:pPr>
        <w:spacing w:after="0" w:line="360" w:lineRule="auto"/>
        <w:jc w:val="center"/>
        <w:rPr>
          <w:rFonts w:eastAsia="Times New Roman" w:cs="Tahoma"/>
          <w:b/>
          <w:color w:val="FF0000"/>
          <w:lang w:val="es-ES" w:eastAsia="es-ES"/>
        </w:rPr>
      </w:pPr>
    </w:p>
    <w:p w14:paraId="61DD8436" w14:textId="77777777" w:rsidR="007C0C00" w:rsidRPr="00C3207B" w:rsidRDefault="007C0C00" w:rsidP="00225915">
      <w:pPr>
        <w:spacing w:after="0" w:line="360" w:lineRule="auto"/>
        <w:jc w:val="center"/>
        <w:rPr>
          <w:rFonts w:eastAsia="Times New Roman" w:cs="Tahoma"/>
          <w:b/>
          <w:color w:val="FF0000"/>
          <w:lang w:val="es-ES" w:eastAsia="es-ES"/>
        </w:rPr>
      </w:pPr>
    </w:p>
    <w:p w14:paraId="700ACFAF" w14:textId="77777777" w:rsidR="007C0C00" w:rsidRPr="00C3207B" w:rsidRDefault="007C0C00" w:rsidP="00225915">
      <w:pPr>
        <w:spacing w:after="0" w:line="360" w:lineRule="auto"/>
        <w:jc w:val="center"/>
        <w:rPr>
          <w:rFonts w:eastAsia="Times New Roman" w:cs="Tahoma"/>
          <w:b/>
          <w:color w:val="FF0000"/>
          <w:lang w:val="es-ES" w:eastAsia="es-ES"/>
        </w:rPr>
      </w:pPr>
    </w:p>
    <w:p w14:paraId="2CBD3C3C" w14:textId="77777777" w:rsidR="007C0C00" w:rsidRPr="00C3207B" w:rsidRDefault="007C0C00" w:rsidP="00225915">
      <w:pPr>
        <w:spacing w:after="0" w:line="360" w:lineRule="auto"/>
        <w:jc w:val="center"/>
        <w:rPr>
          <w:rFonts w:eastAsia="Times New Roman" w:cs="Tahoma"/>
          <w:b/>
          <w:color w:val="FF0000"/>
          <w:lang w:val="es-ES" w:eastAsia="es-ES"/>
        </w:rPr>
      </w:pPr>
    </w:p>
    <w:p w14:paraId="477FF12D" w14:textId="77777777" w:rsidR="007C0C00" w:rsidRPr="00C3207B" w:rsidRDefault="007C0C00" w:rsidP="00225915">
      <w:pPr>
        <w:spacing w:after="0" w:line="360" w:lineRule="auto"/>
        <w:jc w:val="center"/>
        <w:rPr>
          <w:rFonts w:eastAsia="Times New Roman" w:cs="Tahoma"/>
          <w:b/>
          <w:color w:val="FF0000"/>
          <w:lang w:val="es-ES" w:eastAsia="es-ES"/>
        </w:rPr>
      </w:pPr>
    </w:p>
    <w:p w14:paraId="3F298ADF" w14:textId="77777777" w:rsidR="007C0C00" w:rsidRPr="00C3207B" w:rsidRDefault="007C0C00" w:rsidP="00225915">
      <w:pPr>
        <w:spacing w:after="0" w:line="360" w:lineRule="auto"/>
        <w:jc w:val="center"/>
        <w:rPr>
          <w:rFonts w:eastAsia="Times New Roman" w:cs="Tahoma"/>
          <w:b/>
          <w:color w:val="FF0000"/>
          <w:lang w:val="es-ES" w:eastAsia="es-ES"/>
        </w:rPr>
      </w:pPr>
    </w:p>
    <w:p w14:paraId="10F851DB" w14:textId="77777777" w:rsidR="007C0C00" w:rsidRPr="00C3207B" w:rsidRDefault="007C0C00" w:rsidP="00225915">
      <w:pPr>
        <w:spacing w:after="0" w:line="360" w:lineRule="auto"/>
        <w:jc w:val="center"/>
        <w:rPr>
          <w:rFonts w:eastAsia="Times New Roman" w:cs="Tahoma"/>
          <w:b/>
          <w:color w:val="FF0000"/>
          <w:lang w:val="es-ES" w:eastAsia="es-ES"/>
        </w:rPr>
      </w:pPr>
    </w:p>
    <w:p w14:paraId="28660817" w14:textId="77777777" w:rsidR="009109DA" w:rsidRPr="00C3207B" w:rsidRDefault="009109DA" w:rsidP="00225915">
      <w:pPr>
        <w:spacing w:after="0" w:line="360" w:lineRule="auto"/>
        <w:ind w:right="-28"/>
        <w:rPr>
          <w:rFonts w:eastAsia="Calibri" w:cs="Tahoma"/>
          <w:b/>
          <w:bCs/>
          <w:color w:val="FF0000"/>
        </w:rPr>
      </w:pPr>
    </w:p>
    <w:p w14:paraId="4BC3DC36" w14:textId="77777777" w:rsidR="00D501AD" w:rsidRDefault="00D501AD" w:rsidP="00225915">
      <w:pPr>
        <w:spacing w:after="0" w:line="360" w:lineRule="auto"/>
        <w:ind w:right="-28"/>
        <w:rPr>
          <w:rFonts w:eastAsia="Calibri" w:cs="Tahoma"/>
          <w:b/>
          <w:bCs/>
          <w:color w:val="FF0000"/>
        </w:rPr>
      </w:pPr>
    </w:p>
    <w:p w14:paraId="4E2EC24A" w14:textId="77777777" w:rsidR="00A4413F" w:rsidRDefault="00A4413F" w:rsidP="00225915">
      <w:pPr>
        <w:spacing w:after="0" w:line="360" w:lineRule="auto"/>
        <w:ind w:right="-28"/>
        <w:rPr>
          <w:rFonts w:eastAsia="Calibri" w:cs="Tahoma"/>
          <w:b/>
          <w:bCs/>
          <w:color w:val="FF0000"/>
        </w:rPr>
      </w:pPr>
    </w:p>
    <w:p w14:paraId="72E069E5" w14:textId="77777777" w:rsidR="00A4413F" w:rsidRDefault="00A4413F" w:rsidP="00225915">
      <w:pPr>
        <w:spacing w:after="0" w:line="360" w:lineRule="auto"/>
        <w:ind w:right="-28"/>
        <w:rPr>
          <w:rFonts w:eastAsia="Calibri" w:cs="Tahoma"/>
          <w:b/>
          <w:bCs/>
          <w:color w:val="FF0000"/>
        </w:rPr>
      </w:pPr>
    </w:p>
    <w:p w14:paraId="264B6E4E" w14:textId="77777777" w:rsidR="00A4413F" w:rsidRDefault="00A4413F" w:rsidP="00225915">
      <w:pPr>
        <w:spacing w:after="0" w:line="360" w:lineRule="auto"/>
        <w:ind w:right="-28"/>
        <w:rPr>
          <w:rFonts w:eastAsia="Calibri" w:cs="Tahoma"/>
          <w:b/>
          <w:bCs/>
          <w:color w:val="FF0000"/>
        </w:rPr>
      </w:pPr>
    </w:p>
    <w:p w14:paraId="36D36068" w14:textId="77777777" w:rsidR="00A4413F" w:rsidRDefault="00A4413F" w:rsidP="00225915">
      <w:pPr>
        <w:spacing w:after="0" w:line="360" w:lineRule="auto"/>
        <w:ind w:right="-28"/>
        <w:rPr>
          <w:rFonts w:eastAsia="Calibri" w:cs="Tahoma"/>
          <w:b/>
          <w:bCs/>
          <w:color w:val="FF0000"/>
        </w:rPr>
      </w:pPr>
    </w:p>
    <w:p w14:paraId="662646DA" w14:textId="77777777" w:rsidR="00A4413F" w:rsidRDefault="00A4413F" w:rsidP="00225915">
      <w:pPr>
        <w:spacing w:after="0" w:line="360" w:lineRule="auto"/>
        <w:ind w:right="-28"/>
        <w:rPr>
          <w:rFonts w:eastAsia="Calibri" w:cs="Tahoma"/>
          <w:b/>
          <w:bCs/>
          <w:color w:val="FF0000"/>
        </w:rPr>
      </w:pPr>
    </w:p>
    <w:p w14:paraId="65790790" w14:textId="77777777" w:rsidR="00A4413F" w:rsidRDefault="00A4413F" w:rsidP="00225915">
      <w:pPr>
        <w:spacing w:after="0" w:line="360" w:lineRule="auto"/>
        <w:ind w:right="-28"/>
        <w:rPr>
          <w:rFonts w:eastAsia="Calibri" w:cs="Tahoma"/>
          <w:b/>
          <w:bCs/>
          <w:color w:val="FF0000"/>
        </w:rPr>
      </w:pPr>
    </w:p>
    <w:p w14:paraId="6F240E81" w14:textId="77777777" w:rsidR="00A4413F" w:rsidRDefault="00A4413F" w:rsidP="00225915">
      <w:pPr>
        <w:spacing w:after="0" w:line="360" w:lineRule="auto"/>
        <w:ind w:right="-28"/>
        <w:rPr>
          <w:rFonts w:eastAsia="Calibri" w:cs="Tahoma"/>
          <w:b/>
          <w:bCs/>
          <w:color w:val="FF0000"/>
        </w:rPr>
      </w:pPr>
    </w:p>
    <w:p w14:paraId="554D59FB" w14:textId="77777777" w:rsidR="00A4413F" w:rsidRDefault="00A4413F" w:rsidP="00225915">
      <w:pPr>
        <w:spacing w:after="0" w:line="360" w:lineRule="auto"/>
        <w:ind w:right="-28"/>
        <w:rPr>
          <w:rFonts w:eastAsia="Calibri" w:cs="Tahoma"/>
          <w:b/>
          <w:bCs/>
          <w:color w:val="FF0000"/>
        </w:rPr>
      </w:pPr>
    </w:p>
    <w:p w14:paraId="1381DA69" w14:textId="77777777" w:rsidR="00A4413F" w:rsidRDefault="00A4413F" w:rsidP="00225915">
      <w:pPr>
        <w:spacing w:after="0" w:line="360" w:lineRule="auto"/>
        <w:ind w:right="-28"/>
        <w:rPr>
          <w:rFonts w:eastAsia="Calibri" w:cs="Tahoma"/>
          <w:b/>
          <w:bCs/>
          <w:color w:val="FF0000"/>
        </w:rPr>
      </w:pPr>
    </w:p>
    <w:p w14:paraId="77A4BB05" w14:textId="77777777" w:rsidR="00A4413F" w:rsidRDefault="00A4413F" w:rsidP="00225915">
      <w:pPr>
        <w:spacing w:after="0" w:line="360" w:lineRule="auto"/>
        <w:ind w:right="-28"/>
        <w:rPr>
          <w:rFonts w:eastAsia="Calibri" w:cs="Tahoma"/>
          <w:b/>
          <w:bCs/>
          <w:color w:val="FF0000"/>
        </w:rPr>
      </w:pPr>
    </w:p>
    <w:p w14:paraId="05A79699" w14:textId="77777777" w:rsidR="00A4413F" w:rsidRPr="00C3207B" w:rsidRDefault="00A4413F" w:rsidP="00225915">
      <w:pPr>
        <w:spacing w:after="0" w:line="360" w:lineRule="auto"/>
        <w:ind w:right="-28"/>
        <w:rPr>
          <w:rFonts w:eastAsia="Calibri" w:cs="Tahoma"/>
          <w:b/>
          <w:bCs/>
          <w:color w:val="FF0000"/>
        </w:rPr>
      </w:pPr>
    </w:p>
    <w:sectPr w:rsidR="00A4413F" w:rsidRPr="00C3207B" w:rsidSect="007F77E2">
      <w:type w:val="continuous"/>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BB7D77" w14:textId="77777777" w:rsidR="00B950F8" w:rsidRDefault="00B950F8" w:rsidP="009109DA">
      <w:pPr>
        <w:spacing w:after="0" w:line="240" w:lineRule="auto"/>
      </w:pPr>
      <w:r>
        <w:separator/>
      </w:r>
    </w:p>
  </w:endnote>
  <w:endnote w:type="continuationSeparator" w:id="0">
    <w:p w14:paraId="4E2D3E1D" w14:textId="77777777" w:rsidR="00B950F8" w:rsidRDefault="00B950F8" w:rsidP="009109DA">
      <w:pPr>
        <w:spacing w:after="0" w:line="240" w:lineRule="auto"/>
      </w:pPr>
      <w:r>
        <w:continuationSeparator/>
      </w:r>
    </w:p>
  </w:endnote>
  <w:endnote w:type="continuationNotice" w:id="1">
    <w:p w14:paraId="078812C2" w14:textId="77777777" w:rsidR="00B950F8" w:rsidRDefault="00B950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1D3D5161" w14:textId="77777777" w:rsidR="00BB7852" w:rsidRDefault="00BB785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5467B2EE" w14:textId="77777777" w:rsidR="00BB7852" w:rsidRDefault="00BB785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51E2C91C" w14:textId="77777777" w:rsidR="00BB7852" w:rsidRDefault="00BB785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F778F">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F778F">
              <w:rPr>
                <w:b/>
                <w:bCs/>
                <w:noProof/>
              </w:rPr>
              <w:t>25</w:t>
            </w:r>
            <w:r>
              <w:rPr>
                <w:b/>
                <w:bCs/>
                <w:sz w:val="24"/>
                <w:szCs w:val="24"/>
              </w:rPr>
              <w:fldChar w:fldCharType="end"/>
            </w:r>
          </w:p>
        </w:sdtContent>
      </w:sdt>
    </w:sdtContent>
  </w:sdt>
  <w:p w14:paraId="044A0D1E" w14:textId="77777777" w:rsidR="00BB7852" w:rsidRDefault="00BB785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1CD3AE81" w14:textId="77777777" w:rsidR="00BB7852" w:rsidRDefault="00BB785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950F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950F8">
              <w:rPr>
                <w:b/>
                <w:bCs/>
                <w:noProof/>
              </w:rPr>
              <w:t>1</w:t>
            </w:r>
            <w:r>
              <w:rPr>
                <w:b/>
                <w:bCs/>
                <w:sz w:val="24"/>
                <w:szCs w:val="24"/>
              </w:rPr>
              <w:fldChar w:fldCharType="end"/>
            </w:r>
          </w:p>
        </w:sdtContent>
      </w:sdt>
    </w:sdtContent>
  </w:sdt>
  <w:p w14:paraId="7FDA568A" w14:textId="77777777" w:rsidR="00BB7852" w:rsidRDefault="00BB785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5AE2E" w14:textId="77777777" w:rsidR="00B950F8" w:rsidRDefault="00B950F8" w:rsidP="009109DA">
      <w:pPr>
        <w:spacing w:after="0" w:line="240" w:lineRule="auto"/>
      </w:pPr>
      <w:r>
        <w:separator/>
      </w:r>
    </w:p>
  </w:footnote>
  <w:footnote w:type="continuationSeparator" w:id="0">
    <w:p w14:paraId="5CB642CF" w14:textId="77777777" w:rsidR="00B950F8" w:rsidRDefault="00B950F8" w:rsidP="009109DA">
      <w:pPr>
        <w:spacing w:after="0" w:line="240" w:lineRule="auto"/>
      </w:pPr>
      <w:r>
        <w:continuationSeparator/>
      </w:r>
    </w:p>
  </w:footnote>
  <w:footnote w:type="continuationNotice" w:id="1">
    <w:p w14:paraId="152E4355" w14:textId="77777777" w:rsidR="00B950F8" w:rsidRDefault="00B950F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BB7852" w:rsidRPr="00E152D8" w14:paraId="5CF799E1" w14:textId="77777777" w:rsidTr="00021304">
      <w:trPr>
        <w:trHeight w:val="132"/>
      </w:trPr>
      <w:tc>
        <w:tcPr>
          <w:tcW w:w="2691" w:type="dxa"/>
        </w:tcPr>
        <w:p w14:paraId="58433B88" w14:textId="77777777" w:rsidR="00BB7852" w:rsidRPr="00E152D8" w:rsidRDefault="00BB7852" w:rsidP="00021304">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264FC2F9" w14:textId="77777777" w:rsidR="00BB7852" w:rsidRPr="00EE1572" w:rsidRDefault="00BB7852" w:rsidP="00021304">
          <w:pPr>
            <w:tabs>
              <w:tab w:val="right" w:pos="8838"/>
            </w:tabs>
            <w:ind w:left="-28" w:right="-32"/>
            <w:rPr>
              <w:rFonts w:eastAsia="Calibri" w:cs="Tahoma"/>
            </w:rPr>
          </w:pPr>
          <w:r w:rsidRPr="00EE1572">
            <w:rPr>
              <w:rFonts w:eastAsia="Calibri" w:cs="Tahoma"/>
            </w:rPr>
            <w:t>03846/INFOEM/IP/RR/2020</w:t>
          </w:r>
        </w:p>
      </w:tc>
    </w:tr>
    <w:tr w:rsidR="00BB7852" w:rsidRPr="00E152D8" w14:paraId="4F9344E6" w14:textId="77777777" w:rsidTr="00021304">
      <w:trPr>
        <w:trHeight w:val="261"/>
      </w:trPr>
      <w:tc>
        <w:tcPr>
          <w:tcW w:w="2691" w:type="dxa"/>
        </w:tcPr>
        <w:p w14:paraId="21D73B42" w14:textId="77777777" w:rsidR="00BB7852" w:rsidRPr="00E152D8" w:rsidRDefault="00BB7852" w:rsidP="00021304">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590929BE" w14:textId="77777777" w:rsidR="00BB7852" w:rsidRPr="00EE1572" w:rsidRDefault="00BB7852" w:rsidP="00021304">
          <w:pPr>
            <w:tabs>
              <w:tab w:val="right" w:pos="8838"/>
            </w:tabs>
            <w:ind w:right="-32"/>
            <w:rPr>
              <w:rFonts w:eastAsia="Calibri" w:cs="Tahoma"/>
              <w:lang w:val="es-MX"/>
            </w:rPr>
          </w:pPr>
          <w:r w:rsidRPr="00EE1572">
            <w:rPr>
              <w:rFonts w:eastAsia="Calibri" w:cs="Tahoma"/>
              <w:lang w:val="es-MX"/>
            </w:rPr>
            <w:t>Ayuntamiento de Temascalcingo</w:t>
          </w:r>
        </w:p>
      </w:tc>
    </w:tr>
    <w:tr w:rsidR="00BB7852" w:rsidRPr="00E152D8" w14:paraId="0CB77E34" w14:textId="77777777" w:rsidTr="00021304">
      <w:trPr>
        <w:trHeight w:val="261"/>
      </w:trPr>
      <w:tc>
        <w:tcPr>
          <w:tcW w:w="2691" w:type="dxa"/>
        </w:tcPr>
        <w:p w14:paraId="5FC71474" w14:textId="77777777" w:rsidR="00BB7852" w:rsidRPr="00E152D8" w:rsidRDefault="00BB7852" w:rsidP="00021304">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73688B5E" w14:textId="77777777" w:rsidR="00BB7852" w:rsidRPr="00E152D8" w:rsidRDefault="00BB7852" w:rsidP="00021304">
          <w:pPr>
            <w:tabs>
              <w:tab w:val="right" w:pos="8838"/>
            </w:tabs>
            <w:ind w:right="-32"/>
            <w:rPr>
              <w:rFonts w:eastAsia="Calibri" w:cs="Tahoma"/>
              <w:b/>
              <w:lang w:val="es-MX"/>
            </w:rPr>
          </w:pPr>
          <w:r w:rsidRPr="00E152D8">
            <w:rPr>
              <w:rFonts w:eastAsia="Calibri" w:cs="Tahoma"/>
              <w:lang w:val="es-MX"/>
            </w:rPr>
            <w:t>Luis Gustavo Parra Noriega</w:t>
          </w:r>
        </w:p>
      </w:tc>
    </w:tr>
  </w:tbl>
  <w:p w14:paraId="7671377A" w14:textId="77777777" w:rsidR="00BB7852" w:rsidRDefault="00B950F8">
    <w:pPr>
      <w:pStyle w:val="Encabezado"/>
    </w:pPr>
    <w:r>
      <w:rPr>
        <w:noProof/>
      </w:rPr>
      <w:pict w14:anchorId="75257C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49" type="#_x0000_t75" alt="" style="position:absolute;left:0;text-align:left;margin-left:0;margin-top:0;width:663.5pt;height:12in;z-index:-251658240;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804"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252"/>
    </w:tblGrid>
    <w:tr w:rsidR="00BB7852" w:rsidRPr="00E152D8" w14:paraId="588DF1A0" w14:textId="77777777" w:rsidTr="003D6320">
      <w:trPr>
        <w:trHeight w:val="138"/>
      </w:trPr>
      <w:tc>
        <w:tcPr>
          <w:tcW w:w="2552" w:type="dxa"/>
        </w:tcPr>
        <w:p w14:paraId="350F7BA3" w14:textId="77777777" w:rsidR="00BB7852" w:rsidRPr="00E152D8" w:rsidRDefault="00BB7852" w:rsidP="00021304">
          <w:pPr>
            <w:tabs>
              <w:tab w:val="right" w:pos="8838"/>
            </w:tabs>
            <w:ind w:right="-105"/>
            <w:jc w:val="left"/>
            <w:rPr>
              <w:rFonts w:eastAsia="Calibri" w:cs="Tahoma"/>
              <w:b/>
              <w:lang w:val="es-MX"/>
            </w:rPr>
          </w:pPr>
          <w:r w:rsidRPr="00E152D8">
            <w:rPr>
              <w:rFonts w:eastAsia="Calibri" w:cs="Tahoma"/>
              <w:b/>
              <w:lang w:val="es-MX"/>
            </w:rPr>
            <w:t>Recurso de Revisión:</w:t>
          </w:r>
        </w:p>
      </w:tc>
      <w:tc>
        <w:tcPr>
          <w:tcW w:w="4252" w:type="dxa"/>
        </w:tcPr>
        <w:p w14:paraId="2E06DE61" w14:textId="31DABCED" w:rsidR="00BB7852" w:rsidRPr="00051642" w:rsidRDefault="00BB7852" w:rsidP="009367AE">
          <w:pPr>
            <w:tabs>
              <w:tab w:val="right" w:pos="8838"/>
            </w:tabs>
            <w:ind w:left="-107" w:right="-32"/>
            <w:rPr>
              <w:rFonts w:eastAsia="Calibri" w:cs="Tahoma"/>
            </w:rPr>
          </w:pPr>
          <w:r>
            <w:rPr>
              <w:rFonts w:eastAsia="Calibri" w:cs="Tahoma"/>
              <w:lang w:val="es-MX"/>
            </w:rPr>
            <w:t>11751</w:t>
          </w:r>
          <w:r w:rsidRPr="00E52828">
            <w:rPr>
              <w:rFonts w:eastAsia="Calibri" w:cs="Tahoma"/>
              <w:lang w:val="es-MX"/>
            </w:rPr>
            <w:t xml:space="preserve">/INFOEM/IP/RR/2025 </w:t>
          </w:r>
          <w:r>
            <w:rPr>
              <w:rFonts w:eastAsia="Calibri" w:cs="Tahoma"/>
              <w:lang w:val="es-MX"/>
            </w:rPr>
            <w:t>y acumulados</w:t>
          </w:r>
        </w:p>
      </w:tc>
    </w:tr>
    <w:tr w:rsidR="00BB7852" w:rsidRPr="00E152D8" w14:paraId="6B38F986" w14:textId="77777777" w:rsidTr="003D6320">
      <w:trPr>
        <w:trHeight w:val="273"/>
      </w:trPr>
      <w:tc>
        <w:tcPr>
          <w:tcW w:w="2552" w:type="dxa"/>
        </w:tcPr>
        <w:p w14:paraId="587B5E6A" w14:textId="77777777" w:rsidR="00BB7852" w:rsidRPr="00E152D8" w:rsidRDefault="00BB7852" w:rsidP="00021304">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252" w:type="dxa"/>
        </w:tcPr>
        <w:p w14:paraId="0FE1F9CD" w14:textId="3DCB257E" w:rsidR="00BB7852" w:rsidRPr="00051642" w:rsidRDefault="00BB7852" w:rsidP="003C1891">
          <w:pPr>
            <w:tabs>
              <w:tab w:val="right" w:pos="8838"/>
            </w:tabs>
            <w:ind w:left="-107" w:right="-32"/>
            <w:rPr>
              <w:rFonts w:eastAsia="Calibri" w:cs="Tahoma"/>
              <w:lang w:val="es-MX"/>
            </w:rPr>
          </w:pPr>
          <w:r w:rsidRPr="00E52828">
            <w:rPr>
              <w:rFonts w:eastAsia="Calibri" w:cs="Tahoma"/>
              <w:lang w:val="es-MX"/>
            </w:rPr>
            <w:t xml:space="preserve">Ayuntamiento de </w:t>
          </w:r>
          <w:r>
            <w:rPr>
              <w:rFonts w:eastAsia="Calibri" w:cs="Tahoma"/>
              <w:lang w:val="es-MX"/>
            </w:rPr>
            <w:t>Almoloya de Juárez</w:t>
          </w:r>
        </w:p>
      </w:tc>
    </w:tr>
    <w:tr w:rsidR="00BB7852" w:rsidRPr="00E152D8" w14:paraId="641CFA98" w14:textId="77777777" w:rsidTr="003D6320">
      <w:trPr>
        <w:trHeight w:val="273"/>
      </w:trPr>
      <w:tc>
        <w:tcPr>
          <w:tcW w:w="2552" w:type="dxa"/>
        </w:tcPr>
        <w:p w14:paraId="03C97189" w14:textId="77777777" w:rsidR="00BB7852" w:rsidRPr="00E152D8" w:rsidRDefault="00BB7852" w:rsidP="00021304">
          <w:pPr>
            <w:tabs>
              <w:tab w:val="right" w:pos="8838"/>
            </w:tabs>
            <w:ind w:right="-105"/>
            <w:rPr>
              <w:rFonts w:eastAsia="Calibri" w:cs="Tahoma"/>
              <w:b/>
              <w:lang w:val="es-MX"/>
            </w:rPr>
          </w:pPr>
          <w:r w:rsidRPr="00E152D8">
            <w:rPr>
              <w:rFonts w:eastAsia="Calibri" w:cs="Tahoma"/>
              <w:b/>
              <w:lang w:val="es-MX"/>
            </w:rPr>
            <w:t>Comisionado Ponente:</w:t>
          </w:r>
        </w:p>
      </w:tc>
      <w:tc>
        <w:tcPr>
          <w:tcW w:w="4252" w:type="dxa"/>
        </w:tcPr>
        <w:p w14:paraId="62153EF4" w14:textId="77777777" w:rsidR="00BB7852" w:rsidRPr="00E152D8" w:rsidRDefault="00BB7852" w:rsidP="009367AE">
          <w:pPr>
            <w:tabs>
              <w:tab w:val="right" w:pos="8838"/>
            </w:tabs>
            <w:ind w:left="-107" w:right="-32"/>
            <w:rPr>
              <w:rFonts w:eastAsia="Calibri" w:cs="Tahoma"/>
              <w:b/>
              <w:lang w:val="es-MX"/>
            </w:rPr>
          </w:pPr>
          <w:r w:rsidRPr="00E152D8">
            <w:rPr>
              <w:rFonts w:eastAsia="Calibri" w:cs="Tahoma"/>
              <w:lang w:val="es-MX"/>
            </w:rPr>
            <w:t>Luis Gustavo Parra Noriega</w:t>
          </w:r>
        </w:p>
      </w:tc>
    </w:tr>
  </w:tbl>
  <w:p w14:paraId="46C67EE5" w14:textId="406D328D" w:rsidR="00BB7852" w:rsidRDefault="00B950F8" w:rsidP="00021304">
    <w:pPr>
      <w:pStyle w:val="Encabezado"/>
    </w:pPr>
    <w:r>
      <w:rPr>
        <w:noProof/>
      </w:rPr>
      <w:pict w14:anchorId="3A2F3A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alt="" style="position:absolute;left:0;text-align:left;margin-left:-78.6pt;margin-top:-122.15pt;width:663.5pt;height:12in;z-index:-251658239;mso-wrap-edited:f;mso-width-percent:0;mso-height-percent:0;mso-position-horizontal-relative:margin;mso-position-vertical-relative:margin;mso-width-percent:0;mso-height-percent:0" o:allowincell="f">
          <v:imagedata r:id="rId1" o:title="MARCA DE AGUA - HOJA RESOLUCIÓN"/>
          <w10:wrap anchorx="margin" anchory="margin"/>
        </v:shape>
      </w:pict>
    </w:r>
    <w:r w:rsidR="00BB7852">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395"/>
    </w:tblGrid>
    <w:tr w:rsidR="00BB7852" w:rsidRPr="00E152D8" w14:paraId="7ED8A7F5" w14:textId="77777777" w:rsidTr="003D6320">
      <w:trPr>
        <w:trHeight w:val="132"/>
      </w:trPr>
      <w:tc>
        <w:tcPr>
          <w:tcW w:w="2551" w:type="dxa"/>
        </w:tcPr>
        <w:p w14:paraId="3C7A9CEA" w14:textId="77777777" w:rsidR="00BB7852" w:rsidRPr="00E152D8" w:rsidRDefault="00BB7852" w:rsidP="00021304">
          <w:pPr>
            <w:tabs>
              <w:tab w:val="right" w:pos="8838"/>
            </w:tabs>
            <w:ind w:right="-105"/>
            <w:rPr>
              <w:rFonts w:eastAsia="Calibri" w:cs="Tahoma"/>
              <w:b/>
              <w:lang w:val="es-MX"/>
            </w:rPr>
          </w:pPr>
          <w:r w:rsidRPr="00E152D8">
            <w:rPr>
              <w:rFonts w:eastAsia="Calibri" w:cs="Tahoma"/>
              <w:b/>
              <w:lang w:val="es-MX"/>
            </w:rPr>
            <w:t>Recurso de Revisión:</w:t>
          </w:r>
        </w:p>
      </w:tc>
      <w:tc>
        <w:tcPr>
          <w:tcW w:w="4395" w:type="dxa"/>
        </w:tcPr>
        <w:p w14:paraId="46E29E1D" w14:textId="410B571B" w:rsidR="00BB7852" w:rsidRPr="00051642" w:rsidRDefault="00BB7852" w:rsidP="00794D11">
          <w:pPr>
            <w:tabs>
              <w:tab w:val="right" w:pos="8838"/>
            </w:tabs>
            <w:ind w:left="-111" w:right="170"/>
            <w:rPr>
              <w:rFonts w:eastAsia="Calibri" w:cs="Tahoma"/>
            </w:rPr>
          </w:pPr>
          <w:r>
            <w:rPr>
              <w:rFonts w:eastAsia="Calibri" w:cs="Tahoma"/>
              <w:lang w:val="es-MX"/>
            </w:rPr>
            <w:t>11751</w:t>
          </w:r>
          <w:r w:rsidRPr="00E52828">
            <w:rPr>
              <w:rFonts w:eastAsia="Calibri" w:cs="Tahoma"/>
              <w:lang w:val="es-MX"/>
            </w:rPr>
            <w:t xml:space="preserve">/INFOEM/IP/RR/2025 </w:t>
          </w:r>
          <w:r>
            <w:rPr>
              <w:rFonts w:eastAsia="Calibri" w:cs="Tahoma"/>
              <w:lang w:val="es-MX"/>
            </w:rPr>
            <w:t>y acumulados</w:t>
          </w:r>
        </w:p>
      </w:tc>
    </w:tr>
    <w:tr w:rsidR="00BB7852" w:rsidRPr="00E152D8" w14:paraId="4C9A1F64" w14:textId="77777777" w:rsidTr="003D6320">
      <w:trPr>
        <w:trHeight w:val="132"/>
      </w:trPr>
      <w:tc>
        <w:tcPr>
          <w:tcW w:w="2551" w:type="dxa"/>
        </w:tcPr>
        <w:p w14:paraId="58B051A5" w14:textId="77777777" w:rsidR="00BB7852" w:rsidRPr="00E152D8" w:rsidRDefault="00BB7852" w:rsidP="00021304">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4395" w:type="dxa"/>
        </w:tcPr>
        <w:p w14:paraId="7F3919A7" w14:textId="5A0D7144" w:rsidR="00BB7852" w:rsidRPr="00E152D8" w:rsidRDefault="00DF778F" w:rsidP="00E52828">
          <w:pPr>
            <w:tabs>
              <w:tab w:val="right" w:pos="8838"/>
            </w:tabs>
            <w:ind w:left="-111" w:right="170"/>
            <w:rPr>
              <w:rFonts w:eastAsia="Calibri" w:cs="Tahoma"/>
              <w:lang w:val="es-MX"/>
            </w:rPr>
          </w:pPr>
          <w:r w:rsidRPr="00DF778F">
            <w:rPr>
              <w:rFonts w:eastAsia="Calibri" w:cs="Tahoma"/>
              <w:highlight w:val="black"/>
              <w:lang w:val="es-MX"/>
            </w:rPr>
            <w:t>XXXXXXXXXXXXXXXXXXX</w:t>
          </w:r>
        </w:p>
      </w:tc>
    </w:tr>
    <w:tr w:rsidR="00BB7852" w:rsidRPr="00E152D8" w14:paraId="1F528C45" w14:textId="77777777" w:rsidTr="003D6320">
      <w:trPr>
        <w:trHeight w:val="261"/>
      </w:trPr>
      <w:tc>
        <w:tcPr>
          <w:tcW w:w="2551" w:type="dxa"/>
        </w:tcPr>
        <w:p w14:paraId="4FB325C1" w14:textId="77777777" w:rsidR="00BB7852" w:rsidRPr="00E152D8" w:rsidRDefault="00BB7852" w:rsidP="00021304">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395" w:type="dxa"/>
        </w:tcPr>
        <w:p w14:paraId="26BC4291" w14:textId="26B8DFFD" w:rsidR="00BB7852" w:rsidRPr="008C4EC4" w:rsidRDefault="00BB7852" w:rsidP="003C1891">
          <w:pPr>
            <w:tabs>
              <w:tab w:val="right" w:pos="8838"/>
            </w:tabs>
            <w:ind w:left="-111" w:right="170"/>
            <w:rPr>
              <w:rFonts w:eastAsia="Calibri" w:cs="Tahoma"/>
              <w:lang w:val="es-MX"/>
            </w:rPr>
          </w:pPr>
          <w:r w:rsidRPr="00E52828">
            <w:rPr>
              <w:rFonts w:eastAsia="Calibri" w:cs="Tahoma"/>
              <w:lang w:val="es-MX"/>
            </w:rPr>
            <w:t xml:space="preserve">Ayuntamiento de </w:t>
          </w:r>
          <w:r>
            <w:rPr>
              <w:rFonts w:eastAsia="Calibri" w:cs="Tahoma"/>
              <w:lang w:val="es-MX"/>
            </w:rPr>
            <w:t>Almoloya de Juárez</w:t>
          </w:r>
        </w:p>
      </w:tc>
    </w:tr>
    <w:tr w:rsidR="00BB7852" w:rsidRPr="00E152D8" w14:paraId="35FBBE19" w14:textId="77777777" w:rsidTr="003D6320">
      <w:trPr>
        <w:trHeight w:val="261"/>
      </w:trPr>
      <w:tc>
        <w:tcPr>
          <w:tcW w:w="2551" w:type="dxa"/>
        </w:tcPr>
        <w:p w14:paraId="3CDBF381" w14:textId="77777777" w:rsidR="00BB7852" w:rsidRPr="00E152D8" w:rsidRDefault="00BB7852" w:rsidP="00021304">
          <w:pPr>
            <w:tabs>
              <w:tab w:val="right" w:pos="8838"/>
            </w:tabs>
            <w:ind w:right="-105"/>
            <w:rPr>
              <w:rFonts w:eastAsia="Calibri" w:cs="Tahoma"/>
              <w:b/>
              <w:lang w:val="es-MX"/>
            </w:rPr>
          </w:pPr>
          <w:r w:rsidRPr="00E152D8">
            <w:rPr>
              <w:rFonts w:eastAsia="Calibri" w:cs="Tahoma"/>
              <w:b/>
              <w:lang w:val="es-MX"/>
            </w:rPr>
            <w:t>Comisionado Ponente:</w:t>
          </w:r>
        </w:p>
      </w:tc>
      <w:tc>
        <w:tcPr>
          <w:tcW w:w="4395" w:type="dxa"/>
        </w:tcPr>
        <w:p w14:paraId="5D197DCB" w14:textId="77777777" w:rsidR="00BB7852" w:rsidRPr="00E152D8" w:rsidRDefault="00BB7852" w:rsidP="00794D11">
          <w:pPr>
            <w:tabs>
              <w:tab w:val="right" w:pos="8838"/>
            </w:tabs>
            <w:ind w:left="-111" w:right="312"/>
            <w:rPr>
              <w:rFonts w:eastAsia="Calibri" w:cs="Tahoma"/>
              <w:b/>
              <w:lang w:val="es-MX"/>
            </w:rPr>
          </w:pPr>
          <w:r w:rsidRPr="00E152D8">
            <w:rPr>
              <w:rFonts w:eastAsia="Calibri" w:cs="Tahoma"/>
              <w:lang w:val="es-MX"/>
            </w:rPr>
            <w:t>Luis Gustavo Parra Noriega</w:t>
          </w:r>
        </w:p>
      </w:tc>
    </w:tr>
  </w:tbl>
  <w:p w14:paraId="15B88765" w14:textId="77777777" w:rsidR="00BB7852" w:rsidRDefault="00B950F8" w:rsidP="00021304">
    <w:pPr>
      <w:pStyle w:val="Encabezado"/>
      <w:tabs>
        <w:tab w:val="left" w:pos="5812"/>
      </w:tabs>
    </w:pPr>
    <w:r>
      <w:rPr>
        <w:noProof/>
      </w:rPr>
      <w:pict w14:anchorId="40EAB4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51" type="#_x0000_t75" alt="" style="position:absolute;left:0;text-align:left;margin-left:-89.1pt;margin-top:-125pt;width:663.5pt;height:12in;z-index:-25165823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86CFE"/>
    <w:multiLevelType w:val="hybridMultilevel"/>
    <w:tmpl w:val="4A8EA258"/>
    <w:lvl w:ilvl="0" w:tplc="C1A0BA14">
      <w:start w:val="3"/>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2466B5"/>
    <w:multiLevelType w:val="hybridMultilevel"/>
    <w:tmpl w:val="E2706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64D25"/>
    <w:multiLevelType w:val="multilevel"/>
    <w:tmpl w:val="ABE4F524"/>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63214F"/>
    <w:multiLevelType w:val="hybridMultilevel"/>
    <w:tmpl w:val="307686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BC23B6"/>
    <w:multiLevelType w:val="hybridMultilevel"/>
    <w:tmpl w:val="AD94ABC0"/>
    <w:lvl w:ilvl="0" w:tplc="2676CB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A227498"/>
    <w:multiLevelType w:val="hybridMultilevel"/>
    <w:tmpl w:val="5C7A2C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0ACA2160"/>
    <w:multiLevelType w:val="hybridMultilevel"/>
    <w:tmpl w:val="E1D2F46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E21FB4"/>
    <w:multiLevelType w:val="hybridMultilevel"/>
    <w:tmpl w:val="47A26BA6"/>
    <w:lvl w:ilvl="0" w:tplc="FFFFFFFF">
      <w:start w:val="1"/>
      <w:numFmt w:val="upperRoman"/>
      <w:lvlText w:val="%1."/>
      <w:lvlJc w:val="left"/>
      <w:pPr>
        <w:tabs>
          <w:tab w:val="num" w:pos="1080"/>
        </w:tabs>
        <w:ind w:left="1080" w:hanging="72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B8F2739"/>
    <w:multiLevelType w:val="hybridMultilevel"/>
    <w:tmpl w:val="E1D2F4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D12296A"/>
    <w:multiLevelType w:val="hybridMultilevel"/>
    <w:tmpl w:val="E17023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19DE0616"/>
    <w:multiLevelType w:val="hybridMultilevel"/>
    <w:tmpl w:val="74AC5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D3205A"/>
    <w:multiLevelType w:val="hybridMultilevel"/>
    <w:tmpl w:val="9AE4A5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1B64793"/>
    <w:multiLevelType w:val="hybridMultilevel"/>
    <w:tmpl w:val="1D0A5B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25A57E0"/>
    <w:multiLevelType w:val="hybridMultilevel"/>
    <w:tmpl w:val="D7EE7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59E21E0"/>
    <w:multiLevelType w:val="hybridMultilevel"/>
    <w:tmpl w:val="919EC804"/>
    <w:lvl w:ilvl="0" w:tplc="18D02C3E">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38B83A3C"/>
    <w:multiLevelType w:val="hybridMultilevel"/>
    <w:tmpl w:val="A12ED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B51C23"/>
    <w:multiLevelType w:val="hybridMultilevel"/>
    <w:tmpl w:val="2D322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136057E"/>
    <w:multiLevelType w:val="hybridMultilevel"/>
    <w:tmpl w:val="DECCC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C2737E"/>
    <w:multiLevelType w:val="hybridMultilevel"/>
    <w:tmpl w:val="EB7472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F41F45"/>
    <w:multiLevelType w:val="hybridMultilevel"/>
    <w:tmpl w:val="8ABA6D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48D25E4"/>
    <w:multiLevelType w:val="hybridMultilevel"/>
    <w:tmpl w:val="A56221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52E4014"/>
    <w:multiLevelType w:val="hybridMultilevel"/>
    <w:tmpl w:val="32B237A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BCD3205"/>
    <w:multiLevelType w:val="hybridMultilevel"/>
    <w:tmpl w:val="0346DBE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50CD1F45"/>
    <w:multiLevelType w:val="hybridMultilevel"/>
    <w:tmpl w:val="C180E56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5EF6486A"/>
    <w:multiLevelType w:val="hybridMultilevel"/>
    <w:tmpl w:val="BD6C6C3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57202BE"/>
    <w:multiLevelType w:val="hybridMultilevel"/>
    <w:tmpl w:val="CF860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7736A7E"/>
    <w:multiLevelType w:val="hybridMultilevel"/>
    <w:tmpl w:val="AF3C3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E50B60"/>
    <w:multiLevelType w:val="hybridMultilevel"/>
    <w:tmpl w:val="2886F3B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1" w15:restartNumberingAfterBreak="0">
    <w:nsid w:val="681E21C1"/>
    <w:multiLevelType w:val="hybridMultilevel"/>
    <w:tmpl w:val="4BF44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7B07F9"/>
    <w:multiLevelType w:val="hybridMultilevel"/>
    <w:tmpl w:val="02BAD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9AD4E73"/>
    <w:multiLevelType w:val="hybridMultilevel"/>
    <w:tmpl w:val="AFA4B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5" w15:restartNumberingAfterBreak="0">
    <w:nsid w:val="71B3368F"/>
    <w:multiLevelType w:val="hybridMultilevel"/>
    <w:tmpl w:val="6EECB17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72993661"/>
    <w:multiLevelType w:val="hybridMultilevel"/>
    <w:tmpl w:val="A6C8CB2E"/>
    <w:lvl w:ilvl="0" w:tplc="080A0017">
      <w:start w:val="1"/>
      <w:numFmt w:val="lowerLetter"/>
      <w:lvlText w:val="%1)"/>
      <w:lvlJc w:val="left"/>
      <w:pPr>
        <w:ind w:left="1440" w:hanging="72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7" w15:restartNumberingAfterBreak="0">
    <w:nsid w:val="72DB7E98"/>
    <w:multiLevelType w:val="hybridMultilevel"/>
    <w:tmpl w:val="64068EB6"/>
    <w:lvl w:ilvl="0" w:tplc="FFFFFFFF">
      <w:start w:val="1"/>
      <w:numFmt w:val="upperRoman"/>
      <w:lvlText w:val="%1."/>
      <w:lvlJc w:val="left"/>
      <w:pPr>
        <w:tabs>
          <w:tab w:val="num" w:pos="1080"/>
        </w:tabs>
        <w:ind w:left="1080" w:hanging="72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15:restartNumberingAfterBreak="0">
    <w:nsid w:val="7D877298"/>
    <w:multiLevelType w:val="hybridMultilevel"/>
    <w:tmpl w:val="039A9566"/>
    <w:lvl w:ilvl="0" w:tplc="2676CB52">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7EC80CF8"/>
    <w:multiLevelType w:val="hybridMultilevel"/>
    <w:tmpl w:val="599ACD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33"/>
  </w:num>
  <w:num w:numId="3">
    <w:abstractNumId w:val="0"/>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9"/>
  </w:num>
  <w:num w:numId="7">
    <w:abstractNumId w:val="15"/>
  </w:num>
  <w:num w:numId="8">
    <w:abstractNumId w:val="29"/>
  </w:num>
  <w:num w:numId="9">
    <w:abstractNumId w:val="13"/>
  </w:num>
  <w:num w:numId="10">
    <w:abstractNumId w:val="38"/>
  </w:num>
  <w:num w:numId="11">
    <w:abstractNumId w:val="34"/>
  </w:num>
  <w:num w:numId="12">
    <w:abstractNumId w:val="23"/>
  </w:num>
  <w:num w:numId="13">
    <w:abstractNumId w:val="21"/>
  </w:num>
  <w:num w:numId="14">
    <w:abstractNumId w:val="17"/>
  </w:num>
  <w:num w:numId="15">
    <w:abstractNumId w:val="4"/>
  </w:num>
  <w:num w:numId="16">
    <w:abstractNumId w:val="39"/>
  </w:num>
  <w:num w:numId="17">
    <w:abstractNumId w:val="1"/>
  </w:num>
  <w:num w:numId="18">
    <w:abstractNumId w:val="10"/>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8"/>
  </w:num>
  <w:num w:numId="27">
    <w:abstractNumId w:val="21"/>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27"/>
  </w:num>
  <w:num w:numId="31">
    <w:abstractNumId w:val="25"/>
  </w:num>
  <w:num w:numId="32">
    <w:abstractNumId w:val="19"/>
  </w:num>
  <w:num w:numId="33">
    <w:abstractNumId w:val="22"/>
  </w:num>
  <w:num w:numId="34">
    <w:abstractNumId w:val="32"/>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3"/>
  </w:num>
  <w:num w:numId="38">
    <w:abstractNumId w:val="28"/>
  </w:num>
  <w:num w:numId="39">
    <w:abstractNumId w:val="30"/>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7"/>
  </w:num>
  <w:num w:numId="43">
    <w:abstractNumId w:val="37"/>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9DA"/>
    <w:rsid w:val="00000E7F"/>
    <w:rsid w:val="00004BF3"/>
    <w:rsid w:val="00005BF0"/>
    <w:rsid w:val="00006088"/>
    <w:rsid w:val="00015743"/>
    <w:rsid w:val="00021304"/>
    <w:rsid w:val="0002483B"/>
    <w:rsid w:val="00024C7E"/>
    <w:rsid w:val="000273DE"/>
    <w:rsid w:val="00032190"/>
    <w:rsid w:val="000321E9"/>
    <w:rsid w:val="00032302"/>
    <w:rsid w:val="00032C2C"/>
    <w:rsid w:val="000357E9"/>
    <w:rsid w:val="00042C80"/>
    <w:rsid w:val="00045950"/>
    <w:rsid w:val="000606D9"/>
    <w:rsid w:val="00065864"/>
    <w:rsid w:val="000677B9"/>
    <w:rsid w:val="000746B0"/>
    <w:rsid w:val="00074B5D"/>
    <w:rsid w:val="00083729"/>
    <w:rsid w:val="00084D97"/>
    <w:rsid w:val="0008671E"/>
    <w:rsid w:val="00086ABF"/>
    <w:rsid w:val="00097B07"/>
    <w:rsid w:val="000A19D6"/>
    <w:rsid w:val="000A38DF"/>
    <w:rsid w:val="000A41E1"/>
    <w:rsid w:val="000B3764"/>
    <w:rsid w:val="000C230B"/>
    <w:rsid w:val="000D0B14"/>
    <w:rsid w:val="000D0F72"/>
    <w:rsid w:val="000D6771"/>
    <w:rsid w:val="000F1AC6"/>
    <w:rsid w:val="000F31B9"/>
    <w:rsid w:val="000F4782"/>
    <w:rsid w:val="000F5346"/>
    <w:rsid w:val="000F7BE5"/>
    <w:rsid w:val="001000D8"/>
    <w:rsid w:val="00103791"/>
    <w:rsid w:val="00103ED5"/>
    <w:rsid w:val="001045C0"/>
    <w:rsid w:val="00105421"/>
    <w:rsid w:val="00113AE3"/>
    <w:rsid w:val="00121E88"/>
    <w:rsid w:val="00121FAB"/>
    <w:rsid w:val="00122B7A"/>
    <w:rsid w:val="00127605"/>
    <w:rsid w:val="00127A18"/>
    <w:rsid w:val="0013028B"/>
    <w:rsid w:val="001344E0"/>
    <w:rsid w:val="00141009"/>
    <w:rsid w:val="00145911"/>
    <w:rsid w:val="0014618A"/>
    <w:rsid w:val="00151624"/>
    <w:rsid w:val="0015465F"/>
    <w:rsid w:val="00155367"/>
    <w:rsid w:val="001560BF"/>
    <w:rsid w:val="00171694"/>
    <w:rsid w:val="0017329F"/>
    <w:rsid w:val="001759D7"/>
    <w:rsid w:val="00175E20"/>
    <w:rsid w:val="00176972"/>
    <w:rsid w:val="00184471"/>
    <w:rsid w:val="00192EAE"/>
    <w:rsid w:val="0019363F"/>
    <w:rsid w:val="00195E5A"/>
    <w:rsid w:val="001A6009"/>
    <w:rsid w:val="001B0084"/>
    <w:rsid w:val="001B0FD7"/>
    <w:rsid w:val="001B34F3"/>
    <w:rsid w:val="001B6516"/>
    <w:rsid w:val="001C41C4"/>
    <w:rsid w:val="001C5FEB"/>
    <w:rsid w:val="001C6C6E"/>
    <w:rsid w:val="001D0615"/>
    <w:rsid w:val="001D1AA3"/>
    <w:rsid w:val="001E225F"/>
    <w:rsid w:val="001E2BC4"/>
    <w:rsid w:val="001E3D0C"/>
    <w:rsid w:val="001E511A"/>
    <w:rsid w:val="001E7A18"/>
    <w:rsid w:val="001F317C"/>
    <w:rsid w:val="001F49B1"/>
    <w:rsid w:val="00201985"/>
    <w:rsid w:val="00205855"/>
    <w:rsid w:val="00207B39"/>
    <w:rsid w:val="0021022D"/>
    <w:rsid w:val="002119B2"/>
    <w:rsid w:val="00212CB3"/>
    <w:rsid w:val="002147A6"/>
    <w:rsid w:val="00220D4B"/>
    <w:rsid w:val="00225915"/>
    <w:rsid w:val="00230733"/>
    <w:rsid w:val="00233322"/>
    <w:rsid w:val="0023499D"/>
    <w:rsid w:val="00235405"/>
    <w:rsid w:val="00241BC1"/>
    <w:rsid w:val="00244F79"/>
    <w:rsid w:val="002473B3"/>
    <w:rsid w:val="00250669"/>
    <w:rsid w:val="002514BF"/>
    <w:rsid w:val="002516A8"/>
    <w:rsid w:val="002636DC"/>
    <w:rsid w:val="00263962"/>
    <w:rsid w:val="002666EE"/>
    <w:rsid w:val="00270FA7"/>
    <w:rsid w:val="00271AFA"/>
    <w:rsid w:val="00273255"/>
    <w:rsid w:val="002752B6"/>
    <w:rsid w:val="0028229D"/>
    <w:rsid w:val="002838F8"/>
    <w:rsid w:val="00285ED7"/>
    <w:rsid w:val="002877B3"/>
    <w:rsid w:val="00287DD2"/>
    <w:rsid w:val="00291EB3"/>
    <w:rsid w:val="00292386"/>
    <w:rsid w:val="002A2F47"/>
    <w:rsid w:val="002A33D8"/>
    <w:rsid w:val="002B0499"/>
    <w:rsid w:val="002B1058"/>
    <w:rsid w:val="002B3033"/>
    <w:rsid w:val="002B3B7E"/>
    <w:rsid w:val="002B61D6"/>
    <w:rsid w:val="002C53A2"/>
    <w:rsid w:val="002C6DB7"/>
    <w:rsid w:val="002D6232"/>
    <w:rsid w:val="002E03F2"/>
    <w:rsid w:val="002E1F34"/>
    <w:rsid w:val="002E6662"/>
    <w:rsid w:val="002E7995"/>
    <w:rsid w:val="002F64A1"/>
    <w:rsid w:val="002F70FE"/>
    <w:rsid w:val="00300418"/>
    <w:rsid w:val="003020BF"/>
    <w:rsid w:val="00302F90"/>
    <w:rsid w:val="00304D9F"/>
    <w:rsid w:val="00307233"/>
    <w:rsid w:val="00310054"/>
    <w:rsid w:val="00312D75"/>
    <w:rsid w:val="00314B2B"/>
    <w:rsid w:val="003155F0"/>
    <w:rsid w:val="00316B41"/>
    <w:rsid w:val="00316B5B"/>
    <w:rsid w:val="003237DF"/>
    <w:rsid w:val="003268CD"/>
    <w:rsid w:val="00332BED"/>
    <w:rsid w:val="00335D93"/>
    <w:rsid w:val="00340F96"/>
    <w:rsid w:val="00341274"/>
    <w:rsid w:val="00342D32"/>
    <w:rsid w:val="00344EE8"/>
    <w:rsid w:val="00347055"/>
    <w:rsid w:val="00347E39"/>
    <w:rsid w:val="00350213"/>
    <w:rsid w:val="00352206"/>
    <w:rsid w:val="00353C89"/>
    <w:rsid w:val="00354EE5"/>
    <w:rsid w:val="00356B0D"/>
    <w:rsid w:val="00361461"/>
    <w:rsid w:val="00361940"/>
    <w:rsid w:val="003720E4"/>
    <w:rsid w:val="00373EDF"/>
    <w:rsid w:val="0038074C"/>
    <w:rsid w:val="00382F13"/>
    <w:rsid w:val="00390EFE"/>
    <w:rsid w:val="003917FB"/>
    <w:rsid w:val="00392D86"/>
    <w:rsid w:val="003935DD"/>
    <w:rsid w:val="00395071"/>
    <w:rsid w:val="00395C77"/>
    <w:rsid w:val="003A1302"/>
    <w:rsid w:val="003A1DBB"/>
    <w:rsid w:val="003A55E1"/>
    <w:rsid w:val="003A7900"/>
    <w:rsid w:val="003C0AD1"/>
    <w:rsid w:val="003C1891"/>
    <w:rsid w:val="003C4BBD"/>
    <w:rsid w:val="003C58D4"/>
    <w:rsid w:val="003D5C4E"/>
    <w:rsid w:val="003D6320"/>
    <w:rsid w:val="003D71C4"/>
    <w:rsid w:val="003D7A39"/>
    <w:rsid w:val="003E0446"/>
    <w:rsid w:val="003E4F8E"/>
    <w:rsid w:val="003F12C6"/>
    <w:rsid w:val="003F26A5"/>
    <w:rsid w:val="003F2700"/>
    <w:rsid w:val="00407A01"/>
    <w:rsid w:val="00416664"/>
    <w:rsid w:val="0042371C"/>
    <w:rsid w:val="00425E39"/>
    <w:rsid w:val="0042634D"/>
    <w:rsid w:val="00427049"/>
    <w:rsid w:val="00434731"/>
    <w:rsid w:val="0043578C"/>
    <w:rsid w:val="00442158"/>
    <w:rsid w:val="004427B7"/>
    <w:rsid w:val="004440F0"/>
    <w:rsid w:val="0044785C"/>
    <w:rsid w:val="00464B0C"/>
    <w:rsid w:val="00465A15"/>
    <w:rsid w:val="004717AB"/>
    <w:rsid w:val="0047276C"/>
    <w:rsid w:val="00480272"/>
    <w:rsid w:val="00482426"/>
    <w:rsid w:val="004858A0"/>
    <w:rsid w:val="004910E7"/>
    <w:rsid w:val="004920A7"/>
    <w:rsid w:val="00496AEA"/>
    <w:rsid w:val="004A3215"/>
    <w:rsid w:val="004A3A96"/>
    <w:rsid w:val="004A5655"/>
    <w:rsid w:val="004B603F"/>
    <w:rsid w:val="004B6BE1"/>
    <w:rsid w:val="004C57BE"/>
    <w:rsid w:val="004D0E30"/>
    <w:rsid w:val="004D24F0"/>
    <w:rsid w:val="004D6B6F"/>
    <w:rsid w:val="004E0B39"/>
    <w:rsid w:val="004E1B8F"/>
    <w:rsid w:val="004E26B9"/>
    <w:rsid w:val="004E3775"/>
    <w:rsid w:val="004F43CA"/>
    <w:rsid w:val="004F44DC"/>
    <w:rsid w:val="004F4B08"/>
    <w:rsid w:val="00501640"/>
    <w:rsid w:val="005113DE"/>
    <w:rsid w:val="0051185B"/>
    <w:rsid w:val="005145FA"/>
    <w:rsid w:val="0051666C"/>
    <w:rsid w:val="00520445"/>
    <w:rsid w:val="00521168"/>
    <w:rsid w:val="00521603"/>
    <w:rsid w:val="00521C02"/>
    <w:rsid w:val="0052460E"/>
    <w:rsid w:val="005313FE"/>
    <w:rsid w:val="005317FC"/>
    <w:rsid w:val="00531CEF"/>
    <w:rsid w:val="005322C8"/>
    <w:rsid w:val="005339AF"/>
    <w:rsid w:val="005509A2"/>
    <w:rsid w:val="005510A2"/>
    <w:rsid w:val="0055375C"/>
    <w:rsid w:val="00554E81"/>
    <w:rsid w:val="00561818"/>
    <w:rsid w:val="005631F0"/>
    <w:rsid w:val="00570663"/>
    <w:rsid w:val="00570A07"/>
    <w:rsid w:val="005732F0"/>
    <w:rsid w:val="00574AAA"/>
    <w:rsid w:val="005760D2"/>
    <w:rsid w:val="00580C19"/>
    <w:rsid w:val="00593BFB"/>
    <w:rsid w:val="005A230B"/>
    <w:rsid w:val="005A2496"/>
    <w:rsid w:val="005A4DA5"/>
    <w:rsid w:val="005A7869"/>
    <w:rsid w:val="005B2CD5"/>
    <w:rsid w:val="005B5851"/>
    <w:rsid w:val="005C1191"/>
    <w:rsid w:val="005C1A1B"/>
    <w:rsid w:val="005D00E2"/>
    <w:rsid w:val="005D2C72"/>
    <w:rsid w:val="005D2D37"/>
    <w:rsid w:val="005D38D8"/>
    <w:rsid w:val="005D39F2"/>
    <w:rsid w:val="005E1854"/>
    <w:rsid w:val="005E20E0"/>
    <w:rsid w:val="005E3D01"/>
    <w:rsid w:val="005E41D0"/>
    <w:rsid w:val="005F3D3A"/>
    <w:rsid w:val="005F4E7A"/>
    <w:rsid w:val="00602604"/>
    <w:rsid w:val="006043CF"/>
    <w:rsid w:val="0061770A"/>
    <w:rsid w:val="00625A48"/>
    <w:rsid w:val="00633F72"/>
    <w:rsid w:val="0063550D"/>
    <w:rsid w:val="00641475"/>
    <w:rsid w:val="006429D5"/>
    <w:rsid w:val="00643AFB"/>
    <w:rsid w:val="00651715"/>
    <w:rsid w:val="00656450"/>
    <w:rsid w:val="0067568E"/>
    <w:rsid w:val="0067669B"/>
    <w:rsid w:val="00682B8E"/>
    <w:rsid w:val="0069289F"/>
    <w:rsid w:val="00696785"/>
    <w:rsid w:val="00696EE5"/>
    <w:rsid w:val="006A0EE8"/>
    <w:rsid w:val="006A6D5F"/>
    <w:rsid w:val="006B5205"/>
    <w:rsid w:val="006B70E5"/>
    <w:rsid w:val="006C1D36"/>
    <w:rsid w:val="006D6F0E"/>
    <w:rsid w:val="006E4C66"/>
    <w:rsid w:val="006E7F2D"/>
    <w:rsid w:val="006F03FC"/>
    <w:rsid w:val="006F51EC"/>
    <w:rsid w:val="006F532C"/>
    <w:rsid w:val="00700FDD"/>
    <w:rsid w:val="007016CA"/>
    <w:rsid w:val="00702443"/>
    <w:rsid w:val="00711D2E"/>
    <w:rsid w:val="00712AB9"/>
    <w:rsid w:val="00726685"/>
    <w:rsid w:val="00726B1C"/>
    <w:rsid w:val="00727541"/>
    <w:rsid w:val="00733E71"/>
    <w:rsid w:val="00741097"/>
    <w:rsid w:val="007439CE"/>
    <w:rsid w:val="0074796B"/>
    <w:rsid w:val="00747C47"/>
    <w:rsid w:val="00750C4D"/>
    <w:rsid w:val="007548C5"/>
    <w:rsid w:val="00754DF1"/>
    <w:rsid w:val="0076191A"/>
    <w:rsid w:val="00762337"/>
    <w:rsid w:val="0076551F"/>
    <w:rsid w:val="00765B55"/>
    <w:rsid w:val="00766A88"/>
    <w:rsid w:val="00771242"/>
    <w:rsid w:val="00774C4C"/>
    <w:rsid w:val="00785E01"/>
    <w:rsid w:val="0078602E"/>
    <w:rsid w:val="00786792"/>
    <w:rsid w:val="00787C5D"/>
    <w:rsid w:val="00790387"/>
    <w:rsid w:val="007911C1"/>
    <w:rsid w:val="007937B4"/>
    <w:rsid w:val="00794D11"/>
    <w:rsid w:val="007960AB"/>
    <w:rsid w:val="0079660C"/>
    <w:rsid w:val="007A29F9"/>
    <w:rsid w:val="007B1E83"/>
    <w:rsid w:val="007B32E7"/>
    <w:rsid w:val="007B49BC"/>
    <w:rsid w:val="007C0C00"/>
    <w:rsid w:val="007C2C93"/>
    <w:rsid w:val="007D11D0"/>
    <w:rsid w:val="007D1E59"/>
    <w:rsid w:val="007E0CF7"/>
    <w:rsid w:val="007E668F"/>
    <w:rsid w:val="007E69E4"/>
    <w:rsid w:val="007F2D8D"/>
    <w:rsid w:val="007F6F21"/>
    <w:rsid w:val="007F77E2"/>
    <w:rsid w:val="0080192A"/>
    <w:rsid w:val="00802B14"/>
    <w:rsid w:val="0080627B"/>
    <w:rsid w:val="00807756"/>
    <w:rsid w:val="00813B38"/>
    <w:rsid w:val="00816C1E"/>
    <w:rsid w:val="00817259"/>
    <w:rsid w:val="00822090"/>
    <w:rsid w:val="008221FA"/>
    <w:rsid w:val="00825FAA"/>
    <w:rsid w:val="00827374"/>
    <w:rsid w:val="00830672"/>
    <w:rsid w:val="008332C6"/>
    <w:rsid w:val="008344DA"/>
    <w:rsid w:val="00835AA2"/>
    <w:rsid w:val="008370D7"/>
    <w:rsid w:val="00842418"/>
    <w:rsid w:val="00852F84"/>
    <w:rsid w:val="00860FDA"/>
    <w:rsid w:val="008706AE"/>
    <w:rsid w:val="00872E6C"/>
    <w:rsid w:val="00877974"/>
    <w:rsid w:val="00877AB5"/>
    <w:rsid w:val="008830A3"/>
    <w:rsid w:val="0088732E"/>
    <w:rsid w:val="008A1159"/>
    <w:rsid w:val="008A5301"/>
    <w:rsid w:val="008A639A"/>
    <w:rsid w:val="008B0D92"/>
    <w:rsid w:val="008B375E"/>
    <w:rsid w:val="008C133A"/>
    <w:rsid w:val="008C30A9"/>
    <w:rsid w:val="008C476E"/>
    <w:rsid w:val="008C4EC4"/>
    <w:rsid w:val="008C5801"/>
    <w:rsid w:val="008C5ACC"/>
    <w:rsid w:val="008C6BBA"/>
    <w:rsid w:val="008C7B79"/>
    <w:rsid w:val="008D1DA1"/>
    <w:rsid w:val="008D394B"/>
    <w:rsid w:val="008D6E84"/>
    <w:rsid w:val="008F2BA2"/>
    <w:rsid w:val="008F5213"/>
    <w:rsid w:val="00900054"/>
    <w:rsid w:val="009025B0"/>
    <w:rsid w:val="009030D8"/>
    <w:rsid w:val="0090792A"/>
    <w:rsid w:val="00910874"/>
    <w:rsid w:val="009109DA"/>
    <w:rsid w:val="00910C82"/>
    <w:rsid w:val="00911D5E"/>
    <w:rsid w:val="009169CA"/>
    <w:rsid w:val="00921469"/>
    <w:rsid w:val="00924FD0"/>
    <w:rsid w:val="00925AEF"/>
    <w:rsid w:val="00925C01"/>
    <w:rsid w:val="009277AF"/>
    <w:rsid w:val="0093175C"/>
    <w:rsid w:val="00933544"/>
    <w:rsid w:val="009367AE"/>
    <w:rsid w:val="00936F42"/>
    <w:rsid w:val="00943187"/>
    <w:rsid w:val="0095027C"/>
    <w:rsid w:val="0095742B"/>
    <w:rsid w:val="00960912"/>
    <w:rsid w:val="0096103B"/>
    <w:rsid w:val="00961D42"/>
    <w:rsid w:val="00965074"/>
    <w:rsid w:val="00967F33"/>
    <w:rsid w:val="00971B10"/>
    <w:rsid w:val="009748B9"/>
    <w:rsid w:val="009764EC"/>
    <w:rsid w:val="0097716F"/>
    <w:rsid w:val="009817EE"/>
    <w:rsid w:val="00985015"/>
    <w:rsid w:val="009931C7"/>
    <w:rsid w:val="00995BCA"/>
    <w:rsid w:val="009A1D55"/>
    <w:rsid w:val="009A646B"/>
    <w:rsid w:val="009A6C9B"/>
    <w:rsid w:val="009A7C84"/>
    <w:rsid w:val="009B6620"/>
    <w:rsid w:val="009B668F"/>
    <w:rsid w:val="009C5138"/>
    <w:rsid w:val="009D1FBF"/>
    <w:rsid w:val="009D7D2B"/>
    <w:rsid w:val="009E3576"/>
    <w:rsid w:val="009E41B6"/>
    <w:rsid w:val="009E60A5"/>
    <w:rsid w:val="009E7530"/>
    <w:rsid w:val="009F531A"/>
    <w:rsid w:val="00A00C6C"/>
    <w:rsid w:val="00A015AA"/>
    <w:rsid w:val="00A02B57"/>
    <w:rsid w:val="00A05166"/>
    <w:rsid w:val="00A139E0"/>
    <w:rsid w:val="00A13DD4"/>
    <w:rsid w:val="00A1420A"/>
    <w:rsid w:val="00A16B9F"/>
    <w:rsid w:val="00A21D5D"/>
    <w:rsid w:val="00A22017"/>
    <w:rsid w:val="00A25456"/>
    <w:rsid w:val="00A33A82"/>
    <w:rsid w:val="00A42917"/>
    <w:rsid w:val="00A43491"/>
    <w:rsid w:val="00A43E8D"/>
    <w:rsid w:val="00A440AA"/>
    <w:rsid w:val="00A4413F"/>
    <w:rsid w:val="00A4656A"/>
    <w:rsid w:val="00A5200A"/>
    <w:rsid w:val="00A52763"/>
    <w:rsid w:val="00A53AD2"/>
    <w:rsid w:val="00A53F85"/>
    <w:rsid w:val="00A5729B"/>
    <w:rsid w:val="00A6253C"/>
    <w:rsid w:val="00A63ACE"/>
    <w:rsid w:val="00A679B6"/>
    <w:rsid w:val="00A71280"/>
    <w:rsid w:val="00A71B4F"/>
    <w:rsid w:val="00A73F0C"/>
    <w:rsid w:val="00A76A8B"/>
    <w:rsid w:val="00A81685"/>
    <w:rsid w:val="00A85575"/>
    <w:rsid w:val="00A91932"/>
    <w:rsid w:val="00A91ABC"/>
    <w:rsid w:val="00A95F16"/>
    <w:rsid w:val="00A962D6"/>
    <w:rsid w:val="00AA3F1F"/>
    <w:rsid w:val="00AA48A3"/>
    <w:rsid w:val="00AA52EF"/>
    <w:rsid w:val="00AA75C4"/>
    <w:rsid w:val="00AB396A"/>
    <w:rsid w:val="00AB4186"/>
    <w:rsid w:val="00AB6F31"/>
    <w:rsid w:val="00AC1A54"/>
    <w:rsid w:val="00AD4AEB"/>
    <w:rsid w:val="00AD78C1"/>
    <w:rsid w:val="00AE345C"/>
    <w:rsid w:val="00AE6AE6"/>
    <w:rsid w:val="00AF00E3"/>
    <w:rsid w:val="00AF6970"/>
    <w:rsid w:val="00AF707A"/>
    <w:rsid w:val="00B03C9A"/>
    <w:rsid w:val="00B114D4"/>
    <w:rsid w:val="00B11EB9"/>
    <w:rsid w:val="00B17E20"/>
    <w:rsid w:val="00B20BA9"/>
    <w:rsid w:val="00B221D3"/>
    <w:rsid w:val="00B23180"/>
    <w:rsid w:val="00B25235"/>
    <w:rsid w:val="00B360C8"/>
    <w:rsid w:val="00B47934"/>
    <w:rsid w:val="00B5162F"/>
    <w:rsid w:val="00B61508"/>
    <w:rsid w:val="00B636C8"/>
    <w:rsid w:val="00B6394E"/>
    <w:rsid w:val="00B76983"/>
    <w:rsid w:val="00B80045"/>
    <w:rsid w:val="00B84CF1"/>
    <w:rsid w:val="00B87B40"/>
    <w:rsid w:val="00B936FD"/>
    <w:rsid w:val="00B937C7"/>
    <w:rsid w:val="00B93FC1"/>
    <w:rsid w:val="00B94E2F"/>
    <w:rsid w:val="00B950F8"/>
    <w:rsid w:val="00BA3733"/>
    <w:rsid w:val="00BA44E4"/>
    <w:rsid w:val="00BA471C"/>
    <w:rsid w:val="00BA5C6D"/>
    <w:rsid w:val="00BB072D"/>
    <w:rsid w:val="00BB7852"/>
    <w:rsid w:val="00BD1519"/>
    <w:rsid w:val="00BD2A18"/>
    <w:rsid w:val="00BD5514"/>
    <w:rsid w:val="00BD5769"/>
    <w:rsid w:val="00BE5EDE"/>
    <w:rsid w:val="00BF17B5"/>
    <w:rsid w:val="00BF36A5"/>
    <w:rsid w:val="00C04127"/>
    <w:rsid w:val="00C104F9"/>
    <w:rsid w:val="00C14D6F"/>
    <w:rsid w:val="00C14FBE"/>
    <w:rsid w:val="00C15BCB"/>
    <w:rsid w:val="00C1697C"/>
    <w:rsid w:val="00C2064C"/>
    <w:rsid w:val="00C21BAA"/>
    <w:rsid w:val="00C237BC"/>
    <w:rsid w:val="00C2425A"/>
    <w:rsid w:val="00C311DF"/>
    <w:rsid w:val="00C3207B"/>
    <w:rsid w:val="00C35BF3"/>
    <w:rsid w:val="00C37906"/>
    <w:rsid w:val="00C41C31"/>
    <w:rsid w:val="00C44857"/>
    <w:rsid w:val="00C467BD"/>
    <w:rsid w:val="00C4685A"/>
    <w:rsid w:val="00C47F5F"/>
    <w:rsid w:val="00C567C4"/>
    <w:rsid w:val="00C576B2"/>
    <w:rsid w:val="00C57BF8"/>
    <w:rsid w:val="00C64F98"/>
    <w:rsid w:val="00C66D45"/>
    <w:rsid w:val="00C71E26"/>
    <w:rsid w:val="00C737DB"/>
    <w:rsid w:val="00C74F2C"/>
    <w:rsid w:val="00C75A80"/>
    <w:rsid w:val="00C82A69"/>
    <w:rsid w:val="00C82F45"/>
    <w:rsid w:val="00C91A4C"/>
    <w:rsid w:val="00C93B7E"/>
    <w:rsid w:val="00CA0815"/>
    <w:rsid w:val="00CA4C35"/>
    <w:rsid w:val="00CA4CF3"/>
    <w:rsid w:val="00CA7BB7"/>
    <w:rsid w:val="00CB7ED5"/>
    <w:rsid w:val="00CC19F3"/>
    <w:rsid w:val="00CC26D2"/>
    <w:rsid w:val="00CC3031"/>
    <w:rsid w:val="00CD14DD"/>
    <w:rsid w:val="00CD36B3"/>
    <w:rsid w:val="00CD5EB3"/>
    <w:rsid w:val="00CD6EE6"/>
    <w:rsid w:val="00CD7B20"/>
    <w:rsid w:val="00CE1307"/>
    <w:rsid w:val="00CE143A"/>
    <w:rsid w:val="00CE187D"/>
    <w:rsid w:val="00CF05ED"/>
    <w:rsid w:val="00CF1AE6"/>
    <w:rsid w:val="00CF6147"/>
    <w:rsid w:val="00D003C1"/>
    <w:rsid w:val="00D043B2"/>
    <w:rsid w:val="00D10307"/>
    <w:rsid w:val="00D23BDA"/>
    <w:rsid w:val="00D24FA7"/>
    <w:rsid w:val="00D258A7"/>
    <w:rsid w:val="00D303FA"/>
    <w:rsid w:val="00D33DA0"/>
    <w:rsid w:val="00D35F77"/>
    <w:rsid w:val="00D44F21"/>
    <w:rsid w:val="00D501AD"/>
    <w:rsid w:val="00D53A2C"/>
    <w:rsid w:val="00D53C5E"/>
    <w:rsid w:val="00D5454E"/>
    <w:rsid w:val="00D547E0"/>
    <w:rsid w:val="00D54BF5"/>
    <w:rsid w:val="00D57A34"/>
    <w:rsid w:val="00D67CA6"/>
    <w:rsid w:val="00D70D70"/>
    <w:rsid w:val="00D73239"/>
    <w:rsid w:val="00D75375"/>
    <w:rsid w:val="00D80DE9"/>
    <w:rsid w:val="00D92D95"/>
    <w:rsid w:val="00D94483"/>
    <w:rsid w:val="00D96DD8"/>
    <w:rsid w:val="00D9713D"/>
    <w:rsid w:val="00DA3676"/>
    <w:rsid w:val="00DA5EED"/>
    <w:rsid w:val="00DB1D08"/>
    <w:rsid w:val="00DB6839"/>
    <w:rsid w:val="00DB6F7B"/>
    <w:rsid w:val="00DC32A2"/>
    <w:rsid w:val="00DC4F16"/>
    <w:rsid w:val="00DC5AC4"/>
    <w:rsid w:val="00DC7AA4"/>
    <w:rsid w:val="00DD0B12"/>
    <w:rsid w:val="00DD55A8"/>
    <w:rsid w:val="00DE321A"/>
    <w:rsid w:val="00DF38CA"/>
    <w:rsid w:val="00DF6664"/>
    <w:rsid w:val="00DF778F"/>
    <w:rsid w:val="00E00064"/>
    <w:rsid w:val="00E045E0"/>
    <w:rsid w:val="00E10956"/>
    <w:rsid w:val="00E152A2"/>
    <w:rsid w:val="00E17E82"/>
    <w:rsid w:val="00E22655"/>
    <w:rsid w:val="00E241CB"/>
    <w:rsid w:val="00E25031"/>
    <w:rsid w:val="00E252A5"/>
    <w:rsid w:val="00E26298"/>
    <w:rsid w:val="00E275B8"/>
    <w:rsid w:val="00E33668"/>
    <w:rsid w:val="00E429E3"/>
    <w:rsid w:val="00E42CED"/>
    <w:rsid w:val="00E465B5"/>
    <w:rsid w:val="00E4772F"/>
    <w:rsid w:val="00E5026F"/>
    <w:rsid w:val="00E5030C"/>
    <w:rsid w:val="00E52828"/>
    <w:rsid w:val="00E53BF2"/>
    <w:rsid w:val="00E62327"/>
    <w:rsid w:val="00E6572C"/>
    <w:rsid w:val="00E67BC6"/>
    <w:rsid w:val="00E71C2B"/>
    <w:rsid w:val="00E75633"/>
    <w:rsid w:val="00E77852"/>
    <w:rsid w:val="00E85AAE"/>
    <w:rsid w:val="00E947D2"/>
    <w:rsid w:val="00E95C2C"/>
    <w:rsid w:val="00EA449A"/>
    <w:rsid w:val="00EA4647"/>
    <w:rsid w:val="00EB3376"/>
    <w:rsid w:val="00EB5B0A"/>
    <w:rsid w:val="00EC0884"/>
    <w:rsid w:val="00EC6027"/>
    <w:rsid w:val="00EC725F"/>
    <w:rsid w:val="00ED099E"/>
    <w:rsid w:val="00ED6CF8"/>
    <w:rsid w:val="00ED7852"/>
    <w:rsid w:val="00ED79E4"/>
    <w:rsid w:val="00EE2D94"/>
    <w:rsid w:val="00EE466C"/>
    <w:rsid w:val="00EE5FA7"/>
    <w:rsid w:val="00EE6910"/>
    <w:rsid w:val="00EF0958"/>
    <w:rsid w:val="00EF37E1"/>
    <w:rsid w:val="00F018F5"/>
    <w:rsid w:val="00F01DD7"/>
    <w:rsid w:val="00F0439B"/>
    <w:rsid w:val="00F117CB"/>
    <w:rsid w:val="00F20F82"/>
    <w:rsid w:val="00F31111"/>
    <w:rsid w:val="00F313FF"/>
    <w:rsid w:val="00F32CEA"/>
    <w:rsid w:val="00F34CA9"/>
    <w:rsid w:val="00F4535E"/>
    <w:rsid w:val="00F46724"/>
    <w:rsid w:val="00F46DF7"/>
    <w:rsid w:val="00F5505B"/>
    <w:rsid w:val="00F6241E"/>
    <w:rsid w:val="00F66423"/>
    <w:rsid w:val="00F67661"/>
    <w:rsid w:val="00F7292C"/>
    <w:rsid w:val="00F76255"/>
    <w:rsid w:val="00F77EA7"/>
    <w:rsid w:val="00F83571"/>
    <w:rsid w:val="00F85430"/>
    <w:rsid w:val="00F91C70"/>
    <w:rsid w:val="00F9337E"/>
    <w:rsid w:val="00F951AB"/>
    <w:rsid w:val="00F96449"/>
    <w:rsid w:val="00FA3009"/>
    <w:rsid w:val="00FA54D2"/>
    <w:rsid w:val="00FA591B"/>
    <w:rsid w:val="00FA66EC"/>
    <w:rsid w:val="00FA6BD9"/>
    <w:rsid w:val="00FA71ED"/>
    <w:rsid w:val="00FB1036"/>
    <w:rsid w:val="00FC0870"/>
    <w:rsid w:val="00FC1916"/>
    <w:rsid w:val="00FC501D"/>
    <w:rsid w:val="00FD0866"/>
    <w:rsid w:val="00FD288C"/>
    <w:rsid w:val="00FD533A"/>
    <w:rsid w:val="00FE09A7"/>
    <w:rsid w:val="00FE36A6"/>
    <w:rsid w:val="00FE3902"/>
    <w:rsid w:val="00FE5F75"/>
    <w:rsid w:val="00FF03B6"/>
    <w:rsid w:val="00FF1373"/>
    <w:rsid w:val="00FF78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626BFB"/>
  <w15:chartTrackingRefBased/>
  <w15:docId w15:val="{F47B485E-C5B7-45A5-A5C1-524EB879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EE8"/>
    <w:pPr>
      <w:jc w:val="both"/>
    </w:pPr>
    <w:rPr>
      <w:rFonts w:ascii="Palatino Linotype" w:hAnsi="Palatino Linotype"/>
      <w:color w:val="000000" w:themeColor="text1"/>
    </w:rPr>
  </w:style>
  <w:style w:type="paragraph" w:styleId="Ttulo1">
    <w:name w:val="heading 1"/>
    <w:basedOn w:val="Normal"/>
    <w:next w:val="Normal"/>
    <w:link w:val="Ttulo1Car"/>
    <w:uiPriority w:val="9"/>
    <w:qFormat/>
    <w:rsid w:val="001B0FD7"/>
    <w:pPr>
      <w:keepNext/>
      <w:keepLines/>
      <w:spacing w:after="0" w:line="360" w:lineRule="auto"/>
      <w:jc w:val="center"/>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1B0FD7"/>
    <w:pPr>
      <w:keepNext/>
      <w:keepLines/>
      <w:spacing w:after="0" w:line="360" w:lineRule="auto"/>
      <w:outlineLvl w:val="1"/>
    </w:pPr>
    <w:rPr>
      <w:rFonts w:eastAsiaTheme="majorEastAsia" w:cstheme="majorBidi"/>
      <w:b/>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09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09DA"/>
    <w:rPr>
      <w:rFonts w:ascii="Palatino Linotype" w:hAnsi="Palatino Linotype"/>
      <w:color w:val="000000" w:themeColor="text1"/>
    </w:rPr>
  </w:style>
  <w:style w:type="paragraph" w:styleId="Piedepgina">
    <w:name w:val="footer"/>
    <w:basedOn w:val="Normal"/>
    <w:link w:val="PiedepginaCar"/>
    <w:uiPriority w:val="99"/>
    <w:unhideWhenUsed/>
    <w:rsid w:val="009109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09DA"/>
    <w:rPr>
      <w:rFonts w:ascii="Palatino Linotype" w:hAnsi="Palatino Linotype"/>
      <w:color w:val="000000" w:themeColor="text1"/>
    </w:rPr>
  </w:style>
  <w:style w:type="table" w:styleId="Tablaconcuadrcula">
    <w:name w:val="Table Grid"/>
    <w:basedOn w:val="Tablanormal"/>
    <w:uiPriority w:val="59"/>
    <w:qFormat/>
    <w:rsid w:val="009109D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5D93"/>
    <w:pPr>
      <w:ind w:left="720"/>
      <w:contextualSpacing/>
    </w:pPr>
  </w:style>
  <w:style w:type="character" w:styleId="Hipervnculo">
    <w:name w:val="Hyperlink"/>
    <w:basedOn w:val="Fuentedeprrafopredeter"/>
    <w:uiPriority w:val="99"/>
    <w:unhideWhenUsed/>
    <w:rsid w:val="001344E0"/>
    <w:rPr>
      <w:color w:val="0000FF"/>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352206"/>
    <w:rPr>
      <w:rFonts w:ascii="Palatino Linotype" w:hAnsi="Palatino Linotype"/>
      <w:color w:val="000000" w:themeColor="text1"/>
    </w:rPr>
  </w:style>
  <w:style w:type="paragraph" w:styleId="NormalWeb">
    <w:name w:val="Normal (Web)"/>
    <w:basedOn w:val="Normal"/>
    <w:uiPriority w:val="99"/>
    <w:semiHidden/>
    <w:unhideWhenUsed/>
    <w:rsid w:val="00712AB9"/>
    <w:pPr>
      <w:spacing w:line="256" w:lineRule="auto"/>
    </w:pPr>
    <w:rPr>
      <w:rFonts w:ascii="Times New Roman" w:hAnsi="Times New Roman" w:cs="Times New Roman"/>
      <w:sz w:val="24"/>
      <w:szCs w:val="24"/>
    </w:rPr>
  </w:style>
  <w:style w:type="character" w:customStyle="1" w:styleId="Mencinsinresolver1">
    <w:name w:val="Mención sin resolver1"/>
    <w:basedOn w:val="Fuentedeprrafopredeter"/>
    <w:uiPriority w:val="99"/>
    <w:semiHidden/>
    <w:unhideWhenUsed/>
    <w:rsid w:val="00D80DE9"/>
    <w:rPr>
      <w:color w:val="605E5C"/>
      <w:shd w:val="clear" w:color="auto" w:fill="E1DFDD"/>
    </w:rPr>
  </w:style>
  <w:style w:type="character" w:customStyle="1" w:styleId="normaltextrun">
    <w:name w:val="normaltextrun"/>
    <w:basedOn w:val="Fuentedeprrafopredeter"/>
    <w:rsid w:val="009D1FBF"/>
  </w:style>
  <w:style w:type="paragraph" w:customStyle="1" w:styleId="paragraph">
    <w:name w:val="paragraph"/>
    <w:basedOn w:val="Normal"/>
    <w:rsid w:val="009D1FBF"/>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9D1FBF"/>
  </w:style>
  <w:style w:type="table" w:customStyle="1" w:styleId="Tablaconcuadrcula2">
    <w:name w:val="Tabla con cuadrícula2"/>
    <w:basedOn w:val="Tablanormal"/>
    <w:next w:val="Tablaconcuadrcula"/>
    <w:uiPriority w:val="59"/>
    <w:qFormat/>
    <w:rsid w:val="00496AEA"/>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FA54D2"/>
    <w:rPr>
      <w:color w:val="605E5C"/>
      <w:shd w:val="clear" w:color="auto" w:fill="E1DFDD"/>
    </w:rPr>
  </w:style>
  <w:style w:type="character" w:customStyle="1" w:styleId="Ttulo1Car">
    <w:name w:val="Título 1 Car"/>
    <w:basedOn w:val="Fuentedeprrafopredeter"/>
    <w:link w:val="Ttulo1"/>
    <w:uiPriority w:val="9"/>
    <w:rsid w:val="001B0FD7"/>
    <w:rPr>
      <w:rFonts w:ascii="Palatino Linotype" w:eastAsiaTheme="majorEastAsia" w:hAnsi="Palatino Linotype" w:cstheme="majorBidi"/>
      <w:b/>
      <w:color w:val="000000" w:themeColor="text1"/>
      <w:szCs w:val="32"/>
    </w:rPr>
  </w:style>
  <w:style w:type="character" w:customStyle="1" w:styleId="Ttulo2Car">
    <w:name w:val="Título 2 Car"/>
    <w:basedOn w:val="Fuentedeprrafopredeter"/>
    <w:link w:val="Ttulo2"/>
    <w:uiPriority w:val="9"/>
    <w:rsid w:val="001B0FD7"/>
    <w:rPr>
      <w:rFonts w:ascii="Palatino Linotype" w:eastAsiaTheme="majorEastAsia" w:hAnsi="Palatino Linotype" w:cstheme="majorBidi"/>
      <w:b/>
      <w:color w:val="000000" w:themeColor="text1"/>
      <w:szCs w:val="26"/>
    </w:rPr>
  </w:style>
  <w:style w:type="paragraph" w:styleId="TtulodeTDC">
    <w:name w:val="TOC Heading"/>
    <w:basedOn w:val="Ttulo1"/>
    <w:next w:val="Normal"/>
    <w:uiPriority w:val="39"/>
    <w:unhideWhenUsed/>
    <w:qFormat/>
    <w:rsid w:val="001B0FD7"/>
    <w:pPr>
      <w:spacing w:before="240" w:line="259" w:lineRule="auto"/>
      <w:jc w:val="left"/>
      <w:outlineLvl w:val="9"/>
    </w:pPr>
    <w:rPr>
      <w:rFonts w:asciiTheme="majorHAnsi" w:hAnsiTheme="majorHAnsi"/>
      <w:b w:val="0"/>
      <w:color w:val="2F5496" w:themeColor="accent1" w:themeShade="BF"/>
      <w:sz w:val="32"/>
      <w:lang w:eastAsia="es-MX"/>
    </w:rPr>
  </w:style>
  <w:style w:type="paragraph" w:styleId="TDC1">
    <w:name w:val="toc 1"/>
    <w:basedOn w:val="Normal"/>
    <w:next w:val="Normal"/>
    <w:autoRedefine/>
    <w:uiPriority w:val="39"/>
    <w:unhideWhenUsed/>
    <w:rsid w:val="001B0FD7"/>
    <w:pPr>
      <w:spacing w:after="100"/>
    </w:pPr>
  </w:style>
  <w:style w:type="paragraph" w:styleId="TDC2">
    <w:name w:val="toc 2"/>
    <w:basedOn w:val="Normal"/>
    <w:next w:val="Normal"/>
    <w:autoRedefine/>
    <w:uiPriority w:val="39"/>
    <w:unhideWhenUsed/>
    <w:rsid w:val="001B0FD7"/>
    <w:pPr>
      <w:spacing w:after="100"/>
      <w:ind w:left="220"/>
    </w:pPr>
  </w:style>
  <w:style w:type="character" w:customStyle="1" w:styleId="il">
    <w:name w:val="il"/>
    <w:basedOn w:val="Fuentedeprrafopredeter"/>
    <w:rsid w:val="00DA5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57696">
      <w:bodyDiv w:val="1"/>
      <w:marLeft w:val="0"/>
      <w:marRight w:val="0"/>
      <w:marTop w:val="0"/>
      <w:marBottom w:val="0"/>
      <w:divBdr>
        <w:top w:val="none" w:sz="0" w:space="0" w:color="auto"/>
        <w:left w:val="none" w:sz="0" w:space="0" w:color="auto"/>
        <w:bottom w:val="none" w:sz="0" w:space="0" w:color="auto"/>
        <w:right w:val="none" w:sz="0" w:space="0" w:color="auto"/>
      </w:divBdr>
    </w:div>
    <w:div w:id="156266555">
      <w:bodyDiv w:val="1"/>
      <w:marLeft w:val="0"/>
      <w:marRight w:val="0"/>
      <w:marTop w:val="0"/>
      <w:marBottom w:val="0"/>
      <w:divBdr>
        <w:top w:val="none" w:sz="0" w:space="0" w:color="auto"/>
        <w:left w:val="none" w:sz="0" w:space="0" w:color="auto"/>
        <w:bottom w:val="none" w:sz="0" w:space="0" w:color="auto"/>
        <w:right w:val="none" w:sz="0" w:space="0" w:color="auto"/>
      </w:divBdr>
    </w:div>
    <w:div w:id="366301897">
      <w:bodyDiv w:val="1"/>
      <w:marLeft w:val="0"/>
      <w:marRight w:val="0"/>
      <w:marTop w:val="0"/>
      <w:marBottom w:val="0"/>
      <w:divBdr>
        <w:top w:val="none" w:sz="0" w:space="0" w:color="auto"/>
        <w:left w:val="none" w:sz="0" w:space="0" w:color="auto"/>
        <w:bottom w:val="none" w:sz="0" w:space="0" w:color="auto"/>
        <w:right w:val="none" w:sz="0" w:space="0" w:color="auto"/>
      </w:divBdr>
    </w:div>
    <w:div w:id="405958219">
      <w:bodyDiv w:val="1"/>
      <w:marLeft w:val="0"/>
      <w:marRight w:val="0"/>
      <w:marTop w:val="0"/>
      <w:marBottom w:val="0"/>
      <w:divBdr>
        <w:top w:val="none" w:sz="0" w:space="0" w:color="auto"/>
        <w:left w:val="none" w:sz="0" w:space="0" w:color="auto"/>
        <w:bottom w:val="none" w:sz="0" w:space="0" w:color="auto"/>
        <w:right w:val="none" w:sz="0" w:space="0" w:color="auto"/>
      </w:divBdr>
    </w:div>
    <w:div w:id="435104727">
      <w:bodyDiv w:val="1"/>
      <w:marLeft w:val="0"/>
      <w:marRight w:val="0"/>
      <w:marTop w:val="0"/>
      <w:marBottom w:val="0"/>
      <w:divBdr>
        <w:top w:val="none" w:sz="0" w:space="0" w:color="auto"/>
        <w:left w:val="none" w:sz="0" w:space="0" w:color="auto"/>
        <w:bottom w:val="none" w:sz="0" w:space="0" w:color="auto"/>
        <w:right w:val="none" w:sz="0" w:space="0" w:color="auto"/>
      </w:divBdr>
    </w:div>
    <w:div w:id="468596820">
      <w:bodyDiv w:val="1"/>
      <w:marLeft w:val="0"/>
      <w:marRight w:val="0"/>
      <w:marTop w:val="0"/>
      <w:marBottom w:val="0"/>
      <w:divBdr>
        <w:top w:val="none" w:sz="0" w:space="0" w:color="auto"/>
        <w:left w:val="none" w:sz="0" w:space="0" w:color="auto"/>
        <w:bottom w:val="none" w:sz="0" w:space="0" w:color="auto"/>
        <w:right w:val="none" w:sz="0" w:space="0" w:color="auto"/>
      </w:divBdr>
    </w:div>
    <w:div w:id="480586201">
      <w:bodyDiv w:val="1"/>
      <w:marLeft w:val="0"/>
      <w:marRight w:val="0"/>
      <w:marTop w:val="0"/>
      <w:marBottom w:val="0"/>
      <w:divBdr>
        <w:top w:val="none" w:sz="0" w:space="0" w:color="auto"/>
        <w:left w:val="none" w:sz="0" w:space="0" w:color="auto"/>
        <w:bottom w:val="none" w:sz="0" w:space="0" w:color="auto"/>
        <w:right w:val="none" w:sz="0" w:space="0" w:color="auto"/>
      </w:divBdr>
    </w:div>
    <w:div w:id="503938023">
      <w:bodyDiv w:val="1"/>
      <w:marLeft w:val="0"/>
      <w:marRight w:val="0"/>
      <w:marTop w:val="0"/>
      <w:marBottom w:val="0"/>
      <w:divBdr>
        <w:top w:val="none" w:sz="0" w:space="0" w:color="auto"/>
        <w:left w:val="none" w:sz="0" w:space="0" w:color="auto"/>
        <w:bottom w:val="none" w:sz="0" w:space="0" w:color="auto"/>
        <w:right w:val="none" w:sz="0" w:space="0" w:color="auto"/>
      </w:divBdr>
    </w:div>
    <w:div w:id="545870307">
      <w:bodyDiv w:val="1"/>
      <w:marLeft w:val="0"/>
      <w:marRight w:val="0"/>
      <w:marTop w:val="0"/>
      <w:marBottom w:val="0"/>
      <w:divBdr>
        <w:top w:val="none" w:sz="0" w:space="0" w:color="auto"/>
        <w:left w:val="none" w:sz="0" w:space="0" w:color="auto"/>
        <w:bottom w:val="none" w:sz="0" w:space="0" w:color="auto"/>
        <w:right w:val="none" w:sz="0" w:space="0" w:color="auto"/>
      </w:divBdr>
    </w:div>
    <w:div w:id="647370042">
      <w:bodyDiv w:val="1"/>
      <w:marLeft w:val="0"/>
      <w:marRight w:val="0"/>
      <w:marTop w:val="0"/>
      <w:marBottom w:val="0"/>
      <w:divBdr>
        <w:top w:val="none" w:sz="0" w:space="0" w:color="auto"/>
        <w:left w:val="none" w:sz="0" w:space="0" w:color="auto"/>
        <w:bottom w:val="none" w:sz="0" w:space="0" w:color="auto"/>
        <w:right w:val="none" w:sz="0" w:space="0" w:color="auto"/>
      </w:divBdr>
    </w:div>
    <w:div w:id="664018031">
      <w:bodyDiv w:val="1"/>
      <w:marLeft w:val="0"/>
      <w:marRight w:val="0"/>
      <w:marTop w:val="0"/>
      <w:marBottom w:val="0"/>
      <w:divBdr>
        <w:top w:val="none" w:sz="0" w:space="0" w:color="auto"/>
        <w:left w:val="none" w:sz="0" w:space="0" w:color="auto"/>
        <w:bottom w:val="none" w:sz="0" w:space="0" w:color="auto"/>
        <w:right w:val="none" w:sz="0" w:space="0" w:color="auto"/>
      </w:divBdr>
    </w:div>
    <w:div w:id="666980698">
      <w:bodyDiv w:val="1"/>
      <w:marLeft w:val="0"/>
      <w:marRight w:val="0"/>
      <w:marTop w:val="0"/>
      <w:marBottom w:val="0"/>
      <w:divBdr>
        <w:top w:val="none" w:sz="0" w:space="0" w:color="auto"/>
        <w:left w:val="none" w:sz="0" w:space="0" w:color="auto"/>
        <w:bottom w:val="none" w:sz="0" w:space="0" w:color="auto"/>
        <w:right w:val="none" w:sz="0" w:space="0" w:color="auto"/>
      </w:divBdr>
    </w:div>
    <w:div w:id="718669104">
      <w:bodyDiv w:val="1"/>
      <w:marLeft w:val="0"/>
      <w:marRight w:val="0"/>
      <w:marTop w:val="0"/>
      <w:marBottom w:val="0"/>
      <w:divBdr>
        <w:top w:val="none" w:sz="0" w:space="0" w:color="auto"/>
        <w:left w:val="none" w:sz="0" w:space="0" w:color="auto"/>
        <w:bottom w:val="none" w:sz="0" w:space="0" w:color="auto"/>
        <w:right w:val="none" w:sz="0" w:space="0" w:color="auto"/>
      </w:divBdr>
    </w:div>
    <w:div w:id="732852155">
      <w:bodyDiv w:val="1"/>
      <w:marLeft w:val="0"/>
      <w:marRight w:val="0"/>
      <w:marTop w:val="0"/>
      <w:marBottom w:val="0"/>
      <w:divBdr>
        <w:top w:val="none" w:sz="0" w:space="0" w:color="auto"/>
        <w:left w:val="none" w:sz="0" w:space="0" w:color="auto"/>
        <w:bottom w:val="none" w:sz="0" w:space="0" w:color="auto"/>
        <w:right w:val="none" w:sz="0" w:space="0" w:color="auto"/>
      </w:divBdr>
    </w:div>
    <w:div w:id="774522333">
      <w:bodyDiv w:val="1"/>
      <w:marLeft w:val="0"/>
      <w:marRight w:val="0"/>
      <w:marTop w:val="0"/>
      <w:marBottom w:val="0"/>
      <w:divBdr>
        <w:top w:val="none" w:sz="0" w:space="0" w:color="auto"/>
        <w:left w:val="none" w:sz="0" w:space="0" w:color="auto"/>
        <w:bottom w:val="none" w:sz="0" w:space="0" w:color="auto"/>
        <w:right w:val="none" w:sz="0" w:space="0" w:color="auto"/>
      </w:divBdr>
    </w:div>
    <w:div w:id="866144179">
      <w:bodyDiv w:val="1"/>
      <w:marLeft w:val="0"/>
      <w:marRight w:val="0"/>
      <w:marTop w:val="0"/>
      <w:marBottom w:val="0"/>
      <w:divBdr>
        <w:top w:val="none" w:sz="0" w:space="0" w:color="auto"/>
        <w:left w:val="none" w:sz="0" w:space="0" w:color="auto"/>
        <w:bottom w:val="none" w:sz="0" w:space="0" w:color="auto"/>
        <w:right w:val="none" w:sz="0" w:space="0" w:color="auto"/>
      </w:divBdr>
    </w:div>
    <w:div w:id="970134862">
      <w:bodyDiv w:val="1"/>
      <w:marLeft w:val="0"/>
      <w:marRight w:val="0"/>
      <w:marTop w:val="0"/>
      <w:marBottom w:val="0"/>
      <w:divBdr>
        <w:top w:val="none" w:sz="0" w:space="0" w:color="auto"/>
        <w:left w:val="none" w:sz="0" w:space="0" w:color="auto"/>
        <w:bottom w:val="none" w:sz="0" w:space="0" w:color="auto"/>
        <w:right w:val="none" w:sz="0" w:space="0" w:color="auto"/>
      </w:divBdr>
    </w:div>
    <w:div w:id="976766457">
      <w:bodyDiv w:val="1"/>
      <w:marLeft w:val="0"/>
      <w:marRight w:val="0"/>
      <w:marTop w:val="0"/>
      <w:marBottom w:val="0"/>
      <w:divBdr>
        <w:top w:val="none" w:sz="0" w:space="0" w:color="auto"/>
        <w:left w:val="none" w:sz="0" w:space="0" w:color="auto"/>
        <w:bottom w:val="none" w:sz="0" w:space="0" w:color="auto"/>
        <w:right w:val="none" w:sz="0" w:space="0" w:color="auto"/>
      </w:divBdr>
    </w:div>
    <w:div w:id="993221602">
      <w:bodyDiv w:val="1"/>
      <w:marLeft w:val="0"/>
      <w:marRight w:val="0"/>
      <w:marTop w:val="0"/>
      <w:marBottom w:val="0"/>
      <w:divBdr>
        <w:top w:val="none" w:sz="0" w:space="0" w:color="auto"/>
        <w:left w:val="none" w:sz="0" w:space="0" w:color="auto"/>
        <w:bottom w:val="none" w:sz="0" w:space="0" w:color="auto"/>
        <w:right w:val="none" w:sz="0" w:space="0" w:color="auto"/>
      </w:divBdr>
    </w:div>
    <w:div w:id="1040011652">
      <w:bodyDiv w:val="1"/>
      <w:marLeft w:val="0"/>
      <w:marRight w:val="0"/>
      <w:marTop w:val="0"/>
      <w:marBottom w:val="0"/>
      <w:divBdr>
        <w:top w:val="none" w:sz="0" w:space="0" w:color="auto"/>
        <w:left w:val="none" w:sz="0" w:space="0" w:color="auto"/>
        <w:bottom w:val="none" w:sz="0" w:space="0" w:color="auto"/>
        <w:right w:val="none" w:sz="0" w:space="0" w:color="auto"/>
      </w:divBdr>
    </w:div>
    <w:div w:id="1277373074">
      <w:bodyDiv w:val="1"/>
      <w:marLeft w:val="0"/>
      <w:marRight w:val="0"/>
      <w:marTop w:val="0"/>
      <w:marBottom w:val="0"/>
      <w:divBdr>
        <w:top w:val="none" w:sz="0" w:space="0" w:color="auto"/>
        <w:left w:val="none" w:sz="0" w:space="0" w:color="auto"/>
        <w:bottom w:val="none" w:sz="0" w:space="0" w:color="auto"/>
        <w:right w:val="none" w:sz="0" w:space="0" w:color="auto"/>
      </w:divBdr>
    </w:div>
    <w:div w:id="1293705038">
      <w:bodyDiv w:val="1"/>
      <w:marLeft w:val="0"/>
      <w:marRight w:val="0"/>
      <w:marTop w:val="0"/>
      <w:marBottom w:val="0"/>
      <w:divBdr>
        <w:top w:val="none" w:sz="0" w:space="0" w:color="auto"/>
        <w:left w:val="none" w:sz="0" w:space="0" w:color="auto"/>
        <w:bottom w:val="none" w:sz="0" w:space="0" w:color="auto"/>
        <w:right w:val="none" w:sz="0" w:space="0" w:color="auto"/>
      </w:divBdr>
    </w:div>
    <w:div w:id="1340963496">
      <w:bodyDiv w:val="1"/>
      <w:marLeft w:val="0"/>
      <w:marRight w:val="0"/>
      <w:marTop w:val="0"/>
      <w:marBottom w:val="0"/>
      <w:divBdr>
        <w:top w:val="none" w:sz="0" w:space="0" w:color="auto"/>
        <w:left w:val="none" w:sz="0" w:space="0" w:color="auto"/>
        <w:bottom w:val="none" w:sz="0" w:space="0" w:color="auto"/>
        <w:right w:val="none" w:sz="0" w:space="0" w:color="auto"/>
      </w:divBdr>
    </w:div>
    <w:div w:id="1362323660">
      <w:bodyDiv w:val="1"/>
      <w:marLeft w:val="0"/>
      <w:marRight w:val="0"/>
      <w:marTop w:val="0"/>
      <w:marBottom w:val="0"/>
      <w:divBdr>
        <w:top w:val="none" w:sz="0" w:space="0" w:color="auto"/>
        <w:left w:val="none" w:sz="0" w:space="0" w:color="auto"/>
        <w:bottom w:val="none" w:sz="0" w:space="0" w:color="auto"/>
        <w:right w:val="none" w:sz="0" w:space="0" w:color="auto"/>
      </w:divBdr>
    </w:div>
    <w:div w:id="1370568850">
      <w:bodyDiv w:val="1"/>
      <w:marLeft w:val="0"/>
      <w:marRight w:val="0"/>
      <w:marTop w:val="0"/>
      <w:marBottom w:val="0"/>
      <w:divBdr>
        <w:top w:val="none" w:sz="0" w:space="0" w:color="auto"/>
        <w:left w:val="none" w:sz="0" w:space="0" w:color="auto"/>
        <w:bottom w:val="none" w:sz="0" w:space="0" w:color="auto"/>
        <w:right w:val="none" w:sz="0" w:space="0" w:color="auto"/>
      </w:divBdr>
    </w:div>
    <w:div w:id="1383365131">
      <w:bodyDiv w:val="1"/>
      <w:marLeft w:val="0"/>
      <w:marRight w:val="0"/>
      <w:marTop w:val="0"/>
      <w:marBottom w:val="0"/>
      <w:divBdr>
        <w:top w:val="none" w:sz="0" w:space="0" w:color="auto"/>
        <w:left w:val="none" w:sz="0" w:space="0" w:color="auto"/>
        <w:bottom w:val="none" w:sz="0" w:space="0" w:color="auto"/>
        <w:right w:val="none" w:sz="0" w:space="0" w:color="auto"/>
      </w:divBdr>
    </w:div>
    <w:div w:id="1420322557">
      <w:bodyDiv w:val="1"/>
      <w:marLeft w:val="0"/>
      <w:marRight w:val="0"/>
      <w:marTop w:val="0"/>
      <w:marBottom w:val="0"/>
      <w:divBdr>
        <w:top w:val="none" w:sz="0" w:space="0" w:color="auto"/>
        <w:left w:val="none" w:sz="0" w:space="0" w:color="auto"/>
        <w:bottom w:val="none" w:sz="0" w:space="0" w:color="auto"/>
        <w:right w:val="none" w:sz="0" w:space="0" w:color="auto"/>
      </w:divBdr>
    </w:div>
    <w:div w:id="1466197188">
      <w:bodyDiv w:val="1"/>
      <w:marLeft w:val="0"/>
      <w:marRight w:val="0"/>
      <w:marTop w:val="0"/>
      <w:marBottom w:val="0"/>
      <w:divBdr>
        <w:top w:val="none" w:sz="0" w:space="0" w:color="auto"/>
        <w:left w:val="none" w:sz="0" w:space="0" w:color="auto"/>
        <w:bottom w:val="none" w:sz="0" w:space="0" w:color="auto"/>
        <w:right w:val="none" w:sz="0" w:space="0" w:color="auto"/>
      </w:divBdr>
    </w:div>
    <w:div w:id="1499225622">
      <w:bodyDiv w:val="1"/>
      <w:marLeft w:val="0"/>
      <w:marRight w:val="0"/>
      <w:marTop w:val="0"/>
      <w:marBottom w:val="0"/>
      <w:divBdr>
        <w:top w:val="none" w:sz="0" w:space="0" w:color="auto"/>
        <w:left w:val="none" w:sz="0" w:space="0" w:color="auto"/>
        <w:bottom w:val="none" w:sz="0" w:space="0" w:color="auto"/>
        <w:right w:val="none" w:sz="0" w:space="0" w:color="auto"/>
      </w:divBdr>
    </w:div>
    <w:div w:id="1556745349">
      <w:bodyDiv w:val="1"/>
      <w:marLeft w:val="0"/>
      <w:marRight w:val="0"/>
      <w:marTop w:val="0"/>
      <w:marBottom w:val="0"/>
      <w:divBdr>
        <w:top w:val="none" w:sz="0" w:space="0" w:color="auto"/>
        <w:left w:val="none" w:sz="0" w:space="0" w:color="auto"/>
        <w:bottom w:val="none" w:sz="0" w:space="0" w:color="auto"/>
        <w:right w:val="none" w:sz="0" w:space="0" w:color="auto"/>
      </w:divBdr>
    </w:div>
    <w:div w:id="1629435398">
      <w:bodyDiv w:val="1"/>
      <w:marLeft w:val="0"/>
      <w:marRight w:val="0"/>
      <w:marTop w:val="0"/>
      <w:marBottom w:val="0"/>
      <w:divBdr>
        <w:top w:val="none" w:sz="0" w:space="0" w:color="auto"/>
        <w:left w:val="none" w:sz="0" w:space="0" w:color="auto"/>
        <w:bottom w:val="none" w:sz="0" w:space="0" w:color="auto"/>
        <w:right w:val="none" w:sz="0" w:space="0" w:color="auto"/>
      </w:divBdr>
    </w:div>
    <w:div w:id="1635256307">
      <w:bodyDiv w:val="1"/>
      <w:marLeft w:val="0"/>
      <w:marRight w:val="0"/>
      <w:marTop w:val="0"/>
      <w:marBottom w:val="0"/>
      <w:divBdr>
        <w:top w:val="none" w:sz="0" w:space="0" w:color="auto"/>
        <w:left w:val="none" w:sz="0" w:space="0" w:color="auto"/>
        <w:bottom w:val="none" w:sz="0" w:space="0" w:color="auto"/>
        <w:right w:val="none" w:sz="0" w:space="0" w:color="auto"/>
      </w:divBdr>
    </w:div>
    <w:div w:id="1666930131">
      <w:bodyDiv w:val="1"/>
      <w:marLeft w:val="0"/>
      <w:marRight w:val="0"/>
      <w:marTop w:val="0"/>
      <w:marBottom w:val="0"/>
      <w:divBdr>
        <w:top w:val="none" w:sz="0" w:space="0" w:color="auto"/>
        <w:left w:val="none" w:sz="0" w:space="0" w:color="auto"/>
        <w:bottom w:val="none" w:sz="0" w:space="0" w:color="auto"/>
        <w:right w:val="none" w:sz="0" w:space="0" w:color="auto"/>
      </w:divBdr>
    </w:div>
    <w:div w:id="1759591953">
      <w:bodyDiv w:val="1"/>
      <w:marLeft w:val="0"/>
      <w:marRight w:val="0"/>
      <w:marTop w:val="0"/>
      <w:marBottom w:val="0"/>
      <w:divBdr>
        <w:top w:val="none" w:sz="0" w:space="0" w:color="auto"/>
        <w:left w:val="none" w:sz="0" w:space="0" w:color="auto"/>
        <w:bottom w:val="none" w:sz="0" w:space="0" w:color="auto"/>
        <w:right w:val="none" w:sz="0" w:space="0" w:color="auto"/>
      </w:divBdr>
    </w:div>
    <w:div w:id="1760834826">
      <w:bodyDiv w:val="1"/>
      <w:marLeft w:val="0"/>
      <w:marRight w:val="0"/>
      <w:marTop w:val="0"/>
      <w:marBottom w:val="0"/>
      <w:divBdr>
        <w:top w:val="none" w:sz="0" w:space="0" w:color="auto"/>
        <w:left w:val="none" w:sz="0" w:space="0" w:color="auto"/>
        <w:bottom w:val="none" w:sz="0" w:space="0" w:color="auto"/>
        <w:right w:val="none" w:sz="0" w:space="0" w:color="auto"/>
      </w:divBdr>
    </w:div>
    <w:div w:id="2086946991">
      <w:bodyDiv w:val="1"/>
      <w:marLeft w:val="0"/>
      <w:marRight w:val="0"/>
      <w:marTop w:val="0"/>
      <w:marBottom w:val="0"/>
      <w:divBdr>
        <w:top w:val="none" w:sz="0" w:space="0" w:color="auto"/>
        <w:left w:val="none" w:sz="0" w:space="0" w:color="auto"/>
        <w:bottom w:val="none" w:sz="0" w:space="0" w:color="auto"/>
        <w:right w:val="none" w:sz="0" w:space="0" w:color="auto"/>
      </w:divBdr>
    </w:div>
    <w:div w:id="214199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A658B-3149-4F48-B5F4-06F3F7A9B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6002</Words>
  <Characters>33017</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2</cp:revision>
  <cp:lastPrinted>2025-11-14T06:23:00Z</cp:lastPrinted>
  <dcterms:created xsi:type="dcterms:W3CDTF">2025-12-08T23:45:00Z</dcterms:created>
  <dcterms:modified xsi:type="dcterms:W3CDTF">2025-12-08T23:45:00Z</dcterms:modified>
</cp:coreProperties>
</file>