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10B03" w:rsidRPr="003766AF" w:rsidRDefault="00575144" w:rsidP="00575144">
      <w:pPr>
        <w:tabs>
          <w:tab w:val="left" w:pos="0"/>
        </w:tabs>
        <w:spacing w:line="360" w:lineRule="auto"/>
        <w:jc w:val="both"/>
        <w:rPr>
          <w:rFonts w:ascii="Palatino Linotype" w:eastAsia="Palatino Linotype" w:hAnsi="Palatino Linotype" w:cs="Palatino Linotype"/>
          <w:color w:val="000000" w:themeColor="text1"/>
        </w:rPr>
      </w:pPr>
      <w:bookmarkStart w:id="0" w:name="_GoBack"/>
      <w:bookmarkEnd w:id="0"/>
      <w:r w:rsidRPr="003766AF">
        <w:rPr>
          <w:rFonts w:ascii="Palatino Linotype" w:eastAsia="Palatino Linotype" w:hAnsi="Palatino Linotype" w:cs="Palatino Linotype"/>
          <w:color w:val="000000" w:themeColor="text1"/>
        </w:rPr>
        <w:t xml:space="preserve">Resolución del Pleno del Instituto de Transparencia, Acceso a la Información Pública y Protección de Datos Personales del Estado de México y Municipios, con domicilio en Metepec, Estado de México; </w:t>
      </w:r>
      <w:r w:rsidR="006A3627">
        <w:rPr>
          <w:rFonts w:ascii="Palatino Linotype" w:eastAsia="Palatino Linotype" w:hAnsi="Palatino Linotype" w:cs="Palatino Linotype"/>
          <w:b/>
          <w:color w:val="000000" w:themeColor="text1"/>
        </w:rPr>
        <w:t>de fecha</w:t>
      </w:r>
      <w:r w:rsidRPr="003766AF">
        <w:rPr>
          <w:rFonts w:ascii="Palatino Linotype" w:eastAsia="Palatino Linotype" w:hAnsi="Palatino Linotype" w:cs="Palatino Linotype"/>
          <w:b/>
          <w:color w:val="000000" w:themeColor="text1"/>
        </w:rPr>
        <w:t xml:space="preserve"> diez </w:t>
      </w:r>
      <w:r w:rsidR="006A3627">
        <w:rPr>
          <w:rFonts w:ascii="Palatino Linotype" w:eastAsia="Palatino Linotype" w:hAnsi="Palatino Linotype" w:cs="Palatino Linotype"/>
          <w:b/>
          <w:color w:val="000000" w:themeColor="text1"/>
        </w:rPr>
        <w:t xml:space="preserve">(10) </w:t>
      </w:r>
      <w:r w:rsidRPr="003766AF">
        <w:rPr>
          <w:rFonts w:ascii="Palatino Linotype" w:eastAsia="Palatino Linotype" w:hAnsi="Palatino Linotype" w:cs="Palatino Linotype"/>
          <w:b/>
          <w:color w:val="000000" w:themeColor="text1"/>
        </w:rPr>
        <w:t>de septiembre de dos mil veinticinco.</w:t>
      </w:r>
      <w:r w:rsidRPr="003766AF">
        <w:rPr>
          <w:rFonts w:ascii="Palatino Linotype" w:eastAsia="Palatino Linotype" w:hAnsi="Palatino Linotype" w:cs="Palatino Linotype"/>
          <w:color w:val="000000" w:themeColor="text1"/>
        </w:rPr>
        <w:t xml:space="preserve"> </w:t>
      </w:r>
    </w:p>
    <w:p w:rsidR="00B10B03" w:rsidRPr="003766AF" w:rsidRDefault="00B10B03" w:rsidP="00575144">
      <w:pPr>
        <w:tabs>
          <w:tab w:val="left" w:pos="0"/>
        </w:tabs>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b/>
          <w:color w:val="000000" w:themeColor="text1"/>
        </w:rPr>
        <w:t>VISTO</w:t>
      </w:r>
      <w:r w:rsidRPr="003766AF">
        <w:rPr>
          <w:rFonts w:ascii="Palatino Linotype" w:eastAsia="Palatino Linotype" w:hAnsi="Palatino Linotype" w:cs="Palatino Linotype"/>
          <w:color w:val="000000" w:themeColor="text1"/>
        </w:rPr>
        <w:t xml:space="preserve"> el expediente electrónico formado con motivo del recurso de revisión </w:t>
      </w:r>
      <w:r w:rsidRPr="003766AF">
        <w:rPr>
          <w:rFonts w:ascii="Palatino Linotype" w:eastAsia="Palatino Linotype" w:hAnsi="Palatino Linotype" w:cs="Palatino Linotype"/>
          <w:b/>
          <w:color w:val="000000" w:themeColor="text1"/>
        </w:rPr>
        <w:t xml:space="preserve">07368/INFOEM/IP/RR/2025, </w:t>
      </w:r>
      <w:r w:rsidRPr="003766AF">
        <w:rPr>
          <w:rFonts w:ascii="Palatino Linotype" w:eastAsia="Palatino Linotype" w:hAnsi="Palatino Linotype" w:cs="Palatino Linotype"/>
          <w:color w:val="000000" w:themeColor="text1"/>
        </w:rPr>
        <w:t xml:space="preserve">promovido por </w:t>
      </w:r>
      <w:r w:rsidR="00F2587E">
        <w:rPr>
          <w:rFonts w:ascii="Palatino Linotype" w:eastAsia="Palatino Linotype" w:hAnsi="Palatino Linotype" w:cs="Palatino Linotype"/>
          <w:b/>
          <w:color w:val="000000" w:themeColor="text1"/>
        </w:rPr>
        <w:t>XXXX</w:t>
      </w:r>
      <w:r w:rsidRPr="003766AF">
        <w:rPr>
          <w:rFonts w:ascii="Palatino Linotype" w:eastAsia="Palatino Linotype" w:hAnsi="Palatino Linotype" w:cs="Palatino Linotype"/>
          <w:color w:val="000000" w:themeColor="text1"/>
        </w:rPr>
        <w:t xml:space="preserve">, a través del Sistema de Acceso a la Información Mexiquense (SAIMEX), a quien en lo sucesivo se le identificará como </w:t>
      </w:r>
      <w:r w:rsidRPr="003766AF">
        <w:rPr>
          <w:rFonts w:ascii="Palatino Linotype" w:eastAsia="Palatino Linotype" w:hAnsi="Palatino Linotype" w:cs="Palatino Linotype"/>
          <w:b/>
          <w:color w:val="000000" w:themeColor="text1"/>
        </w:rPr>
        <w:t>EL RECURRENTE</w:t>
      </w:r>
      <w:r w:rsidRPr="003766AF">
        <w:rPr>
          <w:rFonts w:ascii="Palatino Linotype" w:eastAsia="Palatino Linotype" w:hAnsi="Palatino Linotype" w:cs="Palatino Linotype"/>
          <w:color w:val="000000" w:themeColor="text1"/>
        </w:rPr>
        <w:t xml:space="preserve">, en contra de la respuesta del </w:t>
      </w:r>
      <w:r w:rsidRPr="003766AF">
        <w:rPr>
          <w:rFonts w:ascii="Palatino Linotype" w:eastAsia="Palatino Linotype" w:hAnsi="Palatino Linotype" w:cs="Palatino Linotype"/>
          <w:b/>
          <w:color w:val="000000" w:themeColor="text1"/>
        </w:rPr>
        <w:t>Ayuntamiento de Ozumba</w:t>
      </w:r>
      <w:r w:rsidRPr="003766AF">
        <w:rPr>
          <w:rFonts w:ascii="Palatino Linotype" w:eastAsia="Palatino Linotype" w:hAnsi="Palatino Linotype" w:cs="Palatino Linotype"/>
          <w:color w:val="000000" w:themeColor="text1"/>
        </w:rPr>
        <w:t xml:space="preserve">, en </w:t>
      </w:r>
      <w:r w:rsidR="006A3627">
        <w:rPr>
          <w:rFonts w:ascii="Palatino Linotype" w:eastAsia="Palatino Linotype" w:hAnsi="Palatino Linotype" w:cs="Palatino Linotype"/>
          <w:color w:val="000000" w:themeColor="text1"/>
        </w:rPr>
        <w:t>adelante</w:t>
      </w:r>
      <w:r w:rsidRPr="003766AF">
        <w:rPr>
          <w:rFonts w:ascii="Palatino Linotype" w:eastAsia="Palatino Linotype" w:hAnsi="Palatino Linotype" w:cs="Palatino Linotype"/>
          <w:color w:val="000000" w:themeColor="text1"/>
        </w:rPr>
        <w:t xml:space="preserve"> </w:t>
      </w:r>
      <w:r w:rsidRPr="003766AF">
        <w:rPr>
          <w:rFonts w:ascii="Palatino Linotype" w:eastAsia="Palatino Linotype" w:hAnsi="Palatino Linotype" w:cs="Palatino Linotype"/>
          <w:b/>
          <w:color w:val="000000" w:themeColor="text1"/>
        </w:rPr>
        <w:t>EL SUJETO OBLIGADO</w:t>
      </w:r>
      <w:r w:rsidRPr="003766AF">
        <w:rPr>
          <w:rFonts w:ascii="Palatino Linotype" w:eastAsia="Palatino Linotype" w:hAnsi="Palatino Linotype" w:cs="Palatino Linotype"/>
          <w:color w:val="000000" w:themeColor="text1"/>
        </w:rPr>
        <w:t>, se procede a dictar la presente resolución, con base en los siguientes:</w:t>
      </w:r>
    </w:p>
    <w:p w:rsidR="00B10B03" w:rsidRPr="003766AF" w:rsidRDefault="00B10B03" w:rsidP="00575144">
      <w:pP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keepNext/>
        <w:keepLines/>
        <w:tabs>
          <w:tab w:val="left" w:pos="0"/>
        </w:tabs>
        <w:spacing w:line="360" w:lineRule="auto"/>
        <w:jc w:val="center"/>
        <w:rPr>
          <w:rFonts w:ascii="Palatino Linotype" w:eastAsia="Palatino Linotype" w:hAnsi="Palatino Linotype" w:cs="Palatino Linotype"/>
          <w:b/>
          <w:color w:val="000000" w:themeColor="text1"/>
        </w:rPr>
      </w:pPr>
      <w:bookmarkStart w:id="1" w:name="_heading=h.1rxfmt2qer3l" w:colFirst="0" w:colLast="0"/>
      <w:bookmarkEnd w:id="1"/>
      <w:r w:rsidRPr="003766AF">
        <w:rPr>
          <w:rFonts w:ascii="Palatino Linotype" w:eastAsia="Palatino Linotype" w:hAnsi="Palatino Linotype" w:cs="Palatino Linotype"/>
          <w:b/>
          <w:color w:val="000000" w:themeColor="text1"/>
        </w:rPr>
        <w:t>A</w:t>
      </w:r>
      <w:r w:rsidR="006A3627">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b/>
          <w:color w:val="000000" w:themeColor="text1"/>
        </w:rPr>
        <w:t>N</w:t>
      </w:r>
      <w:r w:rsidR="006A3627">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b/>
          <w:color w:val="000000" w:themeColor="text1"/>
        </w:rPr>
        <w:t>T</w:t>
      </w:r>
      <w:r w:rsidR="006A3627">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b/>
          <w:color w:val="000000" w:themeColor="text1"/>
        </w:rPr>
        <w:t>E</w:t>
      </w:r>
      <w:r w:rsidR="006A3627">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b/>
          <w:color w:val="000000" w:themeColor="text1"/>
        </w:rPr>
        <w:t>C</w:t>
      </w:r>
      <w:r w:rsidR="006A3627">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b/>
          <w:color w:val="000000" w:themeColor="text1"/>
        </w:rPr>
        <w:t>E</w:t>
      </w:r>
      <w:r w:rsidR="006A3627">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b/>
          <w:color w:val="000000" w:themeColor="text1"/>
        </w:rPr>
        <w:t>D</w:t>
      </w:r>
      <w:r w:rsidR="006A3627">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b/>
          <w:color w:val="000000" w:themeColor="text1"/>
        </w:rPr>
        <w:t>E</w:t>
      </w:r>
      <w:r w:rsidR="006A3627">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b/>
          <w:color w:val="000000" w:themeColor="text1"/>
        </w:rPr>
        <w:t>N</w:t>
      </w:r>
      <w:r w:rsidR="006A3627">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b/>
          <w:color w:val="000000" w:themeColor="text1"/>
        </w:rPr>
        <w:t>T</w:t>
      </w:r>
      <w:r w:rsidR="006A3627">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b/>
          <w:color w:val="000000" w:themeColor="text1"/>
        </w:rPr>
        <w:t>E</w:t>
      </w:r>
      <w:r w:rsidR="006A3627">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b/>
          <w:color w:val="000000" w:themeColor="text1"/>
        </w:rPr>
        <w:t>S</w:t>
      </w:r>
      <w:r w:rsidR="006A3627">
        <w:rPr>
          <w:rFonts w:ascii="Palatino Linotype" w:eastAsia="Palatino Linotype" w:hAnsi="Palatino Linotype" w:cs="Palatino Linotype"/>
          <w:b/>
          <w:color w:val="000000" w:themeColor="text1"/>
        </w:rPr>
        <w:t xml:space="preserve"> </w:t>
      </w:r>
    </w:p>
    <w:p w:rsidR="00B10B03" w:rsidRPr="003766AF" w:rsidRDefault="00B10B03" w:rsidP="00575144">
      <w:pPr>
        <w:keepNext/>
        <w:keepLines/>
        <w:tabs>
          <w:tab w:val="left" w:pos="0"/>
        </w:tabs>
        <w:spacing w:line="360" w:lineRule="auto"/>
        <w:jc w:val="center"/>
        <w:rPr>
          <w:rFonts w:ascii="Palatino Linotype" w:eastAsia="Palatino Linotype" w:hAnsi="Palatino Linotype" w:cs="Palatino Linotype"/>
          <w:b/>
          <w:color w:val="000000" w:themeColor="text1"/>
        </w:rPr>
      </w:pPr>
    </w:p>
    <w:p w:rsidR="00B10B03" w:rsidRPr="003766AF" w:rsidRDefault="00575144" w:rsidP="00575144">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El </w:t>
      </w:r>
      <w:r w:rsidRPr="003766AF">
        <w:rPr>
          <w:rFonts w:ascii="Palatino Linotype" w:eastAsia="Palatino Linotype" w:hAnsi="Palatino Linotype" w:cs="Palatino Linotype"/>
          <w:b/>
          <w:color w:val="000000" w:themeColor="text1"/>
        </w:rPr>
        <w:t>cinco de junio de dos mil veinticinco</w:t>
      </w:r>
      <w:r w:rsidRPr="003766AF">
        <w:rPr>
          <w:rFonts w:ascii="Palatino Linotype" w:eastAsia="Palatino Linotype" w:hAnsi="Palatino Linotype" w:cs="Palatino Linotype"/>
          <w:color w:val="000000" w:themeColor="text1"/>
        </w:rPr>
        <w:t>, el</w:t>
      </w:r>
      <w:r w:rsidRPr="003766AF">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color w:val="000000" w:themeColor="text1"/>
        </w:rPr>
        <w:t>solicitante</w:t>
      </w:r>
      <w:r w:rsidRPr="003766AF">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color w:val="000000" w:themeColor="text1"/>
        </w:rPr>
        <w:t>presentó</w:t>
      </w:r>
      <w:r w:rsidRPr="003766AF">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color w:val="000000" w:themeColor="text1"/>
        </w:rPr>
        <w:t xml:space="preserve">ante el </w:t>
      </w:r>
      <w:r w:rsidRPr="003766AF">
        <w:rPr>
          <w:rFonts w:ascii="Palatino Linotype" w:eastAsia="Palatino Linotype" w:hAnsi="Palatino Linotype" w:cs="Palatino Linotype"/>
          <w:b/>
          <w:color w:val="000000" w:themeColor="text1"/>
        </w:rPr>
        <w:t>SUJETO OBLIGADO,</w:t>
      </w:r>
      <w:r w:rsidRPr="003766AF">
        <w:rPr>
          <w:rFonts w:ascii="Palatino Linotype" w:eastAsia="Palatino Linotype" w:hAnsi="Palatino Linotype" w:cs="Palatino Linotype"/>
          <w:color w:val="000000" w:themeColor="text1"/>
        </w:rPr>
        <w:t xml:space="preserve"> a través del Sistema de Acceso a la Información Mexiquense (SAIMEX), la solicitud de información pública registrada con el número </w:t>
      </w:r>
      <w:r w:rsidRPr="003766AF">
        <w:rPr>
          <w:rFonts w:ascii="Palatino Linotype" w:eastAsia="Palatino Linotype" w:hAnsi="Palatino Linotype" w:cs="Palatino Linotype"/>
          <w:b/>
          <w:color w:val="000000" w:themeColor="text1"/>
        </w:rPr>
        <w:t>00122/OZUMBA/IP/2025</w:t>
      </w:r>
      <w:r w:rsidRPr="003766AF">
        <w:rPr>
          <w:rFonts w:ascii="Palatino Linotype" w:eastAsia="Palatino Linotype" w:hAnsi="Palatino Linotype" w:cs="Palatino Linotype"/>
          <w:color w:val="000000" w:themeColor="text1"/>
        </w:rPr>
        <w:t xml:space="preserve">, </w:t>
      </w:r>
      <w:r w:rsidR="00F2587E">
        <w:rPr>
          <w:rFonts w:ascii="Palatino Linotype" w:eastAsia="Palatino Linotype" w:hAnsi="Palatino Linotype" w:cs="Palatino Linotype"/>
          <w:color w:val="000000" w:themeColor="text1"/>
        </w:rPr>
        <w:t>en la que</w:t>
      </w:r>
      <w:r w:rsidRPr="003766AF">
        <w:rPr>
          <w:rFonts w:ascii="Palatino Linotype" w:eastAsia="Palatino Linotype" w:hAnsi="Palatino Linotype" w:cs="Palatino Linotype"/>
          <w:color w:val="000000" w:themeColor="text1"/>
        </w:rPr>
        <w:t xml:space="preserve"> se solicitó:</w:t>
      </w:r>
    </w:p>
    <w:p w:rsidR="00B10B03" w:rsidRPr="003766AF" w:rsidRDefault="00B10B03" w:rsidP="00575144">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“Solicito recibo del último nómina de la C. Thelma Valencia Valencia, así cómo certificado de competencia laboral y documentación que acredite que cuenta con la experiencia necesaria para desempeñar el cargo conferido como titular de la unidad de Transparencia.”. (Sic.)</w:t>
      </w:r>
    </w:p>
    <w:p w:rsidR="00B10B03" w:rsidRDefault="00B10B03" w:rsidP="00575144">
      <w:pPr>
        <w:tabs>
          <w:tab w:val="left" w:pos="0"/>
        </w:tabs>
        <w:spacing w:line="360" w:lineRule="auto"/>
        <w:jc w:val="both"/>
        <w:rPr>
          <w:rFonts w:ascii="Palatino Linotype" w:eastAsia="Palatino Linotype" w:hAnsi="Palatino Linotype" w:cs="Palatino Linotype"/>
          <w:color w:val="000000" w:themeColor="text1"/>
        </w:rPr>
      </w:pPr>
    </w:p>
    <w:p w:rsidR="006A3627" w:rsidRPr="003766AF" w:rsidRDefault="006A3627" w:rsidP="00575144">
      <w:pPr>
        <w:tabs>
          <w:tab w:val="left" w:pos="0"/>
        </w:tabs>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color w:val="000000" w:themeColor="text1"/>
        </w:rPr>
        <w:t>Se hace constar que se señaló como modalidad de entrega de la información a través de SAIMEX.</w:t>
      </w:r>
    </w:p>
    <w:p w:rsidR="00B10B03" w:rsidRPr="003766AF" w:rsidRDefault="00B10B03" w:rsidP="00575144">
      <w:pPr>
        <w:rPr>
          <w:rFonts w:ascii="Palatino Linotype" w:eastAsia="Palatino Linotype" w:hAnsi="Palatino Linotype" w:cs="Palatino Linotype"/>
          <w:color w:val="000000" w:themeColor="text1"/>
        </w:rPr>
      </w:pPr>
    </w:p>
    <w:p w:rsidR="00B10B03" w:rsidRPr="003766AF" w:rsidRDefault="00575144" w:rsidP="00575144">
      <w:pPr>
        <w:numPr>
          <w:ilvl w:val="0"/>
          <w:numId w:val="1"/>
        </w:numPr>
        <w:tabs>
          <w:tab w:val="left" w:pos="0"/>
        </w:tabs>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lastRenderedPageBreak/>
        <w:t xml:space="preserve">El </w:t>
      </w:r>
      <w:r w:rsidRPr="003766AF">
        <w:rPr>
          <w:rFonts w:ascii="Palatino Linotype" w:eastAsia="Palatino Linotype" w:hAnsi="Palatino Linotype" w:cs="Palatino Linotype"/>
          <w:b/>
          <w:color w:val="000000" w:themeColor="text1"/>
        </w:rPr>
        <w:t>seis de junio de dos mil veinticinco</w:t>
      </w:r>
      <w:r w:rsidRPr="003766AF">
        <w:rPr>
          <w:rFonts w:ascii="Palatino Linotype" w:eastAsia="Palatino Linotype" w:hAnsi="Palatino Linotype" w:cs="Palatino Linotype"/>
          <w:color w:val="000000" w:themeColor="text1"/>
        </w:rPr>
        <w:t>, el Sujeto Obligado dio respuesta a la solicitud de información en el siguiente sentido:</w:t>
      </w:r>
    </w:p>
    <w:p w:rsidR="00B10B03" w:rsidRPr="003766AF" w:rsidRDefault="00575144" w:rsidP="00575144">
      <w:pP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“En respuesta a la solicitud recibida, nos permitimos hacer de su conocimiento que con fundamento en el artículo 53, Fracciones: II, V y VI de la Ley de Transparencia y Acceso a la Información Pública del Estado de México y Municipios, le contestamos que::</w:t>
      </w:r>
    </w:p>
    <w:p w:rsidR="00B10B03" w:rsidRPr="003766AF" w:rsidRDefault="00B10B03" w:rsidP="00575144">
      <w:pPr>
        <w:jc w:val="both"/>
        <w:rPr>
          <w:rFonts w:ascii="Palatino Linotype" w:eastAsia="Palatino Linotype" w:hAnsi="Palatino Linotype" w:cs="Palatino Linotype"/>
          <w:i/>
          <w:color w:val="000000" w:themeColor="text1"/>
        </w:rPr>
      </w:pPr>
    </w:p>
    <w:p w:rsidR="00B10B03" w:rsidRPr="003766AF" w:rsidRDefault="00575144" w:rsidP="00575144">
      <w:pP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estimado solicitante adjunto al presente contestación por parte del servidor Publico Habilitado así como de la Titular de Transparencia en formato pdf SIC. sin mas por el momento me despido de usted quedando atenta para cualquier duda o aclaración.” (Sic)</w:t>
      </w:r>
    </w:p>
    <w:p w:rsidR="00B10B03" w:rsidRPr="003766AF" w:rsidRDefault="00B10B03" w:rsidP="00575144">
      <w:pPr>
        <w:tabs>
          <w:tab w:val="left" w:pos="0"/>
        </w:tabs>
        <w:spacing w:line="360" w:lineRule="auto"/>
        <w:jc w:val="both"/>
        <w:rPr>
          <w:rFonts w:ascii="Palatino Linotype" w:eastAsia="Palatino Linotype" w:hAnsi="Palatino Linotype" w:cs="Palatino Linotype"/>
          <w:color w:val="000000" w:themeColor="text1"/>
        </w:rPr>
      </w:pPr>
      <w:bookmarkStart w:id="2" w:name="_heading=h.fd9nrwokjrg5" w:colFirst="0" w:colLast="0"/>
      <w:bookmarkEnd w:id="2"/>
    </w:p>
    <w:p w:rsidR="00B10B03" w:rsidRPr="003766AF" w:rsidRDefault="00575144" w:rsidP="00575144">
      <w:pPr>
        <w:numPr>
          <w:ilvl w:val="0"/>
          <w:numId w:val="15"/>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Se adjuntaron los siguientes archivos electrónicos:</w:t>
      </w:r>
    </w:p>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B10B03" w:rsidRPr="003766AF" w:rsidRDefault="00575144" w:rsidP="00575144">
      <w:pPr>
        <w:numPr>
          <w:ilvl w:val="0"/>
          <w:numId w:val="1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766AF">
        <w:rPr>
          <w:rFonts w:ascii="Palatino Linotype" w:eastAsia="Palatino Linotype" w:hAnsi="Palatino Linotype" w:cs="Palatino Linotype"/>
          <w:b/>
          <w:color w:val="000000" w:themeColor="text1"/>
        </w:rPr>
        <w:t xml:space="preserve">00122.pdf: </w:t>
      </w:r>
      <w:r w:rsidRPr="003766AF">
        <w:rPr>
          <w:rFonts w:ascii="Palatino Linotype" w:eastAsia="Palatino Linotype" w:hAnsi="Palatino Linotype" w:cs="Palatino Linotype"/>
          <w:color w:val="000000" w:themeColor="text1"/>
        </w:rPr>
        <w:t>Contiene dos documentos, los cuales se describirán a continuación</w:t>
      </w:r>
      <w:r w:rsidR="006A3627">
        <w:rPr>
          <w:rFonts w:ascii="Palatino Linotype" w:eastAsia="Palatino Linotype" w:hAnsi="Palatino Linotype" w:cs="Palatino Linotype"/>
          <w:color w:val="000000" w:themeColor="text1"/>
        </w:rPr>
        <w:t>:</w:t>
      </w:r>
    </w:p>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B10B03" w:rsidRPr="003766AF" w:rsidRDefault="00575144" w:rsidP="006A3627">
      <w:pPr>
        <w:numPr>
          <w:ilvl w:val="1"/>
          <w:numId w:val="17"/>
        </w:numPr>
        <w:pBdr>
          <w:top w:val="nil"/>
          <w:left w:val="nil"/>
          <w:bottom w:val="nil"/>
          <w:right w:val="nil"/>
          <w:between w:val="nil"/>
        </w:pBdr>
        <w:spacing w:line="360" w:lineRule="auto"/>
        <w:ind w:left="426"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Oficio TM/OZU/515/2025, de fecha seis de junio de dos mil veinticinco, suscrito por el Tesorero Municipal, mediante el cual refiere adjuntar la información solicitada.</w:t>
      </w:r>
    </w:p>
    <w:p w:rsidR="00B10B03" w:rsidRPr="003766AF" w:rsidRDefault="00575144" w:rsidP="006A3627">
      <w:pPr>
        <w:numPr>
          <w:ilvl w:val="1"/>
          <w:numId w:val="17"/>
        </w:numPr>
        <w:pBdr>
          <w:top w:val="nil"/>
          <w:left w:val="nil"/>
          <w:bottom w:val="nil"/>
          <w:right w:val="nil"/>
          <w:between w:val="nil"/>
        </w:pBdr>
        <w:spacing w:line="360" w:lineRule="auto"/>
        <w:ind w:left="426"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Recibo de nómina correspondiente a la segunda quincena de mayo de dos mil veinticinco a nombre de la servidora pública de la que se solicita la información.</w:t>
      </w:r>
    </w:p>
    <w:p w:rsidR="00B10B03" w:rsidRPr="003766AF" w:rsidRDefault="00575144" w:rsidP="006A3627">
      <w:pPr>
        <w:numPr>
          <w:ilvl w:val="1"/>
          <w:numId w:val="17"/>
        </w:numPr>
        <w:pBdr>
          <w:top w:val="nil"/>
          <w:left w:val="nil"/>
          <w:bottom w:val="nil"/>
          <w:right w:val="nil"/>
          <w:between w:val="nil"/>
        </w:pBdr>
        <w:spacing w:line="360" w:lineRule="auto"/>
        <w:ind w:left="426"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Oficio UTAIPM/OZU/279/2025, de fecha seis de junio de dos mil veinticinco, suscrito por la Titular de la Unidad de Transparencia, mediante el cual refiere lo siguiente:</w:t>
      </w:r>
    </w:p>
    <w:p w:rsidR="00B10B03" w:rsidRPr="003766AF" w:rsidRDefault="00575144" w:rsidP="006A3627">
      <w:pPr>
        <w:pBdr>
          <w:top w:val="nil"/>
          <w:left w:val="nil"/>
          <w:bottom w:val="nil"/>
          <w:right w:val="nil"/>
          <w:between w:val="nil"/>
        </w:pBdr>
        <w:spacing w:line="360" w:lineRule="auto"/>
        <w:ind w:left="426"/>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 en cuanto al recibo del “ultimo nomina” de la C. Thelma Valencia Valencia, adjunto al presente ultimo recibo de nómina versión pública en formato pdf.</w:t>
      </w:r>
    </w:p>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B10B03" w:rsidRPr="003766AF" w:rsidRDefault="00575144" w:rsidP="0057514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 xml:space="preserve">En cuanto al certificado de competencia laboral </w:t>
      </w:r>
      <w:r w:rsidRPr="003766AF">
        <w:rPr>
          <w:rFonts w:ascii="Palatino Linotype" w:eastAsia="Palatino Linotype" w:hAnsi="Palatino Linotype" w:cs="Palatino Linotype"/>
          <w:b/>
          <w:i/>
          <w:color w:val="000000" w:themeColor="text1"/>
          <w:u w:val="single"/>
        </w:rPr>
        <w:t>BAJO PROTESTA DE DECIR VERDAD</w:t>
      </w:r>
      <w:r w:rsidRPr="003766AF">
        <w:rPr>
          <w:rFonts w:ascii="Palatino Linotype" w:eastAsia="Palatino Linotype" w:hAnsi="Palatino Linotype" w:cs="Palatino Linotype"/>
          <w:i/>
          <w:color w:val="000000" w:themeColor="text1"/>
        </w:rPr>
        <w:t>, hago de conocimiento que lo solicitado se encuentra en proceso ya que me encuentro en término a la fecha de mi ingreso.</w:t>
      </w:r>
    </w:p>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B10B03" w:rsidRPr="003766AF" w:rsidRDefault="00575144" w:rsidP="0057514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lastRenderedPageBreak/>
        <w:t>En cuanto a la experiencia hago de conocimiento que me encuentro en capacitaciones para lo cual adjunto currículum versión pública en formato pdf y que el soporte del contenido fue cotejado por el área correspondiente…”</w:t>
      </w:r>
    </w:p>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7"/>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766AF">
        <w:rPr>
          <w:rFonts w:ascii="Palatino Linotype" w:eastAsia="Palatino Linotype" w:hAnsi="Palatino Linotype" w:cs="Palatino Linotype"/>
          <w:b/>
          <w:color w:val="000000" w:themeColor="text1"/>
        </w:rPr>
        <w:t xml:space="preserve">CURRUCULUM VITAE VERSION PUBLICA.pdf: </w:t>
      </w:r>
      <w:r w:rsidRPr="003766AF">
        <w:rPr>
          <w:rFonts w:ascii="Palatino Linotype" w:eastAsia="Palatino Linotype" w:hAnsi="Palatino Linotype" w:cs="Palatino Linotype"/>
          <w:color w:val="000000" w:themeColor="text1"/>
        </w:rPr>
        <w:t>Currículum constante de dos fojas, a nombre de la actual titular de la Unidad de Transparencia del Ayuntamiento de Ozumba, documento que describe la Experiencia Laboral con la que cuenta; así como las Constancias y Reconocimientos que ha recibido.</w:t>
      </w:r>
    </w:p>
    <w:p w:rsidR="00B10B03" w:rsidRPr="003766AF" w:rsidRDefault="00B10B03" w:rsidP="00575144">
      <w:pPr>
        <w:tabs>
          <w:tab w:val="left" w:pos="0"/>
        </w:tabs>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El </w:t>
      </w:r>
      <w:r w:rsidRPr="003766AF">
        <w:rPr>
          <w:rFonts w:ascii="Palatino Linotype" w:eastAsia="Palatino Linotype" w:hAnsi="Palatino Linotype" w:cs="Palatino Linotype"/>
          <w:b/>
          <w:color w:val="000000" w:themeColor="text1"/>
        </w:rPr>
        <w:t>dieciocho de junio de dos mil veinticinco</w:t>
      </w:r>
      <w:r w:rsidRPr="003766AF">
        <w:rPr>
          <w:rFonts w:ascii="Palatino Linotype" w:eastAsia="Palatino Linotype" w:hAnsi="Palatino Linotype" w:cs="Palatino Linotype"/>
          <w:color w:val="000000" w:themeColor="text1"/>
        </w:rPr>
        <w:t xml:space="preserve">, el solicitante interpuso recurso de revisión en la solicitud de información </w:t>
      </w:r>
      <w:r w:rsidRPr="003766AF">
        <w:rPr>
          <w:rFonts w:ascii="Palatino Linotype" w:eastAsia="Palatino Linotype" w:hAnsi="Palatino Linotype" w:cs="Palatino Linotype"/>
          <w:b/>
          <w:color w:val="000000" w:themeColor="text1"/>
        </w:rPr>
        <w:t xml:space="preserve">00122/OZUMBA/IP/2025, </w:t>
      </w:r>
      <w:r w:rsidRPr="003766AF">
        <w:rPr>
          <w:rFonts w:ascii="Palatino Linotype" w:eastAsia="Palatino Linotype" w:hAnsi="Palatino Linotype" w:cs="Palatino Linotype"/>
          <w:color w:val="000000" w:themeColor="text1"/>
        </w:rPr>
        <w:t xml:space="preserve">en contra de la respuesta emitida por el </w:t>
      </w:r>
      <w:r w:rsidRPr="003766AF">
        <w:rPr>
          <w:rFonts w:ascii="Palatino Linotype" w:eastAsia="Palatino Linotype" w:hAnsi="Palatino Linotype" w:cs="Palatino Linotype"/>
          <w:b/>
          <w:color w:val="000000" w:themeColor="text1"/>
        </w:rPr>
        <w:t>SUJETO OBLIGADO</w:t>
      </w:r>
      <w:r w:rsidRPr="003766AF">
        <w:rPr>
          <w:rFonts w:ascii="Palatino Linotype" w:eastAsia="Palatino Linotype" w:hAnsi="Palatino Linotype" w:cs="Palatino Linotype"/>
          <w:color w:val="000000" w:themeColor="text1"/>
        </w:rPr>
        <w:t>, señalando las siguientes razones o motivos de inconformidad:</w:t>
      </w:r>
    </w:p>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10B03" w:rsidRPr="006A3627" w:rsidRDefault="00575144" w:rsidP="006A3627">
      <w:pPr>
        <w:pStyle w:val="Prrafodelista"/>
        <w:numPr>
          <w:ilvl w:val="0"/>
          <w:numId w:val="18"/>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6A3627">
        <w:rPr>
          <w:rFonts w:ascii="Palatino Linotype" w:eastAsia="Palatino Linotype" w:hAnsi="Palatino Linotype" w:cs="Palatino Linotype"/>
          <w:b/>
          <w:color w:val="000000" w:themeColor="text1"/>
          <w:sz w:val="24"/>
        </w:rPr>
        <w:t>Acto Impugnado</w:t>
      </w:r>
    </w:p>
    <w:p w:rsidR="00B10B03" w:rsidRPr="006A3627" w:rsidRDefault="006A3627" w:rsidP="0057514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sidRPr="006A3627">
        <w:rPr>
          <w:rFonts w:ascii="Palatino Linotype" w:eastAsia="Palatino Linotype" w:hAnsi="Palatino Linotype" w:cs="Palatino Linotype"/>
          <w:i/>
          <w:color w:val="000000" w:themeColor="text1"/>
        </w:rPr>
        <w:t xml:space="preserve">     </w:t>
      </w:r>
      <w:r w:rsidR="00575144" w:rsidRPr="006A3627">
        <w:rPr>
          <w:rFonts w:ascii="Palatino Linotype" w:eastAsia="Palatino Linotype" w:hAnsi="Palatino Linotype" w:cs="Palatino Linotype"/>
          <w:i/>
          <w:color w:val="000000" w:themeColor="text1"/>
        </w:rPr>
        <w:t>“No se entrega información completa” (Sic.)</w:t>
      </w:r>
    </w:p>
    <w:p w:rsidR="00B10B03" w:rsidRPr="006A3627" w:rsidRDefault="00575144" w:rsidP="006A3627">
      <w:pPr>
        <w:pStyle w:val="Prrafodelista"/>
        <w:numPr>
          <w:ilvl w:val="0"/>
          <w:numId w:val="18"/>
        </w:num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sz w:val="24"/>
        </w:rPr>
      </w:pPr>
      <w:r w:rsidRPr="006A3627">
        <w:rPr>
          <w:rFonts w:ascii="Palatino Linotype" w:eastAsia="Palatino Linotype" w:hAnsi="Palatino Linotype" w:cs="Palatino Linotype"/>
          <w:b/>
          <w:color w:val="000000" w:themeColor="text1"/>
          <w:sz w:val="24"/>
        </w:rPr>
        <w:t>Razones o Motivos de la Inconformidad</w:t>
      </w:r>
    </w:p>
    <w:p w:rsidR="00B10B03" w:rsidRPr="003766AF" w:rsidRDefault="006A3627" w:rsidP="0057514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r>
        <w:rPr>
          <w:rFonts w:ascii="Palatino Linotype" w:eastAsia="Palatino Linotype" w:hAnsi="Palatino Linotype" w:cs="Palatino Linotype"/>
          <w:i/>
          <w:color w:val="000000" w:themeColor="text1"/>
        </w:rPr>
        <w:t xml:space="preserve">     </w:t>
      </w:r>
      <w:r w:rsidR="00575144" w:rsidRPr="003766AF">
        <w:rPr>
          <w:rFonts w:ascii="Palatino Linotype" w:eastAsia="Palatino Linotype" w:hAnsi="Palatino Linotype" w:cs="Palatino Linotype"/>
          <w:i/>
          <w:color w:val="000000" w:themeColor="text1"/>
        </w:rPr>
        <w:t>“No sé entrega el certificado de competencia laboral ni el Acta del Comité de Transparencia en dónde se clasifica cómo confidencial la información del recibo de nómina”(Sic.)</w:t>
      </w:r>
    </w:p>
    <w:p w:rsidR="00B10B03" w:rsidRPr="003766AF" w:rsidRDefault="00B10B03" w:rsidP="00575144">
      <w:pPr>
        <w:pBdr>
          <w:top w:val="nil"/>
          <w:left w:val="nil"/>
          <w:bottom w:val="nil"/>
          <w:right w:val="nil"/>
          <w:between w:val="nil"/>
        </w:pBdr>
        <w:tabs>
          <w:tab w:val="left" w:pos="851"/>
        </w:tabs>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color w:val="000000" w:themeColor="text1"/>
        </w:rPr>
        <w:t xml:space="preserve">Se registró el recurso de revisión bajo el número de expediente al rubro indicado, asimismo con fundamento en lo dispuesto por el artículo 185 fracción I de la Ley de Transparencia y Acceso a la Información Pública del Estado de México y Municipios se turnó a la </w:t>
      </w:r>
      <w:r w:rsidRPr="003766AF">
        <w:rPr>
          <w:rFonts w:ascii="Palatino Linotype" w:eastAsia="Palatino Linotype" w:hAnsi="Palatino Linotype" w:cs="Palatino Linotype"/>
          <w:b/>
          <w:color w:val="000000" w:themeColor="text1"/>
        </w:rPr>
        <w:t>Comisionada María del Rosario Mejía Ayala</w:t>
      </w:r>
      <w:r w:rsidR="006A3627">
        <w:rPr>
          <w:rFonts w:ascii="Palatino Linotype" w:eastAsia="Palatino Linotype" w:hAnsi="Palatino Linotype" w:cs="Palatino Linotype"/>
          <w:b/>
          <w:color w:val="000000" w:themeColor="text1"/>
        </w:rPr>
        <w:t>,</w:t>
      </w:r>
      <w:r w:rsidRPr="003766AF">
        <w:rPr>
          <w:rFonts w:ascii="Palatino Linotype" w:eastAsia="Palatino Linotype" w:hAnsi="Palatino Linotype" w:cs="Palatino Linotype"/>
          <w:color w:val="000000" w:themeColor="text1"/>
        </w:rPr>
        <w:t xml:space="preserve"> </w:t>
      </w:r>
      <w:r w:rsidR="006A3627">
        <w:rPr>
          <w:rFonts w:ascii="Palatino Linotype" w:eastAsia="Palatino Linotype" w:hAnsi="Palatino Linotype" w:cs="Palatino Linotype"/>
          <w:color w:val="000000" w:themeColor="text1"/>
        </w:rPr>
        <w:t>para</w:t>
      </w:r>
      <w:r w:rsidRPr="003766AF">
        <w:rPr>
          <w:rFonts w:ascii="Palatino Linotype" w:eastAsia="Palatino Linotype" w:hAnsi="Palatino Linotype" w:cs="Palatino Linotype"/>
          <w:color w:val="000000" w:themeColor="text1"/>
        </w:rPr>
        <w:t xml:space="preserve"> su análisis.</w:t>
      </w:r>
    </w:p>
    <w:p w:rsidR="00B10B03" w:rsidRPr="003766AF" w:rsidRDefault="00B10B03" w:rsidP="00575144">
      <w:pPr>
        <w:spacing w:line="360" w:lineRule="auto"/>
        <w:jc w:val="both"/>
        <w:rPr>
          <w:rFonts w:ascii="Palatino Linotype" w:eastAsia="Palatino Linotype" w:hAnsi="Palatino Linotype" w:cs="Palatino Linotype"/>
          <w:i/>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color w:val="000000" w:themeColor="text1"/>
        </w:rPr>
        <w:lastRenderedPageBreak/>
        <w:t xml:space="preserve">La Comisionada Ponente con fundamento en lo dispuesto por el artículo 185 fracción II de la ley de la materia, a través del </w:t>
      </w:r>
      <w:r w:rsidRPr="003766AF">
        <w:rPr>
          <w:rFonts w:ascii="Palatino Linotype" w:eastAsia="Palatino Linotype" w:hAnsi="Palatino Linotype" w:cs="Palatino Linotype"/>
          <w:b/>
          <w:color w:val="000000" w:themeColor="text1"/>
        </w:rPr>
        <w:t xml:space="preserve">acuerdo de admisión </w:t>
      </w:r>
      <w:r w:rsidRPr="003766AF">
        <w:rPr>
          <w:rFonts w:ascii="Palatino Linotype" w:eastAsia="Palatino Linotype" w:hAnsi="Palatino Linotype" w:cs="Palatino Linotype"/>
          <w:color w:val="000000" w:themeColor="text1"/>
        </w:rPr>
        <w:t xml:space="preserve">de fecha </w:t>
      </w:r>
      <w:r w:rsidRPr="003766AF">
        <w:rPr>
          <w:rFonts w:ascii="Palatino Linotype" w:eastAsia="Palatino Linotype" w:hAnsi="Palatino Linotype" w:cs="Palatino Linotype"/>
          <w:b/>
          <w:color w:val="000000" w:themeColor="text1"/>
        </w:rPr>
        <w:t>diecinueve de junio de dos mil veinticinco</w:t>
      </w:r>
      <w:r w:rsidRPr="003766AF">
        <w:rPr>
          <w:rFonts w:ascii="Palatino Linotype" w:eastAsia="Palatino Linotype" w:hAnsi="Palatino Linotype" w:cs="Palatino Linotype"/>
          <w:color w:val="000000" w:themeColor="text1"/>
        </w:rPr>
        <w:t xml:space="preserve">, puso a disposición de las partes el expediente electrónico vía SAIMEX a efecto de que en un plazo máximo de siete días manifestaran lo que a su derecho conviniera, ofrecieran pruebas y alegatos según corresponda al caso concreto, de esta forma para que el </w:t>
      </w:r>
      <w:r w:rsidRPr="003766AF">
        <w:rPr>
          <w:rFonts w:ascii="Palatino Linotype" w:eastAsia="Palatino Linotype" w:hAnsi="Palatino Linotype" w:cs="Palatino Linotype"/>
          <w:b/>
          <w:color w:val="000000" w:themeColor="text1"/>
        </w:rPr>
        <w:t xml:space="preserve">SUJETO OBLIGADO </w:t>
      </w:r>
      <w:r w:rsidRPr="003766AF">
        <w:rPr>
          <w:rFonts w:ascii="Palatino Linotype" w:eastAsia="Palatino Linotype" w:hAnsi="Palatino Linotype" w:cs="Palatino Linotype"/>
          <w:color w:val="000000" w:themeColor="text1"/>
        </w:rPr>
        <w:t>presentara el Informe Justificado procedente.</w:t>
      </w:r>
    </w:p>
    <w:p w:rsidR="00B10B03" w:rsidRPr="003766AF" w:rsidRDefault="00B10B03" w:rsidP="00575144">
      <w:pPr>
        <w:pBdr>
          <w:top w:val="nil"/>
          <w:left w:val="nil"/>
          <w:bottom w:val="nil"/>
          <w:right w:val="nil"/>
          <w:between w:val="nil"/>
        </w:pBdr>
        <w:rPr>
          <w:rFonts w:ascii="Palatino Linotype" w:eastAsia="Palatino Linotype" w:hAnsi="Palatino Linotype" w:cs="Palatino Linotype"/>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color w:val="000000" w:themeColor="text1"/>
        </w:rPr>
        <w:t xml:space="preserve">De lo anterior el once de agosto de dos mil veinticinco, el </w:t>
      </w:r>
      <w:r w:rsidRPr="003766AF">
        <w:rPr>
          <w:rFonts w:ascii="Palatino Linotype" w:eastAsia="Palatino Linotype" w:hAnsi="Palatino Linotype" w:cs="Palatino Linotype"/>
          <w:b/>
          <w:color w:val="000000" w:themeColor="text1"/>
        </w:rPr>
        <w:t xml:space="preserve">SUJETO OBLIGADO, </w:t>
      </w:r>
      <w:r w:rsidRPr="003766AF">
        <w:rPr>
          <w:rFonts w:ascii="Palatino Linotype" w:eastAsia="Palatino Linotype" w:hAnsi="Palatino Linotype" w:cs="Palatino Linotype"/>
          <w:color w:val="000000" w:themeColor="text1"/>
        </w:rPr>
        <w:t>en informe justificado remitió los siguientes documentos:</w:t>
      </w:r>
    </w:p>
    <w:p w:rsidR="00B10B03" w:rsidRPr="003766AF" w:rsidRDefault="00B10B03" w:rsidP="00575144">
      <w:pPr>
        <w:pBdr>
          <w:top w:val="nil"/>
          <w:left w:val="nil"/>
          <w:bottom w:val="nil"/>
          <w:right w:val="nil"/>
          <w:between w:val="nil"/>
        </w:pBdr>
        <w:rPr>
          <w:rFonts w:ascii="Palatino Linotype" w:eastAsia="Palatino Linotype" w:hAnsi="Palatino Linotype" w:cs="Palatino Linotype"/>
          <w:i/>
          <w:color w:val="000000" w:themeColor="text1"/>
        </w:rPr>
      </w:pPr>
    </w:p>
    <w:p w:rsidR="00B10B03" w:rsidRPr="003766AF" w:rsidRDefault="00575144" w:rsidP="00575144">
      <w:pPr>
        <w:numPr>
          <w:ilvl w:val="0"/>
          <w:numId w:val="17"/>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b/>
          <w:color w:val="000000" w:themeColor="text1"/>
        </w:rPr>
        <w:t xml:space="preserve">acta versión pública.pdf: </w:t>
      </w:r>
      <w:r w:rsidRPr="003766AF">
        <w:rPr>
          <w:rFonts w:ascii="Palatino Linotype" w:eastAsia="Palatino Linotype" w:hAnsi="Palatino Linotype" w:cs="Palatino Linotype"/>
          <w:color w:val="000000" w:themeColor="text1"/>
        </w:rPr>
        <w:t>Acta de la Primera Sesión Ordinaria del Comité de Transparencia, de fecha siete de marzo de dos mil veinticinco, mediante el cual se propuso y aprobó la versión pública del recibo de nómina de la Titular de la Unidad de Transparencia, recayendo el Acuerdo CTOZ/SO01/A001/2025.</w:t>
      </w:r>
    </w:p>
    <w:p w:rsidR="00B10B03" w:rsidRPr="003766AF" w:rsidRDefault="00575144" w:rsidP="00575144">
      <w:pPr>
        <w:numPr>
          <w:ilvl w:val="0"/>
          <w:numId w:val="17"/>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b/>
          <w:color w:val="000000" w:themeColor="text1"/>
        </w:rPr>
        <w:t xml:space="preserve">solicitud 00122.pdf: </w:t>
      </w:r>
      <w:r w:rsidRPr="003766AF">
        <w:rPr>
          <w:rFonts w:ascii="Palatino Linotype" w:eastAsia="Palatino Linotype" w:hAnsi="Palatino Linotype" w:cs="Palatino Linotype"/>
          <w:color w:val="000000" w:themeColor="text1"/>
        </w:rPr>
        <w:t>Documento que contiene siete documentos a favor de la Titular de la Unidad de Transparencia consistentes en:</w:t>
      </w:r>
    </w:p>
    <w:p w:rsidR="00B10B03" w:rsidRPr="003766AF" w:rsidRDefault="00575144" w:rsidP="00575144">
      <w:pPr>
        <w:numPr>
          <w:ilvl w:val="1"/>
          <w:numId w:val="17"/>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color w:val="000000" w:themeColor="text1"/>
        </w:rPr>
        <w:t>Certificado de Competencia Laboral en el Estándar de Competencia “Garantizar el Derecho de Acceso a la Información Pública”.</w:t>
      </w:r>
    </w:p>
    <w:p w:rsidR="00B10B03" w:rsidRPr="003766AF" w:rsidRDefault="00575144" w:rsidP="00575144">
      <w:pPr>
        <w:numPr>
          <w:ilvl w:val="1"/>
          <w:numId w:val="17"/>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color w:val="000000" w:themeColor="text1"/>
        </w:rPr>
        <w:t>Seis Constancias que acreditan la aprobación a diversos cursos impartidos por este Instituto.</w:t>
      </w:r>
    </w:p>
    <w:p w:rsidR="00B10B03" w:rsidRPr="003766AF" w:rsidRDefault="00575144" w:rsidP="00575144">
      <w:pPr>
        <w:numPr>
          <w:ilvl w:val="0"/>
          <w:numId w:val="17"/>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b/>
          <w:color w:val="000000" w:themeColor="text1"/>
        </w:rPr>
        <w:t xml:space="preserve">manifestaciones 00122.pdf: </w:t>
      </w:r>
      <w:r w:rsidRPr="003766AF">
        <w:rPr>
          <w:rFonts w:ascii="Palatino Linotype" w:eastAsia="Palatino Linotype" w:hAnsi="Palatino Linotype" w:cs="Palatino Linotype"/>
          <w:color w:val="000000" w:themeColor="text1"/>
        </w:rPr>
        <w:t>Oficio de fecha diecinueve de junio de dos mil veinticinco, suscrito por la titular de la Unidad de Transparencia y Acceso a la Información Pública, mediante el cual informa lo siguiente:</w:t>
      </w:r>
    </w:p>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 xml:space="preserve">“… en este momento no se cuenta con la certificación de la de la voz, toda vez que se encuentra e proceso dentro del tiempo que la misma ley establece que son seis meses y que tengo el conocimiento que es </w:t>
      </w:r>
      <w:r w:rsidRPr="003766AF">
        <w:rPr>
          <w:rFonts w:ascii="Palatino Linotype" w:eastAsia="Palatino Linotype" w:hAnsi="Palatino Linotype" w:cs="Palatino Linotype"/>
          <w:i/>
          <w:color w:val="000000" w:themeColor="text1"/>
        </w:rPr>
        <w:lastRenderedPageBreak/>
        <w:t>necesario la certificación por lo cual se entregará al área correspondiente en tiempo con la finalidad de no incurrir en cualquier responsabilidad, al mismo tiempo se entregó recibo de nómina la cual se encuentra testada con los datos que por naturaleza se consideran sensibles los cales son personales y no me encuentro obligada a hacerlos de conocimiento ya que estarán violentando mis derechos, por otro lado en este acto se adjunta al presente acta de comité donde se acuerda versión pública de nómina en ese orden de ideas”</w:t>
      </w:r>
    </w:p>
    <w:p w:rsidR="00B10B03" w:rsidRPr="003766AF" w:rsidRDefault="00B10B03" w:rsidP="00575144">
      <w:pPr>
        <w:pBdr>
          <w:top w:val="nil"/>
          <w:left w:val="nil"/>
          <w:bottom w:val="nil"/>
          <w:right w:val="nil"/>
          <w:between w:val="nil"/>
        </w:pBdr>
        <w:rPr>
          <w:rFonts w:ascii="Palatino Linotype" w:eastAsia="Palatino Linotype" w:hAnsi="Palatino Linotype" w:cs="Palatino Linotype"/>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color w:val="000000" w:themeColor="text1"/>
        </w:rPr>
        <w:t xml:space="preserve">Por su parte, el </w:t>
      </w:r>
      <w:r w:rsidRPr="003766AF">
        <w:rPr>
          <w:rFonts w:ascii="Palatino Linotype" w:eastAsia="Palatino Linotype" w:hAnsi="Palatino Linotype" w:cs="Palatino Linotype"/>
          <w:b/>
          <w:color w:val="000000" w:themeColor="text1"/>
        </w:rPr>
        <w:t xml:space="preserve">RECURRENTE </w:t>
      </w:r>
      <w:r w:rsidRPr="003766AF">
        <w:rPr>
          <w:rFonts w:ascii="Palatino Linotype" w:eastAsia="Palatino Linotype" w:hAnsi="Palatino Linotype" w:cs="Palatino Linotype"/>
          <w:color w:val="000000" w:themeColor="text1"/>
        </w:rPr>
        <w:t xml:space="preserve">dejó de realizar manifestaciones que a su derecho conviniera y asistiera, en el recurso de revisión. </w:t>
      </w:r>
    </w:p>
    <w:p w:rsidR="00B10B03" w:rsidRPr="003766AF" w:rsidRDefault="00B10B03" w:rsidP="00575144">
      <w:pPr>
        <w:spacing w:line="360" w:lineRule="auto"/>
        <w:jc w:val="both"/>
        <w:rPr>
          <w:rFonts w:ascii="Palatino Linotype" w:eastAsia="Palatino Linotype" w:hAnsi="Palatino Linotype" w:cs="Palatino Linotype"/>
          <w:i/>
          <w:color w:val="000000" w:themeColor="text1"/>
        </w:rPr>
      </w:pPr>
    </w:p>
    <w:p w:rsidR="00B10B03" w:rsidRPr="003766AF" w:rsidRDefault="00575144" w:rsidP="0057514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r w:rsidRPr="003766AF">
        <w:rPr>
          <w:rFonts w:ascii="Palatino Linotype" w:eastAsia="Palatino Linotype" w:hAnsi="Palatino Linotype" w:cs="Palatino Linotype"/>
          <w:color w:val="000000" w:themeColor="text1"/>
        </w:rPr>
        <w:t xml:space="preserve">El </w:t>
      </w:r>
      <w:r w:rsidRPr="003766AF">
        <w:rPr>
          <w:rFonts w:ascii="Palatino Linotype" w:eastAsia="Palatino Linotype" w:hAnsi="Palatino Linotype" w:cs="Palatino Linotype"/>
          <w:b/>
          <w:color w:val="000000" w:themeColor="text1"/>
        </w:rPr>
        <w:t>diecinueve de agosto de dos mil veinticinco</w:t>
      </w:r>
      <w:r w:rsidRPr="003766AF">
        <w:rPr>
          <w:rFonts w:ascii="Palatino Linotype" w:eastAsia="Palatino Linotype" w:hAnsi="Palatino Linotype" w:cs="Palatino Linotype"/>
          <w:color w:val="000000" w:themeColor="text1"/>
        </w:rPr>
        <w:t>, se notificó el acuerdo mediante el cual se amplió el plazo para emitir resolución por un término de 15 días adicionales.</w:t>
      </w:r>
    </w:p>
    <w:p w:rsidR="00B10B03" w:rsidRPr="003766AF" w:rsidRDefault="00B10B03" w:rsidP="00575144">
      <w:pPr>
        <w:spacing w:line="360" w:lineRule="auto"/>
        <w:jc w:val="both"/>
        <w:rPr>
          <w:rFonts w:ascii="Palatino Linotype" w:eastAsia="Palatino Linotype" w:hAnsi="Palatino Linotype" w:cs="Palatino Linotype"/>
          <w:i/>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color w:val="000000" w:themeColor="text1"/>
        </w:rPr>
        <w:t xml:space="preserve">Finalmente, la Comisionada Ponente mediante acuerdo del </w:t>
      </w:r>
      <w:r w:rsidRPr="003766AF">
        <w:rPr>
          <w:rFonts w:ascii="Palatino Linotype" w:eastAsia="Palatino Linotype" w:hAnsi="Palatino Linotype" w:cs="Palatino Linotype"/>
          <w:b/>
          <w:color w:val="000000" w:themeColor="text1"/>
        </w:rPr>
        <w:t>quince de mayo de dos mil veinticinco</w:t>
      </w:r>
      <w:r w:rsidRPr="003766AF">
        <w:rPr>
          <w:rFonts w:ascii="Palatino Linotype" w:eastAsia="Palatino Linotype" w:hAnsi="Palatino Linotype" w:cs="Palatino Linotype"/>
          <w:color w:val="000000" w:themeColor="text1"/>
        </w:rPr>
        <w:t>, decretó el cierre de instrucción del expediente, por lo que no hab</w:t>
      </w:r>
      <w:r w:rsidR="006A3627">
        <w:rPr>
          <w:rFonts w:ascii="Palatino Linotype" w:eastAsia="Palatino Linotype" w:hAnsi="Palatino Linotype" w:cs="Palatino Linotype"/>
          <w:color w:val="000000" w:themeColor="text1"/>
        </w:rPr>
        <w:t xml:space="preserve">iendo más que hacer constar, y </w:t>
      </w:r>
    </w:p>
    <w:p w:rsidR="00B10B03" w:rsidRPr="003766AF" w:rsidRDefault="00B10B03" w:rsidP="00575144">
      <w:pPr>
        <w:spacing w:line="360" w:lineRule="auto"/>
        <w:jc w:val="both"/>
        <w:rPr>
          <w:rFonts w:ascii="Palatino Linotype" w:eastAsia="Palatino Linotype" w:hAnsi="Palatino Linotype" w:cs="Palatino Linotype"/>
          <w:b/>
          <w:color w:val="000000" w:themeColor="text1"/>
        </w:rPr>
      </w:pPr>
    </w:p>
    <w:p w:rsidR="00B10B03" w:rsidRPr="003766AF" w:rsidRDefault="00575144" w:rsidP="00575144">
      <w:pPr>
        <w:keepNext/>
        <w:keepLines/>
        <w:spacing w:line="360" w:lineRule="auto"/>
        <w:jc w:val="center"/>
        <w:rPr>
          <w:rFonts w:ascii="Palatino Linotype" w:eastAsia="Palatino Linotype" w:hAnsi="Palatino Linotype" w:cs="Palatino Linotype"/>
          <w:b/>
          <w:color w:val="000000" w:themeColor="text1"/>
        </w:rPr>
      </w:pPr>
      <w:bookmarkStart w:id="3" w:name="_heading=h.p1rfouj8uunj" w:colFirst="0" w:colLast="0"/>
      <w:bookmarkEnd w:id="3"/>
      <w:r w:rsidRPr="003766AF">
        <w:rPr>
          <w:rFonts w:ascii="Palatino Linotype" w:eastAsia="Palatino Linotype" w:hAnsi="Palatino Linotype" w:cs="Palatino Linotype"/>
          <w:b/>
          <w:color w:val="000000" w:themeColor="text1"/>
        </w:rPr>
        <w:t>C</w:t>
      </w:r>
      <w:r w:rsidR="006A3627">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b/>
          <w:color w:val="000000" w:themeColor="text1"/>
        </w:rPr>
        <w:t>O</w:t>
      </w:r>
      <w:r w:rsidR="006A3627">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b/>
          <w:color w:val="000000" w:themeColor="text1"/>
        </w:rPr>
        <w:t>N</w:t>
      </w:r>
      <w:r w:rsidR="006A3627">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b/>
          <w:color w:val="000000" w:themeColor="text1"/>
        </w:rPr>
        <w:t>S</w:t>
      </w:r>
      <w:r w:rsidR="006A3627">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b/>
          <w:color w:val="000000" w:themeColor="text1"/>
        </w:rPr>
        <w:t>I</w:t>
      </w:r>
      <w:r w:rsidR="006A3627">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b/>
          <w:color w:val="000000" w:themeColor="text1"/>
        </w:rPr>
        <w:t>D</w:t>
      </w:r>
      <w:r w:rsidR="006A3627">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b/>
          <w:color w:val="000000" w:themeColor="text1"/>
        </w:rPr>
        <w:t>E</w:t>
      </w:r>
      <w:r w:rsidR="006A3627">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b/>
          <w:color w:val="000000" w:themeColor="text1"/>
        </w:rPr>
        <w:t>R</w:t>
      </w:r>
      <w:r w:rsidR="006A3627">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b/>
          <w:color w:val="000000" w:themeColor="text1"/>
        </w:rPr>
        <w:t>A</w:t>
      </w:r>
      <w:r w:rsidR="006A3627">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b/>
          <w:color w:val="000000" w:themeColor="text1"/>
        </w:rPr>
        <w:t>N</w:t>
      </w:r>
      <w:r w:rsidR="006A3627">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b/>
          <w:color w:val="000000" w:themeColor="text1"/>
        </w:rPr>
        <w:t>D</w:t>
      </w:r>
      <w:r w:rsidR="006A3627">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b/>
          <w:color w:val="000000" w:themeColor="text1"/>
        </w:rPr>
        <w:t>O</w:t>
      </w:r>
    </w:p>
    <w:p w:rsidR="00B10B03" w:rsidRPr="003766AF" w:rsidRDefault="00B10B03" w:rsidP="00575144">
      <w:pPr>
        <w:keepNext/>
        <w:keepLines/>
        <w:spacing w:line="360" w:lineRule="auto"/>
        <w:jc w:val="center"/>
        <w:rPr>
          <w:rFonts w:ascii="Palatino Linotype" w:eastAsia="Palatino Linotype" w:hAnsi="Palatino Linotype" w:cs="Palatino Linotype"/>
          <w:b/>
          <w:color w:val="000000" w:themeColor="text1"/>
        </w:rPr>
      </w:pPr>
    </w:p>
    <w:p w:rsidR="00B10B03" w:rsidRPr="003766AF" w:rsidRDefault="00575144" w:rsidP="00575144">
      <w:pPr>
        <w:keepNext/>
        <w:keepLines/>
        <w:spacing w:line="360" w:lineRule="auto"/>
        <w:rPr>
          <w:rFonts w:ascii="Palatino Linotype" w:eastAsia="Palatino Linotype" w:hAnsi="Palatino Linotype" w:cs="Palatino Linotype"/>
          <w:b/>
          <w:color w:val="000000" w:themeColor="text1"/>
        </w:rPr>
      </w:pPr>
      <w:bookmarkStart w:id="4" w:name="_heading=h.t8dul7luwb52" w:colFirst="0" w:colLast="0"/>
      <w:bookmarkEnd w:id="4"/>
      <w:r w:rsidRPr="003766AF">
        <w:rPr>
          <w:rFonts w:ascii="Palatino Linotype" w:eastAsia="Palatino Linotype" w:hAnsi="Palatino Linotype" w:cs="Palatino Linotype"/>
          <w:b/>
          <w:color w:val="000000" w:themeColor="text1"/>
        </w:rPr>
        <w:t>PRIMERO. De la competencia.</w:t>
      </w:r>
    </w:p>
    <w:p w:rsidR="006A3627" w:rsidRDefault="00575144" w:rsidP="006A3627">
      <w:pPr>
        <w:numPr>
          <w:ilvl w:val="0"/>
          <w:numId w:val="1"/>
        </w:numPr>
        <w:pBdr>
          <w:top w:val="nil"/>
          <w:left w:val="nil"/>
          <w:bottom w:val="nil"/>
          <w:right w:val="nil"/>
          <w:between w:val="nil"/>
        </w:pBdr>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Este Instituto de Transparencia, Acceso a la Información Pública y Protección de Datos Personales del Estado de México y Municipios, es competente para conocer y resolver del presente recurso de conformidad con el artículo: 6, apartado A, fracción IV de la </w:t>
      </w:r>
      <w:r w:rsidRPr="003766AF">
        <w:rPr>
          <w:rFonts w:ascii="Palatino Linotype" w:eastAsia="Palatino Linotype" w:hAnsi="Palatino Linotype" w:cs="Palatino Linotype"/>
          <w:b/>
          <w:color w:val="000000" w:themeColor="text1"/>
        </w:rPr>
        <w:t>Constitución Política de los Estados Unidos Mexicanos</w:t>
      </w:r>
      <w:r w:rsidRPr="003766AF">
        <w:rPr>
          <w:rFonts w:ascii="Palatino Linotype" w:eastAsia="Palatino Linotype" w:hAnsi="Palatino Linotype" w:cs="Palatino Linotype"/>
          <w:color w:val="000000" w:themeColor="text1"/>
        </w:rPr>
        <w:t>; 5, párrafos trigésimo segundo, trigésimo tercero y trigésimo cuarto fracciones IV y V de la </w:t>
      </w:r>
      <w:r w:rsidRPr="003766AF">
        <w:rPr>
          <w:rFonts w:ascii="Palatino Linotype" w:eastAsia="Palatino Linotype" w:hAnsi="Palatino Linotype" w:cs="Palatino Linotype"/>
          <w:b/>
          <w:color w:val="000000" w:themeColor="text1"/>
        </w:rPr>
        <w:t>Constitución Política del Estado Libre y Soberano de México</w:t>
      </w:r>
      <w:r w:rsidRPr="003766AF">
        <w:rPr>
          <w:rFonts w:ascii="Palatino Linotype" w:eastAsia="Palatino Linotype" w:hAnsi="Palatino Linotype" w:cs="Palatino Linotype"/>
          <w:color w:val="000000" w:themeColor="text1"/>
        </w:rPr>
        <w:t>; artículos 1, 2 fracción II, 13, 29, 36 fracciones I y II, 176, 178, 179, 181 párrafo tercero y 185 de la </w:t>
      </w:r>
      <w:r w:rsidRPr="003766AF">
        <w:rPr>
          <w:rFonts w:ascii="Palatino Linotype" w:eastAsia="Palatino Linotype" w:hAnsi="Palatino Linotype" w:cs="Palatino Linotype"/>
          <w:b/>
          <w:color w:val="000000" w:themeColor="text1"/>
        </w:rPr>
        <w:t xml:space="preserve">Ley de Transparencia y Acceso a la Información Pública del Estado de México y </w:t>
      </w:r>
      <w:r w:rsidRPr="003766AF">
        <w:rPr>
          <w:rFonts w:ascii="Palatino Linotype" w:eastAsia="Palatino Linotype" w:hAnsi="Palatino Linotype" w:cs="Palatino Linotype"/>
          <w:b/>
          <w:color w:val="000000" w:themeColor="text1"/>
        </w:rPr>
        <w:lastRenderedPageBreak/>
        <w:t>Municipios</w:t>
      </w:r>
      <w:r w:rsidRPr="003766AF">
        <w:rPr>
          <w:rFonts w:ascii="Palatino Linotype" w:eastAsia="Palatino Linotype" w:hAnsi="Palatino Linotype" w:cs="Palatino Linotype"/>
          <w:color w:val="000000" w:themeColor="text1"/>
        </w:rPr>
        <w:t>; y 7, 9 fracciones I y XXIII, y 11 del </w:t>
      </w:r>
      <w:r w:rsidRPr="003766AF">
        <w:rPr>
          <w:rFonts w:ascii="Palatino Linotype" w:eastAsia="Palatino Linotype" w:hAnsi="Palatino Linotype" w:cs="Palatino Linotype"/>
          <w:b/>
          <w:color w:val="000000" w:themeColor="text1"/>
        </w:rPr>
        <w:t>Reglamento Interior del Instituto de Transparencia, Acceso a la Información Pública y Protección de Datos Personales del Estado de México y Municipios</w:t>
      </w:r>
      <w:r w:rsidRPr="003766AF">
        <w:rPr>
          <w:rFonts w:ascii="Palatino Linotype" w:eastAsia="Palatino Linotype" w:hAnsi="Palatino Linotype" w:cs="Palatino Linotype"/>
          <w:color w:val="000000" w:themeColor="text1"/>
        </w:rPr>
        <w:t>.</w:t>
      </w:r>
    </w:p>
    <w:p w:rsidR="006A3627" w:rsidRPr="006A3627" w:rsidRDefault="006A3627" w:rsidP="006A3627">
      <w:pPr>
        <w:pBdr>
          <w:top w:val="nil"/>
          <w:left w:val="nil"/>
          <w:bottom w:val="nil"/>
          <w:right w:val="nil"/>
          <w:between w:val="nil"/>
        </w:pBdr>
        <w:spacing w:before="240" w:after="240" w:line="360" w:lineRule="auto"/>
        <w:jc w:val="both"/>
        <w:rPr>
          <w:rFonts w:ascii="Palatino Linotype" w:eastAsia="Palatino Linotype" w:hAnsi="Palatino Linotype" w:cs="Palatino Linotype"/>
          <w:color w:val="000000" w:themeColor="text1"/>
        </w:rPr>
      </w:pPr>
    </w:p>
    <w:p w:rsidR="00B10B03" w:rsidRPr="003766AF" w:rsidRDefault="00575144" w:rsidP="00575144">
      <w:pPr>
        <w:keepNext/>
        <w:keepLines/>
        <w:spacing w:line="360" w:lineRule="auto"/>
        <w:rPr>
          <w:rFonts w:ascii="Palatino Linotype" w:eastAsia="Palatino Linotype" w:hAnsi="Palatino Linotype" w:cs="Palatino Linotype"/>
          <w:b/>
          <w:color w:val="000000" w:themeColor="text1"/>
        </w:rPr>
      </w:pPr>
      <w:bookmarkStart w:id="5" w:name="_heading=h.4zt4dqi7i2xt" w:colFirst="0" w:colLast="0"/>
      <w:bookmarkEnd w:id="5"/>
      <w:r w:rsidRPr="003766AF">
        <w:rPr>
          <w:rFonts w:ascii="Palatino Linotype" w:eastAsia="Palatino Linotype" w:hAnsi="Palatino Linotype" w:cs="Palatino Linotype"/>
          <w:b/>
          <w:color w:val="000000" w:themeColor="text1"/>
        </w:rPr>
        <w:t>SEGUNDO. De la oportunidad y procedencia.</w:t>
      </w: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El medio de impugnación fue presentado a través del </w:t>
      </w:r>
      <w:r w:rsidRPr="003766AF">
        <w:rPr>
          <w:rFonts w:ascii="Palatino Linotype" w:eastAsia="Palatino Linotype" w:hAnsi="Palatino Linotype" w:cs="Palatino Linotype"/>
          <w:b/>
          <w:color w:val="000000" w:themeColor="text1"/>
        </w:rPr>
        <w:t>SAIMEX,</w:t>
      </w:r>
      <w:r w:rsidRPr="003766AF">
        <w:rPr>
          <w:rFonts w:ascii="Palatino Linotype" w:eastAsia="Palatino Linotype" w:hAnsi="Palatino Linotype" w:cs="Palatino Linotype"/>
          <w:color w:val="000000" w:themeColor="text1"/>
        </w:rPr>
        <w:t xml:space="preserve"> en el formato previamente aprobado para tal efecto y dentro del plazo legal de quince días hábiles otorgados; para el caso en particular es de señalar que el </w:t>
      </w:r>
      <w:r w:rsidRPr="003766AF">
        <w:rPr>
          <w:rFonts w:ascii="Palatino Linotype" w:eastAsia="Palatino Linotype" w:hAnsi="Palatino Linotype" w:cs="Palatino Linotype"/>
          <w:b/>
          <w:color w:val="000000" w:themeColor="text1"/>
        </w:rPr>
        <w:t>SUJETO OBLIGADO</w:t>
      </w:r>
      <w:r w:rsidRPr="003766AF">
        <w:rPr>
          <w:rFonts w:ascii="Palatino Linotype" w:eastAsia="Palatino Linotype" w:hAnsi="Palatino Linotype" w:cs="Palatino Linotype"/>
          <w:color w:val="000000" w:themeColor="text1"/>
        </w:rPr>
        <w:t xml:space="preserve"> entregó respuesta el día </w:t>
      </w:r>
      <w:r w:rsidRPr="003766AF">
        <w:rPr>
          <w:rFonts w:ascii="Palatino Linotype" w:eastAsia="Palatino Linotype" w:hAnsi="Palatino Linotype" w:cs="Palatino Linotype"/>
          <w:b/>
          <w:color w:val="000000" w:themeColor="text1"/>
        </w:rPr>
        <w:t>seis de junio de dos mil veinticinco</w:t>
      </w:r>
      <w:r w:rsidRPr="003766AF">
        <w:rPr>
          <w:rFonts w:ascii="Palatino Linotype" w:eastAsia="Palatino Linotype" w:hAnsi="Palatino Linotype" w:cs="Palatino Linotype"/>
          <w:color w:val="000000" w:themeColor="text1"/>
        </w:rPr>
        <w:t xml:space="preserve">, de tal forma que el plazo para interponer el recurso transcurrió del </w:t>
      </w:r>
      <w:r w:rsidRPr="003766AF">
        <w:rPr>
          <w:rFonts w:ascii="Palatino Linotype" w:eastAsia="Palatino Linotype" w:hAnsi="Palatino Linotype" w:cs="Palatino Linotype"/>
          <w:b/>
          <w:color w:val="000000" w:themeColor="text1"/>
        </w:rPr>
        <w:t>nueve al veintisiete de junio de dos mil veinticinco,</w:t>
      </w:r>
      <w:r w:rsidRPr="003766AF">
        <w:rPr>
          <w:rFonts w:ascii="Palatino Linotype" w:eastAsia="Palatino Linotype" w:hAnsi="Palatino Linotype" w:cs="Palatino Linotype"/>
          <w:color w:val="000000" w:themeColor="text1"/>
        </w:rPr>
        <w:t xml:space="preserve"> de acuerdo al calendario oficial del Instituto de Transparencia del Estado de México y Municipios; en consecuencia, si el particular presentó su inconformidad el día </w:t>
      </w:r>
      <w:r w:rsidRPr="003766AF">
        <w:rPr>
          <w:rFonts w:ascii="Palatino Linotype" w:eastAsia="Palatino Linotype" w:hAnsi="Palatino Linotype" w:cs="Palatino Linotype"/>
          <w:b/>
          <w:color w:val="000000" w:themeColor="text1"/>
        </w:rPr>
        <w:t>dieciocho de junio de dos mil veinticinco</w:t>
      </w:r>
      <w:r w:rsidRPr="003766AF">
        <w:rPr>
          <w:rFonts w:ascii="Palatino Linotype" w:eastAsia="Palatino Linotype" w:hAnsi="Palatino Linotype" w:cs="Palatino Linotype"/>
          <w:color w:val="000000" w:themeColor="text1"/>
        </w:rPr>
        <w:t xml:space="preserve">, se encuentra dentro de los márgenes temporales previstos en el artículo 178 de la </w:t>
      </w:r>
      <w:r w:rsidRPr="003766AF">
        <w:rPr>
          <w:rFonts w:ascii="Palatino Linotype" w:eastAsia="Palatino Linotype" w:hAnsi="Palatino Linotype" w:cs="Palatino Linotype"/>
          <w:b/>
          <w:color w:val="000000" w:themeColor="text1"/>
        </w:rPr>
        <w:t xml:space="preserve">Ley de Transparencia y Acceso a la Información Pública del Estado de México y Municipios </w:t>
      </w:r>
      <w:r w:rsidRPr="003766AF">
        <w:rPr>
          <w:rFonts w:ascii="Palatino Linotype" w:eastAsia="Palatino Linotype" w:hAnsi="Palatino Linotype" w:cs="Palatino Linotype"/>
          <w:color w:val="000000" w:themeColor="text1"/>
        </w:rPr>
        <w:t xml:space="preserve">vigente. </w:t>
      </w:r>
    </w:p>
    <w:p w:rsidR="00B10B03" w:rsidRPr="003766AF" w:rsidRDefault="00B10B03" w:rsidP="00575144">
      <w:pP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b/>
          <w:color w:val="000000" w:themeColor="text1"/>
        </w:rPr>
      </w:pPr>
      <w:r w:rsidRPr="003766AF">
        <w:rPr>
          <w:rFonts w:ascii="Palatino Linotype" w:eastAsia="Palatino Linotype" w:hAnsi="Palatino Linotype" w:cs="Palatino Linotype"/>
          <w:color w:val="000000" w:themeColor="text1"/>
        </w:rPr>
        <w:t>Consecuentemente, el escrito contiene las formalidades previstas por el artículo 180 último párrafo de la Ley de la materia actual, por lo que es procedente que este Instituto de Transparencia, Acceso a la Información Pública y Protección de Datos Personales del Estado de México y Municipios, conozca y resuelva el presente recurso.</w:t>
      </w:r>
    </w:p>
    <w:p w:rsidR="00B10B03" w:rsidRPr="003766AF" w:rsidRDefault="00B10B03" w:rsidP="00575144">
      <w:pPr>
        <w:pBdr>
          <w:top w:val="nil"/>
          <w:left w:val="nil"/>
          <w:bottom w:val="nil"/>
          <w:right w:val="nil"/>
          <w:between w:val="nil"/>
        </w:pBdr>
        <w:rPr>
          <w:rFonts w:ascii="Palatino Linotype" w:eastAsia="Palatino Linotype" w:hAnsi="Palatino Linotype" w:cs="Palatino Linotype"/>
          <w:b/>
          <w:color w:val="000000" w:themeColor="text1"/>
        </w:rPr>
      </w:pPr>
    </w:p>
    <w:p w:rsidR="00B10B03" w:rsidRPr="003766AF" w:rsidRDefault="00B10B03" w:rsidP="00575144">
      <w:pPr>
        <w:spacing w:line="360" w:lineRule="auto"/>
        <w:jc w:val="both"/>
        <w:rPr>
          <w:rFonts w:ascii="Palatino Linotype" w:eastAsia="Palatino Linotype" w:hAnsi="Palatino Linotype" w:cs="Palatino Linotype"/>
          <w:b/>
          <w:color w:val="000000" w:themeColor="text1"/>
        </w:rPr>
      </w:pPr>
    </w:p>
    <w:p w:rsidR="00B10B03" w:rsidRPr="003766AF" w:rsidRDefault="00575144" w:rsidP="00575144">
      <w:pPr>
        <w:keepNext/>
        <w:keepLines/>
        <w:spacing w:line="360" w:lineRule="auto"/>
        <w:rPr>
          <w:rFonts w:ascii="Palatino Linotype" w:eastAsia="Palatino Linotype" w:hAnsi="Palatino Linotype" w:cs="Palatino Linotype"/>
          <w:b/>
          <w:color w:val="000000" w:themeColor="text1"/>
        </w:rPr>
      </w:pPr>
      <w:bookmarkStart w:id="6" w:name="_heading=h.q2cufdaeoeex" w:colFirst="0" w:colLast="0"/>
      <w:bookmarkEnd w:id="6"/>
      <w:r w:rsidRPr="003766AF">
        <w:rPr>
          <w:rFonts w:ascii="Palatino Linotype" w:eastAsia="Palatino Linotype" w:hAnsi="Palatino Linotype" w:cs="Palatino Linotype"/>
          <w:b/>
          <w:color w:val="000000" w:themeColor="text1"/>
        </w:rPr>
        <w:t>TERCERO. Planteamiento de la Litis.</w:t>
      </w: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color w:val="000000" w:themeColor="text1"/>
        </w:rPr>
        <w:t>El particular solicitó de la Titular de la Unidad de Transparencia:</w:t>
      </w:r>
    </w:p>
    <w:p w:rsidR="00B10B03" w:rsidRPr="003766AF" w:rsidRDefault="00575144" w:rsidP="0057514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766AF">
        <w:rPr>
          <w:rFonts w:ascii="Palatino Linotype" w:eastAsia="Palatino Linotype" w:hAnsi="Palatino Linotype" w:cs="Palatino Linotype"/>
          <w:b/>
          <w:color w:val="000000" w:themeColor="text1"/>
        </w:rPr>
        <w:lastRenderedPageBreak/>
        <w:t>Último recibo de nómina</w:t>
      </w:r>
    </w:p>
    <w:p w:rsidR="00B10B03" w:rsidRPr="003766AF" w:rsidRDefault="00575144" w:rsidP="0057514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766AF">
        <w:rPr>
          <w:rFonts w:ascii="Palatino Linotype" w:eastAsia="Palatino Linotype" w:hAnsi="Palatino Linotype" w:cs="Palatino Linotype"/>
          <w:b/>
          <w:color w:val="000000" w:themeColor="text1"/>
        </w:rPr>
        <w:t>Certificado de Competencia Laboral</w:t>
      </w:r>
    </w:p>
    <w:p w:rsidR="00B10B03" w:rsidRPr="003766AF" w:rsidRDefault="00575144" w:rsidP="00575144">
      <w:pPr>
        <w:numPr>
          <w:ilvl w:val="0"/>
          <w:numId w:val="2"/>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766AF">
        <w:rPr>
          <w:rFonts w:ascii="Palatino Linotype" w:eastAsia="Palatino Linotype" w:hAnsi="Palatino Linotype" w:cs="Palatino Linotype"/>
          <w:b/>
          <w:color w:val="000000" w:themeColor="text1"/>
        </w:rPr>
        <w:t>El documento que acredite su experiencia para ocupar el cargo</w:t>
      </w:r>
    </w:p>
    <w:p w:rsidR="00B10B03" w:rsidRPr="003766AF" w:rsidRDefault="00B10B03" w:rsidP="00575144">
      <w:pP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En respuesta, el </w:t>
      </w:r>
      <w:r w:rsidRPr="003766AF">
        <w:rPr>
          <w:rFonts w:ascii="Palatino Linotype" w:eastAsia="Palatino Linotype" w:hAnsi="Palatino Linotype" w:cs="Palatino Linotype"/>
          <w:b/>
          <w:color w:val="000000" w:themeColor="text1"/>
        </w:rPr>
        <w:t xml:space="preserve">SUJETO OBLIGADO </w:t>
      </w:r>
      <w:r w:rsidRPr="003766AF">
        <w:rPr>
          <w:rFonts w:ascii="Palatino Linotype" w:eastAsia="Palatino Linotype" w:hAnsi="Palatino Linotype" w:cs="Palatino Linotype"/>
          <w:color w:val="000000" w:themeColor="text1"/>
        </w:rPr>
        <w:t>por medio del Tesorero Municipal remitió un recibo de nómina a nombre de la Titular de la Unidad de Transparencia, correspondiente a la segunda quincena de mayo de dos mil veinticinco; sin embargo dicho documento no fue entregado en una correcta versión pública, toda vez que se excedió en testara datos, tales como lugar y fecha de expedición, RFC del empleador, Puesto de la servidora pública, Cadena Digital del Complemento de Certificación Digital, Sello Digital del Emisor y del SAT, Folio Fiscal, Certificado SAT, Código QR, etc; así mismo, la Titular de la Unidad de Transparencia y Acceso a la Información Pública indicó que respecto al Certificado de Competencia Laboral aún se encuentra en proceso y en termino para obtenerlo y en cuanto a la experiencia laboral hace del conocimiento que se encuentra en capacitaciones, por tanto remite su currículum en versión pública.</w:t>
      </w:r>
    </w:p>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El </w:t>
      </w:r>
      <w:r w:rsidRPr="003766AF">
        <w:rPr>
          <w:rFonts w:ascii="Palatino Linotype" w:eastAsia="Palatino Linotype" w:hAnsi="Palatino Linotype" w:cs="Palatino Linotype"/>
          <w:b/>
          <w:color w:val="000000" w:themeColor="text1"/>
        </w:rPr>
        <w:t>RECURRENTE</w:t>
      </w:r>
      <w:r w:rsidRPr="003766AF">
        <w:rPr>
          <w:rFonts w:ascii="Palatino Linotype" w:eastAsia="Palatino Linotype" w:hAnsi="Palatino Linotype" w:cs="Palatino Linotype"/>
          <w:color w:val="000000" w:themeColor="text1"/>
        </w:rPr>
        <w:t xml:space="preserve">, se inconformó por la entrega de la información incompleta, en los siguientes términos: </w:t>
      </w:r>
      <w:r w:rsidRPr="003766AF">
        <w:rPr>
          <w:rFonts w:ascii="Palatino Linotype" w:eastAsia="Palatino Linotype" w:hAnsi="Palatino Linotype" w:cs="Palatino Linotype"/>
          <w:i/>
          <w:color w:val="000000" w:themeColor="text1"/>
        </w:rPr>
        <w:t>“No se entrega el Certificado de Competencia Laboral ni el Acta del Comité de Transparencia en dónde se clasifica cómo confidencial la información dl recibo de nómina” (Sic)</w:t>
      </w:r>
    </w:p>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color w:val="000000" w:themeColor="text1"/>
        </w:rPr>
        <w:t xml:space="preserve">En dichas condiciones, la </w:t>
      </w:r>
      <w:r w:rsidRPr="003766AF">
        <w:rPr>
          <w:rFonts w:ascii="Palatino Linotype" w:eastAsia="Palatino Linotype" w:hAnsi="Palatino Linotype" w:cs="Palatino Linotype"/>
          <w:i/>
          <w:color w:val="000000" w:themeColor="text1"/>
        </w:rPr>
        <w:t>Litis</w:t>
      </w:r>
      <w:r w:rsidRPr="003766AF">
        <w:rPr>
          <w:rFonts w:ascii="Palatino Linotype" w:eastAsia="Palatino Linotype" w:hAnsi="Palatino Linotype" w:cs="Palatino Linotype"/>
          <w:color w:val="000000" w:themeColor="text1"/>
        </w:rPr>
        <w:t xml:space="preserve"> a resolver en este recurso se circunscribe a determinar si se actualizan las causales de procedencia previstas en el artículo 179, </w:t>
      </w:r>
      <w:r w:rsidRPr="003766AF">
        <w:rPr>
          <w:rFonts w:ascii="Palatino Linotype" w:eastAsia="Palatino Linotype" w:hAnsi="Palatino Linotype" w:cs="Palatino Linotype"/>
          <w:b/>
          <w:color w:val="000000" w:themeColor="text1"/>
        </w:rPr>
        <w:t xml:space="preserve">fracción V </w:t>
      </w:r>
      <w:r w:rsidRPr="003766AF">
        <w:rPr>
          <w:rFonts w:ascii="Palatino Linotype" w:eastAsia="Palatino Linotype" w:hAnsi="Palatino Linotype" w:cs="Palatino Linotype"/>
          <w:color w:val="000000" w:themeColor="text1"/>
        </w:rPr>
        <w:t>de la Ley</w:t>
      </w:r>
      <w:r w:rsidRPr="003766AF">
        <w:rPr>
          <w:rFonts w:ascii="Palatino Linotype" w:eastAsia="Palatino Linotype" w:hAnsi="Palatino Linotype" w:cs="Palatino Linotype"/>
          <w:b/>
          <w:color w:val="000000" w:themeColor="text1"/>
        </w:rPr>
        <w:t xml:space="preserve"> de Transparencia y Acceso a la Información Pública del Estado de </w:t>
      </w:r>
      <w:r w:rsidRPr="003766AF">
        <w:rPr>
          <w:rFonts w:ascii="Palatino Linotype" w:eastAsia="Palatino Linotype" w:hAnsi="Palatino Linotype" w:cs="Palatino Linotype"/>
          <w:color w:val="000000" w:themeColor="text1"/>
        </w:rPr>
        <w:t>México</w:t>
      </w:r>
      <w:r w:rsidRPr="003766AF">
        <w:rPr>
          <w:rFonts w:ascii="Palatino Linotype" w:eastAsia="Palatino Linotype" w:hAnsi="Palatino Linotype" w:cs="Palatino Linotype"/>
          <w:b/>
          <w:color w:val="000000" w:themeColor="text1"/>
        </w:rPr>
        <w:t xml:space="preserve"> y Municipios</w:t>
      </w:r>
      <w:r w:rsidRPr="003766AF">
        <w:rPr>
          <w:rFonts w:ascii="Palatino Linotype" w:eastAsia="Palatino Linotype" w:hAnsi="Palatino Linotype" w:cs="Palatino Linotype"/>
          <w:color w:val="000000" w:themeColor="text1"/>
        </w:rPr>
        <w:t xml:space="preserve">; fracción que determina la hipótesis jurídica relativa a </w:t>
      </w:r>
      <w:r w:rsidRPr="003766AF">
        <w:rPr>
          <w:rFonts w:ascii="Palatino Linotype" w:eastAsia="Palatino Linotype" w:hAnsi="Palatino Linotype" w:cs="Palatino Linotype"/>
          <w:b/>
          <w:color w:val="000000" w:themeColor="text1"/>
        </w:rPr>
        <w:t xml:space="preserve">la entrega de la información incompleta </w:t>
      </w:r>
      <w:r w:rsidRPr="003766AF">
        <w:rPr>
          <w:rFonts w:ascii="Palatino Linotype" w:eastAsia="Palatino Linotype" w:hAnsi="Palatino Linotype" w:cs="Palatino Linotype"/>
          <w:color w:val="000000" w:themeColor="text1"/>
        </w:rPr>
        <w:lastRenderedPageBreak/>
        <w:t xml:space="preserve">por el </w:t>
      </w:r>
      <w:r w:rsidRPr="003766AF">
        <w:rPr>
          <w:rFonts w:ascii="Palatino Linotype" w:eastAsia="Palatino Linotype" w:hAnsi="Palatino Linotype" w:cs="Palatino Linotype"/>
          <w:b/>
          <w:color w:val="000000" w:themeColor="text1"/>
        </w:rPr>
        <w:t>SUJETO OBLIGADO</w:t>
      </w:r>
      <w:r w:rsidRPr="003766AF">
        <w:rPr>
          <w:rFonts w:ascii="Palatino Linotype" w:eastAsia="Palatino Linotype" w:hAnsi="Palatino Linotype" w:cs="Palatino Linotype"/>
          <w:color w:val="000000" w:themeColor="text1"/>
        </w:rPr>
        <w:t xml:space="preserve">; contexto del cual se dolió </w:t>
      </w:r>
      <w:r w:rsidRPr="003766AF">
        <w:rPr>
          <w:rFonts w:ascii="Palatino Linotype" w:eastAsia="Palatino Linotype" w:hAnsi="Palatino Linotype" w:cs="Palatino Linotype"/>
          <w:b/>
          <w:color w:val="000000" w:themeColor="text1"/>
        </w:rPr>
        <w:t xml:space="preserve">EL RECURRENTE </w:t>
      </w:r>
      <w:r w:rsidRPr="003766AF">
        <w:rPr>
          <w:rFonts w:ascii="Palatino Linotype" w:eastAsia="Palatino Linotype" w:hAnsi="Palatino Linotype" w:cs="Palatino Linotype"/>
          <w:color w:val="000000" w:themeColor="text1"/>
        </w:rPr>
        <w:t>al momento de interponer su inconformidad.</w:t>
      </w:r>
    </w:p>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pStyle w:val="Ttulo1"/>
        <w:spacing w:before="0" w:line="360" w:lineRule="auto"/>
        <w:rPr>
          <w:rFonts w:ascii="Palatino Linotype" w:eastAsia="Palatino Linotype" w:hAnsi="Palatino Linotype" w:cs="Palatino Linotype"/>
          <w:b/>
          <w:color w:val="000000" w:themeColor="text1"/>
          <w:sz w:val="24"/>
          <w:szCs w:val="24"/>
        </w:rPr>
      </w:pPr>
      <w:bookmarkStart w:id="7" w:name="_heading=h.at4z8qx6c4mp" w:colFirst="0" w:colLast="0"/>
      <w:bookmarkEnd w:id="7"/>
      <w:r w:rsidRPr="003766AF">
        <w:rPr>
          <w:rFonts w:ascii="Palatino Linotype" w:eastAsia="Palatino Linotype" w:hAnsi="Palatino Linotype" w:cs="Palatino Linotype"/>
          <w:b/>
          <w:color w:val="000000" w:themeColor="text1"/>
          <w:sz w:val="24"/>
          <w:szCs w:val="24"/>
        </w:rPr>
        <w:t>CUARTO. Del estudio y resolución del recurso de revisión.</w:t>
      </w:r>
    </w:p>
    <w:p w:rsidR="00B10B03" w:rsidRPr="003766AF" w:rsidRDefault="00575144" w:rsidP="00575144">
      <w:pPr>
        <w:keepNext/>
        <w:keepLines/>
        <w:numPr>
          <w:ilvl w:val="0"/>
          <w:numId w:val="16"/>
        </w:numPr>
        <w:spacing w:after="240" w:line="360" w:lineRule="auto"/>
        <w:ind w:left="0" w:firstLine="0"/>
        <w:rPr>
          <w:rFonts w:ascii="Palatino Linotype" w:eastAsia="Palatino Linotype" w:hAnsi="Palatino Linotype" w:cs="Palatino Linotype"/>
          <w:b/>
          <w:color w:val="000000" w:themeColor="text1"/>
        </w:rPr>
      </w:pPr>
      <w:r w:rsidRPr="003766AF">
        <w:rPr>
          <w:rFonts w:ascii="Palatino Linotype" w:eastAsia="Palatino Linotype" w:hAnsi="Palatino Linotype" w:cs="Palatino Linotype"/>
          <w:b/>
          <w:color w:val="000000" w:themeColor="text1"/>
        </w:rPr>
        <w:t>Del derecho de acceso a la información.</w:t>
      </w: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El Derecho de Acceso a la Información Pública, es un derecho humano reconocido en el Pacto de Derechos Civiles y Políticos en su artículo 19.2; en la Convención Americana sobre Derechos Humanos en su artículo 13.1; en el artículo sexto de la Constitución Política de los Estados Unidos Mexicanos y en el artículo quinto de la Particular del Estado de México. </w:t>
      </w:r>
    </w:p>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Definiendo el Derecho de Acceso a la Información Pública como: </w:t>
      </w:r>
      <w:r w:rsidRPr="003766AF">
        <w:rPr>
          <w:rFonts w:ascii="Palatino Linotype" w:eastAsia="Palatino Linotype" w:hAnsi="Palatino Linotype" w:cs="Palatino Linotype"/>
          <w:i/>
          <w:color w:val="000000" w:themeColor="text1"/>
        </w:rPr>
        <w:t>La igualdad de oportunidades para recibir, buscar e impartir información</w:t>
      </w:r>
      <w:r w:rsidRPr="003766AF">
        <w:rPr>
          <w:rFonts w:ascii="Palatino Linotype" w:eastAsia="Palatino Linotype" w:hAnsi="Palatino Linotype" w:cs="Palatino Linotype"/>
          <w:i/>
          <w:color w:val="000000" w:themeColor="text1"/>
          <w:vertAlign w:val="superscript"/>
        </w:rPr>
        <w:footnoteReference w:id="1"/>
      </w:r>
      <w:r w:rsidRPr="003766AF">
        <w:rPr>
          <w:rFonts w:ascii="Palatino Linotype" w:eastAsia="Palatino Linotype" w:hAnsi="Palatino Linotype" w:cs="Palatino Linotype"/>
          <w:i/>
          <w:color w:val="000000" w:themeColor="text1"/>
        </w:rPr>
        <w:t>en posesión de cualquier autoridad,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municipal,</w:t>
      </w:r>
      <w:r w:rsidRPr="003766AF">
        <w:rPr>
          <w:rFonts w:ascii="Palatino Linotype" w:eastAsia="Palatino Linotype" w:hAnsi="Palatino Linotype" w:cs="Palatino Linotype"/>
          <w:i/>
          <w:color w:val="000000" w:themeColor="text1"/>
          <w:vertAlign w:val="superscript"/>
        </w:rPr>
        <w:footnoteReference w:id="2"/>
      </w:r>
      <w:r w:rsidRPr="003766AF">
        <w:rPr>
          <w:rFonts w:ascii="Palatino Linotype" w:eastAsia="Palatino Linotype" w:hAnsi="Palatino Linotype" w:cs="Palatino Linotype"/>
          <w:color w:val="000000" w:themeColor="text1"/>
        </w:rPr>
        <w:t>que se constituye como una herramienta fundamental para ejercer</w:t>
      </w:r>
      <w:r w:rsidRPr="003766AF">
        <w:rPr>
          <w:rFonts w:ascii="Palatino Linotype" w:eastAsia="Palatino Linotype" w:hAnsi="Palatino Linotype" w:cs="Palatino Linotype"/>
          <w:i/>
          <w:color w:val="000000" w:themeColor="text1"/>
        </w:rPr>
        <w:t xml:space="preserve"> el control democrático de las gestiones estatales, de forma tal que puedan cuestionar, indagar y considerar si se está dando un adecuado cumplimiento a las funciones públicas,</w:t>
      </w:r>
      <w:r w:rsidRPr="003766AF">
        <w:rPr>
          <w:rFonts w:ascii="Palatino Linotype" w:eastAsia="Palatino Linotype" w:hAnsi="Palatino Linotype" w:cs="Palatino Linotype"/>
          <w:i/>
          <w:color w:val="000000" w:themeColor="text1"/>
          <w:vertAlign w:val="superscript"/>
        </w:rPr>
        <w:footnoteReference w:id="3"/>
      </w:r>
      <w:r w:rsidRPr="003766AF">
        <w:rPr>
          <w:rFonts w:ascii="Palatino Linotype" w:eastAsia="Palatino Linotype" w:hAnsi="Palatino Linotype" w:cs="Palatino Linotype"/>
          <w:color w:val="000000" w:themeColor="text1"/>
        </w:rPr>
        <w:t>fomentando</w:t>
      </w:r>
      <w:r w:rsidRPr="003766AF">
        <w:rPr>
          <w:rFonts w:ascii="Palatino Linotype" w:eastAsia="Palatino Linotype" w:hAnsi="Palatino Linotype" w:cs="Palatino Linotype"/>
          <w:i/>
          <w:color w:val="000000" w:themeColor="text1"/>
        </w:rPr>
        <w:t xml:space="preserve"> la transparencia de las actividades estatales y </w:t>
      </w:r>
      <w:r w:rsidRPr="003766AF">
        <w:rPr>
          <w:rFonts w:ascii="Palatino Linotype" w:eastAsia="Palatino Linotype" w:hAnsi="Palatino Linotype" w:cs="Palatino Linotype"/>
          <w:color w:val="000000" w:themeColor="text1"/>
        </w:rPr>
        <w:t>promoviendo</w:t>
      </w:r>
      <w:r w:rsidRPr="003766AF">
        <w:rPr>
          <w:rFonts w:ascii="Palatino Linotype" w:eastAsia="Palatino Linotype" w:hAnsi="Palatino Linotype" w:cs="Palatino Linotype"/>
          <w:i/>
          <w:color w:val="000000" w:themeColor="text1"/>
        </w:rPr>
        <w:t xml:space="preserve"> la responsabilidad de los funcionarios sobre su gestión </w:t>
      </w:r>
      <w:r w:rsidRPr="003766AF">
        <w:rPr>
          <w:rFonts w:ascii="Palatino Linotype" w:eastAsia="Palatino Linotype" w:hAnsi="Palatino Linotype" w:cs="Palatino Linotype"/>
          <w:i/>
          <w:color w:val="000000" w:themeColor="text1"/>
        </w:rPr>
        <w:lastRenderedPageBreak/>
        <w:t>pública,</w:t>
      </w:r>
      <w:r w:rsidRPr="003766AF">
        <w:rPr>
          <w:rFonts w:ascii="Palatino Linotype" w:eastAsia="Palatino Linotype" w:hAnsi="Palatino Linotype" w:cs="Palatino Linotype"/>
          <w:i/>
          <w:color w:val="000000" w:themeColor="text1"/>
          <w:vertAlign w:val="superscript"/>
        </w:rPr>
        <w:footnoteReference w:id="4"/>
      </w:r>
      <w:r w:rsidRPr="003766AF">
        <w:rPr>
          <w:rFonts w:ascii="Palatino Linotype" w:eastAsia="Palatino Linotype" w:hAnsi="Palatino Linotype" w:cs="Palatino Linotype"/>
          <w:color w:val="000000" w:themeColor="text1"/>
        </w:rPr>
        <w:t>que permite</w:t>
      </w:r>
      <w:r w:rsidRPr="003766AF">
        <w:rPr>
          <w:rFonts w:ascii="Palatino Linotype" w:eastAsia="Palatino Linotype" w:hAnsi="Palatino Linotype" w:cs="Palatino Linotype"/>
          <w:i/>
          <w:color w:val="000000" w:themeColor="text1"/>
        </w:rPr>
        <w:t xml:space="preserve"> saber qué están haciendo los gobiernos por sus pueblos, sin lo cual la verdad languidecería y la participación en el gobierno permanecería fragmentada.</w:t>
      </w:r>
    </w:p>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En México, además de los derechos, están reconocidas las garantías para su protección, en ese sentido el párrafo tercero de artículo primero de la Constitución Política de los Estados Unidos Mexicanos dispone lo siguiente:</w:t>
      </w:r>
    </w:p>
    <w:p w:rsidR="00B10B03" w:rsidRPr="003766AF" w:rsidRDefault="00575144" w:rsidP="00575144">
      <w:pPr>
        <w:tabs>
          <w:tab w:val="left" w:pos="7655"/>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w:t>
      </w:r>
      <w:r w:rsidRPr="003766AF">
        <w:rPr>
          <w:rFonts w:ascii="Palatino Linotype" w:eastAsia="Palatino Linotype" w:hAnsi="Palatino Linotype" w:cs="Palatino Linotype"/>
          <w:b/>
          <w:i/>
          <w:color w:val="000000" w:themeColor="text1"/>
        </w:rPr>
        <w:t>Artículo 1.-</w:t>
      </w:r>
      <w:r w:rsidRPr="003766AF">
        <w:rPr>
          <w:rFonts w:ascii="Palatino Linotype" w:eastAsia="Palatino Linotype" w:hAnsi="Palatino Linotype" w:cs="Palatino Linotype"/>
          <w:i/>
          <w:color w:val="000000" w:themeColor="text1"/>
        </w:rPr>
        <w:t xml:space="preserve"> </w:t>
      </w:r>
    </w:p>
    <w:p w:rsidR="00B10B03" w:rsidRPr="003766AF" w:rsidRDefault="00575144" w:rsidP="00575144">
      <w:pPr>
        <w:tabs>
          <w:tab w:val="left" w:pos="7655"/>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w:t>
      </w:r>
    </w:p>
    <w:p w:rsidR="00B10B03" w:rsidRPr="003766AF" w:rsidRDefault="00575144" w:rsidP="00575144">
      <w:pPr>
        <w:tabs>
          <w:tab w:val="left" w:pos="7655"/>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Todas las</w:t>
      </w:r>
      <w:r w:rsidRPr="003766AF">
        <w:rPr>
          <w:rFonts w:ascii="Palatino Linotype" w:eastAsia="Palatino Linotype" w:hAnsi="Palatino Linotype" w:cs="Palatino Linotype"/>
          <w:color w:val="000000" w:themeColor="text1"/>
        </w:rPr>
        <w:t xml:space="preserve"> </w:t>
      </w:r>
      <w:r w:rsidRPr="003766AF">
        <w:rPr>
          <w:rFonts w:ascii="Palatino Linotype" w:eastAsia="Palatino Linotype" w:hAnsi="Palatino Linotype" w:cs="Palatino Linotype"/>
          <w:i/>
          <w:color w:val="000000" w:themeColor="text1"/>
        </w:rPr>
        <w:t>autoridades, en el ámbito de sus competencias, tienen la obligación de promover, respetar, proteger y garantizar los derechos humanos de conformidad con los principios de universalidad, interdependencia, indivisibilidad y progresividad. En consecuencia, el Estado deberá prevenir, investigar, sancionar y reparar las violaciones a los derechos humanos, en los términos que establezca la ley.</w:t>
      </w:r>
    </w:p>
    <w:p w:rsidR="00B10B03" w:rsidRPr="003766AF" w:rsidRDefault="00575144" w:rsidP="00575144">
      <w:pPr>
        <w:tabs>
          <w:tab w:val="left" w:pos="7655"/>
        </w:tabs>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i/>
          <w:color w:val="000000" w:themeColor="text1"/>
        </w:rPr>
        <w:t>(…)</w:t>
      </w:r>
      <w:r w:rsidRPr="003766AF">
        <w:rPr>
          <w:rFonts w:ascii="Palatino Linotype" w:eastAsia="Palatino Linotype" w:hAnsi="Palatino Linotype" w:cs="Palatino Linotype"/>
          <w:color w:val="000000" w:themeColor="text1"/>
        </w:rPr>
        <w:t>”.</w:t>
      </w:r>
    </w:p>
    <w:p w:rsidR="00B10B03" w:rsidRPr="003766AF" w:rsidRDefault="00B10B03" w:rsidP="00575144">
      <w:pP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Por lo anterior, se deduce que el Derecho de Acceso a la Información Pública es un Derecho Humano de Fuente Internacional y Constitucionalmente reconocido. Además del derecho, también se reconocen garantías para su protección, lo que vincula con el mandato del párrafo tercero del mismo artículo.</w:t>
      </w:r>
    </w:p>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Así, conforme a la Constitución Política de las Estado Unidos Mexicanos y la Constitución Política del Estado Libre y Soberano de México respectivamente, el cumplimiento de las garantías primarias, entendidas como obligaciones inmediatamente relacionadas con el Derecho de Acceso a la Información Pública, permiten que todas las autoridades, en el ámbito de sus atribuciones lo respeten, protejan y garanticen.</w:t>
      </w:r>
    </w:p>
    <w:p w:rsidR="00B10B03" w:rsidRPr="003766AF" w:rsidRDefault="00B10B03" w:rsidP="00575144">
      <w:pPr>
        <w:pBdr>
          <w:top w:val="nil"/>
          <w:left w:val="nil"/>
          <w:bottom w:val="nil"/>
          <w:right w:val="nil"/>
          <w:between w:val="nil"/>
        </w:pBdr>
        <w:rPr>
          <w:rFonts w:ascii="Palatino Linotype" w:eastAsia="Palatino Linotype" w:hAnsi="Palatino Linotype" w:cs="Palatino Linotype"/>
          <w:color w:val="000000" w:themeColor="text1"/>
        </w:rPr>
      </w:pPr>
    </w:p>
    <w:p w:rsidR="00B10B03" w:rsidRPr="003766AF" w:rsidRDefault="00575144" w:rsidP="00575144">
      <w:pPr>
        <w:spacing w:after="240"/>
        <w:jc w:val="both"/>
        <w:rPr>
          <w:rFonts w:ascii="Palatino Linotype" w:eastAsia="Palatino Linotype" w:hAnsi="Palatino Linotype" w:cs="Palatino Linotype"/>
          <w:b/>
          <w:i/>
          <w:color w:val="000000" w:themeColor="text1"/>
        </w:rPr>
      </w:pPr>
      <w:r w:rsidRPr="003766AF">
        <w:rPr>
          <w:rFonts w:ascii="Palatino Linotype" w:eastAsia="Palatino Linotype" w:hAnsi="Palatino Linotype" w:cs="Palatino Linotype"/>
          <w:b/>
          <w:i/>
          <w:color w:val="000000" w:themeColor="text1"/>
        </w:rPr>
        <w:lastRenderedPageBreak/>
        <w:t>Constitución Política de los Estados Unidos Mexicanos</w:t>
      </w:r>
    </w:p>
    <w:p w:rsidR="00B10B03" w:rsidRPr="003766AF" w:rsidRDefault="00575144" w:rsidP="00575144">
      <w:pPr>
        <w:spacing w:before="240" w:after="240"/>
        <w:jc w:val="both"/>
        <w:rPr>
          <w:rFonts w:ascii="Palatino Linotype" w:eastAsia="Palatino Linotype" w:hAnsi="Palatino Linotype" w:cs="Palatino Linotype"/>
          <w:b/>
          <w:i/>
          <w:color w:val="000000" w:themeColor="text1"/>
        </w:rPr>
      </w:pPr>
      <w:r w:rsidRPr="003766AF">
        <w:rPr>
          <w:rFonts w:ascii="Palatino Linotype" w:eastAsia="Palatino Linotype" w:hAnsi="Palatino Linotype" w:cs="Palatino Linotype"/>
          <w:b/>
          <w:i/>
          <w:color w:val="000000" w:themeColor="text1"/>
        </w:rPr>
        <w:t>“Artículo 6.</w:t>
      </w:r>
    </w:p>
    <w:p w:rsidR="00B10B03" w:rsidRPr="003766AF" w:rsidRDefault="00575144" w:rsidP="00575144">
      <w:pPr>
        <w:spacing w:before="240" w:after="240"/>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w:t>
      </w:r>
    </w:p>
    <w:p w:rsidR="00B10B03" w:rsidRPr="003766AF" w:rsidRDefault="00575144" w:rsidP="00575144">
      <w:pPr>
        <w:spacing w:before="240" w:after="240"/>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Para efectos de lo dispuesto en el presente artículo se observará lo siguiente:</w:t>
      </w:r>
    </w:p>
    <w:p w:rsidR="00B10B03" w:rsidRPr="003766AF" w:rsidRDefault="00575144" w:rsidP="00575144">
      <w:pPr>
        <w:spacing w:before="240" w:after="240"/>
        <w:jc w:val="both"/>
        <w:rPr>
          <w:rFonts w:ascii="Palatino Linotype" w:eastAsia="Palatino Linotype" w:hAnsi="Palatino Linotype" w:cs="Palatino Linotype"/>
          <w:b/>
          <w:i/>
          <w:color w:val="000000" w:themeColor="text1"/>
        </w:rPr>
      </w:pPr>
      <w:r w:rsidRPr="003766AF">
        <w:rPr>
          <w:rFonts w:ascii="Palatino Linotype" w:eastAsia="Palatino Linotype" w:hAnsi="Palatino Linotype" w:cs="Palatino Linotype"/>
          <w:b/>
          <w:i/>
          <w:color w:val="000000" w:themeColor="text1"/>
        </w:rPr>
        <w:t>A</w:t>
      </w:r>
      <w:r w:rsidRPr="003766AF">
        <w:rPr>
          <w:rFonts w:ascii="Palatino Linotype" w:eastAsia="Palatino Linotype" w:hAnsi="Palatino Linotype" w:cs="Palatino Linotype"/>
          <w:i/>
          <w:color w:val="000000" w:themeColor="text1"/>
        </w:rPr>
        <w:t xml:space="preserve">. </w:t>
      </w:r>
      <w:r w:rsidRPr="003766AF">
        <w:rPr>
          <w:rFonts w:ascii="Palatino Linotype" w:eastAsia="Palatino Linotype" w:hAnsi="Palatino Linotype" w:cs="Palatino Linotype"/>
          <w:b/>
          <w:i/>
          <w:color w:val="000000" w:themeColor="text1"/>
        </w:rPr>
        <w:t>Para el ejercicio del derecho de acceso a la información</w:t>
      </w:r>
      <w:r w:rsidRPr="003766AF">
        <w:rPr>
          <w:rFonts w:ascii="Palatino Linotype" w:eastAsia="Palatino Linotype" w:hAnsi="Palatino Linotype" w:cs="Palatino Linotype"/>
          <w:i/>
          <w:color w:val="000000" w:themeColor="text1"/>
        </w:rPr>
        <w:t xml:space="preserve">, la Federación y </w:t>
      </w:r>
      <w:r w:rsidRPr="003766AF">
        <w:rPr>
          <w:rFonts w:ascii="Palatino Linotype" w:eastAsia="Palatino Linotype" w:hAnsi="Palatino Linotype" w:cs="Palatino Linotype"/>
          <w:b/>
          <w:i/>
          <w:color w:val="000000" w:themeColor="text1"/>
        </w:rPr>
        <w:t>las entidades federativas, en el ámbito de sus respectivas competencias, se regirán por los siguientes principios y bases:</w:t>
      </w:r>
    </w:p>
    <w:p w:rsidR="00B10B03" w:rsidRPr="003766AF" w:rsidRDefault="00575144" w:rsidP="00575144">
      <w:pPr>
        <w:spacing w:before="240" w:after="240"/>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b/>
          <w:i/>
          <w:color w:val="000000" w:themeColor="text1"/>
        </w:rPr>
        <w:t>I. Toda la información en posesión de cualquier</w:t>
      </w:r>
      <w:r w:rsidRPr="003766AF">
        <w:rPr>
          <w:rFonts w:ascii="Palatino Linotype" w:eastAsia="Palatino Linotype" w:hAnsi="Palatino Linotype" w:cs="Palatino Linotype"/>
          <w:i/>
          <w:color w:val="000000" w:themeColor="text1"/>
        </w:rPr>
        <w:t xml:space="preserve"> </w:t>
      </w:r>
      <w:r w:rsidRPr="003766AF">
        <w:rPr>
          <w:rFonts w:ascii="Palatino Linotype" w:eastAsia="Palatino Linotype" w:hAnsi="Palatino Linotype" w:cs="Palatino Linotype"/>
          <w:b/>
          <w:i/>
          <w:color w:val="000000" w:themeColor="text1"/>
        </w:rPr>
        <w:t>autoridad</w:t>
      </w:r>
      <w:r w:rsidRPr="003766AF">
        <w:rPr>
          <w:rFonts w:ascii="Palatino Linotype" w:eastAsia="Palatino Linotype" w:hAnsi="Palatino Linotype" w:cs="Palatino Linotype"/>
          <w:i/>
          <w:color w:val="000000" w:themeColor="text1"/>
        </w:rPr>
        <w:t xml:space="preserve">, entidad, órgano y organismo de los Poderes Ejecutivo, Legislativo y Judicial, órganos autónomos, partidos políticos, fideicomisos y fondos públicos, así como de cualquier persona física, moral o sindicato que reciba y ejerza recursos públicos o realice actos de autoridad en el ámbito federal, estatal y </w:t>
      </w:r>
      <w:r w:rsidRPr="003766AF">
        <w:rPr>
          <w:rFonts w:ascii="Palatino Linotype" w:eastAsia="Palatino Linotype" w:hAnsi="Palatino Linotype" w:cs="Palatino Linotype"/>
          <w:b/>
          <w:i/>
          <w:color w:val="000000" w:themeColor="text1"/>
        </w:rPr>
        <w:t>municipal</w:t>
      </w:r>
      <w:r w:rsidRPr="003766AF">
        <w:rPr>
          <w:rFonts w:ascii="Palatino Linotype" w:eastAsia="Palatino Linotype" w:hAnsi="Palatino Linotype" w:cs="Palatino Linotype"/>
          <w:i/>
          <w:color w:val="000000" w:themeColor="text1"/>
        </w:rPr>
        <w:t xml:space="preserve">, </w:t>
      </w:r>
      <w:r w:rsidRPr="003766AF">
        <w:rPr>
          <w:rFonts w:ascii="Palatino Linotype" w:eastAsia="Palatino Linotype" w:hAnsi="Palatino Linotype" w:cs="Palatino Linotype"/>
          <w:b/>
          <w:i/>
          <w:color w:val="000000" w:themeColor="text1"/>
        </w:rPr>
        <w:t>es pública</w:t>
      </w:r>
      <w:r w:rsidRPr="003766AF">
        <w:rPr>
          <w:rFonts w:ascii="Palatino Linotype" w:eastAsia="Palatino Linotype" w:hAnsi="Palatino Linotype" w:cs="Palatino Linotype"/>
          <w:i/>
          <w:color w:val="000000" w:themeColor="text1"/>
        </w:rPr>
        <w:t xml:space="preserve"> y sólo podrá ser reservada temporalmente por razones de interés público y seguridad nacional, en los términos que fijen las leyes. </w:t>
      </w:r>
      <w:r w:rsidRPr="003766AF">
        <w:rPr>
          <w:rFonts w:ascii="Palatino Linotype" w:eastAsia="Palatino Linotype" w:hAnsi="Palatino Linotype" w:cs="Palatino Linotype"/>
          <w:b/>
          <w:i/>
          <w:color w:val="000000" w:themeColor="text1"/>
        </w:rPr>
        <w:t>En la interpretación de este derecho deberá prevalecer el principio de máxima publicidad. Los sujetos obligados deberán documentar todo acto que derive del ejercicio de sus facultades, competencias o funciones</w:t>
      </w:r>
      <w:r w:rsidRPr="003766AF">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B10B03" w:rsidRPr="003766AF" w:rsidRDefault="00B10B03" w:rsidP="00575144">
      <w:pPr>
        <w:tabs>
          <w:tab w:val="left" w:pos="567"/>
        </w:tabs>
        <w:spacing w:before="240"/>
        <w:jc w:val="both"/>
        <w:rPr>
          <w:rFonts w:ascii="Palatino Linotype" w:eastAsia="Palatino Linotype" w:hAnsi="Palatino Linotype" w:cs="Palatino Linotype"/>
          <w:b/>
          <w:i/>
          <w:color w:val="000000" w:themeColor="text1"/>
        </w:rPr>
      </w:pPr>
    </w:p>
    <w:p w:rsidR="00B10B03" w:rsidRPr="003766AF" w:rsidRDefault="00575144" w:rsidP="00575144">
      <w:pPr>
        <w:spacing w:after="240"/>
        <w:jc w:val="both"/>
        <w:rPr>
          <w:rFonts w:ascii="Palatino Linotype" w:eastAsia="Palatino Linotype" w:hAnsi="Palatino Linotype" w:cs="Palatino Linotype"/>
          <w:b/>
          <w:i/>
          <w:color w:val="000000" w:themeColor="text1"/>
        </w:rPr>
      </w:pPr>
      <w:r w:rsidRPr="003766AF">
        <w:rPr>
          <w:rFonts w:ascii="Palatino Linotype" w:eastAsia="Palatino Linotype" w:hAnsi="Palatino Linotype" w:cs="Palatino Linotype"/>
          <w:b/>
          <w:i/>
          <w:color w:val="000000" w:themeColor="text1"/>
        </w:rPr>
        <w:t>Constitución Política del Estado Libre y Soberano de México</w:t>
      </w:r>
    </w:p>
    <w:p w:rsidR="00B10B03" w:rsidRPr="003766AF" w:rsidRDefault="00575144" w:rsidP="00575144">
      <w:pPr>
        <w:spacing w:before="240" w:after="240"/>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b/>
          <w:i/>
          <w:color w:val="000000" w:themeColor="text1"/>
        </w:rPr>
        <w:t>“Artículo 5</w:t>
      </w:r>
      <w:r w:rsidRPr="003766AF">
        <w:rPr>
          <w:rFonts w:ascii="Palatino Linotype" w:eastAsia="Palatino Linotype" w:hAnsi="Palatino Linotype" w:cs="Palatino Linotype"/>
          <w:i/>
          <w:color w:val="000000" w:themeColor="text1"/>
        </w:rPr>
        <w:t xml:space="preserve">.- </w:t>
      </w:r>
    </w:p>
    <w:p w:rsidR="00B10B03" w:rsidRPr="003766AF" w:rsidRDefault="00575144" w:rsidP="00575144">
      <w:pPr>
        <w:spacing w:before="240" w:after="240"/>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w:t>
      </w:r>
    </w:p>
    <w:p w:rsidR="00B10B03" w:rsidRPr="003766AF" w:rsidRDefault="00575144" w:rsidP="00575144">
      <w:pPr>
        <w:spacing w:before="240" w:after="240"/>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b/>
          <w:i/>
          <w:color w:val="000000" w:themeColor="text1"/>
        </w:rPr>
        <w:t>El derecho a la información será garantizado por el Estado. La ley establecerá las previsiones que permitan asegurar la protección, el respeto y la difusión de este derecho</w:t>
      </w:r>
      <w:r w:rsidRPr="003766AF">
        <w:rPr>
          <w:rFonts w:ascii="Palatino Linotype" w:eastAsia="Palatino Linotype" w:hAnsi="Palatino Linotype" w:cs="Palatino Linotype"/>
          <w:i/>
          <w:color w:val="000000" w:themeColor="text1"/>
        </w:rPr>
        <w:t>.</w:t>
      </w:r>
    </w:p>
    <w:p w:rsidR="00B10B03" w:rsidRPr="003766AF" w:rsidRDefault="00575144" w:rsidP="00575144">
      <w:pPr>
        <w:spacing w:before="240" w:after="240"/>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Para garantizar el ejercicio del derecho de transparencia, acceso a la información pública y protección de datos personales, los poderes públicos y los organismos autónomos, transparentarán sus acciones, en términos de las disposiciones aplicables, la información será oportuna, clara, veraz y de fácil acceso.</w:t>
      </w:r>
    </w:p>
    <w:p w:rsidR="00B10B03" w:rsidRPr="003766AF" w:rsidRDefault="00575144" w:rsidP="00575144">
      <w:pPr>
        <w:spacing w:before="240" w:after="240"/>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b/>
          <w:i/>
          <w:color w:val="000000" w:themeColor="text1"/>
        </w:rPr>
        <w:t>Este derecho se regirá por los principios y bases siguientes</w:t>
      </w:r>
      <w:r w:rsidRPr="003766AF">
        <w:rPr>
          <w:rFonts w:ascii="Palatino Linotype" w:eastAsia="Palatino Linotype" w:hAnsi="Palatino Linotype" w:cs="Palatino Linotype"/>
          <w:i/>
          <w:color w:val="000000" w:themeColor="text1"/>
        </w:rPr>
        <w:t>:</w:t>
      </w:r>
    </w:p>
    <w:p w:rsidR="00B10B03" w:rsidRPr="006A3627" w:rsidRDefault="00575144" w:rsidP="006A3627">
      <w:pPr>
        <w:pStyle w:val="Prrafodelista"/>
        <w:numPr>
          <w:ilvl w:val="0"/>
          <w:numId w:val="19"/>
        </w:numPr>
        <w:spacing w:before="240" w:after="240"/>
        <w:jc w:val="both"/>
        <w:rPr>
          <w:rFonts w:ascii="Palatino Linotype" w:eastAsia="Palatino Linotype" w:hAnsi="Palatino Linotype" w:cs="Palatino Linotype"/>
          <w:i/>
          <w:color w:val="000000" w:themeColor="text1"/>
        </w:rPr>
      </w:pPr>
      <w:r w:rsidRPr="006A3627">
        <w:rPr>
          <w:rFonts w:ascii="Palatino Linotype" w:eastAsia="Palatino Linotype" w:hAnsi="Palatino Linotype" w:cs="Palatino Linotype"/>
          <w:b/>
          <w:i/>
          <w:color w:val="000000" w:themeColor="text1"/>
        </w:rPr>
        <w:t>Toda la información en posesión de cualquier autoridad, entidad, órgano y organismos de los</w:t>
      </w:r>
      <w:r w:rsidRPr="006A3627">
        <w:rPr>
          <w:rFonts w:ascii="Palatino Linotype" w:eastAsia="Palatino Linotype" w:hAnsi="Palatino Linotype" w:cs="Palatino Linotype"/>
          <w:i/>
          <w:color w:val="000000" w:themeColor="text1"/>
        </w:rPr>
        <w:t xml:space="preserve"> Poderes Ejecutivo, Legislativo y Judicial, órganos autónomos, partidos políticos, fideicomisos y </w:t>
      </w:r>
      <w:r w:rsidRPr="006A3627">
        <w:rPr>
          <w:rFonts w:ascii="Palatino Linotype" w:eastAsia="Palatino Linotype" w:hAnsi="Palatino Linotype" w:cs="Palatino Linotype"/>
          <w:i/>
          <w:color w:val="000000" w:themeColor="text1"/>
        </w:rPr>
        <w:lastRenderedPageBreak/>
        <w:t xml:space="preserve">fondos públicos estatales y </w:t>
      </w:r>
      <w:r w:rsidRPr="006A3627">
        <w:rPr>
          <w:rFonts w:ascii="Palatino Linotype" w:eastAsia="Palatino Linotype" w:hAnsi="Palatino Linotype" w:cs="Palatino Linotype"/>
          <w:b/>
          <w:i/>
          <w:color w:val="000000" w:themeColor="text1"/>
        </w:rPr>
        <w:t>municipales</w:t>
      </w:r>
      <w:r w:rsidRPr="006A3627">
        <w:rPr>
          <w:rFonts w:ascii="Palatino Linotype" w:eastAsia="Palatino Linotype" w:hAnsi="Palatino Linotype" w:cs="Palatino Linotype"/>
          <w:i/>
          <w:color w:val="000000" w:themeColor="text1"/>
        </w:rPr>
        <w:t xml:space="preserve">, así como del gobierno y de la administración pública municipal y sus organismos descentralizados, asimismo de cualquier persona física, jurídica colectiva o sindicato que reciba y ejerza recursos públicos o realice actos de autoridad en el ámbito estatal y municipal, </w:t>
      </w:r>
      <w:r w:rsidRPr="006A3627">
        <w:rPr>
          <w:rFonts w:ascii="Palatino Linotype" w:eastAsia="Palatino Linotype" w:hAnsi="Palatino Linotype" w:cs="Palatino Linotype"/>
          <w:b/>
          <w:i/>
          <w:color w:val="000000" w:themeColor="text1"/>
        </w:rPr>
        <w:t>es pública</w:t>
      </w:r>
      <w:r w:rsidRPr="006A3627">
        <w:rPr>
          <w:rFonts w:ascii="Palatino Linotype" w:eastAsia="Palatino Linotype" w:hAnsi="Palatino Linotype" w:cs="Palatino Linotype"/>
          <w:i/>
          <w:color w:val="000000" w:themeColor="text1"/>
        </w:rPr>
        <w:t xml:space="preserve"> y sólo podrá ser reservada temporalmente por razones previstas en la Constitución Política de los Estados Unidos Mexicanos de interés público y seguridad, en los términos que fijen las leyes. </w:t>
      </w:r>
      <w:r w:rsidRPr="006A3627">
        <w:rPr>
          <w:rFonts w:ascii="Palatino Linotype" w:eastAsia="Palatino Linotype" w:hAnsi="Palatino Linotype" w:cs="Palatino Linotype"/>
          <w:b/>
          <w:i/>
          <w:color w:val="000000" w:themeColor="text1"/>
        </w:rPr>
        <w:t>En la interpretación de este derecho deberá prevalecer el principio de máxima publicidad</w:t>
      </w:r>
      <w:r w:rsidRPr="006A3627">
        <w:rPr>
          <w:rFonts w:ascii="Palatino Linotype" w:eastAsia="Palatino Linotype" w:hAnsi="Palatino Linotype" w:cs="Palatino Linotype"/>
          <w:i/>
          <w:color w:val="000000" w:themeColor="text1"/>
        </w:rPr>
        <w:t xml:space="preserve">. </w:t>
      </w:r>
      <w:r w:rsidRPr="006A3627">
        <w:rPr>
          <w:rFonts w:ascii="Palatino Linotype" w:eastAsia="Palatino Linotype" w:hAnsi="Palatino Linotype" w:cs="Palatino Linotype"/>
          <w:b/>
          <w:i/>
          <w:color w:val="000000" w:themeColor="text1"/>
        </w:rPr>
        <w:t>Los sujetos obligados deberán documentar todo acto que derive del ejercicio de sus facultades, competencias o funciones</w:t>
      </w:r>
      <w:r w:rsidRPr="006A3627">
        <w:rPr>
          <w:rFonts w:ascii="Palatino Linotype" w:eastAsia="Palatino Linotype" w:hAnsi="Palatino Linotype" w:cs="Palatino Linotype"/>
          <w:i/>
          <w:color w:val="000000" w:themeColor="text1"/>
        </w:rPr>
        <w:t>, la ley determinará los supuestos específicos bajo los cuales procederá la declaración de inexistencia de la información.”</w:t>
      </w:r>
    </w:p>
    <w:p w:rsidR="006A3627" w:rsidRPr="006A3627" w:rsidRDefault="006A3627" w:rsidP="006A3627">
      <w:pPr>
        <w:pStyle w:val="Prrafodelista"/>
        <w:spacing w:before="240" w:after="240"/>
        <w:ind w:left="1080"/>
        <w:jc w:val="both"/>
        <w:rPr>
          <w:rFonts w:ascii="Palatino Linotype" w:eastAsia="Palatino Linotype" w:hAnsi="Palatino Linotype" w:cs="Palatino Linotype"/>
          <w:i/>
          <w:color w:val="000000" w:themeColor="text1"/>
        </w:rPr>
      </w:pPr>
    </w:p>
    <w:p w:rsidR="00B10B03" w:rsidRPr="003766AF" w:rsidRDefault="00575144" w:rsidP="00575144">
      <w:pPr>
        <w:numPr>
          <w:ilvl w:val="0"/>
          <w:numId w:val="1"/>
        </w:numPr>
        <w:spacing w:before="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Según el artículo 150 de la Ley de Transparencia del Estado, la solicitud es la garantía primaria del Derecho de Acceso a la Información, además, establece que se regirá </w:t>
      </w:r>
      <w:r w:rsidRPr="003766AF">
        <w:rPr>
          <w:rFonts w:ascii="Palatino Linotype" w:eastAsia="Palatino Linotype" w:hAnsi="Palatino Linotype" w:cs="Palatino Linotype"/>
          <w:i/>
          <w:color w:val="000000" w:themeColor="text1"/>
        </w:rPr>
        <w:t>por los principios de simplicidad, rapidez gratuidad del procedimiento, auxilio y orientación a los particulares</w:t>
      </w:r>
      <w:r w:rsidRPr="003766AF">
        <w:rPr>
          <w:rFonts w:ascii="Palatino Linotype" w:eastAsia="Palatino Linotype" w:hAnsi="Palatino Linotype" w:cs="Palatino Linotype"/>
          <w:color w:val="000000" w:themeColor="text1"/>
        </w:rPr>
        <w:t>, contemplando el derecho de las personas con discapacidad y hablantes de lengua indígena.</w:t>
      </w:r>
    </w:p>
    <w:p w:rsidR="00B10B03" w:rsidRPr="003766AF" w:rsidRDefault="00B10B03" w:rsidP="00575144">
      <w:pPr>
        <w:spacing w:before="240"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El Derecho de Acceso a la Información se garantiza y respeta oportunamente, y según lo que dispone la Ley, las </w:t>
      </w:r>
      <w:r w:rsidRPr="003766AF">
        <w:rPr>
          <w:rFonts w:ascii="Palatino Linotype" w:eastAsia="Palatino Linotype" w:hAnsi="Palatino Linotype" w:cs="Palatino Linotype"/>
          <w:i/>
          <w:color w:val="000000" w:themeColor="text1"/>
        </w:rPr>
        <w:t>solicitudes de acceso a la información</w:t>
      </w:r>
      <w:r w:rsidRPr="003766AF">
        <w:rPr>
          <w:rFonts w:ascii="Palatino Linotype" w:eastAsia="Palatino Linotype" w:hAnsi="Palatino Linotype" w:cs="Palatino Linotype"/>
          <w:color w:val="000000" w:themeColor="text1"/>
        </w:rPr>
        <w:t>.</w:t>
      </w:r>
    </w:p>
    <w:p w:rsidR="00B10B03" w:rsidRPr="003766AF" w:rsidRDefault="00B10B03" w:rsidP="00575144">
      <w:pPr>
        <w:pBdr>
          <w:top w:val="nil"/>
          <w:left w:val="nil"/>
          <w:bottom w:val="nil"/>
          <w:right w:val="nil"/>
          <w:between w:val="nil"/>
        </w:pBdr>
        <w:rPr>
          <w:rFonts w:ascii="Palatino Linotype" w:eastAsia="Palatino Linotype" w:hAnsi="Palatino Linotype" w:cs="Palatino Linotype"/>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Así entonces, se procede analizar, en primer lugar, si el </w:t>
      </w:r>
      <w:r w:rsidRPr="003766AF">
        <w:rPr>
          <w:rFonts w:ascii="Palatino Linotype" w:eastAsia="Palatino Linotype" w:hAnsi="Palatino Linotype" w:cs="Palatino Linotype"/>
          <w:b/>
          <w:color w:val="000000" w:themeColor="text1"/>
        </w:rPr>
        <w:t>SUJETO OBLIGADO</w:t>
      </w:r>
      <w:r w:rsidRPr="003766AF">
        <w:rPr>
          <w:rFonts w:ascii="Palatino Linotype" w:eastAsia="Palatino Linotype" w:hAnsi="Palatino Linotype" w:cs="Palatino Linotype"/>
          <w:color w:val="000000" w:themeColor="text1"/>
        </w:rPr>
        <w:t xml:space="preserve"> al atender la solicitud de acceso a la información, satisfizo la garantía primaria del derecho según lo dispuesto por el artículo 150 de la Ley de Transparencia y Acceso a la Información Pública del Estado de México y Municipios y en segundo término si cumplió con su deber de respetar y garantizar el derecho, entregando la información solicitada.</w:t>
      </w:r>
    </w:p>
    <w:p w:rsidR="00B10B03" w:rsidRPr="003766AF" w:rsidRDefault="00B10B03" w:rsidP="00575144">
      <w:pPr>
        <w:pBdr>
          <w:top w:val="nil"/>
          <w:left w:val="nil"/>
          <w:bottom w:val="nil"/>
          <w:right w:val="nil"/>
          <w:between w:val="nil"/>
        </w:pBdr>
        <w:rPr>
          <w:rFonts w:ascii="Palatino Linotype" w:eastAsia="Palatino Linotype" w:hAnsi="Palatino Linotype" w:cs="Palatino Linotype"/>
          <w:color w:val="000000" w:themeColor="text1"/>
        </w:rPr>
      </w:pPr>
    </w:p>
    <w:p w:rsidR="00B10B03" w:rsidRPr="003766AF" w:rsidRDefault="00575144" w:rsidP="00575144">
      <w:pPr>
        <w:keepNext/>
        <w:keepLines/>
        <w:spacing w:after="240" w:line="360" w:lineRule="auto"/>
        <w:rPr>
          <w:rFonts w:ascii="Palatino Linotype" w:eastAsia="Palatino Linotype" w:hAnsi="Palatino Linotype" w:cs="Palatino Linotype"/>
          <w:b/>
          <w:color w:val="000000" w:themeColor="text1"/>
        </w:rPr>
      </w:pPr>
      <w:r w:rsidRPr="003766AF">
        <w:rPr>
          <w:rFonts w:ascii="Palatino Linotype" w:eastAsia="Palatino Linotype" w:hAnsi="Palatino Linotype" w:cs="Palatino Linotype"/>
          <w:b/>
          <w:color w:val="000000" w:themeColor="text1"/>
        </w:rPr>
        <w:t>II. De la información solicitada y la respuesta del SUJETO OBLIGADO</w:t>
      </w: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Derivado del Planteamiento de la Litis, se procede a analizar el contenido íntegro de las actuaciones que obran en el expediente electrónico y con ello, este Órgano Garante dicte la resolución correspondiente, tomando en consideración los elementos aportados por las partes </w:t>
      </w:r>
      <w:r w:rsidRPr="003766AF">
        <w:rPr>
          <w:rFonts w:ascii="Palatino Linotype" w:eastAsia="Palatino Linotype" w:hAnsi="Palatino Linotype" w:cs="Palatino Linotype"/>
          <w:color w:val="000000" w:themeColor="text1"/>
        </w:rPr>
        <w:lastRenderedPageBreak/>
        <w:t>y apegándose en todo momento al principio de máxima publicidad, de acuerdo con lo establecido en el artículo 8 de la Ley de Transparencia y Acceso a la Información Pública del Estado de México y Municipios.</w:t>
      </w:r>
    </w:p>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Para efectos de estudio es conveniente reiterar que el solicitante requirió de la Titular de la Unidad de Transparencia lo siguiente:</w:t>
      </w:r>
    </w:p>
    <w:p w:rsidR="00B10B03" w:rsidRPr="003766AF" w:rsidRDefault="00575144" w:rsidP="0057514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b/>
          <w:color w:val="000000" w:themeColor="text1"/>
        </w:rPr>
        <w:t xml:space="preserve">Último Recibo de Nómina </w:t>
      </w:r>
    </w:p>
    <w:p w:rsidR="00B10B03" w:rsidRPr="003766AF" w:rsidRDefault="00575144" w:rsidP="0057514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b/>
          <w:color w:val="000000" w:themeColor="text1"/>
        </w:rPr>
        <w:t>Certificado de Competencia Laboral</w:t>
      </w:r>
    </w:p>
    <w:p w:rsidR="00B10B03" w:rsidRPr="003766AF" w:rsidRDefault="00575144" w:rsidP="00575144">
      <w:pPr>
        <w:numPr>
          <w:ilvl w:val="0"/>
          <w:numId w:val="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b/>
          <w:color w:val="000000" w:themeColor="text1"/>
        </w:rPr>
        <w:t>Documento que acredite su experiencia laboral</w:t>
      </w:r>
    </w:p>
    <w:p w:rsidR="00B10B03" w:rsidRPr="003766AF" w:rsidRDefault="00B10B03" w:rsidP="00575144">
      <w:pPr>
        <w:pBdr>
          <w:top w:val="nil"/>
          <w:left w:val="nil"/>
          <w:bottom w:val="nil"/>
          <w:right w:val="nil"/>
          <w:between w:val="nil"/>
        </w:pBdr>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De lo anterior el </w:t>
      </w:r>
      <w:r w:rsidRPr="003766AF">
        <w:rPr>
          <w:rFonts w:ascii="Palatino Linotype" w:eastAsia="Palatino Linotype" w:hAnsi="Palatino Linotype" w:cs="Palatino Linotype"/>
          <w:b/>
          <w:color w:val="000000" w:themeColor="text1"/>
        </w:rPr>
        <w:t xml:space="preserve">SUJETO OBLIGADO </w:t>
      </w:r>
      <w:r w:rsidRPr="003766AF">
        <w:rPr>
          <w:rFonts w:ascii="Palatino Linotype" w:eastAsia="Palatino Linotype" w:hAnsi="Palatino Linotype" w:cs="Palatino Linotype"/>
          <w:color w:val="000000" w:themeColor="text1"/>
        </w:rPr>
        <w:t>remitió el recibo de nómina correspondiente a la segunda quincena de mayo de dos mil veinticinco a nombre de la Titular de la Unidad de Transparencia, sin embargo dicho documento no fue remitido en una correcta versión pública, toda vez que se testaron datos de modo excesivo que de manera enunciativa más no limitativa son el RFC del empleador, lugar y fecha de expedición No. De Certificado Digital, Puesto del Servidor Público, etc. por tanto no colma lo peticionado por el particular, así mismo hace del conocimiento que la obtención del Certificado de Competencia Laboral, se encuentra en termino para obtenerlo; además de que tal instrumento está en proceso, ya que a la fecha de la solicitud, aún no se termina la temporalidad otorgada por la ley para la obtención del mismo; no omitió referir, que en relación a la experiencia laboral de la servidora pública, se remite el Currículum en versión pública, documento del que se desprende el historial laboral, así como las constancias y reconocimientos que ha obtenido la servidora pública.</w:t>
      </w:r>
    </w:p>
    <w:p w:rsidR="00B10B03" w:rsidRPr="003766AF" w:rsidRDefault="00B10B03" w:rsidP="00575144">
      <w:pP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De los motivos de descontento referidos por el </w:t>
      </w:r>
      <w:r w:rsidRPr="003766AF">
        <w:rPr>
          <w:rFonts w:ascii="Palatino Linotype" w:eastAsia="Palatino Linotype" w:hAnsi="Palatino Linotype" w:cs="Palatino Linotype"/>
          <w:b/>
          <w:color w:val="000000" w:themeColor="text1"/>
        </w:rPr>
        <w:t xml:space="preserve">RECURRENTE, </w:t>
      </w:r>
      <w:r w:rsidRPr="003766AF">
        <w:rPr>
          <w:rFonts w:ascii="Palatino Linotype" w:eastAsia="Palatino Linotype" w:hAnsi="Palatino Linotype" w:cs="Palatino Linotype"/>
          <w:color w:val="000000" w:themeColor="text1"/>
        </w:rPr>
        <w:t xml:space="preserve">se observa que se inconforma por </w:t>
      </w:r>
      <w:r w:rsidRPr="003766AF">
        <w:rPr>
          <w:rFonts w:ascii="Palatino Linotype" w:eastAsia="Palatino Linotype" w:hAnsi="Palatino Linotype" w:cs="Palatino Linotype"/>
          <w:b/>
          <w:color w:val="000000" w:themeColor="text1"/>
        </w:rPr>
        <w:t xml:space="preserve">la entrega de la información incompleta, </w:t>
      </w:r>
      <w:r w:rsidRPr="003766AF">
        <w:rPr>
          <w:rFonts w:ascii="Palatino Linotype" w:eastAsia="Palatino Linotype" w:hAnsi="Palatino Linotype" w:cs="Palatino Linotype"/>
          <w:color w:val="000000" w:themeColor="text1"/>
        </w:rPr>
        <w:t xml:space="preserve">en los siguientes términos: </w:t>
      </w:r>
      <w:r w:rsidRPr="003766AF">
        <w:rPr>
          <w:rFonts w:ascii="Palatino Linotype" w:eastAsia="Palatino Linotype" w:hAnsi="Palatino Linotype" w:cs="Palatino Linotype"/>
          <w:i/>
          <w:color w:val="000000" w:themeColor="text1"/>
        </w:rPr>
        <w:t xml:space="preserve">“No sé </w:t>
      </w:r>
      <w:r w:rsidRPr="003766AF">
        <w:rPr>
          <w:rFonts w:ascii="Palatino Linotype" w:eastAsia="Palatino Linotype" w:hAnsi="Palatino Linotype" w:cs="Palatino Linotype"/>
          <w:i/>
          <w:color w:val="000000" w:themeColor="text1"/>
        </w:rPr>
        <w:lastRenderedPageBreak/>
        <w:t>entrega el certificado de competencia laboral ni el Acta del Comité de Transparencia en dónde se clasifica como confidencial la información del recibo de nómina”</w:t>
      </w:r>
      <w:r w:rsidRPr="003766AF">
        <w:rPr>
          <w:rFonts w:ascii="Palatino Linotype" w:eastAsia="Palatino Linotype" w:hAnsi="Palatino Linotype" w:cs="Palatino Linotype"/>
          <w:color w:val="000000" w:themeColor="text1"/>
        </w:rPr>
        <w:t xml:space="preserve"> </w:t>
      </w:r>
      <w:r w:rsidRPr="003766AF">
        <w:rPr>
          <w:rFonts w:ascii="Palatino Linotype" w:eastAsia="Palatino Linotype" w:hAnsi="Palatino Linotype" w:cs="Palatino Linotype"/>
          <w:i/>
          <w:color w:val="000000" w:themeColor="text1"/>
        </w:rPr>
        <w:t>(Sic.)</w:t>
      </w:r>
    </w:p>
    <w:p w:rsidR="00B10B03" w:rsidRPr="003766AF" w:rsidRDefault="00B10B03" w:rsidP="00575144">
      <w:pPr>
        <w:pBdr>
          <w:top w:val="nil"/>
          <w:left w:val="nil"/>
          <w:bottom w:val="nil"/>
          <w:right w:val="nil"/>
          <w:between w:val="nil"/>
        </w:pBdr>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En este sentido, resulta necesario señalar que, el </w:t>
      </w:r>
      <w:r w:rsidRPr="003766AF">
        <w:rPr>
          <w:rFonts w:ascii="Palatino Linotype" w:eastAsia="Palatino Linotype" w:hAnsi="Palatino Linotype" w:cs="Palatino Linotype"/>
          <w:b/>
          <w:color w:val="000000" w:themeColor="text1"/>
        </w:rPr>
        <w:t xml:space="preserve">RECURRENTE </w:t>
      </w:r>
      <w:r w:rsidRPr="003766AF">
        <w:rPr>
          <w:rFonts w:ascii="Palatino Linotype" w:eastAsia="Palatino Linotype" w:hAnsi="Palatino Linotype" w:cs="Palatino Linotype"/>
          <w:color w:val="000000" w:themeColor="text1"/>
        </w:rPr>
        <w:t xml:space="preserve">no se inconformó por la totalidad de la respuesta. Bajo ese tenor, se tiene que la parte de la respuesta que no fue impugnada debe declararse como consentida, toda vez que, al no haber realizado manifestaciones de inconformidad al respecto, se infiere que la información proporcionada por el </w:t>
      </w:r>
      <w:r w:rsidRPr="003766AF">
        <w:rPr>
          <w:rFonts w:ascii="Palatino Linotype" w:eastAsia="Palatino Linotype" w:hAnsi="Palatino Linotype" w:cs="Palatino Linotype"/>
          <w:b/>
          <w:color w:val="000000" w:themeColor="text1"/>
        </w:rPr>
        <w:t>SUJETO OBLIGADO</w:t>
      </w:r>
      <w:r w:rsidRPr="003766AF">
        <w:rPr>
          <w:rFonts w:ascii="Palatino Linotype" w:eastAsia="Palatino Linotype" w:hAnsi="Palatino Linotype" w:cs="Palatino Linotype"/>
          <w:color w:val="000000" w:themeColor="text1"/>
        </w:rPr>
        <w:t xml:space="preserve"> satisface este punto de la solicitud presentada.</w:t>
      </w:r>
    </w:p>
    <w:p w:rsidR="00B10B03" w:rsidRPr="003766AF" w:rsidRDefault="00B10B03" w:rsidP="00575144">
      <w:pPr>
        <w:pBdr>
          <w:top w:val="nil"/>
          <w:left w:val="nil"/>
          <w:bottom w:val="nil"/>
          <w:right w:val="nil"/>
          <w:between w:val="nil"/>
        </w:pBdr>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tabs>
          <w:tab w:val="left" w:pos="0"/>
          <w:tab w:val="left" w:pos="567"/>
        </w:tabs>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Lo anterior es así, debido a que cuando un Recurrente impugna la respuesta del </w:t>
      </w:r>
      <w:r w:rsidRPr="003766AF">
        <w:rPr>
          <w:rFonts w:ascii="Palatino Linotype" w:eastAsia="Palatino Linotype" w:hAnsi="Palatino Linotype" w:cs="Palatino Linotype"/>
          <w:b/>
          <w:color w:val="000000" w:themeColor="text1"/>
        </w:rPr>
        <w:t>SUJETO OBLIGADO</w:t>
      </w:r>
      <w:r w:rsidRPr="003766AF">
        <w:rPr>
          <w:rFonts w:ascii="Palatino Linotype" w:eastAsia="Palatino Linotype" w:hAnsi="Palatino Linotype" w:cs="Palatino Linotype"/>
          <w:color w:val="000000" w:themeColor="text1"/>
        </w:rPr>
        <w:t>, y éste no expresa Razón o Motivo de Inconformidad en contra de todos los rubros solicitados, dichos rubros deben declararse atendidos, pues se entiende que el Recurrente está conforme con la información entregada al no contravenir la misma. Sirve de Apoyo a lo anterior, por analogía la Tesis Jurisprudencial Número 3ª./J.7/91, Publicada en el Semanario Judicial de la Federación y su Gaceta bajo el número de registro 174,177, que establece lo siguiente: </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b/>
          <w:i/>
          <w:color w:val="000000" w:themeColor="text1"/>
        </w:rPr>
        <w:t xml:space="preserve">“REVISIÓN EN AMPARO. LOS RESOLUTIVOS NO COMBATIDOS DEBEN DECLARARSE FIRMES. </w:t>
      </w:r>
      <w:r w:rsidRPr="003766AF">
        <w:rPr>
          <w:rFonts w:ascii="Palatino Linotype" w:eastAsia="Palatino Linotype" w:hAnsi="Palatino Linotype" w:cs="Palatino Linotype"/>
          <w:i/>
          <w:color w:val="000000" w:themeColor="text1"/>
        </w:rPr>
        <w:t>Cuando algún resolutivo de la sentencia impugnada afecta a la recurrente, y ésta no expresa agravio en contra de las consideraciones que le sirven de base, dicho resolutivo debe declararse firme. Esto es, en el caso referido, no obstante que la materia de la revisión comprende a todos los resolutivos que afectan a la recurrente, deben declararse firmes aquéllos en contra de los cuales no se formuló agravio y dicha declaración de firmeza debe reflejarse en la parte considerativa y en los resolutivos debe confirmarse la sentencia recurrida en la parte correspondiente.”</w:t>
      </w:r>
      <w:r w:rsidRPr="003766AF">
        <w:rPr>
          <w:rFonts w:ascii="Palatino Linotype" w:eastAsia="Palatino Linotype" w:hAnsi="Palatino Linotype" w:cs="Palatino Linotype"/>
          <w:color w:val="000000" w:themeColor="text1"/>
        </w:rPr>
        <w:t> </w:t>
      </w:r>
    </w:p>
    <w:p w:rsidR="00B10B03" w:rsidRPr="003766AF" w:rsidRDefault="00B10B03" w:rsidP="00575144">
      <w:pPr>
        <w:pBdr>
          <w:top w:val="nil"/>
          <w:left w:val="nil"/>
          <w:bottom w:val="nil"/>
          <w:right w:val="nil"/>
          <w:between w:val="nil"/>
        </w:pBdr>
        <w:tabs>
          <w:tab w:val="left" w:pos="0"/>
          <w:tab w:val="left" w:pos="567"/>
        </w:tabs>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Consecuentemente, se reitera que la parte de la solicitud que no fue impugnada debe declararse consentida por el </w:t>
      </w:r>
      <w:r w:rsidRPr="003766AF">
        <w:rPr>
          <w:rFonts w:ascii="Palatino Linotype" w:eastAsia="Palatino Linotype" w:hAnsi="Palatino Linotype" w:cs="Palatino Linotype"/>
          <w:b/>
          <w:color w:val="000000" w:themeColor="text1"/>
        </w:rPr>
        <w:t>RECURRENTE</w:t>
      </w:r>
      <w:r w:rsidRPr="003766AF">
        <w:rPr>
          <w:rFonts w:ascii="Palatino Linotype" w:eastAsia="Palatino Linotype" w:hAnsi="Palatino Linotype" w:cs="Palatino Linotype"/>
          <w:color w:val="000000" w:themeColor="text1"/>
        </w:rPr>
        <w:t xml:space="preserve">, debido a que no se realizaron manifestaciones de inconformidad, por lo que no pueden producirse efectos jurídicos tendentes a revocar, </w:t>
      </w:r>
      <w:r w:rsidRPr="003766AF">
        <w:rPr>
          <w:rFonts w:ascii="Palatino Linotype" w:eastAsia="Palatino Linotype" w:hAnsi="Palatino Linotype" w:cs="Palatino Linotype"/>
          <w:color w:val="000000" w:themeColor="text1"/>
        </w:rPr>
        <w:lastRenderedPageBreak/>
        <w:t>confirmar o modificar el acto reclamado ya que se infiere un consentimiento del Recurrente</w:t>
      </w:r>
      <w:r w:rsidRPr="003766AF">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color w:val="000000" w:themeColor="text1"/>
        </w:rPr>
        <w:t>ante la falta de impugnación eficaz.</w:t>
      </w:r>
    </w:p>
    <w:p w:rsidR="00B10B03" w:rsidRPr="003766AF" w:rsidRDefault="00B10B03" w:rsidP="005751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Sirve de sustento a lo anterior por analogía la tesis jurisprudencial número VI.3o.C. J/60, publicada en el Semanario Judicial de la Federación y su Gaceta bajo el número de registro 176,608 que a la letra dice:</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b/>
          <w:i/>
          <w:smallCaps/>
          <w:color w:val="000000" w:themeColor="text1"/>
        </w:rPr>
        <w:t xml:space="preserve">ACTOS CONSENTIDOS. SON LOS QUE NO SE IMPUGNAN MEDIANTE EL RECURSO IDÓNEO. </w:t>
      </w:r>
      <w:r w:rsidRPr="003766AF">
        <w:rPr>
          <w:rFonts w:ascii="Palatino Linotype" w:eastAsia="Palatino Linotype" w:hAnsi="Palatino Linotype" w:cs="Palatino Linotype"/>
          <w:i/>
          <w:color w:val="000000" w:themeColor="text1"/>
        </w:rPr>
        <w:t>Debe reputarse como consentido el acto que no se impugnó por el medio establecido por la ley, ya que si se hizo uso de otro no previsto por ella o si se hace una simple manifestación de inconformidad, tales actuaciones no producen efectos jurídicos tendientes a revocar, confirmar o modificar el acto reclamado en amparo, lo que significa consentimiento del mismo por falta de impugnación eficaz.</w:t>
      </w:r>
      <w:r w:rsidRPr="003766AF">
        <w:rPr>
          <w:rFonts w:ascii="Palatino Linotype" w:eastAsia="Palatino Linotype" w:hAnsi="Palatino Linotype" w:cs="Palatino Linotype"/>
          <w:color w:val="000000" w:themeColor="text1"/>
        </w:rPr>
        <w:t> </w:t>
      </w:r>
    </w:p>
    <w:p w:rsidR="00B10B03" w:rsidRDefault="00B10B03" w:rsidP="00575144">
      <w:pPr>
        <w:pBdr>
          <w:top w:val="nil"/>
          <w:left w:val="nil"/>
          <w:bottom w:val="nil"/>
          <w:right w:val="nil"/>
          <w:between w:val="nil"/>
        </w:pBdr>
        <w:rPr>
          <w:rFonts w:ascii="Palatino Linotype" w:eastAsia="Palatino Linotype" w:hAnsi="Palatino Linotype" w:cs="Palatino Linotype"/>
          <w:color w:val="000000" w:themeColor="text1"/>
        </w:rPr>
      </w:pPr>
    </w:p>
    <w:p w:rsidR="006A3627" w:rsidRPr="003766AF" w:rsidRDefault="006A3627" w:rsidP="00575144">
      <w:pPr>
        <w:pBdr>
          <w:top w:val="nil"/>
          <w:left w:val="nil"/>
          <w:bottom w:val="nil"/>
          <w:right w:val="nil"/>
          <w:between w:val="nil"/>
        </w:pBdr>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Para mayor abundamiento, también resulta aplicable el criterio 01/20 emitido por el Instituto Nacional de Transparencia, Acceso a la Información Pública y Protección de Datos Personales, que a la letra estipula lo siguiente: </w:t>
      </w:r>
    </w:p>
    <w:p w:rsidR="00B10B03" w:rsidRPr="003766AF" w:rsidRDefault="00575144" w:rsidP="00575144">
      <w:pPr>
        <w:pBdr>
          <w:top w:val="nil"/>
          <w:left w:val="nil"/>
          <w:bottom w:val="nil"/>
          <w:right w:val="nil"/>
          <w:between w:val="nil"/>
        </w:pBdr>
        <w:tabs>
          <w:tab w:val="left" w:pos="142"/>
          <w:tab w:val="left" w:pos="426"/>
          <w:tab w:val="left" w:pos="567"/>
        </w:tabs>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b/>
          <w:i/>
          <w:color w:val="000000" w:themeColor="text1"/>
        </w:rPr>
        <w:t>Actos consentidos tácitamente. Improcedencia de su análisis.</w:t>
      </w:r>
      <w:r w:rsidRPr="003766AF">
        <w:rPr>
          <w:rFonts w:ascii="Palatino Linotype" w:eastAsia="Palatino Linotype" w:hAnsi="Palatino Linotype" w:cs="Palatino Linotype"/>
          <w:i/>
          <w:color w:val="000000" w:themeColor="text1"/>
        </w:rPr>
        <w:t xml:space="preserve"> Si en su recurso de revisión, la persona recurrente no expresó inconformidad alguna con ciertas partes de la respuesta otorgada, se entienden tácitamente consentidas, por ende, no deben formar parte del estudio de fondo de la resolución que emite el Instituto.</w:t>
      </w:r>
      <w:r w:rsidRPr="003766AF">
        <w:rPr>
          <w:rFonts w:ascii="Palatino Linotype" w:eastAsia="Palatino Linotype" w:hAnsi="Palatino Linotype" w:cs="Palatino Linotype"/>
          <w:color w:val="000000" w:themeColor="text1"/>
        </w:rPr>
        <w:t> </w:t>
      </w:r>
    </w:p>
    <w:p w:rsidR="00B10B03" w:rsidRPr="003766AF" w:rsidRDefault="00B10B03" w:rsidP="005751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De lo referido, y a efecto de garantizar el efectivo ejercicio del derecho de acceso a la información pública que asiste al </w:t>
      </w:r>
      <w:r w:rsidRPr="003766AF">
        <w:rPr>
          <w:rFonts w:ascii="Palatino Linotype" w:eastAsia="Palatino Linotype" w:hAnsi="Palatino Linotype" w:cs="Palatino Linotype"/>
          <w:b/>
          <w:color w:val="000000" w:themeColor="text1"/>
        </w:rPr>
        <w:t>RECURRENTE</w:t>
      </w:r>
      <w:r w:rsidRPr="003766AF">
        <w:rPr>
          <w:rFonts w:ascii="Palatino Linotype" w:eastAsia="Palatino Linotype" w:hAnsi="Palatino Linotype" w:cs="Palatino Linotype"/>
          <w:color w:val="000000" w:themeColor="text1"/>
        </w:rPr>
        <w:t>, resulta conveniente precisar que el presente análisis versará únicamente sobre lo relativo a</w:t>
      </w:r>
      <w:r w:rsidRPr="003766AF">
        <w:rPr>
          <w:rFonts w:ascii="Palatino Linotype" w:eastAsia="Palatino Linotype" w:hAnsi="Palatino Linotype" w:cs="Palatino Linotype"/>
          <w:b/>
          <w:color w:val="000000" w:themeColor="text1"/>
        </w:rPr>
        <w:t>l Recibo de Nómina y el Certificado de Competencia Laboral.</w:t>
      </w:r>
    </w:p>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lastRenderedPageBreak/>
        <w:t xml:space="preserve">Resulta necesario referir que, el </w:t>
      </w:r>
      <w:r w:rsidRPr="003766AF">
        <w:rPr>
          <w:rFonts w:ascii="Palatino Linotype" w:eastAsia="Palatino Linotype" w:hAnsi="Palatino Linotype" w:cs="Palatino Linotype"/>
          <w:b/>
          <w:color w:val="000000" w:themeColor="text1"/>
        </w:rPr>
        <w:t xml:space="preserve">SUJETO OBLIGADO </w:t>
      </w:r>
      <w:r w:rsidRPr="003766AF">
        <w:rPr>
          <w:rFonts w:ascii="Palatino Linotype" w:eastAsia="Palatino Linotype" w:hAnsi="Palatino Linotype" w:cs="Palatino Linotype"/>
          <w:color w:val="000000" w:themeColor="text1"/>
        </w:rPr>
        <w:t xml:space="preserve">asume de manera expresa que genera, posee y administra lo solicitado, tan es así que remite el recibo de nómina solicitado por el particular. </w:t>
      </w:r>
    </w:p>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Aclarado lo anterior, un segundo aspecto que resulta importante establecer, es que debido a que el mismo </w:t>
      </w:r>
      <w:r w:rsidRPr="003766AF">
        <w:rPr>
          <w:rFonts w:ascii="Palatino Linotype" w:eastAsia="Palatino Linotype" w:hAnsi="Palatino Linotype" w:cs="Palatino Linotype"/>
          <w:b/>
          <w:color w:val="000000" w:themeColor="text1"/>
        </w:rPr>
        <w:t>SUJETO OBLIGADO</w:t>
      </w:r>
      <w:r w:rsidRPr="003766AF">
        <w:rPr>
          <w:rFonts w:ascii="Palatino Linotype" w:eastAsia="Palatino Linotype" w:hAnsi="Palatino Linotype" w:cs="Palatino Linotype"/>
          <w:color w:val="000000" w:themeColor="text1"/>
        </w:rPr>
        <w:t xml:space="preserve"> admite ser poseedor de la información, no es necesario estudiar si este es competente para conocer y en su caso dar respuesta a las solicitudes, pues al remitir el recibo de nómina solicitado, este reconoce contar con la misma.</w:t>
      </w:r>
    </w:p>
    <w:p w:rsidR="00B10B03" w:rsidRPr="003766AF" w:rsidRDefault="00B10B03" w:rsidP="00575144">
      <w:pP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Cabe resaltar que, la Ley de Transparencia y Acceso a la Información Pública del Estado de México y Municipios, en su artículo 150, establece que el procedimiento de acceso a la información es la garantía primaria del derecho en cuestión y se rige por los principios de simplicidad, rapidez gratuidad del procedimiento, auxilio y orientación a los particulares, así como, atención adecuada a las personas con discapacidad y a los hablantes de lengua indígena con el objeto de otorgar la protección más amplia del derecho de las personas.</w:t>
      </w:r>
    </w:p>
    <w:p w:rsidR="00B10B03" w:rsidRPr="003766AF" w:rsidRDefault="00B10B03" w:rsidP="00575144">
      <w:pPr>
        <w:pBdr>
          <w:top w:val="nil"/>
          <w:left w:val="nil"/>
          <w:bottom w:val="nil"/>
          <w:right w:val="nil"/>
          <w:between w:val="nil"/>
        </w:pBdr>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En este sentido, para atender las solicitudes de información, los Sujetos Obligados contarán con un área denominada Unidad de Transparencia</w:t>
      </w:r>
      <w:r w:rsidRPr="003766AF">
        <w:rPr>
          <w:rFonts w:ascii="Palatino Linotype" w:eastAsia="Palatino Linotype" w:hAnsi="Palatino Linotype" w:cs="Palatino Linotype"/>
          <w:color w:val="000000" w:themeColor="text1"/>
          <w:vertAlign w:val="superscript"/>
        </w:rPr>
        <w:footnoteReference w:id="5"/>
      </w:r>
      <w:r w:rsidRPr="003766AF">
        <w:rPr>
          <w:rFonts w:ascii="Palatino Linotype" w:eastAsia="Palatino Linotype" w:hAnsi="Palatino Linotype" w:cs="Palatino Linotype"/>
          <w:color w:val="000000" w:themeColor="text1"/>
        </w:rPr>
        <w:t>, la cual será presidida por un Titular, quien fungirá como enlace entre éstos y los solicitantes. Dicha Unidad será la encargada de tramitar internamente la solicitud de información y tendrá la responsabilidad de verificar en cada caso que la misma no sea confidencial o reservada. Asimismo, contará con las facultades internas necesarias para gestionar la atención a las solicitudes de información</w:t>
      </w:r>
      <w:r w:rsidRPr="003766AF">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color w:val="000000" w:themeColor="text1"/>
        </w:rPr>
        <w:lastRenderedPageBreak/>
        <w:t>en los términos de la Ley General y la Ley de Transparencia y Acceso a la Información Pública del Estado de México y Municipios</w:t>
      </w:r>
      <w:r w:rsidRPr="003766AF">
        <w:rPr>
          <w:rFonts w:ascii="Palatino Linotype" w:eastAsia="Palatino Linotype" w:hAnsi="Palatino Linotype" w:cs="Palatino Linotype"/>
          <w:color w:val="000000" w:themeColor="text1"/>
          <w:vertAlign w:val="superscript"/>
        </w:rPr>
        <w:footnoteReference w:id="6"/>
      </w:r>
      <w:r w:rsidRPr="003766AF">
        <w:rPr>
          <w:rFonts w:ascii="Palatino Linotype" w:eastAsia="Palatino Linotype" w:hAnsi="Palatino Linotype" w:cs="Palatino Linotype"/>
          <w:color w:val="000000" w:themeColor="text1"/>
        </w:rPr>
        <w:t>.</w:t>
      </w:r>
    </w:p>
    <w:p w:rsidR="00B10B03" w:rsidRPr="003766AF" w:rsidRDefault="00B10B03" w:rsidP="00575144">
      <w:pPr>
        <w:pBdr>
          <w:top w:val="nil"/>
          <w:left w:val="nil"/>
          <w:bottom w:val="nil"/>
          <w:right w:val="nil"/>
          <w:between w:val="nil"/>
        </w:pBdr>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De conformidad con lo dispuesto en la Ley de Transparencia y Acceso a la Información Pública del Estado de México y Municipios, las Unidades de Transparencia tendrán, entre sus atribuciones, las siguientes:</w:t>
      </w:r>
    </w:p>
    <w:p w:rsidR="00B10B03" w:rsidRPr="003766AF" w:rsidRDefault="00575144" w:rsidP="00575144">
      <w:pPr>
        <w:numPr>
          <w:ilvl w:val="1"/>
          <w:numId w:val="6"/>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Recibir, tramitar y dar respuesta a las solicitudes de acceso a la información;</w:t>
      </w:r>
    </w:p>
    <w:p w:rsidR="00B10B03" w:rsidRPr="003766AF" w:rsidRDefault="00575144" w:rsidP="00575144">
      <w:pPr>
        <w:numPr>
          <w:ilvl w:val="1"/>
          <w:numId w:val="6"/>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Realizar, con efectividad, los trámites internos necesarios para la atención de las solicitudes de acceso a la información; </w:t>
      </w:r>
    </w:p>
    <w:p w:rsidR="00B10B03" w:rsidRPr="003766AF" w:rsidRDefault="00575144" w:rsidP="00575144">
      <w:pPr>
        <w:numPr>
          <w:ilvl w:val="1"/>
          <w:numId w:val="6"/>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Entregar, en su caso, a los particulares la información solicitada; y </w:t>
      </w:r>
    </w:p>
    <w:p w:rsidR="00B10B03" w:rsidRPr="003766AF" w:rsidRDefault="00575144" w:rsidP="00575144">
      <w:pPr>
        <w:numPr>
          <w:ilvl w:val="1"/>
          <w:numId w:val="6"/>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Efectuar las notificaciones a los solicitantes.</w:t>
      </w:r>
    </w:p>
    <w:p w:rsidR="00B10B03" w:rsidRPr="003766AF" w:rsidRDefault="00B10B03" w:rsidP="00575144">
      <w:pPr>
        <w:spacing w:before="240" w:after="240"/>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Otros sujetos del proceso de atención a las solicitudes de información son los servidores públicos habilitados, quienes serán designados por el titular del </w:t>
      </w:r>
      <w:r w:rsidRPr="003766AF">
        <w:rPr>
          <w:rFonts w:ascii="Palatino Linotype" w:eastAsia="Palatino Linotype" w:hAnsi="Palatino Linotype" w:cs="Palatino Linotype"/>
          <w:b/>
          <w:color w:val="000000" w:themeColor="text1"/>
        </w:rPr>
        <w:t xml:space="preserve">SUJETO OBLIGADO </w:t>
      </w:r>
      <w:r w:rsidRPr="003766AF">
        <w:rPr>
          <w:rFonts w:ascii="Palatino Linotype" w:eastAsia="Palatino Linotype" w:hAnsi="Palatino Linotype" w:cs="Palatino Linotype"/>
          <w:color w:val="000000" w:themeColor="text1"/>
        </w:rPr>
        <w:t>a propuesta del responsable de la Unidad de Transparencia</w:t>
      </w:r>
      <w:r w:rsidRPr="003766AF">
        <w:rPr>
          <w:rFonts w:ascii="Palatino Linotype" w:eastAsia="Palatino Linotype" w:hAnsi="Palatino Linotype" w:cs="Palatino Linotype"/>
          <w:color w:val="000000" w:themeColor="text1"/>
          <w:vertAlign w:val="superscript"/>
        </w:rPr>
        <w:footnoteReference w:id="7"/>
      </w:r>
      <w:r w:rsidRPr="003766AF">
        <w:rPr>
          <w:rFonts w:ascii="Palatino Linotype" w:eastAsia="Palatino Linotype" w:hAnsi="Palatino Linotype" w:cs="Palatino Linotype"/>
          <w:color w:val="000000" w:themeColor="text1"/>
        </w:rPr>
        <w:t xml:space="preserve"> y tendrán, entre sus atribuciones, las siguientes</w:t>
      </w:r>
      <w:r w:rsidRPr="003766AF">
        <w:rPr>
          <w:rFonts w:ascii="Palatino Linotype" w:eastAsia="Palatino Linotype" w:hAnsi="Palatino Linotype" w:cs="Palatino Linotype"/>
          <w:color w:val="000000" w:themeColor="text1"/>
          <w:vertAlign w:val="superscript"/>
        </w:rPr>
        <w:footnoteReference w:id="8"/>
      </w:r>
      <w:r w:rsidRPr="003766AF">
        <w:rPr>
          <w:rFonts w:ascii="Palatino Linotype" w:eastAsia="Palatino Linotype" w:hAnsi="Palatino Linotype" w:cs="Palatino Linotype"/>
          <w:color w:val="000000" w:themeColor="text1"/>
        </w:rPr>
        <w:t>:</w:t>
      </w:r>
    </w:p>
    <w:p w:rsidR="00B10B03" w:rsidRPr="003766AF" w:rsidRDefault="00575144" w:rsidP="00575144">
      <w:pPr>
        <w:numPr>
          <w:ilvl w:val="1"/>
          <w:numId w:val="14"/>
        </w:numPr>
        <w:pBdr>
          <w:top w:val="nil"/>
          <w:left w:val="nil"/>
          <w:bottom w:val="nil"/>
          <w:right w:val="nil"/>
          <w:between w:val="nil"/>
        </w:pBdr>
        <w:spacing w:before="240"/>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Localizar la información que le solicite la Unidad de Transparencia; y</w:t>
      </w:r>
    </w:p>
    <w:p w:rsidR="00B10B03" w:rsidRPr="003766AF" w:rsidRDefault="00575144" w:rsidP="00575144">
      <w:pPr>
        <w:numPr>
          <w:ilvl w:val="1"/>
          <w:numId w:val="14"/>
        </w:numPr>
        <w:pBdr>
          <w:top w:val="nil"/>
          <w:left w:val="nil"/>
          <w:bottom w:val="nil"/>
          <w:right w:val="nil"/>
          <w:between w:val="nil"/>
        </w:pBdr>
        <w:spacing w:after="240"/>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Proporcionar la información que obre en los archivos y que le sea solicitada por la Unidad de Transparencia.</w:t>
      </w:r>
    </w:p>
    <w:p w:rsidR="00B10B03" w:rsidRPr="003766AF" w:rsidRDefault="00B10B03" w:rsidP="00575144">
      <w:pPr>
        <w:tabs>
          <w:tab w:val="left" w:pos="426"/>
          <w:tab w:val="left" w:pos="567"/>
        </w:tabs>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De tal manera que cada una de las áreas administrativas del </w:t>
      </w:r>
      <w:r w:rsidRPr="003766AF">
        <w:rPr>
          <w:rFonts w:ascii="Palatino Linotype" w:eastAsia="Palatino Linotype" w:hAnsi="Palatino Linotype" w:cs="Palatino Linotype"/>
          <w:b/>
          <w:color w:val="000000" w:themeColor="text1"/>
        </w:rPr>
        <w:t>SUJETO OBLIGADO</w:t>
      </w:r>
      <w:r w:rsidRPr="003766AF">
        <w:rPr>
          <w:rFonts w:ascii="Palatino Linotype" w:eastAsia="Palatino Linotype" w:hAnsi="Palatino Linotype" w:cs="Palatino Linotype"/>
          <w:color w:val="000000" w:themeColor="text1"/>
        </w:rPr>
        <w:t xml:space="preserve"> deberá contar con un servidor público habilitado, quien será, a su vez, el enlace entre la Unidad de Transparencia y el área administrativa, y se encargará de buscar, localizar y proporcionar la información que se requiera a través de las solicitudes de acceso a la información.</w:t>
      </w:r>
    </w:p>
    <w:p w:rsidR="00B10B03" w:rsidRPr="003766AF" w:rsidRDefault="00575144" w:rsidP="0057514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lastRenderedPageBreak/>
        <w:t>Aunado a lo anterior, la Ley de Transparencia y Acceso a la Información Pública del Estado de México y Municipios, en su artículo 53, establece las funciones correspondientes a esta Unidad; mismas que se inserta a continuación:</w:t>
      </w:r>
    </w:p>
    <w:p w:rsidR="00B10B03" w:rsidRPr="003766AF" w:rsidRDefault="00575144" w:rsidP="005751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b/>
          <w:i/>
          <w:color w:val="000000" w:themeColor="text1"/>
        </w:rPr>
        <w:t>“Artículo 53</w:t>
      </w:r>
      <w:r w:rsidRPr="003766AF">
        <w:rPr>
          <w:rFonts w:ascii="Palatino Linotype" w:eastAsia="Palatino Linotype" w:hAnsi="Palatino Linotype" w:cs="Palatino Linotype"/>
          <w:i/>
          <w:color w:val="000000" w:themeColor="text1"/>
        </w:rPr>
        <w:t xml:space="preserve">. Las Unidades de Transparencia tendrán las siguientes funciones: </w:t>
      </w:r>
    </w:p>
    <w:p w:rsidR="00B10B03" w:rsidRPr="003766AF" w:rsidRDefault="00B10B03" w:rsidP="005751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p>
    <w:p w:rsidR="00B10B03" w:rsidRPr="003766AF" w:rsidRDefault="00575144" w:rsidP="005751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 xml:space="preserve">I. Recabar, difundir y actualizar la información relativa a las obligaciones de transparencia comunes y específicas a la que se refiere la Ley General, esta Ley, la que determine el Instituto y las demás disposiciones de la materia, así como propiciar que las áreas la actualicen periódicamente conforme a la normatividad aplicable; </w:t>
      </w:r>
    </w:p>
    <w:p w:rsidR="00B10B03" w:rsidRPr="003766AF" w:rsidRDefault="00575144" w:rsidP="00575144">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3766AF">
        <w:rPr>
          <w:rFonts w:ascii="Palatino Linotype" w:eastAsia="Palatino Linotype" w:hAnsi="Palatino Linotype" w:cs="Palatino Linotype"/>
          <w:b/>
          <w:i/>
          <w:color w:val="000000" w:themeColor="text1"/>
        </w:rPr>
        <w:t xml:space="preserve">II. Recibir, tramitar y dar respuesta a las solicitudes de acceso a la información; </w:t>
      </w:r>
    </w:p>
    <w:p w:rsidR="00B10B03" w:rsidRPr="003766AF" w:rsidRDefault="00575144" w:rsidP="005751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 xml:space="preserve">III. Auxiliar a los particulares en la elaboración de solicitudes de acceso a la información y, en su caso, orientarlos sobre los sujetos obligados competentes conforme a la normatividad aplicable; </w:t>
      </w:r>
    </w:p>
    <w:p w:rsidR="00B10B03" w:rsidRPr="003766AF" w:rsidRDefault="00575144" w:rsidP="00575144">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3766AF">
        <w:rPr>
          <w:rFonts w:ascii="Palatino Linotype" w:eastAsia="Palatino Linotype" w:hAnsi="Palatino Linotype" w:cs="Palatino Linotype"/>
          <w:b/>
          <w:i/>
          <w:color w:val="000000" w:themeColor="text1"/>
        </w:rPr>
        <w:t xml:space="preserve">IV. Realizar, con efectividad, los trámites internos necesarios para la atención de las solicitudes de acceso a la información; </w:t>
      </w:r>
    </w:p>
    <w:p w:rsidR="00B10B03" w:rsidRPr="003766AF" w:rsidRDefault="00575144" w:rsidP="005751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 xml:space="preserve">V. Entregar, en su caso, a los particulares la información solicitada; </w:t>
      </w:r>
    </w:p>
    <w:p w:rsidR="00B10B03" w:rsidRPr="003766AF" w:rsidRDefault="00575144" w:rsidP="005751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 xml:space="preserve">VI. Efectuar las notificaciones a los solicitantes; </w:t>
      </w:r>
    </w:p>
    <w:p w:rsidR="00B10B03" w:rsidRPr="003766AF" w:rsidRDefault="00575144" w:rsidP="005751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 xml:space="preserve">VII. Proponer al Comité de Transparencia, los procedimientos internos que aseguren la mayor eficiencia en la gestión de las solicitudes de acceso a la información, conforme a la normatividad aplicable; </w:t>
      </w:r>
    </w:p>
    <w:p w:rsidR="00B10B03" w:rsidRPr="003766AF" w:rsidRDefault="00575144" w:rsidP="005751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 xml:space="preserve">VIII. Proponer a quien preside el Comité de Transparencia, personal habilitado que sea necesario para recibir y dar trámite a las solicitudes de acceso a la información; </w:t>
      </w:r>
    </w:p>
    <w:p w:rsidR="00B10B03" w:rsidRPr="003766AF" w:rsidRDefault="00575144" w:rsidP="00575144">
      <w:pPr>
        <w:pBdr>
          <w:top w:val="nil"/>
          <w:left w:val="nil"/>
          <w:bottom w:val="nil"/>
          <w:right w:val="nil"/>
          <w:between w:val="nil"/>
        </w:pBdr>
        <w:tabs>
          <w:tab w:val="left" w:pos="426"/>
        </w:tabs>
        <w:jc w:val="both"/>
        <w:rPr>
          <w:rFonts w:ascii="Palatino Linotype" w:eastAsia="Palatino Linotype" w:hAnsi="Palatino Linotype" w:cs="Palatino Linotype"/>
          <w:b/>
          <w:i/>
          <w:color w:val="000000" w:themeColor="text1"/>
        </w:rPr>
      </w:pPr>
      <w:r w:rsidRPr="003766AF">
        <w:rPr>
          <w:rFonts w:ascii="Palatino Linotype" w:eastAsia="Palatino Linotype" w:hAnsi="Palatino Linotype" w:cs="Palatino Linotype"/>
          <w:b/>
          <w:i/>
          <w:color w:val="000000" w:themeColor="text1"/>
        </w:rPr>
        <w:t xml:space="preserve">IX. Llevar un registro de las solicitudes de acceso a la información, sus respuestas, resultados, costos de reproducción y envío, resolución a los recursos de revisión que se hayan emitido en contra de sus respuestas y del cumplimiento de las mismas; </w:t>
      </w:r>
    </w:p>
    <w:p w:rsidR="00B10B03" w:rsidRPr="003766AF" w:rsidRDefault="00575144" w:rsidP="005751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 xml:space="preserve">X. Presentar ante el Comité, el proyecto de clasificación de información; </w:t>
      </w:r>
    </w:p>
    <w:p w:rsidR="00B10B03" w:rsidRPr="003766AF" w:rsidRDefault="00575144" w:rsidP="005751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 xml:space="preserve">XI. Promover e implementar políticas de transparencia proactiva procurando su accesibilidad; </w:t>
      </w:r>
    </w:p>
    <w:p w:rsidR="00B10B03" w:rsidRPr="003766AF" w:rsidRDefault="00575144" w:rsidP="005751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 xml:space="preserve">XII. Fomentar la transparencia y accesibilidad al interior del sujeto obligado; </w:t>
      </w:r>
    </w:p>
    <w:p w:rsidR="00B10B03" w:rsidRPr="003766AF" w:rsidRDefault="00575144" w:rsidP="005751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XIII. Hacer del conocimiento de la instancia competente la probable responsabilidad por el incumplimiento de las obligaciones previstas en la presente Ley; y</w:t>
      </w:r>
    </w:p>
    <w:p w:rsidR="00B10B03" w:rsidRPr="003766AF" w:rsidRDefault="00575144" w:rsidP="00575144">
      <w:pPr>
        <w:pBdr>
          <w:top w:val="nil"/>
          <w:left w:val="nil"/>
          <w:bottom w:val="nil"/>
          <w:right w:val="nil"/>
          <w:between w:val="nil"/>
        </w:pBdr>
        <w:tabs>
          <w:tab w:val="left" w:pos="426"/>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XIV. Las demás que resulten necesarias para facilitar el acceso a la información y aquellas que se desprenden de la presente Ley y demás disposiciones jurídicas aplicables. (…)</w:t>
      </w:r>
    </w:p>
    <w:p w:rsidR="00B10B03" w:rsidRPr="003766AF" w:rsidRDefault="00575144" w:rsidP="00575144">
      <w:pPr>
        <w:pBdr>
          <w:top w:val="nil"/>
          <w:left w:val="nil"/>
          <w:bottom w:val="nil"/>
          <w:right w:val="nil"/>
          <w:between w:val="nil"/>
        </w:pBdr>
        <w:tabs>
          <w:tab w:val="left" w:pos="426"/>
        </w:tabs>
        <w:spacing w:after="240"/>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 xml:space="preserve">Los sujetos obligados deberán implementar a través de las unidades de transparencia, progresivamente y conforme a sus previsiones, las medidas pertinentes para asegurar que el entorno físico de las instalaciones cuente con los ajustes razonables, con el objeto de proporcionar adecuada accesibilidad que otorgue las facilidades necesarias, así como establecer procedimientos para brindar asesoría y atención a las personas con discapacidad, a fin de que puedan consultar los sistemas que integran la Plataforma </w:t>
      </w:r>
      <w:r w:rsidRPr="003766AF">
        <w:rPr>
          <w:rFonts w:ascii="Palatino Linotype" w:eastAsia="Palatino Linotype" w:hAnsi="Palatino Linotype" w:cs="Palatino Linotype"/>
          <w:i/>
          <w:color w:val="000000" w:themeColor="text1"/>
        </w:rPr>
        <w:lastRenderedPageBreak/>
        <w:t xml:space="preserve">Nacional de Transparencia, presentar solicitudes de acceso a la información y facilitar su gestión e interponer los recursos que las leyes establezcan.” </w:t>
      </w:r>
    </w:p>
    <w:p w:rsidR="00B10B03" w:rsidRPr="003766AF" w:rsidRDefault="00B10B03" w:rsidP="00575144">
      <w:pPr>
        <w:tabs>
          <w:tab w:val="left" w:pos="426"/>
        </w:tabs>
        <w:spacing w:before="240" w:after="240"/>
        <w:jc w:val="both"/>
        <w:rPr>
          <w:rFonts w:ascii="Palatino Linotype" w:eastAsia="Palatino Linotype" w:hAnsi="Palatino Linotype" w:cs="Palatino Linotype"/>
          <w:i/>
          <w:color w:val="000000" w:themeColor="text1"/>
        </w:rPr>
      </w:pPr>
    </w:p>
    <w:p w:rsidR="00B10B03" w:rsidRPr="003766AF" w:rsidRDefault="00575144" w:rsidP="0057514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De lo expuesto y con relación a lo solicitado, se tiene que, la Unidad de Transparencia es la encargada de recibir, tramitar y dar respuesta a las solicitudes de acceso a la información.</w:t>
      </w:r>
    </w:p>
    <w:p w:rsidR="00B10B03" w:rsidRPr="003766AF" w:rsidRDefault="00B10B03" w:rsidP="00575144">
      <w:pPr>
        <w:pBdr>
          <w:top w:val="nil"/>
          <w:left w:val="nil"/>
          <w:bottom w:val="nil"/>
          <w:right w:val="nil"/>
          <w:between w:val="nil"/>
        </w:pBdr>
        <w:tabs>
          <w:tab w:val="left" w:pos="426"/>
          <w:tab w:val="left" w:pos="567"/>
        </w:tabs>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tabs>
          <w:tab w:val="left" w:pos="426"/>
          <w:tab w:val="left" w:pos="567"/>
        </w:tabs>
        <w:spacing w:line="360" w:lineRule="auto"/>
        <w:ind w:left="0" w:firstLine="0"/>
        <w:jc w:val="both"/>
        <w:rPr>
          <w:rFonts w:ascii="Palatino Linotype" w:eastAsia="Palatino Linotype" w:hAnsi="Palatino Linotype" w:cs="Palatino Linotype"/>
          <w:b/>
          <w:color w:val="000000" w:themeColor="text1"/>
        </w:rPr>
      </w:pPr>
      <w:bookmarkStart w:id="8" w:name="_heading=h.iqcos1dk4hfk" w:colFirst="0" w:colLast="0"/>
      <w:bookmarkEnd w:id="8"/>
      <w:r w:rsidRPr="003766AF">
        <w:rPr>
          <w:rFonts w:ascii="Palatino Linotype" w:eastAsia="Palatino Linotype" w:hAnsi="Palatino Linotype" w:cs="Palatino Linotype"/>
          <w:color w:val="000000" w:themeColor="text1"/>
        </w:rPr>
        <w:t xml:space="preserve">En este sentido, se advierte que, el </w:t>
      </w:r>
      <w:r w:rsidRPr="003766AF">
        <w:rPr>
          <w:rFonts w:ascii="Palatino Linotype" w:eastAsia="Palatino Linotype" w:hAnsi="Palatino Linotype" w:cs="Palatino Linotype"/>
          <w:b/>
          <w:color w:val="000000" w:themeColor="text1"/>
        </w:rPr>
        <w:t>SUJETO OBLIGADO</w:t>
      </w:r>
      <w:r w:rsidRPr="003766AF">
        <w:rPr>
          <w:rFonts w:ascii="Palatino Linotype" w:eastAsia="Palatino Linotype" w:hAnsi="Palatino Linotype" w:cs="Palatino Linotype"/>
          <w:color w:val="000000" w:themeColor="text1"/>
        </w:rPr>
        <w:t xml:space="preserve"> cumplió con el procedimiento de búsqueda exhaustiva y razonable, pues gestionó la solicitud de información en la unidad en donde </w:t>
      </w:r>
      <w:r w:rsidRPr="003766AF">
        <w:rPr>
          <w:rFonts w:ascii="Palatino Linotype" w:eastAsia="Palatino Linotype" w:hAnsi="Palatino Linotype" w:cs="Palatino Linotype"/>
          <w:color w:val="000000" w:themeColor="text1"/>
          <w:u w:val="single"/>
        </w:rPr>
        <w:t>pudiera</w:t>
      </w:r>
      <w:r w:rsidRPr="003766AF">
        <w:rPr>
          <w:rFonts w:ascii="Palatino Linotype" w:eastAsia="Palatino Linotype" w:hAnsi="Palatino Linotype" w:cs="Palatino Linotype"/>
          <w:color w:val="000000" w:themeColor="text1"/>
        </w:rPr>
        <w:t xml:space="preserve"> obrar la citada información, siendo esta: </w:t>
      </w:r>
      <w:r w:rsidRPr="003766AF">
        <w:rPr>
          <w:rFonts w:ascii="Palatino Linotype" w:eastAsia="Palatino Linotype" w:hAnsi="Palatino Linotype" w:cs="Palatino Linotype"/>
          <w:b/>
          <w:color w:val="000000" w:themeColor="text1"/>
        </w:rPr>
        <w:t xml:space="preserve">la Tesorería Municipal, </w:t>
      </w:r>
      <w:r w:rsidRPr="003766AF">
        <w:rPr>
          <w:rFonts w:ascii="Palatino Linotype" w:eastAsia="Palatino Linotype" w:hAnsi="Palatino Linotype" w:cs="Palatino Linotype"/>
          <w:color w:val="000000" w:themeColor="text1"/>
        </w:rPr>
        <w:t>no obstante a ello, la documentación que remitió no se encuentra en una correcta versión pública, toda vez que se testaron datos de forma excesiva, que de manera enunciativa más no limitativa son RFC del empleador , lugar y fecha de expedición, No. De Certificado Digital, Puesto del Servidor Público, Cadena Original del Complemento de Certificación Digital, Sello digital del Emisor, Folio Fiscal, Certificado y Sello Digital SAT, Código QR; ello aunado a que omitió remitir el Acta mediante el cual el Comité de Transparencia aprobó la versión pública del Recibo de Nómina entregado en respuesta, situación de la que se duele el solicitante, dando origen al expediente en que se actúa.</w:t>
      </w:r>
    </w:p>
    <w:p w:rsidR="00B10B03" w:rsidRPr="003766AF" w:rsidRDefault="00B10B03" w:rsidP="00575144">
      <w:pPr>
        <w:pBdr>
          <w:top w:val="nil"/>
          <w:left w:val="nil"/>
          <w:bottom w:val="nil"/>
          <w:right w:val="nil"/>
          <w:between w:val="nil"/>
        </w:pBdr>
        <w:rPr>
          <w:rFonts w:ascii="Palatino Linotype" w:eastAsia="Palatino Linotype" w:hAnsi="Palatino Linotype" w:cs="Palatino Linotype"/>
          <w:b/>
          <w:color w:val="000000" w:themeColor="text1"/>
        </w:rPr>
      </w:pP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Por lo que para lograr un mejor análisis del expediente en que se actúa, surge la necesidad se exponer el estudio de manera enunciativa, más no limitativa los datos referidos en el párrafo que antecede.</w:t>
      </w:r>
    </w:p>
    <w:p w:rsidR="00B10B03" w:rsidRPr="003766AF" w:rsidRDefault="00B10B03" w:rsidP="00575144">
      <w:pPr>
        <w:pBdr>
          <w:top w:val="nil"/>
          <w:left w:val="nil"/>
          <w:bottom w:val="nil"/>
          <w:right w:val="nil"/>
          <w:between w:val="nil"/>
        </w:pBdr>
        <w:rPr>
          <w:rFonts w:ascii="Palatino Linotype" w:eastAsia="Palatino Linotype" w:hAnsi="Palatino Linotype" w:cs="Palatino Linotype"/>
          <w:color w:val="000000" w:themeColor="text1"/>
        </w:rPr>
      </w:pPr>
    </w:p>
    <w:p w:rsidR="00B10B03" w:rsidRPr="003766AF" w:rsidRDefault="00575144" w:rsidP="00575144">
      <w:pPr>
        <w:numPr>
          <w:ilvl w:val="0"/>
          <w:numId w:val="4"/>
        </w:numPr>
        <w:pBdr>
          <w:top w:val="nil"/>
          <w:left w:val="nil"/>
          <w:bottom w:val="nil"/>
          <w:right w:val="nil"/>
          <w:between w:val="nil"/>
        </w:pBdr>
        <w:ind w:left="0" w:firstLine="0"/>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b/>
          <w:color w:val="000000" w:themeColor="text1"/>
        </w:rPr>
        <w:t>Registro Federal de Contribuyentes (RFC)</w:t>
      </w: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Por cuanto hace al </w:t>
      </w:r>
      <w:r w:rsidRPr="003766AF">
        <w:rPr>
          <w:rFonts w:ascii="Palatino Linotype" w:eastAsia="Palatino Linotype" w:hAnsi="Palatino Linotype" w:cs="Palatino Linotype"/>
          <w:b/>
          <w:color w:val="000000" w:themeColor="text1"/>
        </w:rPr>
        <w:t xml:space="preserve">Registro Federal de Contribuyentes (RFC) </w:t>
      </w:r>
      <w:r w:rsidRPr="003766AF">
        <w:rPr>
          <w:rFonts w:ascii="Palatino Linotype" w:eastAsia="Palatino Linotype" w:hAnsi="Palatino Linotype" w:cs="Palatino Linotype"/>
          <w:color w:val="000000" w:themeColor="text1"/>
        </w:rPr>
        <w:t xml:space="preserve">del empleador, se presenta en el momento en el que se firme su acta o documento constitutivo, a través del fedatario público que protocolice el instrumento constitutivo de que se trate, dentro del mes </w:t>
      </w:r>
      <w:r w:rsidRPr="003766AF">
        <w:rPr>
          <w:rFonts w:ascii="Palatino Linotype" w:eastAsia="Palatino Linotype" w:hAnsi="Palatino Linotype" w:cs="Palatino Linotype"/>
          <w:color w:val="000000" w:themeColor="text1"/>
        </w:rPr>
        <w:lastRenderedPageBreak/>
        <w:t xml:space="preserve">siguiente a aquél en que se realice la firma del contrato, </w:t>
      </w:r>
      <w:r w:rsidRPr="003766AF">
        <w:rPr>
          <w:rFonts w:ascii="Palatino Linotype" w:eastAsia="Palatino Linotype" w:hAnsi="Palatino Linotype" w:cs="Palatino Linotype"/>
          <w:b/>
          <w:color w:val="000000" w:themeColor="text1"/>
        </w:rPr>
        <w:t>o la publicación del decreto o del acto jurídico que les dé origen</w:t>
      </w:r>
      <w:r w:rsidRPr="003766AF">
        <w:rPr>
          <w:rFonts w:ascii="Palatino Linotype" w:eastAsia="Palatino Linotype" w:hAnsi="Palatino Linotype" w:cs="Palatino Linotype"/>
          <w:color w:val="000000" w:themeColor="text1"/>
        </w:rPr>
        <w:t>, para el caso de que no se constituyan ante fedatario público, como es el caso de las entidades públicas.</w:t>
      </w:r>
    </w:p>
    <w:p w:rsidR="00B10B03" w:rsidRPr="003766AF" w:rsidRDefault="00B10B03" w:rsidP="00575144">
      <w:pP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b/>
          <w:color w:val="000000" w:themeColor="text1"/>
        </w:rPr>
        <w:t>Código de barras bidimensional (QR</w:t>
      </w:r>
      <w:r w:rsidRPr="003766AF">
        <w:rPr>
          <w:rFonts w:ascii="Palatino Linotype" w:eastAsia="Palatino Linotype" w:hAnsi="Palatino Linotype" w:cs="Palatino Linotype"/>
          <w:color w:val="000000" w:themeColor="text1"/>
        </w:rPr>
        <w:t>)</w:t>
      </w: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El </w:t>
      </w:r>
      <w:r w:rsidRPr="003766AF">
        <w:rPr>
          <w:rFonts w:ascii="Palatino Linotype" w:eastAsia="Palatino Linotype" w:hAnsi="Palatino Linotype" w:cs="Palatino Linotype"/>
          <w:b/>
          <w:color w:val="000000" w:themeColor="text1"/>
        </w:rPr>
        <w:t>Código de barras bidimensional (QR</w:t>
      </w:r>
      <w:r w:rsidRPr="003766AF">
        <w:rPr>
          <w:rFonts w:ascii="Palatino Linotype" w:eastAsia="Palatino Linotype" w:hAnsi="Palatino Linotype" w:cs="Palatino Linotype"/>
          <w:color w:val="000000" w:themeColor="text1"/>
        </w:rPr>
        <w:t xml:space="preserve">), resulta necesario señalar que los comprobantes fiscales digitales por Internet, deben de incluir un código bidimensional conforme al formato QR Code (Quick Response Code), el cual contiene el Registro Federal de Contribuyentes del receptor, del emisor, o de ambos; lo anterior, conforme al Anexo 20 de la Resolución Miscelánea Fiscal para 2022, localizada en la página electrónica  </w:t>
      </w:r>
      <w:hyperlink r:id="rId9">
        <w:r w:rsidRPr="003766AF">
          <w:rPr>
            <w:rFonts w:ascii="Palatino Linotype" w:eastAsia="Palatino Linotype" w:hAnsi="Palatino Linotype" w:cs="Palatino Linotype"/>
            <w:color w:val="000000" w:themeColor="text1"/>
            <w:u w:val="single"/>
          </w:rPr>
          <w:t>http://omawww.sat.gob.mx/tramitesyservicios/paginas/documentos/anexo20_2022.pdf</w:t>
        </w:r>
      </w:hyperlink>
      <w:r w:rsidRPr="003766AF">
        <w:rPr>
          <w:rFonts w:ascii="Palatino Linotype" w:eastAsia="Palatino Linotype" w:hAnsi="Palatino Linotype" w:cs="Palatino Linotype"/>
          <w:color w:val="000000" w:themeColor="text1"/>
        </w:rPr>
        <w:t xml:space="preserve"> . Incluso con la captura de dicho código, a través de la aplicación móvil del Servicio de Administración Tributaria, permite el acceso al Registro Federal de Contribuyentes, como del Sujeto Obligado, como de la persona física o moral correspondiente.</w:t>
      </w:r>
    </w:p>
    <w:p w:rsidR="00B10B03" w:rsidRPr="003766AF" w:rsidRDefault="00B10B03" w:rsidP="00575144">
      <w:pPr>
        <w:tabs>
          <w:tab w:val="left" w:pos="284"/>
        </w:tabs>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De tales circunstancias, se considera que se actualiza la causal de clasificación prevista en el artículo 143, fracción I de la Ley de la materia, toda vez que el Registro Federal de Contribuyentes corresponde a los servidores públicos, pues como se señaló en párrafos anteriores el mismo hace identificable o identificada al mismo.</w:t>
      </w:r>
    </w:p>
    <w:p w:rsidR="00B10B03" w:rsidRPr="003766AF" w:rsidRDefault="00B10B03" w:rsidP="00575144">
      <w:pPr>
        <w:pBdr>
          <w:top w:val="nil"/>
          <w:left w:val="nil"/>
          <w:bottom w:val="nil"/>
          <w:right w:val="nil"/>
          <w:between w:val="nil"/>
        </w:pBdr>
        <w:rPr>
          <w:rFonts w:ascii="Palatino Linotype" w:eastAsia="Palatino Linotype" w:hAnsi="Palatino Linotype" w:cs="Palatino Linotype"/>
          <w:color w:val="000000" w:themeColor="text1"/>
        </w:rPr>
      </w:pPr>
    </w:p>
    <w:p w:rsidR="00B10B03" w:rsidRPr="003766AF" w:rsidRDefault="00575144" w:rsidP="00575144">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b/>
          <w:color w:val="000000" w:themeColor="text1"/>
        </w:rPr>
        <w:t>Folio Fiscal</w:t>
      </w: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Por cuanto hace </w:t>
      </w:r>
      <w:r w:rsidRPr="003766AF">
        <w:rPr>
          <w:rFonts w:ascii="Palatino Linotype" w:eastAsia="Palatino Linotype" w:hAnsi="Palatino Linotype" w:cs="Palatino Linotype"/>
          <w:b/>
          <w:color w:val="000000" w:themeColor="text1"/>
        </w:rPr>
        <w:t>al Folio Fiscal</w:t>
      </w:r>
      <w:r w:rsidRPr="003766AF">
        <w:rPr>
          <w:rFonts w:ascii="Palatino Linotype" w:eastAsia="Palatino Linotype" w:hAnsi="Palatino Linotype" w:cs="Palatino Linotype"/>
          <w:color w:val="000000" w:themeColor="text1"/>
        </w:rPr>
        <w:t xml:space="preserve">, cabe precisar que conforme a la Resolución Miscelánea Fiscal para 2025, el folio fiscal es un dato que deben contener los CDFI por concepto de nómina. Dicho dato es un identificador individual de cada factura o comprobante electrónico. El objetivo del Folio es prevenir los fraudes o falsificaciones, ya que contiene códigos o claves </w:t>
      </w:r>
      <w:r w:rsidRPr="003766AF">
        <w:rPr>
          <w:rFonts w:ascii="Palatino Linotype" w:eastAsia="Palatino Linotype" w:hAnsi="Palatino Linotype" w:cs="Palatino Linotype"/>
          <w:color w:val="000000" w:themeColor="text1"/>
        </w:rPr>
        <w:lastRenderedPageBreak/>
        <w:t>únicas de cada comprobante fiscal, de tal manera que se puede comprobar si la factura fue certificada por el SAT. El Folio Fiscal está compuesto por 32 dígitos hexadecimales, mostrados en 5 grupos separados por guiones.</w:t>
      </w:r>
    </w:p>
    <w:p w:rsidR="00B10B03" w:rsidRPr="003766AF" w:rsidRDefault="00B10B03" w:rsidP="00575144">
      <w:pPr>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La Guía de llenado del comprobante del recibo de pago de nómina y su complemento Aplicable para la versión 4.0 del CFDI y el complemento de nómina versión 1.2. muestra la Representación gráfica del CFDI por concepto de nómina en donde se aprecia el Folio Fiscal:</w:t>
      </w:r>
    </w:p>
    <w:p w:rsidR="00B10B03" w:rsidRDefault="00575144" w:rsidP="00575144">
      <w:pPr>
        <w:jc w:val="center"/>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noProof/>
          <w:color w:val="000000" w:themeColor="text1"/>
        </w:rPr>
        <w:drawing>
          <wp:inline distT="0" distB="0" distL="0" distR="0">
            <wp:extent cx="4513132" cy="815998"/>
            <wp:effectExtent l="0" t="0" r="0" b="0"/>
            <wp:docPr id="68" name="image4.png"/>
            <wp:cNvGraphicFramePr/>
            <a:graphic xmlns:a="http://schemas.openxmlformats.org/drawingml/2006/main">
              <a:graphicData uri="http://schemas.openxmlformats.org/drawingml/2006/picture">
                <pic:pic xmlns:pic="http://schemas.openxmlformats.org/drawingml/2006/picture">
                  <pic:nvPicPr>
                    <pic:cNvPr id="0" name="image4.png"/>
                    <pic:cNvPicPr preferRelativeResize="0"/>
                  </pic:nvPicPr>
                  <pic:blipFill>
                    <a:blip r:embed="rId10"/>
                    <a:srcRect/>
                    <a:stretch>
                      <a:fillRect/>
                    </a:stretch>
                  </pic:blipFill>
                  <pic:spPr>
                    <a:xfrm>
                      <a:off x="0" y="0"/>
                      <a:ext cx="4513132" cy="815998"/>
                    </a:xfrm>
                    <a:prstGeom prst="rect">
                      <a:avLst/>
                    </a:prstGeom>
                    <a:ln/>
                  </pic:spPr>
                </pic:pic>
              </a:graphicData>
            </a:graphic>
          </wp:inline>
        </w:drawing>
      </w:r>
    </w:p>
    <w:p w:rsidR="006A3627" w:rsidRPr="003766AF" w:rsidRDefault="006A3627" w:rsidP="00575144">
      <w:pPr>
        <w:jc w:val="center"/>
        <w:rPr>
          <w:rFonts w:ascii="Palatino Linotype" w:eastAsia="Palatino Linotype" w:hAnsi="Palatino Linotype" w:cs="Palatino Linotype"/>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El Anexo 20 Guía de llenado de los comprobantes fiscales digitales por Internet, actualizado al 08 de marzo del 2023, señala que se debe registrar el folio fiscal (UUID) de un comprobante fiscal relacionado con el presente comprobante. Ejemplo: UUID= 5FB2822E-396D-4725-8521-CDC4BDD20CCF</w:t>
      </w:r>
    </w:p>
    <w:p w:rsidR="00B10B03" w:rsidRPr="003766AF" w:rsidRDefault="00B10B03" w:rsidP="00575144">
      <w:pP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En ese contexto, el folio fiscal, no contiene datos personales y tampoco se puede obtener información confidencial con el mismo, pues solamente es un identificador del emisor, del cual su transparencia ayuda a legitimar que el documento cumple con todos los requisitos establecidos en la normatividad aplicable, sin necesidad de algún dato personal, por lo que, no se actualiza la clasificación, en términos del artículo 143, fracción I de la Ley de la materia.</w:t>
      </w:r>
    </w:p>
    <w:p w:rsidR="00B10B03" w:rsidRPr="003766AF" w:rsidRDefault="00B10B03" w:rsidP="00575144">
      <w:pPr>
        <w:pBdr>
          <w:top w:val="nil"/>
          <w:left w:val="nil"/>
          <w:bottom w:val="nil"/>
          <w:right w:val="nil"/>
          <w:between w:val="nil"/>
        </w:pBdr>
        <w:rPr>
          <w:rFonts w:ascii="Palatino Linotype" w:eastAsia="Palatino Linotype" w:hAnsi="Palatino Linotype" w:cs="Palatino Linotype"/>
          <w:color w:val="000000" w:themeColor="text1"/>
        </w:rPr>
      </w:pPr>
    </w:p>
    <w:p w:rsidR="00B10B03" w:rsidRPr="003766AF" w:rsidRDefault="00575144" w:rsidP="00575144">
      <w:pPr>
        <w:numPr>
          <w:ilvl w:val="0"/>
          <w:numId w:val="4"/>
        </w:numPr>
        <w:pBdr>
          <w:top w:val="nil"/>
          <w:left w:val="nil"/>
          <w:bottom w:val="nil"/>
          <w:right w:val="nil"/>
          <w:between w:val="nil"/>
        </w:pBdr>
        <w:ind w:left="0" w:firstLine="0"/>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b/>
          <w:color w:val="000000" w:themeColor="text1"/>
        </w:rPr>
        <w:t>Las cadenas originales y sellos digitales</w:t>
      </w: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En esa línea de estudio,</w:t>
      </w:r>
      <w:r w:rsidRPr="003766AF">
        <w:rPr>
          <w:rFonts w:ascii="Palatino Linotype" w:eastAsia="Palatino Linotype" w:hAnsi="Palatino Linotype" w:cs="Palatino Linotype"/>
          <w:b/>
          <w:color w:val="000000" w:themeColor="text1"/>
        </w:rPr>
        <w:t xml:space="preserve"> las cadenas originales y sellos digitales</w:t>
      </w:r>
      <w:r w:rsidRPr="003766AF">
        <w:rPr>
          <w:rFonts w:ascii="Palatino Linotype" w:eastAsia="Palatino Linotype" w:hAnsi="Palatino Linotype" w:cs="Palatino Linotype"/>
          <w:color w:val="000000" w:themeColor="text1"/>
        </w:rPr>
        <w:t xml:space="preserve">, tienen una secuencia de generación, determinados con base en el Anexo 20 de la Resolución Miscelánea Fiscal para </w:t>
      </w:r>
      <w:r w:rsidRPr="003766AF">
        <w:rPr>
          <w:rFonts w:ascii="Palatino Linotype" w:eastAsia="Palatino Linotype" w:hAnsi="Palatino Linotype" w:cs="Palatino Linotype"/>
          <w:color w:val="000000" w:themeColor="text1"/>
        </w:rPr>
        <w:lastRenderedPageBreak/>
        <w:t>2022, que precisa los datos de los que se componen los elementos de seguridad y se puntualiza que dicha información está encriptada.</w:t>
      </w:r>
    </w:p>
    <w:p w:rsidR="00B10B03" w:rsidRPr="003766AF" w:rsidRDefault="00575144" w:rsidP="00575144">
      <w:pP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“Elementos utilizados en la generación de Sellos Digitales:</w:t>
      </w:r>
    </w:p>
    <w:p w:rsidR="00B10B03" w:rsidRPr="003766AF" w:rsidRDefault="00575144" w:rsidP="00575144">
      <w:pP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w:t>
      </w:r>
      <w:r w:rsidRPr="003766AF">
        <w:rPr>
          <w:rFonts w:ascii="Palatino Linotype" w:eastAsia="Palatino Linotype" w:hAnsi="Palatino Linotype" w:cs="Palatino Linotype"/>
          <w:i/>
          <w:color w:val="000000" w:themeColor="text1"/>
        </w:rPr>
        <w:tab/>
        <w:t>Cadena Original del elemento a sellar.</w:t>
      </w:r>
    </w:p>
    <w:p w:rsidR="00B10B03" w:rsidRPr="003766AF" w:rsidRDefault="00575144" w:rsidP="00575144">
      <w:pP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w:t>
      </w:r>
      <w:r w:rsidRPr="003766AF">
        <w:rPr>
          <w:rFonts w:ascii="Palatino Linotype" w:eastAsia="Palatino Linotype" w:hAnsi="Palatino Linotype" w:cs="Palatino Linotype"/>
          <w:i/>
          <w:color w:val="000000" w:themeColor="text1"/>
        </w:rPr>
        <w:tab/>
        <w:t>Certificado de Sello Digital y su correspondiente clave privada.</w:t>
      </w:r>
    </w:p>
    <w:p w:rsidR="00B10B03" w:rsidRPr="003766AF" w:rsidRDefault="00575144" w:rsidP="00575144">
      <w:pP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w:t>
      </w:r>
      <w:r w:rsidRPr="003766AF">
        <w:rPr>
          <w:rFonts w:ascii="Palatino Linotype" w:eastAsia="Palatino Linotype" w:hAnsi="Palatino Linotype" w:cs="Palatino Linotype"/>
          <w:i/>
          <w:color w:val="000000" w:themeColor="text1"/>
        </w:rPr>
        <w:tab/>
        <w:t>Algoritmos de criptografía de clave pública para firma electrónica avanzada.</w:t>
      </w:r>
    </w:p>
    <w:p w:rsidR="00B10B03" w:rsidRPr="003766AF" w:rsidRDefault="00575144" w:rsidP="00575144">
      <w:pP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w:t>
      </w:r>
      <w:r w:rsidRPr="003766AF">
        <w:rPr>
          <w:rFonts w:ascii="Palatino Linotype" w:eastAsia="Palatino Linotype" w:hAnsi="Palatino Linotype" w:cs="Palatino Linotype"/>
          <w:i/>
          <w:color w:val="000000" w:themeColor="text1"/>
        </w:rPr>
        <w:tab/>
        <w:t>Especificaciones de conversión de la firma electrónica avanzada a Base 64.</w:t>
      </w:r>
    </w:p>
    <w:p w:rsidR="00B10B03" w:rsidRPr="003766AF" w:rsidRDefault="00575144" w:rsidP="00575144">
      <w:pP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Para la generación de sellos digitales se utiliza criptografía de clave pública aplicada a una cadena original.</w:t>
      </w:r>
    </w:p>
    <w:p w:rsidR="00B10B03" w:rsidRPr="003766AF" w:rsidRDefault="00575144" w:rsidP="00575144">
      <w:pPr>
        <w:jc w:val="both"/>
        <w:rPr>
          <w:rFonts w:ascii="Palatino Linotype" w:eastAsia="Palatino Linotype" w:hAnsi="Palatino Linotype" w:cs="Palatino Linotype"/>
          <w:b/>
          <w:i/>
          <w:color w:val="000000" w:themeColor="text1"/>
        </w:rPr>
      </w:pPr>
      <w:r w:rsidRPr="003766AF">
        <w:rPr>
          <w:rFonts w:ascii="Palatino Linotype" w:eastAsia="Palatino Linotype" w:hAnsi="Palatino Linotype" w:cs="Palatino Linotype"/>
          <w:b/>
          <w:i/>
          <w:color w:val="000000" w:themeColor="text1"/>
        </w:rPr>
        <w:t>Criptografía de la Clave Pública</w:t>
      </w:r>
    </w:p>
    <w:p w:rsidR="00B10B03" w:rsidRPr="003766AF" w:rsidRDefault="00575144" w:rsidP="00575144">
      <w:pP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La criptografía de Clave Pública se basa en la generación de una pareja de números muy grandes relacionados entre sí, de tal manera que una operación de encripción sobre un mensaje tomando como clave de encripción a uno de los dos números, produce un mensaje alterado en su significado que sólo puede ser devuelto a su estado original mediante la operación de desencripción correspondiente tomando como clave de desencripción al otro número de la pareja.”</w:t>
      </w:r>
    </w:p>
    <w:p w:rsidR="00B10B03" w:rsidRPr="003766AF" w:rsidRDefault="00B10B03" w:rsidP="00575144">
      <w:pPr>
        <w:jc w:val="both"/>
        <w:rPr>
          <w:rFonts w:ascii="Palatino Linotype" w:eastAsia="Palatino Linotype" w:hAnsi="Palatino Linotype" w:cs="Palatino Linotype"/>
          <w:i/>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Es decir, por sí solos </w:t>
      </w:r>
      <w:r w:rsidRPr="003766AF">
        <w:rPr>
          <w:rFonts w:ascii="Palatino Linotype" w:eastAsia="Palatino Linotype" w:hAnsi="Palatino Linotype" w:cs="Palatino Linotype"/>
          <w:b/>
          <w:color w:val="000000" w:themeColor="text1"/>
        </w:rPr>
        <w:t>las cadenas originales y los sellos originales no contienen datos personales confidenciales</w:t>
      </w:r>
      <w:r w:rsidRPr="003766AF">
        <w:rPr>
          <w:rFonts w:ascii="Palatino Linotype" w:eastAsia="Palatino Linotype" w:hAnsi="Palatino Linotype" w:cs="Palatino Linotype"/>
          <w:color w:val="000000" w:themeColor="text1"/>
        </w:rPr>
        <w:t>, por lo que se considera que no actualizan el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Cabe señalar que, en algunos casos, las cadenas originales y sellos digitales, se pueden conformar de datos confidenciales, tales como el Registro Federal de Contribuyentes o la Clave Única de Registro de Población o las deducciones personales; por lo que, en su caso actualizarán actualiza la clasificación, en términos del artículo 143, fracción I, de la Ley de la materia.</w:t>
      </w:r>
    </w:p>
    <w:p w:rsidR="00B10B03" w:rsidRPr="003766AF" w:rsidRDefault="00B10B03" w:rsidP="00575144">
      <w:pPr>
        <w:spacing w:line="360" w:lineRule="auto"/>
        <w:jc w:val="both"/>
        <w:rPr>
          <w:rFonts w:ascii="Palatino Linotype" w:eastAsia="Palatino Linotype" w:hAnsi="Palatino Linotype" w:cs="Palatino Linotype"/>
          <w:b/>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lastRenderedPageBreak/>
        <w:t xml:space="preserve">Por otra parte, por lo que hace al </w:t>
      </w:r>
      <w:r w:rsidRPr="003766AF">
        <w:rPr>
          <w:rFonts w:ascii="Palatino Linotype" w:eastAsia="Palatino Linotype" w:hAnsi="Palatino Linotype" w:cs="Palatino Linotype"/>
          <w:b/>
          <w:color w:val="000000" w:themeColor="text1"/>
        </w:rPr>
        <w:t>número de serie de los certificados de Sello Digitales del emisor y del Servicio de Administración Tributaria</w:t>
      </w:r>
      <w:r w:rsidRPr="003766AF">
        <w:rPr>
          <w:rFonts w:ascii="Palatino Linotype" w:eastAsia="Palatino Linotype" w:hAnsi="Palatino Linotype" w:cs="Palatino Linotype"/>
          <w:color w:val="000000" w:themeColor="text1"/>
        </w:rPr>
        <w:t>, el Anexo 20 de la Resolución Miscelánea Fiscal para 2022, precisa que es un atributo requerido para expresar el número de serie del certificado de sello digital que ampara al comprobante, de acuerdo con el acuse correspondiente a 20 posiciones otorgado por el sistema del SAT.</w:t>
      </w:r>
    </w:p>
    <w:p w:rsidR="00B10B03" w:rsidRPr="003766AF" w:rsidRDefault="00B10B03" w:rsidP="00575144">
      <w:pP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Cómo se logra observar, </w:t>
      </w:r>
      <w:r w:rsidRPr="003766AF">
        <w:rPr>
          <w:rFonts w:ascii="Palatino Linotype" w:eastAsia="Palatino Linotype" w:hAnsi="Palatino Linotype" w:cs="Palatino Linotype"/>
          <w:b/>
          <w:color w:val="000000" w:themeColor="text1"/>
        </w:rPr>
        <w:t>los números de serie del certificado de sello digital no contiene datos personales</w:t>
      </w:r>
      <w:r w:rsidRPr="003766AF">
        <w:rPr>
          <w:rFonts w:ascii="Palatino Linotype" w:eastAsia="Palatino Linotype" w:hAnsi="Palatino Linotype" w:cs="Palatino Linotype"/>
          <w:color w:val="000000" w:themeColor="text1"/>
        </w:rPr>
        <w:t xml:space="preserve"> y con dichos dígitos tampoco se puede obtener información de carácter confidencial, por lo que, tampoco actualizan la causal de clasificación, establecida en el artículo 143, fracción I, de la Ley de Transparencia y Acceso a la Información Pública del Estado de México y Municipios. Máxime que permite corroborar la legitimidad a la factura, pues amparan la utilización de los certificados de sellos digitales válidos.</w:t>
      </w:r>
    </w:p>
    <w:p w:rsidR="00B10B03" w:rsidRPr="003766AF" w:rsidRDefault="00B10B03" w:rsidP="00575144">
      <w:pPr>
        <w:pBdr>
          <w:top w:val="nil"/>
          <w:left w:val="nil"/>
          <w:bottom w:val="nil"/>
          <w:right w:val="nil"/>
          <w:between w:val="nil"/>
        </w:pBdr>
        <w:rPr>
          <w:rFonts w:ascii="Palatino Linotype" w:eastAsia="Palatino Linotype" w:hAnsi="Palatino Linotype" w:cs="Palatino Linotype"/>
          <w:color w:val="000000" w:themeColor="text1"/>
        </w:rPr>
      </w:pPr>
    </w:p>
    <w:p w:rsidR="00B10B03" w:rsidRPr="003766AF" w:rsidRDefault="00575144" w:rsidP="00575144">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b/>
          <w:color w:val="000000" w:themeColor="text1"/>
        </w:rPr>
        <w:t>Número de serie y folio interno</w:t>
      </w: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Ahora bien, por lo que hace al </w:t>
      </w:r>
      <w:r w:rsidRPr="003766AF">
        <w:rPr>
          <w:rFonts w:ascii="Palatino Linotype" w:eastAsia="Palatino Linotype" w:hAnsi="Palatino Linotype" w:cs="Palatino Linotype"/>
          <w:b/>
          <w:color w:val="000000" w:themeColor="text1"/>
        </w:rPr>
        <w:t>número de serie y folio interno</w:t>
      </w:r>
      <w:r w:rsidRPr="003766AF">
        <w:rPr>
          <w:rFonts w:ascii="Palatino Linotype" w:eastAsia="Palatino Linotype" w:hAnsi="Palatino Linotype" w:cs="Palatino Linotype"/>
          <w:color w:val="000000" w:themeColor="text1"/>
        </w:rPr>
        <w:t>, la Guía de llenado del CFDI global versión 4.0 del CFDI, emitida por el Servicio de Administración Tributaria prevé́ que es el número que utiliza el contribuyente para control interno de su información; mientras que el segundo es el número de control que se le asigna al comprobante; por lo que no se advierte que contenga datos confidenciales de los servidores públicos y por lo tanto, no actualizan la causal de clasificación establecida en el artículo 143, fracción I, de la Ley de Transparencia y Acceso a la Información Pública del Estado de México y Municipios.</w:t>
      </w:r>
    </w:p>
    <w:p w:rsidR="00B10B03" w:rsidRPr="003766AF" w:rsidRDefault="00B10B03" w:rsidP="00575144">
      <w:pP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4"/>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b/>
          <w:color w:val="000000" w:themeColor="text1"/>
        </w:rPr>
        <w:t>Fecha y lugar de emisión y certificación</w:t>
      </w: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Además, por lo que hace a la </w:t>
      </w:r>
      <w:r w:rsidRPr="003766AF">
        <w:rPr>
          <w:rFonts w:ascii="Palatino Linotype" w:eastAsia="Palatino Linotype" w:hAnsi="Palatino Linotype" w:cs="Palatino Linotype"/>
          <w:b/>
          <w:color w:val="000000" w:themeColor="text1"/>
        </w:rPr>
        <w:t>fecha y lugar de emisión y certificación</w:t>
      </w:r>
      <w:r w:rsidRPr="003766AF">
        <w:rPr>
          <w:rFonts w:ascii="Palatino Linotype" w:eastAsia="Palatino Linotype" w:hAnsi="Palatino Linotype" w:cs="Palatino Linotype"/>
          <w:color w:val="000000" w:themeColor="text1"/>
        </w:rPr>
        <w:t xml:space="preserve">, la Guía de llenado del CFDI global versión 4.0 del CFDI, previamente referida, establece que los datos </w:t>
      </w:r>
      <w:r w:rsidRPr="003766AF">
        <w:rPr>
          <w:rFonts w:ascii="Palatino Linotype" w:eastAsia="Palatino Linotype" w:hAnsi="Palatino Linotype" w:cs="Palatino Linotype"/>
          <w:color w:val="000000" w:themeColor="text1"/>
        </w:rPr>
        <w:lastRenderedPageBreak/>
        <w:t>mencionados corresponden a la fecha y hora de emisión y certificación del comprobante fiscal, los cuales se expresan de la siguiente manera: AAAA-MM-DDThh:mm:ss.</w:t>
      </w:r>
    </w:p>
    <w:p w:rsidR="00B10B03" w:rsidRPr="003766AF" w:rsidRDefault="00B10B03" w:rsidP="00575144">
      <w:pP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Conforme a lo anterior, se logra observar que la fecha y hora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B10B03" w:rsidRPr="003766AF" w:rsidRDefault="00B10B03" w:rsidP="00575144">
      <w:pP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Conforme a lo anterior, se logra observar que el lugar de emisión, no contienen información que, dé acceso a datos personales, ni contiene datos confidenciales, por lo que, se considera que no actualiza la causal de clasificación establecida en el artículo 143, fracción I, de la Ley de Transparencia y Acceso a la Información Pública del Estado de México y Municipios.</w:t>
      </w:r>
    </w:p>
    <w:p w:rsidR="00B10B03" w:rsidRPr="003766AF" w:rsidRDefault="00B10B03" w:rsidP="00575144">
      <w:pPr>
        <w:pBdr>
          <w:top w:val="nil"/>
          <w:left w:val="nil"/>
          <w:bottom w:val="nil"/>
          <w:right w:val="nil"/>
          <w:between w:val="nil"/>
        </w:pBdr>
        <w:rPr>
          <w:rFonts w:ascii="Palatino Linotype" w:eastAsia="Palatino Linotype" w:hAnsi="Palatino Linotype" w:cs="Palatino Linotype"/>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En ese sentido, el </w:t>
      </w:r>
      <w:r w:rsidRPr="003766AF">
        <w:rPr>
          <w:rFonts w:ascii="Palatino Linotype" w:eastAsia="Palatino Linotype" w:hAnsi="Palatino Linotype" w:cs="Palatino Linotype"/>
          <w:b/>
          <w:color w:val="000000" w:themeColor="text1"/>
        </w:rPr>
        <w:t>SUJETO OBLIGADO</w:t>
      </w:r>
      <w:r w:rsidRPr="003766AF">
        <w:rPr>
          <w:rFonts w:ascii="Palatino Linotype" w:eastAsia="Palatino Linotype" w:hAnsi="Palatino Linotype" w:cs="Palatino Linotype"/>
          <w:color w:val="000000" w:themeColor="text1"/>
        </w:rPr>
        <w:t xml:space="preserve"> </w:t>
      </w:r>
      <w:r w:rsidRPr="003766AF">
        <w:rPr>
          <w:rFonts w:ascii="Palatino Linotype" w:eastAsia="Palatino Linotype" w:hAnsi="Palatino Linotype" w:cs="Palatino Linotype"/>
          <w:b/>
          <w:color w:val="000000" w:themeColor="text1"/>
        </w:rPr>
        <w:t>deberá de emitir el Acuerdo del Comité de Transparencia</w:t>
      </w:r>
      <w:r w:rsidRPr="003766AF">
        <w:rPr>
          <w:rFonts w:ascii="Palatino Linotype" w:eastAsia="Palatino Linotype" w:hAnsi="Palatino Linotype" w:cs="Palatino Linotype"/>
          <w:color w:val="000000" w:themeColor="text1"/>
        </w:rPr>
        <w:t>, mediante el cual de manera fundada y motivada establezca las razones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w:t>
      </w:r>
    </w:p>
    <w:p w:rsidR="00B10B03" w:rsidRPr="003766AF" w:rsidRDefault="00B10B03" w:rsidP="00575144">
      <w:pP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lastRenderedPageBreak/>
        <w:t xml:space="preserve">La clasificación total o parcial de la información requerida, mediante solicitud de acceso a la información pública, constituye una restricción al derecho humano de acceso a la información, por ello, para clasificar la información es necesario que el Sujeto Obligado cumpla con las formalidades establecidas en la Ley, en aras de salvaguardar los derechos del Recurrente. </w:t>
      </w:r>
    </w:p>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En este caso, es importante señalar que para la clasificación de la información se debe atender a cierta formalidades establecidas en la Ley, por lo que le </w:t>
      </w:r>
      <w:r w:rsidRPr="003766AF">
        <w:rPr>
          <w:rFonts w:ascii="Palatino Linotype" w:eastAsia="Palatino Linotype" w:hAnsi="Palatino Linotype" w:cs="Palatino Linotype"/>
          <w:b/>
          <w:color w:val="000000" w:themeColor="text1"/>
        </w:rPr>
        <w:t>SUJETO OBLIGADO</w:t>
      </w:r>
      <w:r w:rsidRPr="003766AF">
        <w:rPr>
          <w:rFonts w:ascii="Palatino Linotype" w:eastAsia="Palatino Linotype" w:hAnsi="Palatino Linotype" w:cs="Palatino Linotype"/>
          <w:color w:val="000000" w:themeColor="text1"/>
        </w:rPr>
        <w:t xml:space="preserve"> debe identificar claramente el tipo de información para acreditar que el supuesto de hecho corresponde estrictamente con la hipótesis jurídica. Esto también lo debe de realizar el servidor público habilitado y el titular del área que administra la información.</w:t>
      </w:r>
    </w:p>
    <w:p w:rsidR="00B10B03" w:rsidRPr="003766AF" w:rsidRDefault="00B10B03" w:rsidP="0057514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Al respecto, los Lineamientos Generales en Materia de Clasificación y Desclasificación de la Información, así Como para la Elaboración de Versiones Públicas, por cuanto hace a la clasificación de la información, señalan lo siguiente:</w:t>
      </w:r>
    </w:p>
    <w:p w:rsidR="00B10B03" w:rsidRPr="003766AF" w:rsidRDefault="00575144" w:rsidP="00575144">
      <w:pPr>
        <w:pBdr>
          <w:top w:val="nil"/>
          <w:left w:val="nil"/>
          <w:bottom w:val="nil"/>
          <w:right w:val="nil"/>
          <w:between w:val="nil"/>
        </w:pBdr>
        <w:tabs>
          <w:tab w:val="left" w:pos="142"/>
          <w:tab w:val="left" w:pos="284"/>
          <w:tab w:val="left" w:pos="851"/>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w:t>
      </w:r>
      <w:r w:rsidRPr="003766AF">
        <w:rPr>
          <w:rFonts w:ascii="Palatino Linotype" w:eastAsia="Palatino Linotype" w:hAnsi="Palatino Linotype" w:cs="Palatino Linotype"/>
          <w:b/>
          <w:i/>
          <w:color w:val="000000" w:themeColor="text1"/>
        </w:rPr>
        <w:t>Quincuagésimo.</w:t>
      </w:r>
      <w:r w:rsidRPr="003766AF">
        <w:rPr>
          <w:rFonts w:ascii="Palatino Linotype" w:eastAsia="Palatino Linotype" w:hAnsi="Palatino Linotype" w:cs="Palatino Linotype"/>
          <w:i/>
          <w:color w:val="000000" w:themeColor="text1"/>
        </w:rPr>
        <w:t xml:space="preserve"> Los titulares de las áreas de los sujetos obligados podrán utilizar los formatos contenidos en el presente Capítulo como modelo para señalar la clasificación de documentos o expedientes, sin perjuicio de que establezcan los propios.</w:t>
      </w:r>
    </w:p>
    <w:p w:rsidR="00B10B03" w:rsidRPr="003766AF" w:rsidRDefault="00B10B03" w:rsidP="00575144">
      <w:pPr>
        <w:pBdr>
          <w:top w:val="nil"/>
          <w:left w:val="nil"/>
          <w:bottom w:val="nil"/>
          <w:right w:val="nil"/>
          <w:between w:val="nil"/>
        </w:pBdr>
        <w:tabs>
          <w:tab w:val="left" w:pos="142"/>
          <w:tab w:val="left" w:pos="284"/>
          <w:tab w:val="left" w:pos="851"/>
        </w:tabs>
        <w:jc w:val="both"/>
        <w:rPr>
          <w:rFonts w:ascii="Palatino Linotype" w:eastAsia="Palatino Linotype" w:hAnsi="Palatino Linotype" w:cs="Palatino Linotype"/>
          <w:i/>
          <w:color w:val="000000" w:themeColor="text1"/>
        </w:rPr>
      </w:pPr>
    </w:p>
    <w:p w:rsidR="00B10B03" w:rsidRPr="003766AF" w:rsidRDefault="00575144" w:rsidP="00575144">
      <w:pPr>
        <w:pBdr>
          <w:top w:val="nil"/>
          <w:left w:val="nil"/>
          <w:bottom w:val="nil"/>
          <w:right w:val="nil"/>
          <w:between w:val="nil"/>
        </w:pBdr>
        <w:tabs>
          <w:tab w:val="left" w:pos="142"/>
          <w:tab w:val="left" w:pos="284"/>
          <w:tab w:val="left" w:pos="851"/>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b/>
          <w:i/>
          <w:color w:val="000000" w:themeColor="text1"/>
        </w:rPr>
        <w:t>Quincuagésimo primero.</w:t>
      </w:r>
      <w:r w:rsidRPr="003766AF">
        <w:rPr>
          <w:rFonts w:ascii="Palatino Linotype" w:eastAsia="Palatino Linotype" w:hAnsi="Palatino Linotype" w:cs="Palatino Linotype"/>
          <w:i/>
          <w:color w:val="000000" w:themeColor="text1"/>
        </w:rPr>
        <w:t xml:space="preserve"> La leyenda en los documentos clasificados indicará:</w:t>
      </w:r>
    </w:p>
    <w:p w:rsidR="00B10B03" w:rsidRPr="003766AF" w:rsidRDefault="00575144" w:rsidP="00575144">
      <w:pPr>
        <w:pBdr>
          <w:top w:val="nil"/>
          <w:left w:val="nil"/>
          <w:bottom w:val="nil"/>
          <w:right w:val="nil"/>
          <w:between w:val="nil"/>
        </w:pBdr>
        <w:tabs>
          <w:tab w:val="left" w:pos="142"/>
          <w:tab w:val="left" w:pos="284"/>
          <w:tab w:val="left" w:pos="851"/>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I. La fecha de sesión del Comité de Transparencia en donde se confirmó la clasificación, en su caso;</w:t>
      </w:r>
    </w:p>
    <w:p w:rsidR="00B10B03" w:rsidRPr="003766AF" w:rsidRDefault="00575144" w:rsidP="00575144">
      <w:pPr>
        <w:pBdr>
          <w:top w:val="nil"/>
          <w:left w:val="nil"/>
          <w:bottom w:val="nil"/>
          <w:right w:val="nil"/>
          <w:between w:val="nil"/>
        </w:pBdr>
        <w:tabs>
          <w:tab w:val="left" w:pos="142"/>
          <w:tab w:val="left" w:pos="284"/>
          <w:tab w:val="left" w:pos="851"/>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II. El nombre del área;</w:t>
      </w:r>
    </w:p>
    <w:p w:rsidR="00B10B03" w:rsidRPr="003766AF" w:rsidRDefault="00575144" w:rsidP="00575144">
      <w:pPr>
        <w:pBdr>
          <w:top w:val="nil"/>
          <w:left w:val="nil"/>
          <w:bottom w:val="nil"/>
          <w:right w:val="nil"/>
          <w:between w:val="nil"/>
        </w:pBdr>
        <w:tabs>
          <w:tab w:val="left" w:pos="142"/>
          <w:tab w:val="left" w:pos="284"/>
          <w:tab w:val="left" w:pos="851"/>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III. La palabra reservado o confidencial;</w:t>
      </w:r>
    </w:p>
    <w:p w:rsidR="00B10B03" w:rsidRPr="003766AF" w:rsidRDefault="00575144" w:rsidP="00575144">
      <w:pPr>
        <w:pBdr>
          <w:top w:val="nil"/>
          <w:left w:val="nil"/>
          <w:bottom w:val="nil"/>
          <w:right w:val="nil"/>
          <w:between w:val="nil"/>
        </w:pBdr>
        <w:tabs>
          <w:tab w:val="left" w:pos="142"/>
          <w:tab w:val="left" w:pos="284"/>
          <w:tab w:val="left" w:pos="851"/>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IV. Las partes o secciones reservadas o confidenciales, en su caso;</w:t>
      </w:r>
    </w:p>
    <w:p w:rsidR="00B10B03" w:rsidRPr="003766AF" w:rsidRDefault="00575144" w:rsidP="00575144">
      <w:pPr>
        <w:pBdr>
          <w:top w:val="nil"/>
          <w:left w:val="nil"/>
          <w:bottom w:val="nil"/>
          <w:right w:val="nil"/>
          <w:between w:val="nil"/>
        </w:pBdr>
        <w:tabs>
          <w:tab w:val="left" w:pos="142"/>
          <w:tab w:val="left" w:pos="284"/>
          <w:tab w:val="left" w:pos="851"/>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V. El fundamento legal;</w:t>
      </w:r>
    </w:p>
    <w:p w:rsidR="00B10B03" w:rsidRPr="003766AF" w:rsidRDefault="00575144" w:rsidP="00575144">
      <w:pPr>
        <w:pBdr>
          <w:top w:val="nil"/>
          <w:left w:val="nil"/>
          <w:bottom w:val="nil"/>
          <w:right w:val="nil"/>
          <w:between w:val="nil"/>
        </w:pBdr>
        <w:tabs>
          <w:tab w:val="left" w:pos="142"/>
          <w:tab w:val="left" w:pos="284"/>
          <w:tab w:val="left" w:pos="851"/>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VI. El periodo de reserva, y</w:t>
      </w:r>
    </w:p>
    <w:p w:rsidR="00B10B03" w:rsidRPr="003766AF" w:rsidRDefault="00575144" w:rsidP="00575144">
      <w:pPr>
        <w:pBdr>
          <w:top w:val="nil"/>
          <w:left w:val="nil"/>
          <w:bottom w:val="nil"/>
          <w:right w:val="nil"/>
          <w:between w:val="nil"/>
        </w:pBdr>
        <w:tabs>
          <w:tab w:val="left" w:pos="142"/>
          <w:tab w:val="left" w:pos="284"/>
          <w:tab w:val="left" w:pos="851"/>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VII. La rúbrica del titular del área.</w:t>
      </w:r>
    </w:p>
    <w:p w:rsidR="00B10B03" w:rsidRPr="003766AF" w:rsidRDefault="00B10B03" w:rsidP="00575144">
      <w:pPr>
        <w:tabs>
          <w:tab w:val="left" w:pos="142"/>
          <w:tab w:val="left" w:pos="284"/>
          <w:tab w:val="left" w:pos="426"/>
        </w:tabs>
        <w:spacing w:line="360" w:lineRule="auto"/>
        <w:jc w:val="both"/>
        <w:rPr>
          <w:rFonts w:ascii="Palatino Linotype" w:eastAsia="Palatino Linotype" w:hAnsi="Palatino Linotype" w:cs="Palatino Linotype"/>
          <w:i/>
          <w:color w:val="000000" w:themeColor="text1"/>
        </w:rPr>
      </w:pPr>
    </w:p>
    <w:p w:rsidR="00B10B03" w:rsidRPr="003766AF" w:rsidRDefault="00575144" w:rsidP="0057514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lastRenderedPageBreak/>
        <w:t>Una vez hecho lo anterior, se remite la información al Titular de la Unidad de Transparencia, con el acuerdo de clasificación correspondiente, para que sea sometido al conocimiento del Comité de Transparencia.</w:t>
      </w:r>
    </w:p>
    <w:p w:rsidR="00B10B03" w:rsidRPr="003766AF" w:rsidRDefault="00B10B03" w:rsidP="0057514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El Comité de Transparencia, según lo dispuesto en los artículos 128 y 103 de la Ley Estatal y de la Ley General, respectivamente, y la fracción III del numeral Segundo de los Lineamientos generales en materia de clasificación y desclasificación de la información, así como para la elaboración de versiones públicas, en adelante los Lineamientos Generales, cuenta con las facultades para </w:t>
      </w:r>
      <w:r w:rsidRPr="003766AF">
        <w:rPr>
          <w:rFonts w:ascii="Palatino Linotype" w:eastAsia="Palatino Linotype" w:hAnsi="Palatino Linotype" w:cs="Palatino Linotype"/>
          <w:b/>
          <w:color w:val="000000" w:themeColor="text1"/>
          <w:u w:val="single"/>
        </w:rPr>
        <w:t>confirmar, modificar o revocar</w:t>
      </w:r>
      <w:r w:rsidRPr="003766AF">
        <w:rPr>
          <w:rFonts w:ascii="Palatino Linotype" w:eastAsia="Palatino Linotype" w:hAnsi="Palatino Linotype" w:cs="Palatino Linotype"/>
          <w:color w:val="000000" w:themeColor="text1"/>
        </w:rPr>
        <w:t xml:space="preserve"> la clasificación de la información que ha hecho el titular del área que administra la información. Por lo tanto, el Comité </w:t>
      </w:r>
      <w:r w:rsidRPr="003766AF">
        <w:rPr>
          <w:rFonts w:ascii="Palatino Linotype" w:eastAsia="Palatino Linotype" w:hAnsi="Palatino Linotype" w:cs="Palatino Linotype"/>
          <w:b/>
          <w:color w:val="000000" w:themeColor="text1"/>
          <w:u w:val="single"/>
        </w:rPr>
        <w:t>no aprueba</w:t>
      </w:r>
      <w:r w:rsidRPr="003766AF">
        <w:rPr>
          <w:rFonts w:ascii="Palatino Linotype" w:eastAsia="Palatino Linotype" w:hAnsi="Palatino Linotype" w:cs="Palatino Linotype"/>
          <w:color w:val="000000" w:themeColor="text1"/>
        </w:rPr>
        <w:t xml:space="preserve"> la clasificación, sino que revisa lo que ha hecho el titular del área y confirma, modifica o revoca la decisión a través de un acuerdo.</w:t>
      </w:r>
    </w:p>
    <w:p w:rsidR="00B10B03" w:rsidRPr="003766AF" w:rsidRDefault="00B10B03" w:rsidP="0057514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Evidentemente, esta decisión implica una restricción a un derecho humano, por lo tanto, puede generar un agravio al particular y, en consecuencia, es necesario que </w:t>
      </w:r>
      <w:r w:rsidRPr="003766AF">
        <w:rPr>
          <w:rFonts w:ascii="Palatino Linotype" w:eastAsia="Palatino Linotype" w:hAnsi="Palatino Linotype" w:cs="Palatino Linotype"/>
          <w:b/>
          <w:color w:val="000000" w:themeColor="text1"/>
          <w:u w:val="single"/>
        </w:rPr>
        <w:t>el acto reúna con los requisitos elementales</w:t>
      </w:r>
      <w:r w:rsidRPr="003766AF">
        <w:rPr>
          <w:rFonts w:ascii="Palatino Linotype" w:eastAsia="Palatino Linotype" w:hAnsi="Palatino Linotype" w:cs="Palatino Linotype"/>
          <w:color w:val="000000" w:themeColor="text1"/>
        </w:rPr>
        <w:t>, entre ellos, que la autoridad que va a emitir el acto de autoridad sea la legalmente facultada para ello, es decir, que cumpla con el principio de reserva de ley,  por lo que no está demás señalar que el artículo 45 de la Ley Estatal, claramente señala que el Comité de Transparencia, legalmente facultado para emitir el acuerdo de clasificación, se integra por el Titular de la Unidad de Transparencia, el responsable del área coordinadora de archivos y el titular del órgano interno de control, integrado siempre por un número impar y que no debe de existir dependencia jerárquica entre sus integrantes. Cualquier otra composición del Comité puede generar vicios de legalidad de origen en el acto que restringe un derecho humano.</w:t>
      </w:r>
    </w:p>
    <w:p w:rsidR="00B10B03" w:rsidRPr="003766AF" w:rsidRDefault="00B10B03" w:rsidP="0057514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lastRenderedPageBreak/>
        <w:t>La decisión de confirmar, modificar o revocar la clasificación deberá de asentarse en un documento que registre la determinación a la que se llegue después de un análisis minucioso a partir de lo aprobado por el Titular del área que administra la información, cuyo análisis debe integrarse en la agenda de los asuntos a tratar en las sesiones, se insiste, a partir de las decisiones adoptadas previamente por los titulares de áreas y que son sujetas a control, en primera instancia, por el Comité de Transparencia.</w:t>
      </w:r>
    </w:p>
    <w:p w:rsidR="00B10B03" w:rsidRPr="003766AF" w:rsidRDefault="00B10B03" w:rsidP="0057514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 Ahora, en esta parte del procedimiento, que se desahoga en sede del Comité de Transparencia, la ley nos aporta mayores luces para cumplir con dicha acreditación. En los artículos 131 y 105 segundo párrafo de la Ley Estatal y de la Ley General respectivamente, y el lineamiento sexagésimo segundo de los Lineamientos Generales, al señalar que la carga de la prueba, para justificar las restricciones, corresponde a los sujetos obligados, por lo que deberán fundar y motivar debidamente la clasificación.</w:t>
      </w:r>
    </w:p>
    <w:p w:rsidR="00B10B03" w:rsidRPr="003766AF" w:rsidRDefault="00B10B03" w:rsidP="00575144">
      <w:pPr>
        <w:pBdr>
          <w:top w:val="nil"/>
          <w:left w:val="nil"/>
          <w:bottom w:val="nil"/>
          <w:right w:val="nil"/>
          <w:between w:val="nil"/>
        </w:pBdr>
        <w:tabs>
          <w:tab w:val="left" w:pos="0"/>
        </w:tabs>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De lo anterior, se desprende que, para una correcta clasificación total o parcial,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  Por su parte, el intérprete judicial del país ha establecido una jurisprudencia respecto a qué debe entenderse por fundamentación y motivación, en los siguientes términos:</w:t>
      </w:r>
    </w:p>
    <w:p w:rsidR="00B10B03" w:rsidRPr="003766AF" w:rsidRDefault="00575144" w:rsidP="00575144">
      <w:pPr>
        <w:tabs>
          <w:tab w:val="left" w:pos="8222"/>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b/>
          <w:i/>
          <w:color w:val="000000" w:themeColor="text1"/>
        </w:rPr>
        <w:t>FUNDAMENTACIÓN Y MOTIVACIÓN.</w:t>
      </w:r>
      <w:r w:rsidRPr="003766AF">
        <w:rPr>
          <w:rFonts w:ascii="Palatino Linotype" w:eastAsia="Palatino Linotype" w:hAnsi="Palatino Linotype" w:cs="Palatino Linotype"/>
          <w:i/>
          <w:color w:val="000000" w:themeColor="text1"/>
        </w:rPr>
        <w:t xml:space="preserve"> “La </w:t>
      </w:r>
      <w:r w:rsidRPr="003766AF">
        <w:rPr>
          <w:rFonts w:ascii="Palatino Linotype" w:eastAsia="Palatino Linotype" w:hAnsi="Palatino Linotype" w:cs="Palatino Linotype"/>
          <w:i/>
          <w:color w:val="000000" w:themeColor="text1"/>
          <w:u w:val="single"/>
        </w:rPr>
        <w:t>debida fundamentación y motivación legal, deben entenderse, por lo primero, la cita del precepto legal aplicable al caso, y por lo segundo, las razones, motivos o circunstancias especiales que llevaron a la autoridad a concluir que el caso particular encuadra en el supuesto previsto por la norma legal invocada como fundamento</w:t>
      </w:r>
      <w:r w:rsidRPr="003766AF">
        <w:rPr>
          <w:rFonts w:ascii="Palatino Linotype" w:eastAsia="Palatino Linotype" w:hAnsi="Palatino Linotype" w:cs="Palatino Linotype"/>
          <w:i/>
          <w:color w:val="000000" w:themeColor="text1"/>
        </w:rPr>
        <w:t>.”</w:t>
      </w:r>
    </w:p>
    <w:p w:rsidR="00B10B03" w:rsidRPr="003766AF" w:rsidRDefault="00575144" w:rsidP="00575144">
      <w:pPr>
        <w:tabs>
          <w:tab w:val="left" w:pos="8222"/>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SEGUNDO TRIBUNAL COLEGIADO DEL SEXTO CIRCUITO.</w:t>
      </w:r>
    </w:p>
    <w:p w:rsidR="00B10B03" w:rsidRPr="003766AF" w:rsidRDefault="00575144" w:rsidP="00575144">
      <w:pPr>
        <w:tabs>
          <w:tab w:val="left" w:pos="8222"/>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lastRenderedPageBreak/>
        <w:t>Amparo directo 194/88. Bufete Industrial Construcciones, S.A. de C.V. 28 de junio de 1988. Unanimidad de votos. Ponente: Gustavo Calvillo Rangel. Secretario: Jorge Alberto González Álvarez.</w:t>
      </w:r>
    </w:p>
    <w:p w:rsidR="00B10B03" w:rsidRPr="003766AF" w:rsidRDefault="00575144" w:rsidP="00575144">
      <w:pPr>
        <w:tabs>
          <w:tab w:val="left" w:pos="8222"/>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Revisión fiscal 103/88. Instituto Mexicano del Seguro Social. 18 de octubre de 1988. Unanimidad de votos. Ponente: Arnoldo Nájera Virgen. Secretario: Alejandro Esponda Rincón.</w:t>
      </w:r>
    </w:p>
    <w:p w:rsidR="00B10B03" w:rsidRPr="003766AF" w:rsidRDefault="00575144" w:rsidP="00575144">
      <w:pPr>
        <w:tabs>
          <w:tab w:val="left" w:pos="8222"/>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Amparo en revisión 333/88. Adilia Romero. 26 de octubre de 1988. Unanimidad de votos. Ponente: Arnoldo Nájera Virgen. Secretario: Enrique Crispín Campos Ramírez.</w:t>
      </w:r>
    </w:p>
    <w:p w:rsidR="00B10B03" w:rsidRPr="003766AF" w:rsidRDefault="00575144" w:rsidP="00575144">
      <w:pPr>
        <w:tabs>
          <w:tab w:val="left" w:pos="8222"/>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Amparo en revisión 597/95. Emilio Maurer Bretón. 15 de noviembre de 1995. Unanimidad de votos. Ponente: Clementina Ramírez Moguel Goyzueta. Secretario: Gonzalo Carrera Molina.</w:t>
      </w:r>
    </w:p>
    <w:p w:rsidR="00B10B03" w:rsidRPr="003766AF" w:rsidRDefault="00575144" w:rsidP="00575144">
      <w:pPr>
        <w:tabs>
          <w:tab w:val="left" w:pos="8222"/>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Amparo directo 7/96. Pedro Vicente López Miro. 21 de febrero de 1996. Unanimidad de votos. Ponente: María Eugenia Estela Martínez Cardiel. Secretario: Enrique Baigts Muñoz.</w:t>
      </w:r>
    </w:p>
    <w:p w:rsidR="00B10B03" w:rsidRPr="003766AF" w:rsidRDefault="00B10B03" w:rsidP="00575144">
      <w:pPr>
        <w:pBdr>
          <w:top w:val="nil"/>
          <w:left w:val="nil"/>
          <w:bottom w:val="nil"/>
          <w:right w:val="nil"/>
          <w:between w:val="nil"/>
        </w:pBdr>
        <w:spacing w:line="360" w:lineRule="auto"/>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Así, en un acto de autoridad se cumple con la debida fundamentación cuando se cita el precepto legal aplicable al caso concreto y la debida motivación cuando se expresan las razones, motivos o circunstancias que tomó en cuenta la autoridad para adecuar el hecho a los fundamentos de derecho.</w:t>
      </w:r>
    </w:p>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b/>
          <w:color w:val="000000" w:themeColor="text1"/>
        </w:rPr>
      </w:pP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En el presente caso, el Sujeto Obligado no entregó en respuesta el Recibo de Nómina en correcta versión pública, toda vez que testo datos excesivamente, ello aunado a que no se entregó el Acta que sustenta la versión pública, por lo tanto,  como ya fue señalado en los párrafos que anteceden, se transgrede el derecho de acceso a la información del Recurrente, toda vez que para la emisión de documentos en versión pública, se debe adjuntar el Acta del Comité de Transparencia que la sustente. </w:t>
      </w:r>
    </w:p>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Como se advierte, la información que testó el Sujeto Obligado puede actualizar clasificación como confidencial, por lo tanto, es necesario referir que los datos que por su naturaleza son confidenciales por tratarse de datos personales, el artículos 3, fracciones IX, XX, XXI, XXXII, XLV; 6, 49 fracción VIII, 137, 143, fracción I, de la Ley de Transparencia y Acceso a la Información Pública del Estado de México y Municipios vigente establece:</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3766AF">
        <w:rPr>
          <w:rFonts w:ascii="Palatino Linotype" w:eastAsia="Palatino Linotype" w:hAnsi="Palatino Linotype" w:cs="Palatino Linotype"/>
          <w:b/>
          <w:i/>
          <w:color w:val="000000" w:themeColor="text1"/>
        </w:rPr>
        <w:lastRenderedPageBreak/>
        <w:t>Artículo 3. Para los efectos de la presente Ley se entenderá por:</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3766AF">
        <w:rPr>
          <w:rFonts w:ascii="Palatino Linotype" w:eastAsia="Palatino Linotype" w:hAnsi="Palatino Linotype" w:cs="Palatino Linotype"/>
          <w:b/>
          <w:i/>
          <w:color w:val="000000" w:themeColor="text1"/>
        </w:rPr>
        <w:t>…</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b/>
          <w:i/>
          <w:color w:val="000000" w:themeColor="text1"/>
        </w:rPr>
        <w:t>IX. Datos personales:</w:t>
      </w:r>
      <w:r w:rsidRPr="003766AF">
        <w:rPr>
          <w:rFonts w:ascii="Palatino Linotype" w:eastAsia="Palatino Linotype" w:hAnsi="Palatino Linotype" w:cs="Palatino Linotype"/>
          <w:i/>
          <w:color w:val="000000" w:themeColor="text1"/>
        </w:rPr>
        <w:t xml:space="preserve"> La información concerniente a una persona, identificada o identificable según lo dispuesto por la Ley de Protección de Datos Personales del Estado de México;</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b/>
          <w:i/>
          <w:color w:val="000000" w:themeColor="text1"/>
        </w:rPr>
        <w:t>…</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b/>
          <w:i/>
          <w:color w:val="000000" w:themeColor="text1"/>
        </w:rPr>
        <w:t>XX. Información clasificada:</w:t>
      </w:r>
      <w:r w:rsidRPr="003766AF">
        <w:rPr>
          <w:rFonts w:ascii="Palatino Linotype" w:eastAsia="Palatino Linotype" w:hAnsi="Palatino Linotype" w:cs="Palatino Linotype"/>
          <w:i/>
          <w:color w:val="000000" w:themeColor="text1"/>
        </w:rPr>
        <w:t xml:space="preserve"> Aquella considerada por la presente Ley como reservada o confidencial;</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b/>
          <w:i/>
          <w:color w:val="000000" w:themeColor="text1"/>
        </w:rPr>
        <w:t>XXI. Información confidencial:</w:t>
      </w:r>
      <w:r w:rsidRPr="003766AF">
        <w:rPr>
          <w:rFonts w:ascii="Palatino Linotype" w:eastAsia="Palatino Linotype" w:hAnsi="Palatino Linotype" w:cs="Palatino Linotype"/>
          <w:i/>
          <w:color w:val="000000" w:themeColor="text1"/>
        </w:rPr>
        <w:t xml:space="preserve"> Se considera como información confidencial los secretos bancario, fiduciario, industrial, comercial, fiscal, bursátil y postal, cuya titularidad corresponda a particulares, sujetos de derecho internacional o a sujetos obligados cuando no involucren el ejercicio de recursos públicos;</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b/>
          <w:i/>
          <w:color w:val="000000" w:themeColor="text1"/>
        </w:rPr>
        <w:t>…</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b/>
          <w:i/>
          <w:color w:val="000000" w:themeColor="text1"/>
        </w:rPr>
        <w:t>XXXII. Protección de Datos Personales:</w:t>
      </w:r>
      <w:r w:rsidRPr="003766AF">
        <w:rPr>
          <w:rFonts w:ascii="Palatino Linotype" w:eastAsia="Palatino Linotype" w:hAnsi="Palatino Linotype" w:cs="Palatino Linotype"/>
          <w:i/>
          <w:color w:val="000000" w:themeColor="text1"/>
        </w:rPr>
        <w:t xml:space="preserve"> Derecho humano que tutela la privacidad de datos personales en poder de los sujetos obligados y sujetos particulares;</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b/>
          <w:i/>
          <w:color w:val="000000" w:themeColor="text1"/>
        </w:rPr>
        <w:t>XLV. Versión pública</w:t>
      </w:r>
      <w:r w:rsidRPr="003766AF">
        <w:rPr>
          <w:rFonts w:ascii="Palatino Linotype" w:eastAsia="Palatino Linotype" w:hAnsi="Palatino Linotype" w:cs="Palatino Linotype"/>
          <w:i/>
          <w:color w:val="000000" w:themeColor="text1"/>
        </w:rPr>
        <w:t>: Documento en el que se elimine, suprime o borra la información clasificada como reservada o confidencial para permitir su acceso.</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b/>
          <w:i/>
          <w:color w:val="000000" w:themeColor="text1"/>
        </w:rPr>
        <w:t>Artículo 6.</w:t>
      </w:r>
      <w:r w:rsidRPr="003766AF">
        <w:rPr>
          <w:rFonts w:ascii="Palatino Linotype" w:eastAsia="Palatino Linotype" w:hAnsi="Palatino Linotype" w:cs="Palatino Linotype"/>
          <w:i/>
          <w:color w:val="000000" w:themeColor="text1"/>
        </w:rPr>
        <w:t xml:space="preserve"> Los datos personales son irrenunciables, intransferibles e indelegables, por lo que los sujetos obligados no deberán proporcionar o hacer pública la información que contenga, con excepción de aquellos casos en que deban hacerlo en observancia de las disposiciones aplicables. En el caso de los derechos de acceso, rectificación, cancelación u oposición; los principios, procedimientos, medidas de seguridad en el tratamiento y demás disposiciones en materia de datos personales, se deberá estar a lo dispuesto en las leyes de la materia.</w:t>
      </w:r>
    </w:p>
    <w:p w:rsidR="00B10B03" w:rsidRPr="003766AF" w:rsidRDefault="00B10B03" w:rsidP="00575144">
      <w:pPr>
        <w:pBdr>
          <w:top w:val="nil"/>
          <w:left w:val="nil"/>
          <w:bottom w:val="nil"/>
          <w:right w:val="nil"/>
          <w:between w:val="nil"/>
        </w:pBdr>
        <w:jc w:val="both"/>
        <w:rPr>
          <w:rFonts w:ascii="Palatino Linotype" w:eastAsia="Palatino Linotype" w:hAnsi="Palatino Linotype" w:cs="Palatino Linotype"/>
          <w:i/>
          <w:color w:val="000000" w:themeColor="text1"/>
        </w:rPr>
      </w:pP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b/>
          <w:i/>
          <w:color w:val="000000" w:themeColor="text1"/>
        </w:rPr>
        <w:t>Artículo 49.</w:t>
      </w:r>
      <w:r w:rsidRPr="003766AF">
        <w:rPr>
          <w:rFonts w:ascii="Palatino Linotype" w:eastAsia="Palatino Linotype" w:hAnsi="Palatino Linotype" w:cs="Palatino Linotype"/>
          <w:i/>
          <w:color w:val="000000" w:themeColor="text1"/>
        </w:rPr>
        <w:t xml:space="preserve"> Los Comités de Transparencia tendrán las siguientes atribuciones:</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b/>
          <w:i/>
          <w:color w:val="000000" w:themeColor="text1"/>
        </w:rPr>
        <w:t>VIII</w:t>
      </w:r>
      <w:r w:rsidRPr="003766AF">
        <w:rPr>
          <w:rFonts w:ascii="Palatino Linotype" w:eastAsia="Palatino Linotype" w:hAnsi="Palatino Linotype" w:cs="Palatino Linotype"/>
          <w:i/>
          <w:color w:val="000000" w:themeColor="text1"/>
        </w:rPr>
        <w:t>. Aprobar, modificar o revocar la clasificación de la información;</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w:t>
      </w:r>
    </w:p>
    <w:p w:rsidR="00B10B03" w:rsidRPr="003766AF" w:rsidRDefault="00B10B03" w:rsidP="00575144">
      <w:pPr>
        <w:pBdr>
          <w:top w:val="nil"/>
          <w:left w:val="nil"/>
          <w:bottom w:val="nil"/>
          <w:right w:val="nil"/>
          <w:between w:val="nil"/>
        </w:pBdr>
        <w:jc w:val="both"/>
        <w:rPr>
          <w:rFonts w:ascii="Palatino Linotype" w:eastAsia="Palatino Linotype" w:hAnsi="Palatino Linotype" w:cs="Palatino Linotype"/>
          <w:i/>
          <w:color w:val="000000" w:themeColor="text1"/>
        </w:rPr>
      </w:pP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3766AF">
        <w:rPr>
          <w:rFonts w:ascii="Palatino Linotype" w:eastAsia="Palatino Linotype" w:hAnsi="Palatino Linotype" w:cs="Palatino Linotype"/>
          <w:b/>
          <w:i/>
          <w:color w:val="000000" w:themeColor="text1"/>
        </w:rPr>
        <w:t>Artículo 137</w:t>
      </w:r>
      <w:r w:rsidRPr="003766AF">
        <w:rPr>
          <w:rFonts w:ascii="Palatino Linotype" w:eastAsia="Palatino Linotype" w:hAnsi="Palatino Linotype" w:cs="Palatino Linotype"/>
          <w:i/>
          <w:color w:val="000000" w:themeColor="text1"/>
        </w:rPr>
        <w:t>. Cuando un mismo medio, impreso o electrónico, contenga información pública y reservada o confidencial, la Unidad de Transparencia para efectos de atender una solicitud de información, deberán elaborar una versión pública en la que se testen las partes o secciones clasificadas, indicando su contenido de manera genérica y fundando y motivando su clasificación.</w:t>
      </w:r>
    </w:p>
    <w:p w:rsidR="00B10B03" w:rsidRPr="003766AF" w:rsidRDefault="00B10B03" w:rsidP="00575144">
      <w:pPr>
        <w:pBdr>
          <w:top w:val="nil"/>
          <w:left w:val="nil"/>
          <w:bottom w:val="nil"/>
          <w:right w:val="nil"/>
          <w:between w:val="nil"/>
        </w:pBdr>
        <w:jc w:val="both"/>
        <w:rPr>
          <w:rFonts w:ascii="Palatino Linotype" w:eastAsia="Palatino Linotype" w:hAnsi="Palatino Linotype" w:cs="Palatino Linotype"/>
          <w:b/>
          <w:i/>
          <w:color w:val="000000" w:themeColor="text1"/>
        </w:rPr>
      </w:pP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b/>
          <w:i/>
          <w:color w:val="000000" w:themeColor="text1"/>
        </w:rPr>
        <w:t>Artículo 143</w:t>
      </w:r>
      <w:r w:rsidRPr="003766AF">
        <w:rPr>
          <w:rFonts w:ascii="Palatino Linotype" w:eastAsia="Palatino Linotype" w:hAnsi="Palatino Linotype" w:cs="Palatino Linotype"/>
          <w:i/>
          <w:color w:val="000000" w:themeColor="text1"/>
        </w:rPr>
        <w:t>. Para los efectos de esta Ley se considera información confidencial, la clasificada como tal, de manera permanente, por su naturaleza, cuando:</w:t>
      </w:r>
    </w:p>
    <w:p w:rsidR="00B10B03" w:rsidRPr="003766AF" w:rsidRDefault="00B10B03" w:rsidP="00575144">
      <w:pPr>
        <w:pBdr>
          <w:top w:val="nil"/>
          <w:left w:val="nil"/>
          <w:bottom w:val="nil"/>
          <w:right w:val="nil"/>
          <w:between w:val="nil"/>
        </w:pBdr>
        <w:jc w:val="both"/>
        <w:rPr>
          <w:rFonts w:ascii="Palatino Linotype" w:eastAsia="Palatino Linotype" w:hAnsi="Palatino Linotype" w:cs="Palatino Linotype"/>
          <w:i/>
          <w:color w:val="000000" w:themeColor="text1"/>
        </w:rPr>
      </w:pP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lastRenderedPageBreak/>
        <w:t>I. Se refiera a la información privada y los datos personales concernientes a una persona física o jurídico colectiva identificada o identificable</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w:t>
      </w:r>
    </w:p>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Así, los datos personales que obren en poder de los Sujetos Obligados deben estar protegidos, adoptando las medidas de seguridad administrativas, físicas y técnicas necesarias para garantizar la integridad, confidencialidad y disponibilidad de los datos personales, considerando además, que conforme al principio de finalidad todo tratamiento de datos personales que efectúen deberá estar justificado en la Ley, lo anterior en términos de lo dispuesto por el artículo 14 con relación con el 58 de la Ley de Protección de Datos Personales del Estado de México, los cuales se transcriben para mayor referencia: </w:t>
      </w:r>
    </w:p>
    <w:p w:rsidR="00B10B03" w:rsidRPr="003766AF" w:rsidRDefault="00575144" w:rsidP="00575144">
      <w:pPr>
        <w:pBdr>
          <w:top w:val="nil"/>
          <w:left w:val="nil"/>
          <w:bottom w:val="nil"/>
          <w:right w:val="nil"/>
          <w:between w:val="nil"/>
        </w:pBdr>
        <w:tabs>
          <w:tab w:val="left" w:pos="7655"/>
          <w:tab w:val="left" w:pos="7938"/>
          <w:tab w:val="left" w:pos="8477"/>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b/>
          <w:i/>
          <w:color w:val="000000" w:themeColor="text1"/>
        </w:rPr>
        <w:t>“Artículo 14.</w:t>
      </w:r>
      <w:r w:rsidRPr="003766AF">
        <w:rPr>
          <w:rFonts w:ascii="Palatino Linotype" w:eastAsia="Palatino Linotype" w:hAnsi="Palatino Linotype" w:cs="Palatino Linotype"/>
          <w:i/>
          <w:color w:val="000000" w:themeColor="text1"/>
        </w:rPr>
        <w:t xml:space="preserve"> Todo tratamiento de datos personales que efectúen los sujetos obligados deberá estar justificado en la Ley.</w:t>
      </w:r>
    </w:p>
    <w:p w:rsidR="00B10B03" w:rsidRPr="003766AF" w:rsidRDefault="00575144" w:rsidP="00575144">
      <w:pPr>
        <w:pBdr>
          <w:top w:val="nil"/>
          <w:left w:val="nil"/>
          <w:bottom w:val="nil"/>
          <w:right w:val="nil"/>
          <w:between w:val="nil"/>
        </w:pBdr>
        <w:tabs>
          <w:tab w:val="left" w:pos="7655"/>
          <w:tab w:val="left" w:pos="7938"/>
          <w:tab w:val="left" w:pos="8477"/>
        </w:tabs>
        <w:jc w:val="both"/>
        <w:rPr>
          <w:rFonts w:ascii="Palatino Linotype" w:eastAsia="Palatino Linotype" w:hAnsi="Palatino Linotype" w:cs="Palatino Linotype"/>
          <w:b/>
          <w:i/>
          <w:color w:val="000000" w:themeColor="text1"/>
        </w:rPr>
      </w:pPr>
      <w:r w:rsidRPr="003766AF">
        <w:rPr>
          <w:rFonts w:ascii="Palatino Linotype" w:eastAsia="Palatino Linotype" w:hAnsi="Palatino Linotype" w:cs="Palatino Linotype"/>
          <w:i/>
          <w:color w:val="000000" w:themeColor="text1"/>
        </w:rPr>
        <w:t>No se considerará como una finalidad distinta a aquélla para la que fueron obtenidos, el tratamiento de los datos con fines estadísticos o científicos.</w:t>
      </w:r>
    </w:p>
    <w:p w:rsidR="00B10B03" w:rsidRPr="003766AF" w:rsidRDefault="00B10B03" w:rsidP="00575144">
      <w:pPr>
        <w:pBdr>
          <w:top w:val="nil"/>
          <w:left w:val="nil"/>
          <w:bottom w:val="nil"/>
          <w:right w:val="nil"/>
          <w:between w:val="nil"/>
        </w:pBdr>
        <w:tabs>
          <w:tab w:val="left" w:pos="7655"/>
          <w:tab w:val="left" w:pos="7938"/>
          <w:tab w:val="left" w:pos="8477"/>
        </w:tabs>
        <w:jc w:val="both"/>
        <w:rPr>
          <w:rFonts w:ascii="Palatino Linotype" w:eastAsia="Palatino Linotype" w:hAnsi="Palatino Linotype" w:cs="Palatino Linotype"/>
          <w:b/>
          <w:i/>
          <w:color w:val="000000" w:themeColor="text1"/>
        </w:rPr>
      </w:pPr>
    </w:p>
    <w:p w:rsidR="00B10B03" w:rsidRPr="003766AF" w:rsidRDefault="00575144" w:rsidP="00575144">
      <w:pPr>
        <w:pBdr>
          <w:top w:val="nil"/>
          <w:left w:val="nil"/>
          <w:bottom w:val="nil"/>
          <w:right w:val="nil"/>
          <w:between w:val="nil"/>
        </w:pBdr>
        <w:tabs>
          <w:tab w:val="left" w:pos="7655"/>
          <w:tab w:val="left" w:pos="7938"/>
          <w:tab w:val="left" w:pos="8477"/>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b/>
          <w:i/>
          <w:color w:val="000000" w:themeColor="text1"/>
        </w:rPr>
        <w:t>Artículo 58.</w:t>
      </w:r>
      <w:r w:rsidRPr="003766AF">
        <w:rPr>
          <w:rFonts w:ascii="Palatino Linotype" w:eastAsia="Palatino Linotype" w:hAnsi="Palatino Linotype" w:cs="Palatino Linotype"/>
          <w:i/>
          <w:color w:val="000000" w:themeColor="text1"/>
        </w:rPr>
        <w:t xml:space="preserve"> Los sujetos obligados deberán adoptar, mantener y documentar las medidas de seguridad administrativa, tecnológica, física y técnica necesarias para garantizar la integridad, confidencialidad y disponibilidad de los datos personales, mediante acciones que eviten su daño, alteración, pérdida, destrucción, o el uso, transmisión y acceso no autorizado, de conformidad con lo dispuesto en los lineamientos que al efecto se expidan</w:t>
      </w:r>
    </w:p>
    <w:p w:rsidR="00B10B03" w:rsidRPr="003766AF" w:rsidRDefault="00B10B03" w:rsidP="00575144">
      <w:pPr>
        <w:pBdr>
          <w:top w:val="nil"/>
          <w:left w:val="nil"/>
          <w:bottom w:val="nil"/>
          <w:right w:val="nil"/>
          <w:between w:val="nil"/>
        </w:pBdr>
        <w:tabs>
          <w:tab w:val="left" w:pos="7655"/>
          <w:tab w:val="left" w:pos="7938"/>
          <w:tab w:val="left" w:pos="8477"/>
        </w:tabs>
        <w:jc w:val="both"/>
        <w:rPr>
          <w:rFonts w:ascii="Palatino Linotype" w:eastAsia="Palatino Linotype" w:hAnsi="Palatino Linotype" w:cs="Palatino Linotype"/>
          <w:i/>
          <w:color w:val="000000" w:themeColor="text1"/>
        </w:rPr>
      </w:pPr>
    </w:p>
    <w:p w:rsidR="00B10B03" w:rsidRPr="003766AF" w:rsidRDefault="00575144" w:rsidP="00575144">
      <w:pPr>
        <w:pBdr>
          <w:top w:val="nil"/>
          <w:left w:val="nil"/>
          <w:bottom w:val="nil"/>
          <w:right w:val="nil"/>
          <w:between w:val="nil"/>
        </w:pBdr>
        <w:tabs>
          <w:tab w:val="left" w:pos="7655"/>
          <w:tab w:val="left" w:pos="7938"/>
          <w:tab w:val="left" w:pos="8477"/>
        </w:tabs>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 (Sic)</w:t>
      </w:r>
    </w:p>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De este modo, en armonía entre los principios constitucionales de máxima publicidad y de protección de datos personales, la ley permite la elaboración de versiones públicas en las que se suprima aquella información relacionada con la vida privada de los particulares. </w:t>
      </w:r>
    </w:p>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i/>
          <w:color w:val="000000" w:themeColor="text1"/>
        </w:rPr>
      </w:pP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Por lo tanto, la entrega de documentos en su versión pública debe acompañarse necesariamente del Acuerdo del Comité de Transparencia que la sustente el cual debe estar </w:t>
      </w:r>
      <w:r w:rsidRPr="003766AF">
        <w:rPr>
          <w:rFonts w:ascii="Palatino Linotype" w:eastAsia="Palatino Linotype" w:hAnsi="Palatino Linotype" w:cs="Palatino Linotype"/>
          <w:color w:val="000000" w:themeColor="text1"/>
        </w:rPr>
        <w:lastRenderedPageBreak/>
        <w:t xml:space="preserve">debidamente fundado y motivado, en el que se expongan los fundamentos y razonamientos que llevaron al Sujeto Obligado a testar, suprimir o eliminar datos de dicho soporte documental, ya que no hacerlo, se reitera que lo entregado no tendría un sustento jurídico ni resultaría ser una versión pública, sino más bien una documentación ilegible, incompleta o tachada; ya que el no justificar las causas o motivos por las que no se aprecian determinados datos, ya sea porque se testan o suprimen, deja al solicitante en estado de incertidumbre, al no conocer o comprender porque no aparecen en la documentación respectiva. </w:t>
      </w:r>
    </w:p>
    <w:p w:rsidR="00B10B03" w:rsidRPr="003766AF" w:rsidRDefault="00B10B03" w:rsidP="00575144">
      <w:pPr>
        <w:pBdr>
          <w:top w:val="nil"/>
          <w:left w:val="nil"/>
          <w:bottom w:val="nil"/>
          <w:right w:val="nil"/>
          <w:between w:val="nil"/>
        </w:pBdr>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Por lo anteriormente expuesto, resulta viable ordenar el Recibo de Nómina, en correcta versión pública; así como el Acuerdo emitido por el Comité de Transparencia en el que se funde y motive la versión pública de la información que se suprima.</w:t>
      </w:r>
    </w:p>
    <w:p w:rsidR="00B10B03" w:rsidRPr="003766AF" w:rsidRDefault="00B10B03" w:rsidP="00575144">
      <w:pPr>
        <w:pBdr>
          <w:top w:val="nil"/>
          <w:left w:val="nil"/>
          <w:bottom w:val="nil"/>
          <w:right w:val="nil"/>
          <w:between w:val="nil"/>
        </w:pBdr>
        <w:rPr>
          <w:rFonts w:ascii="Palatino Linotype" w:eastAsia="Palatino Linotype" w:hAnsi="Palatino Linotype" w:cs="Palatino Linotype"/>
          <w:color w:val="000000" w:themeColor="text1"/>
        </w:rPr>
      </w:pPr>
    </w:p>
    <w:p w:rsidR="00B10B03" w:rsidRPr="003766AF" w:rsidRDefault="00575144" w:rsidP="00575144">
      <w:pPr>
        <w:numPr>
          <w:ilvl w:val="0"/>
          <w:numId w:val="4"/>
        </w:numPr>
        <w:pBdr>
          <w:top w:val="nil"/>
          <w:left w:val="nil"/>
          <w:bottom w:val="nil"/>
          <w:right w:val="nil"/>
          <w:between w:val="nil"/>
        </w:pBdr>
        <w:ind w:left="0" w:firstLine="0"/>
        <w:rPr>
          <w:rFonts w:ascii="Palatino Linotype" w:eastAsia="Palatino Linotype" w:hAnsi="Palatino Linotype" w:cs="Palatino Linotype"/>
          <w:b/>
          <w:color w:val="000000" w:themeColor="text1"/>
        </w:rPr>
      </w:pPr>
      <w:r w:rsidRPr="003766AF">
        <w:rPr>
          <w:rFonts w:ascii="Palatino Linotype" w:eastAsia="Palatino Linotype" w:hAnsi="Palatino Linotype" w:cs="Palatino Linotype"/>
          <w:b/>
          <w:color w:val="000000" w:themeColor="text1"/>
        </w:rPr>
        <w:t>Certificado de Competencia Laboral</w:t>
      </w: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Al respecto, cabe precisar que si bien es cierto el </w:t>
      </w:r>
      <w:r w:rsidRPr="003766AF">
        <w:rPr>
          <w:rFonts w:ascii="Palatino Linotype" w:eastAsia="Palatino Linotype" w:hAnsi="Palatino Linotype" w:cs="Palatino Linotype"/>
          <w:b/>
          <w:color w:val="000000" w:themeColor="text1"/>
        </w:rPr>
        <w:t xml:space="preserve">SUJETO OBLIGADO, </w:t>
      </w:r>
      <w:r w:rsidRPr="003766AF">
        <w:rPr>
          <w:rFonts w:ascii="Palatino Linotype" w:eastAsia="Palatino Linotype" w:hAnsi="Palatino Linotype" w:cs="Palatino Linotype"/>
          <w:color w:val="000000" w:themeColor="text1"/>
        </w:rPr>
        <w:t>en respuesta refirió que el Certificado de Competencia Laboral de la Titular de la Unidad de Transparencia se encuentra en proceso, además de que a la fecha de la solicitud aún se encontraba en termino para obtenerlo, también lo es que mediante un acto jurídico posterior como lo es el informe justificado, remitió el Certificado de Competencia Laboral en el Estándar de Competencia Laboral en el Estándar de Competencia Garantizar el Derecho de Acceso a la Información Pública; sin embargo dejaron a la vista datos personales como la CURP, por tanto no fue puesto a la vista del solicitante por lo que es viable ordenar nuevamente el Certificado de Competencia Laboral, remitido en respuesta en correcta versión pública, a efecto de garantizar el derecho de acceso a la información del recurrente.</w:t>
      </w:r>
    </w:p>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Derivado de lo anterior, es prudente traer al estudio el análisis referente a la Clave Única de Registro de Población</w:t>
      </w:r>
    </w:p>
    <w:p w:rsidR="00B10B03" w:rsidRPr="003766AF" w:rsidRDefault="00575144" w:rsidP="00575144">
      <w:pPr>
        <w:numPr>
          <w:ilvl w:val="0"/>
          <w:numId w:val="5"/>
        </w:numPr>
        <w:pBdr>
          <w:top w:val="nil"/>
          <w:left w:val="nil"/>
          <w:bottom w:val="nil"/>
          <w:right w:val="nil"/>
          <w:between w:val="nil"/>
        </w:pBdr>
        <w:shd w:val="clear" w:color="auto" w:fill="FFFFFF"/>
        <w:spacing w:line="360" w:lineRule="auto"/>
        <w:ind w:left="0" w:firstLine="0"/>
        <w:jc w:val="both"/>
        <w:rPr>
          <w:rFonts w:ascii="Palatino Linotype" w:eastAsia="Palatino Linotype" w:hAnsi="Palatino Linotype" w:cs="Palatino Linotype"/>
          <w:b/>
          <w:color w:val="000000" w:themeColor="text1"/>
        </w:rPr>
      </w:pPr>
      <w:r w:rsidRPr="003766AF">
        <w:rPr>
          <w:rFonts w:ascii="Palatino Linotype" w:eastAsia="Palatino Linotype" w:hAnsi="Palatino Linotype" w:cs="Palatino Linotype"/>
          <w:b/>
          <w:color w:val="000000" w:themeColor="text1"/>
        </w:rPr>
        <w:lastRenderedPageBreak/>
        <w:t>Clave Única de Registro de población</w:t>
      </w: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De igual manera la </w:t>
      </w:r>
      <w:r w:rsidRPr="003766AF">
        <w:rPr>
          <w:rFonts w:ascii="Palatino Linotype" w:eastAsia="Palatino Linotype" w:hAnsi="Palatino Linotype" w:cs="Palatino Linotype"/>
          <w:b/>
          <w:color w:val="000000" w:themeColor="text1"/>
        </w:rPr>
        <w:t>Clave Única de Registro de Población (CURP),</w:t>
      </w:r>
      <w:r w:rsidRPr="003766AF">
        <w:rPr>
          <w:rFonts w:ascii="Palatino Linotype" w:eastAsia="Palatino Linotype" w:hAnsi="Palatino Linotype" w:cs="Palatino Linotype"/>
          <w:color w:val="000000" w:themeColor="text1"/>
        </w:rPr>
        <w:t xml:space="preserve"> constituye un dato personal, ya que tiene como finalidad registrar a cada una de las personas que integran la población del país, con datos que permitan certificar y acreditar fehacientemente su identidad, en virtud de que se integra por datos personales que únicamente le conciernen a un particular como son su fecha de nacimiento, su nombre, sus apellidos y su lugar de nacimiento; información que permite distinguirlo del resto de los habitantes, por tal motivo, se considera que es de carácter confidencial.</w:t>
      </w:r>
    </w:p>
    <w:p w:rsidR="00B10B03" w:rsidRPr="003766AF" w:rsidRDefault="00B10B03" w:rsidP="00575144">
      <w:pPr>
        <w:tabs>
          <w:tab w:val="left" w:pos="284"/>
        </w:tabs>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Argumento que es compartido por el Instituto Nacional de Transparencia, Acceso a la Información y Protección de Datos Personales, INAI, conforme al criterio orientador 18/17, el cual refiere: </w:t>
      </w:r>
    </w:p>
    <w:p w:rsidR="00B10B03" w:rsidRPr="003766AF" w:rsidRDefault="00575144" w:rsidP="00575144">
      <w:pP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b/>
          <w:i/>
          <w:color w:val="000000" w:themeColor="text1"/>
        </w:rPr>
        <w:t xml:space="preserve">“Clave Única de Registro de Población (CURP). </w:t>
      </w:r>
      <w:r w:rsidRPr="003766AF">
        <w:rPr>
          <w:rFonts w:ascii="Palatino Linotype" w:eastAsia="Palatino Linotype" w:hAnsi="Palatino Linotype" w:cs="Palatino Linotype"/>
          <w:i/>
          <w:color w:val="000000" w:themeColor="text1"/>
        </w:rPr>
        <w:t>La Clave Única de Registro de Población se integra por datos personales que sólo conciernen al particular titular de la misma, como lo son su nombre, apellidos, fecha de nacimiento, lugar de nacimiento y sexo. Dichos datos, constituyen información que distingue plenamente a una persona física del resto de los habitantes del país, por lo que la CURP está considerada como información confidencial.”</w:t>
      </w:r>
    </w:p>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shd w:val="clear" w:color="auto" w:fill="FFFFFF"/>
        <w:spacing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De tales circunstancias, se considera que dicho dato actualiza la causal de clasificación prevista en el artículo 143, fracción I de la Ley de la materia, toda vez que permite comprobar la autenticidad y fiabilidad del documento.</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Hasta este punto, se considera que de la información que nos referimos actualiza una causal de confidencialidad, toda vez que identifica datos, pertenecientes al titular.</w:t>
      </w: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Ahora bien, cabe referir que si bien es cierto, mediante informe justificado, el </w:t>
      </w:r>
      <w:r w:rsidRPr="003766AF">
        <w:rPr>
          <w:rFonts w:ascii="Palatino Linotype" w:eastAsia="Palatino Linotype" w:hAnsi="Palatino Linotype" w:cs="Palatino Linotype"/>
          <w:b/>
          <w:color w:val="000000" w:themeColor="text1"/>
        </w:rPr>
        <w:t xml:space="preserve">SUJETO OBLIGADO, </w:t>
      </w:r>
      <w:r w:rsidRPr="003766AF">
        <w:rPr>
          <w:rFonts w:ascii="Palatino Linotype" w:eastAsia="Palatino Linotype" w:hAnsi="Palatino Linotype" w:cs="Palatino Linotype"/>
          <w:color w:val="000000" w:themeColor="text1"/>
        </w:rPr>
        <w:t>remitió</w:t>
      </w:r>
      <w:r w:rsidRPr="003766AF">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color w:val="000000" w:themeColor="text1"/>
        </w:rPr>
        <w:t xml:space="preserve">la Certificación de Competencia Laboral en el Estándar de Competencia </w:t>
      </w:r>
      <w:r w:rsidRPr="003766AF">
        <w:rPr>
          <w:rFonts w:ascii="Palatino Linotype" w:eastAsia="Palatino Linotype" w:hAnsi="Palatino Linotype" w:cs="Palatino Linotype"/>
          <w:color w:val="000000" w:themeColor="text1"/>
        </w:rPr>
        <w:lastRenderedPageBreak/>
        <w:t xml:space="preserve">“Garantizar el Derechos de Acceso a la Información Pública”, tal como lo solicito el particular, también lo es que, del estudio realizado al documento de referencia, se advierte que no fue remitido en versión pública, por tanto no fue puesto a la vista del particular, por lo que resulta procedente ordenar la Certificación de Competencia Laboral en el Estándar de Competencia “Garantizar el Derecho de Acceso a la Información Pública”, en versión Pública, a efecto de garantizar el derecho de acceso a la información del particular. </w:t>
      </w:r>
    </w:p>
    <w:p w:rsidR="00B10B03" w:rsidRPr="003766AF" w:rsidRDefault="00B10B03" w:rsidP="00575144">
      <w:pPr>
        <w:pBdr>
          <w:top w:val="nil"/>
          <w:left w:val="nil"/>
          <w:bottom w:val="nil"/>
          <w:right w:val="nil"/>
          <w:between w:val="nil"/>
        </w:pBdr>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Por lo anteriormente señalado, una vez analizadas las constancias que integran el expediente electrónico, y en mérito de lo expuesto en líneas anteriores, resultan  fundadas las razones o motivos de inconformidad hechos valer por el </w:t>
      </w:r>
      <w:r w:rsidRPr="003766AF">
        <w:rPr>
          <w:rFonts w:ascii="Palatino Linotype" w:eastAsia="Palatino Linotype" w:hAnsi="Palatino Linotype" w:cs="Palatino Linotype"/>
          <w:b/>
          <w:color w:val="000000" w:themeColor="text1"/>
        </w:rPr>
        <w:t>RECURRENTE</w:t>
      </w:r>
      <w:r w:rsidRPr="003766AF">
        <w:rPr>
          <w:rFonts w:ascii="Palatino Linotype" w:eastAsia="Palatino Linotype" w:hAnsi="Palatino Linotype" w:cs="Palatino Linotype"/>
          <w:color w:val="000000" w:themeColor="text1"/>
        </w:rPr>
        <w:t xml:space="preserve"> dentro del recurso de revisión </w:t>
      </w:r>
      <w:r w:rsidRPr="003766AF">
        <w:rPr>
          <w:rFonts w:ascii="Palatino Linotype" w:eastAsia="Palatino Linotype" w:hAnsi="Palatino Linotype" w:cs="Palatino Linotype"/>
          <w:b/>
          <w:color w:val="000000" w:themeColor="text1"/>
        </w:rPr>
        <w:t>07368/INFOEM/IP/RR/2025</w:t>
      </w:r>
      <w:r w:rsidRPr="003766AF">
        <w:rPr>
          <w:rFonts w:ascii="Palatino Linotype" w:eastAsia="Palatino Linotype" w:hAnsi="Palatino Linotype" w:cs="Palatino Linotype"/>
          <w:color w:val="000000" w:themeColor="text1"/>
        </w:rPr>
        <w:t xml:space="preserve">; por ello, y con fundamento en la fracción III del numeral 186 de la Ley de Transparencia y Acceso a la Información Pública del Estado de México y Municipios, se </w:t>
      </w:r>
      <w:r w:rsidRPr="003766AF">
        <w:rPr>
          <w:rFonts w:ascii="Palatino Linotype" w:eastAsia="Palatino Linotype" w:hAnsi="Palatino Linotype" w:cs="Palatino Linotype"/>
          <w:b/>
          <w:color w:val="000000" w:themeColor="text1"/>
        </w:rPr>
        <w:t xml:space="preserve">MODIFICA </w:t>
      </w:r>
      <w:r w:rsidRPr="003766AF">
        <w:rPr>
          <w:rFonts w:ascii="Palatino Linotype" w:eastAsia="Palatino Linotype" w:hAnsi="Palatino Linotype" w:cs="Palatino Linotype"/>
          <w:color w:val="000000" w:themeColor="text1"/>
        </w:rPr>
        <w:t xml:space="preserve">la respuesta del Sujeto Obligado. </w:t>
      </w:r>
    </w:p>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b/>
          <w:color w:val="000000" w:themeColor="text1"/>
        </w:rPr>
      </w:pPr>
      <w:r w:rsidRPr="003766AF">
        <w:rPr>
          <w:rFonts w:ascii="Palatino Linotype" w:eastAsia="Palatino Linotype" w:hAnsi="Palatino Linotype" w:cs="Palatino Linotype"/>
          <w:b/>
          <w:color w:val="000000" w:themeColor="text1"/>
        </w:rPr>
        <w:t>QUINTO. De la versión pública.</w:t>
      </w:r>
    </w:p>
    <w:p w:rsidR="00B10B03" w:rsidRPr="003766AF" w:rsidRDefault="00575144" w:rsidP="0057514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Debe destacarse que, debido a la naturaleza de la información solicitada</w:t>
      </w:r>
      <w:r w:rsidRPr="003766AF">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color w:val="000000" w:themeColor="text1"/>
        </w:rPr>
        <w:t>eventualmente pudieran obrar datos personales susceptibles de protegerse, y toda vez que este Instituto de Transparencia, Acceso a la Información Pública y Protección de Datos Personales del Estado de México tiene el deber de velar por la protección de los datos personales aun tratándose de servidores públicos y en su caso generar la versión pública de los documentos por las consideraciones que se estimen pertinentes.</w:t>
      </w:r>
    </w:p>
    <w:p w:rsidR="00B10B03" w:rsidRPr="003766AF" w:rsidRDefault="00B10B03" w:rsidP="00575144">
      <w:pPr>
        <w:pBdr>
          <w:top w:val="nil"/>
          <w:left w:val="nil"/>
          <w:bottom w:val="nil"/>
          <w:right w:val="nil"/>
          <w:between w:val="nil"/>
        </w:pBdr>
        <w:tabs>
          <w:tab w:val="left" w:pos="426"/>
        </w:tabs>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tabs>
          <w:tab w:val="left" w:pos="0"/>
        </w:tabs>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La clasificación total o parcial de la información requerida, mediante solicitud de acceso a la información pública, constituye una restricción al derecho humano de acceso a la información, por lo que es menester reiterar los mismos:</w:t>
      </w:r>
    </w:p>
    <w:tbl>
      <w:tblPr>
        <w:tblStyle w:val="a4"/>
        <w:tblW w:w="9634" w:type="dxa"/>
        <w:tblInd w:w="0" w:type="dxa"/>
        <w:tblBorders>
          <w:top w:val="single" w:sz="4" w:space="0" w:color="666666"/>
          <w:left w:val="single" w:sz="4" w:space="0" w:color="666666"/>
          <w:bottom w:val="single" w:sz="4" w:space="0" w:color="666666"/>
          <w:right w:val="single" w:sz="4" w:space="0" w:color="666666"/>
          <w:insideH w:val="single" w:sz="4" w:space="0" w:color="666666"/>
          <w:insideV w:val="single" w:sz="4" w:space="0" w:color="666666"/>
        </w:tblBorders>
        <w:tblLayout w:type="fixed"/>
        <w:tblLook w:val="0400" w:firstRow="0" w:lastRow="0" w:firstColumn="0" w:lastColumn="0" w:noHBand="0" w:noVBand="1"/>
      </w:tblPr>
      <w:tblGrid>
        <w:gridCol w:w="2830"/>
        <w:gridCol w:w="6804"/>
      </w:tblGrid>
      <w:tr w:rsidR="00575144" w:rsidRPr="003766AF" w:rsidTr="006A3627">
        <w:tc>
          <w:tcPr>
            <w:tcW w:w="2830" w:type="dxa"/>
          </w:tcPr>
          <w:p w:rsidR="00B10B03" w:rsidRPr="003766AF" w:rsidRDefault="00575144" w:rsidP="00575144">
            <w:pPr>
              <w:spacing w:line="360" w:lineRule="auto"/>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lastRenderedPageBreak/>
              <w:t>a) Requisitos previos.</w:t>
            </w:r>
          </w:p>
        </w:tc>
        <w:tc>
          <w:tcPr>
            <w:tcW w:w="6804" w:type="dxa"/>
          </w:tcPr>
          <w:p w:rsidR="00B10B03" w:rsidRPr="003766AF" w:rsidRDefault="00575144" w:rsidP="00575144">
            <w:pPr>
              <w:spacing w:line="360" w:lineRule="auto"/>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Los artículos 100 y 122 de la Ley Estatal y de la Ley General, respectivamente, señalan que si los Sujetos Obligados determinan que la información actualiza alguno de los supuestos de clasificación, es deber de los titulares de las áreas proponer su clasificación y no del Comité de Transparencia. </w:t>
            </w:r>
          </w:p>
          <w:p w:rsidR="00B10B03" w:rsidRPr="003766AF" w:rsidRDefault="00575144" w:rsidP="00575144">
            <w:pPr>
              <w:spacing w:line="360" w:lineRule="auto"/>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Al hacerlo tienen que precisar de qué información se trata, señalando el supuesto de clasificación (confidencialidad o reserva).</w:t>
            </w:r>
          </w:p>
          <w:p w:rsidR="00B10B03" w:rsidRPr="003766AF" w:rsidRDefault="00575144" w:rsidP="00575144">
            <w:pPr>
              <w:spacing w:line="360" w:lineRule="auto"/>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Además, se debe señalar el procedimiento, de los tres que establecen los artículos 132 y 106 de la Ley Estatal y General, respectivamente.</w:t>
            </w:r>
          </w:p>
          <w:p w:rsidR="00B10B03" w:rsidRPr="003766AF" w:rsidRDefault="00575144" w:rsidP="00575144">
            <w:pPr>
              <w:spacing w:line="360" w:lineRule="auto"/>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El último de estos requisitos previos consiste en que no se pueden emitir acuerdos de carácter general ni particular, esto es, </w:t>
            </w:r>
            <w:r w:rsidRPr="003766AF">
              <w:rPr>
                <w:rFonts w:ascii="Palatino Linotype" w:eastAsia="Palatino Linotype" w:hAnsi="Palatino Linotype" w:cs="Palatino Linotype"/>
                <w:color w:val="000000" w:themeColor="text1"/>
                <w:u w:val="single"/>
              </w:rPr>
              <w:t xml:space="preserve">no se puede hacer un acuerdo para clasificar de manera general todos los documentos de un expediente o área,  </w:t>
            </w:r>
            <w:r w:rsidRPr="003766AF">
              <w:rPr>
                <w:rFonts w:ascii="Palatino Linotype" w:eastAsia="Palatino Linotype" w:hAnsi="Palatino Linotype" w:cs="Palatino Linotype"/>
                <w:color w:val="000000" w:themeColor="text1"/>
              </w:rPr>
              <w:t>sin individualizar su análisis y tampoco se puede hacer un acuerdo por cada dato que se vaya a clasificar dentro de un documento con diez datos, por ejemplo, susceptibles de ser clasificados.</w:t>
            </w:r>
          </w:p>
        </w:tc>
      </w:tr>
      <w:tr w:rsidR="00575144" w:rsidRPr="003766AF" w:rsidTr="006A3627">
        <w:tc>
          <w:tcPr>
            <w:tcW w:w="2830" w:type="dxa"/>
          </w:tcPr>
          <w:p w:rsidR="00B10B03" w:rsidRPr="003766AF" w:rsidRDefault="00575144" w:rsidP="00575144">
            <w:pPr>
              <w:spacing w:line="360" w:lineRule="auto"/>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b) Supuestos de clasificación.</w:t>
            </w:r>
          </w:p>
        </w:tc>
        <w:tc>
          <w:tcPr>
            <w:tcW w:w="6804" w:type="dxa"/>
          </w:tcPr>
          <w:p w:rsidR="00B10B03" w:rsidRPr="003766AF" w:rsidRDefault="00575144" w:rsidP="00575144">
            <w:pPr>
              <w:spacing w:line="360" w:lineRule="auto"/>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Las disposiciones constitucionales y legales en la materia establecen los dos supuestos generales para clasificar la información: por reserva y por confidencialidad.</w:t>
            </w:r>
          </w:p>
          <w:p w:rsidR="00B10B03" w:rsidRPr="003766AF" w:rsidRDefault="00575144" w:rsidP="00575144">
            <w:pPr>
              <w:spacing w:line="360" w:lineRule="auto"/>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Los artículos 116 y 143 de la Ley Estatal y de la Ley General, respectivamente, señalan los supuestos para que la </w:t>
            </w:r>
            <w:r w:rsidRPr="003766AF">
              <w:rPr>
                <w:rFonts w:ascii="Palatino Linotype" w:eastAsia="Palatino Linotype" w:hAnsi="Palatino Linotype" w:cs="Palatino Linotype"/>
                <w:color w:val="000000" w:themeColor="text1"/>
              </w:rPr>
              <w:lastRenderedPageBreak/>
              <w:t>información pueda ser clasificada como confidencial. Mientras que los artículos 105 y 130 de la Ley Estatal y de la Ley General, respectivamente, señalan que la aplicación de estos supuestos debe realizarse de manera restrictiva y limitada, por lo que debe acreditarse que se cumple con esta condición y no se pueden ampliar las excepciones o supuestos de clasificación aduciendo analogía o mayoría de razón.</w:t>
            </w:r>
          </w:p>
          <w:p w:rsidR="00B10B03" w:rsidRPr="003766AF" w:rsidRDefault="00575144" w:rsidP="00575144">
            <w:pPr>
              <w:spacing w:line="360" w:lineRule="auto"/>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El </w:t>
            </w:r>
            <w:r w:rsidRPr="003766AF">
              <w:rPr>
                <w:rFonts w:ascii="Palatino Linotype" w:eastAsia="Palatino Linotype" w:hAnsi="Palatino Linotype" w:cs="Palatino Linotype"/>
                <w:b/>
                <w:color w:val="000000" w:themeColor="text1"/>
              </w:rPr>
              <w:t>SUJETO OBLIGADO</w:t>
            </w:r>
            <w:r w:rsidRPr="003766AF">
              <w:rPr>
                <w:rFonts w:ascii="Palatino Linotype" w:eastAsia="Palatino Linotype" w:hAnsi="Palatino Linotype" w:cs="Palatino Linotype"/>
                <w:color w:val="000000" w:themeColor="text1"/>
              </w:rPr>
              <w:t xml:space="preserve"> debe identificar claramente el tipo de información y hacer un juicio de subsunción o encaje para acreditar que el supuesto de hecho corresponde estrictamente con la hipótesis jurídica. Esto también lo debe de realizar el servidor público habilitado y el titular del área que administra la información.</w:t>
            </w:r>
          </w:p>
        </w:tc>
      </w:tr>
      <w:tr w:rsidR="00575144" w:rsidRPr="003766AF" w:rsidTr="006A3627">
        <w:tc>
          <w:tcPr>
            <w:tcW w:w="2830" w:type="dxa"/>
          </w:tcPr>
          <w:p w:rsidR="00B10B03" w:rsidRPr="003766AF" w:rsidRDefault="00575144" w:rsidP="00575144">
            <w:pPr>
              <w:spacing w:line="360" w:lineRule="auto"/>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lastRenderedPageBreak/>
              <w:t>c) Formalidades para emitir el acuerdo de clasificación.</w:t>
            </w:r>
          </w:p>
        </w:tc>
        <w:tc>
          <w:tcPr>
            <w:tcW w:w="6804" w:type="dxa"/>
          </w:tcPr>
          <w:p w:rsidR="00B10B03" w:rsidRPr="003766AF" w:rsidRDefault="00575144" w:rsidP="00575144">
            <w:pPr>
              <w:spacing w:line="360" w:lineRule="auto"/>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El Comité de Transparencia, según lo dispuesto en los artículos cuenta con las facultades para aprobar, modificar o revocar la clasificación de la información que haya propuesto. </w:t>
            </w:r>
          </w:p>
          <w:p w:rsidR="00B10B03" w:rsidRPr="003766AF" w:rsidRDefault="00575144" w:rsidP="00575144">
            <w:pPr>
              <w:spacing w:line="360" w:lineRule="auto"/>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Es necesario que </w:t>
            </w:r>
            <w:r w:rsidRPr="003766AF">
              <w:rPr>
                <w:rFonts w:ascii="Palatino Linotype" w:eastAsia="Palatino Linotype" w:hAnsi="Palatino Linotype" w:cs="Palatino Linotype"/>
                <w:b/>
                <w:color w:val="000000" w:themeColor="text1"/>
                <w:u w:val="single"/>
              </w:rPr>
              <w:t>el acto reúna con los requisitos elementales</w:t>
            </w:r>
            <w:r w:rsidRPr="003766AF">
              <w:rPr>
                <w:rFonts w:ascii="Palatino Linotype" w:eastAsia="Palatino Linotype" w:hAnsi="Palatino Linotype" w:cs="Palatino Linotype"/>
                <w:color w:val="000000" w:themeColor="text1"/>
              </w:rPr>
              <w:t>, entre ellos, que la autoridad que va a emitir el acto de autoridad sea la legalmente facultada para ello.</w:t>
            </w:r>
          </w:p>
          <w:p w:rsidR="00B10B03" w:rsidRPr="003766AF" w:rsidRDefault="00575144" w:rsidP="00575144">
            <w:pPr>
              <w:spacing w:line="360" w:lineRule="auto"/>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La decisión de aprobar, modificar o revocar la clasificación deberá de asentarse en un documento que registre la determinación a la que se llegue después de un análisis minucioso a partir de lo propuesto por el Titular del área que administra la información, cuyo análisis debe integrarse en la </w:t>
            </w:r>
            <w:r w:rsidRPr="003766AF">
              <w:rPr>
                <w:rFonts w:ascii="Palatino Linotype" w:eastAsia="Palatino Linotype" w:hAnsi="Palatino Linotype" w:cs="Palatino Linotype"/>
                <w:color w:val="000000" w:themeColor="text1"/>
              </w:rPr>
              <w:lastRenderedPageBreak/>
              <w:t>agenda de los asuntos a tratar en las sesiones, se insiste, a partir de las decisiones adoptadas previamente por los titulares de áreas y que son sujetas a control, en primera instancia, por el Comité de Transparencia.</w:t>
            </w:r>
          </w:p>
        </w:tc>
      </w:tr>
      <w:tr w:rsidR="00575144" w:rsidRPr="003766AF" w:rsidTr="006A3627">
        <w:tc>
          <w:tcPr>
            <w:tcW w:w="2830" w:type="dxa"/>
          </w:tcPr>
          <w:p w:rsidR="00B10B03" w:rsidRPr="003766AF" w:rsidRDefault="00B10B03" w:rsidP="00575144">
            <w:pPr>
              <w:spacing w:line="360" w:lineRule="auto"/>
              <w:rPr>
                <w:rFonts w:ascii="Palatino Linotype" w:eastAsia="Palatino Linotype" w:hAnsi="Palatino Linotype" w:cs="Palatino Linotype"/>
                <w:color w:val="000000" w:themeColor="text1"/>
              </w:rPr>
            </w:pPr>
          </w:p>
          <w:p w:rsidR="00B10B03" w:rsidRPr="003766AF" w:rsidRDefault="00575144" w:rsidP="00575144">
            <w:pPr>
              <w:spacing w:line="360" w:lineRule="auto"/>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d) Requisitos de fondo del acuerdo de clasificación. </w:t>
            </w:r>
          </w:p>
        </w:tc>
        <w:tc>
          <w:tcPr>
            <w:tcW w:w="6804" w:type="dxa"/>
          </w:tcPr>
          <w:p w:rsidR="00B10B03" w:rsidRPr="003766AF" w:rsidRDefault="00575144" w:rsidP="00575144">
            <w:pPr>
              <w:spacing w:line="360" w:lineRule="auto"/>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Como se ha señalado antes, al hacer el juicio de subsunción o encaje entre el supuesto de hecho y la hipótesis jurídica, se debe acreditar la estricta correspondencia entre un elemento y otro. Ahora, en esta parte del procedimiento, que se desahoga en sede del Comité de Transparencia, la ley señala que la carga de la prueba, para justificar las restricciones, corresponde a los </w:t>
            </w:r>
            <w:r w:rsidRPr="003766AF">
              <w:rPr>
                <w:rFonts w:ascii="Palatino Linotype" w:eastAsia="Palatino Linotype" w:hAnsi="Palatino Linotype" w:cs="Palatino Linotype"/>
                <w:b/>
                <w:color w:val="000000" w:themeColor="text1"/>
              </w:rPr>
              <w:t>Sujetos Obligados</w:t>
            </w:r>
            <w:r w:rsidRPr="003766AF">
              <w:rPr>
                <w:rFonts w:ascii="Palatino Linotype" w:eastAsia="Palatino Linotype" w:hAnsi="Palatino Linotype" w:cs="Palatino Linotype"/>
                <w:color w:val="000000" w:themeColor="text1"/>
              </w:rPr>
              <w:t xml:space="preserve">, por lo que deberán fundar y motivar debidamente la clasificación. </w:t>
            </w:r>
          </w:p>
          <w:p w:rsidR="00B10B03" w:rsidRPr="003766AF" w:rsidRDefault="00575144" w:rsidP="00575144">
            <w:pPr>
              <w:spacing w:line="360" w:lineRule="auto"/>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De lo anterior, se desprende que para una correcta </w:t>
            </w:r>
            <w:r w:rsidRPr="003766AF">
              <w:rPr>
                <w:rFonts w:ascii="Palatino Linotype" w:eastAsia="Palatino Linotype" w:hAnsi="Palatino Linotype" w:cs="Palatino Linotype"/>
                <w:b/>
                <w:color w:val="000000" w:themeColor="text1"/>
              </w:rPr>
              <w:t>clasificación total o parcial</w:t>
            </w:r>
            <w:r w:rsidRPr="003766AF">
              <w:rPr>
                <w:rFonts w:ascii="Palatino Linotype" w:eastAsia="Palatino Linotype" w:hAnsi="Palatino Linotype" w:cs="Palatino Linotype"/>
                <w:color w:val="000000" w:themeColor="text1"/>
              </w:rPr>
              <w:t>, esto es determinar los datos que se suprimen en las versiones públicas, es necesario fundar y motivar, de manera correcta, la clasificación; considerando que todo acto que la autoridad pronuncie en el ejercicio de sus atribuciones, debe expresar los fundamentos legales que le dieron origen y las razones por las que se deben aplicar al caso concreto.</w:t>
            </w:r>
          </w:p>
          <w:p w:rsidR="00B10B03" w:rsidRPr="003766AF" w:rsidRDefault="00575144" w:rsidP="00575144">
            <w:pPr>
              <w:spacing w:line="360" w:lineRule="auto"/>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Así, en un acto de autoridad se cumple con la debida fundamentación cuando se cita el precepto legal aplicable al caso concreto y la debida motivación cuando se expresan las razones, motivos o circunstancias que tomó en cuenta la </w:t>
            </w:r>
            <w:r w:rsidRPr="003766AF">
              <w:rPr>
                <w:rFonts w:ascii="Palatino Linotype" w:eastAsia="Palatino Linotype" w:hAnsi="Palatino Linotype" w:cs="Palatino Linotype"/>
                <w:color w:val="000000" w:themeColor="text1"/>
              </w:rPr>
              <w:lastRenderedPageBreak/>
              <w:t>autoridad para adecuar el hecho a los fundamentos de derecho. De este modo, la persona que se sienta afectada pueda impugnar la decisión, permitiéndole una real y auténtica defensa.</w:t>
            </w:r>
          </w:p>
          <w:p w:rsidR="00B10B03" w:rsidRPr="003766AF" w:rsidRDefault="00575144" w:rsidP="00575144">
            <w:pPr>
              <w:spacing w:line="360" w:lineRule="auto"/>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En ese mismo sentido, el numeral trigésimo tercero fracción V de los Lineamientos Generales, precisa que para motivar la clasificación se deben acreditar las circunstancias de tiempo, modo y lugar.</w:t>
            </w:r>
          </w:p>
          <w:p w:rsidR="00B10B03" w:rsidRPr="003766AF" w:rsidRDefault="00575144" w:rsidP="00575144">
            <w:pPr>
              <w:spacing w:line="360" w:lineRule="auto"/>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Ahora bien, </w:t>
            </w:r>
            <w:r w:rsidRPr="003766AF">
              <w:rPr>
                <w:rFonts w:ascii="Palatino Linotype" w:eastAsia="Palatino Linotype" w:hAnsi="Palatino Linotype" w:cs="Palatino Linotype"/>
                <w:b/>
                <w:color w:val="000000" w:themeColor="text1"/>
                <w:u w:val="single"/>
              </w:rPr>
              <w:t>para cada caso además de fundar y motivar</w:t>
            </w:r>
            <w:r w:rsidRPr="003766AF">
              <w:rPr>
                <w:rFonts w:ascii="Palatino Linotype" w:eastAsia="Palatino Linotype" w:hAnsi="Palatino Linotype" w:cs="Palatino Linotype"/>
                <w:color w:val="000000" w:themeColor="text1"/>
              </w:rPr>
              <w:t>, se debe identificar con claridad qué datos contenidos en las documentales que son susceptibles de suprimirse, por ejemplo; Clave Única de Registro de Población (CURP), Registro Federal de Contribuyentes (R.F.C.), claves de seguros, préstamos o descuentos personales, secretos bancario, fiduciario, industrial, comercial, fiscal, bursátil y postal, cuya titularidad corresponda a particulares, entre otros.</w:t>
            </w:r>
          </w:p>
        </w:tc>
      </w:tr>
      <w:tr w:rsidR="00575144" w:rsidRPr="003766AF" w:rsidTr="006A3627">
        <w:tc>
          <w:tcPr>
            <w:tcW w:w="2830" w:type="dxa"/>
          </w:tcPr>
          <w:p w:rsidR="00B10B03" w:rsidRPr="003766AF" w:rsidRDefault="00575144" w:rsidP="00575144">
            <w:pPr>
              <w:spacing w:line="360" w:lineRule="auto"/>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lastRenderedPageBreak/>
              <w:t xml:space="preserve">e) Condiciones especiales de la clasificación de la información como confidencial. </w:t>
            </w:r>
          </w:p>
          <w:p w:rsidR="00B10B03" w:rsidRPr="003766AF" w:rsidRDefault="00B10B03" w:rsidP="00575144">
            <w:pPr>
              <w:spacing w:line="360" w:lineRule="auto"/>
              <w:rPr>
                <w:rFonts w:ascii="Palatino Linotype" w:eastAsia="Palatino Linotype" w:hAnsi="Palatino Linotype" w:cs="Palatino Linotype"/>
                <w:color w:val="000000" w:themeColor="text1"/>
              </w:rPr>
            </w:pPr>
          </w:p>
        </w:tc>
        <w:tc>
          <w:tcPr>
            <w:tcW w:w="6804" w:type="dxa"/>
          </w:tcPr>
          <w:p w:rsidR="00B10B03" w:rsidRPr="003766AF" w:rsidRDefault="00575144" w:rsidP="00575144">
            <w:pPr>
              <w:spacing w:line="360" w:lineRule="auto"/>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Los artículos 148 y 120 de la Ley Estatal y de la Ley General, respectivamente, establecen que aun tratándose de datos personales, se podrán proporcionar, incluso sin solicitar el consentimiento de su titular. </w:t>
            </w:r>
          </w:p>
          <w:p w:rsidR="00B10B03" w:rsidRPr="003766AF" w:rsidRDefault="00575144" w:rsidP="00575144">
            <w:pPr>
              <w:spacing w:line="360" w:lineRule="auto"/>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En el caso de lo señalado en la fracción IV, será el Instituto quien deba aplicar la prueba de interés público, considerando también que como recientemente ha discutido la Suprema </w:t>
            </w:r>
            <w:r w:rsidRPr="003766AF">
              <w:rPr>
                <w:rFonts w:ascii="Palatino Linotype" w:eastAsia="Palatino Linotype" w:hAnsi="Palatino Linotype" w:cs="Palatino Linotype"/>
                <w:color w:val="000000" w:themeColor="text1"/>
              </w:rPr>
              <w:lastRenderedPageBreak/>
              <w:t xml:space="preserve">Corte de Justicia de la Nación, los servidores públicos nos encontramos sujetos a un régimen menor de protección. </w:t>
            </w:r>
          </w:p>
          <w:p w:rsidR="00B10B03" w:rsidRPr="003766AF" w:rsidRDefault="00575144" w:rsidP="00575144">
            <w:pPr>
              <w:spacing w:line="360" w:lineRule="auto"/>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Pero si la información que se pretende clasificar como confidencial no se encuentra en los supuestos de los artículos señalados y es posible, se deberá consultar al titular de los datos si permite o no el acceso. De no ser posible, la realización de la consulta, procede, fundando y motivando, la clasificación.</w:t>
            </w:r>
          </w:p>
        </w:tc>
      </w:tr>
    </w:tbl>
    <w:p w:rsidR="00B10B03" w:rsidRPr="003766AF" w:rsidRDefault="00B10B03" w:rsidP="00575144">
      <w:pPr>
        <w:pBdr>
          <w:top w:val="nil"/>
          <w:left w:val="nil"/>
          <w:bottom w:val="nil"/>
          <w:right w:val="nil"/>
          <w:between w:val="nil"/>
        </w:pBd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bookmarkStart w:id="9" w:name="_heading=h.rlcwbrtwu90c" w:colFirst="0" w:colLast="0"/>
      <w:bookmarkEnd w:id="9"/>
      <w:r w:rsidRPr="003766AF">
        <w:rPr>
          <w:rFonts w:ascii="Palatino Linotype" w:eastAsia="Palatino Linotype" w:hAnsi="Palatino Linotype" w:cs="Palatino Linotype"/>
          <w:color w:val="000000" w:themeColor="text1"/>
        </w:rPr>
        <w:t>Por otro lado, de manera enunciativa mas no limitativas, dentro de los elementos que integran los recibos de nómina se pueden encontrar los siguientes:</w:t>
      </w:r>
    </w:p>
    <w:p w:rsidR="00B10B03" w:rsidRPr="003766AF" w:rsidRDefault="00575144" w:rsidP="00575144">
      <w:pPr>
        <w:numPr>
          <w:ilvl w:val="0"/>
          <w:numId w:val="7"/>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Clave Única de Registro de Población (CURP);</w:t>
      </w:r>
    </w:p>
    <w:p w:rsidR="00B10B03" w:rsidRPr="003766AF" w:rsidRDefault="00575144" w:rsidP="00575144">
      <w:pPr>
        <w:numPr>
          <w:ilvl w:val="0"/>
          <w:numId w:val="7"/>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Número de ISSEMyM;</w:t>
      </w:r>
    </w:p>
    <w:p w:rsidR="00B10B03" w:rsidRPr="003766AF" w:rsidRDefault="00575144" w:rsidP="00575144">
      <w:pPr>
        <w:numPr>
          <w:ilvl w:val="0"/>
          <w:numId w:val="7"/>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Número de empleado;</w:t>
      </w:r>
    </w:p>
    <w:p w:rsidR="00B10B03" w:rsidRPr="003766AF" w:rsidRDefault="00575144" w:rsidP="00575144">
      <w:pPr>
        <w:numPr>
          <w:ilvl w:val="0"/>
          <w:numId w:val="7"/>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Registro Federal de Contribuyentes (RFC);</w:t>
      </w:r>
    </w:p>
    <w:p w:rsidR="00B10B03" w:rsidRPr="003766AF" w:rsidRDefault="00575144" w:rsidP="00575144">
      <w:pPr>
        <w:numPr>
          <w:ilvl w:val="0"/>
          <w:numId w:val="7"/>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Número de Serie del CSD del SAT;</w:t>
      </w:r>
    </w:p>
    <w:p w:rsidR="00B10B03" w:rsidRPr="003766AF" w:rsidRDefault="00575144" w:rsidP="00575144">
      <w:pPr>
        <w:numPr>
          <w:ilvl w:val="0"/>
          <w:numId w:val="7"/>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Número de Serie del CDS del emisor;</w:t>
      </w:r>
    </w:p>
    <w:p w:rsidR="00B10B03" w:rsidRPr="003766AF" w:rsidRDefault="00575144" w:rsidP="00575144">
      <w:pPr>
        <w:numPr>
          <w:ilvl w:val="0"/>
          <w:numId w:val="7"/>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Serie y folio;</w:t>
      </w:r>
    </w:p>
    <w:p w:rsidR="00B10B03" w:rsidRPr="003766AF" w:rsidRDefault="00575144" w:rsidP="00575144">
      <w:pPr>
        <w:numPr>
          <w:ilvl w:val="0"/>
          <w:numId w:val="7"/>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Firma;</w:t>
      </w:r>
    </w:p>
    <w:p w:rsidR="00B10B03" w:rsidRPr="003766AF" w:rsidRDefault="00575144" w:rsidP="00575144">
      <w:pPr>
        <w:numPr>
          <w:ilvl w:val="0"/>
          <w:numId w:val="7"/>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Código QR;</w:t>
      </w:r>
    </w:p>
    <w:p w:rsidR="00B10B03" w:rsidRPr="003766AF" w:rsidRDefault="00575144" w:rsidP="00575144">
      <w:pPr>
        <w:numPr>
          <w:ilvl w:val="0"/>
          <w:numId w:val="7"/>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Sello Digital del Contribuyente; y</w:t>
      </w:r>
    </w:p>
    <w:p w:rsidR="00B10B03" w:rsidRPr="003766AF" w:rsidRDefault="00575144" w:rsidP="00575144">
      <w:pPr>
        <w:numPr>
          <w:ilvl w:val="0"/>
          <w:numId w:val="7"/>
        </w:numPr>
        <w:pBdr>
          <w:top w:val="nil"/>
          <w:left w:val="nil"/>
          <w:bottom w:val="nil"/>
          <w:right w:val="nil"/>
          <w:between w:val="nil"/>
        </w:pBdr>
        <w:tabs>
          <w:tab w:val="left" w:pos="567"/>
        </w:tabs>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Sello Digital del SAT.</w:t>
      </w:r>
    </w:p>
    <w:p w:rsidR="00B10B03" w:rsidRDefault="00B10B03" w:rsidP="00575144">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pStyle w:val="Ttulo3"/>
        <w:numPr>
          <w:ilvl w:val="0"/>
          <w:numId w:val="7"/>
        </w:numPr>
        <w:ind w:left="0" w:firstLine="0"/>
        <w:rPr>
          <w:rFonts w:ascii="Palatino Linotype" w:eastAsia="Palatino Linotype" w:hAnsi="Palatino Linotype" w:cs="Palatino Linotype"/>
          <w:b/>
          <w:color w:val="000000" w:themeColor="text1"/>
        </w:rPr>
      </w:pPr>
      <w:r w:rsidRPr="003766AF">
        <w:rPr>
          <w:rFonts w:ascii="Palatino Linotype" w:eastAsia="Palatino Linotype" w:hAnsi="Palatino Linotype" w:cs="Palatino Linotype"/>
          <w:color w:val="000000" w:themeColor="text1"/>
        </w:rPr>
        <w:t>Clave Única de Registro de Población (CURP).</w:t>
      </w:r>
    </w:p>
    <w:p w:rsidR="00B10B03" w:rsidRPr="003766AF" w:rsidRDefault="00575144" w:rsidP="00575144">
      <w:pPr>
        <w:numPr>
          <w:ilvl w:val="0"/>
          <w:numId w:val="1"/>
        </w:numPr>
        <w:pBdr>
          <w:top w:val="nil"/>
          <w:left w:val="nil"/>
          <w:bottom w:val="nil"/>
          <w:right w:val="nil"/>
          <w:between w:val="nil"/>
        </w:pBd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La Clave Única de Registro de Población (CURP) según lo establecido en el Instructivo Normativo para la Asignación de la Clave Única de Registro de Población, la CURP es un elemento que permite registrar de forma individual a las o los mexicanos, así como a los </w:t>
      </w:r>
      <w:r w:rsidRPr="003766AF">
        <w:rPr>
          <w:rFonts w:ascii="Palatino Linotype" w:eastAsia="Palatino Linotype" w:hAnsi="Palatino Linotype" w:cs="Palatino Linotype"/>
          <w:color w:val="000000" w:themeColor="text1"/>
        </w:rPr>
        <w:lastRenderedPageBreak/>
        <w:t xml:space="preserve">extranjeros que se encuentren en condiciones de estancia regular en el país o en trámite de ésta, se integra por dieciocho (18) caracteres, los cuales son: </w:t>
      </w:r>
    </w:p>
    <w:p w:rsidR="00B10B03" w:rsidRPr="003766AF" w:rsidRDefault="00575144" w:rsidP="00575144">
      <w:pPr>
        <w:shd w:val="clear" w:color="auto" w:fill="FFFFFF"/>
        <w:spacing w:before="240" w:after="240" w:line="360" w:lineRule="auto"/>
        <w:jc w:val="center"/>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noProof/>
          <w:color w:val="000000" w:themeColor="text1"/>
        </w:rPr>
        <w:drawing>
          <wp:inline distT="0" distB="0" distL="0" distR="0">
            <wp:extent cx="5305425" cy="4676775"/>
            <wp:effectExtent l="0" t="0" r="0" b="0"/>
            <wp:docPr id="70" name="image1.png"/>
            <wp:cNvGraphicFramePr/>
            <a:graphic xmlns:a="http://schemas.openxmlformats.org/drawingml/2006/main">
              <a:graphicData uri="http://schemas.openxmlformats.org/drawingml/2006/picture">
                <pic:pic xmlns:pic="http://schemas.openxmlformats.org/drawingml/2006/picture">
                  <pic:nvPicPr>
                    <pic:cNvPr id="0" name="image1.png"/>
                    <pic:cNvPicPr preferRelativeResize="0"/>
                  </pic:nvPicPr>
                  <pic:blipFill>
                    <a:blip r:embed="rId11"/>
                    <a:srcRect l="25746" t="8269" r="41253" b="18081"/>
                    <a:stretch>
                      <a:fillRect/>
                    </a:stretch>
                  </pic:blipFill>
                  <pic:spPr>
                    <a:xfrm>
                      <a:off x="0" y="0"/>
                      <a:ext cx="5305425" cy="4676775"/>
                    </a:xfrm>
                    <a:prstGeom prst="rect">
                      <a:avLst/>
                    </a:prstGeom>
                    <a:ln/>
                  </pic:spPr>
                </pic:pic>
              </a:graphicData>
            </a:graphic>
          </wp:inline>
        </w:drawing>
      </w:r>
    </w:p>
    <w:p w:rsidR="00B10B03"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Es entonces que a partir de los datos básicos de la persona (nombre, apellido, sexo, fecha y lugar de nacimiento) encontrados en los documentos probatorios de identidad es que se genera la CURP, la cual tiene la particularidad de asegurar una correspondencia entre claves y personas. </w:t>
      </w:r>
    </w:p>
    <w:p w:rsidR="006A3627" w:rsidRPr="003766AF" w:rsidRDefault="006A3627" w:rsidP="006A3627">
      <w:pPr>
        <w:shd w:val="clear" w:color="auto" w:fill="FFFFFF"/>
        <w:spacing w:before="240" w:after="240"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lastRenderedPageBreak/>
        <w:t xml:space="preserve">Entre las características de la CURP, se encuentra: </w:t>
      </w:r>
    </w:p>
    <w:p w:rsidR="00B10B03" w:rsidRPr="003766AF" w:rsidRDefault="00575144" w:rsidP="00575144">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b/>
          <w:color w:val="000000" w:themeColor="text1"/>
        </w:rPr>
        <w:t xml:space="preserve">Composición. </w:t>
      </w:r>
      <w:r w:rsidRPr="003766AF">
        <w:rPr>
          <w:rFonts w:ascii="Palatino Linotype" w:eastAsia="Palatino Linotype" w:hAnsi="Palatino Linotype" w:cs="Palatino Linotype"/>
          <w:color w:val="000000" w:themeColor="text1"/>
        </w:rPr>
        <w:t>Alfanumérica.</w:t>
      </w:r>
    </w:p>
    <w:p w:rsidR="00B10B03" w:rsidRPr="003766AF" w:rsidRDefault="00575144" w:rsidP="00575144">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b/>
          <w:color w:val="000000" w:themeColor="text1"/>
        </w:rPr>
        <w:t xml:space="preserve">Longitud. </w:t>
      </w:r>
      <w:r w:rsidRPr="003766AF">
        <w:rPr>
          <w:rFonts w:ascii="Palatino Linotype" w:eastAsia="Palatino Linotype" w:hAnsi="Palatino Linotype" w:cs="Palatino Linotype"/>
          <w:color w:val="000000" w:themeColor="text1"/>
        </w:rPr>
        <w:t xml:space="preserve"> 18 caracteres.</w:t>
      </w:r>
    </w:p>
    <w:p w:rsidR="00B10B03" w:rsidRPr="003766AF" w:rsidRDefault="00575144" w:rsidP="00575144">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b/>
          <w:color w:val="000000" w:themeColor="text1"/>
        </w:rPr>
        <w:t xml:space="preserve">Naturaleza. </w:t>
      </w:r>
      <w:r w:rsidRPr="003766AF">
        <w:rPr>
          <w:rFonts w:ascii="Palatino Linotype" w:eastAsia="Palatino Linotype" w:hAnsi="Palatino Linotype" w:cs="Palatino Linotype"/>
          <w:color w:val="000000" w:themeColor="text1"/>
        </w:rPr>
        <w:t>Biunívoca.</w:t>
      </w:r>
    </w:p>
    <w:p w:rsidR="00B10B03" w:rsidRPr="003766AF" w:rsidRDefault="00575144" w:rsidP="00575144">
      <w:pPr>
        <w:pBdr>
          <w:top w:val="nil"/>
          <w:left w:val="nil"/>
          <w:bottom w:val="nil"/>
          <w:right w:val="nil"/>
          <w:between w:val="nil"/>
        </w:pBdr>
        <w:tabs>
          <w:tab w:val="left" w:pos="426"/>
          <w:tab w:val="left" w:pos="567"/>
        </w:tabs>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b/>
          <w:color w:val="000000" w:themeColor="text1"/>
        </w:rPr>
        <w:t xml:space="preserve">Universalidad. </w:t>
      </w:r>
      <w:r w:rsidRPr="003766AF">
        <w:rPr>
          <w:rFonts w:ascii="Palatino Linotype" w:eastAsia="Palatino Linotype" w:hAnsi="Palatino Linotype" w:cs="Palatino Linotype"/>
          <w:color w:val="000000" w:themeColor="text1"/>
        </w:rPr>
        <w:t>Se asigna a todas las personas que conforman la población.</w:t>
      </w:r>
    </w:p>
    <w:p w:rsidR="00B10B03" w:rsidRDefault="00575144" w:rsidP="00575144">
      <w:p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themeColor="text1"/>
        </w:rPr>
      </w:pPr>
      <w:r w:rsidRPr="003766AF">
        <w:rPr>
          <w:rFonts w:ascii="Palatino Linotype" w:eastAsia="Palatino Linotype" w:hAnsi="Palatino Linotype" w:cs="Palatino Linotype"/>
          <w:b/>
          <w:color w:val="000000" w:themeColor="text1"/>
        </w:rPr>
        <w:t xml:space="preserve">Verificabilidad. En su estructura existen elementos que permiten comprobar si fue conformada correctamente o no, así como fecha de nacimiento, sexo, identificad federativa de nacimiento y las primeras composiciones de la clave, conformadas por la letra inicial y primera vocal interna del primer apellido, la letra inicial del segundo apellido y la primera letra del nombre.  </w:t>
      </w:r>
    </w:p>
    <w:p w:rsidR="006A3627" w:rsidRPr="003766AF" w:rsidRDefault="006A3627" w:rsidP="00575144">
      <w:pPr>
        <w:pBdr>
          <w:top w:val="nil"/>
          <w:left w:val="nil"/>
          <w:bottom w:val="nil"/>
          <w:right w:val="nil"/>
          <w:between w:val="nil"/>
        </w:pBdr>
        <w:tabs>
          <w:tab w:val="left" w:pos="426"/>
          <w:tab w:val="left" w:pos="567"/>
        </w:tabs>
        <w:jc w:val="both"/>
        <w:rPr>
          <w:rFonts w:ascii="Palatino Linotype" w:eastAsia="Palatino Linotype" w:hAnsi="Palatino Linotype" w:cs="Palatino Linotype"/>
          <w:b/>
          <w:color w:val="000000" w:themeColor="text1"/>
        </w:rPr>
      </w:pP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Del mismo modo, los Lineamientos en comento señalan en su artículo Décimo Tercero, “Manejo de la Información que la información contenida en la Base de Datos Nacional de la Clave Única de Registro de Población (BNDCURP), tiene carácter de confidencial, por lo que su tratamiento debe ser acorde con la legislación aplicable y vigente en materia de transparencia y acceso a la información pública, y protección de datos personales. </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Es entonces que, de lo anterior, se desprende que la Clave Única de Registro de Población es un dato personal confidencial, ya que por sí releva información personal de su titular, y su exposición únicamente vulneraría la esfera privada del mismo, aunado a que no guarda relación con el desempeño profesional o laboral de un individuo ni con el ejercicio de recursos públicos.</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Ante ello, resulta aplicable el Criterio 18/17 emitido por el Instituto Nacional de Transparencia, Acceso a la Información y Protección de Datos Personales, que a la literalidad señala: </w:t>
      </w:r>
    </w:p>
    <w:p w:rsidR="00B10B03" w:rsidRPr="003766AF" w:rsidRDefault="00575144" w:rsidP="00575144">
      <w:pPr>
        <w:pBdr>
          <w:top w:val="nil"/>
          <w:left w:val="nil"/>
          <w:bottom w:val="nil"/>
          <w:right w:val="nil"/>
          <w:between w:val="nil"/>
        </w:pBdr>
        <w:tabs>
          <w:tab w:val="left" w:pos="567"/>
        </w:tabs>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i/>
          <w:color w:val="000000" w:themeColor="text1"/>
        </w:rPr>
        <w:t>“</w:t>
      </w:r>
      <w:r w:rsidRPr="003766AF">
        <w:rPr>
          <w:rFonts w:ascii="Palatino Linotype" w:eastAsia="Palatino Linotype" w:hAnsi="Palatino Linotype" w:cs="Palatino Linotype"/>
          <w:b/>
          <w:i/>
          <w:color w:val="000000" w:themeColor="text1"/>
        </w:rPr>
        <w:t xml:space="preserve">Clave Única de Registro de Población (CURP). </w:t>
      </w:r>
      <w:r w:rsidRPr="003766AF">
        <w:rPr>
          <w:rFonts w:ascii="Palatino Linotype" w:eastAsia="Palatino Linotype" w:hAnsi="Palatino Linotype" w:cs="Palatino Linotype"/>
          <w:i/>
          <w:color w:val="000000" w:themeColor="text1"/>
        </w:rPr>
        <w:t xml:space="preserve">La Clave Única de Registro de Población se integra por datos personales que sólo conciernen al particular titular de la misma, como lo son su nombre, </w:t>
      </w:r>
      <w:r w:rsidRPr="003766AF">
        <w:rPr>
          <w:rFonts w:ascii="Palatino Linotype" w:eastAsia="Palatino Linotype" w:hAnsi="Palatino Linotype" w:cs="Palatino Linotype"/>
          <w:i/>
          <w:color w:val="000000" w:themeColor="text1"/>
        </w:rPr>
        <w:lastRenderedPageBreak/>
        <w:t>apellidos, fecha de nacimiento, lugar de nacimiento y sexo. Dichos datos, constituyen información que distingue plenamente a una persona física del resto de los habitantes del</w:t>
      </w:r>
    </w:p>
    <w:p w:rsidR="00B10B03" w:rsidRPr="003766AF" w:rsidRDefault="00B10B03" w:rsidP="00575144">
      <w:pPr>
        <w:pBdr>
          <w:top w:val="nil"/>
          <w:left w:val="nil"/>
          <w:bottom w:val="nil"/>
          <w:right w:val="nil"/>
          <w:between w:val="nil"/>
        </w:pBdr>
        <w:tabs>
          <w:tab w:val="left" w:pos="567"/>
        </w:tabs>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pStyle w:val="Ttulo3"/>
        <w:numPr>
          <w:ilvl w:val="0"/>
          <w:numId w:val="9"/>
        </w:numPr>
        <w:ind w:left="0" w:firstLine="0"/>
        <w:rPr>
          <w:rFonts w:ascii="Palatino Linotype" w:eastAsia="Palatino Linotype" w:hAnsi="Palatino Linotype" w:cs="Palatino Linotype"/>
          <w:b/>
          <w:color w:val="000000" w:themeColor="text1"/>
        </w:rPr>
      </w:pPr>
      <w:r w:rsidRPr="003766AF">
        <w:rPr>
          <w:rFonts w:ascii="Palatino Linotype" w:eastAsia="Palatino Linotype" w:hAnsi="Palatino Linotype" w:cs="Palatino Linotype"/>
          <w:color w:val="000000" w:themeColor="text1"/>
        </w:rPr>
        <w:t>Clave ISSEMyM</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El Instituto de Seguridad Social del Estado de México y Municipios (ISSEMYM) es el organismo público encargado de proporcionar los servicios de seguridad social a los servidores públicos del Estado de México, con el objetivo de garantizar a los derechohabientes el acceso a las prestaciones que otorga, de conformidad con el artículo 14 de la Ley de Seguridad Social para los Servidores Públicos del Estado de México y Municipios.</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En ese contexto, el artículo 9° del mismo ordenamiento, dispone que el Instituto de Seguridad Social del Estado de México y Municipios expedirá documentos de identificación para facilitar el acceso a las prestaciones a que tengan derecho; así, el artículo 158, fracción I del Reglamento de Servicios de Salud del Instituto de Seguridad Social del Estado de México y Municipios, establece que es obligación de los derechohabientes tramitar la credencial que los acredite como tal, la cual será de naturaleza personal e intransferible. En esta credencial se consignan diversos datos personales y se le asigna una clave para hacer identificable al trabajador con el objetivo de poder proporcionar los servicios que brinda el Instituto de Seguridad Social del Estado de México y Municipios.</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Como se advierte, el número del Instituto de Seguridad y Servicios Sociales del Estado de México y Municipios, es un dato personal que permite identificar que una persona que trabajó o trabaja en alguna institución pública del Estado de México, por la que tiene o tuvo derecho a esta prestación de seguridad social; además, es de destacar que dicho dato no cambia, aunque el trabajador se dé de baja y alta en diversas ocasiones, con motivo de haber trabajado en diferentes instituciones gubernamentales de la Entidad.</w:t>
      </w:r>
    </w:p>
    <w:p w:rsidR="00B10B03" w:rsidRPr="003766AF" w:rsidRDefault="00575144" w:rsidP="00575144">
      <w:pPr>
        <w:numPr>
          <w:ilvl w:val="0"/>
          <w:numId w:val="12"/>
        </w:numPr>
        <w:pBdr>
          <w:top w:val="nil"/>
          <w:left w:val="nil"/>
          <w:bottom w:val="nil"/>
          <w:right w:val="nil"/>
          <w:between w:val="nil"/>
        </w:pBd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b/>
          <w:color w:val="000000" w:themeColor="text1"/>
        </w:rPr>
        <w:lastRenderedPageBreak/>
        <w:t>Número de empleado.</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El número de empleado de los servidores públicos del Ayuntamiento son asignados por el Departamento de Recursos Humanos o equivalente y se trata de un código identificador para uso exclusivo del empleado que, de vincularse y relacionarse al RFC lo hace identificable plenamente y, con los mismos se puede tener acceso a diversa información, inclusive con sus datos personales.</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Se trata de un número de identificación personal utilizado como usuario para acceder a diferentes aplicaciones internas del Ayuntamiento y que en las cuales existe información confidencial que atañe a su titular sirve de apoyo el criterio 06/19 emitido por el instituto Nacional de Transparencia, Acceso a la Información y Protección de Datos Personales (INAI):</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b/>
          <w:i/>
          <w:color w:val="000000" w:themeColor="text1"/>
        </w:rPr>
        <w:t>Número de empleado.</w:t>
      </w:r>
      <w:r w:rsidRPr="003766AF">
        <w:rPr>
          <w:rFonts w:ascii="Palatino Linotype" w:eastAsia="Palatino Linotype" w:hAnsi="Palatino Linotype" w:cs="Palatino Linotype"/>
          <w:i/>
          <w:color w:val="000000" w:themeColor="text1"/>
        </w:rPr>
        <w:t xml:space="preserve"> Cuando el número de empleado o su equivalente, se integra con datos personales de los trabajadores o funciona como una clave de acceso que no requiere adicionalmente de una contraseña para ingresar a sistemas de base de datos personales, procede su clasificación como confidencial.</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En otros escenarios, el número de empleado corresponde sólo a un número consecutivo que no contiene datos personales ni se relaciona con los mismos, por lo que, el Sujeto Obligado deberá de clasificar dicho dato únicamente si se integra con datos personales, tal y como lo señala el criterio orientador.</w:t>
      </w:r>
    </w:p>
    <w:p w:rsidR="00B10B03" w:rsidRPr="003766AF" w:rsidRDefault="00575144" w:rsidP="00575144">
      <w:pPr>
        <w:pStyle w:val="Ttulo3"/>
        <w:numPr>
          <w:ilvl w:val="0"/>
          <w:numId w:val="9"/>
        </w:numPr>
        <w:ind w:left="0" w:firstLine="0"/>
        <w:rPr>
          <w:rFonts w:ascii="Palatino Linotype" w:eastAsia="Palatino Linotype" w:hAnsi="Palatino Linotype" w:cs="Palatino Linotype"/>
          <w:b/>
          <w:color w:val="000000" w:themeColor="text1"/>
        </w:rPr>
      </w:pPr>
      <w:r w:rsidRPr="003766AF">
        <w:rPr>
          <w:rFonts w:ascii="Palatino Linotype" w:eastAsia="Palatino Linotype" w:hAnsi="Palatino Linotype" w:cs="Palatino Linotype"/>
          <w:color w:val="000000" w:themeColor="text1"/>
        </w:rPr>
        <w:t>Registro Federal de Contribuyentes (RFC)</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El RFC es el Registro Federal de Contribuyentes, esta inscripción es realizada por el Servicio de Administración Tributaria, quien entrega una cédula de identificación fiscal en donde consta la clave que asigna este órgano desconcentrado de la Secretaría de Hacienda y Crédito Público, de acuerdo al artículo 27 del Código Fiscal de la Federación.</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lastRenderedPageBreak/>
        <w:t>De acuerdo a lo establecido en el artículo en comento, esta clave se compone de trece caracteres alfanuméricos, con datos obtenidos de los apellidos, nombre (s), fecha de nacimiento del titular, más una homoclave que establece el sistema automático del Servicio de Administración Tributaria.</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Ahora bien, la clave del Registro Federal de Contribuyentes, es el medio de control que tiene la Secretaría de Hacienda y Crédito Público (SHCP) a través del Servicio de Administración Tributaria (SAT), para exigir y vigilar el cumplimiento de las obligaciones fiscales de los contribuyentes; mientras que los particulares tramitan dicho dato, con el único propósito de realizar mediante esa clave de identificación, operaciones o actividades de naturaleza fiscal.</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Conforme a lo expuesto, el Registro Federal de Contribuyentes, es un dato personal, ya que hace a las personas físicas identificas e identificables, además de que las relaciona como contribuyentes de las autoridades fiscales. Es de destacar que el Registro Federal de Contribuyentes únicamente sirve para efectos fiscales y pago de contribuciones, por lo que se trata de un dato relevante únicamente para las personas involucradas, en el pago de estos.</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Lo anterior, resulta congruente con el Criterio 19/17 emitido por el Instituto Nacional de Transparencia, Acceso a la Información y Protección de Datos Personales, en el cual se señala lo siguiente:</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3766AF">
        <w:rPr>
          <w:rFonts w:ascii="Palatino Linotype" w:eastAsia="Palatino Linotype" w:hAnsi="Palatino Linotype" w:cs="Palatino Linotype"/>
          <w:b/>
          <w:i/>
          <w:color w:val="000000" w:themeColor="text1"/>
        </w:rPr>
        <w:t xml:space="preserve">Registro Federal de Contribuyentes (RFC) de personas físicas. </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El RFC es una clave de carácter fiscal, única e irrepetible, que permite identificar al titular, su edad y fecha de nacimiento, por lo que es un dato personal de carácter confidencial.</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b/>
          <w:color w:val="000000" w:themeColor="text1"/>
        </w:rPr>
        <w:lastRenderedPageBreak/>
        <w:t>De tal suerte, el Registro Federal de Contribuyentes de las personas físicas no guarda relación con la transparencia de los recursos públicos</w:t>
      </w:r>
      <w:r w:rsidRPr="003766AF">
        <w:rPr>
          <w:rFonts w:ascii="Palatino Linotype" w:eastAsia="Palatino Linotype" w:hAnsi="Palatino Linotype" w:cs="Palatino Linotype"/>
          <w:color w:val="000000" w:themeColor="text1"/>
        </w:rPr>
        <w:t>, así como tampoco con el desempeño laboral que pueda tener una persona.</w:t>
      </w:r>
    </w:p>
    <w:p w:rsidR="00B10B03" w:rsidRPr="003766AF" w:rsidRDefault="00575144" w:rsidP="00575144">
      <w:pPr>
        <w:pStyle w:val="Ttulo3"/>
        <w:numPr>
          <w:ilvl w:val="0"/>
          <w:numId w:val="9"/>
        </w:numPr>
        <w:ind w:left="0" w:firstLine="0"/>
        <w:rPr>
          <w:rFonts w:ascii="Palatino Linotype" w:eastAsia="Palatino Linotype" w:hAnsi="Palatino Linotype" w:cs="Palatino Linotype"/>
          <w:b/>
          <w:color w:val="000000" w:themeColor="text1"/>
        </w:rPr>
      </w:pPr>
      <w:r w:rsidRPr="003766AF">
        <w:rPr>
          <w:rFonts w:ascii="Palatino Linotype" w:eastAsia="Palatino Linotype" w:hAnsi="Palatino Linotype" w:cs="Palatino Linotype"/>
          <w:b/>
          <w:color w:val="000000" w:themeColor="text1"/>
        </w:rPr>
        <w:t>Deducciones personales</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Es necesario precisar que existen deducciones que se generan con motivo de una decisión libre y voluntaria de los servidores públicos, como son: créditos personales, </w:t>
      </w:r>
      <w:r w:rsidRPr="003766AF">
        <w:rPr>
          <w:rFonts w:ascii="Palatino Linotype" w:eastAsia="Palatino Linotype" w:hAnsi="Palatino Linotype" w:cs="Palatino Linotype"/>
          <w:b/>
          <w:color w:val="000000" w:themeColor="text1"/>
          <w:u w:val="single"/>
        </w:rPr>
        <w:t>cuotas sindicales y fondo de resistencia del Sindicato Único de Trabajadores de los Poderes, Municipios e Institución Descentralizadas del Estado de México</w:t>
      </w:r>
      <w:r w:rsidRPr="003766AF">
        <w:rPr>
          <w:rFonts w:ascii="Palatino Linotype" w:eastAsia="Palatino Linotype" w:hAnsi="Palatino Linotype" w:cs="Palatino Linotype"/>
          <w:color w:val="000000" w:themeColor="text1"/>
        </w:rPr>
        <w:t>, seguro de vida, accidentes y enfermedades.</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Asimismo, hay otras que se generan con motivo de una sentencia judicial, como es la pensión alimenticia que periódicamente se retira de la cuenta de un empleado, a efecto de que sea entregado a un tercero.  </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En consecuencia, este tipo de deducciones son fruto de decisiones que impactan en el patrimonio de un servidor público con la finalidad de obtener un beneficio conforme a la decisión de un trabajador, mismas que no implican la entrega de recursos con cargo al erario, y tampoco reflejan el ejercicio de una prestación; por el contrario, en dichos casos se trata del libre ejercicio del servidor público para disponer de un ingreso que forma parte de su patrimonio. </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bookmarkStart w:id="10" w:name="_heading=h.1ksv4uv" w:colFirst="0" w:colLast="0"/>
      <w:bookmarkEnd w:id="10"/>
      <w:r w:rsidRPr="003766AF">
        <w:rPr>
          <w:rFonts w:ascii="Palatino Linotype" w:eastAsia="Palatino Linotype" w:hAnsi="Palatino Linotype" w:cs="Palatino Linotype"/>
          <w:color w:val="000000" w:themeColor="text1"/>
        </w:rPr>
        <w:t>Así, dichas deducciones reflejan el destino que un servidor público da a su patrimonio, lo que se aleja de la transparencia y rendición de cuentas.</w:t>
      </w:r>
    </w:p>
    <w:p w:rsidR="00B10B03" w:rsidRPr="003766AF" w:rsidRDefault="00575144" w:rsidP="00575144">
      <w:pPr>
        <w:pStyle w:val="Ttulo3"/>
        <w:numPr>
          <w:ilvl w:val="0"/>
          <w:numId w:val="9"/>
        </w:numPr>
        <w:ind w:left="0" w:firstLine="0"/>
        <w:rPr>
          <w:rFonts w:ascii="Palatino Linotype" w:eastAsia="Palatino Linotype" w:hAnsi="Palatino Linotype" w:cs="Palatino Linotype"/>
          <w:b/>
          <w:color w:val="000000" w:themeColor="text1"/>
        </w:rPr>
      </w:pPr>
      <w:r w:rsidRPr="003766AF">
        <w:rPr>
          <w:rFonts w:ascii="Palatino Linotype" w:eastAsia="Palatino Linotype" w:hAnsi="Palatino Linotype" w:cs="Palatino Linotype"/>
          <w:b/>
          <w:color w:val="000000" w:themeColor="text1"/>
        </w:rPr>
        <w:lastRenderedPageBreak/>
        <w:t>CÓDIGO QR</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En principio, resulta necesario señalar que los comprobantes fiscales digitales por Internet, deben de incluir un código bidimensional conforme al formato </w:t>
      </w:r>
      <w:r w:rsidRPr="003766AF">
        <w:rPr>
          <w:rFonts w:ascii="Palatino Linotype" w:eastAsia="Palatino Linotype" w:hAnsi="Palatino Linotype" w:cs="Palatino Linotype"/>
          <w:i/>
          <w:color w:val="000000" w:themeColor="text1"/>
        </w:rPr>
        <w:t>QR Code (Quick Response Code)</w:t>
      </w:r>
      <w:r w:rsidRPr="003766AF">
        <w:rPr>
          <w:rFonts w:ascii="Palatino Linotype" w:eastAsia="Palatino Linotype" w:hAnsi="Palatino Linotype" w:cs="Palatino Linotype"/>
          <w:color w:val="000000" w:themeColor="text1"/>
        </w:rPr>
        <w:t xml:space="preserve">, el cual contiene el Registro Federal de Contribuyentes del receptor, del emisor, o de ambos; lo anterior, conforme al Anexo 20 de la Segunda Resolución de modificación a la Resolución Miscelánea Fiscal para el 2017, localizada en la página electrónica </w:t>
      </w:r>
      <w:hyperlink r:id="rId12">
        <w:r w:rsidRPr="003766AF">
          <w:rPr>
            <w:rFonts w:ascii="Palatino Linotype" w:eastAsia="Palatino Linotype" w:hAnsi="Palatino Linotype" w:cs="Palatino Linotype"/>
            <w:color w:val="000000" w:themeColor="text1"/>
            <w:u w:val="single"/>
          </w:rPr>
          <w:t>http://dof.gob.mx/nota_detalle.php?codigo=5492254&amp;fecha=28/07/2017</w:t>
        </w:r>
      </w:hyperlink>
      <w:r w:rsidRPr="003766AF">
        <w:rPr>
          <w:rFonts w:ascii="Palatino Linotype" w:eastAsia="Palatino Linotype" w:hAnsi="Palatino Linotype" w:cs="Palatino Linotype"/>
          <w:color w:val="000000" w:themeColor="text1"/>
        </w:rPr>
        <w:t>. Incluso con la captura de dicho código, a través de la aplicación móvil del Servicio de Administración Tributaria, permite el acceso al Registro Federal de Contribuyentes, como del Sujeto Obligado, como de los servidores públicos.</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De tales circunstancias, se considera que dicho dato actualiza la causal de clasificación prevista en el artículo 143, fracción I de la Ley de la materia, toda vez que da acceso al Registro Federal de Contribuyentes de los servidores públicos del Sujeto Obligado, datos que tal como se señaló previamente, son clasificados.</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Hasta este punto, se considera que la información relacionada con los siguientes puntos actualiza una causal de confidencialidad, toda vez que identifica o hace identificable a su titular.</w:t>
      </w:r>
    </w:p>
    <w:p w:rsidR="00B10B03" w:rsidRPr="003766AF" w:rsidRDefault="00575144" w:rsidP="00575144">
      <w:pPr>
        <w:numPr>
          <w:ilvl w:val="0"/>
          <w:numId w:val="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Clave Única de Registro de Población (CURP)</w:t>
      </w:r>
    </w:p>
    <w:p w:rsidR="00B10B03" w:rsidRPr="003766AF" w:rsidRDefault="00575144" w:rsidP="00575144">
      <w:pPr>
        <w:numPr>
          <w:ilvl w:val="0"/>
          <w:numId w:val="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Clave ISSEMyM</w:t>
      </w:r>
    </w:p>
    <w:p w:rsidR="00B10B03" w:rsidRPr="003766AF" w:rsidRDefault="00575144" w:rsidP="00575144">
      <w:pPr>
        <w:numPr>
          <w:ilvl w:val="0"/>
          <w:numId w:val="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Número de empleado </w:t>
      </w:r>
      <w:r w:rsidRPr="003766AF">
        <w:rPr>
          <w:rFonts w:ascii="Palatino Linotype" w:eastAsia="Palatino Linotype" w:hAnsi="Palatino Linotype" w:cs="Palatino Linotype"/>
          <w:b/>
          <w:color w:val="000000" w:themeColor="text1"/>
        </w:rPr>
        <w:t>(sólo en el caso de que contenga datos personales o se relacione con los mismos, de lo contrario es información pública)</w:t>
      </w:r>
    </w:p>
    <w:p w:rsidR="00B10B03" w:rsidRPr="003766AF" w:rsidRDefault="00575144" w:rsidP="00575144">
      <w:pPr>
        <w:numPr>
          <w:ilvl w:val="0"/>
          <w:numId w:val="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Registro Federal de Contribuyentes (RFC)</w:t>
      </w:r>
    </w:p>
    <w:p w:rsidR="00B10B03" w:rsidRPr="003766AF" w:rsidRDefault="00575144" w:rsidP="00575144">
      <w:pPr>
        <w:numPr>
          <w:ilvl w:val="0"/>
          <w:numId w:val="8"/>
        </w:numPr>
        <w:pBdr>
          <w:top w:val="nil"/>
          <w:left w:val="nil"/>
          <w:bottom w:val="nil"/>
          <w:right w:val="nil"/>
          <w:between w:val="nil"/>
        </w:pBdr>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Deducciones personales</w:t>
      </w:r>
    </w:p>
    <w:p w:rsidR="00B10B03" w:rsidRPr="003766AF" w:rsidRDefault="00575144" w:rsidP="00575144">
      <w:pPr>
        <w:numPr>
          <w:ilvl w:val="0"/>
          <w:numId w:val="8"/>
        </w:numPr>
        <w:pBdr>
          <w:top w:val="nil"/>
          <w:left w:val="nil"/>
          <w:bottom w:val="nil"/>
          <w:right w:val="nil"/>
          <w:between w:val="nil"/>
        </w:pBdr>
        <w:ind w:left="0" w:firstLine="0"/>
        <w:jc w:val="both"/>
        <w:rPr>
          <w:rFonts w:ascii="Palatino Linotype" w:eastAsia="Palatino Linotype" w:hAnsi="Palatino Linotype" w:cs="Palatino Linotype"/>
          <w:b/>
          <w:color w:val="000000" w:themeColor="text1"/>
        </w:rPr>
      </w:pPr>
      <w:r w:rsidRPr="003766AF">
        <w:rPr>
          <w:rFonts w:ascii="Palatino Linotype" w:eastAsia="Palatino Linotype" w:hAnsi="Palatino Linotype" w:cs="Palatino Linotype"/>
          <w:b/>
          <w:color w:val="000000" w:themeColor="text1"/>
        </w:rPr>
        <w:t>Código QR</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lastRenderedPageBreak/>
        <w:t>Es decir, los datos personales enlistados constituyen datos personales confidenciales al actualizar el supuesto normativo del artículo 143, fracción I de la Ley de Transparencia y Acceso a la Información Pública del Estado de México y Municipios.</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En consecuencia, si deben ser clasificados como confidenciales y es procedente que se proporcionen a través de una versión pública que los proteja. No obstante, es necesario continuar con el análisis de la información que a dicho del Sujeto Obligado debe ser clasificada como confidencial.</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bookmarkStart w:id="11" w:name="_heading=h.44sinio" w:colFirst="0" w:colLast="0"/>
      <w:bookmarkEnd w:id="11"/>
      <w:r w:rsidRPr="003766AF">
        <w:rPr>
          <w:rFonts w:ascii="Palatino Linotype" w:eastAsia="Palatino Linotype" w:hAnsi="Palatino Linotype" w:cs="Palatino Linotype"/>
          <w:color w:val="000000" w:themeColor="text1"/>
        </w:rPr>
        <w:t>Ahora bien, siguiendo con el análisis de los datos que contienen los recibos remitidos, siguen los siguientes:</w:t>
      </w:r>
    </w:p>
    <w:p w:rsidR="00B10B03" w:rsidRPr="003766AF" w:rsidRDefault="00575144" w:rsidP="00575144">
      <w:pPr>
        <w:pStyle w:val="Ttulo3"/>
        <w:numPr>
          <w:ilvl w:val="0"/>
          <w:numId w:val="10"/>
        </w:numPr>
        <w:spacing w:line="360" w:lineRule="auto"/>
        <w:ind w:left="0" w:firstLine="0"/>
        <w:jc w:val="both"/>
        <w:rPr>
          <w:rFonts w:ascii="Palatino Linotype" w:eastAsia="Palatino Linotype" w:hAnsi="Palatino Linotype" w:cs="Palatino Linotype"/>
          <w:b/>
          <w:color w:val="000000" w:themeColor="text1"/>
        </w:rPr>
      </w:pPr>
      <w:r w:rsidRPr="003766AF">
        <w:rPr>
          <w:rFonts w:ascii="Palatino Linotype" w:eastAsia="Palatino Linotype" w:hAnsi="Palatino Linotype" w:cs="Palatino Linotype"/>
          <w:color w:val="000000" w:themeColor="text1"/>
        </w:rPr>
        <w:t>Sellos digitales del emisor y del Servicio de Administración Tributaria y cadena original del complemento de certificación digital del órgano previamente señalado; así como folio fiscal. (PUBLICOS)</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Cuando, de la secuencia de números y letras, no se advierta un Registro Federal de Contribuyentes o una Clave Única de Registro de Población, que pueda hacer identificable al titular del dato personal, no puede tenerse como dato personal y por ende información confidencial. Por el contrario, debe considerarse que esta información incluida en los documentos fiscales, constituyen un elemento adicional que permite a cualquier persona verificar la legitimidad del documento entregado en una solicitud de acceso a la información y, por sí solos no contienen datos personales susceptibles de clasificación, ya que no hacen identificado o identificable a su titular, pues dichos datos sólo son de utilidad de manera directa a la Secretaría de Hacienda y Crédito Público y si bien, dichas cadenas sí derivan de la información personal de los contribuyentes, esta se encuentra encriptada como se verá a continuación.</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lastRenderedPageBreak/>
        <w:t>Las cadenas originales y sellos que se agregan a las facturas</w:t>
      </w:r>
      <w:r w:rsidRPr="003766AF">
        <w:rPr>
          <w:rFonts w:ascii="Palatino Linotype" w:eastAsia="Palatino Linotype" w:hAnsi="Palatino Linotype" w:cs="Palatino Linotype"/>
          <w:b/>
          <w:color w:val="000000" w:themeColor="text1"/>
        </w:rPr>
        <w:t>,</w:t>
      </w:r>
      <w:r w:rsidRPr="003766AF">
        <w:rPr>
          <w:rFonts w:ascii="Palatino Linotype" w:eastAsia="Palatino Linotype" w:hAnsi="Palatino Linotype" w:cs="Palatino Linotype"/>
          <w:color w:val="000000" w:themeColor="text1"/>
        </w:rPr>
        <w:t xml:space="preserve"> tienen una secuencia de generación, determinados con base en el ANEXO 20 de la Segunda Resolución de modificaciones a la Resolución Miscelánea Fiscal para dos mil diecisiete, publicada en el Diario Oficial de la Federación el dieciocho de julio de dos mil diecisiete, que precisa los datos de los que se componen los elementos de seguridad y se puntualiza que dicha información está encriptada.</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“Elementos utilizados en la generación de Sellos Digitales:</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•Cadena Original, el elemento a sellar, en este caso de un comprobante fiscal digital a través de Internet.</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•Certificado de Sello Digital y su correspondiente clave privada.</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•Algoritmos de criptografía de clave pública para firma electrónica avanzada.</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•Especificaciones de conversión de la firma electrónica avanzada a Base 64.</w:t>
      </w:r>
    </w:p>
    <w:p w:rsidR="00B10B03" w:rsidRPr="003766AF" w:rsidRDefault="00575144" w:rsidP="00575144">
      <w:pP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Para la generación de sellos digitales se utiliza criptografía de clave pública aplicada a una cadena original.</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Criptografía de la Clave Pública</w:t>
      </w:r>
    </w:p>
    <w:p w:rsidR="00B10B03"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La criptografía de Clave Pública se basa en la generación de una pareja de números muy grandes relacionados íntimamente entre sí, de tal manera que una operación de encripción sobre un mensaje tomando como clave de encripción a uno de los dos números, produce un mensaje alterado en su significado que solo puede ser devuelto a su estado original mediante la operación de desencripción correspondiente tomando como clave de desencripción al otro número de la pareja.”</w:t>
      </w:r>
    </w:p>
    <w:p w:rsidR="00F2587E" w:rsidRPr="003766AF" w:rsidRDefault="00F2587E" w:rsidP="00575144">
      <w:pPr>
        <w:pBdr>
          <w:top w:val="nil"/>
          <w:left w:val="nil"/>
          <w:bottom w:val="nil"/>
          <w:right w:val="nil"/>
          <w:between w:val="nil"/>
        </w:pBdr>
        <w:jc w:val="both"/>
        <w:rPr>
          <w:rFonts w:ascii="Palatino Linotype" w:eastAsia="Palatino Linotype" w:hAnsi="Palatino Linotype" w:cs="Palatino Linotype"/>
          <w:i/>
          <w:color w:val="000000" w:themeColor="text1"/>
        </w:rPr>
      </w:pP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Es decir, por sí solos las cadenas originales y los sellos originales no contienen datos personales confidenciales, por lo que se considera que no actualizan en supuesto de confidencialidad previsto en el artículo 143, fracción I, de la Ley de Transparencia y Acceso a la Información Pública del Estado de México y Municipios y, por el contrario, son información que permite corroborar la legitimidad de la factura, de ser el caso, por lo que guardan el carácter de público.</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Por otra parte, por lo que hace Folio Fiscal, cabe precisar que conforme al ANEXO 20 de la Segunda Resolución de modificaciones a la Resolución Miscelánea Fiscal para dos mil </w:t>
      </w:r>
      <w:r w:rsidRPr="003766AF">
        <w:rPr>
          <w:rFonts w:ascii="Palatino Linotype" w:eastAsia="Palatino Linotype" w:hAnsi="Palatino Linotype" w:cs="Palatino Linotype"/>
          <w:color w:val="000000" w:themeColor="text1"/>
        </w:rPr>
        <w:lastRenderedPageBreak/>
        <w:t>diecisiete, el folio fiscal se conforma de treinta seis caracteres alfanuméricos; además, que conforme al documento denominado “Cómo ubicar el Folio Fiscal en una factura”, el dato se ubica dentro de los datos del emisor o en el recuadro de los datos de identificación del comprobante fiscal. Es un número consecutivo contenido en los comprobantes fiscales digitales, compuesto por 5 grupos de números y letras separados por guiones, tal como se muestra a continuación:</w:t>
      </w:r>
    </w:p>
    <w:p w:rsidR="00B10B03" w:rsidRPr="003766AF" w:rsidRDefault="00575144" w:rsidP="00575144">
      <w:pPr>
        <w:shd w:val="clear" w:color="auto" w:fill="FFFFFF"/>
        <w:spacing w:before="240" w:after="240" w:line="360" w:lineRule="auto"/>
        <w:jc w:val="center"/>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noProof/>
          <w:color w:val="000000" w:themeColor="text1"/>
        </w:rPr>
        <w:drawing>
          <wp:inline distT="0" distB="0" distL="0" distR="0">
            <wp:extent cx="4237117" cy="257994"/>
            <wp:effectExtent l="0" t="0" r="0" b="0"/>
            <wp:docPr id="69" name="image3.png"/>
            <wp:cNvGraphicFramePr/>
            <a:graphic xmlns:a="http://schemas.openxmlformats.org/drawingml/2006/main">
              <a:graphicData uri="http://schemas.openxmlformats.org/drawingml/2006/picture">
                <pic:pic xmlns:pic="http://schemas.openxmlformats.org/drawingml/2006/picture">
                  <pic:nvPicPr>
                    <pic:cNvPr id="0" name="image3.png"/>
                    <pic:cNvPicPr preferRelativeResize="0"/>
                  </pic:nvPicPr>
                  <pic:blipFill>
                    <a:blip r:embed="rId13"/>
                    <a:srcRect t="40505" r="32587" b="47480"/>
                    <a:stretch>
                      <a:fillRect/>
                    </a:stretch>
                  </pic:blipFill>
                  <pic:spPr>
                    <a:xfrm>
                      <a:off x="0" y="0"/>
                      <a:ext cx="4237117" cy="257994"/>
                    </a:xfrm>
                    <a:prstGeom prst="rect">
                      <a:avLst/>
                    </a:prstGeom>
                    <a:ln/>
                  </pic:spPr>
                </pic:pic>
              </a:graphicData>
            </a:graphic>
          </wp:inline>
        </w:drawing>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En ese contexto, de la misma manera que en los casos previamente analizados, el folio fiscal, no contiene datos personales del emisor y tampoco se puede obtener información confidencial con el mismo, pues solamente es un identificador del emisor, del cual su transparencia ayuda a legitimar que el documento cumple con todos los requisitos establecidos en la normatividad aplicable, sin necesidad algún dato personal, por lo que, tampoco actualiza la clasificación, en términos del artículo 143, fracción I de la Ley de la materia.</w:t>
      </w:r>
    </w:p>
    <w:p w:rsidR="00B10B03"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De lo anteriormente transcrito, se aprecia que la versión pública que remitió el Sujeto Obligado resulta excesiva, pues se pretende clasificar información que es de carácter pública, tal como las deducciones, total de deducciones, otros pagos, así como sellos y cadenas digitales. Además, de que la información que se proporcione en la atención de las solicitudes debe ser la más actualizada, es decir, la solicitud de acceso a la información corresponde al veintinueve (29) de mayo de dos mil veintitrés, por lo que, en un correcto actuar, el Sujeto Obligado debió proporcionar la información relativa a la primera quince del mes de mayo, situación que no ocurrió, en consecuencia, se ORDENA entregar esta última en una correcta versión pública.</w:t>
      </w:r>
    </w:p>
    <w:p w:rsidR="00B10B03" w:rsidRPr="003766AF" w:rsidRDefault="00575144" w:rsidP="00575144">
      <w:pPr>
        <w:numPr>
          <w:ilvl w:val="0"/>
          <w:numId w:val="11"/>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766AF">
        <w:rPr>
          <w:rFonts w:ascii="Palatino Linotype" w:eastAsia="Palatino Linotype" w:hAnsi="Palatino Linotype" w:cs="Palatino Linotype"/>
          <w:b/>
          <w:color w:val="000000" w:themeColor="text1"/>
        </w:rPr>
        <w:lastRenderedPageBreak/>
        <w:t>Deducciones que no son personales.</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La Ley del Trabajo de los Servidores Públicos del Estado y Municipios</w:t>
      </w:r>
      <w:r w:rsidRPr="003766AF">
        <w:rPr>
          <w:rFonts w:ascii="Palatino Linotype" w:eastAsia="Palatino Linotype" w:hAnsi="Palatino Linotype" w:cs="Palatino Linotype"/>
          <w:color w:val="000000" w:themeColor="text1"/>
          <w:vertAlign w:val="superscript"/>
        </w:rPr>
        <w:footnoteReference w:id="9"/>
      </w:r>
      <w:r w:rsidRPr="003766AF">
        <w:rPr>
          <w:rFonts w:ascii="Palatino Linotype" w:eastAsia="Palatino Linotype" w:hAnsi="Palatino Linotype" w:cs="Palatino Linotype"/>
          <w:color w:val="000000" w:themeColor="text1"/>
        </w:rPr>
        <w:t xml:space="preserve"> en el artículo 84 establece lo siguiente:</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 xml:space="preserve">ARTÍCULO 84. Sólo podrán hacerse retenciones, descuentos o deducciones al sueldo de los servidores públicos por concepto de: </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3766AF">
        <w:rPr>
          <w:rFonts w:ascii="Palatino Linotype" w:eastAsia="Palatino Linotype" w:hAnsi="Palatino Linotype" w:cs="Palatino Linotype"/>
          <w:b/>
          <w:i/>
          <w:color w:val="000000" w:themeColor="text1"/>
        </w:rPr>
        <w:t>I. Gravámenes fiscales relacionados con el sueldo;</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 xml:space="preserve">II. Deudas contraídas con las instituciones públicas o dependencias por concepto de anticipos de sueldo, pagos hechos con exceso, errores o pérdidas debidamente comprobados; </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 xml:space="preserve">III. Cuotas sindicales; </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3766AF">
        <w:rPr>
          <w:rFonts w:ascii="Palatino Linotype" w:eastAsia="Palatino Linotype" w:hAnsi="Palatino Linotype" w:cs="Palatino Linotype"/>
          <w:b/>
          <w:i/>
          <w:color w:val="000000" w:themeColor="text1"/>
        </w:rPr>
        <w:t xml:space="preserve">IV. Cuotas de aportación a fondos para la constitución de cooperativas y de cajas de ahorro, siempre que el servidor público hubiese manifestado previamente, de manera expresa, su conformidad; </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b/>
          <w:i/>
          <w:color w:val="000000" w:themeColor="text1"/>
        </w:rPr>
      </w:pPr>
      <w:r w:rsidRPr="003766AF">
        <w:rPr>
          <w:rFonts w:ascii="Palatino Linotype" w:eastAsia="Palatino Linotype" w:hAnsi="Palatino Linotype" w:cs="Palatino Linotype"/>
          <w:b/>
          <w:i/>
          <w:color w:val="000000" w:themeColor="text1"/>
        </w:rPr>
        <w:t xml:space="preserve">V. Descuentos ordenados por el Instituto de Seguridad Social del Estado de México y Municipios, con motivo de cuotas y obligaciones contraídas con éste por los servidores públicos; </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 xml:space="preserve">VI. Obligaciones a cargo del servidor público con las que haya consentido, derivadas de la adquisición o del uso de habitaciones consideradas como de interés social; </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 xml:space="preserve">VII. Faltas de puntualidad o de asistencia injustificadas; </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 xml:space="preserve">VIII. Pensiones alimenticias ordenadas por la autoridad judicial; o </w:t>
      </w:r>
    </w:p>
    <w:p w:rsidR="00B10B03" w:rsidRDefault="00575144" w:rsidP="00575144">
      <w:pPr>
        <w:pBdr>
          <w:top w:val="nil"/>
          <w:left w:val="nil"/>
          <w:bottom w:val="nil"/>
          <w:right w:val="nil"/>
          <w:between w:val="nil"/>
        </w:pBdr>
        <w:jc w:val="both"/>
        <w:rPr>
          <w:rFonts w:ascii="Palatino Linotype" w:eastAsia="Palatino Linotype" w:hAnsi="Palatino Linotype" w:cs="Palatino Linotype"/>
          <w:i/>
          <w:color w:val="000000" w:themeColor="text1"/>
        </w:rPr>
      </w:pPr>
      <w:r w:rsidRPr="003766AF">
        <w:rPr>
          <w:rFonts w:ascii="Palatino Linotype" w:eastAsia="Palatino Linotype" w:hAnsi="Palatino Linotype" w:cs="Palatino Linotype"/>
          <w:i/>
          <w:color w:val="000000" w:themeColor="text1"/>
        </w:rPr>
        <w:t>IX. Cualquier otro convenido con instituciones de servicios y aceptado por el servidor público.</w:t>
      </w:r>
    </w:p>
    <w:p w:rsidR="006A3627" w:rsidRPr="003766AF" w:rsidRDefault="006A3627" w:rsidP="00575144">
      <w:pPr>
        <w:pBdr>
          <w:top w:val="nil"/>
          <w:left w:val="nil"/>
          <w:bottom w:val="nil"/>
          <w:right w:val="nil"/>
          <w:between w:val="nil"/>
        </w:pBdr>
        <w:jc w:val="both"/>
        <w:rPr>
          <w:rFonts w:ascii="Palatino Linotype" w:eastAsia="Palatino Linotype" w:hAnsi="Palatino Linotype" w:cs="Palatino Linotype"/>
          <w:i/>
          <w:color w:val="000000" w:themeColor="text1"/>
        </w:rPr>
      </w:pP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Dentro de las retenciones, descuentos o deducciones de sueldo se contemplan los gravámenes fiscales, Cuotas de aportación a fondos para la constitución de cooperativas y de cajas de ahorro, así como descuentos ordenados por el ISSEMyM por motivo de cuotas y obligaciones contraídas por los servidores públicos. Estos mencionados son de carácter público, toda vez que se consideran descuentos que por ley se deben realizar a los servidores </w:t>
      </w:r>
      <w:r w:rsidRPr="003766AF">
        <w:rPr>
          <w:rFonts w:ascii="Palatino Linotype" w:eastAsia="Palatino Linotype" w:hAnsi="Palatino Linotype" w:cs="Palatino Linotype"/>
          <w:color w:val="000000" w:themeColor="text1"/>
        </w:rPr>
        <w:lastRenderedPageBreak/>
        <w:t>públicos contrario a las deducciones personales que son por voluntad de cada servidor público.</w:t>
      </w:r>
    </w:p>
    <w:p w:rsidR="00B10B03" w:rsidRPr="003766AF" w:rsidRDefault="00575144" w:rsidP="00575144">
      <w:pPr>
        <w:numPr>
          <w:ilvl w:val="0"/>
          <w:numId w:val="10"/>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b/>
          <w:color w:val="000000" w:themeColor="text1"/>
        </w:rPr>
        <w:t>Seguro de Capitalización Individualizado.</w:t>
      </w: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El Sistema de Capitalización Individualizado es el mecanismo mediante el cual, un servidor público y la Institución en la que labora, acumulan recursos, adicionales a su pensión; mismo que se integra hasta por tres rubros, los cuales son los siguientes:</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w:t>
      </w:r>
      <w:r w:rsidRPr="003766AF">
        <w:rPr>
          <w:rFonts w:ascii="Palatino Linotype" w:eastAsia="Palatino Linotype" w:hAnsi="Palatino Linotype" w:cs="Palatino Linotype"/>
          <w:color w:val="000000" w:themeColor="text1"/>
        </w:rPr>
        <w:tab/>
        <w:t>Subcuenta de cuota obligatoria; que corresponde a un porcentaje del sueldo sujeto a cotización, que se descuenta al servir público de manera automática.</w:t>
      </w:r>
    </w:p>
    <w:p w:rsidR="00B10B03" w:rsidRPr="003766AF" w:rsidRDefault="00575144" w:rsidP="00575144">
      <w:pPr>
        <w:pBdr>
          <w:top w:val="nil"/>
          <w:left w:val="nil"/>
          <w:bottom w:val="nil"/>
          <w:right w:val="nil"/>
          <w:between w:val="nil"/>
        </w:pBdr>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w:t>
      </w:r>
      <w:r w:rsidRPr="003766AF">
        <w:rPr>
          <w:rFonts w:ascii="Palatino Linotype" w:eastAsia="Palatino Linotype" w:hAnsi="Palatino Linotype" w:cs="Palatino Linotype"/>
          <w:color w:val="000000" w:themeColor="text1"/>
        </w:rPr>
        <w:tab/>
        <w:t>Subcuenta de aportación obligatoria: que es la aportación que realiza la Institución a favor del servidor público, el cual equivale a un porcentaje del sueldo sujeto a cotización.</w:t>
      </w:r>
    </w:p>
    <w:p w:rsidR="00B10B03" w:rsidRDefault="00575144" w:rsidP="00575144">
      <w:pPr>
        <w:pBdr>
          <w:top w:val="nil"/>
          <w:left w:val="nil"/>
          <w:bottom w:val="nil"/>
          <w:right w:val="nil"/>
          <w:between w:val="nil"/>
        </w:pBdr>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w:t>
      </w:r>
      <w:r w:rsidRPr="003766AF">
        <w:rPr>
          <w:rFonts w:ascii="Palatino Linotype" w:eastAsia="Palatino Linotype" w:hAnsi="Palatino Linotype" w:cs="Palatino Linotype"/>
          <w:color w:val="000000" w:themeColor="text1"/>
        </w:rPr>
        <w:tab/>
        <w:t xml:space="preserve">Subcuenta voluntaria: que es la cantidad que cada servidor público decide ahorrar de acuerdo con sus aportaciones, permitiendo acumular mayores ingresos para su retiro. </w:t>
      </w:r>
    </w:p>
    <w:p w:rsidR="006A3627" w:rsidRPr="003766AF" w:rsidRDefault="006A3627" w:rsidP="00575144">
      <w:pPr>
        <w:pBdr>
          <w:top w:val="nil"/>
          <w:left w:val="nil"/>
          <w:bottom w:val="nil"/>
          <w:right w:val="nil"/>
          <w:between w:val="nil"/>
        </w:pBdr>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En razón de lo anterior, debe considerarse que la subcuenta de cuota obligatoria y subcuenta de aportación obligatoria, deben ser considerados datos de naturaleza pública, ya que su publicidad es necesaria, considerando que se trata del ejercicio de recursos públicos que se les ha asignado a las dependencias y entidades y, la publicidad de dicha información permite conocer con certeza si el monto de las aportaciones que la Institución en la que labora el servidor público, es equivalente al porcentaje del sueldo bruto mensual de los servidores públicos. Situación que se robustece, con el Criterio 05/10 emitido por el entonces Pleno del Instituto Federal de Acceso a la Información y Protección de Datos, mismo que se trae por analogía, cuyo texto y rubro es el siguiente: </w:t>
      </w:r>
    </w:p>
    <w:p w:rsidR="00B10B03" w:rsidRDefault="00575144" w:rsidP="00575144">
      <w:pPr>
        <w:pBdr>
          <w:top w:val="nil"/>
          <w:left w:val="nil"/>
          <w:bottom w:val="nil"/>
          <w:right w:val="nil"/>
          <w:between w:val="nil"/>
        </w:pBdr>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i/>
          <w:color w:val="000000" w:themeColor="text1"/>
        </w:rPr>
        <w:t xml:space="preserve">“Naturaleza de la información relativa a los montos aportados al Seguro de Separación Individualizado. De conformidad con la normatividad aplicable, las aportaciones relativas al Seguro de Separación Individualizado pueden ser divididas en tres grupos: las realizadas por las dependencias y entidades de la Administración Pública Federal; las que realizan los servidores públicos a través de las retenciones </w:t>
      </w:r>
      <w:r w:rsidRPr="003766AF">
        <w:rPr>
          <w:rFonts w:ascii="Palatino Linotype" w:eastAsia="Palatino Linotype" w:hAnsi="Palatino Linotype" w:cs="Palatino Linotype"/>
          <w:i/>
          <w:color w:val="000000" w:themeColor="text1"/>
        </w:rPr>
        <w:lastRenderedPageBreak/>
        <w:t>que efectúa la dependencia o entidad vía nómina; y las aportaciones adicionales extraordinarias que realizan los servidores públicos. En términos de lo que establecen los artículos 7, fracción IV y 12 de la Ley Federal de Transparencia y Acceso a la Información Pública Gubernamental, en relación con el artículo 14 de su Reglamento, se considera que la información del primer y segundo grupo es de carácter público. Respecto del primer monto, se debe señalar que se trata de la entrega de recursos públicos adicionales a aquellos que corresponden al sueldo bruto mensual integrado, es decir, se trata de una prestación que se obtiene a partir de una partida presupuestal distinta a la que corresponde al sueldo de dichos trabajadores. Respecto del segundo monto, esto es, la parte que aportan los servidores públicos, es de señalarse que, aún cuando se refiere a una decisión personal sobre su patrimonio, su publicidad es necesaria para determinar si las dependencias y entidades correspondientes han manejado los recursos públicos federales que les son asignados de conformidad con las disposiciones legales aplicables; esto es, la publicidad de dicha información permite conocer con certeza si el monto de las aportaciones que el gobierno federal destina al pago de la prima del Seguro de Separación Individualizado es equivalente al porcentaje del sueldo bruto mensual integrado que los servidores públicos aportan al referido seguro. En relación con el tercer grupo, cabe destacar que se trata de aportaciones adicionales extraordinarias, respecto de las cuales las dependencias y entidades no aportan pago alguno; por lo tanto, se trata de decisiones personales sobre el uso y destino que los servidores públicos desean dar a su patrimonio, información que de conformidad con los artículos 3, fracción II y 18, fracción II de la Ley Federal de Transparencia y Acceso a la Información Pública Gubernamental, debe clasificarse como confidencial.”</w:t>
      </w:r>
      <w:r w:rsidRPr="003766AF">
        <w:rPr>
          <w:rFonts w:ascii="Palatino Linotype" w:eastAsia="Palatino Linotype" w:hAnsi="Palatino Linotype" w:cs="Palatino Linotype"/>
          <w:color w:val="000000" w:themeColor="text1"/>
        </w:rPr>
        <w:t xml:space="preserve"> </w:t>
      </w:r>
    </w:p>
    <w:p w:rsidR="006A3627" w:rsidRPr="003766AF" w:rsidRDefault="006A3627" w:rsidP="00575144">
      <w:pPr>
        <w:pBdr>
          <w:top w:val="nil"/>
          <w:left w:val="nil"/>
          <w:bottom w:val="nil"/>
          <w:right w:val="nil"/>
          <w:between w:val="nil"/>
        </w:pBdr>
        <w:jc w:val="both"/>
        <w:rPr>
          <w:rFonts w:ascii="Palatino Linotype" w:eastAsia="Palatino Linotype" w:hAnsi="Palatino Linotype" w:cs="Palatino Linotype"/>
          <w:i/>
          <w:color w:val="000000" w:themeColor="text1"/>
        </w:rPr>
      </w:pPr>
    </w:p>
    <w:p w:rsidR="00B10B03" w:rsidRPr="003766AF" w:rsidRDefault="00575144" w:rsidP="00575144">
      <w:pPr>
        <w:numPr>
          <w:ilvl w:val="0"/>
          <w:numId w:val="1"/>
        </w:numPr>
        <w:shd w:val="clear" w:color="auto" w:fill="FFFFFF"/>
        <w:spacing w:before="240" w:after="240"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 xml:space="preserve">En suma, debe considerarse que la naturaleza de la subcuenta de cuota obligatoria y de la subcuenta de aportación obligatoria, son datos de naturaleza pública y por ende no procede su clasificación en términos del artículo 143, fracción I de la Ley de Transparencia y Acceso a la Información Pública del Estado de México y Municipios. </w:t>
      </w:r>
    </w:p>
    <w:p w:rsidR="00B10B03" w:rsidRPr="003766AF" w:rsidRDefault="00575144" w:rsidP="00575144">
      <w:pPr>
        <w:numPr>
          <w:ilvl w:val="0"/>
          <w:numId w:val="1"/>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color w:val="000000" w:themeColor="text1"/>
        </w:rPr>
        <w:t>Si el servidor público incumple con estas formalidades y entrega la información sin proteger los datos personales incumple con lo que estipula las disposiciones legales establecidas; asimismo que si entrega un documento testado sin el debido acuerdo de clasificación.</w:t>
      </w:r>
    </w:p>
    <w:p w:rsidR="00B10B03" w:rsidRPr="003766AF" w:rsidRDefault="00B10B03" w:rsidP="00575144">
      <w:pPr>
        <w:jc w:val="both"/>
        <w:rPr>
          <w:rFonts w:ascii="Palatino Linotype" w:eastAsia="Palatino Linotype" w:hAnsi="Palatino Linotype" w:cs="Palatino Linotype"/>
          <w:color w:val="000000" w:themeColor="text1"/>
        </w:rPr>
      </w:pPr>
    </w:p>
    <w:p w:rsidR="00B10B03" w:rsidRPr="003766AF" w:rsidRDefault="00575144" w:rsidP="00575144">
      <w:pPr>
        <w:numPr>
          <w:ilvl w:val="0"/>
          <w:numId w:val="1"/>
        </w:numPr>
        <w:spacing w:line="360" w:lineRule="auto"/>
        <w:ind w:left="0" w:firstLine="0"/>
        <w:jc w:val="both"/>
        <w:rPr>
          <w:rFonts w:ascii="Palatino Linotype" w:eastAsia="Palatino Linotype" w:hAnsi="Palatino Linotype" w:cs="Palatino Linotype"/>
          <w:color w:val="000000" w:themeColor="text1"/>
        </w:rPr>
      </w:pPr>
      <w:bookmarkStart w:id="12" w:name="_heading=h.3rdcrjn" w:colFirst="0" w:colLast="0"/>
      <w:bookmarkEnd w:id="12"/>
      <w:r w:rsidRPr="003766AF">
        <w:rPr>
          <w:rFonts w:ascii="Palatino Linotype" w:eastAsia="Palatino Linotype" w:hAnsi="Palatino Linotype" w:cs="Palatino Linotype"/>
          <w:color w:val="000000" w:themeColor="text1"/>
        </w:rPr>
        <w:t xml:space="preserve">Por lo anteriormente expuesto y fundado, este </w:t>
      </w:r>
      <w:r w:rsidRPr="003766AF">
        <w:rPr>
          <w:rFonts w:ascii="Palatino Linotype" w:eastAsia="Palatino Linotype" w:hAnsi="Palatino Linotype" w:cs="Palatino Linotype"/>
          <w:b/>
          <w:color w:val="000000" w:themeColor="text1"/>
        </w:rPr>
        <w:t>ÓRGANO GARANTE</w:t>
      </w:r>
      <w:r w:rsidRPr="003766AF">
        <w:rPr>
          <w:rFonts w:ascii="Palatino Linotype" w:eastAsia="Palatino Linotype" w:hAnsi="Palatino Linotype" w:cs="Palatino Linotype"/>
          <w:color w:val="000000" w:themeColor="text1"/>
        </w:rPr>
        <w:t xml:space="preserve"> emite los siguientes:</w:t>
      </w:r>
      <w:r w:rsidR="006A3627">
        <w:rPr>
          <w:rFonts w:ascii="Palatino Linotype" w:eastAsia="Palatino Linotype" w:hAnsi="Palatino Linotype" w:cs="Palatino Linotype"/>
          <w:color w:val="000000" w:themeColor="text1"/>
        </w:rPr>
        <w:t xml:space="preserve"> -------------------------------------------------------------------------------------------------------------</w:t>
      </w:r>
    </w:p>
    <w:p w:rsidR="00B10B03" w:rsidRPr="003766AF" w:rsidRDefault="00575144" w:rsidP="00575144">
      <w:pPr>
        <w:keepNext/>
        <w:keepLines/>
        <w:spacing w:line="360" w:lineRule="auto"/>
        <w:jc w:val="center"/>
        <w:rPr>
          <w:rFonts w:ascii="Palatino Linotype" w:eastAsia="Palatino Linotype" w:hAnsi="Palatino Linotype" w:cs="Palatino Linotype"/>
          <w:b/>
          <w:color w:val="000000" w:themeColor="text1"/>
        </w:rPr>
      </w:pPr>
      <w:r w:rsidRPr="003766AF">
        <w:rPr>
          <w:rFonts w:ascii="Palatino Linotype" w:eastAsia="Palatino Linotype" w:hAnsi="Palatino Linotype" w:cs="Palatino Linotype"/>
          <w:b/>
          <w:color w:val="000000" w:themeColor="text1"/>
        </w:rPr>
        <w:lastRenderedPageBreak/>
        <w:t>R E S O L U T I V O S</w:t>
      </w:r>
    </w:p>
    <w:p w:rsidR="00B10B03" w:rsidRPr="003766AF" w:rsidRDefault="00B10B03" w:rsidP="00575144">
      <w:pPr>
        <w:keepNext/>
        <w:keepLines/>
        <w:spacing w:line="360" w:lineRule="auto"/>
        <w:jc w:val="center"/>
        <w:rPr>
          <w:rFonts w:ascii="Palatino Linotype" w:eastAsia="Palatino Linotype" w:hAnsi="Palatino Linotype" w:cs="Palatino Linotype"/>
          <w:b/>
          <w:color w:val="000000" w:themeColor="text1"/>
        </w:rPr>
      </w:pPr>
    </w:p>
    <w:p w:rsidR="00B10B03" w:rsidRPr="003766AF" w:rsidRDefault="00575144" w:rsidP="00575144">
      <w:pPr>
        <w:spacing w:line="360" w:lineRule="auto"/>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b/>
          <w:color w:val="000000" w:themeColor="text1"/>
        </w:rPr>
        <w:t xml:space="preserve">PRIMERO. </w:t>
      </w:r>
      <w:r w:rsidRPr="003766AF">
        <w:rPr>
          <w:rFonts w:ascii="Palatino Linotype" w:eastAsia="Palatino Linotype" w:hAnsi="Palatino Linotype" w:cs="Palatino Linotype"/>
          <w:color w:val="000000" w:themeColor="text1"/>
        </w:rPr>
        <w:t>Resultan parcialmente fundadas las</w:t>
      </w:r>
      <w:r w:rsidRPr="003766AF">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color w:val="000000" w:themeColor="text1"/>
        </w:rPr>
        <w:t xml:space="preserve">razones o motivos de inconformidad hechos valer en el recurso de revisión </w:t>
      </w:r>
      <w:r w:rsidR="000A5EF3" w:rsidRPr="003766AF">
        <w:rPr>
          <w:rFonts w:ascii="Palatino Linotype" w:eastAsia="Palatino Linotype" w:hAnsi="Palatino Linotype" w:cs="Palatino Linotype"/>
          <w:color w:val="000000" w:themeColor="text1"/>
        </w:rPr>
        <w:t>0</w:t>
      </w:r>
      <w:r w:rsidRPr="003766AF">
        <w:rPr>
          <w:rFonts w:ascii="Palatino Linotype" w:eastAsia="Palatino Linotype" w:hAnsi="Palatino Linotype" w:cs="Palatino Linotype"/>
          <w:b/>
          <w:color w:val="000000" w:themeColor="text1"/>
        </w:rPr>
        <w:t xml:space="preserve">7368/INFOEM/IP/RR/2025, </w:t>
      </w:r>
      <w:r w:rsidRPr="003766AF">
        <w:rPr>
          <w:rFonts w:ascii="Palatino Linotype" w:eastAsia="Palatino Linotype" w:hAnsi="Palatino Linotype" w:cs="Palatino Linotype"/>
          <w:color w:val="000000" w:themeColor="text1"/>
        </w:rPr>
        <w:t xml:space="preserve">en términos del </w:t>
      </w:r>
      <w:r w:rsidRPr="003766AF">
        <w:rPr>
          <w:rFonts w:ascii="Palatino Linotype" w:eastAsia="Palatino Linotype" w:hAnsi="Palatino Linotype" w:cs="Palatino Linotype"/>
          <w:b/>
          <w:color w:val="000000" w:themeColor="text1"/>
        </w:rPr>
        <w:t>Considerando</w:t>
      </w:r>
      <w:r w:rsidRPr="003766AF">
        <w:rPr>
          <w:rFonts w:ascii="Palatino Linotype" w:eastAsia="Palatino Linotype" w:hAnsi="Palatino Linotype" w:cs="Palatino Linotype"/>
          <w:color w:val="000000" w:themeColor="text1"/>
        </w:rPr>
        <w:t xml:space="preserve"> </w:t>
      </w:r>
      <w:r w:rsidRPr="003766AF">
        <w:rPr>
          <w:rFonts w:ascii="Palatino Linotype" w:eastAsia="Palatino Linotype" w:hAnsi="Palatino Linotype" w:cs="Palatino Linotype"/>
          <w:b/>
          <w:color w:val="000000" w:themeColor="text1"/>
        </w:rPr>
        <w:t xml:space="preserve">CUARTO y QUINTO  </w:t>
      </w:r>
      <w:r w:rsidRPr="003766AF">
        <w:rPr>
          <w:rFonts w:ascii="Palatino Linotype" w:eastAsia="Palatino Linotype" w:hAnsi="Palatino Linotype" w:cs="Palatino Linotype"/>
          <w:color w:val="000000" w:themeColor="text1"/>
        </w:rPr>
        <w:t>de la presente resolución.</w:t>
      </w:r>
    </w:p>
    <w:p w:rsidR="00B10B03" w:rsidRPr="003766AF" w:rsidRDefault="00B10B03" w:rsidP="00575144">
      <w:pP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spacing w:line="360" w:lineRule="auto"/>
        <w:jc w:val="both"/>
        <w:rPr>
          <w:rFonts w:ascii="Palatino Linotype" w:eastAsia="Palatino Linotype" w:hAnsi="Palatino Linotype" w:cs="Palatino Linotype"/>
          <w:color w:val="000000" w:themeColor="text1"/>
        </w:rPr>
      </w:pPr>
      <w:bookmarkStart w:id="13" w:name="_heading=h.ugrhesnporkr" w:colFirst="0" w:colLast="0"/>
      <w:bookmarkEnd w:id="13"/>
      <w:r w:rsidRPr="003766AF">
        <w:rPr>
          <w:rFonts w:ascii="Palatino Linotype" w:eastAsia="Palatino Linotype" w:hAnsi="Palatino Linotype" w:cs="Palatino Linotype"/>
          <w:b/>
          <w:color w:val="000000" w:themeColor="text1"/>
        </w:rPr>
        <w:t>SEGUNDO.</w:t>
      </w:r>
      <w:r w:rsidRPr="003766AF">
        <w:rPr>
          <w:rFonts w:ascii="Palatino Linotype" w:eastAsia="Palatino Linotype" w:hAnsi="Palatino Linotype" w:cs="Palatino Linotype"/>
          <w:color w:val="000000" w:themeColor="text1"/>
        </w:rPr>
        <w:t xml:space="preserve"> Se</w:t>
      </w:r>
      <w:r w:rsidRPr="003766AF">
        <w:rPr>
          <w:rFonts w:ascii="Palatino Linotype" w:eastAsia="Palatino Linotype" w:hAnsi="Palatino Linotype" w:cs="Palatino Linotype"/>
          <w:b/>
          <w:color w:val="000000" w:themeColor="text1"/>
        </w:rPr>
        <w:t xml:space="preserve"> MODIFICA </w:t>
      </w:r>
      <w:r w:rsidRPr="003766AF">
        <w:rPr>
          <w:rFonts w:ascii="Palatino Linotype" w:eastAsia="Palatino Linotype" w:hAnsi="Palatino Linotype" w:cs="Palatino Linotype"/>
          <w:color w:val="000000" w:themeColor="text1"/>
        </w:rPr>
        <w:t xml:space="preserve">la respuesta emitida por el </w:t>
      </w:r>
      <w:r w:rsidRPr="003766AF">
        <w:rPr>
          <w:rFonts w:ascii="Palatino Linotype" w:eastAsia="Palatino Linotype" w:hAnsi="Palatino Linotype" w:cs="Palatino Linotype"/>
          <w:b/>
          <w:color w:val="000000" w:themeColor="text1"/>
        </w:rPr>
        <w:t>Ayuntamiento de OZUMBA</w:t>
      </w:r>
      <w:r w:rsidR="000A5EF3" w:rsidRPr="003766AF">
        <w:rPr>
          <w:rFonts w:ascii="Palatino Linotype" w:eastAsia="Palatino Linotype" w:hAnsi="Palatino Linotype" w:cs="Palatino Linotype"/>
          <w:b/>
          <w:color w:val="000000" w:themeColor="text1"/>
        </w:rPr>
        <w:t xml:space="preserve"> </w:t>
      </w:r>
      <w:r w:rsidRPr="003766AF">
        <w:rPr>
          <w:rFonts w:ascii="Palatino Linotype" w:eastAsia="Palatino Linotype" w:hAnsi="Palatino Linotype" w:cs="Palatino Linotype"/>
          <w:color w:val="000000" w:themeColor="text1"/>
        </w:rPr>
        <w:t>y se</w:t>
      </w:r>
      <w:r w:rsidRPr="003766AF">
        <w:rPr>
          <w:rFonts w:ascii="Palatino Linotype" w:eastAsia="Palatino Linotype" w:hAnsi="Palatino Linotype" w:cs="Palatino Linotype"/>
          <w:b/>
          <w:color w:val="000000" w:themeColor="text1"/>
        </w:rPr>
        <w:t xml:space="preserve"> ORDENA </w:t>
      </w:r>
      <w:r w:rsidRPr="003766AF">
        <w:rPr>
          <w:rFonts w:ascii="Palatino Linotype" w:eastAsia="Palatino Linotype" w:hAnsi="Palatino Linotype" w:cs="Palatino Linotype"/>
          <w:color w:val="000000" w:themeColor="text1"/>
        </w:rPr>
        <w:t xml:space="preserve">entregar vía Sistema de Accesos a la Información Mexiquense (SAIMEX), </w:t>
      </w:r>
      <w:r w:rsidRPr="003766AF">
        <w:rPr>
          <w:rFonts w:ascii="Palatino Linotype" w:eastAsia="Palatino Linotype" w:hAnsi="Palatino Linotype" w:cs="Palatino Linotype"/>
          <w:b/>
          <w:color w:val="000000" w:themeColor="text1"/>
        </w:rPr>
        <w:t>en correcta versión pública</w:t>
      </w:r>
      <w:r w:rsidRPr="003766AF">
        <w:rPr>
          <w:rFonts w:ascii="Palatino Linotype" w:eastAsia="Palatino Linotype" w:hAnsi="Palatino Linotype" w:cs="Palatino Linotype"/>
          <w:color w:val="000000" w:themeColor="text1"/>
        </w:rPr>
        <w:t>, la siguiente información:</w:t>
      </w:r>
    </w:p>
    <w:p w:rsidR="00B10B03" w:rsidRPr="003766AF" w:rsidRDefault="00B10B03" w:rsidP="00575144">
      <w:pP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b/>
          <w:color w:val="000000" w:themeColor="text1"/>
        </w:rPr>
      </w:pPr>
      <w:r w:rsidRPr="003766AF">
        <w:rPr>
          <w:rFonts w:ascii="Palatino Linotype" w:eastAsia="Palatino Linotype" w:hAnsi="Palatino Linotype" w:cs="Palatino Linotype"/>
          <w:b/>
          <w:color w:val="000000" w:themeColor="text1"/>
        </w:rPr>
        <w:t>Recibo de Nómina de la segunda quincena de mayo de dos mil veinticinco, remitido en respuesta.</w:t>
      </w:r>
    </w:p>
    <w:p w:rsidR="00B10B03" w:rsidRPr="003766AF" w:rsidRDefault="00575144" w:rsidP="00575144">
      <w:pPr>
        <w:numPr>
          <w:ilvl w:val="0"/>
          <w:numId w:val="13"/>
        </w:numPr>
        <w:pBdr>
          <w:top w:val="nil"/>
          <w:left w:val="nil"/>
          <w:bottom w:val="nil"/>
          <w:right w:val="nil"/>
          <w:between w:val="nil"/>
        </w:pBdr>
        <w:spacing w:line="360" w:lineRule="auto"/>
        <w:ind w:left="0" w:firstLine="0"/>
        <w:jc w:val="both"/>
        <w:rPr>
          <w:rFonts w:ascii="Palatino Linotype" w:eastAsia="Palatino Linotype" w:hAnsi="Palatino Linotype" w:cs="Palatino Linotype"/>
          <w:color w:val="000000" w:themeColor="text1"/>
        </w:rPr>
      </w:pPr>
      <w:bookmarkStart w:id="14" w:name="_heading=h.6gbnnf2tw9w4" w:colFirst="0" w:colLast="0"/>
      <w:bookmarkEnd w:id="14"/>
      <w:r w:rsidRPr="003766AF">
        <w:rPr>
          <w:rFonts w:ascii="Palatino Linotype" w:eastAsia="Palatino Linotype" w:hAnsi="Palatino Linotype" w:cs="Palatino Linotype"/>
          <w:b/>
          <w:color w:val="000000" w:themeColor="text1"/>
        </w:rPr>
        <w:t>Certificado de Competencia Laboral de la Titular de la Unidad de Transparencia, remitido en Informe Justificado.</w:t>
      </w:r>
    </w:p>
    <w:p w:rsidR="00B10B03" w:rsidRPr="003766AF" w:rsidRDefault="00B10B03" w:rsidP="00575144">
      <w:pPr>
        <w:tabs>
          <w:tab w:val="left" w:pos="8080"/>
        </w:tabs>
        <w:spacing w:line="360" w:lineRule="auto"/>
        <w:jc w:val="both"/>
        <w:rPr>
          <w:rFonts w:ascii="Palatino Linotype" w:eastAsia="Palatino Linotype" w:hAnsi="Palatino Linotype" w:cs="Palatino Linotype"/>
          <w:b/>
          <w:color w:val="000000" w:themeColor="text1"/>
        </w:rPr>
      </w:pPr>
    </w:p>
    <w:p w:rsidR="00B10B03" w:rsidRPr="003766AF" w:rsidRDefault="00575144" w:rsidP="00575144">
      <w:pPr>
        <w:spacing w:line="360" w:lineRule="auto"/>
        <w:jc w:val="both"/>
        <w:rPr>
          <w:rFonts w:ascii="Palatino Linotype" w:eastAsia="Palatino Linotype" w:hAnsi="Palatino Linotype" w:cs="Palatino Linotype"/>
          <w:color w:val="000000" w:themeColor="text1"/>
        </w:rPr>
      </w:pPr>
      <w:bookmarkStart w:id="15" w:name="_heading=h.gry15slapdra" w:colFirst="0" w:colLast="0"/>
      <w:bookmarkEnd w:id="15"/>
      <w:r w:rsidRPr="003766AF">
        <w:rPr>
          <w:rFonts w:ascii="Palatino Linotype" w:eastAsia="Palatino Linotype" w:hAnsi="Palatino Linotype" w:cs="Palatino Linotype"/>
          <w:color w:val="000000" w:themeColor="text1"/>
        </w:rPr>
        <w:t>Para efectos de lo anterior se deberá emitir el Acuerdo del Comité de Transparencia en términos de los artículos 49 fracción VIII y 132 fracción II de la Ley de Transparencia y Acceso a la Información Pública del Estado de México y Municipios, en el que funde y motive las razones sobre los datos que se supriman o eliminen dentro del soporte documental respectivo objeto de las versiones públicas que se formulen y se ponga a disposición de la parte recurrente.</w:t>
      </w:r>
    </w:p>
    <w:p w:rsidR="00B10B03" w:rsidRPr="003766AF" w:rsidRDefault="00B10B03" w:rsidP="00575144">
      <w:pPr>
        <w:tabs>
          <w:tab w:val="left" w:pos="8080"/>
        </w:tabs>
        <w:spacing w:line="360" w:lineRule="auto"/>
        <w:jc w:val="both"/>
        <w:rPr>
          <w:rFonts w:ascii="Palatino Linotype" w:eastAsia="Palatino Linotype" w:hAnsi="Palatino Linotype" w:cs="Palatino Linotype"/>
          <w:b/>
          <w:color w:val="000000" w:themeColor="text1"/>
        </w:rPr>
      </w:pPr>
    </w:p>
    <w:p w:rsidR="00B10B03" w:rsidRPr="003766AF" w:rsidRDefault="00575144" w:rsidP="00575144">
      <w:pPr>
        <w:tabs>
          <w:tab w:val="left" w:pos="8080"/>
        </w:tabs>
        <w:spacing w:line="360" w:lineRule="auto"/>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b/>
          <w:color w:val="000000" w:themeColor="text1"/>
        </w:rPr>
        <w:t xml:space="preserve">TERCERO. Notifíquese </w:t>
      </w:r>
      <w:r w:rsidRPr="003766AF">
        <w:rPr>
          <w:rFonts w:ascii="Palatino Linotype" w:eastAsia="Palatino Linotype" w:hAnsi="Palatino Linotype" w:cs="Palatino Linotype"/>
          <w:color w:val="000000" w:themeColor="text1"/>
        </w:rPr>
        <w:t xml:space="preserve">vía SAIMEX la presente resolución al Titular de la Unidad de Transparencia del Sujeto Obligado, para que conforme al artículo 186 último párrafo, 189 segundo párrafo y 194 de la Ley de Transparencia y Acceso a la Información Pública del Estado </w:t>
      </w:r>
      <w:r w:rsidRPr="003766AF">
        <w:rPr>
          <w:rFonts w:ascii="Palatino Linotype" w:eastAsia="Palatino Linotype" w:hAnsi="Palatino Linotype" w:cs="Palatino Linotype"/>
          <w:color w:val="000000" w:themeColor="text1"/>
        </w:rPr>
        <w:lastRenderedPageBreak/>
        <w:t xml:space="preserve">de México y Municipios </w:t>
      </w:r>
      <w:r w:rsidRPr="003766AF">
        <w:rPr>
          <w:rFonts w:ascii="Palatino Linotype" w:eastAsia="Palatino Linotype" w:hAnsi="Palatino Linotype" w:cs="Palatino Linotype"/>
          <w:b/>
          <w:color w:val="000000" w:themeColor="text1"/>
        </w:rPr>
        <w:t>dé cumplimiento a lo ordenado dentro del plazo de diez días hábiles</w:t>
      </w:r>
      <w:r w:rsidRPr="003766AF">
        <w:rPr>
          <w:rFonts w:ascii="Palatino Linotype" w:eastAsia="Palatino Linotype" w:hAnsi="Palatino Linotype" w:cs="Palatino Linotype"/>
          <w:color w:val="000000" w:themeColor="text1"/>
        </w:rPr>
        <w:t>, e informe a este Instituto en un plazo de tres días hábiles siguientes sobre el cumplimiento dado a la presente, y se le apercibe que en caso de negarse a cumplir la presente resolución o hacerlo de manera parcial, se le impondrá una medida de apremio de conformidad con lo previsto en los artículos 198, 200, fracción III; 214, 215 y 216 de la Ley de Transparencia y Acceso a la Información Pública del Estado de México y Municipios.</w:t>
      </w:r>
    </w:p>
    <w:p w:rsidR="00B10B03" w:rsidRPr="003766AF" w:rsidRDefault="00B10B03" w:rsidP="00575144">
      <w:pPr>
        <w:tabs>
          <w:tab w:val="left" w:pos="8080"/>
        </w:tabs>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shd w:val="clear" w:color="auto" w:fill="FFFFFF"/>
        <w:spacing w:line="360" w:lineRule="auto"/>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b/>
          <w:color w:val="000000" w:themeColor="text1"/>
        </w:rPr>
        <w:t>CUARTO. Notifíquese al RECURRENTE</w:t>
      </w:r>
      <w:r w:rsidRPr="003766AF">
        <w:rPr>
          <w:rFonts w:ascii="Palatino Linotype" w:eastAsia="Palatino Linotype" w:hAnsi="Palatino Linotype" w:cs="Palatino Linotype"/>
          <w:color w:val="000000" w:themeColor="text1"/>
        </w:rPr>
        <w:t xml:space="preserve"> la presente resolución vía SAIMEX.</w:t>
      </w:r>
    </w:p>
    <w:p w:rsidR="00B10B03" w:rsidRPr="003766AF" w:rsidRDefault="00B10B03" w:rsidP="00575144">
      <w:pPr>
        <w:shd w:val="clear" w:color="auto" w:fill="FFFFFF"/>
        <w:spacing w:line="360" w:lineRule="auto"/>
        <w:jc w:val="both"/>
        <w:rPr>
          <w:rFonts w:ascii="Palatino Linotype" w:eastAsia="Palatino Linotype" w:hAnsi="Palatino Linotype" w:cs="Palatino Linotype"/>
          <w:b/>
          <w:color w:val="000000" w:themeColor="text1"/>
        </w:rPr>
      </w:pPr>
    </w:p>
    <w:p w:rsidR="00B10B03" w:rsidRPr="003766AF" w:rsidRDefault="00575144" w:rsidP="00575144">
      <w:pPr>
        <w:spacing w:line="360" w:lineRule="auto"/>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b/>
          <w:color w:val="000000" w:themeColor="text1"/>
        </w:rPr>
        <w:t>QUINTO.</w:t>
      </w:r>
      <w:r w:rsidRPr="003766AF">
        <w:rPr>
          <w:rFonts w:ascii="Palatino Linotype" w:eastAsia="Palatino Linotype" w:hAnsi="Palatino Linotype" w:cs="Palatino Linotype"/>
          <w:color w:val="000000" w:themeColor="text1"/>
        </w:rPr>
        <w:t xml:space="preserve"> Se hace del conocimiento del </w:t>
      </w:r>
      <w:r w:rsidRPr="003766AF">
        <w:rPr>
          <w:rFonts w:ascii="Palatino Linotype" w:eastAsia="Palatino Linotype" w:hAnsi="Palatino Linotype" w:cs="Palatino Linotype"/>
          <w:b/>
          <w:color w:val="000000" w:themeColor="text1"/>
        </w:rPr>
        <w:t>RECURRENTE</w:t>
      </w:r>
      <w:r w:rsidRPr="003766AF">
        <w:rPr>
          <w:rFonts w:ascii="Palatino Linotype" w:eastAsia="Palatino Linotype" w:hAnsi="Palatino Linotype" w:cs="Palatino Linotype"/>
          <w:color w:val="000000" w:themeColor="text1"/>
        </w:rPr>
        <w:t xml:space="preserve"> que de conformidad con lo establecido en el artículo 196 de la Ley de Transparencia y Acceso a la Información Pública del Estado de México y Municipios, en caso de que considere que la resolución le cause algún perjuicio podrá impugnarla vía juicio de amparo en los términos de las leyes aplicables.</w:t>
      </w:r>
    </w:p>
    <w:p w:rsidR="00B10B03" w:rsidRPr="003766AF" w:rsidRDefault="00B10B03" w:rsidP="00575144">
      <w:pPr>
        <w:spacing w:line="360" w:lineRule="auto"/>
        <w:jc w:val="both"/>
        <w:rPr>
          <w:rFonts w:ascii="Palatino Linotype" w:eastAsia="Palatino Linotype" w:hAnsi="Palatino Linotype" w:cs="Palatino Linotype"/>
          <w:color w:val="000000" w:themeColor="text1"/>
        </w:rPr>
      </w:pPr>
    </w:p>
    <w:p w:rsidR="00B10B03" w:rsidRPr="003766AF" w:rsidRDefault="00575144" w:rsidP="00575144">
      <w:pPr>
        <w:spacing w:line="360" w:lineRule="auto"/>
        <w:jc w:val="both"/>
        <w:rPr>
          <w:rFonts w:ascii="Palatino Linotype" w:eastAsia="Palatino Linotype" w:hAnsi="Palatino Linotype" w:cs="Palatino Linotype"/>
          <w:color w:val="000000" w:themeColor="text1"/>
        </w:rPr>
      </w:pPr>
      <w:r w:rsidRPr="003766AF">
        <w:rPr>
          <w:rFonts w:ascii="Palatino Linotype" w:eastAsia="Palatino Linotype" w:hAnsi="Palatino Linotype" w:cs="Palatino Linotype"/>
          <w:b/>
          <w:color w:val="000000" w:themeColor="text1"/>
        </w:rPr>
        <w:t xml:space="preserve">SEXTO. </w:t>
      </w:r>
      <w:r w:rsidRPr="003766AF">
        <w:rPr>
          <w:rFonts w:ascii="Palatino Linotype" w:eastAsia="Palatino Linotype" w:hAnsi="Palatino Linotype" w:cs="Palatino Linotype"/>
          <w:color w:val="000000" w:themeColor="text1"/>
        </w:rPr>
        <w:t>De conformidad con el artículo 198 de la Ley de Transparencia y Acceso a la Información Pública del Estado de México y Municipios, de considerarlo procedente, el Sujeto Obligado de manera fundada y motivada, podrá solicitar una ampliación de plazo para el cumplimiento de la presente resolución.</w:t>
      </w:r>
    </w:p>
    <w:p w:rsidR="00B10B03" w:rsidRPr="003766AF" w:rsidRDefault="00B10B03" w:rsidP="00575144">
      <w:pPr>
        <w:shd w:val="clear" w:color="auto" w:fill="FFFFFF"/>
        <w:spacing w:line="360" w:lineRule="auto"/>
        <w:jc w:val="both"/>
        <w:rPr>
          <w:rFonts w:ascii="Palatino Linotype" w:eastAsia="Palatino Linotype" w:hAnsi="Palatino Linotype" w:cs="Palatino Linotype"/>
          <w:color w:val="000000" w:themeColor="text1"/>
        </w:rPr>
      </w:pPr>
    </w:p>
    <w:p w:rsidR="000A5EF3" w:rsidRDefault="003766AF" w:rsidP="000A5EF3">
      <w:pPr>
        <w:spacing w:line="360" w:lineRule="auto"/>
        <w:ind w:right="49"/>
        <w:jc w:val="both"/>
        <w:rPr>
          <w:rFonts w:ascii="Palatino Linotype" w:eastAsia="Palatino Linotype" w:hAnsi="Palatino Linotype" w:cs="Palatino Linotype"/>
        </w:rPr>
      </w:pPr>
      <w:r w:rsidRPr="003766AF">
        <w:rPr>
          <w:rFonts w:ascii="Palatino Linotype" w:eastAsia="Palatino Linotype" w:hAnsi="Palatino Linotype" w:cs="Palatino Linotype"/>
        </w:rPr>
        <w:t xml:space="preserve">ASÍ LO RESUELVE, POR UNANIMIDAD DE VOTOS, EL PLENO DEL INSTITUTO DE TRANSPARENCIA, ACCESO A LA INFORMACIÓN PÚBLICA Y PROTECCIÓN DE DATOS PERSONALES DEL ESTADO DE MÉXICO Y MUNICIPIOS, CONFORMADO POR LOS COMISIONADOS JOSÉ MARTÍNEZ VILCHIS, MARÍA DEL ROSARIO MEJÍA AYALA, SHARON CRISTINA MORALES MARTÍNEZ, LUIS GUSTAVO PARRA NORIEGA Y GUADALUPE RAMÍREZ PEÑA; EN LA TRIGÉSIMA SEGUNDA SESIÓN ORDINARIA, </w:t>
      </w:r>
      <w:r w:rsidRPr="003766AF">
        <w:rPr>
          <w:rFonts w:ascii="Palatino Linotype" w:eastAsia="Palatino Linotype" w:hAnsi="Palatino Linotype" w:cs="Palatino Linotype"/>
        </w:rPr>
        <w:lastRenderedPageBreak/>
        <w:t>CELEBRADA EL DIEZ (10) DE SEPTIEMBRE DE DOS MIL VEINTICINCO, ANTE EL SECRETARIO TÉCNICO DEL PLENO ALEXIS TAPIA RAMÍREZ</w:t>
      </w:r>
      <w:r w:rsidR="000A5EF3" w:rsidRPr="003766AF">
        <w:rPr>
          <w:rFonts w:ascii="Palatino Linotype" w:eastAsia="Palatino Linotype" w:hAnsi="Palatino Linotype" w:cs="Palatino Linotype"/>
        </w:rPr>
        <w:t>.</w:t>
      </w:r>
    </w:p>
    <w:p w:rsidR="006A3627" w:rsidRDefault="006A3627" w:rsidP="000A5EF3">
      <w:pPr>
        <w:spacing w:line="360" w:lineRule="auto"/>
        <w:ind w:right="49"/>
        <w:jc w:val="both"/>
        <w:rPr>
          <w:rFonts w:ascii="Palatino Linotype" w:eastAsia="Palatino Linotype" w:hAnsi="Palatino Linotype" w:cs="Palatino Linotype"/>
        </w:rPr>
      </w:pPr>
    </w:p>
    <w:p w:rsidR="006A3627" w:rsidRDefault="006A3627" w:rsidP="000A5EF3">
      <w:pPr>
        <w:spacing w:line="360" w:lineRule="auto"/>
        <w:ind w:right="49"/>
        <w:jc w:val="both"/>
        <w:rPr>
          <w:rFonts w:ascii="Palatino Linotype" w:eastAsia="Palatino Linotype" w:hAnsi="Palatino Linotype" w:cs="Palatino Linotype"/>
        </w:rPr>
      </w:pPr>
    </w:p>
    <w:p w:rsidR="006A3627" w:rsidRDefault="006A3627" w:rsidP="000A5EF3">
      <w:pPr>
        <w:spacing w:line="360" w:lineRule="auto"/>
        <w:ind w:right="49"/>
        <w:jc w:val="both"/>
        <w:rPr>
          <w:rFonts w:ascii="Palatino Linotype" w:eastAsia="Palatino Linotype" w:hAnsi="Palatino Linotype" w:cs="Palatino Linotype"/>
        </w:rPr>
      </w:pPr>
    </w:p>
    <w:p w:rsidR="006A3627" w:rsidRDefault="006A3627" w:rsidP="000A5EF3">
      <w:pPr>
        <w:spacing w:line="360" w:lineRule="auto"/>
        <w:ind w:right="49"/>
        <w:jc w:val="both"/>
        <w:rPr>
          <w:rFonts w:ascii="Palatino Linotype" w:eastAsia="Palatino Linotype" w:hAnsi="Palatino Linotype" w:cs="Palatino Linotype"/>
        </w:rPr>
      </w:pPr>
    </w:p>
    <w:p w:rsidR="006A3627" w:rsidRDefault="006A3627" w:rsidP="000A5EF3">
      <w:pPr>
        <w:spacing w:line="360" w:lineRule="auto"/>
        <w:ind w:right="49"/>
        <w:jc w:val="both"/>
        <w:rPr>
          <w:rFonts w:ascii="Palatino Linotype" w:eastAsia="Palatino Linotype" w:hAnsi="Palatino Linotype" w:cs="Palatino Linotype"/>
        </w:rPr>
      </w:pPr>
    </w:p>
    <w:p w:rsidR="006A3627" w:rsidRDefault="006A3627" w:rsidP="000A5EF3">
      <w:pPr>
        <w:spacing w:line="360" w:lineRule="auto"/>
        <w:ind w:right="49"/>
        <w:jc w:val="both"/>
        <w:rPr>
          <w:rFonts w:ascii="Palatino Linotype" w:eastAsia="Palatino Linotype" w:hAnsi="Palatino Linotype" w:cs="Palatino Linotype"/>
        </w:rPr>
      </w:pPr>
    </w:p>
    <w:p w:rsidR="006A3627" w:rsidRDefault="006A3627" w:rsidP="000A5EF3">
      <w:pPr>
        <w:spacing w:line="360" w:lineRule="auto"/>
        <w:ind w:right="49"/>
        <w:jc w:val="both"/>
        <w:rPr>
          <w:rFonts w:ascii="Palatino Linotype" w:eastAsia="Palatino Linotype" w:hAnsi="Palatino Linotype" w:cs="Palatino Linotype"/>
        </w:rPr>
      </w:pPr>
    </w:p>
    <w:p w:rsidR="006A3627" w:rsidRDefault="006A3627" w:rsidP="000A5EF3">
      <w:pPr>
        <w:spacing w:line="360" w:lineRule="auto"/>
        <w:ind w:right="49"/>
        <w:jc w:val="both"/>
        <w:rPr>
          <w:rFonts w:ascii="Palatino Linotype" w:eastAsia="Palatino Linotype" w:hAnsi="Palatino Linotype" w:cs="Palatino Linotype"/>
        </w:rPr>
      </w:pPr>
    </w:p>
    <w:p w:rsidR="006A3627" w:rsidRPr="00444783" w:rsidRDefault="006A3627" w:rsidP="000A5EF3">
      <w:pPr>
        <w:spacing w:line="360" w:lineRule="auto"/>
        <w:ind w:right="49"/>
        <w:jc w:val="both"/>
        <w:rPr>
          <w:rFonts w:ascii="Palatino Linotype" w:eastAsia="Palatino Linotype" w:hAnsi="Palatino Linotype" w:cs="Palatino Linotype"/>
        </w:rPr>
      </w:pPr>
    </w:p>
    <w:p w:rsidR="00B10B03" w:rsidRPr="00575144" w:rsidRDefault="00B10B03" w:rsidP="00575144">
      <w:pPr>
        <w:spacing w:line="360" w:lineRule="auto"/>
        <w:jc w:val="both"/>
        <w:rPr>
          <w:rFonts w:ascii="Palatino Linotype" w:eastAsia="Palatino Linotype" w:hAnsi="Palatino Linotype" w:cs="Palatino Linotype"/>
          <w:color w:val="000000" w:themeColor="text1"/>
        </w:rPr>
      </w:pPr>
    </w:p>
    <w:p w:rsidR="00B10B03" w:rsidRPr="00575144" w:rsidRDefault="00B10B03" w:rsidP="00575144">
      <w:pPr>
        <w:spacing w:line="360" w:lineRule="auto"/>
        <w:jc w:val="both"/>
        <w:rPr>
          <w:rFonts w:ascii="Palatino Linotype" w:eastAsia="Palatino Linotype" w:hAnsi="Palatino Linotype" w:cs="Palatino Linotype"/>
          <w:color w:val="000000" w:themeColor="text1"/>
        </w:rPr>
      </w:pPr>
    </w:p>
    <w:p w:rsidR="00B10B03" w:rsidRPr="00575144" w:rsidRDefault="00B10B03" w:rsidP="00575144">
      <w:pPr>
        <w:spacing w:line="360" w:lineRule="auto"/>
        <w:rPr>
          <w:rFonts w:ascii="Palatino Linotype" w:eastAsia="Palatino Linotype" w:hAnsi="Palatino Linotype" w:cs="Palatino Linotype"/>
          <w:color w:val="000000" w:themeColor="text1"/>
        </w:rPr>
      </w:pPr>
    </w:p>
    <w:p w:rsidR="00B10B03" w:rsidRPr="00575144" w:rsidRDefault="00B10B03" w:rsidP="00575144">
      <w:pPr>
        <w:spacing w:line="360" w:lineRule="auto"/>
        <w:rPr>
          <w:rFonts w:ascii="Palatino Linotype" w:eastAsia="Palatino Linotype" w:hAnsi="Palatino Linotype" w:cs="Palatino Linotype"/>
          <w:color w:val="000000" w:themeColor="text1"/>
        </w:rPr>
      </w:pPr>
    </w:p>
    <w:p w:rsidR="00B10B03" w:rsidRPr="00575144" w:rsidRDefault="00B10B03" w:rsidP="00575144">
      <w:pPr>
        <w:spacing w:line="360" w:lineRule="auto"/>
        <w:rPr>
          <w:rFonts w:ascii="Palatino Linotype" w:eastAsia="Palatino Linotype" w:hAnsi="Palatino Linotype" w:cs="Palatino Linotype"/>
          <w:color w:val="000000" w:themeColor="text1"/>
        </w:rPr>
      </w:pPr>
    </w:p>
    <w:p w:rsidR="00B10B03" w:rsidRPr="00575144" w:rsidRDefault="00B10B03" w:rsidP="00575144">
      <w:pPr>
        <w:spacing w:line="360" w:lineRule="auto"/>
        <w:rPr>
          <w:rFonts w:ascii="Palatino Linotype" w:eastAsia="Palatino Linotype" w:hAnsi="Palatino Linotype" w:cs="Palatino Linotype"/>
          <w:color w:val="000000" w:themeColor="text1"/>
        </w:rPr>
      </w:pPr>
    </w:p>
    <w:p w:rsidR="00B10B03" w:rsidRPr="00575144" w:rsidRDefault="00B10B03" w:rsidP="00575144">
      <w:pPr>
        <w:spacing w:line="360" w:lineRule="auto"/>
        <w:rPr>
          <w:rFonts w:ascii="Palatino Linotype" w:eastAsia="Palatino Linotype" w:hAnsi="Palatino Linotype" w:cs="Palatino Linotype"/>
          <w:color w:val="000000" w:themeColor="text1"/>
        </w:rPr>
      </w:pPr>
    </w:p>
    <w:p w:rsidR="00B10B03" w:rsidRPr="00575144" w:rsidRDefault="00B10B03" w:rsidP="00575144">
      <w:pPr>
        <w:spacing w:line="360" w:lineRule="auto"/>
        <w:rPr>
          <w:rFonts w:ascii="Palatino Linotype" w:eastAsia="Palatino Linotype" w:hAnsi="Palatino Linotype" w:cs="Palatino Linotype"/>
          <w:color w:val="000000" w:themeColor="text1"/>
        </w:rPr>
      </w:pPr>
    </w:p>
    <w:p w:rsidR="00B10B03" w:rsidRPr="00575144" w:rsidRDefault="00B10B03" w:rsidP="00575144">
      <w:pPr>
        <w:spacing w:line="360" w:lineRule="auto"/>
        <w:rPr>
          <w:rFonts w:ascii="Palatino Linotype" w:eastAsia="Palatino Linotype" w:hAnsi="Palatino Linotype" w:cs="Palatino Linotype"/>
          <w:color w:val="000000" w:themeColor="text1"/>
        </w:rPr>
      </w:pPr>
    </w:p>
    <w:p w:rsidR="00B10B03" w:rsidRPr="00575144" w:rsidRDefault="00B10B03" w:rsidP="00575144">
      <w:pPr>
        <w:spacing w:line="360" w:lineRule="auto"/>
        <w:rPr>
          <w:rFonts w:ascii="Palatino Linotype" w:eastAsia="Palatino Linotype" w:hAnsi="Palatino Linotype" w:cs="Palatino Linotype"/>
          <w:color w:val="000000" w:themeColor="text1"/>
        </w:rPr>
      </w:pPr>
    </w:p>
    <w:p w:rsidR="00B10B03" w:rsidRPr="00575144" w:rsidRDefault="00B10B03" w:rsidP="00575144">
      <w:pPr>
        <w:spacing w:line="360" w:lineRule="auto"/>
        <w:rPr>
          <w:rFonts w:ascii="Palatino Linotype" w:eastAsia="Palatino Linotype" w:hAnsi="Palatino Linotype" w:cs="Palatino Linotype"/>
          <w:color w:val="000000" w:themeColor="text1"/>
        </w:rPr>
      </w:pPr>
    </w:p>
    <w:p w:rsidR="00B10B03" w:rsidRPr="00575144" w:rsidRDefault="00B10B03" w:rsidP="00575144">
      <w:pPr>
        <w:spacing w:line="360" w:lineRule="auto"/>
        <w:rPr>
          <w:rFonts w:ascii="Palatino Linotype" w:eastAsia="Palatino Linotype" w:hAnsi="Palatino Linotype" w:cs="Palatino Linotype"/>
          <w:color w:val="000000" w:themeColor="text1"/>
        </w:rPr>
      </w:pPr>
    </w:p>
    <w:p w:rsidR="00B10B03" w:rsidRPr="00575144" w:rsidRDefault="00B10B03" w:rsidP="00575144">
      <w:pPr>
        <w:rPr>
          <w:rFonts w:ascii="Palatino Linotype" w:eastAsia="Palatino Linotype" w:hAnsi="Palatino Linotype" w:cs="Palatino Linotype"/>
          <w:color w:val="000000" w:themeColor="text1"/>
        </w:rPr>
      </w:pPr>
    </w:p>
    <w:p w:rsidR="00B10B03" w:rsidRPr="00575144" w:rsidRDefault="00B10B03" w:rsidP="00575144">
      <w:pPr>
        <w:rPr>
          <w:rFonts w:ascii="Palatino Linotype" w:eastAsia="Palatino Linotype" w:hAnsi="Palatino Linotype" w:cs="Palatino Linotype"/>
          <w:color w:val="000000" w:themeColor="text1"/>
        </w:rPr>
      </w:pPr>
    </w:p>
    <w:p w:rsidR="00B10B03" w:rsidRPr="00575144" w:rsidRDefault="00B10B03" w:rsidP="00575144">
      <w:pPr>
        <w:rPr>
          <w:rFonts w:ascii="Palatino Linotype" w:eastAsia="Palatino Linotype" w:hAnsi="Palatino Linotype" w:cs="Palatino Linotype"/>
          <w:color w:val="000000" w:themeColor="text1"/>
        </w:rPr>
      </w:pPr>
    </w:p>
    <w:p w:rsidR="00B10B03" w:rsidRPr="00575144" w:rsidRDefault="00B10B03" w:rsidP="00575144">
      <w:pPr>
        <w:rPr>
          <w:rFonts w:ascii="Palatino Linotype" w:eastAsia="Palatino Linotype" w:hAnsi="Palatino Linotype" w:cs="Palatino Linotype"/>
          <w:color w:val="000000" w:themeColor="text1"/>
        </w:rPr>
      </w:pPr>
    </w:p>
    <w:p w:rsidR="00B10B03" w:rsidRPr="00575144" w:rsidRDefault="00B10B03" w:rsidP="00575144">
      <w:pPr>
        <w:rPr>
          <w:rFonts w:ascii="Palatino Linotype" w:eastAsia="Palatino Linotype" w:hAnsi="Palatino Linotype" w:cs="Palatino Linotype"/>
          <w:color w:val="000000" w:themeColor="text1"/>
        </w:rPr>
      </w:pPr>
    </w:p>
    <w:p w:rsidR="00B10B03" w:rsidRPr="00575144" w:rsidRDefault="00B10B03" w:rsidP="00575144">
      <w:pPr>
        <w:rPr>
          <w:rFonts w:ascii="Palatino Linotype" w:eastAsia="Palatino Linotype" w:hAnsi="Palatino Linotype" w:cs="Palatino Linotype"/>
          <w:color w:val="000000" w:themeColor="text1"/>
        </w:rPr>
      </w:pPr>
    </w:p>
    <w:p w:rsidR="00B10B03" w:rsidRPr="00575144" w:rsidRDefault="00B10B03" w:rsidP="00575144">
      <w:pPr>
        <w:rPr>
          <w:rFonts w:ascii="Palatino Linotype" w:eastAsia="Palatino Linotype" w:hAnsi="Palatino Linotype" w:cs="Palatino Linotype"/>
          <w:color w:val="000000" w:themeColor="text1"/>
        </w:rPr>
      </w:pPr>
    </w:p>
    <w:sectPr w:rsidR="00B10B03" w:rsidRPr="00575144" w:rsidSect="006A3627">
      <w:headerReference w:type="even" r:id="rId14"/>
      <w:headerReference w:type="default" r:id="rId15"/>
      <w:footerReference w:type="default" r:id="rId16"/>
      <w:headerReference w:type="first" r:id="rId17"/>
      <w:footerReference w:type="first" r:id="rId18"/>
      <w:pgSz w:w="12240" w:h="15840"/>
      <w:pgMar w:top="80" w:right="758" w:bottom="1418" w:left="1588" w:header="709" w:footer="919"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44354" w:rsidRDefault="00E44354">
      <w:r>
        <w:separator/>
      </w:r>
    </w:p>
  </w:endnote>
  <w:endnote w:type="continuationSeparator" w:id="0">
    <w:p w:rsidR="00E44354" w:rsidRDefault="00E4435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Noto Sans Symbols">
    <w:altName w:val="Times New Roman"/>
    <w:charset w:val="00"/>
    <w:family w:val="auto"/>
    <w:pitch w:val="default"/>
  </w:font>
  <w:font w:name="Courier New">
    <w:panose1 w:val="02070309020205020404"/>
    <w:charset w:val="00"/>
    <w:family w:val="modern"/>
    <w:pitch w:val="fixed"/>
    <w:sig w:usb0="E0002EFF" w:usb1="C0007843" w:usb2="00000009" w:usb3="00000000" w:csb0="000001FF" w:csb1="00000000"/>
  </w:font>
  <w:font w:name="Palatino Linotype">
    <w:panose1 w:val="02040502050505030304"/>
    <w:charset w:val="00"/>
    <w:family w:val="roman"/>
    <w:pitch w:val="variable"/>
    <w:sig w:usb0="E0000287" w:usb1="4000001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entury Gothic">
    <w:panose1 w:val="020B0502020202020204"/>
    <w:charset w:val="00"/>
    <w:family w:val="swiss"/>
    <w:pitch w:val="variable"/>
    <w:sig w:usb0="00000287" w:usb1="00000000" w:usb2="00000000" w:usb3="00000000" w:csb0="0000009F" w:csb1="00000000"/>
  </w:font>
  <w:font w:name="Georgia">
    <w:panose1 w:val="02040502050405020303"/>
    <w:charset w:val="00"/>
    <w:family w:val="roman"/>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144" w:rsidRDefault="0057514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2587E">
      <w:rPr>
        <w:b/>
        <w:noProof/>
        <w:color w:val="000000"/>
      </w:rPr>
      <w:t>2</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2587E">
      <w:rPr>
        <w:b/>
        <w:noProof/>
        <w:color w:val="000000"/>
      </w:rPr>
      <w:t>54</w:t>
    </w:r>
    <w:r>
      <w:rPr>
        <w:b/>
        <w:color w:val="000000"/>
      </w:rPr>
      <w:fldChar w:fldCharType="end"/>
    </w:r>
  </w:p>
  <w:p w:rsidR="00575144" w:rsidRDefault="00575144">
    <w:pPr>
      <w:pBdr>
        <w:top w:val="nil"/>
        <w:left w:val="nil"/>
        <w:bottom w:val="nil"/>
        <w:right w:val="nil"/>
        <w:between w:val="nil"/>
      </w:pBdr>
      <w:tabs>
        <w:tab w:val="center" w:pos="4419"/>
        <w:tab w:val="right" w:pos="8838"/>
      </w:tabs>
      <w:rPr>
        <w:color w:val="000000"/>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144" w:rsidRDefault="00575144">
    <w:pPr>
      <w:pBdr>
        <w:top w:val="nil"/>
        <w:left w:val="nil"/>
        <w:bottom w:val="nil"/>
        <w:right w:val="nil"/>
        <w:between w:val="nil"/>
      </w:pBdr>
      <w:tabs>
        <w:tab w:val="center" w:pos="4419"/>
        <w:tab w:val="right" w:pos="8838"/>
      </w:tabs>
      <w:jc w:val="right"/>
      <w:rPr>
        <w:color w:val="000000"/>
      </w:rPr>
    </w:pPr>
    <w:r>
      <w:rPr>
        <w:color w:val="000000"/>
      </w:rPr>
      <w:t xml:space="preserve">Página </w:t>
    </w:r>
    <w:r>
      <w:rPr>
        <w:b/>
        <w:color w:val="000000"/>
      </w:rPr>
      <w:fldChar w:fldCharType="begin"/>
    </w:r>
    <w:r>
      <w:rPr>
        <w:b/>
        <w:color w:val="000000"/>
      </w:rPr>
      <w:instrText>PAGE</w:instrText>
    </w:r>
    <w:r>
      <w:rPr>
        <w:b/>
        <w:color w:val="000000"/>
      </w:rPr>
      <w:fldChar w:fldCharType="separate"/>
    </w:r>
    <w:r w:rsidR="00F2587E">
      <w:rPr>
        <w:b/>
        <w:noProof/>
        <w:color w:val="000000"/>
      </w:rPr>
      <w:t>1</w:t>
    </w:r>
    <w:r>
      <w:rPr>
        <w:b/>
        <w:color w:val="000000"/>
      </w:rPr>
      <w:fldChar w:fldCharType="end"/>
    </w:r>
    <w:r>
      <w:rPr>
        <w:color w:val="000000"/>
      </w:rPr>
      <w:t xml:space="preserve"> de </w:t>
    </w:r>
    <w:r>
      <w:rPr>
        <w:b/>
        <w:color w:val="000000"/>
      </w:rPr>
      <w:fldChar w:fldCharType="begin"/>
    </w:r>
    <w:r>
      <w:rPr>
        <w:b/>
        <w:color w:val="000000"/>
      </w:rPr>
      <w:instrText>NUMPAGES</w:instrText>
    </w:r>
    <w:r>
      <w:rPr>
        <w:b/>
        <w:color w:val="000000"/>
      </w:rPr>
      <w:fldChar w:fldCharType="separate"/>
    </w:r>
    <w:r w:rsidR="00F2587E">
      <w:rPr>
        <w:b/>
        <w:noProof/>
        <w:color w:val="000000"/>
      </w:rPr>
      <w:t>54</w:t>
    </w:r>
    <w:r>
      <w:rPr>
        <w:b/>
        <w:color w:val="000000"/>
      </w:rPr>
      <w:fldChar w:fldCharType="end"/>
    </w:r>
  </w:p>
  <w:p w:rsidR="00575144" w:rsidRDefault="00575144">
    <w:pPr>
      <w:pBdr>
        <w:top w:val="nil"/>
        <w:left w:val="nil"/>
        <w:bottom w:val="nil"/>
        <w:right w:val="nil"/>
        <w:between w:val="nil"/>
      </w:pBdr>
      <w:tabs>
        <w:tab w:val="center" w:pos="4419"/>
        <w:tab w:val="right" w:pos="8838"/>
      </w:tabs>
      <w:rPr>
        <w:color w:val="000000"/>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44354" w:rsidRDefault="00E44354">
      <w:r>
        <w:separator/>
      </w:r>
    </w:p>
  </w:footnote>
  <w:footnote w:type="continuationSeparator" w:id="0">
    <w:p w:rsidR="00E44354" w:rsidRDefault="00E44354">
      <w:r>
        <w:continuationSeparator/>
      </w:r>
    </w:p>
  </w:footnote>
  <w:footnote w:id="1">
    <w:p w:rsidR="00575144" w:rsidRDefault="0057514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Convención Americana sobre Derechos Humanos. Artículo 13.</w:t>
      </w:r>
    </w:p>
  </w:footnote>
  <w:footnote w:id="2">
    <w:p w:rsidR="00575144" w:rsidRDefault="0057514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Constitución Política de los Estados Unidos Mexicanos. Artículo sexto, sección A, fracción I.</w:t>
      </w:r>
    </w:p>
  </w:footnote>
  <w:footnote w:id="3">
    <w:p w:rsidR="00575144" w:rsidRDefault="0057514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Corte Interamericana de Derechos Humanos. Caso Claude Reyes y otros vs. Chile. Sentencia de 19 de septiembre de 2006. Serie C. No. 151. Párr. 86.</w:t>
      </w:r>
    </w:p>
  </w:footnote>
  <w:footnote w:id="4">
    <w:p w:rsidR="00575144" w:rsidRDefault="0057514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Ibídem. Parr. 87.</w:t>
      </w:r>
    </w:p>
  </w:footnote>
  <w:footnote w:id="5">
    <w:p w:rsidR="00575144" w:rsidRDefault="0057514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50, Ley de Transparencia y Acceso a la Información Pública del Estado de México y Municipios.</w:t>
      </w:r>
    </w:p>
  </w:footnote>
  <w:footnote w:id="6">
    <w:p w:rsidR="00575144" w:rsidRDefault="0057514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51, Ídem.</w:t>
      </w:r>
    </w:p>
  </w:footnote>
  <w:footnote w:id="7">
    <w:p w:rsidR="00575144" w:rsidRDefault="0057514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58, Ley de Transparencia y Acceso a la Información Pública del Estado de México y Municipios.</w:t>
      </w:r>
    </w:p>
  </w:footnote>
  <w:footnote w:id="8">
    <w:p w:rsidR="00575144" w:rsidRDefault="00575144">
      <w:pPr>
        <w:pBdr>
          <w:top w:val="nil"/>
          <w:left w:val="nil"/>
          <w:bottom w:val="nil"/>
          <w:right w:val="nil"/>
          <w:between w:val="nil"/>
        </w:pBdr>
        <w:rPr>
          <w:rFonts w:ascii="Calibri" w:eastAsia="Calibri" w:hAnsi="Calibri" w:cs="Calibri"/>
          <w:color w:val="000000"/>
          <w:sz w:val="20"/>
          <w:szCs w:val="20"/>
        </w:rPr>
      </w:pPr>
      <w:r>
        <w:rPr>
          <w:vertAlign w:val="superscript"/>
        </w:rPr>
        <w:footnoteRef/>
      </w:r>
      <w:r>
        <w:rPr>
          <w:rFonts w:ascii="Calibri" w:eastAsia="Calibri" w:hAnsi="Calibri" w:cs="Calibri"/>
          <w:color w:val="000000"/>
          <w:sz w:val="20"/>
          <w:szCs w:val="20"/>
        </w:rPr>
        <w:t xml:space="preserve"> Artículo 59, Ídem.</w:t>
      </w:r>
    </w:p>
  </w:footnote>
  <w:footnote w:id="9">
    <w:p w:rsidR="00575144" w:rsidRDefault="00575144">
      <w:pPr>
        <w:pBdr>
          <w:top w:val="nil"/>
          <w:left w:val="nil"/>
          <w:bottom w:val="nil"/>
          <w:right w:val="nil"/>
          <w:between w:val="nil"/>
        </w:pBdr>
        <w:rPr>
          <w:color w:val="000000"/>
          <w:sz w:val="20"/>
          <w:szCs w:val="20"/>
        </w:rPr>
      </w:pPr>
      <w:r>
        <w:rPr>
          <w:vertAlign w:val="superscript"/>
        </w:rPr>
        <w:footnoteRef/>
      </w:r>
      <w:r>
        <w:rPr>
          <w:color w:val="000000"/>
          <w:sz w:val="20"/>
          <w:szCs w:val="20"/>
        </w:rPr>
        <w:t xml:space="preserve"> </w:t>
      </w:r>
      <w:hyperlink r:id="rId1">
        <w:r>
          <w:rPr>
            <w:color w:val="0000FF"/>
            <w:sz w:val="20"/>
            <w:szCs w:val="20"/>
            <w:u w:val="single"/>
          </w:rPr>
          <w:t>https://legislacion.edomex.gob.mx/sites/legislacion.edomex.gob.mx/files/files/pdf/ley/vig/leyvig083.pdf</w:t>
        </w:r>
      </w:hyperlink>
    </w:p>
    <w:p w:rsidR="00575144" w:rsidRDefault="00575144">
      <w:pPr>
        <w:pBdr>
          <w:top w:val="nil"/>
          <w:left w:val="nil"/>
          <w:bottom w:val="nil"/>
          <w:right w:val="nil"/>
          <w:between w:val="nil"/>
        </w:pBdr>
        <w:rPr>
          <w:color w:val="000000"/>
          <w:sz w:val="20"/>
          <w:szCs w:val="20"/>
        </w:rPr>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575144" w:rsidRDefault="00E44354">
    <w:pPr>
      <w:pBdr>
        <w:top w:val="nil"/>
        <w:left w:val="nil"/>
        <w:bottom w:val="nil"/>
        <w:right w:val="nil"/>
        <w:between w:val="nil"/>
      </w:pBdr>
      <w:tabs>
        <w:tab w:val="center" w:pos="4419"/>
        <w:tab w:val="right" w:pos="8838"/>
      </w:tabs>
      <w:rPr>
        <w:color w:val="000000"/>
      </w:rPr>
    </w:pPr>
    <w:r>
      <w:rPr>
        <w:color w:val="000000"/>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1" o:spid="_x0000_s2049" type="#_x0000_t75" alt="" style="position:absolute;margin-left:0;margin-top:0;width:589.8pt;height:768pt;z-index:-251657728;mso-position-horizontal:center;mso-position-horizontal-relative:margin;mso-position-vertical:center;mso-position-vertical-relative:margin">
          <v:imagedata r:id="rId1" o:title="image2"/>
          <w10:wrap anchorx="margin" anchory="margin"/>
        </v:shape>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5"/>
      <w:tblW w:w="10632" w:type="dxa"/>
      <w:tblInd w:w="0" w:type="dxa"/>
      <w:tblLayout w:type="fixed"/>
      <w:tblLook w:val="0400" w:firstRow="0" w:lastRow="0" w:firstColumn="0" w:lastColumn="0" w:noHBand="0" w:noVBand="1"/>
    </w:tblPr>
    <w:tblGrid>
      <w:gridCol w:w="3686"/>
      <w:gridCol w:w="6946"/>
    </w:tblGrid>
    <w:tr w:rsidR="00575144" w:rsidTr="006A3627">
      <w:trPr>
        <w:trHeight w:val="1435"/>
      </w:trPr>
      <w:tc>
        <w:tcPr>
          <w:tcW w:w="3686" w:type="dxa"/>
          <w:shd w:val="clear" w:color="auto" w:fill="auto"/>
        </w:tcPr>
        <w:p w:rsidR="00575144" w:rsidRDefault="00575144">
          <w:pPr>
            <w:tabs>
              <w:tab w:val="right" w:pos="4273"/>
            </w:tabs>
            <w:rPr>
              <w:rFonts w:ascii="Garamond" w:eastAsia="Garamond" w:hAnsi="Garamond" w:cs="Garamond"/>
              <w:sz w:val="16"/>
              <w:szCs w:val="16"/>
            </w:rPr>
          </w:pPr>
        </w:p>
      </w:tc>
      <w:tc>
        <w:tcPr>
          <w:tcW w:w="6946" w:type="dxa"/>
          <w:shd w:val="clear" w:color="auto" w:fill="auto"/>
        </w:tcPr>
        <w:tbl>
          <w:tblPr>
            <w:tblStyle w:val="a6"/>
            <w:tblW w:w="6791" w:type="dxa"/>
            <w:tblInd w:w="40" w:type="dxa"/>
            <w:tblLayout w:type="fixed"/>
            <w:tblLook w:val="0400" w:firstRow="0" w:lastRow="0" w:firstColumn="0" w:lastColumn="0" w:noHBand="0" w:noVBand="1"/>
          </w:tblPr>
          <w:tblGrid>
            <w:gridCol w:w="2680"/>
            <w:gridCol w:w="4111"/>
          </w:tblGrid>
          <w:tr w:rsidR="00575144" w:rsidTr="00575144">
            <w:trPr>
              <w:trHeight w:val="444"/>
            </w:trPr>
            <w:tc>
              <w:tcPr>
                <w:tcW w:w="2680" w:type="dxa"/>
                <w:shd w:val="clear" w:color="auto" w:fill="auto"/>
              </w:tcPr>
              <w:p w:rsidR="00575144" w:rsidRPr="00575144" w:rsidRDefault="00575144" w:rsidP="00575144">
                <w:pPr>
                  <w:tabs>
                    <w:tab w:val="right" w:pos="8838"/>
                  </w:tabs>
                  <w:ind w:right="-105"/>
                  <w:rPr>
                    <w:rFonts w:ascii="Palatino Linotype" w:eastAsia="Palatino Linotype" w:hAnsi="Palatino Linotype" w:cs="Palatino Linotype"/>
                    <w:b/>
                  </w:rPr>
                </w:pPr>
                <w:r w:rsidRPr="00575144">
                  <w:rPr>
                    <w:rFonts w:ascii="Palatino Linotype" w:eastAsia="Palatino Linotype" w:hAnsi="Palatino Linotype" w:cs="Palatino Linotype"/>
                    <w:b/>
                  </w:rPr>
                  <w:t>Recurso de Revisión:</w:t>
                </w:r>
              </w:p>
            </w:tc>
            <w:tc>
              <w:tcPr>
                <w:tcW w:w="4111" w:type="dxa"/>
                <w:shd w:val="clear" w:color="auto" w:fill="auto"/>
              </w:tcPr>
              <w:p w:rsidR="00575144" w:rsidRPr="00575144" w:rsidRDefault="00575144" w:rsidP="00575144">
                <w:pPr>
                  <w:tabs>
                    <w:tab w:val="right" w:pos="8838"/>
                  </w:tabs>
                  <w:ind w:left="-108" w:right="-102"/>
                  <w:jc w:val="both"/>
                  <w:rPr>
                    <w:rFonts w:ascii="Palatino Linotype" w:eastAsia="Palatino Linotype" w:hAnsi="Palatino Linotype" w:cs="Palatino Linotype"/>
                  </w:rPr>
                </w:pPr>
                <w:r w:rsidRPr="00575144">
                  <w:rPr>
                    <w:rFonts w:ascii="Palatino Linotype" w:eastAsia="Palatino Linotype" w:hAnsi="Palatino Linotype" w:cs="Palatino Linotype"/>
                  </w:rPr>
                  <w:t>07368/INFOEM/IP/RR/2025</w:t>
                </w:r>
              </w:p>
            </w:tc>
          </w:tr>
          <w:tr w:rsidR="00575144" w:rsidTr="00575144">
            <w:trPr>
              <w:trHeight w:val="295"/>
            </w:trPr>
            <w:tc>
              <w:tcPr>
                <w:tcW w:w="2680" w:type="dxa"/>
                <w:shd w:val="clear" w:color="auto" w:fill="auto"/>
              </w:tcPr>
              <w:p w:rsidR="00575144" w:rsidRPr="00575144" w:rsidRDefault="00575144" w:rsidP="00575144">
                <w:pPr>
                  <w:tabs>
                    <w:tab w:val="right" w:pos="8838"/>
                  </w:tabs>
                  <w:ind w:right="-105"/>
                  <w:rPr>
                    <w:rFonts w:ascii="Palatino Linotype" w:eastAsia="Palatino Linotype" w:hAnsi="Palatino Linotype" w:cs="Palatino Linotype"/>
                    <w:b/>
                  </w:rPr>
                </w:pPr>
                <w:r w:rsidRPr="00575144">
                  <w:rPr>
                    <w:rFonts w:ascii="Palatino Linotype" w:eastAsia="Palatino Linotype" w:hAnsi="Palatino Linotype" w:cs="Palatino Linotype"/>
                    <w:b/>
                  </w:rPr>
                  <w:t>Sujeto Obligado:</w:t>
                </w:r>
              </w:p>
            </w:tc>
            <w:tc>
              <w:tcPr>
                <w:tcW w:w="4111" w:type="dxa"/>
                <w:shd w:val="clear" w:color="auto" w:fill="auto"/>
              </w:tcPr>
              <w:p w:rsidR="00575144" w:rsidRPr="00575144" w:rsidRDefault="00575144" w:rsidP="00575144">
                <w:pPr>
                  <w:tabs>
                    <w:tab w:val="left" w:pos="2834"/>
                    <w:tab w:val="right" w:pos="8838"/>
                  </w:tabs>
                  <w:ind w:left="-108" w:right="-102"/>
                  <w:jc w:val="both"/>
                  <w:rPr>
                    <w:rFonts w:ascii="Palatino Linotype" w:eastAsia="Palatino Linotype" w:hAnsi="Palatino Linotype" w:cs="Palatino Linotype"/>
                  </w:rPr>
                </w:pPr>
                <w:r w:rsidRPr="00575144">
                  <w:rPr>
                    <w:rFonts w:ascii="Palatino Linotype" w:eastAsia="Palatino Linotype" w:hAnsi="Palatino Linotype" w:cs="Palatino Linotype"/>
                  </w:rPr>
                  <w:t>Ayuntamiento de Ozumba</w:t>
                </w:r>
              </w:p>
            </w:tc>
          </w:tr>
          <w:tr w:rsidR="00575144" w:rsidTr="00575144">
            <w:trPr>
              <w:trHeight w:val="295"/>
            </w:trPr>
            <w:tc>
              <w:tcPr>
                <w:tcW w:w="2680" w:type="dxa"/>
                <w:shd w:val="clear" w:color="auto" w:fill="auto"/>
              </w:tcPr>
              <w:p w:rsidR="00575144" w:rsidRPr="00575144" w:rsidRDefault="00575144" w:rsidP="00575144">
                <w:pPr>
                  <w:tabs>
                    <w:tab w:val="right" w:pos="8838"/>
                  </w:tabs>
                  <w:ind w:right="-105"/>
                  <w:rPr>
                    <w:rFonts w:ascii="Palatino Linotype" w:eastAsia="Palatino Linotype" w:hAnsi="Palatino Linotype" w:cs="Palatino Linotype"/>
                    <w:b/>
                  </w:rPr>
                </w:pPr>
                <w:r w:rsidRPr="00575144">
                  <w:rPr>
                    <w:rFonts w:ascii="Palatino Linotype" w:eastAsia="Palatino Linotype" w:hAnsi="Palatino Linotype" w:cs="Palatino Linotype"/>
                    <w:b/>
                  </w:rPr>
                  <w:t>Comisionada ponente:</w:t>
                </w:r>
              </w:p>
            </w:tc>
            <w:tc>
              <w:tcPr>
                <w:tcW w:w="4111" w:type="dxa"/>
                <w:shd w:val="clear" w:color="auto" w:fill="auto"/>
              </w:tcPr>
              <w:p w:rsidR="00575144" w:rsidRPr="00575144" w:rsidRDefault="00575144" w:rsidP="00575144">
                <w:pPr>
                  <w:tabs>
                    <w:tab w:val="right" w:pos="8838"/>
                  </w:tabs>
                  <w:ind w:left="-108" w:right="171"/>
                  <w:jc w:val="both"/>
                  <w:rPr>
                    <w:rFonts w:ascii="Palatino Linotype" w:eastAsia="Palatino Linotype" w:hAnsi="Palatino Linotype" w:cs="Palatino Linotype"/>
                  </w:rPr>
                </w:pPr>
                <w:r w:rsidRPr="00575144">
                  <w:rPr>
                    <w:rFonts w:ascii="Palatino Linotype" w:eastAsia="Palatino Linotype" w:hAnsi="Palatino Linotype" w:cs="Palatino Linotype"/>
                  </w:rPr>
                  <w:t>María del Rosario Mejía Ayala</w:t>
                </w:r>
              </w:p>
              <w:p w:rsidR="00575144" w:rsidRPr="00575144" w:rsidRDefault="00575144" w:rsidP="00575144">
                <w:pPr>
                  <w:tabs>
                    <w:tab w:val="right" w:pos="8838"/>
                  </w:tabs>
                  <w:ind w:left="-108" w:right="171"/>
                  <w:jc w:val="both"/>
                  <w:rPr>
                    <w:rFonts w:ascii="Palatino Linotype" w:eastAsia="Palatino Linotype" w:hAnsi="Palatino Linotype" w:cs="Palatino Linotype"/>
                    <w:b/>
                  </w:rPr>
                </w:pPr>
              </w:p>
            </w:tc>
          </w:tr>
        </w:tbl>
        <w:p w:rsidR="00575144" w:rsidRDefault="00575144">
          <w:pPr>
            <w:tabs>
              <w:tab w:val="right" w:pos="8838"/>
            </w:tabs>
            <w:ind w:left="-28"/>
            <w:jc w:val="both"/>
            <w:rPr>
              <w:rFonts w:ascii="Arial" w:eastAsia="Arial" w:hAnsi="Arial" w:cs="Arial"/>
              <w:b/>
              <w:sz w:val="22"/>
              <w:szCs w:val="22"/>
            </w:rPr>
          </w:pPr>
        </w:p>
      </w:tc>
    </w:tr>
  </w:tbl>
  <w:p w:rsidR="00575144" w:rsidRDefault="00E44354">
    <w:pPr>
      <w:pBdr>
        <w:top w:val="nil"/>
        <w:left w:val="nil"/>
        <w:bottom w:val="nil"/>
        <w:right w:val="nil"/>
        <w:between w:val="nil"/>
      </w:pBdr>
      <w:tabs>
        <w:tab w:val="center" w:pos="4419"/>
        <w:tab w:val="right" w:pos="8838"/>
      </w:tabs>
      <w:rPr>
        <w:color w:val="000000"/>
        <w:sz w:val="14"/>
        <w:szCs w:val="14"/>
      </w:rPr>
    </w:pPr>
    <w:r>
      <w:rPr>
        <w:color w:val="000000"/>
        <w:sz w:val="14"/>
        <w:szCs w:val="14"/>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 o:spid="_x0000_s2051" type="#_x0000_t75" alt="" style="position:absolute;margin-left:-68.8pt;margin-top:-120.5pt;width:589.8pt;height:768pt;z-index:-251659776;mso-position-horizontal:absolute;mso-position-horizontal-relative:margin;mso-position-vertical:absolute;mso-position-vertical-relative:margin">
          <v:imagedata r:id="rId1" o:title="image2"/>
          <w10:wrap anchorx="margin" anchory="margin"/>
        </v:shape>
      </w:pict>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tbl>
    <w:tblPr>
      <w:tblStyle w:val="a7"/>
      <w:tblW w:w="10206" w:type="dxa"/>
      <w:tblInd w:w="0" w:type="dxa"/>
      <w:tblLayout w:type="fixed"/>
      <w:tblLook w:val="0400" w:firstRow="0" w:lastRow="0" w:firstColumn="0" w:lastColumn="0" w:noHBand="0" w:noVBand="1"/>
    </w:tblPr>
    <w:tblGrid>
      <w:gridCol w:w="2268"/>
      <w:gridCol w:w="7938"/>
    </w:tblGrid>
    <w:tr w:rsidR="00575144" w:rsidTr="006A3627">
      <w:trPr>
        <w:trHeight w:val="1435"/>
      </w:trPr>
      <w:tc>
        <w:tcPr>
          <w:tcW w:w="2268" w:type="dxa"/>
          <w:shd w:val="clear" w:color="auto" w:fill="auto"/>
        </w:tcPr>
        <w:p w:rsidR="00575144" w:rsidRDefault="00575144">
          <w:pPr>
            <w:tabs>
              <w:tab w:val="right" w:pos="4273"/>
            </w:tabs>
            <w:rPr>
              <w:rFonts w:ascii="Garamond" w:eastAsia="Garamond" w:hAnsi="Garamond" w:cs="Garamond"/>
              <w:sz w:val="22"/>
              <w:szCs w:val="22"/>
            </w:rPr>
          </w:pPr>
        </w:p>
      </w:tc>
      <w:tc>
        <w:tcPr>
          <w:tcW w:w="7938" w:type="dxa"/>
          <w:shd w:val="clear" w:color="auto" w:fill="auto"/>
        </w:tcPr>
        <w:tbl>
          <w:tblPr>
            <w:tblStyle w:val="a8"/>
            <w:tblW w:w="6898" w:type="dxa"/>
            <w:tblInd w:w="1586" w:type="dxa"/>
            <w:tblLayout w:type="fixed"/>
            <w:tblLook w:val="0400" w:firstRow="0" w:lastRow="0" w:firstColumn="0" w:lastColumn="0" w:noHBand="0" w:noVBand="1"/>
          </w:tblPr>
          <w:tblGrid>
            <w:gridCol w:w="2680"/>
            <w:gridCol w:w="4218"/>
          </w:tblGrid>
          <w:tr w:rsidR="00575144" w:rsidTr="006A3627">
            <w:trPr>
              <w:trHeight w:val="144"/>
            </w:trPr>
            <w:tc>
              <w:tcPr>
                <w:tcW w:w="2680" w:type="dxa"/>
                <w:shd w:val="clear" w:color="auto" w:fill="auto"/>
              </w:tcPr>
              <w:p w:rsidR="00575144" w:rsidRPr="00575144" w:rsidRDefault="00575144" w:rsidP="00575144">
                <w:pPr>
                  <w:tabs>
                    <w:tab w:val="right" w:pos="8838"/>
                  </w:tabs>
                  <w:ind w:left="-264" w:right="-105" w:firstLine="195"/>
                  <w:rPr>
                    <w:rFonts w:ascii="Palatino Linotype" w:eastAsia="Palatino Linotype" w:hAnsi="Palatino Linotype" w:cs="Palatino Linotype"/>
                    <w:b/>
                  </w:rPr>
                </w:pPr>
                <w:r w:rsidRPr="00575144">
                  <w:rPr>
                    <w:rFonts w:ascii="Palatino Linotype" w:eastAsia="Palatino Linotype" w:hAnsi="Palatino Linotype" w:cs="Palatino Linotype"/>
                    <w:b/>
                  </w:rPr>
                  <w:t>Recurso de Revisión:</w:t>
                </w:r>
              </w:p>
            </w:tc>
            <w:tc>
              <w:tcPr>
                <w:tcW w:w="4218" w:type="dxa"/>
                <w:shd w:val="clear" w:color="auto" w:fill="auto"/>
              </w:tcPr>
              <w:p w:rsidR="00575144" w:rsidRPr="00575144" w:rsidRDefault="00575144" w:rsidP="00575144">
                <w:pPr>
                  <w:tabs>
                    <w:tab w:val="right" w:pos="8838"/>
                  </w:tabs>
                  <w:ind w:left="-74" w:right="-105"/>
                  <w:jc w:val="both"/>
                  <w:rPr>
                    <w:rFonts w:ascii="Palatino Linotype" w:eastAsia="Palatino Linotype" w:hAnsi="Palatino Linotype" w:cs="Palatino Linotype"/>
                  </w:rPr>
                </w:pPr>
                <w:r w:rsidRPr="00575144">
                  <w:rPr>
                    <w:rFonts w:ascii="Palatino Linotype" w:eastAsia="Palatino Linotype" w:hAnsi="Palatino Linotype" w:cs="Palatino Linotype"/>
                  </w:rPr>
                  <w:t>07368/INFOEM/IP/RR/2025</w:t>
                </w:r>
              </w:p>
            </w:tc>
          </w:tr>
          <w:tr w:rsidR="00575144" w:rsidTr="006A3627">
            <w:trPr>
              <w:trHeight w:val="144"/>
            </w:trPr>
            <w:tc>
              <w:tcPr>
                <w:tcW w:w="2680" w:type="dxa"/>
                <w:shd w:val="clear" w:color="auto" w:fill="auto"/>
              </w:tcPr>
              <w:p w:rsidR="00575144" w:rsidRPr="00575144" w:rsidRDefault="00575144" w:rsidP="00575144">
                <w:pPr>
                  <w:tabs>
                    <w:tab w:val="right" w:pos="8838"/>
                  </w:tabs>
                  <w:ind w:left="-74" w:right="-105"/>
                  <w:rPr>
                    <w:rFonts w:ascii="Palatino Linotype" w:eastAsia="Palatino Linotype" w:hAnsi="Palatino Linotype" w:cs="Palatino Linotype"/>
                    <w:b/>
                  </w:rPr>
                </w:pPr>
                <w:r w:rsidRPr="00575144">
                  <w:rPr>
                    <w:rFonts w:ascii="Palatino Linotype" w:eastAsia="Palatino Linotype" w:hAnsi="Palatino Linotype" w:cs="Palatino Linotype"/>
                    <w:b/>
                  </w:rPr>
                  <w:t>Recurrente:</w:t>
                </w:r>
              </w:p>
            </w:tc>
            <w:tc>
              <w:tcPr>
                <w:tcW w:w="4218" w:type="dxa"/>
                <w:shd w:val="clear" w:color="auto" w:fill="auto"/>
              </w:tcPr>
              <w:p w:rsidR="00575144" w:rsidRPr="00575144" w:rsidRDefault="00F2587E" w:rsidP="00575144">
                <w:pPr>
                  <w:tabs>
                    <w:tab w:val="left" w:pos="3122"/>
                    <w:tab w:val="right" w:pos="8838"/>
                  </w:tabs>
                  <w:ind w:left="-74" w:right="-105"/>
                  <w:jc w:val="both"/>
                  <w:rPr>
                    <w:rFonts w:ascii="Palatino Linotype" w:eastAsia="Palatino Linotype" w:hAnsi="Palatino Linotype" w:cs="Palatino Linotype"/>
                  </w:rPr>
                </w:pPr>
                <w:r>
                  <w:rPr>
                    <w:rFonts w:ascii="Palatino Linotype" w:eastAsia="Palatino Linotype" w:hAnsi="Palatino Linotype" w:cs="Palatino Linotype"/>
                  </w:rPr>
                  <w:t>XXXX</w:t>
                </w:r>
              </w:p>
            </w:tc>
          </w:tr>
          <w:tr w:rsidR="00575144" w:rsidTr="006A3627">
            <w:trPr>
              <w:trHeight w:val="283"/>
            </w:trPr>
            <w:tc>
              <w:tcPr>
                <w:tcW w:w="2680" w:type="dxa"/>
                <w:shd w:val="clear" w:color="auto" w:fill="auto"/>
              </w:tcPr>
              <w:p w:rsidR="00575144" w:rsidRPr="00575144" w:rsidRDefault="00575144" w:rsidP="00575144">
                <w:pPr>
                  <w:tabs>
                    <w:tab w:val="right" w:pos="8838"/>
                  </w:tabs>
                  <w:ind w:left="-74" w:right="-105"/>
                  <w:rPr>
                    <w:rFonts w:ascii="Palatino Linotype" w:eastAsia="Palatino Linotype" w:hAnsi="Palatino Linotype" w:cs="Palatino Linotype"/>
                    <w:b/>
                  </w:rPr>
                </w:pPr>
                <w:r w:rsidRPr="00575144">
                  <w:rPr>
                    <w:rFonts w:ascii="Palatino Linotype" w:eastAsia="Palatino Linotype" w:hAnsi="Palatino Linotype" w:cs="Palatino Linotype"/>
                    <w:b/>
                  </w:rPr>
                  <w:t>Sujeto Obligado:</w:t>
                </w:r>
              </w:p>
            </w:tc>
            <w:tc>
              <w:tcPr>
                <w:tcW w:w="4218" w:type="dxa"/>
                <w:shd w:val="clear" w:color="auto" w:fill="auto"/>
              </w:tcPr>
              <w:p w:rsidR="00575144" w:rsidRPr="00575144" w:rsidRDefault="00575144" w:rsidP="006A3627">
                <w:pPr>
                  <w:tabs>
                    <w:tab w:val="right" w:pos="8838"/>
                  </w:tabs>
                  <w:ind w:left="-74" w:right="-105"/>
                  <w:jc w:val="both"/>
                  <w:rPr>
                    <w:rFonts w:ascii="Palatino Linotype" w:eastAsia="Palatino Linotype" w:hAnsi="Palatino Linotype" w:cs="Palatino Linotype"/>
                  </w:rPr>
                </w:pPr>
                <w:r w:rsidRPr="00575144">
                  <w:rPr>
                    <w:rFonts w:ascii="Palatino Linotype" w:eastAsia="Palatino Linotype" w:hAnsi="Palatino Linotype" w:cs="Palatino Linotype"/>
                  </w:rPr>
                  <w:t>Ayuntamiento de Ozumba</w:t>
                </w:r>
              </w:p>
            </w:tc>
          </w:tr>
          <w:tr w:rsidR="00575144" w:rsidTr="006A3627">
            <w:trPr>
              <w:trHeight w:val="283"/>
            </w:trPr>
            <w:tc>
              <w:tcPr>
                <w:tcW w:w="2680" w:type="dxa"/>
                <w:shd w:val="clear" w:color="auto" w:fill="auto"/>
              </w:tcPr>
              <w:p w:rsidR="00575144" w:rsidRPr="00575144" w:rsidRDefault="00575144" w:rsidP="00575144">
                <w:pPr>
                  <w:tabs>
                    <w:tab w:val="right" w:pos="8838"/>
                  </w:tabs>
                  <w:ind w:left="-74" w:right="-105"/>
                  <w:rPr>
                    <w:rFonts w:ascii="Palatino Linotype" w:eastAsia="Palatino Linotype" w:hAnsi="Palatino Linotype" w:cs="Palatino Linotype"/>
                    <w:b/>
                  </w:rPr>
                </w:pPr>
                <w:r w:rsidRPr="00575144">
                  <w:rPr>
                    <w:rFonts w:ascii="Palatino Linotype" w:eastAsia="Palatino Linotype" w:hAnsi="Palatino Linotype" w:cs="Palatino Linotype"/>
                    <w:b/>
                  </w:rPr>
                  <w:t>Comisionada ponente:</w:t>
                </w:r>
              </w:p>
            </w:tc>
            <w:tc>
              <w:tcPr>
                <w:tcW w:w="4218" w:type="dxa"/>
                <w:shd w:val="clear" w:color="auto" w:fill="auto"/>
              </w:tcPr>
              <w:p w:rsidR="00575144" w:rsidRPr="00575144" w:rsidRDefault="00575144" w:rsidP="00575144">
                <w:pPr>
                  <w:tabs>
                    <w:tab w:val="right" w:pos="8838"/>
                  </w:tabs>
                  <w:ind w:left="-74" w:right="-105"/>
                  <w:jc w:val="both"/>
                  <w:rPr>
                    <w:rFonts w:ascii="Palatino Linotype" w:eastAsia="Palatino Linotype" w:hAnsi="Palatino Linotype" w:cs="Palatino Linotype"/>
                  </w:rPr>
                </w:pPr>
                <w:r w:rsidRPr="00575144">
                  <w:rPr>
                    <w:rFonts w:ascii="Palatino Linotype" w:eastAsia="Palatino Linotype" w:hAnsi="Palatino Linotype" w:cs="Palatino Linotype"/>
                  </w:rPr>
                  <w:t>María del Rosario Mejía Ayala</w:t>
                </w:r>
              </w:p>
              <w:p w:rsidR="00575144" w:rsidRPr="00575144" w:rsidRDefault="00575144" w:rsidP="00575144">
                <w:pPr>
                  <w:tabs>
                    <w:tab w:val="right" w:pos="8838"/>
                  </w:tabs>
                  <w:ind w:left="-74" w:right="-105"/>
                  <w:jc w:val="both"/>
                  <w:rPr>
                    <w:rFonts w:ascii="Palatino Linotype" w:eastAsia="Palatino Linotype" w:hAnsi="Palatino Linotype" w:cs="Palatino Linotype"/>
                  </w:rPr>
                </w:pPr>
              </w:p>
            </w:tc>
          </w:tr>
        </w:tbl>
        <w:p w:rsidR="00575144" w:rsidRDefault="00575144">
          <w:pPr>
            <w:tabs>
              <w:tab w:val="right" w:pos="8838"/>
            </w:tabs>
            <w:ind w:left="-28"/>
            <w:jc w:val="both"/>
            <w:rPr>
              <w:rFonts w:ascii="Arial" w:eastAsia="Arial" w:hAnsi="Arial" w:cs="Arial"/>
              <w:b/>
              <w:sz w:val="22"/>
              <w:szCs w:val="22"/>
            </w:rPr>
          </w:pPr>
        </w:p>
      </w:tc>
    </w:tr>
  </w:tbl>
  <w:p w:rsidR="00575144" w:rsidRDefault="00E44354">
    <w:pPr>
      <w:pBdr>
        <w:top w:val="nil"/>
        <w:left w:val="nil"/>
        <w:bottom w:val="nil"/>
        <w:right w:val="nil"/>
        <w:between w:val="nil"/>
      </w:pBdr>
      <w:tabs>
        <w:tab w:val="center" w:pos="4419"/>
        <w:tab w:val="right" w:pos="8838"/>
      </w:tabs>
      <w:rPr>
        <w:color w:val="000000"/>
        <w:sz w:val="2"/>
        <w:szCs w:val="2"/>
      </w:rPr>
    </w:pPr>
    <w:r>
      <w:rPr>
        <w:color w:val="000000"/>
        <w:sz w:val="2"/>
        <w:szCs w:val="2"/>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3" o:spid="_x0000_s2050" type="#_x0000_t75" alt="" style="position:absolute;margin-left:-68.8pt;margin-top:-117.6pt;width:589.8pt;height:768pt;z-index:-251658752;mso-position-horizontal:absolute;mso-position-horizontal-relative:margin;mso-position-vertical:absolute;mso-position-vertical-relative:margin">
          <v:imagedata r:id="rId1" o:title="image2"/>
          <w10:wrap anchorx="margin" anchory="margin"/>
        </v:shape>
      </w:pi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12754FFB"/>
    <w:multiLevelType w:val="multilevel"/>
    <w:tmpl w:val="12BC1764"/>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 w15:restartNumberingAfterBreak="0">
    <w:nsid w:val="20505D4D"/>
    <w:multiLevelType w:val="multilevel"/>
    <w:tmpl w:val="4B6A881A"/>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 w15:restartNumberingAfterBreak="0">
    <w:nsid w:val="2381447F"/>
    <w:multiLevelType w:val="multilevel"/>
    <w:tmpl w:val="0C68342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3" w15:restartNumberingAfterBreak="0">
    <w:nsid w:val="29F26128"/>
    <w:multiLevelType w:val="multilevel"/>
    <w:tmpl w:val="E89A0804"/>
    <w:lvl w:ilvl="0">
      <w:start w:val="1"/>
      <w:numFmt w:val="bullet"/>
      <w:lvlText w:val="●"/>
      <w:lvlJc w:val="left"/>
      <w:pPr>
        <w:ind w:left="780" w:hanging="360"/>
      </w:pPr>
      <w:rPr>
        <w:rFonts w:ascii="Noto Sans Symbols" w:eastAsia="Noto Sans Symbols" w:hAnsi="Noto Sans Symbols" w:cs="Noto Sans Symbols"/>
      </w:rPr>
    </w:lvl>
    <w:lvl w:ilvl="1">
      <w:start w:val="1"/>
      <w:numFmt w:val="bullet"/>
      <w:lvlText w:val="o"/>
      <w:lvlJc w:val="left"/>
      <w:pPr>
        <w:ind w:left="1500" w:hanging="360"/>
      </w:pPr>
      <w:rPr>
        <w:rFonts w:ascii="Courier New" w:eastAsia="Courier New" w:hAnsi="Courier New" w:cs="Courier New"/>
      </w:rPr>
    </w:lvl>
    <w:lvl w:ilvl="2">
      <w:start w:val="1"/>
      <w:numFmt w:val="bullet"/>
      <w:lvlText w:val="▪"/>
      <w:lvlJc w:val="left"/>
      <w:pPr>
        <w:ind w:left="2220" w:hanging="360"/>
      </w:pPr>
      <w:rPr>
        <w:rFonts w:ascii="Noto Sans Symbols" w:eastAsia="Noto Sans Symbols" w:hAnsi="Noto Sans Symbols" w:cs="Noto Sans Symbols"/>
      </w:rPr>
    </w:lvl>
    <w:lvl w:ilvl="3">
      <w:start w:val="1"/>
      <w:numFmt w:val="bullet"/>
      <w:lvlText w:val="●"/>
      <w:lvlJc w:val="left"/>
      <w:pPr>
        <w:ind w:left="2940" w:hanging="360"/>
      </w:pPr>
      <w:rPr>
        <w:rFonts w:ascii="Noto Sans Symbols" w:eastAsia="Noto Sans Symbols" w:hAnsi="Noto Sans Symbols" w:cs="Noto Sans Symbols"/>
      </w:rPr>
    </w:lvl>
    <w:lvl w:ilvl="4">
      <w:start w:val="1"/>
      <w:numFmt w:val="bullet"/>
      <w:lvlText w:val="o"/>
      <w:lvlJc w:val="left"/>
      <w:pPr>
        <w:ind w:left="3660" w:hanging="360"/>
      </w:pPr>
      <w:rPr>
        <w:rFonts w:ascii="Courier New" w:eastAsia="Courier New" w:hAnsi="Courier New" w:cs="Courier New"/>
      </w:rPr>
    </w:lvl>
    <w:lvl w:ilvl="5">
      <w:start w:val="1"/>
      <w:numFmt w:val="bullet"/>
      <w:lvlText w:val="▪"/>
      <w:lvlJc w:val="left"/>
      <w:pPr>
        <w:ind w:left="4380" w:hanging="360"/>
      </w:pPr>
      <w:rPr>
        <w:rFonts w:ascii="Noto Sans Symbols" w:eastAsia="Noto Sans Symbols" w:hAnsi="Noto Sans Symbols" w:cs="Noto Sans Symbols"/>
      </w:rPr>
    </w:lvl>
    <w:lvl w:ilvl="6">
      <w:start w:val="1"/>
      <w:numFmt w:val="bullet"/>
      <w:lvlText w:val="●"/>
      <w:lvlJc w:val="left"/>
      <w:pPr>
        <w:ind w:left="5100" w:hanging="360"/>
      </w:pPr>
      <w:rPr>
        <w:rFonts w:ascii="Noto Sans Symbols" w:eastAsia="Noto Sans Symbols" w:hAnsi="Noto Sans Symbols" w:cs="Noto Sans Symbols"/>
      </w:rPr>
    </w:lvl>
    <w:lvl w:ilvl="7">
      <w:start w:val="1"/>
      <w:numFmt w:val="bullet"/>
      <w:lvlText w:val="o"/>
      <w:lvlJc w:val="left"/>
      <w:pPr>
        <w:ind w:left="5820" w:hanging="360"/>
      </w:pPr>
      <w:rPr>
        <w:rFonts w:ascii="Courier New" w:eastAsia="Courier New" w:hAnsi="Courier New" w:cs="Courier New"/>
      </w:rPr>
    </w:lvl>
    <w:lvl w:ilvl="8">
      <w:start w:val="1"/>
      <w:numFmt w:val="bullet"/>
      <w:lvlText w:val="▪"/>
      <w:lvlJc w:val="left"/>
      <w:pPr>
        <w:ind w:left="6540" w:hanging="360"/>
      </w:pPr>
      <w:rPr>
        <w:rFonts w:ascii="Noto Sans Symbols" w:eastAsia="Noto Sans Symbols" w:hAnsi="Noto Sans Symbols" w:cs="Noto Sans Symbols"/>
      </w:rPr>
    </w:lvl>
  </w:abstractNum>
  <w:abstractNum w:abstractNumId="4" w15:restartNumberingAfterBreak="0">
    <w:nsid w:val="306F5452"/>
    <w:multiLevelType w:val="hybridMultilevel"/>
    <w:tmpl w:val="C442C024"/>
    <w:lvl w:ilvl="0" w:tplc="488A558E">
      <w:start w:val="1"/>
      <w:numFmt w:val="upperRoman"/>
      <w:lvlText w:val="%1."/>
      <w:lvlJc w:val="left"/>
      <w:pPr>
        <w:ind w:left="1080" w:hanging="720"/>
      </w:pPr>
      <w:rPr>
        <w:rFonts w:hint="default"/>
        <w:b/>
      </w:rPr>
    </w:lvl>
    <w:lvl w:ilvl="1" w:tplc="080A0019" w:tentative="1">
      <w:start w:val="1"/>
      <w:numFmt w:val="lowerLetter"/>
      <w:lvlText w:val="%2."/>
      <w:lvlJc w:val="left"/>
      <w:pPr>
        <w:ind w:left="1440" w:hanging="360"/>
      </w:pPr>
    </w:lvl>
    <w:lvl w:ilvl="2" w:tplc="080A001B" w:tentative="1">
      <w:start w:val="1"/>
      <w:numFmt w:val="lowerRoman"/>
      <w:lvlText w:val="%3."/>
      <w:lvlJc w:val="right"/>
      <w:pPr>
        <w:ind w:left="2160" w:hanging="180"/>
      </w:pPr>
    </w:lvl>
    <w:lvl w:ilvl="3" w:tplc="080A000F" w:tentative="1">
      <w:start w:val="1"/>
      <w:numFmt w:val="decimal"/>
      <w:lvlText w:val="%4."/>
      <w:lvlJc w:val="left"/>
      <w:pPr>
        <w:ind w:left="2880" w:hanging="360"/>
      </w:pPr>
    </w:lvl>
    <w:lvl w:ilvl="4" w:tplc="080A0019" w:tentative="1">
      <w:start w:val="1"/>
      <w:numFmt w:val="lowerLetter"/>
      <w:lvlText w:val="%5."/>
      <w:lvlJc w:val="left"/>
      <w:pPr>
        <w:ind w:left="3600" w:hanging="360"/>
      </w:pPr>
    </w:lvl>
    <w:lvl w:ilvl="5" w:tplc="080A001B" w:tentative="1">
      <w:start w:val="1"/>
      <w:numFmt w:val="lowerRoman"/>
      <w:lvlText w:val="%6."/>
      <w:lvlJc w:val="right"/>
      <w:pPr>
        <w:ind w:left="4320" w:hanging="180"/>
      </w:pPr>
    </w:lvl>
    <w:lvl w:ilvl="6" w:tplc="080A000F" w:tentative="1">
      <w:start w:val="1"/>
      <w:numFmt w:val="decimal"/>
      <w:lvlText w:val="%7."/>
      <w:lvlJc w:val="left"/>
      <w:pPr>
        <w:ind w:left="5040" w:hanging="360"/>
      </w:pPr>
    </w:lvl>
    <w:lvl w:ilvl="7" w:tplc="080A0019" w:tentative="1">
      <w:start w:val="1"/>
      <w:numFmt w:val="lowerLetter"/>
      <w:lvlText w:val="%8."/>
      <w:lvlJc w:val="left"/>
      <w:pPr>
        <w:ind w:left="5760" w:hanging="360"/>
      </w:pPr>
    </w:lvl>
    <w:lvl w:ilvl="8" w:tplc="080A001B" w:tentative="1">
      <w:start w:val="1"/>
      <w:numFmt w:val="lowerRoman"/>
      <w:lvlText w:val="%9."/>
      <w:lvlJc w:val="right"/>
      <w:pPr>
        <w:ind w:left="6480" w:hanging="180"/>
      </w:pPr>
    </w:lvl>
  </w:abstractNum>
  <w:abstractNum w:abstractNumId="5" w15:restartNumberingAfterBreak="0">
    <w:nsid w:val="32F2243F"/>
    <w:multiLevelType w:val="multilevel"/>
    <w:tmpl w:val="67988E24"/>
    <w:lvl w:ilvl="0">
      <w:start w:val="1"/>
      <w:numFmt w:val="bullet"/>
      <w:lvlText w:val="●"/>
      <w:lvlJc w:val="left"/>
      <w:pPr>
        <w:ind w:left="1440" w:hanging="360"/>
      </w:pPr>
      <w:rPr>
        <w:rFonts w:ascii="Noto Sans Symbols" w:eastAsia="Noto Sans Symbols" w:hAnsi="Noto Sans Symbols" w:cs="Noto Sans Symbols"/>
      </w:rPr>
    </w:lvl>
    <w:lvl w:ilvl="1">
      <w:start w:val="1"/>
      <w:numFmt w:val="bullet"/>
      <w:lvlText w:val="o"/>
      <w:lvlJc w:val="left"/>
      <w:pPr>
        <w:ind w:left="2160" w:hanging="360"/>
      </w:pPr>
      <w:rPr>
        <w:rFonts w:ascii="Courier New" w:eastAsia="Courier New" w:hAnsi="Courier New" w:cs="Courier New"/>
      </w:rPr>
    </w:lvl>
    <w:lvl w:ilvl="2">
      <w:start w:val="1"/>
      <w:numFmt w:val="bullet"/>
      <w:lvlText w:val="▪"/>
      <w:lvlJc w:val="left"/>
      <w:pPr>
        <w:ind w:left="2880" w:hanging="360"/>
      </w:pPr>
      <w:rPr>
        <w:rFonts w:ascii="Noto Sans Symbols" w:eastAsia="Noto Sans Symbols" w:hAnsi="Noto Sans Symbols" w:cs="Noto Sans Symbols"/>
      </w:rPr>
    </w:lvl>
    <w:lvl w:ilvl="3">
      <w:start w:val="1"/>
      <w:numFmt w:val="bullet"/>
      <w:lvlText w:val="●"/>
      <w:lvlJc w:val="left"/>
      <w:pPr>
        <w:ind w:left="3600" w:hanging="360"/>
      </w:pPr>
      <w:rPr>
        <w:rFonts w:ascii="Noto Sans Symbols" w:eastAsia="Noto Sans Symbols" w:hAnsi="Noto Sans Symbols" w:cs="Noto Sans Symbols"/>
      </w:rPr>
    </w:lvl>
    <w:lvl w:ilvl="4">
      <w:start w:val="1"/>
      <w:numFmt w:val="bullet"/>
      <w:lvlText w:val="o"/>
      <w:lvlJc w:val="left"/>
      <w:pPr>
        <w:ind w:left="4320" w:hanging="360"/>
      </w:pPr>
      <w:rPr>
        <w:rFonts w:ascii="Courier New" w:eastAsia="Courier New" w:hAnsi="Courier New" w:cs="Courier New"/>
      </w:rPr>
    </w:lvl>
    <w:lvl w:ilvl="5">
      <w:start w:val="1"/>
      <w:numFmt w:val="bullet"/>
      <w:lvlText w:val="▪"/>
      <w:lvlJc w:val="left"/>
      <w:pPr>
        <w:ind w:left="5040" w:hanging="360"/>
      </w:pPr>
      <w:rPr>
        <w:rFonts w:ascii="Noto Sans Symbols" w:eastAsia="Noto Sans Symbols" w:hAnsi="Noto Sans Symbols" w:cs="Noto Sans Symbols"/>
      </w:rPr>
    </w:lvl>
    <w:lvl w:ilvl="6">
      <w:start w:val="1"/>
      <w:numFmt w:val="bullet"/>
      <w:lvlText w:val="●"/>
      <w:lvlJc w:val="left"/>
      <w:pPr>
        <w:ind w:left="5760" w:hanging="360"/>
      </w:pPr>
      <w:rPr>
        <w:rFonts w:ascii="Noto Sans Symbols" w:eastAsia="Noto Sans Symbols" w:hAnsi="Noto Sans Symbols" w:cs="Noto Sans Symbols"/>
      </w:rPr>
    </w:lvl>
    <w:lvl w:ilvl="7">
      <w:start w:val="1"/>
      <w:numFmt w:val="bullet"/>
      <w:lvlText w:val="o"/>
      <w:lvlJc w:val="left"/>
      <w:pPr>
        <w:ind w:left="6480" w:hanging="360"/>
      </w:pPr>
      <w:rPr>
        <w:rFonts w:ascii="Courier New" w:eastAsia="Courier New" w:hAnsi="Courier New" w:cs="Courier New"/>
      </w:rPr>
    </w:lvl>
    <w:lvl w:ilvl="8">
      <w:start w:val="1"/>
      <w:numFmt w:val="bullet"/>
      <w:lvlText w:val="▪"/>
      <w:lvlJc w:val="left"/>
      <w:pPr>
        <w:ind w:left="7200" w:hanging="360"/>
      </w:pPr>
      <w:rPr>
        <w:rFonts w:ascii="Noto Sans Symbols" w:eastAsia="Noto Sans Symbols" w:hAnsi="Noto Sans Symbols" w:cs="Noto Sans Symbols"/>
      </w:rPr>
    </w:lvl>
  </w:abstractNum>
  <w:abstractNum w:abstractNumId="6" w15:restartNumberingAfterBreak="0">
    <w:nsid w:val="36035CA4"/>
    <w:multiLevelType w:val="multilevel"/>
    <w:tmpl w:val="8462266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7" w15:restartNumberingAfterBreak="0">
    <w:nsid w:val="3BA5602B"/>
    <w:multiLevelType w:val="multilevel"/>
    <w:tmpl w:val="45D68E02"/>
    <w:lvl w:ilvl="0">
      <w:start w:val="1"/>
      <w:numFmt w:val="upperRoman"/>
      <w:lvlText w:val="%1."/>
      <w:lvlJc w:val="left"/>
      <w:pPr>
        <w:ind w:left="1430" w:hanging="720"/>
      </w:pPr>
    </w:lvl>
    <w:lvl w:ilvl="1">
      <w:start w:val="1"/>
      <w:numFmt w:val="lowerLetter"/>
      <w:lvlText w:val="%2."/>
      <w:lvlJc w:val="left"/>
      <w:pPr>
        <w:ind w:left="1790" w:hanging="360"/>
      </w:pPr>
    </w:lvl>
    <w:lvl w:ilvl="2">
      <w:start w:val="1"/>
      <w:numFmt w:val="lowerRoman"/>
      <w:lvlText w:val="%3."/>
      <w:lvlJc w:val="right"/>
      <w:pPr>
        <w:ind w:left="2510" w:hanging="180"/>
      </w:pPr>
    </w:lvl>
    <w:lvl w:ilvl="3">
      <w:start w:val="1"/>
      <w:numFmt w:val="decimal"/>
      <w:lvlText w:val="%4."/>
      <w:lvlJc w:val="left"/>
      <w:pPr>
        <w:ind w:left="3230" w:hanging="360"/>
      </w:pPr>
    </w:lvl>
    <w:lvl w:ilvl="4">
      <w:start w:val="1"/>
      <w:numFmt w:val="lowerLetter"/>
      <w:lvlText w:val="%5."/>
      <w:lvlJc w:val="left"/>
      <w:pPr>
        <w:ind w:left="3950" w:hanging="360"/>
      </w:pPr>
    </w:lvl>
    <w:lvl w:ilvl="5">
      <w:start w:val="1"/>
      <w:numFmt w:val="lowerRoman"/>
      <w:lvlText w:val="%6."/>
      <w:lvlJc w:val="right"/>
      <w:pPr>
        <w:ind w:left="4670" w:hanging="180"/>
      </w:pPr>
    </w:lvl>
    <w:lvl w:ilvl="6">
      <w:start w:val="1"/>
      <w:numFmt w:val="decimal"/>
      <w:lvlText w:val="%7."/>
      <w:lvlJc w:val="left"/>
      <w:pPr>
        <w:ind w:left="5390" w:hanging="360"/>
      </w:pPr>
    </w:lvl>
    <w:lvl w:ilvl="7">
      <w:start w:val="1"/>
      <w:numFmt w:val="lowerLetter"/>
      <w:lvlText w:val="%8."/>
      <w:lvlJc w:val="left"/>
      <w:pPr>
        <w:ind w:left="6110" w:hanging="360"/>
      </w:pPr>
    </w:lvl>
    <w:lvl w:ilvl="8">
      <w:start w:val="1"/>
      <w:numFmt w:val="lowerRoman"/>
      <w:lvlText w:val="%9."/>
      <w:lvlJc w:val="right"/>
      <w:pPr>
        <w:ind w:left="6830" w:hanging="180"/>
      </w:pPr>
    </w:lvl>
  </w:abstractNum>
  <w:abstractNum w:abstractNumId="8" w15:restartNumberingAfterBreak="0">
    <w:nsid w:val="3EC12607"/>
    <w:multiLevelType w:val="multilevel"/>
    <w:tmpl w:val="1FD49200"/>
    <w:lvl w:ilvl="0">
      <w:start w:val="1"/>
      <w:numFmt w:val="bullet"/>
      <w:lvlText w:val="●"/>
      <w:lvlJc w:val="left"/>
      <w:pPr>
        <w:ind w:left="1146" w:hanging="360"/>
      </w:pPr>
      <w:rPr>
        <w:rFonts w:ascii="Noto Sans Symbols" w:eastAsia="Noto Sans Symbols" w:hAnsi="Noto Sans Symbols" w:cs="Noto Sans Symbols"/>
      </w:rPr>
    </w:lvl>
    <w:lvl w:ilvl="1">
      <w:start w:val="1"/>
      <w:numFmt w:val="bullet"/>
      <w:lvlText w:val="o"/>
      <w:lvlJc w:val="left"/>
      <w:pPr>
        <w:ind w:left="1866" w:hanging="360"/>
      </w:pPr>
      <w:rPr>
        <w:rFonts w:ascii="Courier New" w:eastAsia="Courier New" w:hAnsi="Courier New" w:cs="Courier New"/>
      </w:rPr>
    </w:lvl>
    <w:lvl w:ilvl="2">
      <w:start w:val="1"/>
      <w:numFmt w:val="bullet"/>
      <w:lvlText w:val="▪"/>
      <w:lvlJc w:val="left"/>
      <w:pPr>
        <w:ind w:left="2586" w:hanging="360"/>
      </w:pPr>
      <w:rPr>
        <w:rFonts w:ascii="Noto Sans Symbols" w:eastAsia="Noto Sans Symbols" w:hAnsi="Noto Sans Symbols" w:cs="Noto Sans Symbols"/>
      </w:rPr>
    </w:lvl>
    <w:lvl w:ilvl="3">
      <w:start w:val="1"/>
      <w:numFmt w:val="bullet"/>
      <w:lvlText w:val="●"/>
      <w:lvlJc w:val="left"/>
      <w:pPr>
        <w:ind w:left="3306" w:hanging="360"/>
      </w:pPr>
      <w:rPr>
        <w:rFonts w:ascii="Noto Sans Symbols" w:eastAsia="Noto Sans Symbols" w:hAnsi="Noto Sans Symbols" w:cs="Noto Sans Symbols"/>
      </w:rPr>
    </w:lvl>
    <w:lvl w:ilvl="4">
      <w:start w:val="1"/>
      <w:numFmt w:val="bullet"/>
      <w:lvlText w:val="o"/>
      <w:lvlJc w:val="left"/>
      <w:pPr>
        <w:ind w:left="4026" w:hanging="360"/>
      </w:pPr>
      <w:rPr>
        <w:rFonts w:ascii="Courier New" w:eastAsia="Courier New" w:hAnsi="Courier New" w:cs="Courier New"/>
      </w:rPr>
    </w:lvl>
    <w:lvl w:ilvl="5">
      <w:start w:val="1"/>
      <w:numFmt w:val="bullet"/>
      <w:lvlText w:val="▪"/>
      <w:lvlJc w:val="left"/>
      <w:pPr>
        <w:ind w:left="4746" w:hanging="360"/>
      </w:pPr>
      <w:rPr>
        <w:rFonts w:ascii="Noto Sans Symbols" w:eastAsia="Noto Sans Symbols" w:hAnsi="Noto Sans Symbols" w:cs="Noto Sans Symbols"/>
      </w:rPr>
    </w:lvl>
    <w:lvl w:ilvl="6">
      <w:start w:val="1"/>
      <w:numFmt w:val="bullet"/>
      <w:lvlText w:val="●"/>
      <w:lvlJc w:val="left"/>
      <w:pPr>
        <w:ind w:left="5466" w:hanging="360"/>
      </w:pPr>
      <w:rPr>
        <w:rFonts w:ascii="Noto Sans Symbols" w:eastAsia="Noto Sans Symbols" w:hAnsi="Noto Sans Symbols" w:cs="Noto Sans Symbols"/>
      </w:rPr>
    </w:lvl>
    <w:lvl w:ilvl="7">
      <w:start w:val="1"/>
      <w:numFmt w:val="bullet"/>
      <w:lvlText w:val="o"/>
      <w:lvlJc w:val="left"/>
      <w:pPr>
        <w:ind w:left="6186" w:hanging="360"/>
      </w:pPr>
      <w:rPr>
        <w:rFonts w:ascii="Courier New" w:eastAsia="Courier New" w:hAnsi="Courier New" w:cs="Courier New"/>
      </w:rPr>
    </w:lvl>
    <w:lvl w:ilvl="8">
      <w:start w:val="1"/>
      <w:numFmt w:val="bullet"/>
      <w:lvlText w:val="▪"/>
      <w:lvlJc w:val="left"/>
      <w:pPr>
        <w:ind w:left="6906" w:hanging="360"/>
      </w:pPr>
      <w:rPr>
        <w:rFonts w:ascii="Noto Sans Symbols" w:eastAsia="Noto Sans Symbols" w:hAnsi="Noto Sans Symbols" w:cs="Noto Sans Symbols"/>
      </w:rPr>
    </w:lvl>
  </w:abstractNum>
  <w:abstractNum w:abstractNumId="9" w15:restartNumberingAfterBreak="0">
    <w:nsid w:val="40203E13"/>
    <w:multiLevelType w:val="multilevel"/>
    <w:tmpl w:val="27961DD2"/>
    <w:lvl w:ilvl="0">
      <w:start w:val="1"/>
      <w:numFmt w:val="decimal"/>
      <w:lvlText w:val="%1."/>
      <w:lvlJc w:val="left"/>
      <w:pPr>
        <w:ind w:left="0" w:firstLine="0"/>
      </w:pPr>
      <w:rPr>
        <w:rFonts w:ascii="Palatino Linotype" w:eastAsia="Palatino Linotype" w:hAnsi="Palatino Linotype" w:cs="Palatino Linotype"/>
        <w:b/>
        <w:i w:val="0"/>
        <w:sz w:val="24"/>
        <w:szCs w:val="24"/>
      </w:rPr>
    </w:lvl>
    <w:lvl w:ilvl="1">
      <w:start w:val="1"/>
      <w:numFmt w:val="bullet"/>
      <w:lvlText w:val="●"/>
      <w:lvlJc w:val="left"/>
      <w:pPr>
        <w:ind w:left="1440" w:hanging="360"/>
      </w:pPr>
      <w:rPr>
        <w:rFonts w:ascii="Noto Sans Symbols" w:eastAsia="Noto Sans Symbols" w:hAnsi="Noto Sans Symbols" w:cs="Noto Sans Symbols"/>
      </w:rPr>
    </w:lvl>
    <w:lvl w:ilvl="2">
      <w:start w:val="1"/>
      <w:numFmt w:val="bullet"/>
      <w:lvlText w:val="⮚"/>
      <w:lvlJc w:val="left"/>
      <w:pPr>
        <w:ind w:left="2340" w:hanging="360"/>
      </w:pPr>
      <w:rPr>
        <w:rFonts w:ascii="Noto Sans Symbols" w:eastAsia="Noto Sans Symbols" w:hAnsi="Noto Sans Symbols" w:cs="Noto Sans Symbols"/>
        <w:strike w:val="0"/>
      </w:r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0" w15:restartNumberingAfterBreak="0">
    <w:nsid w:val="40EF5731"/>
    <w:multiLevelType w:val="multilevel"/>
    <w:tmpl w:val="953EE9D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1" w15:restartNumberingAfterBreak="0">
    <w:nsid w:val="41676165"/>
    <w:multiLevelType w:val="multilevel"/>
    <w:tmpl w:val="3B5818B6"/>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2" w15:restartNumberingAfterBreak="0">
    <w:nsid w:val="47567C9C"/>
    <w:multiLevelType w:val="multilevel"/>
    <w:tmpl w:val="899A590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3" w15:restartNumberingAfterBreak="0">
    <w:nsid w:val="57B32D61"/>
    <w:multiLevelType w:val="multilevel"/>
    <w:tmpl w:val="58B46678"/>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4" w15:restartNumberingAfterBreak="0">
    <w:nsid w:val="6005732F"/>
    <w:multiLevelType w:val="hybridMultilevel"/>
    <w:tmpl w:val="80B63210"/>
    <w:lvl w:ilvl="0" w:tplc="080A0001">
      <w:start w:val="1"/>
      <w:numFmt w:val="bullet"/>
      <w:lvlText w:val=""/>
      <w:lvlJc w:val="left"/>
      <w:pPr>
        <w:ind w:left="720" w:hanging="360"/>
      </w:pPr>
      <w:rPr>
        <w:rFonts w:ascii="Symbol" w:hAnsi="Symbol" w:hint="default"/>
      </w:rPr>
    </w:lvl>
    <w:lvl w:ilvl="1" w:tplc="080A0003" w:tentative="1">
      <w:start w:val="1"/>
      <w:numFmt w:val="bullet"/>
      <w:lvlText w:val="o"/>
      <w:lvlJc w:val="left"/>
      <w:pPr>
        <w:ind w:left="1440" w:hanging="360"/>
      </w:pPr>
      <w:rPr>
        <w:rFonts w:ascii="Courier New" w:hAnsi="Courier New" w:cs="Courier New" w:hint="default"/>
      </w:rPr>
    </w:lvl>
    <w:lvl w:ilvl="2" w:tplc="080A0005" w:tentative="1">
      <w:start w:val="1"/>
      <w:numFmt w:val="bullet"/>
      <w:lvlText w:val=""/>
      <w:lvlJc w:val="left"/>
      <w:pPr>
        <w:ind w:left="2160" w:hanging="360"/>
      </w:pPr>
      <w:rPr>
        <w:rFonts w:ascii="Wingdings" w:hAnsi="Wingdings" w:hint="default"/>
      </w:rPr>
    </w:lvl>
    <w:lvl w:ilvl="3" w:tplc="080A0001" w:tentative="1">
      <w:start w:val="1"/>
      <w:numFmt w:val="bullet"/>
      <w:lvlText w:val=""/>
      <w:lvlJc w:val="left"/>
      <w:pPr>
        <w:ind w:left="2880" w:hanging="360"/>
      </w:pPr>
      <w:rPr>
        <w:rFonts w:ascii="Symbol" w:hAnsi="Symbol" w:hint="default"/>
      </w:rPr>
    </w:lvl>
    <w:lvl w:ilvl="4" w:tplc="080A0003" w:tentative="1">
      <w:start w:val="1"/>
      <w:numFmt w:val="bullet"/>
      <w:lvlText w:val="o"/>
      <w:lvlJc w:val="left"/>
      <w:pPr>
        <w:ind w:left="3600" w:hanging="360"/>
      </w:pPr>
      <w:rPr>
        <w:rFonts w:ascii="Courier New" w:hAnsi="Courier New" w:cs="Courier New" w:hint="default"/>
      </w:rPr>
    </w:lvl>
    <w:lvl w:ilvl="5" w:tplc="080A0005" w:tentative="1">
      <w:start w:val="1"/>
      <w:numFmt w:val="bullet"/>
      <w:lvlText w:val=""/>
      <w:lvlJc w:val="left"/>
      <w:pPr>
        <w:ind w:left="4320" w:hanging="360"/>
      </w:pPr>
      <w:rPr>
        <w:rFonts w:ascii="Wingdings" w:hAnsi="Wingdings" w:hint="default"/>
      </w:rPr>
    </w:lvl>
    <w:lvl w:ilvl="6" w:tplc="080A0001" w:tentative="1">
      <w:start w:val="1"/>
      <w:numFmt w:val="bullet"/>
      <w:lvlText w:val=""/>
      <w:lvlJc w:val="left"/>
      <w:pPr>
        <w:ind w:left="5040" w:hanging="360"/>
      </w:pPr>
      <w:rPr>
        <w:rFonts w:ascii="Symbol" w:hAnsi="Symbol" w:hint="default"/>
      </w:rPr>
    </w:lvl>
    <w:lvl w:ilvl="7" w:tplc="080A0003" w:tentative="1">
      <w:start w:val="1"/>
      <w:numFmt w:val="bullet"/>
      <w:lvlText w:val="o"/>
      <w:lvlJc w:val="left"/>
      <w:pPr>
        <w:ind w:left="5760" w:hanging="360"/>
      </w:pPr>
      <w:rPr>
        <w:rFonts w:ascii="Courier New" w:hAnsi="Courier New" w:cs="Courier New" w:hint="default"/>
      </w:rPr>
    </w:lvl>
    <w:lvl w:ilvl="8" w:tplc="080A0005" w:tentative="1">
      <w:start w:val="1"/>
      <w:numFmt w:val="bullet"/>
      <w:lvlText w:val=""/>
      <w:lvlJc w:val="left"/>
      <w:pPr>
        <w:ind w:left="6480" w:hanging="360"/>
      </w:pPr>
      <w:rPr>
        <w:rFonts w:ascii="Wingdings" w:hAnsi="Wingdings" w:hint="default"/>
      </w:rPr>
    </w:lvl>
  </w:abstractNum>
  <w:abstractNum w:abstractNumId="15" w15:restartNumberingAfterBreak="0">
    <w:nsid w:val="60A56EEF"/>
    <w:multiLevelType w:val="multilevel"/>
    <w:tmpl w:val="331ADF7C"/>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6" w15:restartNumberingAfterBreak="0">
    <w:nsid w:val="6B573336"/>
    <w:multiLevelType w:val="multilevel"/>
    <w:tmpl w:val="9C2827D0"/>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7" w15:restartNumberingAfterBreak="0">
    <w:nsid w:val="6EC7259B"/>
    <w:multiLevelType w:val="multilevel"/>
    <w:tmpl w:val="C17657BE"/>
    <w:lvl w:ilvl="0">
      <w:start w:val="1"/>
      <w:numFmt w:val="bullet"/>
      <w:lvlText w:val="●"/>
      <w:lvlJc w:val="left"/>
      <w:pPr>
        <w:ind w:left="720" w:hanging="360"/>
      </w:pPr>
      <w:rPr>
        <w:rFonts w:ascii="Noto Sans Symbols" w:eastAsia="Noto Sans Symbols" w:hAnsi="Noto Sans Symbols" w:cs="Noto Sans Symbols"/>
      </w:rPr>
    </w:lvl>
    <w:lvl w:ilvl="1">
      <w:start w:val="1"/>
      <w:numFmt w:val="bullet"/>
      <w:lvlText w:val="o"/>
      <w:lvlJc w:val="left"/>
      <w:pPr>
        <w:ind w:left="1440" w:hanging="360"/>
      </w:pPr>
      <w:rPr>
        <w:rFonts w:ascii="Courier New" w:eastAsia="Courier New" w:hAnsi="Courier New" w:cs="Courier New"/>
      </w:rPr>
    </w:lvl>
    <w:lvl w:ilvl="2">
      <w:start w:val="1"/>
      <w:numFmt w:val="bullet"/>
      <w:lvlText w:val="▪"/>
      <w:lvlJc w:val="left"/>
      <w:pPr>
        <w:ind w:left="2160" w:hanging="360"/>
      </w:pPr>
      <w:rPr>
        <w:rFonts w:ascii="Noto Sans Symbols" w:eastAsia="Noto Sans Symbols" w:hAnsi="Noto Sans Symbols" w:cs="Noto Sans Symbols"/>
      </w:rPr>
    </w:lvl>
    <w:lvl w:ilvl="3">
      <w:start w:val="1"/>
      <w:numFmt w:val="bullet"/>
      <w:lvlText w:val="●"/>
      <w:lvlJc w:val="left"/>
      <w:pPr>
        <w:ind w:left="2880" w:hanging="360"/>
      </w:pPr>
      <w:rPr>
        <w:rFonts w:ascii="Noto Sans Symbols" w:eastAsia="Noto Sans Symbols" w:hAnsi="Noto Sans Symbols" w:cs="Noto Sans Symbols"/>
      </w:rPr>
    </w:lvl>
    <w:lvl w:ilvl="4">
      <w:start w:val="1"/>
      <w:numFmt w:val="bullet"/>
      <w:lvlText w:val="o"/>
      <w:lvlJc w:val="left"/>
      <w:pPr>
        <w:ind w:left="3600" w:hanging="360"/>
      </w:pPr>
      <w:rPr>
        <w:rFonts w:ascii="Courier New" w:eastAsia="Courier New" w:hAnsi="Courier New" w:cs="Courier New"/>
      </w:rPr>
    </w:lvl>
    <w:lvl w:ilvl="5">
      <w:start w:val="1"/>
      <w:numFmt w:val="bullet"/>
      <w:lvlText w:val="▪"/>
      <w:lvlJc w:val="left"/>
      <w:pPr>
        <w:ind w:left="4320" w:hanging="360"/>
      </w:pPr>
      <w:rPr>
        <w:rFonts w:ascii="Noto Sans Symbols" w:eastAsia="Noto Sans Symbols" w:hAnsi="Noto Sans Symbols" w:cs="Noto Sans Symbols"/>
      </w:rPr>
    </w:lvl>
    <w:lvl w:ilvl="6">
      <w:start w:val="1"/>
      <w:numFmt w:val="bullet"/>
      <w:lvlText w:val="●"/>
      <w:lvlJc w:val="left"/>
      <w:pPr>
        <w:ind w:left="5040" w:hanging="360"/>
      </w:pPr>
      <w:rPr>
        <w:rFonts w:ascii="Noto Sans Symbols" w:eastAsia="Noto Sans Symbols" w:hAnsi="Noto Sans Symbols" w:cs="Noto Sans Symbols"/>
      </w:rPr>
    </w:lvl>
    <w:lvl w:ilvl="7">
      <w:start w:val="1"/>
      <w:numFmt w:val="bullet"/>
      <w:lvlText w:val="o"/>
      <w:lvlJc w:val="left"/>
      <w:pPr>
        <w:ind w:left="5760" w:hanging="360"/>
      </w:pPr>
      <w:rPr>
        <w:rFonts w:ascii="Courier New" w:eastAsia="Courier New" w:hAnsi="Courier New" w:cs="Courier New"/>
      </w:rPr>
    </w:lvl>
    <w:lvl w:ilvl="8">
      <w:start w:val="1"/>
      <w:numFmt w:val="bullet"/>
      <w:lvlText w:val="▪"/>
      <w:lvlJc w:val="left"/>
      <w:pPr>
        <w:ind w:left="6480" w:hanging="360"/>
      </w:pPr>
      <w:rPr>
        <w:rFonts w:ascii="Noto Sans Symbols" w:eastAsia="Noto Sans Symbols" w:hAnsi="Noto Sans Symbols" w:cs="Noto Sans Symbols"/>
      </w:rPr>
    </w:lvl>
  </w:abstractNum>
  <w:abstractNum w:abstractNumId="18" w15:restartNumberingAfterBreak="0">
    <w:nsid w:val="74BF133F"/>
    <w:multiLevelType w:val="multilevel"/>
    <w:tmpl w:val="3590257C"/>
    <w:lvl w:ilvl="0">
      <w:start w:val="1"/>
      <w:numFmt w:val="decimal"/>
      <w:lvlText w:val="%1."/>
      <w:lvlJc w:val="left"/>
      <w:pPr>
        <w:ind w:left="7731" w:hanging="359"/>
      </w:pPr>
      <w:rPr>
        <w:rFonts w:ascii="Palatino Linotype" w:eastAsia="Palatino Linotype" w:hAnsi="Palatino Linotype" w:cs="Palatino Linotype"/>
        <w:b/>
        <w:i w:val="0"/>
        <w:color w:val="000000"/>
        <w:sz w:val="24"/>
        <w:szCs w:val="24"/>
      </w:rPr>
    </w:lvl>
    <w:lvl w:ilvl="1">
      <w:start w:val="1"/>
      <w:numFmt w:val="lowerLetter"/>
      <w:lvlText w:val="%2."/>
      <w:lvlJc w:val="left"/>
      <w:pPr>
        <w:ind w:left="1440" w:hanging="360"/>
      </w:pPr>
      <w:rPr>
        <w:sz w:val="22"/>
        <w:szCs w:val="22"/>
      </w:r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num w:numId="1">
    <w:abstractNumId w:val="18"/>
  </w:num>
  <w:num w:numId="2">
    <w:abstractNumId w:val="6"/>
  </w:num>
  <w:num w:numId="3">
    <w:abstractNumId w:val="2"/>
  </w:num>
  <w:num w:numId="4">
    <w:abstractNumId w:val="5"/>
  </w:num>
  <w:num w:numId="5">
    <w:abstractNumId w:val="10"/>
  </w:num>
  <w:num w:numId="6">
    <w:abstractNumId w:val="1"/>
  </w:num>
  <w:num w:numId="7">
    <w:abstractNumId w:val="16"/>
  </w:num>
  <w:num w:numId="8">
    <w:abstractNumId w:val="15"/>
  </w:num>
  <w:num w:numId="9">
    <w:abstractNumId w:val="0"/>
  </w:num>
  <w:num w:numId="10">
    <w:abstractNumId w:val="13"/>
  </w:num>
  <w:num w:numId="11">
    <w:abstractNumId w:val="12"/>
  </w:num>
  <w:num w:numId="12">
    <w:abstractNumId w:val="17"/>
  </w:num>
  <w:num w:numId="13">
    <w:abstractNumId w:val="11"/>
  </w:num>
  <w:num w:numId="14">
    <w:abstractNumId w:val="9"/>
  </w:num>
  <w:num w:numId="15">
    <w:abstractNumId w:val="8"/>
  </w:num>
  <w:num w:numId="16">
    <w:abstractNumId w:val="7"/>
  </w:num>
  <w:num w:numId="17">
    <w:abstractNumId w:val="3"/>
  </w:num>
  <w:num w:numId="18">
    <w:abstractNumId w:val="14"/>
  </w:num>
  <w:num w:numId="19">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10"/>
  <w:proofState w:spelling="clean" w:grammar="clean"/>
  <w:defaultTabStop w:val="720"/>
  <w:hyphenationZone w:val="425"/>
  <w:characterSpacingControl w:val="doNotCompress"/>
  <w:hdrShapeDefaults>
    <o:shapedefaults v:ext="edit" spidmax="2052"/>
    <o:shapelayout v:ext="edit">
      <o:idmap v:ext="edit" data="2"/>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10B03"/>
    <w:rsid w:val="000A5EF3"/>
    <w:rsid w:val="003766AF"/>
    <w:rsid w:val="004A150B"/>
    <w:rsid w:val="00575144"/>
    <w:rsid w:val="006A3627"/>
    <w:rsid w:val="00B10B03"/>
    <w:rsid w:val="00DF4713"/>
    <w:rsid w:val="00E34F8D"/>
    <w:rsid w:val="00E44354"/>
    <w:rsid w:val="00F2587E"/>
  </w:rsids>
  <m:mathPr>
    <m:mathFont m:val="Cambria Math"/>
    <m:brkBin m:val="before"/>
    <m:brkBinSub m:val="--"/>
    <m:smallFrac m:val="0"/>
    <m:dispDef/>
    <m:lMargin m:val="0"/>
    <m:rMargin m:val="0"/>
    <m:defJc m:val="centerGroup"/>
    <m:wrapIndent m:val="1440"/>
    <m:intLim m:val="subSup"/>
    <m:naryLim m:val="undOvr"/>
  </m:mathPr>
  <w:themeFontLang w:val="es-MX"/>
  <w:clrSchemeMapping w:bg1="light1" w:t1="dark1" w:bg2="light2" w:t2="dark2" w:accent1="accent1" w:accent2="accent2" w:accent3="accent3" w:accent4="accent4" w:accent5="accent5" w:accent6="accent6" w:hyperlink="hyperlink" w:followedHyperlink="followedHyperlink"/>
  <w:shapeDefaults>
    <o:shapedefaults v:ext="edit" spidmax="2052"/>
    <o:shapelayout v:ext="edit">
      <o:idmap v:ext="edit" data="1"/>
    </o:shapelayout>
  </w:shapeDefaults>
  <w:decimalSymbol w:val="."/>
  <w:listSeparator w:val=","/>
  <w15:docId w15:val="{862A17BC-ECE2-42AD-A9D4-72DA6C0418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sz w:val="24"/>
        <w:szCs w:val="24"/>
        <w:lang w:val="es-MX" w:eastAsia="es-MX"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style>
  <w:style w:type="paragraph" w:styleId="Ttulo1">
    <w:name w:val="heading 1"/>
    <w:basedOn w:val="Normal"/>
    <w:next w:val="Normal"/>
    <w:pPr>
      <w:keepNext/>
      <w:keepLines/>
      <w:spacing w:before="240"/>
      <w:outlineLvl w:val="0"/>
    </w:pPr>
    <w:rPr>
      <w:rFonts w:ascii="Calibri" w:eastAsia="Calibri" w:hAnsi="Calibri" w:cs="Calibri"/>
      <w:color w:val="2E75B5"/>
      <w:sz w:val="32"/>
      <w:szCs w:val="32"/>
    </w:rPr>
  </w:style>
  <w:style w:type="paragraph" w:styleId="Ttulo2">
    <w:name w:val="heading 2"/>
    <w:basedOn w:val="Normal"/>
    <w:next w:val="Normal"/>
    <w:pPr>
      <w:keepNext/>
      <w:keepLines/>
      <w:spacing w:before="360" w:after="80"/>
      <w:outlineLvl w:val="1"/>
    </w:pPr>
    <w:rPr>
      <w:b/>
      <w:sz w:val="36"/>
      <w:szCs w:val="36"/>
    </w:rPr>
  </w:style>
  <w:style w:type="paragraph" w:styleId="Ttulo3">
    <w:name w:val="heading 3"/>
    <w:basedOn w:val="Normal"/>
    <w:next w:val="Normal"/>
    <w:pPr>
      <w:keepNext/>
      <w:keepLines/>
      <w:spacing w:before="40"/>
      <w:outlineLvl w:val="2"/>
    </w:pPr>
    <w:rPr>
      <w:rFonts w:ascii="Calibri" w:eastAsia="Calibri" w:hAnsi="Calibri" w:cs="Calibri"/>
      <w:color w:val="1E4D78"/>
    </w:rPr>
  </w:style>
  <w:style w:type="paragraph" w:styleId="Ttulo4">
    <w:name w:val="heading 4"/>
    <w:basedOn w:val="Normal"/>
    <w:next w:val="Normal"/>
    <w:pPr>
      <w:keepNext/>
      <w:keepLines/>
      <w:spacing w:before="240" w:after="40"/>
      <w:outlineLvl w:val="3"/>
    </w:pPr>
    <w:rPr>
      <w:b/>
    </w:rPr>
  </w:style>
  <w:style w:type="paragraph" w:styleId="Ttulo5">
    <w:name w:val="heading 5"/>
    <w:basedOn w:val="Normal"/>
    <w:next w:val="Normal"/>
    <w:pPr>
      <w:keepNext/>
      <w:keepLines/>
      <w:spacing w:before="220" w:after="40"/>
      <w:outlineLvl w:val="4"/>
    </w:pPr>
    <w:rPr>
      <w:b/>
      <w:sz w:val="22"/>
      <w:szCs w:val="22"/>
    </w:rPr>
  </w:style>
  <w:style w:type="paragraph" w:styleId="Ttulo6">
    <w:name w:val="heading 6"/>
    <w:basedOn w:val="Normal"/>
    <w:next w:val="Normal"/>
    <w:pPr>
      <w:keepNext/>
      <w:keepLines/>
      <w:spacing w:before="200" w:after="40"/>
      <w:outlineLvl w:val="5"/>
    </w:pPr>
    <w:rPr>
      <w:b/>
      <w:sz w:val="20"/>
      <w:szCs w:val="20"/>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table" w:customStyle="1" w:styleId="TableNormal">
    <w:name w:val="TableNormal"/>
    <w:tblPr>
      <w:tblCellMar>
        <w:top w:w="0" w:type="dxa"/>
        <w:left w:w="0" w:type="dxa"/>
        <w:bottom w:w="0" w:type="dxa"/>
        <w:right w:w="0" w:type="dxa"/>
      </w:tblCellMar>
    </w:tblPr>
  </w:style>
  <w:style w:type="paragraph" w:styleId="Puesto">
    <w:name w:val="Title"/>
    <w:basedOn w:val="Normal"/>
    <w:next w:val="Normal"/>
    <w:pPr>
      <w:keepNext/>
      <w:keepLines/>
      <w:spacing w:before="480" w:after="120"/>
    </w:pPr>
    <w:rPr>
      <w:b/>
      <w:sz w:val="72"/>
      <w:szCs w:val="72"/>
    </w:rPr>
  </w:style>
  <w:style w:type="table" w:customStyle="1" w:styleId="TableNormal0">
    <w:name w:val="TableNormal"/>
    <w:tblPr>
      <w:tblCellMar>
        <w:top w:w="0" w:type="dxa"/>
        <w:left w:w="0" w:type="dxa"/>
        <w:bottom w:w="0" w:type="dxa"/>
        <w:right w:w="0" w:type="dxa"/>
      </w:tblCellMar>
    </w:tblPr>
  </w:style>
  <w:style w:type="character" w:customStyle="1" w:styleId="Ttulo1Car">
    <w:name w:val="Título 1 Car"/>
    <w:basedOn w:val="Fuentedeprrafopredeter"/>
    <w:uiPriority w:val="9"/>
    <w:rsid w:val="00841865"/>
    <w:rPr>
      <w:rFonts w:asciiTheme="majorHAnsi" w:eastAsiaTheme="majorEastAsia" w:hAnsiTheme="majorHAnsi" w:cstheme="majorBidi"/>
      <w:color w:val="2E74B5" w:themeColor="accent1" w:themeShade="BF"/>
      <w:sz w:val="32"/>
      <w:szCs w:val="32"/>
      <w:lang w:eastAsia="es-MX"/>
    </w:rPr>
  </w:style>
  <w:style w:type="paragraph" w:styleId="Encabezado">
    <w:name w:val="header"/>
    <w:basedOn w:val="Normal"/>
    <w:link w:val="EncabezadoCar"/>
    <w:uiPriority w:val="99"/>
    <w:unhideWhenUsed/>
    <w:rsid w:val="00841865"/>
    <w:pPr>
      <w:tabs>
        <w:tab w:val="center" w:pos="4419"/>
        <w:tab w:val="right" w:pos="8838"/>
      </w:tabs>
    </w:pPr>
  </w:style>
  <w:style w:type="character" w:customStyle="1" w:styleId="EncabezadoCar">
    <w:name w:val="Encabezado Car"/>
    <w:basedOn w:val="Fuentedeprrafopredeter"/>
    <w:link w:val="Encabezado"/>
    <w:uiPriority w:val="99"/>
    <w:rsid w:val="00841865"/>
    <w:rPr>
      <w:rFonts w:ascii="Times New Roman" w:eastAsia="Times New Roman" w:hAnsi="Times New Roman" w:cs="Times New Roman"/>
      <w:sz w:val="24"/>
      <w:szCs w:val="24"/>
      <w:lang w:eastAsia="es-MX"/>
    </w:rPr>
  </w:style>
  <w:style w:type="paragraph" w:styleId="Piedepgina">
    <w:name w:val="footer"/>
    <w:basedOn w:val="Normal"/>
    <w:link w:val="PiedepginaCar"/>
    <w:uiPriority w:val="99"/>
    <w:unhideWhenUsed/>
    <w:rsid w:val="00841865"/>
    <w:pPr>
      <w:tabs>
        <w:tab w:val="center" w:pos="4419"/>
        <w:tab w:val="right" w:pos="8838"/>
      </w:tabs>
    </w:pPr>
  </w:style>
  <w:style w:type="character" w:customStyle="1" w:styleId="PiedepginaCar">
    <w:name w:val="Pie de página Car"/>
    <w:basedOn w:val="Fuentedeprrafopredeter"/>
    <w:link w:val="Piedepgina"/>
    <w:uiPriority w:val="99"/>
    <w:rsid w:val="00841865"/>
    <w:rPr>
      <w:rFonts w:ascii="Times New Roman" w:eastAsia="Times New Roman" w:hAnsi="Times New Roman" w:cs="Times New Roman"/>
      <w:sz w:val="24"/>
      <w:szCs w:val="24"/>
      <w:lang w:eastAsia="es-MX"/>
    </w:rPr>
  </w:style>
  <w:style w:type="paragraph" w:styleId="Prrafodelista">
    <w:name w:val="List Paragraph"/>
    <w:aliases w:val="lp1,List Paragraph1,Lista de nivel 1,4 Párrafo de lista,Figuras,Dot pt,No Spacing1,List Paragraph Char Char Char,Indicator Text,Numbered Para 1,DH1,Listas,Light Grid - Accent 31,Colorful List - Accent 11,Bullet 1,F5 List Paragraph,5.9.1"/>
    <w:basedOn w:val="Normal"/>
    <w:link w:val="PrrafodelistaCar"/>
    <w:uiPriority w:val="34"/>
    <w:qFormat/>
    <w:rsid w:val="00841865"/>
    <w:pPr>
      <w:ind w:left="720"/>
      <w:contextualSpacing/>
    </w:pPr>
    <w:rPr>
      <w:rFonts w:ascii="Century Gothic" w:hAnsi="Century Gothic"/>
      <w:sz w:val="22"/>
    </w:rPr>
  </w:style>
  <w:style w:type="character" w:customStyle="1" w:styleId="PrrafodelistaCar">
    <w:name w:val="Párrafo de lista Car"/>
    <w:aliases w:val="lp1 Car,List Paragraph1 Car,Lista de nivel 1 Car,4 Párrafo de lista Car,Figuras Car,Dot pt Car,No Spacing1 Car,List Paragraph Char Char Char Car,Indicator Text Car,Numbered Para 1 Car,DH1 Car,Listas Car,Light Grid - Accent 31 Car"/>
    <w:link w:val="Prrafodelista"/>
    <w:uiPriority w:val="34"/>
    <w:qFormat/>
    <w:rsid w:val="00841865"/>
    <w:rPr>
      <w:rFonts w:ascii="Century Gothic" w:eastAsia="Times New Roman" w:hAnsi="Century Gothic" w:cs="Times New Roman"/>
      <w:szCs w:val="24"/>
      <w:lang w:eastAsia="es-MX"/>
    </w:rPr>
  </w:style>
  <w:style w:type="character" w:styleId="Hipervnculo">
    <w:name w:val="Hyperlink"/>
    <w:aliases w:val="Hipervínculo1,Hipervínculo11,Hipervínculo12,Hipervínculo13,Hipervínculo14,Hipervínculo15"/>
    <w:uiPriority w:val="99"/>
    <w:unhideWhenUsed/>
    <w:rsid w:val="00841865"/>
    <w:rPr>
      <w:color w:val="0563C1"/>
      <w:u w:val="single"/>
    </w:rPr>
  </w:style>
  <w:style w:type="table" w:styleId="Tablaconcuadrcula">
    <w:name w:val="Table Grid"/>
    <w:basedOn w:val="Tablanormal"/>
    <w:uiPriority w:val="39"/>
    <w:rsid w:val="002E74E9"/>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adecuadrcula4-nfasis3">
    <w:name w:val="Grid Table 4 Accent 3"/>
    <w:basedOn w:val="Tablanormal"/>
    <w:uiPriority w:val="49"/>
    <w:rsid w:val="002E74E9"/>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insideV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insideV w:val="nil"/>
        </w:tcBorders>
        <w:shd w:val="clear" w:color="auto" w:fill="A5A5A5" w:themeFill="accent3"/>
      </w:tcPr>
    </w:tblStylePr>
    <w:tblStylePr w:type="lastRow">
      <w:rPr>
        <w:b/>
        <w:bCs/>
      </w:rPr>
      <w:tblPr/>
      <w:tcPr>
        <w:tcBorders>
          <w:top w:val="double" w:sz="4" w:space="0" w:color="A5A5A5" w:themeColor="accent3"/>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paragraph" w:styleId="Textonotapie">
    <w:name w:val="footnote text"/>
    <w:aliases w:val="Footnote Text Char Char Char Char Char,Footnote Text Char Char Char Char,Footnote reference,FA Fu,Footnote Text Char Char Char,Footnote Text Cha,FA Fußnotentext,FA Fu?notentext,Footnote Text Char Char,FA Fuﬂnotentext,Ca,FA Fu?notente,ADB"/>
    <w:basedOn w:val="Normal"/>
    <w:link w:val="TextonotapieCar"/>
    <w:uiPriority w:val="99"/>
    <w:unhideWhenUsed/>
    <w:qFormat/>
    <w:rsid w:val="00D66728"/>
    <w:rPr>
      <w:rFonts w:asciiTheme="minorHAnsi" w:eastAsiaTheme="minorHAnsi" w:hAnsiTheme="minorHAnsi" w:cstheme="minorBidi"/>
      <w:sz w:val="20"/>
      <w:szCs w:val="20"/>
      <w:lang w:eastAsia="en-US"/>
    </w:rPr>
  </w:style>
  <w:style w:type="character" w:customStyle="1" w:styleId="TextonotapieCar">
    <w:name w:val="Texto nota pie Car"/>
    <w:aliases w:val="Footnote Text Char Char Char Char Char Car,Footnote Text Char Char Char Char Car,Footnote reference Car,FA Fu Car,Footnote Text Char Char Char Car,Footnote Text Cha Car,FA Fußnotentext Car,FA Fu?notentext Car,FA Fuﬂnotentext Car"/>
    <w:basedOn w:val="Fuentedeprrafopredeter"/>
    <w:link w:val="Textonotapie"/>
    <w:uiPriority w:val="99"/>
    <w:qFormat/>
    <w:rsid w:val="00D66728"/>
    <w:rPr>
      <w:sz w:val="20"/>
      <w:szCs w:val="20"/>
    </w:rPr>
  </w:style>
  <w:style w:type="character" w:styleId="Refdenotaalpie">
    <w:name w:val="footnote reference"/>
    <w:aliases w:val="Footnotes refss,Texto de nota al pie,Ref. de nota al pie 2,Appel note de bas de page,referencia nota al pie,BVI fnr,Footnote number,4_G,16 Point,Superscript 6 Point,Texto nota al pie,Footnote Reference Char3,Ref,de nota al pie,註腳內容,f"/>
    <w:basedOn w:val="Fuentedeprrafopredeter"/>
    <w:uiPriority w:val="99"/>
    <w:unhideWhenUsed/>
    <w:qFormat/>
    <w:rsid w:val="00D66728"/>
    <w:rPr>
      <w:vertAlign w:val="superscript"/>
    </w:rPr>
  </w:style>
  <w:style w:type="paragraph" w:styleId="Sinespaciado">
    <w:name w:val="No Spacing"/>
    <w:aliases w:val="Francesa,INAI"/>
    <w:link w:val="SinespaciadoCar"/>
    <w:uiPriority w:val="1"/>
    <w:qFormat/>
    <w:rsid w:val="004124AA"/>
    <w:rPr>
      <w:lang w:eastAsia="es-ES"/>
    </w:rPr>
  </w:style>
  <w:style w:type="character" w:customStyle="1" w:styleId="SinespaciadoCar">
    <w:name w:val="Sin espaciado Car"/>
    <w:aliases w:val="Francesa Car,INAI Car"/>
    <w:link w:val="Sinespaciado"/>
    <w:uiPriority w:val="1"/>
    <w:locked/>
    <w:rsid w:val="004124AA"/>
    <w:rPr>
      <w:rFonts w:ascii="Times New Roman" w:eastAsia="Times New Roman" w:hAnsi="Times New Roman" w:cs="Times New Roman"/>
      <w:sz w:val="24"/>
      <w:szCs w:val="24"/>
      <w:lang w:eastAsia="es-ES"/>
    </w:rPr>
  </w:style>
  <w:style w:type="character" w:customStyle="1" w:styleId="Ttulo3Car">
    <w:name w:val="Título 3 Car"/>
    <w:basedOn w:val="Fuentedeprrafopredeter"/>
    <w:uiPriority w:val="9"/>
    <w:rsid w:val="00370EF2"/>
    <w:rPr>
      <w:rFonts w:asciiTheme="majorHAnsi" w:eastAsiaTheme="majorEastAsia" w:hAnsiTheme="majorHAnsi" w:cstheme="majorBidi"/>
      <w:color w:val="1F4D78" w:themeColor="accent1" w:themeShade="7F"/>
      <w:sz w:val="24"/>
      <w:szCs w:val="24"/>
      <w:lang w:val="es-ES_tradnl" w:eastAsia="es-ES"/>
    </w:rPr>
  </w:style>
  <w:style w:type="table" w:customStyle="1" w:styleId="a">
    <w:basedOn w:val="TableNormal0"/>
    <w:tblPr>
      <w:tblStyleRowBandSize w:val="1"/>
      <w:tblStyleColBandSize w:val="1"/>
      <w:tblCellMar>
        <w:left w:w="115" w:type="dxa"/>
        <w:right w:w="115" w:type="dxa"/>
      </w:tblCellMar>
    </w:tblPr>
  </w:style>
  <w:style w:type="table" w:customStyle="1" w:styleId="a0">
    <w:basedOn w:val="TableNormal0"/>
    <w:tblPr>
      <w:tblStyleRowBandSize w:val="1"/>
      <w:tblStyleColBandSize w:val="1"/>
      <w:tblCellMar>
        <w:left w:w="115" w:type="dxa"/>
        <w:right w:w="115" w:type="dxa"/>
      </w:tblCellMar>
    </w:tblPr>
  </w:style>
  <w:style w:type="table" w:customStyle="1" w:styleId="a1">
    <w:basedOn w:val="TableNormal0"/>
    <w:tblPr>
      <w:tblStyleRowBandSize w:val="1"/>
      <w:tblStyleColBandSize w:val="1"/>
      <w:tblCellMar>
        <w:left w:w="115" w:type="dxa"/>
        <w:right w:w="115" w:type="dxa"/>
      </w:tblCellMar>
    </w:tblPr>
  </w:style>
  <w:style w:type="table" w:customStyle="1" w:styleId="a2">
    <w:basedOn w:val="TableNormal0"/>
    <w:tblPr>
      <w:tblStyleRowBandSize w:val="1"/>
      <w:tblStyleColBandSize w:val="1"/>
      <w:tblCellMar>
        <w:left w:w="115" w:type="dxa"/>
        <w:right w:w="115" w:type="dxa"/>
      </w:tblCellMar>
    </w:tblPr>
  </w:style>
  <w:style w:type="table" w:customStyle="1" w:styleId="a3">
    <w:basedOn w:val="TableNormal0"/>
    <w:tblPr>
      <w:tblStyleRowBandSize w:val="1"/>
      <w:tblStyleColBandSize w:val="1"/>
      <w:tblCellMar>
        <w:left w:w="115" w:type="dxa"/>
        <w:right w:w="115" w:type="dxa"/>
      </w:tblCellMar>
    </w:tblPr>
  </w:style>
  <w:style w:type="paragraph" w:styleId="NormalWeb">
    <w:name w:val="Normal (Web)"/>
    <w:basedOn w:val="Normal"/>
    <w:uiPriority w:val="99"/>
    <w:unhideWhenUsed/>
    <w:rsid w:val="00486324"/>
    <w:pPr>
      <w:spacing w:before="100" w:beforeAutospacing="1" w:after="100" w:afterAutospacing="1"/>
    </w:pPr>
  </w:style>
  <w:style w:type="paragraph" w:styleId="Subttulo">
    <w:name w:val="Subtitle"/>
    <w:basedOn w:val="Normal"/>
    <w:next w:val="Normal"/>
    <w:pPr>
      <w:keepNext/>
      <w:keepLines/>
      <w:spacing w:before="360" w:after="80"/>
    </w:pPr>
    <w:rPr>
      <w:rFonts w:ascii="Georgia" w:eastAsia="Georgia" w:hAnsi="Georgia" w:cs="Georgia"/>
      <w:i/>
      <w:color w:val="666666"/>
      <w:sz w:val="48"/>
      <w:szCs w:val="48"/>
    </w:rPr>
  </w:style>
  <w:style w:type="table" w:customStyle="1" w:styleId="a4">
    <w:basedOn w:val="TableNormal0"/>
    <w:tblPr>
      <w:tblStyleRowBandSize w:val="1"/>
      <w:tblStyleColBandSize w:val="1"/>
      <w:tblCellMar>
        <w:left w:w="115" w:type="dxa"/>
        <w:right w:w="115" w:type="dxa"/>
      </w:tblCellMar>
    </w:tblPr>
  </w:style>
  <w:style w:type="table" w:customStyle="1" w:styleId="a5">
    <w:basedOn w:val="TableNormal0"/>
    <w:tblPr>
      <w:tblStyleRowBandSize w:val="1"/>
      <w:tblStyleColBandSize w:val="1"/>
      <w:tblCellMar>
        <w:left w:w="115" w:type="dxa"/>
        <w:right w:w="115" w:type="dxa"/>
      </w:tblCellMar>
    </w:tblPr>
  </w:style>
  <w:style w:type="table" w:customStyle="1" w:styleId="a6">
    <w:basedOn w:val="TableNormal0"/>
    <w:tblPr>
      <w:tblStyleRowBandSize w:val="1"/>
      <w:tblStyleColBandSize w:val="1"/>
      <w:tblCellMar>
        <w:left w:w="115" w:type="dxa"/>
        <w:right w:w="115" w:type="dxa"/>
      </w:tblCellMar>
    </w:tblPr>
  </w:style>
  <w:style w:type="table" w:customStyle="1" w:styleId="a7">
    <w:basedOn w:val="TableNormal0"/>
    <w:tblPr>
      <w:tblStyleRowBandSize w:val="1"/>
      <w:tblStyleColBandSize w:val="1"/>
      <w:tblCellMar>
        <w:left w:w="115" w:type="dxa"/>
        <w:right w:w="115" w:type="dxa"/>
      </w:tblCellMar>
    </w:tblPr>
  </w:style>
  <w:style w:type="table" w:customStyle="1" w:styleId="a8">
    <w:basedOn w:val="TableNormal0"/>
    <w:tblPr>
      <w:tblStyleRowBandSize w:val="1"/>
      <w:tblStyleColBandSize w:val="1"/>
      <w:tblCellMar>
        <w:left w:w="115" w:type="dxa"/>
        <w:right w:w="115"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image" Target="media/image3.png"/><Relationship Id="rId18" Type="http://schemas.openxmlformats.org/officeDocument/2006/relationships/footer" Target="footer2.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hyperlink" Target="http://dof.gob.mx/nota_detalle.php?codigo=5492254&amp;fecha=28/07/2017" TargetMode="External"/><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image" Target="media/image2.png"/><Relationship Id="rId5" Type="http://schemas.openxmlformats.org/officeDocument/2006/relationships/settings" Target="settings.xml"/><Relationship Id="rId15" Type="http://schemas.openxmlformats.org/officeDocument/2006/relationships/header" Target="header2.xml"/><Relationship Id="rId10" Type="http://schemas.openxmlformats.org/officeDocument/2006/relationships/image" Target="media/image1.png"/><Relationship Id="rId19"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hyperlink" Target="http://omawww.sat.gob.mx/tramitesyservicios/paginas/documentos/anexo20_2022.pdf" TargetMode="External"/><Relationship Id="rId14" Type="http://schemas.openxmlformats.org/officeDocument/2006/relationships/header" Target="header1.xml"/></Relationships>
</file>

<file path=word/_rels/footnotes.xml.rels><?xml version="1.0" encoding="UTF-8" standalone="yes"?>
<Relationships xmlns="http://schemas.openxmlformats.org/package/2006/relationships"><Relationship Id="rId1" Type="http://schemas.openxmlformats.org/officeDocument/2006/relationships/hyperlink" Target="https://legislacion.edomex.gob.mx/sites/legislacion.edomex.gob.mx/files/files/pdf/ley/vig/leyvig083.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4.jpeg"/></Relationships>
</file>

<file path=word/_rels/header2.xml.rels><?xml version="1.0" encoding="UTF-8" standalone="yes"?>
<Relationships xmlns="http://schemas.openxmlformats.org/package/2006/relationships"><Relationship Id="rId1" Type="http://schemas.openxmlformats.org/officeDocument/2006/relationships/image" Target="media/image4.jpeg"/></Relationships>
</file>

<file path=word/_rels/header3.xml.rels><?xml version="1.0" encoding="UTF-8" standalone="yes"?>
<Relationships xmlns="http://schemas.openxmlformats.org/package/2006/relationships"><Relationship Id="rId1" Type="http://schemas.openxmlformats.org/officeDocument/2006/relationships/image" Target="media/image4.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uri="GoogleDocsCustomDataVersion2">
  <go:docsCustomData xmlns:go="http://customooxmlschemas.google.com/" roundtripDataSignature="AMtx7miRz8krns9bM2yz3GeQaL3GVUIRiA==">CgMxLjAyDmguMXJ4Zm10MnFlcjNsMg5oLmZkOW5yd29ranJnNTIOaC5wMXJmb3VqOHV1bmoyDmgudDhkdWw3bHV3YjUyMg5oLjR6dDRkcWk3aTJ4dDIOaC5xMmN1ZmRhZW9lZXgyDmguYXQ0ejhxeDZjNG1wMg5oLmlxY29zMWRrNGhmazIOaC5ybGN3YnJ0d3U5MGMyCWguMWtzdjR1djIJaC40NHNpbmlvMgloLjNyZGNyam4yDmgudWdyaGVzbnBvcmtyMg5oLjZnYm5uZjJ0dzl3NDIOaC5ncnkxNXNsYXBkcmE4AHIhMVppNzZQNDRZV3VDR0NuWUplMXdhZzJIRE4yYjJZc0FY</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5BC7B22A-6843-4FCA-98D3-F7305820C85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TotalTime>
  <Pages>54</Pages>
  <Words>13834</Words>
  <Characters>76087</Characters>
  <Application>Microsoft Office Word</Application>
  <DocSecurity>0</DocSecurity>
  <Lines>634</Lines>
  <Paragraphs>179</Paragraphs>
  <ScaleCrop>false</ScaleCrop>
  <HeadingPairs>
    <vt:vector size="2" baseType="variant">
      <vt:variant>
        <vt:lpstr>Título</vt:lpstr>
      </vt:variant>
      <vt:variant>
        <vt:i4>1</vt:i4>
      </vt:variant>
    </vt:vector>
  </HeadingPairs>
  <TitlesOfParts>
    <vt:vector size="1" baseType="lpstr">
      <vt:lpstr/>
    </vt:vector>
  </TitlesOfParts>
  <Company>HP Inc.</Company>
  <LinksUpToDate>false</LinksUpToDate>
  <CharactersWithSpaces>89742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INFOEM549</dc:creator>
  <cp:lastModifiedBy>Cuenta Microsoft</cp:lastModifiedBy>
  <cp:revision>5</cp:revision>
  <cp:lastPrinted>2025-09-11T17:50:00Z</cp:lastPrinted>
  <dcterms:created xsi:type="dcterms:W3CDTF">2025-08-26T14:50:00Z</dcterms:created>
  <dcterms:modified xsi:type="dcterms:W3CDTF">2025-09-25T19:22:00Z</dcterms:modified>
</cp:coreProperties>
</file>