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903" w:rsidRPr="007526D8" w:rsidRDefault="003D2CFE" w:rsidP="00970903">
      <w:pPr>
        <w:tabs>
          <w:tab w:val="left" w:pos="3465"/>
        </w:tabs>
        <w:spacing w:line="360" w:lineRule="auto"/>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color w:val="000000" w:themeColor="text1"/>
        </w:rPr>
        <w:t>Re</w:t>
      </w:r>
      <w:bookmarkStart w:id="0" w:name="_GoBack"/>
      <w:bookmarkEnd w:id="0"/>
      <w:r w:rsidRPr="007526D8">
        <w:rPr>
          <w:rFonts w:ascii="Palatino Linotype" w:eastAsia="Palatino Linotype" w:hAnsi="Palatino Linotype" w:cs="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00970903" w:rsidRPr="007526D8">
        <w:rPr>
          <w:rFonts w:ascii="Palatino Linotype" w:eastAsia="Palatino Linotype" w:hAnsi="Palatino Linotype" w:cs="Palatino Linotype"/>
          <w:b/>
          <w:color w:val="000000" w:themeColor="text1"/>
        </w:rPr>
        <w:t>de fecha veintisiete (27) de agosto de dos mil veinticinco.</w:t>
      </w:r>
    </w:p>
    <w:p w:rsidR="0053761B" w:rsidRPr="007526D8" w:rsidRDefault="0053761B" w:rsidP="00970903">
      <w:pPr>
        <w:tabs>
          <w:tab w:val="left" w:pos="3465"/>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VISTAS </w:t>
      </w:r>
      <w:r w:rsidRPr="007526D8">
        <w:rPr>
          <w:rFonts w:ascii="Palatino Linotype" w:eastAsia="Palatino Linotype" w:hAnsi="Palatino Linotype" w:cs="Palatino Linotype"/>
          <w:color w:val="000000" w:themeColor="text1"/>
        </w:rPr>
        <w:t xml:space="preserve">las constancias para resolver el recurso de revisión presentado por </w:t>
      </w:r>
      <w:r w:rsidR="001738FF" w:rsidRPr="001738FF">
        <w:rPr>
          <w:rFonts w:ascii="Palatino Linotype" w:eastAsia="Palatino Linotype" w:hAnsi="Palatino Linotype" w:cs="Palatino Linotype"/>
          <w:b/>
          <w:color w:val="000000" w:themeColor="text1"/>
        </w:rPr>
        <w:t>XXXX</w:t>
      </w:r>
      <w:r w:rsidRPr="007526D8">
        <w:rPr>
          <w:rFonts w:ascii="Palatino Linotype" w:eastAsia="Palatino Linotype" w:hAnsi="Palatino Linotype" w:cs="Palatino Linotype"/>
          <w:color w:val="000000" w:themeColor="text1"/>
        </w:rPr>
        <w:t xml:space="preserve"> en lo sucesivo el Recurrente, en contra de la respuesta otorgada a la solicitud de información con número de folio </w:t>
      </w:r>
      <w:r w:rsidRPr="007526D8">
        <w:rPr>
          <w:rFonts w:ascii="Palatino Linotype" w:eastAsia="Palatino Linotype" w:hAnsi="Palatino Linotype" w:cs="Palatino Linotype"/>
          <w:b/>
          <w:color w:val="000000" w:themeColor="text1"/>
        </w:rPr>
        <w:t>01359/TOLUCA/IP/2025</w:t>
      </w:r>
      <w:r w:rsidRPr="007526D8">
        <w:rPr>
          <w:rFonts w:ascii="Palatino Linotype" w:eastAsia="Palatino Linotype" w:hAnsi="Palatino Linotype" w:cs="Palatino Linotype"/>
          <w:color w:val="000000" w:themeColor="text1"/>
        </w:rPr>
        <w:t xml:space="preserve">, por parte de la </w:t>
      </w:r>
      <w:r w:rsidRPr="007526D8">
        <w:rPr>
          <w:rFonts w:ascii="Palatino Linotype" w:eastAsia="Palatino Linotype" w:hAnsi="Palatino Linotype" w:cs="Palatino Linotype"/>
          <w:b/>
          <w:color w:val="000000" w:themeColor="text1"/>
        </w:rPr>
        <w:t xml:space="preserve">Ayuntamiento de Toluca </w:t>
      </w:r>
      <w:r w:rsidRPr="007526D8">
        <w:rPr>
          <w:rFonts w:ascii="Palatino Linotype" w:eastAsia="Palatino Linotype" w:hAnsi="Palatino Linotype" w:cs="Palatino Linotype"/>
          <w:color w:val="000000" w:themeColor="text1"/>
        </w:rPr>
        <w:t>en adelante el Sujeto Obligado; Se emite la presente resolución con base en los siguientes:</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y7t0sjw5ksm" w:colFirst="0" w:colLast="0"/>
      <w:bookmarkEnd w:id="1"/>
      <w:r w:rsidRPr="007526D8">
        <w:rPr>
          <w:rFonts w:ascii="Palatino Linotype" w:eastAsia="Palatino Linotype" w:hAnsi="Palatino Linotype" w:cs="Palatino Linotype"/>
          <w:b/>
          <w:color w:val="000000" w:themeColor="text1"/>
          <w:sz w:val="24"/>
          <w:szCs w:val="24"/>
        </w:rPr>
        <w:t>A</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N</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T</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E</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C</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E</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D</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E</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N</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T</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E</w:t>
      </w:r>
      <w:r w:rsidR="00693D7B">
        <w:rPr>
          <w:rFonts w:ascii="Palatino Linotype" w:eastAsia="Palatino Linotype" w:hAnsi="Palatino Linotype" w:cs="Palatino Linotype"/>
          <w:b/>
          <w:color w:val="000000" w:themeColor="text1"/>
          <w:sz w:val="24"/>
          <w:szCs w:val="24"/>
        </w:rPr>
        <w:t xml:space="preserve"> </w:t>
      </w:r>
      <w:r w:rsidRPr="007526D8">
        <w:rPr>
          <w:rFonts w:ascii="Palatino Linotype" w:eastAsia="Palatino Linotype" w:hAnsi="Palatino Linotype" w:cs="Palatino Linotype"/>
          <w:b/>
          <w:color w:val="000000" w:themeColor="text1"/>
          <w:sz w:val="24"/>
          <w:szCs w:val="24"/>
        </w:rPr>
        <w:t>S</w:t>
      </w:r>
    </w:p>
    <w:p w:rsidR="0053761B" w:rsidRPr="007526D8" w:rsidRDefault="0053761B" w:rsidP="00970903">
      <w:pP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El día</w:t>
      </w:r>
      <w:r w:rsidRPr="007526D8">
        <w:rPr>
          <w:rFonts w:ascii="Palatino Linotype" w:eastAsia="Palatino Linotype" w:hAnsi="Palatino Linotype" w:cs="Palatino Linotype"/>
          <w:b/>
          <w:color w:val="000000" w:themeColor="text1"/>
        </w:rPr>
        <w:t xml:space="preserve"> ocho de abril de dos mil veinticuatro</w:t>
      </w:r>
      <w:r w:rsidRPr="007526D8">
        <w:rPr>
          <w:rFonts w:ascii="Palatino Linotype" w:eastAsia="Palatino Linotype" w:hAnsi="Palatino Linotype" w:cs="Palatino Linotype"/>
          <w:color w:val="000000" w:themeColor="text1"/>
        </w:rPr>
        <w:t>,</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se presentó ante el Sujeto Obligado vía Plataforma Nacional de Transparencia (PNT) vinculada al Sistema de Acceso a la Información Mexiquense, en adelante (SAIMEX), la siguiente solicitud de información pública:</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i/>
          <w:color w:val="000000" w:themeColor="text1"/>
        </w:rPr>
        <w:t>“Por segunda ocasión se requiere: "Sobre la recaudación del impuesto predial 2023 y 2024 se requiere: 1) Número de predios totales 2) Número de predios que pagaron predial 3) Monto de la recaudación total 4) Monto del predial rezagado que fue recaudado."</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6"/>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Se eligió como modalidad de entrega de la información: A través de la </w:t>
      </w:r>
      <w:r w:rsidRPr="007526D8">
        <w:rPr>
          <w:rFonts w:ascii="Palatino Linotype" w:eastAsia="Palatino Linotype" w:hAnsi="Palatino Linotype" w:cs="Palatino Linotype"/>
          <w:b/>
          <w:color w:val="000000" w:themeColor="text1"/>
        </w:rPr>
        <w:t xml:space="preserve">PNT, </w:t>
      </w:r>
      <w:r w:rsidRPr="007526D8">
        <w:rPr>
          <w:rFonts w:ascii="Palatino Linotype" w:eastAsia="Palatino Linotype" w:hAnsi="Palatino Linotype" w:cs="Palatino Linotype"/>
          <w:color w:val="000000" w:themeColor="text1"/>
        </w:rPr>
        <w:t xml:space="preserve">vinculada al </w:t>
      </w:r>
      <w:r w:rsidRPr="007526D8">
        <w:rPr>
          <w:rFonts w:ascii="Palatino Linotype" w:eastAsia="Palatino Linotype" w:hAnsi="Palatino Linotype" w:cs="Palatino Linotype"/>
          <w:b/>
          <w:color w:val="000000" w:themeColor="text1"/>
        </w:rPr>
        <w:t>SAIMEX.</w:t>
      </w:r>
    </w:p>
    <w:p w:rsidR="0053761B" w:rsidRPr="007526D8" w:rsidRDefault="003D2CFE" w:rsidP="0097090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El</w:t>
      </w:r>
      <w:r w:rsidRPr="007526D8">
        <w:rPr>
          <w:rFonts w:ascii="Palatino Linotype" w:eastAsia="Palatino Linotype" w:hAnsi="Palatino Linotype" w:cs="Palatino Linotype"/>
          <w:b/>
          <w:color w:val="000000" w:themeColor="text1"/>
        </w:rPr>
        <w:t xml:space="preserve"> veintiséis de marzo de dos mil veinticuatro</w:t>
      </w:r>
      <w:r w:rsidRPr="007526D8">
        <w:rPr>
          <w:rFonts w:ascii="Palatino Linotype" w:eastAsia="Palatino Linotype" w:hAnsi="Palatino Linotype" w:cs="Palatino Linotype"/>
          <w:color w:val="000000" w:themeColor="text1"/>
        </w:rPr>
        <w:t xml:space="preserve">, 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dio respuesta a través de los siguientes archivos electrónicos: </w:t>
      </w:r>
    </w:p>
    <w:p w:rsidR="0053761B" w:rsidRPr="007526D8" w:rsidRDefault="0053761B" w:rsidP="00970903">
      <w:pPr>
        <w:tabs>
          <w:tab w:val="left" w:pos="0"/>
        </w:tabs>
        <w:spacing w:line="360" w:lineRule="auto"/>
        <w:jc w:val="both"/>
        <w:rPr>
          <w:rFonts w:ascii="Palatino Linotype" w:eastAsia="Palatino Linotype" w:hAnsi="Palatino Linotype" w:cs="Palatino Linotype"/>
          <w:i/>
          <w:color w:val="000000" w:themeColor="text1"/>
        </w:rPr>
      </w:pPr>
    </w:p>
    <w:p w:rsidR="0053761B" w:rsidRPr="007526D8" w:rsidRDefault="003D2CFE" w:rsidP="00693D7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1359.pdf, </w:t>
      </w:r>
      <w:r w:rsidRPr="007526D8">
        <w:rPr>
          <w:rFonts w:ascii="Palatino Linotype" w:eastAsia="Palatino Linotype" w:hAnsi="Palatino Linotype" w:cs="Palatino Linotype"/>
          <w:color w:val="000000" w:themeColor="text1"/>
        </w:rPr>
        <w:t>que contiene un oficio signado por el Tesorero Municipal, mediante el cual informa de la respuesta emitida por la Directora de Ingresos; seguidamente se anexa el oficio que referido por el Tesorero en donde la Directora de Ingresos informa de dos enlace de Internet en donde a su decir el solicitante puede localizar la información de su interés.</w:t>
      </w:r>
    </w:p>
    <w:p w:rsidR="0053761B" w:rsidRPr="007526D8" w:rsidRDefault="003D2CFE" w:rsidP="00693D7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ANEXO 1359. 2025.docx, </w:t>
      </w:r>
      <w:r w:rsidRPr="007526D8">
        <w:rPr>
          <w:rFonts w:ascii="Palatino Linotype" w:eastAsia="Palatino Linotype" w:hAnsi="Palatino Linotype" w:cs="Palatino Linotype"/>
          <w:color w:val="000000" w:themeColor="text1"/>
        </w:rPr>
        <w:t>que contiene un documento de texto (</w:t>
      </w:r>
      <w:r w:rsidRPr="007526D8">
        <w:rPr>
          <w:rFonts w:ascii="Palatino Linotype" w:eastAsia="Palatino Linotype" w:hAnsi="Palatino Linotype" w:cs="Palatino Linotype"/>
          <w:i/>
          <w:color w:val="000000" w:themeColor="text1"/>
        </w:rPr>
        <w:t>Word</w:t>
      </w:r>
      <w:r w:rsidRPr="007526D8">
        <w:rPr>
          <w:rFonts w:ascii="Palatino Linotype" w:eastAsia="Palatino Linotype" w:hAnsi="Palatino Linotype" w:cs="Palatino Linotype"/>
          <w:color w:val="000000" w:themeColor="text1"/>
        </w:rPr>
        <w:t>) con los enlace de Internet informados en el documento anterior, en formato abierto.</w:t>
      </w:r>
    </w:p>
    <w:p w:rsidR="0053761B" w:rsidRPr="007526D8" w:rsidRDefault="0053761B" w:rsidP="0097090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color w:val="000000" w:themeColor="text1"/>
        </w:rPr>
        <w:t>El</w:t>
      </w:r>
      <w:r w:rsidRPr="007526D8">
        <w:rPr>
          <w:rFonts w:ascii="Palatino Linotype" w:eastAsia="Palatino Linotype" w:hAnsi="Palatino Linotype" w:cs="Palatino Linotype"/>
          <w:b/>
          <w:color w:val="000000" w:themeColor="text1"/>
        </w:rPr>
        <w:t xml:space="preserve"> veinte de mayo de dos mil veinticuatro</w:t>
      </w:r>
      <w:r w:rsidRPr="007526D8">
        <w:rPr>
          <w:rFonts w:ascii="Palatino Linotype" w:eastAsia="Palatino Linotype" w:hAnsi="Palatino Linotype" w:cs="Palatino Linotype"/>
          <w:color w:val="000000" w:themeColor="text1"/>
        </w:rPr>
        <w:t>, el particular interpuso el recurso de revisión en contra de la respuesta, realizando las siguientes manifestaciones:</w:t>
      </w:r>
    </w:p>
    <w:p w:rsidR="0053761B" w:rsidRPr="007526D8" w:rsidRDefault="0053761B" w:rsidP="0097090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53761B" w:rsidRPr="007526D8" w:rsidRDefault="003D2CFE" w:rsidP="00693D7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6eiojdnu4az8" w:colFirst="0" w:colLast="0"/>
      <w:bookmarkEnd w:id="2"/>
      <w:r w:rsidRPr="007526D8">
        <w:rPr>
          <w:rFonts w:ascii="Palatino Linotype" w:eastAsia="Palatino Linotype" w:hAnsi="Palatino Linotype" w:cs="Palatino Linotype"/>
          <w:b/>
          <w:color w:val="000000" w:themeColor="text1"/>
        </w:rPr>
        <w:t xml:space="preserve">Acto impugnado: </w:t>
      </w:r>
      <w:r w:rsidRPr="007526D8">
        <w:rPr>
          <w:rFonts w:ascii="Palatino Linotype" w:eastAsia="Palatino Linotype" w:hAnsi="Palatino Linotype" w:cs="Palatino Linotype"/>
          <w:i/>
          <w:color w:val="000000" w:themeColor="text1"/>
        </w:rPr>
        <w:t>“No se entregó la información solicitada de los puntos 1, 2 y 4”</w:t>
      </w:r>
    </w:p>
    <w:p w:rsidR="0053761B" w:rsidRPr="007526D8" w:rsidRDefault="003D2CFE" w:rsidP="00693D7B">
      <w:pPr>
        <w:pBdr>
          <w:top w:val="nil"/>
          <w:left w:val="nil"/>
          <w:bottom w:val="nil"/>
          <w:right w:val="nil"/>
          <w:between w:val="nil"/>
        </w:pBdr>
        <w:tabs>
          <w:tab w:val="left" w:pos="7020"/>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ab/>
      </w:r>
    </w:p>
    <w:p w:rsidR="0053761B" w:rsidRPr="007526D8" w:rsidRDefault="003D2CFE" w:rsidP="00693D7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3" w:name="_heading=h.9f15sbo6srkj" w:colFirst="0" w:colLast="0"/>
      <w:bookmarkEnd w:id="3"/>
      <w:r w:rsidRPr="007526D8">
        <w:rPr>
          <w:rFonts w:ascii="Palatino Linotype" w:eastAsia="Palatino Linotype" w:hAnsi="Palatino Linotype" w:cs="Palatino Linotype"/>
          <w:b/>
          <w:color w:val="000000" w:themeColor="text1"/>
        </w:rPr>
        <w:t xml:space="preserve">Razones o Motivos de inconformidad: </w:t>
      </w:r>
      <w:r w:rsidRPr="007526D8">
        <w:rPr>
          <w:rFonts w:ascii="Palatino Linotype" w:eastAsia="Palatino Linotype" w:hAnsi="Palatino Linotype" w:cs="Palatino Linotype"/>
          <w:i/>
          <w:color w:val="000000" w:themeColor="text1"/>
        </w:rPr>
        <w:t xml:space="preserve">“No se entregó la información solicitada de los puntos 1, 2 y 4” </w:t>
      </w:r>
      <w:r w:rsidRPr="007526D8">
        <w:rPr>
          <w:rFonts w:ascii="Palatino Linotype" w:eastAsia="Palatino Linotype" w:hAnsi="Palatino Linotype" w:cs="Palatino Linotype"/>
          <w:color w:val="000000" w:themeColor="text1"/>
        </w:rPr>
        <w:t>(Sic)</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color w:val="000000" w:themeColor="text1"/>
        </w:rPr>
        <w:t>Con fundamento en lo dispuesto por el artículo 185 fracción II de la ley de la materia, se acordó a las partes a efecto de que en un plazo máximo de siete días, el Recurrente manifestara lo que a su derecho conviniera, ofrecieran pruebas y alegatos, y el Sujeto Obligado presentará el Informe Justificado.</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El Recurrente</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dejó de realizar manifestaciones que a su derecho conviniera y asistiera. Por su parte, el Sujeto Obligado,</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 xml:space="preserve">presentó informe justificado, cuyo contenido </w:t>
      </w:r>
      <w:r w:rsidRPr="007526D8">
        <w:rPr>
          <w:rFonts w:ascii="Palatino Linotype" w:eastAsia="Palatino Linotype" w:hAnsi="Palatino Linotype" w:cs="Palatino Linotype"/>
          <w:color w:val="000000" w:themeColor="text1"/>
          <w:u w:val="single"/>
        </w:rPr>
        <w:t>esencial</w:t>
      </w:r>
      <w:r w:rsidRPr="007526D8">
        <w:rPr>
          <w:rFonts w:ascii="Palatino Linotype" w:eastAsia="Palatino Linotype" w:hAnsi="Palatino Linotype" w:cs="Palatino Linotype"/>
          <w:color w:val="000000" w:themeColor="text1"/>
        </w:rPr>
        <w:t xml:space="preserve"> es el siguiente: </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761B" w:rsidRPr="007526D8" w:rsidRDefault="003D2CFE" w:rsidP="00693D7B">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i/>
          <w:color w:val="000000" w:themeColor="text1"/>
        </w:rPr>
        <w:t>Ratificación 3528.pdf</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y</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b/>
          <w:i/>
          <w:color w:val="000000" w:themeColor="text1"/>
        </w:rPr>
        <w:t>ANEXOS 03528.pdf</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que corresponde a un escrito signado por el Titular de la Unidad de Transparencia a través del cual informa que el Tesorero Municipal confirma su respuesta inicial y, el segundo documento consistente en un oficio signado por el Tesorero Municipal, mediante el cual suscribe su respuesta emitida el día 13 de marzo de 2025.</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El </w:t>
      </w:r>
      <w:r w:rsidRPr="007526D8">
        <w:rPr>
          <w:rFonts w:ascii="Palatino Linotype" w:eastAsia="Palatino Linotype" w:hAnsi="Palatino Linotype" w:cs="Palatino Linotype"/>
          <w:b/>
          <w:color w:val="000000" w:themeColor="text1"/>
        </w:rPr>
        <w:t>veinte de agosto del año en curso</w:t>
      </w:r>
      <w:r w:rsidRPr="007526D8">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3761B" w:rsidRPr="00693D7B" w:rsidRDefault="003D2CFE" w:rsidP="009709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h2kte4jrmx2n" w:colFirst="0" w:colLast="0"/>
      <w:bookmarkEnd w:id="4"/>
      <w:r w:rsidRPr="007526D8">
        <w:rPr>
          <w:rFonts w:ascii="Palatino Linotype" w:eastAsia="Palatino Linotype" w:hAnsi="Palatino Linotype" w:cs="Palatino Linotype"/>
          <w:color w:val="000000" w:themeColor="text1"/>
        </w:rPr>
        <w:t xml:space="preserve">Al no existir diligencias o prueba alguna por desahogar, en fecha </w:t>
      </w:r>
      <w:r w:rsidRPr="007526D8">
        <w:rPr>
          <w:rFonts w:ascii="Palatino Linotype" w:eastAsia="Palatino Linotype" w:hAnsi="Palatino Linotype" w:cs="Palatino Linotype"/>
          <w:b/>
          <w:color w:val="000000" w:themeColor="text1"/>
        </w:rPr>
        <w:t>veintiséis de agosto de dos mil veinticinco</w:t>
      </w:r>
      <w:r w:rsidRPr="007526D8">
        <w:rPr>
          <w:rFonts w:ascii="Palatino Linotype" w:eastAsia="Palatino Linotype" w:hAnsi="Palatino Linotype" w:cs="Palatino Linotype"/>
          <w:color w:val="000000" w:themeColor="text1"/>
        </w:rPr>
        <w:t>, la Comisionada Ponente dictó el cierre del periodo de instrucción y, ordenó la resolución que conforme a Derecho proceda, de acuerdo a las siguientes:</w:t>
      </w:r>
      <w:r w:rsidR="00693D7B">
        <w:rPr>
          <w:rFonts w:ascii="Palatino Linotype" w:eastAsia="Palatino Linotype" w:hAnsi="Palatino Linotype" w:cs="Palatino Linotype"/>
          <w:color w:val="000000" w:themeColor="text1"/>
        </w:rPr>
        <w:t>-----------</w:t>
      </w:r>
    </w:p>
    <w:p w:rsidR="00693D7B" w:rsidRDefault="00693D7B" w:rsidP="00693D7B">
      <w:pPr>
        <w:pStyle w:val="Prrafodelista"/>
        <w:rPr>
          <w:rFonts w:ascii="Palatino Linotype" w:eastAsia="Palatino Linotype" w:hAnsi="Palatino Linotype" w:cs="Palatino Linotype"/>
          <w:b/>
          <w:color w:val="000000" w:themeColor="text1"/>
        </w:rPr>
      </w:pPr>
    </w:p>
    <w:p w:rsidR="00693D7B" w:rsidRDefault="00693D7B" w:rsidP="00693D7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93D7B" w:rsidRDefault="00693D7B" w:rsidP="00693D7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93D7B" w:rsidRPr="007526D8" w:rsidRDefault="00693D7B" w:rsidP="00693D7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3761B" w:rsidRPr="007526D8" w:rsidRDefault="0053761B" w:rsidP="0097090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53761B" w:rsidRDefault="003D2CFE" w:rsidP="0097090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lastRenderedPageBreak/>
        <w:t>C O N S I D E R A C I O N E S</w:t>
      </w:r>
    </w:p>
    <w:p w:rsidR="00693D7B" w:rsidRPr="007526D8" w:rsidRDefault="00693D7B" w:rsidP="0097090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53761B" w:rsidRPr="007526D8" w:rsidRDefault="003D2CFE" w:rsidP="00970903">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k7796twdhnpd" w:colFirst="0" w:colLast="0"/>
      <w:bookmarkEnd w:id="5"/>
      <w:r w:rsidRPr="007526D8">
        <w:rPr>
          <w:rFonts w:ascii="Palatino Linotype" w:eastAsia="Palatino Linotype" w:hAnsi="Palatino Linotype" w:cs="Palatino Linotype"/>
          <w:b/>
          <w:color w:val="000000" w:themeColor="text1"/>
          <w:sz w:val="24"/>
          <w:szCs w:val="24"/>
        </w:rPr>
        <w:t>PRIMERA. Competencia</w:t>
      </w: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3761B" w:rsidRPr="007526D8" w:rsidRDefault="003D2CFE" w:rsidP="00970903">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g2qovstjqv22" w:colFirst="0" w:colLast="0"/>
      <w:bookmarkEnd w:id="6"/>
      <w:r w:rsidRPr="007526D8">
        <w:rPr>
          <w:rFonts w:ascii="Palatino Linotype" w:eastAsia="Palatino Linotype" w:hAnsi="Palatino Linotype" w:cs="Palatino Linotype"/>
          <w:b/>
          <w:color w:val="000000" w:themeColor="text1"/>
          <w:sz w:val="24"/>
          <w:szCs w:val="24"/>
        </w:rPr>
        <w:t>SEGUNDA. Procedencia.</w:t>
      </w: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53761B" w:rsidRPr="007526D8" w:rsidRDefault="003D2CFE" w:rsidP="00970903">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u1ll0s42rmcr" w:colFirst="0" w:colLast="0"/>
      <w:bookmarkEnd w:id="7"/>
      <w:r w:rsidRPr="007526D8">
        <w:rPr>
          <w:rFonts w:ascii="Palatino Linotype" w:eastAsia="Palatino Linotype" w:hAnsi="Palatino Linotype" w:cs="Palatino Linotype"/>
          <w:b/>
          <w:color w:val="000000" w:themeColor="text1"/>
          <w:sz w:val="24"/>
          <w:szCs w:val="24"/>
        </w:rPr>
        <w:lastRenderedPageBreak/>
        <w:t>TERCERA. Descripción de hechos y planteamiento de la controversia.</w:t>
      </w:r>
    </w:p>
    <w:p w:rsidR="0053761B" w:rsidRPr="007526D8" w:rsidRDefault="003D2CFE" w:rsidP="0097090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Se solicitó tener acceso, a la información que a continuación se simplifica:</w:t>
      </w:r>
    </w:p>
    <w:p w:rsidR="0053761B" w:rsidRPr="007526D8" w:rsidRDefault="003D2CFE" w:rsidP="00693D7B">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De la recaudación del impuesto predial 2023 y 2024, lo siguiente:</w:t>
      </w: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 xml:space="preserve">1) Número de predios totales </w:t>
      </w: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 xml:space="preserve">2) Número de predios que pagaron predial </w:t>
      </w: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 xml:space="preserve">3) Monto de la recaudación total </w:t>
      </w: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4) Monto del predial rezagado que fue recaudado</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color w:val="000000" w:themeColor="text1"/>
        </w:rPr>
        <w:t xml:space="preserve">En respuesta, el </w:t>
      </w:r>
      <w:r w:rsidRPr="007526D8">
        <w:rPr>
          <w:rFonts w:ascii="Palatino Linotype" w:eastAsia="Palatino Linotype" w:hAnsi="Palatino Linotype" w:cs="Palatino Linotype"/>
          <w:b/>
          <w:color w:val="000000" w:themeColor="text1"/>
        </w:rPr>
        <w:t xml:space="preserve">SUJETO OBLIGADO </w:t>
      </w:r>
      <w:r w:rsidRPr="007526D8">
        <w:rPr>
          <w:rFonts w:ascii="Palatino Linotype" w:eastAsia="Palatino Linotype" w:hAnsi="Palatino Linotype" w:cs="Palatino Linotype"/>
          <w:color w:val="000000" w:themeColor="text1"/>
        </w:rPr>
        <w:t>remitió los archivos ya descritos en el anterior Párrafo 2. Inconforme con la respuesta, se interpuso recurso de revisión argumentando sustancialmente la negativa de la entrega de la información incompleta.</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el artículo 179, fracción V</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de la Ley de Transparencia y Acceso a la Información Pública del Estado de</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México</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y</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Municipios; fracción que determina la hipótesis relativa a la entrega de información incompleta; contexto del cual se dolió el Recurrente al momento de interponer su inconformidad. De modo tal que el presente recurso de revisión se abocara en determinar si el Sujeto Obligado con su respuesta ciertamente actualiza la causal de procedencia</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 xml:space="preserve">señalada. </w:t>
      </w:r>
    </w:p>
    <w:p w:rsidR="0053761B" w:rsidRPr="007526D8" w:rsidRDefault="0053761B" w:rsidP="00970903">
      <w:pPr>
        <w:spacing w:line="360" w:lineRule="auto"/>
        <w:rPr>
          <w:rFonts w:ascii="Palatino Linotype" w:eastAsia="Palatino Linotype" w:hAnsi="Palatino Linotype" w:cs="Palatino Linotype"/>
          <w:color w:val="000000" w:themeColor="text1"/>
        </w:rPr>
      </w:pPr>
    </w:p>
    <w:p w:rsidR="0053761B" w:rsidRPr="007526D8" w:rsidRDefault="003D2CFE" w:rsidP="00970903">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ld5u195xxjl0" w:colFirst="0" w:colLast="0"/>
      <w:bookmarkEnd w:id="8"/>
      <w:r w:rsidRPr="007526D8">
        <w:rPr>
          <w:rFonts w:ascii="Palatino Linotype" w:eastAsia="Palatino Linotype" w:hAnsi="Palatino Linotype" w:cs="Palatino Linotype"/>
          <w:b/>
          <w:color w:val="000000" w:themeColor="text1"/>
          <w:sz w:val="24"/>
          <w:szCs w:val="24"/>
        </w:rPr>
        <w:lastRenderedPageBreak/>
        <w:t>CUARTA. Estudio de la controversia.</w:t>
      </w: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w:t>
      </w:r>
      <w:r w:rsidRPr="007526D8">
        <w:rPr>
          <w:rFonts w:ascii="Palatino Linotype" w:eastAsia="Palatino Linotype" w:hAnsi="Palatino Linotype" w:cs="Palatino Linotype"/>
          <w:color w:val="000000" w:themeColor="text1"/>
        </w:rPr>
        <w:lastRenderedPageBreak/>
        <w:t>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Dicho lo anterior, es necesario recordar los motivos de inconformidad; mismos que son tendentes a impugnar la falta de atención de los numerales 1, 2 y 4, lo que trae consigo que no se haya impugnado la totalidad de la solicitud de información.</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53761B" w:rsidRPr="007526D8" w:rsidRDefault="003D2CFE" w:rsidP="0097090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 xml:space="preserve">“ACTOS CONSENTIDOS. SON LOS QUE NO SE IMPUGNAN MEDIANTE EL RECURSO IDÓNEO. </w:t>
      </w:r>
      <w:r w:rsidRPr="007526D8">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 xml:space="preserve">De la interpretación del criterio antes citado, se advierte que cuando el particular impugnó la respuesta del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7526D8">
        <w:rPr>
          <w:rFonts w:ascii="Palatino Linotype" w:eastAsia="Palatino Linotype" w:hAnsi="Palatino Linotype" w:cs="Palatino Linotype"/>
          <w:b/>
          <w:color w:val="000000" w:themeColor="text1"/>
        </w:rPr>
        <w:t>EL RECURRENTE</w:t>
      </w:r>
      <w:r w:rsidRPr="007526D8">
        <w:rPr>
          <w:rFonts w:ascii="Palatino Linotype" w:eastAsia="Palatino Linotype" w:hAnsi="Palatino Linotype" w:cs="Palatino Linotype"/>
          <w:color w:val="000000" w:themeColor="text1"/>
        </w:rPr>
        <w:t xml:space="preserve"> está conforme con la respuesta proporcionada por </w:t>
      </w:r>
      <w:r w:rsidRPr="007526D8">
        <w:rPr>
          <w:rFonts w:ascii="Palatino Linotype" w:eastAsia="Palatino Linotype" w:hAnsi="Palatino Linotype" w:cs="Palatino Linotype"/>
          <w:b/>
          <w:color w:val="000000" w:themeColor="text1"/>
        </w:rPr>
        <w:t>EL SUJETO OBLIGADO,</w:t>
      </w:r>
      <w:r w:rsidRPr="007526D8">
        <w:rPr>
          <w:rFonts w:ascii="Palatino Linotype" w:eastAsia="Palatino Linotype" w:hAnsi="Palatino Linotype" w:cs="Palatino Linotype"/>
          <w:color w:val="000000" w:themeColor="text1"/>
        </w:rPr>
        <w:t xml:space="preserve"> al no contravenir la misma. </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53761B" w:rsidRPr="007526D8" w:rsidRDefault="003D2CFE" w:rsidP="00970903">
      <w:pPr>
        <w:pBdr>
          <w:top w:val="nil"/>
          <w:left w:val="nil"/>
          <w:bottom w:val="nil"/>
          <w:right w:val="nil"/>
          <w:between w:val="nil"/>
        </w:pBdr>
        <w:tabs>
          <w:tab w:val="left" w:pos="7937"/>
          <w:tab w:val="left" w:pos="8222"/>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 xml:space="preserve">“REVISIÓN EN AMPARO. LOS RESOLUTIVOS NO COMBATIDOS DEBEN DECLARARSE FIRMES. </w:t>
      </w:r>
      <w:r w:rsidRPr="007526D8">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3761B" w:rsidRPr="007526D8" w:rsidRDefault="0053761B" w:rsidP="00970903">
      <w:pPr>
        <w:pBdr>
          <w:top w:val="nil"/>
          <w:left w:val="nil"/>
          <w:bottom w:val="nil"/>
          <w:right w:val="nil"/>
          <w:between w:val="nil"/>
        </w:pBdr>
        <w:tabs>
          <w:tab w:val="left" w:pos="7937"/>
          <w:tab w:val="left" w:pos="8222"/>
        </w:tabs>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Consecuentemente los puntos no controvertidos se consideran actos consentidos derivando en que este Órgano Resolutor no entrará al estudio del mismo por las razones hasta aquí expuestas. </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Ahora bien de los puntos controvertidos a saber: número de predios totales, número de predios que pagaron predial y, monto del predial rezagado que fue recaudado; recayó una respuesta consistente en enlaces de Internet. Al respecto debe señalarse que ciertamente la entrega de enlaces de Internet pueden colmar la respuesta a una solicitud de información; sin embargo estos deben colmar cualidades que establece la ley de la materia.</w:t>
      </w:r>
    </w:p>
    <w:p w:rsidR="0053761B" w:rsidRPr="007526D8" w:rsidRDefault="0053761B" w:rsidP="00970903">
      <w:pP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En esa tesitura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en los siguientes preceptos:</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Artículo 11.</w:t>
      </w:r>
      <w:r w:rsidRPr="007526D8">
        <w:rPr>
          <w:rFonts w:ascii="Palatino Linotype" w:eastAsia="Palatino Linotype" w:hAnsi="Palatino Linotype" w:cs="Palatino Linotype"/>
          <w:i/>
          <w:color w:val="000000" w:themeColor="text1"/>
        </w:rPr>
        <w:t xml:space="preserve"> En la generación, publicación y</w:t>
      </w:r>
      <w:r w:rsidRPr="007526D8">
        <w:rPr>
          <w:rFonts w:ascii="Palatino Linotype" w:eastAsia="Palatino Linotype" w:hAnsi="Palatino Linotype" w:cs="Palatino Linotype"/>
          <w:b/>
          <w:i/>
          <w:color w:val="000000" w:themeColor="text1"/>
        </w:rPr>
        <w:t xml:space="preserve"> </w:t>
      </w:r>
      <w:r w:rsidRPr="007526D8">
        <w:rPr>
          <w:rFonts w:ascii="Palatino Linotype" w:eastAsia="Palatino Linotype" w:hAnsi="Palatino Linotype" w:cs="Palatino Linotype"/>
          <w:b/>
          <w:i/>
          <w:color w:val="000000" w:themeColor="text1"/>
          <w:u w:val="single"/>
        </w:rPr>
        <w:t>entrega de información se deberá</w:t>
      </w:r>
      <w:r w:rsidRPr="007526D8">
        <w:rPr>
          <w:rFonts w:ascii="Palatino Linotype" w:eastAsia="Palatino Linotype" w:hAnsi="Palatino Linotype" w:cs="Palatino Linotype"/>
          <w:i/>
          <w:color w:val="000000" w:themeColor="text1"/>
        </w:rPr>
        <w:t xml:space="preserve"> </w:t>
      </w:r>
      <w:r w:rsidRPr="007526D8">
        <w:rPr>
          <w:rFonts w:ascii="Palatino Linotype" w:eastAsia="Palatino Linotype" w:hAnsi="Palatino Linotype" w:cs="Palatino Linotype"/>
          <w:b/>
          <w:i/>
          <w:color w:val="000000" w:themeColor="text1"/>
          <w:u w:val="single"/>
        </w:rPr>
        <w:t>garantizar que ésta sea accesible, actualizada, completa, congruente, confiable, verificable, veraz, integral, oportuna y expedita</w:t>
      </w:r>
      <w:r w:rsidRPr="007526D8">
        <w:rPr>
          <w:rFonts w:ascii="Palatino Linotype" w:eastAsia="Palatino Linotype" w:hAnsi="Palatino Linotype" w:cs="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53761B" w:rsidRPr="007526D8" w:rsidRDefault="003D2CFE" w:rsidP="00970903">
      <w:pPr>
        <w:spacing w:line="360" w:lineRule="auto"/>
        <w:jc w:val="both"/>
        <w:rPr>
          <w:rFonts w:ascii="Palatino Linotype" w:eastAsia="Palatino Linotype" w:hAnsi="Palatino Linotype" w:cs="Palatino Linotype"/>
          <w:b/>
          <w:i/>
          <w:color w:val="000000" w:themeColor="text1"/>
        </w:rPr>
      </w:pPr>
      <w:r w:rsidRPr="007526D8">
        <w:rPr>
          <w:rFonts w:ascii="Palatino Linotype" w:eastAsia="Palatino Linotype" w:hAnsi="Palatino Linotype" w:cs="Palatino Linotype"/>
          <w:b/>
          <w:i/>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i/>
          <w:color w:val="000000" w:themeColor="text1"/>
        </w:rPr>
        <w:t>Artículo 161.</w:t>
      </w:r>
      <w:r w:rsidRPr="007526D8">
        <w:rPr>
          <w:rFonts w:ascii="Palatino Linotype" w:eastAsia="Palatino Linotype" w:hAnsi="Palatino Linotype" w:cs="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7526D8">
        <w:rPr>
          <w:rFonts w:ascii="Palatino Linotype" w:eastAsia="Palatino Linotype" w:hAnsi="Palatino Linotype" w:cs="Palatino Linotype"/>
          <w:b/>
          <w:i/>
          <w:color w:val="000000" w:themeColor="text1"/>
        </w:rPr>
        <w:t xml:space="preserve">la fuente, el lugar y la forma en que puede consultar, reproducir o adquirir dicha información en un plazo no mayor a cinco días hábiles. </w:t>
      </w:r>
      <w:r w:rsidRPr="007526D8">
        <w:rPr>
          <w:rFonts w:ascii="Palatino Linotype" w:eastAsia="Palatino Linotype" w:hAnsi="Palatino Linotype" w:cs="Palatino Linotype"/>
          <w:b/>
          <w:i/>
          <w:color w:val="000000" w:themeColor="text1"/>
          <w:u w:val="single"/>
        </w:rPr>
        <w:t xml:space="preserve">La fuente deberá ser precisa y </w:t>
      </w:r>
      <w:r w:rsidRPr="007526D8">
        <w:rPr>
          <w:rFonts w:ascii="Palatino Linotype" w:eastAsia="Palatino Linotype" w:hAnsi="Palatino Linotype" w:cs="Palatino Linotype"/>
          <w:b/>
          <w:i/>
          <w:color w:val="000000" w:themeColor="text1"/>
          <w:u w:val="single"/>
        </w:rPr>
        <w:lastRenderedPageBreak/>
        <w:t>concreta y no debe implicar que el solicitante realice una búsqueda en toda la información que se encuentre disponible.</w:t>
      </w:r>
      <w:r w:rsidRPr="007526D8">
        <w:rPr>
          <w:rFonts w:ascii="Palatino Linotype" w:eastAsia="Palatino Linotype" w:hAnsi="Palatino Linotype" w:cs="Palatino Linotype"/>
          <w:color w:val="000000" w:themeColor="text1"/>
        </w:rPr>
        <w:t xml:space="preserve"> </w:t>
      </w:r>
    </w:p>
    <w:p w:rsidR="0053761B" w:rsidRPr="007526D8" w:rsidRDefault="0053761B" w:rsidP="00970903">
      <w:pPr>
        <w:spacing w:line="360" w:lineRule="auto"/>
        <w:jc w:val="both"/>
        <w:rPr>
          <w:rFonts w:ascii="Palatino Linotype" w:eastAsia="Palatino Linotype" w:hAnsi="Palatino Linotype" w:cs="Palatino Linotype"/>
          <w:b/>
          <w:i/>
          <w:color w:val="000000" w:themeColor="text1"/>
          <w:u w:val="single"/>
        </w:rPr>
      </w:pPr>
    </w:p>
    <w:p w:rsidR="0053761B" w:rsidRPr="007526D8" w:rsidRDefault="003D2CFE" w:rsidP="00970903">
      <w:pPr>
        <w:spacing w:line="360" w:lineRule="auto"/>
        <w:jc w:val="both"/>
        <w:rPr>
          <w:rFonts w:ascii="Palatino Linotype" w:eastAsia="Palatino Linotype" w:hAnsi="Palatino Linotype" w:cs="Palatino Linotype"/>
          <w:b/>
          <w:i/>
          <w:color w:val="000000" w:themeColor="text1"/>
          <w:u w:val="single"/>
        </w:rPr>
      </w:pPr>
      <w:r w:rsidRPr="007526D8">
        <w:rPr>
          <w:rFonts w:ascii="Palatino Linotype" w:eastAsia="Palatino Linotype" w:hAnsi="Palatino Linotype" w:cs="Palatino Linotype"/>
          <w:b/>
          <w:i/>
          <w:color w:val="000000" w:themeColor="text1"/>
          <w:u w:val="single"/>
        </w:rPr>
        <w:t>“Capítulo II</w:t>
      </w:r>
    </w:p>
    <w:p w:rsidR="0053761B" w:rsidRPr="007526D8" w:rsidRDefault="003D2CFE" w:rsidP="00970903">
      <w:pPr>
        <w:spacing w:line="360" w:lineRule="auto"/>
        <w:jc w:val="both"/>
        <w:rPr>
          <w:rFonts w:ascii="Palatino Linotype" w:eastAsia="Palatino Linotype" w:hAnsi="Palatino Linotype" w:cs="Palatino Linotype"/>
          <w:b/>
          <w:i/>
          <w:color w:val="000000" w:themeColor="text1"/>
          <w:u w:val="single"/>
        </w:rPr>
      </w:pPr>
      <w:r w:rsidRPr="007526D8">
        <w:rPr>
          <w:rFonts w:ascii="Palatino Linotype" w:eastAsia="Palatino Linotype" w:hAnsi="Palatino Linotype" w:cs="Palatino Linotype"/>
          <w:b/>
          <w:i/>
          <w:color w:val="000000" w:themeColor="text1"/>
          <w:u w:val="single"/>
        </w:rPr>
        <w:t xml:space="preserve">De las Obligaciones de Transparencia Comunes </w:t>
      </w:r>
    </w:p>
    <w:p w:rsidR="0053761B" w:rsidRPr="007526D8" w:rsidRDefault="003D2CFE" w:rsidP="00970903">
      <w:pPr>
        <w:spacing w:line="360" w:lineRule="auto"/>
        <w:jc w:val="both"/>
        <w:rPr>
          <w:rFonts w:ascii="Palatino Linotype" w:eastAsia="Palatino Linotype" w:hAnsi="Palatino Linotype" w:cs="Palatino Linotype"/>
          <w:b/>
          <w:i/>
          <w:color w:val="000000" w:themeColor="text1"/>
          <w:u w:val="single"/>
        </w:rPr>
      </w:pPr>
      <w:r w:rsidRPr="007526D8">
        <w:rPr>
          <w:rFonts w:ascii="Palatino Linotype" w:eastAsia="Palatino Linotype" w:hAnsi="Palatino Linotype" w:cs="Palatino Linotype"/>
          <w:b/>
          <w:i/>
          <w:color w:val="000000" w:themeColor="text1"/>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3761B" w:rsidRPr="007526D8" w:rsidRDefault="003D2CFE" w:rsidP="00970903">
      <w:pPr>
        <w:spacing w:line="360" w:lineRule="auto"/>
        <w:jc w:val="both"/>
        <w:rPr>
          <w:rFonts w:ascii="Palatino Linotype" w:eastAsia="Palatino Linotype" w:hAnsi="Palatino Linotype" w:cs="Palatino Linotype"/>
          <w:b/>
          <w:i/>
          <w:color w:val="000000" w:themeColor="text1"/>
          <w:u w:val="single"/>
        </w:rPr>
      </w:pPr>
      <w:r w:rsidRPr="007526D8">
        <w:rPr>
          <w:rFonts w:ascii="Palatino Linotype" w:eastAsia="Palatino Linotype" w:hAnsi="Palatino Linotype" w:cs="Palatino Linotype"/>
          <w:b/>
          <w:i/>
          <w:color w:val="000000" w:themeColor="text1"/>
          <w:u w:val="single"/>
        </w:rPr>
        <w:t>…</w:t>
      </w:r>
    </w:p>
    <w:p w:rsidR="0053761B" w:rsidRPr="007526D8" w:rsidRDefault="003D2CFE" w:rsidP="00970903">
      <w:pPr>
        <w:spacing w:line="360" w:lineRule="auto"/>
        <w:jc w:val="both"/>
        <w:rPr>
          <w:rFonts w:ascii="Palatino Linotype" w:eastAsia="Palatino Linotype" w:hAnsi="Palatino Linotype" w:cs="Palatino Linotype"/>
          <w:b/>
          <w:i/>
          <w:color w:val="000000" w:themeColor="text1"/>
          <w:u w:val="single"/>
        </w:rPr>
      </w:pPr>
      <w:r w:rsidRPr="007526D8">
        <w:rPr>
          <w:rFonts w:ascii="Palatino Linotype" w:eastAsia="Palatino Linotype" w:hAnsi="Palatino Linotype" w:cs="Palatino Linotype"/>
          <w:b/>
          <w:i/>
          <w:color w:val="000000" w:themeColor="text1"/>
          <w:u w:val="single"/>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53761B" w:rsidRPr="007526D8" w:rsidRDefault="003D2CFE" w:rsidP="00970903">
      <w:pPr>
        <w:spacing w:line="360" w:lineRule="auto"/>
        <w:jc w:val="both"/>
        <w:rPr>
          <w:rFonts w:ascii="Palatino Linotype" w:eastAsia="Palatino Linotype" w:hAnsi="Palatino Linotype" w:cs="Palatino Linotype"/>
          <w:i/>
          <w:color w:val="000000" w:themeColor="text1"/>
          <w:u w:val="single"/>
        </w:rPr>
      </w:pPr>
      <w:r w:rsidRPr="007526D8">
        <w:rPr>
          <w:rFonts w:ascii="Palatino Linotype" w:eastAsia="Palatino Linotype" w:hAnsi="Palatino Linotype" w:cs="Palatino Linotype"/>
          <w:b/>
          <w:i/>
          <w:color w:val="000000" w:themeColor="text1"/>
          <w:u w:val="single"/>
        </w:rPr>
        <w:t>…”</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7526D8">
        <w:rPr>
          <w:rFonts w:ascii="Palatino Linotype" w:eastAsia="Palatino Linotype" w:hAnsi="Palatino Linotype" w:cs="Palatino Linotype"/>
          <w:b/>
          <w:color w:val="000000" w:themeColor="text1"/>
          <w:u w:val="single"/>
        </w:rPr>
        <w:t>haciéndole saber al solicitante como podrá consultar, reproducir o adquirir la información, en un plazo no mayor a cinco días hábiles</w:t>
      </w:r>
      <w:r w:rsidRPr="007526D8">
        <w:rPr>
          <w:rFonts w:ascii="Palatino Linotype" w:eastAsia="Palatino Linotype" w:hAnsi="Palatino Linotype" w:cs="Palatino Linotype"/>
          <w:color w:val="000000" w:themeColor="text1"/>
        </w:rPr>
        <w:t>, comprendiendo:</w:t>
      </w:r>
    </w:p>
    <w:p w:rsidR="0053761B" w:rsidRPr="007526D8" w:rsidRDefault="003D2CFE" w:rsidP="00693D7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La fuente</w:t>
      </w:r>
    </w:p>
    <w:p w:rsidR="0053761B" w:rsidRPr="007526D8" w:rsidRDefault="003D2CFE" w:rsidP="00693D7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El lugar y</w:t>
      </w:r>
    </w:p>
    <w:p w:rsidR="0053761B" w:rsidRPr="007526D8" w:rsidRDefault="003D2CFE" w:rsidP="00693D7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La forma </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Asimismo, se establece que la fuente de la información </w:t>
      </w:r>
      <w:r w:rsidRPr="007526D8">
        <w:rPr>
          <w:rFonts w:ascii="Palatino Linotype" w:eastAsia="Palatino Linotype" w:hAnsi="Palatino Linotype" w:cs="Palatino Linotype"/>
          <w:b/>
          <w:color w:val="000000" w:themeColor="text1"/>
        </w:rPr>
        <w:t>deberá ser</w:t>
      </w:r>
      <w:r w:rsidRPr="007526D8">
        <w:rPr>
          <w:rFonts w:ascii="Palatino Linotype" w:eastAsia="Palatino Linotype" w:hAnsi="Palatino Linotype" w:cs="Palatino Linotype"/>
          <w:color w:val="000000" w:themeColor="text1"/>
        </w:rPr>
        <w:t>:</w:t>
      </w:r>
    </w:p>
    <w:p w:rsidR="0053761B" w:rsidRPr="007526D8" w:rsidRDefault="003D2CFE" w:rsidP="00693D7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Precisa</w:t>
      </w:r>
    </w:p>
    <w:p w:rsidR="0053761B" w:rsidRPr="007526D8" w:rsidRDefault="003D2CFE" w:rsidP="00693D7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Concreta</w:t>
      </w:r>
    </w:p>
    <w:p w:rsidR="0053761B" w:rsidRPr="007526D8" w:rsidRDefault="003D2CFE" w:rsidP="00693D7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u w:val="single"/>
        </w:rPr>
      </w:pPr>
      <w:r w:rsidRPr="007526D8">
        <w:rPr>
          <w:rFonts w:ascii="Palatino Linotype" w:eastAsia="Palatino Linotype" w:hAnsi="Palatino Linotype" w:cs="Palatino Linotype"/>
          <w:color w:val="000000" w:themeColor="text1"/>
          <w:u w:val="single"/>
        </w:rPr>
        <w:t>Y NO debe implicar que el solicitante realice una búsqueda en toda la información que se encuentre disponible.</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u w:val="single"/>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Imperativos legales que establecen el procedimiento que debe seguir </w:t>
      </w:r>
      <w:r w:rsidRPr="007526D8">
        <w:rPr>
          <w:rFonts w:ascii="Palatino Linotype" w:eastAsia="Palatino Linotype" w:hAnsi="Palatino Linotype" w:cs="Palatino Linotype"/>
          <w:b/>
          <w:color w:val="000000" w:themeColor="text1"/>
        </w:rPr>
        <w:t xml:space="preserve">El Sujeto Obligado </w:t>
      </w:r>
      <w:r w:rsidRPr="007526D8">
        <w:rPr>
          <w:rFonts w:ascii="Palatino Linotype" w:eastAsia="Palatino Linotype" w:hAnsi="Palatino Linotype" w:cs="Palatino Linotype"/>
          <w:color w:val="000000" w:themeColor="text1"/>
        </w:rPr>
        <w:t xml:space="preserve">para que pueda tomarse como válida su orientación sobre la forma en que puede consultar la información requerida, y que en la especie si acontece, pues, la fuente donde se encuentra la información, </w:t>
      </w:r>
      <w:r w:rsidRPr="007526D8">
        <w:rPr>
          <w:rFonts w:ascii="Palatino Linotype" w:eastAsia="Palatino Linotype" w:hAnsi="Palatino Linotype" w:cs="Palatino Linotype"/>
          <w:b/>
          <w:color w:val="000000" w:themeColor="text1"/>
          <w:u w:val="single"/>
        </w:rPr>
        <w:t>es precisa</w:t>
      </w:r>
      <w:r w:rsidRPr="007526D8">
        <w:rPr>
          <w:rFonts w:ascii="Palatino Linotype" w:eastAsia="Palatino Linotype" w:hAnsi="Palatino Linotype" w:cs="Palatino Linotype"/>
          <w:color w:val="000000" w:themeColor="text1"/>
        </w:rPr>
        <w:t xml:space="preserve"> por señalarse el lugar específico donde se encuentra la información solicitada; </w:t>
      </w:r>
      <w:r w:rsidRPr="007526D8">
        <w:rPr>
          <w:rFonts w:ascii="Palatino Linotype" w:eastAsia="Palatino Linotype" w:hAnsi="Palatino Linotype" w:cs="Palatino Linotype"/>
          <w:b/>
          <w:color w:val="000000" w:themeColor="text1"/>
          <w:u w:val="single"/>
        </w:rPr>
        <w:t>es concreta</w:t>
      </w:r>
      <w:r w:rsidRPr="007526D8">
        <w:rPr>
          <w:rFonts w:ascii="Palatino Linotype" w:eastAsia="Palatino Linotype" w:hAnsi="Palatino Linotype" w:cs="Palatino Linotype"/>
          <w:color w:val="000000" w:themeColor="text1"/>
        </w:rPr>
        <w:t xml:space="preserve"> porque su fuente es sólida; y por último, su fuente </w:t>
      </w:r>
      <w:r w:rsidRPr="007526D8">
        <w:rPr>
          <w:rFonts w:ascii="Palatino Linotype" w:eastAsia="Palatino Linotype" w:hAnsi="Palatino Linotype" w:cs="Palatino Linotype"/>
          <w:b/>
          <w:color w:val="000000" w:themeColor="text1"/>
        </w:rPr>
        <w:t>NO implica que el solicitante realice una búsqueda en toda la información que se encuentra disponible</w:t>
      </w:r>
      <w:r w:rsidRPr="007526D8">
        <w:rPr>
          <w:rFonts w:ascii="Palatino Linotype" w:eastAsia="Palatino Linotype" w:hAnsi="Palatino Linotype" w:cs="Palatino Linotype"/>
          <w:color w:val="000000" w:themeColor="text1"/>
        </w:rPr>
        <w:t>, lo que a todas luces cumple el numeral citado.</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En ese contexto el enlace entregado colman el requisito de encontrarse en formato abierto al encontrase el hipervínculos habilitado para acceder dando clic sobre el mismo y dirigiendo a la página correspondiente sin necesidad de transcribirlo. No obstante, una vez que se ingresa a los mismos y siguiendo las instrucciones otorgadas, se obtienen los resultados siguientes:</w:t>
      </w:r>
    </w:p>
    <w:p w:rsidR="0053761B" w:rsidRPr="007526D8" w:rsidRDefault="003D2CFE" w:rsidP="00970903">
      <w:pPr>
        <w:spacing w:line="360" w:lineRule="auto"/>
        <w:jc w:val="center"/>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noProof/>
          <w:color w:val="000000" w:themeColor="text1"/>
          <w:lang w:val="es-MX"/>
        </w:rPr>
        <w:lastRenderedPageBreak/>
        <w:drawing>
          <wp:inline distT="0" distB="0" distL="0" distR="0">
            <wp:extent cx="5575858" cy="271537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75858" cy="2715376"/>
                    </a:xfrm>
                    <a:prstGeom prst="rect">
                      <a:avLst/>
                    </a:prstGeom>
                    <a:ln/>
                  </pic:spPr>
                </pic:pic>
              </a:graphicData>
            </a:graphic>
          </wp:inline>
        </w:drawing>
      </w:r>
    </w:p>
    <w:p w:rsidR="0053761B" w:rsidRPr="007526D8" w:rsidRDefault="0053761B" w:rsidP="00970903">
      <w:pPr>
        <w:spacing w:line="360" w:lineRule="auto"/>
        <w:jc w:val="center"/>
        <w:rPr>
          <w:rFonts w:ascii="Palatino Linotype" w:eastAsia="Palatino Linotype" w:hAnsi="Palatino Linotype" w:cs="Palatino Linotype"/>
          <w:color w:val="000000" w:themeColor="text1"/>
        </w:rPr>
      </w:pPr>
    </w:p>
    <w:p w:rsidR="0053761B" w:rsidRPr="007526D8" w:rsidRDefault="003D2CFE" w:rsidP="00970903">
      <w:pPr>
        <w:spacing w:line="360" w:lineRule="auto"/>
        <w:jc w:val="center"/>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noProof/>
          <w:color w:val="000000" w:themeColor="text1"/>
          <w:lang w:val="es-MX"/>
        </w:rPr>
        <w:drawing>
          <wp:inline distT="0" distB="0" distL="0" distR="0">
            <wp:extent cx="5612130" cy="174244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742440"/>
                    </a:xfrm>
                    <a:prstGeom prst="rect">
                      <a:avLst/>
                    </a:prstGeom>
                    <a:ln/>
                  </pic:spPr>
                </pic:pic>
              </a:graphicData>
            </a:graphic>
          </wp:inline>
        </w:drawing>
      </w:r>
    </w:p>
    <w:p w:rsidR="0053761B" w:rsidRPr="007526D8" w:rsidRDefault="003D2CFE" w:rsidP="00970903">
      <w:pPr>
        <w:spacing w:line="360" w:lineRule="auto"/>
        <w:jc w:val="center"/>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noProof/>
          <w:color w:val="000000" w:themeColor="text1"/>
          <w:lang w:val="es-MX"/>
        </w:rPr>
        <w:lastRenderedPageBreak/>
        <w:drawing>
          <wp:inline distT="0" distB="0" distL="0" distR="0">
            <wp:extent cx="5612130" cy="249110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2491105"/>
                    </a:xfrm>
                    <a:prstGeom prst="rect">
                      <a:avLst/>
                    </a:prstGeom>
                    <a:ln/>
                  </pic:spPr>
                </pic:pic>
              </a:graphicData>
            </a:graphic>
          </wp:inline>
        </w:drawing>
      </w:r>
    </w:p>
    <w:p w:rsidR="0053761B" w:rsidRDefault="0053761B" w:rsidP="00970903">
      <w:pPr>
        <w:spacing w:line="360" w:lineRule="auto"/>
        <w:jc w:val="both"/>
        <w:rPr>
          <w:rFonts w:ascii="Palatino Linotype" w:eastAsia="Palatino Linotype" w:hAnsi="Palatino Linotype" w:cs="Palatino Linotype"/>
          <w:color w:val="000000" w:themeColor="text1"/>
        </w:rPr>
      </w:pPr>
    </w:p>
    <w:p w:rsidR="00693D7B" w:rsidRPr="007526D8" w:rsidRDefault="00693D7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Del análisis a la información remitida, se logra conseguir la siguiente información relacionada con la solicitada:</w:t>
      </w:r>
    </w:p>
    <w:p w:rsidR="0053761B" w:rsidRPr="007526D8" w:rsidRDefault="003D2CFE" w:rsidP="001738FF">
      <w:pPr>
        <w:spacing w:line="360" w:lineRule="auto"/>
        <w:jc w:val="center"/>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noProof/>
          <w:color w:val="000000" w:themeColor="text1"/>
          <w:lang w:val="es-MX"/>
        </w:rPr>
        <w:drawing>
          <wp:inline distT="0" distB="0" distL="0" distR="0">
            <wp:extent cx="5612130" cy="9779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977900"/>
                    </a:xfrm>
                    <a:prstGeom prst="rect">
                      <a:avLst/>
                    </a:prstGeom>
                    <a:ln/>
                  </pic:spPr>
                </pic:pic>
              </a:graphicData>
            </a:graphic>
          </wp:inline>
        </w:drawing>
      </w:r>
    </w:p>
    <w:p w:rsidR="0053761B" w:rsidRDefault="0053761B" w:rsidP="00970903">
      <w:pPr>
        <w:spacing w:line="360" w:lineRule="auto"/>
        <w:jc w:val="both"/>
        <w:rPr>
          <w:rFonts w:ascii="Palatino Linotype" w:eastAsia="Palatino Linotype" w:hAnsi="Palatino Linotype" w:cs="Palatino Linotype"/>
          <w:color w:val="000000" w:themeColor="text1"/>
        </w:rPr>
      </w:pPr>
    </w:p>
    <w:p w:rsidR="00693D7B" w:rsidRPr="007526D8" w:rsidRDefault="00693D7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Como se aprecia, ciertamente no se advierte el desglose de la información que puntualmente se solicitó en los numerales 1, 2, y 4, de la solicitud de información primigenia, siendo procedentes las razones o motivos de inconformidad; sumado a que en calidad de informe justificado no se emitió pronunciamiento al respecto.</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 xml:space="preserve">Luego entonces, respecto de la naturaleza de lo solicitado es necesario realizar las siguientes precisiones. Primeramente, que ciertamente el Tesorero Municipal es el servidor público habilitado de emitir una contestación como ocurrió en la respuesta inicial, al ser el encargado de la </w:t>
      </w:r>
      <w:r w:rsidRPr="007526D8">
        <w:rPr>
          <w:rFonts w:ascii="Palatino Linotype" w:eastAsia="Palatino Linotype" w:hAnsi="Palatino Linotype" w:cs="Palatino Linotype"/>
          <w:b/>
          <w:color w:val="000000" w:themeColor="text1"/>
        </w:rPr>
        <w:t>recaudación</w:t>
      </w:r>
      <w:r w:rsidRPr="007526D8">
        <w:rPr>
          <w:rFonts w:ascii="Palatino Linotype" w:eastAsia="Palatino Linotype" w:hAnsi="Palatino Linotype" w:cs="Palatino Linotype"/>
          <w:color w:val="000000" w:themeColor="text1"/>
        </w:rPr>
        <w:t xml:space="preserve"> de los ingresos municipales y responsable de realizar las erogaciones que haga el ayuntamiento</w:t>
      </w:r>
      <w:r w:rsidRPr="007526D8">
        <w:rPr>
          <w:rFonts w:ascii="Palatino Linotype" w:eastAsia="Palatino Linotype" w:hAnsi="Palatino Linotype" w:cs="Palatino Linotype"/>
          <w:color w:val="000000" w:themeColor="text1"/>
          <w:vertAlign w:val="superscript"/>
        </w:rPr>
        <w:footnoteReference w:id="1"/>
      </w:r>
      <w:r w:rsidRPr="007526D8">
        <w:rPr>
          <w:rFonts w:ascii="Palatino Linotype" w:eastAsia="Palatino Linotype" w:hAnsi="Palatino Linotype" w:cs="Palatino Linotype"/>
          <w:color w:val="000000" w:themeColor="text1"/>
        </w:rPr>
        <w:t>.</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Lo anterior conforme a lo dispuesto por el artículo 95 de la Ley Orgánica Municipal del Estado de México, dentro del cual, se reconoce que la Tesorería Municipal contará con las siguientes atribuciones:</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95.-</w:t>
      </w:r>
      <w:r w:rsidRPr="007526D8">
        <w:rPr>
          <w:rFonts w:ascii="Palatino Linotype" w:eastAsia="Palatino Linotype" w:hAnsi="Palatino Linotype" w:cs="Palatino Linotype"/>
          <w:i/>
          <w:color w:val="000000" w:themeColor="text1"/>
        </w:rPr>
        <w:t xml:space="preserve"> Son atribuciones del tesorero municipal:</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II.</w:t>
      </w:r>
      <w:r w:rsidRPr="007526D8">
        <w:rPr>
          <w:rFonts w:ascii="Palatino Linotype" w:eastAsia="Palatino Linotype" w:hAnsi="Palatino Linotype" w:cs="Palatino Linotype"/>
          <w:i/>
          <w:color w:val="000000" w:themeColor="text1"/>
        </w:rPr>
        <w:t xml:space="preserve"> </w:t>
      </w:r>
      <w:r w:rsidRPr="007526D8">
        <w:rPr>
          <w:rFonts w:ascii="Palatino Linotype" w:eastAsia="Palatino Linotype" w:hAnsi="Palatino Linotype" w:cs="Palatino Linotype"/>
          <w:b/>
          <w:i/>
          <w:color w:val="000000" w:themeColor="text1"/>
        </w:rPr>
        <w:t>Determinar</w:t>
      </w:r>
      <w:r w:rsidRPr="007526D8">
        <w:rPr>
          <w:rFonts w:ascii="Palatino Linotype" w:eastAsia="Palatino Linotype" w:hAnsi="Palatino Linotype" w:cs="Palatino Linotype"/>
          <w:i/>
          <w:color w:val="000000" w:themeColor="text1"/>
        </w:rPr>
        <w:t xml:space="preserve">, liquidar, </w:t>
      </w:r>
      <w:r w:rsidRPr="007526D8">
        <w:rPr>
          <w:rFonts w:ascii="Palatino Linotype" w:eastAsia="Palatino Linotype" w:hAnsi="Palatino Linotype" w:cs="Palatino Linotype"/>
          <w:b/>
          <w:i/>
          <w:color w:val="000000" w:themeColor="text1"/>
        </w:rPr>
        <w:t>recaudar</w:t>
      </w:r>
      <w:r w:rsidRPr="007526D8">
        <w:rPr>
          <w:rFonts w:ascii="Palatino Linotype" w:eastAsia="Palatino Linotype" w:hAnsi="Palatino Linotype" w:cs="Palatino Linotype"/>
          <w:i/>
          <w:color w:val="000000" w:themeColor="text1"/>
        </w:rPr>
        <w:t xml:space="preserve">, fiscalizar y administrar </w:t>
      </w:r>
      <w:r w:rsidRPr="007526D8">
        <w:rPr>
          <w:rFonts w:ascii="Palatino Linotype" w:eastAsia="Palatino Linotype" w:hAnsi="Palatino Linotype" w:cs="Palatino Linotype"/>
          <w:b/>
          <w:i/>
          <w:color w:val="000000" w:themeColor="text1"/>
        </w:rPr>
        <w:t>las contribuciones</w:t>
      </w:r>
      <w:r w:rsidRPr="007526D8">
        <w:rPr>
          <w:rFonts w:ascii="Palatino Linotype" w:eastAsia="Palatino Linotype" w:hAnsi="Palatino Linotype" w:cs="Palatino Linotype"/>
          <w:i/>
          <w:color w:val="000000" w:themeColor="text1"/>
        </w:rPr>
        <w:t xml:space="preserve"> en los términos de los ordenamientos jurídicos aplicables y, en su caso, aplicar el procedimiento administrativo de ejecución en términos de las disposiciones aplicables;</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XIII.</w:t>
      </w:r>
      <w:r w:rsidRPr="007526D8">
        <w:rPr>
          <w:rFonts w:ascii="Palatino Linotype" w:eastAsia="Palatino Linotype" w:hAnsi="Palatino Linotype" w:cs="Palatino Linotype"/>
          <w:i/>
          <w:color w:val="000000" w:themeColor="text1"/>
        </w:rPr>
        <w:t xml:space="preserve"> Elaborar y mantener actualizado el Padrón de Contribuyentes;</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w:t>
      </w:r>
      <w:r w:rsidRPr="007526D8">
        <w:rPr>
          <w:rFonts w:ascii="Palatino Linotype" w:eastAsia="Palatino Linotype" w:hAnsi="Palatino Linotype" w:cs="Palatino Linotype"/>
          <w:i/>
          <w:color w:val="000000" w:themeColor="text1"/>
        </w:rPr>
        <w:t>)”</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Establecido lo anterior, toca referir que el </w:t>
      </w:r>
      <w:r w:rsidRPr="007526D8">
        <w:rPr>
          <w:rFonts w:ascii="Palatino Linotype" w:eastAsia="Palatino Linotype" w:hAnsi="Palatino Linotype" w:cs="Palatino Linotype"/>
          <w:b/>
          <w:color w:val="000000" w:themeColor="text1"/>
        </w:rPr>
        <w:t>predial</w:t>
      </w:r>
      <w:r w:rsidRPr="007526D8">
        <w:rPr>
          <w:rFonts w:ascii="Palatino Linotype" w:eastAsia="Palatino Linotype" w:hAnsi="Palatino Linotype" w:cs="Palatino Linotype"/>
          <w:color w:val="000000" w:themeColor="text1"/>
        </w:rPr>
        <w:t xml:space="preserve"> es un impuesto que debe pagarse al municipio todos los años dentro del primer bimestre del año. Su propósito principal es </w:t>
      </w:r>
      <w:r w:rsidRPr="007526D8">
        <w:rPr>
          <w:rFonts w:ascii="Palatino Linotype" w:eastAsia="Palatino Linotype" w:hAnsi="Palatino Linotype" w:cs="Palatino Linotype"/>
          <w:color w:val="000000" w:themeColor="text1"/>
        </w:rPr>
        <w:lastRenderedPageBreak/>
        <w:t>brindar recursos a las autoridades para que, con el dinero recaudado, garanticen una buena calidad de vida a los habitantes de la ciudad</w:t>
      </w:r>
      <w:r w:rsidRPr="007526D8">
        <w:rPr>
          <w:rFonts w:ascii="Palatino Linotype" w:eastAsia="Palatino Linotype" w:hAnsi="Palatino Linotype" w:cs="Palatino Linotype"/>
          <w:color w:val="000000" w:themeColor="text1"/>
          <w:vertAlign w:val="superscript"/>
        </w:rPr>
        <w:footnoteReference w:id="2"/>
      </w:r>
      <w:r w:rsidRPr="007526D8">
        <w:rPr>
          <w:rFonts w:ascii="Palatino Linotype" w:eastAsia="Palatino Linotype" w:hAnsi="Palatino Linotype" w:cs="Palatino Linotype"/>
          <w:color w:val="000000" w:themeColor="text1"/>
        </w:rPr>
        <w:t>.</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Al respecto, el Código Financiero del Estado de México y Municipios, en su artículo 107, establece que estarán obligadas al pago del Impuesto Predial las personas físicas y jurídicas colectivas que sean propietarias o poseedoras, según se trate, de inmuebles en el Estado. Para ello, los propietarios y poseedores de inmuebles, deberán calcular anualmente el impuesto predial a su cargo y manifestarlo, en el mismo formato utilizado para determinar y declarar el valor catastral de sus inmuebles.</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r w:rsidRPr="007526D8">
        <w:rPr>
          <w:rFonts w:ascii="Palatino Linotype" w:eastAsia="Palatino Linotype" w:hAnsi="Palatino Linotype" w:cs="Palatino Linotype"/>
          <w:color w:val="000000" w:themeColor="text1"/>
          <w:vertAlign w:val="superscript"/>
        </w:rPr>
        <w:footnoteReference w:id="3"/>
      </w:r>
      <w:r w:rsidRPr="007526D8">
        <w:rPr>
          <w:rFonts w:ascii="Palatino Linotype" w:eastAsia="Palatino Linotype" w:hAnsi="Palatino Linotype" w:cs="Palatino Linotype"/>
          <w:color w:val="000000" w:themeColor="text1"/>
        </w:rPr>
        <w:t>.</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Cabe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w:t>
      </w:r>
      <w:r w:rsidRPr="007526D8">
        <w:rPr>
          <w:rFonts w:ascii="Palatino Linotype" w:eastAsia="Palatino Linotype" w:hAnsi="Palatino Linotype" w:cs="Palatino Linotype"/>
          <w:color w:val="000000" w:themeColor="text1"/>
        </w:rPr>
        <w:lastRenderedPageBreak/>
        <w:t>objetivos y programas a los que estén destinados. Asimismo, señala que todos los pagos se harán mediante orden escrita en la que se expresará la partida del presupuesto a cargo de la cual se realizan.</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Como 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342.-</w:t>
      </w:r>
      <w:r w:rsidRPr="007526D8">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“Artículo 343.-</w:t>
      </w:r>
      <w:r w:rsidRPr="007526D8">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El sistema de contabilidad sobre base acumulativa total se sustentará en los postulados básicos y el marco conceptual de la contabilidad gubernamental.”</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344.-</w:t>
      </w:r>
      <w:r w:rsidRPr="007526D8">
        <w:rPr>
          <w:rFonts w:ascii="Palatino Linotype" w:eastAsia="Palatino Linotype" w:hAnsi="Palatino Linotype" w:cs="Palatino Linotype"/>
          <w:i/>
          <w:color w:val="000000" w:themeColor="text1"/>
        </w:rPr>
        <w:t xml:space="preserve"> Las Dependencias, Entidades Públicas y unidades administrativas registrarán contablemente el efecto patrimonial y presupuestal de las operaciones financieras que realicen, en el </w:t>
      </w:r>
      <w:r w:rsidRPr="007526D8">
        <w:rPr>
          <w:rFonts w:ascii="Palatino Linotype" w:eastAsia="Palatino Linotype" w:hAnsi="Palatino Linotype" w:cs="Palatino Linotype"/>
          <w:i/>
          <w:color w:val="000000" w:themeColor="text1"/>
        </w:rPr>
        <w:lastRenderedPageBreak/>
        <w:t xml:space="preserve">momento en que ocurran, con base en el sistema y políticas de registro establecidas, en el caso de los Municipios se hará por la Tesorería. </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 xml:space="preserve">Derogado. </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345.-</w:t>
      </w:r>
      <w:r w:rsidRPr="007526D8">
        <w:rPr>
          <w:rFonts w:ascii="Palatino Linotype" w:eastAsia="Palatino Linotype" w:hAnsi="Palatino Linotype" w:cs="Palatino Linotype"/>
          <w:i/>
          <w:color w:val="000000" w:themeColor="text1"/>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El plazo señalado en el párrafo anterior, empezará a contar a partir de la publicación en el Periódico Oficial, del decreto correspondiente. “</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De una interpretación a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REGISTRO CONTABLE:</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egresos de un ente económico.” </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REGISTRO PRESUPUESTARIO:</w:t>
      </w:r>
    </w:p>
    <w:p w:rsidR="0053761B" w:rsidRPr="007526D8" w:rsidRDefault="003D2CFE"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Por otra parte, se establece que el sistema de contabilidad sobre base acumulativa total se sustentará en los principios de contabilidad gubernamental.</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u w:val="single"/>
        </w:rPr>
        <w:t>Lo anterior se trae a colación</w:t>
      </w:r>
      <w:r w:rsidRPr="007526D8">
        <w:rPr>
          <w:rFonts w:ascii="Palatino Linotype" w:eastAsia="Palatino Linotype" w:hAnsi="Palatino Linotype" w:cs="Palatino Linotype"/>
          <w:color w:val="000000" w:themeColor="text1"/>
        </w:rPr>
        <w:t xml:space="preserve">, ya que se concluye que el </w:t>
      </w:r>
      <w:r w:rsidRPr="007526D8">
        <w:rPr>
          <w:rFonts w:ascii="Palatino Linotype" w:eastAsia="Palatino Linotype" w:hAnsi="Palatino Linotype" w:cs="Palatino Linotype"/>
          <w:b/>
          <w:color w:val="000000" w:themeColor="text1"/>
        </w:rPr>
        <w:t xml:space="preserve">SUJETO OBLIGADO </w:t>
      </w:r>
      <w:r w:rsidRPr="007526D8">
        <w:rPr>
          <w:rFonts w:ascii="Palatino Linotype" w:eastAsia="Palatino Linotype" w:hAnsi="Palatino Linotype" w:cs="Palatino Linotype"/>
          <w:color w:val="000000" w:themeColor="text1"/>
        </w:rPr>
        <w:t>cuenta con registros contables y presupuestales deberá estar soportado con los documentos comprobatorios originales, como de manera enunciativa mas no limitativa son las facturas o pólizas,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no obstante no se advierte un marco normativo que constriña al Ayuntamiento a generar documentos estadísticos con el grado de desagregación que pretende el solicitante.</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En esa tesitura debe mencionarse que, que los sujetos obligados no se encuentran obligados a generar documentos </w:t>
      </w:r>
      <w:r w:rsidRPr="007526D8">
        <w:rPr>
          <w:rFonts w:ascii="Palatino Linotype" w:eastAsia="Palatino Linotype" w:hAnsi="Palatino Linotype" w:cs="Palatino Linotype"/>
          <w:i/>
          <w:color w:val="000000" w:themeColor="text1"/>
        </w:rPr>
        <w:t>ad hoc</w:t>
      </w:r>
      <w:r w:rsidRPr="007526D8">
        <w:rPr>
          <w:rFonts w:ascii="Palatino Linotype" w:eastAsia="Palatino Linotype" w:hAnsi="Palatino Linotype" w:cs="Palatino Linotype"/>
          <w:color w:val="000000" w:themeColor="text1"/>
        </w:rPr>
        <w:t xml:space="preserve"> para atender las solicitudes de información de los particulares conforme a sus intereses particulares de los solicitantes. Como apoyo a lo anterior, es aplicable por analogía el </w:t>
      </w:r>
      <w:r w:rsidRPr="007526D8">
        <w:rPr>
          <w:rFonts w:ascii="Palatino Linotype" w:eastAsia="Palatino Linotype" w:hAnsi="Palatino Linotype" w:cs="Palatino Linotype"/>
          <w:b/>
          <w:color w:val="000000" w:themeColor="text1"/>
        </w:rPr>
        <w:t>Criterio 03/17</w:t>
      </w:r>
      <w:r w:rsidRPr="007526D8">
        <w:rPr>
          <w:rFonts w:ascii="Palatino Linotype" w:eastAsia="Palatino Linotype" w:hAnsi="Palatino Linotype" w:cs="Palatino Linotype"/>
          <w:color w:val="000000" w:themeColor="text1"/>
        </w:rPr>
        <w:t>, emitido por el entonces Pleno del Instituto Nacional de Transparencia, Acceso a la Información y Protección de Datos Personales (INAI), que a la letra dice:</w:t>
      </w:r>
    </w:p>
    <w:p w:rsidR="0053761B" w:rsidRPr="007526D8" w:rsidRDefault="0053761B" w:rsidP="00970903">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lastRenderedPageBreak/>
        <w:t xml:space="preserve">“No existe obligación de elaborar documentos ad hoc para atender las solicitudes de acceso a la información. </w:t>
      </w:r>
      <w:r w:rsidRPr="007526D8">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color w:val="000000" w:themeColor="text1"/>
        </w:rPr>
        <w:t xml:space="preserve">También lo es que no existe normatividad o precepto legal que lo impida, de modo tal que un pronunciamiento que de atención a lo requerido eventualmente puede colmar el cumplimiento de la presente resolución, lo cual no implica que 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procese la información.</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color w:val="000000" w:themeColor="text1"/>
        </w:rPr>
        <w:t>Así las cosas, 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7526D8">
        <w:rPr>
          <w:rFonts w:ascii="Palatino Linotype" w:eastAsia="Palatino Linotype" w:hAnsi="Palatino Linotype" w:cs="Palatino Linotype"/>
          <w:color w:val="000000" w:themeColor="text1"/>
        </w:rPr>
        <w:lastRenderedPageBreak/>
        <w:t xml:space="preserve">archivos, en el estado en el que se encuentre, sin la obligación de generarla, resumirla, efectuar cálculos o practicar investigaciones; tal y como se señala a continuación: </w:t>
      </w: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12.</w:t>
      </w:r>
      <w:r w:rsidRPr="007526D8">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526D8">
        <w:rPr>
          <w:rFonts w:ascii="Palatino Linotype" w:eastAsia="Palatino Linotype" w:hAnsi="Palatino Linotype" w:cs="Palatino Linotype"/>
          <w:i/>
          <w:color w:val="000000" w:themeColor="text1"/>
        </w:rPr>
        <w:t>”</w:t>
      </w:r>
    </w:p>
    <w:p w:rsidR="0053761B" w:rsidRPr="007526D8" w:rsidRDefault="003D2CFE"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Énfasis añadido</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93D7B" w:rsidRPr="007526D8" w:rsidRDefault="00693D7B" w:rsidP="00693D7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7526D8">
        <w:rPr>
          <w:rFonts w:ascii="Palatino Linotype" w:eastAsia="Palatino Linotype" w:hAnsi="Palatino Linotype" w:cs="Palatino Linotype"/>
          <w:color w:val="000000" w:themeColor="text1"/>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 xml:space="preserve">Artículo 3. </w:t>
      </w:r>
      <w:r w:rsidRPr="007526D8">
        <w:rPr>
          <w:rFonts w:ascii="Palatino Linotype" w:eastAsia="Palatino Linotype" w:hAnsi="Palatino Linotype" w:cs="Palatino Linotype"/>
          <w:i/>
          <w:color w:val="000000" w:themeColor="text1"/>
        </w:rPr>
        <w:t>Para los efectos de la presente Ley se entenderá por:</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XI. Documento:</w:t>
      </w:r>
      <w:r w:rsidRPr="007526D8">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93D7B" w:rsidRDefault="00693D7B" w:rsidP="00693D7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93D7B" w:rsidRPr="007526D8" w:rsidRDefault="00693D7B" w:rsidP="00693D7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b/>
          <w:i/>
          <w:color w:val="000000" w:themeColor="text1"/>
        </w:rPr>
      </w:pPr>
      <w:r w:rsidRPr="007526D8">
        <w:rPr>
          <w:rFonts w:ascii="Palatino Linotype" w:eastAsia="Palatino Linotype" w:hAnsi="Palatino Linotype" w:cs="Palatino Linotype"/>
          <w:b/>
          <w:color w:val="000000" w:themeColor="text1"/>
        </w:rPr>
        <w:lastRenderedPageBreak/>
        <w:t>“</w:t>
      </w:r>
      <w:r w:rsidRPr="007526D8">
        <w:rPr>
          <w:rFonts w:ascii="Palatino Linotype" w:eastAsia="Palatino Linotype" w:hAnsi="Palatino Linotype" w:cs="Palatino Linotype"/>
          <w:b/>
          <w:i/>
          <w:color w:val="000000" w:themeColor="text1"/>
        </w:rPr>
        <w:t>CRITERIO 0002-11</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526D8">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53761B" w:rsidRPr="007526D8" w:rsidRDefault="003D2CFE" w:rsidP="00970903">
      <w:pPr>
        <w:spacing w:line="360" w:lineRule="auto"/>
        <w:jc w:val="both"/>
        <w:rPr>
          <w:rFonts w:ascii="Palatino Linotype" w:eastAsia="Palatino Linotype" w:hAnsi="Palatino Linotype" w:cs="Palatino Linotype"/>
          <w:b/>
          <w:i/>
          <w:color w:val="000000" w:themeColor="text1"/>
        </w:rPr>
      </w:pPr>
      <w:r w:rsidRPr="007526D8">
        <w:rPr>
          <w:rFonts w:ascii="Palatino Linotype" w:eastAsia="Palatino Linotype" w:hAnsi="Palatino Linotype" w:cs="Palatino Linotype"/>
          <w:b/>
          <w:i/>
          <w:color w:val="000000" w:themeColor="text1"/>
        </w:rPr>
        <w:t xml:space="preserve">1) </w:t>
      </w:r>
      <w:r w:rsidRPr="007526D8">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53761B" w:rsidRPr="007526D8" w:rsidRDefault="003D2CFE" w:rsidP="00970903">
      <w:pPr>
        <w:tabs>
          <w:tab w:val="left" w:pos="851"/>
        </w:tabs>
        <w:spacing w:line="360" w:lineRule="auto"/>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(Énfasis Añadido)</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Por su parte los artículos 160 y 166, de la Ley local en la materia, que se reproduce de la siguiente forma:</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160.</w:t>
      </w:r>
      <w:r w:rsidRPr="007526D8">
        <w:rPr>
          <w:rFonts w:ascii="Palatino Linotype" w:eastAsia="Palatino Linotype" w:hAnsi="Palatino Linotype" w:cs="Palatino Linotype"/>
          <w:i/>
          <w:color w:val="000000" w:themeColor="text1"/>
        </w:rPr>
        <w:t xml:space="preserve"> </w:t>
      </w:r>
      <w:r w:rsidRPr="007526D8">
        <w:rPr>
          <w:rFonts w:ascii="Palatino Linotype" w:eastAsia="Palatino Linotype" w:hAnsi="Palatino Linotype" w:cs="Palatino Linotype"/>
          <w:i/>
          <w:color w:val="000000" w:themeColor="text1"/>
          <w:u w:val="single"/>
        </w:rPr>
        <w:t xml:space="preserve">Los sujetos obligados deberán otorgar acceso a los documentos que se encuentren en sus archivos o que estén obligados a documentar de acuerdo con sus facultades, competencias o </w:t>
      </w:r>
      <w:r w:rsidRPr="007526D8">
        <w:rPr>
          <w:rFonts w:ascii="Palatino Linotype" w:eastAsia="Palatino Linotype" w:hAnsi="Palatino Linotype" w:cs="Palatino Linotype"/>
          <w:i/>
          <w:color w:val="000000" w:themeColor="text1"/>
          <w:u w:val="single"/>
        </w:rPr>
        <w:lastRenderedPageBreak/>
        <w:t>funciones en el formato que el solicitante manifieste, de entre aquellos formatos existentes, conforme a las características físicas de la información o del lugar donde se encuentre así lo permita</w:t>
      </w:r>
      <w:r w:rsidRPr="007526D8">
        <w:rPr>
          <w:rFonts w:ascii="Palatino Linotype" w:eastAsia="Palatino Linotype" w:hAnsi="Palatino Linotype" w:cs="Palatino Linotype"/>
          <w:i/>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i/>
          <w:color w:val="000000" w:themeColor="text1"/>
          <w:u w:val="single"/>
        </w:rPr>
      </w:pPr>
      <w:r w:rsidRPr="007526D8">
        <w:rPr>
          <w:rFonts w:ascii="Palatino Linotype" w:eastAsia="Palatino Linotype" w:hAnsi="Palatino Linotype" w:cs="Palatino Linotype"/>
          <w:b/>
          <w:i/>
          <w:color w:val="000000" w:themeColor="text1"/>
        </w:rPr>
        <w:t>Artículo 166.</w:t>
      </w:r>
      <w:r w:rsidRPr="007526D8">
        <w:rPr>
          <w:rFonts w:ascii="Palatino Linotype" w:eastAsia="Palatino Linotype" w:hAnsi="Palatino Linotype" w:cs="Palatino Linotype"/>
          <w:i/>
          <w:color w:val="000000" w:themeColor="text1"/>
        </w:rPr>
        <w:t xml:space="preserve"> </w:t>
      </w:r>
      <w:r w:rsidRPr="007526D8">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Énfasis añadido</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 </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En el caso concreto se concluye que lo dable es ordenar una nueva búsqueda exhaustiva y razonable de lo solicitado derivado de la falta de pronunciamiento al respecto y, por otro lado derivado de la falta de atribuciones para generar, poseer o administrar la información estadística solicitada, bastará que 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lo haga del conocimiento del solicitante al momento de dar cumplimiento a la presente Resolución en términos del artículo 19 segundo párrafo de la Ley de Transparencia y Acceso a la Información Pública del Estado de México y Municipios.</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keepNext/>
        <w:keepLines/>
        <w:spacing w:line="360" w:lineRule="auto"/>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lastRenderedPageBreak/>
        <w:t>QUINTO. De la versión pública.</w:t>
      </w: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9" w:name="_heading=h.17dp8vu" w:colFirst="0" w:colLast="0"/>
      <w:bookmarkEnd w:id="9"/>
      <w:r w:rsidRPr="007526D8">
        <w:rPr>
          <w:rFonts w:ascii="Palatino Linotype" w:eastAsia="Palatino Linotype" w:hAnsi="Palatino Linotype" w:cs="Palatino Linotype"/>
          <w:color w:val="000000" w:themeColor="text1"/>
        </w:rPr>
        <w:t xml:space="preserve">Finalmente, que si bien lo solicitado corresponde a información estadística, eventualmente puede contener datos personales que deberán ser protegidos. Para dar cumplimiento a la presente resolución, contengan datos que deban ser clasificados, 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53761B" w:rsidRPr="007526D8" w:rsidRDefault="003D2CFE" w:rsidP="00970903">
      <w:pPr>
        <w:spacing w:line="360" w:lineRule="auto"/>
        <w:jc w:val="both"/>
        <w:rPr>
          <w:rFonts w:ascii="Palatino Linotype" w:eastAsia="Palatino Linotype" w:hAnsi="Palatino Linotype" w:cs="Palatino Linotype"/>
          <w:b/>
          <w:i/>
          <w:color w:val="000000" w:themeColor="text1"/>
        </w:rPr>
      </w:pPr>
      <w:r w:rsidRPr="007526D8">
        <w:rPr>
          <w:rFonts w:ascii="Palatino Linotype" w:eastAsia="Palatino Linotype" w:hAnsi="Palatino Linotype" w:cs="Palatino Linotype"/>
          <w:b/>
          <w:i/>
          <w:color w:val="000000" w:themeColor="text1"/>
        </w:rPr>
        <w:t xml:space="preserve"> “Artículo 3. Para los efectos de la presente Ley se entenderá por:</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IX. Datos personales:</w:t>
      </w:r>
      <w:r w:rsidRPr="007526D8">
        <w:rPr>
          <w:rFonts w:ascii="Palatino Linotype" w:eastAsia="Palatino Linotype" w:hAnsi="Palatino Linotype" w:cs="Palatino Linotype"/>
          <w:i/>
          <w:color w:val="000000" w:themeColor="text1"/>
        </w:rPr>
        <w:t xml:space="preserve"> </w:t>
      </w:r>
      <w:r w:rsidRPr="007526D8">
        <w:rPr>
          <w:rFonts w:ascii="Palatino Linotype" w:eastAsia="Palatino Linotype" w:hAnsi="Palatino Linotype" w:cs="Palatino Linotype"/>
          <w:b/>
          <w:i/>
          <w:color w:val="000000" w:themeColor="text1"/>
        </w:rPr>
        <w:t>La información concerniente a una persona, identificada o identificable</w:t>
      </w:r>
      <w:r w:rsidRPr="007526D8">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XX. Información clasificada:</w:t>
      </w:r>
      <w:r w:rsidRPr="007526D8">
        <w:rPr>
          <w:rFonts w:ascii="Palatino Linotype" w:eastAsia="Palatino Linotype" w:hAnsi="Palatino Linotype" w:cs="Palatino Linotype"/>
          <w:i/>
          <w:color w:val="000000" w:themeColor="text1"/>
        </w:rPr>
        <w:t xml:space="preserve"> Aquella considerada por la presente Ley como reservada o confidencial;</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XXXII. Protección de Datos Personales:</w:t>
      </w:r>
      <w:r w:rsidRPr="007526D8">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XLV. Versión pública</w:t>
      </w:r>
      <w:r w:rsidRPr="007526D8">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lastRenderedPageBreak/>
        <w:t>“Artículo 6.</w:t>
      </w:r>
      <w:r w:rsidRPr="007526D8">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 </w:t>
      </w:r>
      <w:r w:rsidRPr="007526D8">
        <w:rPr>
          <w:rFonts w:ascii="Palatino Linotype" w:eastAsia="Palatino Linotype" w:hAnsi="Palatino Linotype" w:cs="Palatino Linotype"/>
          <w:b/>
          <w:i/>
          <w:color w:val="000000" w:themeColor="text1"/>
        </w:rPr>
        <w:t>Artículo 49.</w:t>
      </w:r>
      <w:r w:rsidRPr="007526D8">
        <w:rPr>
          <w:rFonts w:ascii="Palatino Linotype" w:eastAsia="Palatino Linotype" w:hAnsi="Palatino Linotype" w:cs="Palatino Linotype"/>
          <w:i/>
          <w:color w:val="000000" w:themeColor="text1"/>
        </w:rPr>
        <w:t> Los Comités de Transparencia tendrán las siguientes atribuciones:</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VIII</w:t>
      </w:r>
      <w:r w:rsidRPr="007526D8">
        <w:rPr>
          <w:rFonts w:ascii="Palatino Linotype" w:eastAsia="Palatino Linotype" w:hAnsi="Palatino Linotype" w:cs="Palatino Linotype"/>
          <w:i/>
          <w:color w:val="000000" w:themeColor="text1"/>
        </w:rPr>
        <w:t>. Aprobar, modificar o revocar la clasificación de la información;</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 xml:space="preserve">Artículo 91. </w:t>
      </w:r>
      <w:r w:rsidRPr="007526D8">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b/>
          <w:i/>
          <w:color w:val="000000" w:themeColor="text1"/>
        </w:rPr>
      </w:pPr>
      <w:r w:rsidRPr="007526D8">
        <w:rPr>
          <w:rFonts w:ascii="Palatino Linotype" w:eastAsia="Palatino Linotype" w:hAnsi="Palatino Linotype" w:cs="Palatino Linotype"/>
          <w:b/>
          <w:i/>
          <w:color w:val="000000" w:themeColor="text1"/>
        </w:rPr>
        <w:t>“Artículo 137.</w:t>
      </w:r>
      <w:r w:rsidRPr="007526D8">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3761B" w:rsidRPr="007526D8" w:rsidRDefault="0053761B" w:rsidP="00970903">
      <w:pPr>
        <w:spacing w:line="360" w:lineRule="auto"/>
        <w:jc w:val="both"/>
        <w:rPr>
          <w:rFonts w:ascii="Palatino Linotype" w:eastAsia="Palatino Linotype" w:hAnsi="Palatino Linotype" w:cs="Palatino Linotype"/>
          <w:b/>
          <w:i/>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“Artículo 143</w:t>
      </w:r>
      <w:r w:rsidRPr="007526D8">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I.</w:t>
      </w:r>
      <w:r w:rsidRPr="007526D8">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“Artículo 49.</w:t>
      </w:r>
      <w:r w:rsidRPr="007526D8">
        <w:rPr>
          <w:rFonts w:ascii="Palatino Linotype" w:eastAsia="Palatino Linotype" w:hAnsi="Palatino Linotype" w:cs="Palatino Linotype"/>
          <w:i/>
          <w:color w:val="000000" w:themeColor="text1"/>
        </w:rPr>
        <w:t xml:space="preserve"> </w:t>
      </w:r>
      <w:r w:rsidRPr="007526D8">
        <w:rPr>
          <w:rFonts w:ascii="Palatino Linotype" w:eastAsia="Palatino Linotype" w:hAnsi="Palatino Linotype" w:cs="Palatino Linotype"/>
          <w:b/>
          <w:i/>
          <w:color w:val="000000" w:themeColor="text1"/>
        </w:rPr>
        <w:t>Los Comités de Transparencia</w:t>
      </w:r>
      <w:r w:rsidRPr="007526D8">
        <w:rPr>
          <w:rFonts w:ascii="Palatino Linotype" w:eastAsia="Palatino Linotype" w:hAnsi="Palatino Linotype" w:cs="Palatino Linotype"/>
          <w:i/>
          <w:color w:val="000000" w:themeColor="text1"/>
        </w:rPr>
        <w:t xml:space="preserve"> tendrán las siguientes atribuciones:</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VIII. Aprobar, modificar o revocar la clasificación de la información</w:t>
      </w:r>
      <w:r w:rsidRPr="007526D8">
        <w:rPr>
          <w:rFonts w:ascii="Palatino Linotype" w:eastAsia="Palatino Linotype" w:hAnsi="Palatino Linotype" w:cs="Palatino Linotype"/>
          <w:i/>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53.</w:t>
      </w:r>
      <w:r w:rsidRPr="007526D8">
        <w:rPr>
          <w:rFonts w:ascii="Palatino Linotype" w:eastAsia="Palatino Linotype" w:hAnsi="Palatino Linotype" w:cs="Palatino Linotype"/>
          <w:i/>
          <w:color w:val="000000" w:themeColor="text1"/>
        </w:rPr>
        <w:t xml:space="preserve"> Las </w:t>
      </w:r>
      <w:r w:rsidRPr="007526D8">
        <w:rPr>
          <w:rFonts w:ascii="Palatino Linotype" w:eastAsia="Palatino Linotype" w:hAnsi="Palatino Linotype" w:cs="Palatino Linotype"/>
          <w:b/>
          <w:i/>
          <w:color w:val="000000" w:themeColor="text1"/>
        </w:rPr>
        <w:t>Unidades de Transparencia</w:t>
      </w:r>
      <w:r w:rsidRPr="007526D8">
        <w:rPr>
          <w:rFonts w:ascii="Palatino Linotype" w:eastAsia="Palatino Linotype" w:hAnsi="Palatino Linotype" w:cs="Palatino Linotype"/>
          <w:i/>
          <w:color w:val="000000" w:themeColor="text1"/>
        </w:rPr>
        <w:t xml:space="preserve"> tendrán las siguientes </w:t>
      </w:r>
      <w:r w:rsidRPr="007526D8">
        <w:rPr>
          <w:rFonts w:ascii="Palatino Linotype" w:eastAsia="Palatino Linotype" w:hAnsi="Palatino Linotype" w:cs="Palatino Linotype"/>
          <w:b/>
          <w:i/>
          <w:color w:val="000000" w:themeColor="text1"/>
        </w:rPr>
        <w:t>funciones</w:t>
      </w:r>
      <w:r w:rsidRPr="007526D8">
        <w:rPr>
          <w:rFonts w:ascii="Palatino Linotype" w:eastAsia="Palatino Linotype" w:hAnsi="Palatino Linotype" w:cs="Palatino Linotype"/>
          <w:i/>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X. Presentar ante el Comité, el proyecto de clasificación de información</w:t>
      </w:r>
      <w:r w:rsidRPr="007526D8">
        <w:rPr>
          <w:rFonts w:ascii="Palatino Linotype" w:eastAsia="Palatino Linotype" w:hAnsi="Palatino Linotype" w:cs="Palatino Linotype"/>
          <w:i/>
          <w:color w:val="000000" w:themeColor="text1"/>
        </w:rPr>
        <w:t xml:space="preserve">…” </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“Artículo 59.</w:t>
      </w:r>
      <w:r w:rsidRPr="007526D8">
        <w:rPr>
          <w:rFonts w:ascii="Palatino Linotype" w:eastAsia="Palatino Linotype" w:hAnsi="Palatino Linotype" w:cs="Palatino Linotype"/>
          <w:i/>
          <w:color w:val="000000" w:themeColor="text1"/>
        </w:rPr>
        <w:t xml:space="preserve"> Los </w:t>
      </w:r>
      <w:r w:rsidRPr="007526D8">
        <w:rPr>
          <w:rFonts w:ascii="Palatino Linotype" w:eastAsia="Palatino Linotype" w:hAnsi="Palatino Linotype" w:cs="Palatino Linotype"/>
          <w:b/>
          <w:i/>
          <w:color w:val="000000" w:themeColor="text1"/>
        </w:rPr>
        <w:t>servidores públicos habilitados</w:t>
      </w:r>
      <w:r w:rsidRPr="007526D8">
        <w:rPr>
          <w:rFonts w:ascii="Palatino Linotype" w:eastAsia="Palatino Linotype" w:hAnsi="Palatino Linotype" w:cs="Palatino Linotype"/>
          <w:i/>
          <w:color w:val="000000" w:themeColor="text1"/>
        </w:rPr>
        <w:t xml:space="preserve"> tendrán las </w:t>
      </w:r>
      <w:r w:rsidRPr="007526D8">
        <w:rPr>
          <w:rFonts w:ascii="Palatino Linotype" w:eastAsia="Palatino Linotype" w:hAnsi="Palatino Linotype" w:cs="Palatino Linotype"/>
          <w:b/>
          <w:i/>
          <w:color w:val="000000" w:themeColor="text1"/>
        </w:rPr>
        <w:t>funciones</w:t>
      </w:r>
      <w:r w:rsidRPr="007526D8">
        <w:rPr>
          <w:rFonts w:ascii="Palatino Linotype" w:eastAsia="Palatino Linotype" w:hAnsi="Palatino Linotype" w:cs="Palatino Linotype"/>
          <w:i/>
          <w:color w:val="000000" w:themeColor="text1"/>
        </w:rPr>
        <w:t xml:space="preserve"> siguientes:</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7526D8">
        <w:rPr>
          <w:rFonts w:ascii="Palatino Linotype" w:eastAsia="Palatino Linotype" w:hAnsi="Palatino Linotype" w:cs="Palatino Linotype"/>
          <w:i/>
          <w:color w:val="000000" w:themeColor="text1"/>
        </w:rPr>
        <w:t>, la cual tendrá los fundamentos y argumentos en que se basa dicha propuesta…”</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Para lo cual, a su vez en el caso de información de carácter confidencial, se debe atender a lo que señala el artículo 149 de la Ley de Transparencia Local vigente, que se lee como sigue:</w:t>
      </w:r>
    </w:p>
    <w:p w:rsidR="0053761B" w:rsidRPr="007526D8" w:rsidRDefault="003D2CFE" w:rsidP="00970903">
      <w:pPr>
        <w:spacing w:line="360" w:lineRule="auto"/>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i/>
          <w:color w:val="000000" w:themeColor="text1"/>
        </w:rPr>
        <w:t>“</w:t>
      </w:r>
      <w:r w:rsidRPr="007526D8">
        <w:rPr>
          <w:rFonts w:ascii="Palatino Linotype" w:eastAsia="Palatino Linotype" w:hAnsi="Palatino Linotype" w:cs="Palatino Linotype"/>
          <w:b/>
          <w:i/>
          <w:color w:val="000000" w:themeColor="text1"/>
        </w:rPr>
        <w:t>Artículo 149.</w:t>
      </w:r>
      <w:r w:rsidRPr="007526D8">
        <w:rPr>
          <w:rFonts w:ascii="Palatino Linotype" w:eastAsia="Palatino Linotype" w:hAnsi="Palatino Linotype" w:cs="Palatino Linotype"/>
          <w:i/>
          <w:color w:val="000000" w:themeColor="text1"/>
        </w:rPr>
        <w:t xml:space="preserve"> El </w:t>
      </w:r>
      <w:r w:rsidRPr="007526D8">
        <w:rPr>
          <w:rFonts w:ascii="Palatino Linotype" w:eastAsia="Palatino Linotype" w:hAnsi="Palatino Linotype" w:cs="Palatino Linotype"/>
          <w:b/>
          <w:i/>
          <w:color w:val="000000" w:themeColor="text1"/>
        </w:rPr>
        <w:t>acuerdo que clasifique la información como confidencial</w:t>
      </w:r>
      <w:r w:rsidRPr="007526D8">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53761B" w:rsidRPr="007526D8" w:rsidRDefault="0053761B" w:rsidP="00970903">
      <w:pPr>
        <w:spacing w:line="360" w:lineRule="auto"/>
        <w:jc w:val="both"/>
        <w:rPr>
          <w:rFonts w:ascii="Palatino Linotype" w:eastAsia="Palatino Linotype" w:hAnsi="Palatino Linotype" w:cs="Palatino Linotype"/>
          <w:i/>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En el caso concreto pudiera ser las claves catastrales, al respecto la clave catastral,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rsidR="0053761B" w:rsidRPr="007526D8" w:rsidRDefault="0053761B" w:rsidP="0097090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El “Diccionario de Datos catastrales Escala 1:1000” del Instituto Nacional de Estadística y Geografía (INEGI), contempla en su Glosario la definición de la Clave Catastral, la cual, apunta lo siguiente:</w:t>
      </w:r>
    </w:p>
    <w:p w:rsidR="0053761B" w:rsidRPr="007526D8" w:rsidRDefault="003D2CFE" w:rsidP="00970903">
      <w:pPr>
        <w:jc w:val="both"/>
        <w:rPr>
          <w:rFonts w:ascii="Palatino Linotype" w:eastAsia="Palatino Linotype" w:hAnsi="Palatino Linotype" w:cs="Palatino Linotype"/>
          <w:i/>
          <w:color w:val="000000" w:themeColor="text1"/>
        </w:rPr>
      </w:pPr>
      <w:r w:rsidRPr="007526D8">
        <w:rPr>
          <w:rFonts w:ascii="Palatino Linotype" w:eastAsia="Palatino Linotype" w:hAnsi="Palatino Linotype" w:cs="Palatino Linotype"/>
          <w:b/>
          <w:i/>
          <w:color w:val="000000" w:themeColor="text1"/>
        </w:rPr>
        <w:t>Clave Catastral:</w:t>
      </w:r>
      <w:r w:rsidRPr="007526D8">
        <w:rPr>
          <w:rFonts w:ascii="Palatino Linotype" w:eastAsia="Palatino Linotype" w:hAnsi="Palatino Linotype" w:cs="Palatino Linotype"/>
          <w:i/>
          <w:color w:val="000000" w:themeColor="text1"/>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rsidR="0053761B" w:rsidRPr="007526D8" w:rsidRDefault="003D2CFE" w:rsidP="009709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Luego entonces,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53761B" w:rsidRPr="007526D8" w:rsidRDefault="0053761B" w:rsidP="00970903">
      <w:pPr>
        <w:tabs>
          <w:tab w:val="left" w:pos="284"/>
        </w:tabs>
        <w:spacing w:line="360" w:lineRule="auto"/>
        <w:jc w:val="both"/>
        <w:rPr>
          <w:rFonts w:ascii="Palatino Linotype" w:eastAsia="Palatino Linotype" w:hAnsi="Palatino Linotype" w:cs="Palatino Linotype"/>
          <w:color w:val="000000" w:themeColor="text1"/>
        </w:rPr>
      </w:pPr>
    </w:p>
    <w:tbl>
      <w:tblPr>
        <w:tblStyle w:val="a"/>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970903" w:rsidRPr="007526D8" w:rsidTr="00693D7B">
        <w:tc>
          <w:tcPr>
            <w:tcW w:w="2689" w:type="dxa"/>
          </w:tcPr>
          <w:p w:rsidR="0053761B" w:rsidRPr="007526D8" w:rsidRDefault="003D2CFE" w:rsidP="00970903">
            <w:pPr>
              <w:tabs>
                <w:tab w:val="left" w:pos="284"/>
              </w:tabs>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a) Requisitos previos.</w:t>
            </w:r>
          </w:p>
        </w:tc>
        <w:tc>
          <w:tcPr>
            <w:tcW w:w="6945" w:type="dxa"/>
          </w:tcPr>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526D8">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526D8">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tc>
      </w:tr>
      <w:tr w:rsidR="00970903" w:rsidRPr="007526D8" w:rsidTr="00693D7B">
        <w:tc>
          <w:tcPr>
            <w:tcW w:w="2689" w:type="dxa"/>
          </w:tcPr>
          <w:p w:rsidR="0053761B" w:rsidRPr="007526D8" w:rsidRDefault="003D2CFE" w:rsidP="00970903">
            <w:pPr>
              <w:tabs>
                <w:tab w:val="left" w:pos="284"/>
              </w:tabs>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lastRenderedPageBreak/>
              <w:t>b) Supuestos de clasificación.</w:t>
            </w:r>
          </w:p>
        </w:tc>
        <w:tc>
          <w:tcPr>
            <w:tcW w:w="6945" w:type="dxa"/>
          </w:tcPr>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tc>
      </w:tr>
      <w:tr w:rsidR="00970903" w:rsidRPr="007526D8" w:rsidTr="00693D7B">
        <w:tc>
          <w:tcPr>
            <w:tcW w:w="2689" w:type="dxa"/>
          </w:tcPr>
          <w:p w:rsidR="0053761B" w:rsidRPr="007526D8" w:rsidRDefault="003D2CFE" w:rsidP="00970903">
            <w:pPr>
              <w:tabs>
                <w:tab w:val="left" w:pos="284"/>
              </w:tabs>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c) Formalidades para emitir el acuerdo de clasificación.</w:t>
            </w:r>
          </w:p>
        </w:tc>
        <w:tc>
          <w:tcPr>
            <w:tcW w:w="6945" w:type="dxa"/>
          </w:tcPr>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Es necesario que </w:t>
            </w:r>
            <w:r w:rsidRPr="007526D8">
              <w:rPr>
                <w:rFonts w:ascii="Palatino Linotype" w:eastAsia="Palatino Linotype" w:hAnsi="Palatino Linotype" w:cs="Palatino Linotype"/>
                <w:b/>
                <w:color w:val="000000" w:themeColor="text1"/>
                <w:u w:val="single"/>
              </w:rPr>
              <w:t>el acto reúna con los requisitos elementales</w:t>
            </w:r>
            <w:r w:rsidRPr="007526D8">
              <w:rPr>
                <w:rFonts w:ascii="Palatino Linotype" w:eastAsia="Palatino Linotype" w:hAnsi="Palatino Linotype" w:cs="Palatino Linotype"/>
                <w:color w:val="000000" w:themeColor="text1"/>
              </w:rPr>
              <w:t>, entre ellos, que la autoridad que va a emitir el acto de autoridad sea la legalmente facultada para ello.</w:t>
            </w: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7526D8">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tc>
      </w:tr>
      <w:tr w:rsidR="00970903" w:rsidRPr="007526D8" w:rsidTr="00693D7B">
        <w:tc>
          <w:tcPr>
            <w:tcW w:w="2689" w:type="dxa"/>
          </w:tcPr>
          <w:p w:rsidR="0053761B" w:rsidRPr="007526D8" w:rsidRDefault="0053761B" w:rsidP="00970903">
            <w:pPr>
              <w:tabs>
                <w:tab w:val="left" w:pos="284"/>
              </w:tabs>
              <w:rPr>
                <w:rFonts w:ascii="Palatino Linotype" w:eastAsia="Palatino Linotype" w:hAnsi="Palatino Linotype" w:cs="Palatino Linotype"/>
                <w:b/>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526D8">
              <w:rPr>
                <w:rFonts w:ascii="Palatino Linotype" w:eastAsia="Palatino Linotype" w:hAnsi="Palatino Linotype" w:cs="Palatino Linotype"/>
                <w:b/>
                <w:color w:val="000000" w:themeColor="text1"/>
              </w:rPr>
              <w:t>Sujetos Obligados</w:t>
            </w:r>
            <w:r w:rsidRPr="007526D8">
              <w:rPr>
                <w:rFonts w:ascii="Palatino Linotype" w:eastAsia="Palatino Linotype" w:hAnsi="Palatino Linotype" w:cs="Palatino Linotype"/>
                <w:color w:val="000000" w:themeColor="text1"/>
              </w:rPr>
              <w:t xml:space="preserve">, por lo que deberán fundar y motivar debidamente la clasificación. </w:t>
            </w: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De lo anterior, se desprende que para una correcta </w:t>
            </w:r>
            <w:r w:rsidRPr="007526D8">
              <w:rPr>
                <w:rFonts w:ascii="Palatino Linotype" w:eastAsia="Palatino Linotype" w:hAnsi="Palatino Linotype" w:cs="Palatino Linotype"/>
                <w:b/>
                <w:color w:val="000000" w:themeColor="text1"/>
              </w:rPr>
              <w:t>clasificación total o parcial</w:t>
            </w:r>
            <w:r w:rsidRPr="007526D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 xml:space="preserve">Ahora bien, </w:t>
            </w:r>
            <w:r w:rsidRPr="007526D8">
              <w:rPr>
                <w:rFonts w:ascii="Palatino Linotype" w:eastAsia="Palatino Linotype" w:hAnsi="Palatino Linotype" w:cs="Palatino Linotype"/>
                <w:b/>
                <w:color w:val="000000" w:themeColor="text1"/>
                <w:u w:val="single"/>
              </w:rPr>
              <w:t>para cada caso además de fundar y motivar</w:t>
            </w:r>
            <w:r w:rsidRPr="007526D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tc>
      </w:tr>
      <w:tr w:rsidR="00970903" w:rsidRPr="007526D8" w:rsidTr="00693D7B">
        <w:tc>
          <w:tcPr>
            <w:tcW w:w="2689" w:type="dxa"/>
          </w:tcPr>
          <w:p w:rsidR="0053761B" w:rsidRPr="007526D8" w:rsidRDefault="003D2CFE" w:rsidP="00970903">
            <w:pPr>
              <w:tabs>
                <w:tab w:val="left" w:pos="284"/>
              </w:tabs>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3761B" w:rsidRPr="007526D8" w:rsidRDefault="0053761B" w:rsidP="00970903">
            <w:pPr>
              <w:tabs>
                <w:tab w:val="left" w:pos="284"/>
              </w:tabs>
              <w:jc w:val="both"/>
              <w:rPr>
                <w:rFonts w:ascii="Palatino Linotype" w:eastAsia="Palatino Linotype" w:hAnsi="Palatino Linotype" w:cs="Palatino Linotype"/>
                <w:color w:val="000000" w:themeColor="text1"/>
              </w:rPr>
            </w:pPr>
          </w:p>
          <w:p w:rsidR="0053761B" w:rsidRPr="007526D8" w:rsidRDefault="003D2CFE" w:rsidP="00970903">
            <w:pPr>
              <w:tabs>
                <w:tab w:val="left" w:pos="284"/>
              </w:tabs>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 xml:space="preserve">Por lo anteriormente expuesto y fundado, este </w:t>
      </w:r>
      <w:r w:rsidRPr="007526D8">
        <w:rPr>
          <w:rFonts w:ascii="Palatino Linotype" w:eastAsia="Palatino Linotype" w:hAnsi="Palatino Linotype" w:cs="Palatino Linotype"/>
          <w:b/>
          <w:color w:val="000000" w:themeColor="text1"/>
        </w:rPr>
        <w:t>ÓRGANO GARANTE</w:t>
      </w:r>
      <w:r w:rsidRPr="007526D8">
        <w:rPr>
          <w:rFonts w:ascii="Palatino Linotype" w:eastAsia="Palatino Linotype" w:hAnsi="Palatino Linotype" w:cs="Palatino Linotype"/>
          <w:color w:val="000000" w:themeColor="text1"/>
        </w:rPr>
        <w:t xml:space="preserve"> emite los siguientes:</w:t>
      </w:r>
    </w:p>
    <w:p w:rsidR="0053761B" w:rsidRPr="007526D8" w:rsidRDefault="003D2CFE" w:rsidP="00970903">
      <w:pPr>
        <w:keepNext/>
        <w:keepLines/>
        <w:spacing w:line="360" w:lineRule="auto"/>
        <w:jc w:val="center"/>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R E S O L U T I V O S</w:t>
      </w:r>
    </w:p>
    <w:p w:rsidR="0053761B" w:rsidRPr="007526D8" w:rsidRDefault="0053761B" w:rsidP="00970903">
      <w:pPr>
        <w:spacing w:line="360" w:lineRule="auto"/>
        <w:jc w:val="both"/>
        <w:rPr>
          <w:rFonts w:ascii="Palatino Linotype" w:eastAsia="Palatino Linotype" w:hAnsi="Palatino Linotype" w:cs="Palatino Linotype"/>
          <w:b/>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PRIMERO</w:t>
      </w:r>
      <w:r w:rsidRPr="007526D8">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7526D8">
        <w:rPr>
          <w:rFonts w:ascii="Palatino Linotype" w:eastAsia="Palatino Linotype" w:hAnsi="Palatino Linotype" w:cs="Palatino Linotype"/>
          <w:b/>
          <w:color w:val="000000" w:themeColor="text1"/>
        </w:rPr>
        <w:t>03528/INFOEM/IP/RR/2025</w:t>
      </w:r>
      <w:r w:rsidRPr="007526D8">
        <w:rPr>
          <w:rFonts w:ascii="Palatino Linotype" w:eastAsia="Palatino Linotype" w:hAnsi="Palatino Linotype" w:cs="Palatino Linotype"/>
          <w:color w:val="000000" w:themeColor="text1"/>
        </w:rPr>
        <w:t>,</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 xml:space="preserve">en términos de los Considerandos </w:t>
      </w:r>
      <w:r w:rsidRPr="007526D8">
        <w:rPr>
          <w:rFonts w:ascii="Palatino Linotype" w:eastAsia="Palatino Linotype" w:hAnsi="Palatino Linotype" w:cs="Palatino Linotype"/>
          <w:b/>
          <w:color w:val="000000" w:themeColor="text1"/>
        </w:rPr>
        <w:t xml:space="preserve">Cuarto </w:t>
      </w:r>
      <w:r w:rsidRPr="007526D8">
        <w:rPr>
          <w:rFonts w:ascii="Palatino Linotype" w:eastAsia="Palatino Linotype" w:hAnsi="Palatino Linotype" w:cs="Palatino Linotype"/>
          <w:color w:val="000000" w:themeColor="text1"/>
        </w:rPr>
        <w:t>y</w:t>
      </w:r>
      <w:r w:rsidRPr="007526D8">
        <w:rPr>
          <w:rFonts w:ascii="Palatino Linotype" w:eastAsia="Palatino Linotype" w:hAnsi="Palatino Linotype" w:cs="Palatino Linotype"/>
          <w:b/>
          <w:color w:val="000000" w:themeColor="text1"/>
        </w:rPr>
        <w:t xml:space="preserve"> Quinto </w:t>
      </w:r>
      <w:r w:rsidRPr="007526D8">
        <w:rPr>
          <w:rFonts w:ascii="Palatino Linotype" w:eastAsia="Palatino Linotype" w:hAnsi="Palatino Linotype" w:cs="Palatino Linotype"/>
          <w:color w:val="000000" w:themeColor="text1"/>
        </w:rPr>
        <w:t xml:space="preserve">de la presente Resolución. </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bookmarkStart w:id="10" w:name="_heading=h.vihmelcub0eb" w:colFirst="0" w:colLast="0"/>
      <w:bookmarkEnd w:id="10"/>
      <w:r w:rsidRPr="007526D8">
        <w:rPr>
          <w:rFonts w:ascii="Palatino Linotype" w:eastAsia="Palatino Linotype" w:hAnsi="Palatino Linotype" w:cs="Palatino Linotype"/>
          <w:b/>
          <w:color w:val="000000" w:themeColor="text1"/>
        </w:rPr>
        <w:t xml:space="preserve">SEGUNDO. </w:t>
      </w:r>
      <w:r w:rsidRPr="007526D8">
        <w:rPr>
          <w:rFonts w:ascii="Palatino Linotype" w:eastAsia="Palatino Linotype" w:hAnsi="Palatino Linotype" w:cs="Palatino Linotype"/>
          <w:color w:val="000000" w:themeColor="text1"/>
        </w:rPr>
        <w:t xml:space="preserve">Se </w:t>
      </w:r>
      <w:r w:rsidRPr="007526D8">
        <w:rPr>
          <w:rFonts w:ascii="Palatino Linotype" w:eastAsia="Palatino Linotype" w:hAnsi="Palatino Linotype" w:cs="Palatino Linotype"/>
          <w:b/>
          <w:color w:val="000000" w:themeColor="text1"/>
        </w:rPr>
        <w:t xml:space="preserve">MODIFICA </w:t>
      </w:r>
      <w:r w:rsidRPr="007526D8">
        <w:rPr>
          <w:rFonts w:ascii="Palatino Linotype" w:eastAsia="Palatino Linotype" w:hAnsi="Palatino Linotype" w:cs="Palatino Linotype"/>
          <w:color w:val="000000" w:themeColor="text1"/>
        </w:rPr>
        <w:t xml:space="preserve">la respuesta emitida por el </w:t>
      </w:r>
      <w:r w:rsidRPr="007526D8">
        <w:rPr>
          <w:rFonts w:ascii="Palatino Linotype" w:eastAsia="Palatino Linotype" w:hAnsi="Palatino Linotype" w:cs="Palatino Linotype"/>
          <w:b/>
          <w:color w:val="000000" w:themeColor="text1"/>
        </w:rPr>
        <w:t xml:space="preserve">Ayuntamiento de Toluca </w:t>
      </w:r>
      <w:r w:rsidRPr="007526D8">
        <w:rPr>
          <w:rFonts w:ascii="Palatino Linotype" w:eastAsia="Palatino Linotype" w:hAnsi="Palatino Linotype" w:cs="Palatino Linotype"/>
          <w:color w:val="000000" w:themeColor="text1"/>
        </w:rPr>
        <w:t xml:space="preserve">y se </w:t>
      </w:r>
      <w:r w:rsidRPr="007526D8">
        <w:rPr>
          <w:rFonts w:ascii="Palatino Linotype" w:eastAsia="Palatino Linotype" w:hAnsi="Palatino Linotype" w:cs="Palatino Linotype"/>
          <w:b/>
          <w:color w:val="000000" w:themeColor="text1"/>
        </w:rPr>
        <w:t>ORDENA</w:t>
      </w:r>
      <w:r w:rsidRPr="007526D8">
        <w:rPr>
          <w:rFonts w:ascii="Palatino Linotype" w:eastAsia="Palatino Linotype" w:hAnsi="Palatino Linotype" w:cs="Palatino Linotype"/>
          <w:color w:val="000000" w:themeColor="text1"/>
        </w:rPr>
        <w:t xml:space="preserve"> entregar a través del Sistema de Acceso a la Información Mexiquense (SAIMEX), el soporte documental donde conste o se advierta, la siguiente información</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tocante a la recaudación del impuesto predial en los ejercicios fiscales 2023 y 2024, de ser el caso en versión pública:</w:t>
      </w:r>
    </w:p>
    <w:p w:rsidR="0053761B" w:rsidRPr="007526D8" w:rsidRDefault="0053761B" w:rsidP="00970903">
      <w:pPr>
        <w:spacing w:line="360" w:lineRule="auto"/>
        <w:jc w:val="both"/>
        <w:rPr>
          <w:rFonts w:ascii="Palatino Linotype" w:eastAsia="Palatino Linotype" w:hAnsi="Palatino Linotype" w:cs="Palatino Linotype"/>
          <w:b/>
          <w:color w:val="000000" w:themeColor="text1"/>
        </w:rPr>
      </w:pPr>
    </w:p>
    <w:p w:rsidR="0053761B" w:rsidRPr="007526D8" w:rsidRDefault="003D2CFE" w:rsidP="00693D7B">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 xml:space="preserve">Número de predios; </w:t>
      </w:r>
    </w:p>
    <w:p w:rsidR="0053761B" w:rsidRPr="007526D8" w:rsidRDefault="003D2CFE" w:rsidP="00693D7B">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Número de predios que pagaron predial; y</w:t>
      </w:r>
    </w:p>
    <w:p w:rsidR="0053761B" w:rsidRPr="007526D8" w:rsidRDefault="003D2CFE" w:rsidP="00693D7B">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526D8">
        <w:rPr>
          <w:rFonts w:ascii="Palatino Linotype" w:eastAsia="Palatino Linotype" w:hAnsi="Palatino Linotype" w:cs="Palatino Linotype"/>
          <w:b/>
          <w:color w:val="000000" w:themeColor="text1"/>
        </w:rPr>
        <w:t>Monto del predial rezagado que fue recaudado.</w:t>
      </w:r>
    </w:p>
    <w:p w:rsidR="0053761B" w:rsidRPr="007526D8" w:rsidRDefault="0053761B" w:rsidP="009709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10"/>
        </w:rPr>
      </w:pP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7526D8">
        <w:rPr>
          <w:rFonts w:ascii="Palatino Linotype" w:eastAsia="Palatino Linotype" w:hAnsi="Palatino Linotype" w:cs="Palatino Linotype"/>
          <w:b/>
          <w:color w:val="000000" w:themeColor="text1"/>
        </w:rPr>
        <w:t xml:space="preserve"> Recurrente</w:t>
      </w:r>
      <w:r w:rsidRPr="007526D8">
        <w:rPr>
          <w:rFonts w:ascii="Palatino Linotype" w:eastAsia="Palatino Linotype" w:hAnsi="Palatino Linotype" w:cs="Palatino Linotype"/>
          <w:color w:val="000000" w:themeColor="text1"/>
        </w:rPr>
        <w:t>.</w:t>
      </w: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color w:val="000000" w:themeColor="text1"/>
        </w:rPr>
        <w:lastRenderedPageBreak/>
        <w:t xml:space="preserve">Para el caso de que 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no cuente con la información ordenada en los </w:t>
      </w:r>
      <w:r w:rsidRPr="007526D8">
        <w:rPr>
          <w:rFonts w:ascii="Palatino Linotype" w:eastAsia="Palatino Linotype" w:hAnsi="Palatino Linotype" w:cs="Palatino Linotype"/>
          <w:b/>
          <w:color w:val="000000" w:themeColor="text1"/>
        </w:rPr>
        <w:t>incisos b) y c)</w:t>
      </w:r>
      <w:r w:rsidRPr="007526D8">
        <w:rPr>
          <w:rFonts w:ascii="Palatino Linotype" w:eastAsia="Palatino Linotype" w:hAnsi="Palatino Linotype" w:cs="Palatino Linotype"/>
          <w:color w:val="000000" w:themeColor="text1"/>
        </w:rPr>
        <w:t xml:space="preserve">, bastará que lo haga del conocimiento del </w:t>
      </w:r>
      <w:r w:rsidRPr="007526D8">
        <w:rPr>
          <w:rFonts w:ascii="Palatino Linotype" w:eastAsia="Palatino Linotype" w:hAnsi="Palatino Linotype" w:cs="Palatino Linotype"/>
          <w:b/>
          <w:color w:val="000000" w:themeColor="text1"/>
        </w:rPr>
        <w:t>RECURRENTE</w:t>
      </w:r>
      <w:r w:rsidRPr="007526D8">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53761B" w:rsidRPr="007526D8" w:rsidRDefault="0053761B" w:rsidP="00970903">
      <w:pPr>
        <w:spacing w:line="360" w:lineRule="auto"/>
        <w:jc w:val="both"/>
        <w:rPr>
          <w:rFonts w:ascii="Palatino Linotype" w:eastAsia="Palatino Linotype" w:hAnsi="Palatino Linotype" w:cs="Palatino Linotype"/>
          <w:b/>
          <w:color w:val="000000" w:themeColor="text1"/>
          <w:sz w:val="12"/>
        </w:rPr>
      </w:pP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TERCERO. Notifíquese </w:t>
      </w:r>
      <w:r w:rsidRPr="007526D8">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526D8">
        <w:rPr>
          <w:rFonts w:ascii="Palatino Linotype" w:eastAsia="Palatino Linotype" w:hAnsi="Palatino Linotype" w:cs="Palatino Linotype"/>
          <w:b/>
          <w:color w:val="000000" w:themeColor="text1"/>
        </w:rPr>
        <w:t>dé cumplimiento a lo ordenado dentro del plazo de diez días hábiles</w:t>
      </w:r>
      <w:r w:rsidRPr="007526D8">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3761B" w:rsidRPr="007526D8" w:rsidRDefault="003D2CFE" w:rsidP="00970903">
      <w:pPr>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CUARTO. </w:t>
      </w:r>
      <w:r w:rsidRPr="007526D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3761B" w:rsidRPr="007526D8" w:rsidRDefault="0053761B" w:rsidP="00970903">
      <w:pPr>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tabs>
          <w:tab w:val="left" w:pos="8080"/>
        </w:tabs>
        <w:spacing w:line="360" w:lineRule="auto"/>
        <w:jc w:val="both"/>
        <w:rPr>
          <w:rFonts w:ascii="Palatino Linotype" w:eastAsia="Palatino Linotype" w:hAnsi="Palatino Linotype" w:cs="Palatino Linotype"/>
          <w:color w:val="000000" w:themeColor="text1"/>
        </w:rPr>
      </w:pPr>
      <w:bookmarkStart w:id="11" w:name="_heading=h.xhr981y4g39w" w:colFirst="0" w:colLast="0"/>
      <w:bookmarkEnd w:id="11"/>
      <w:r w:rsidRPr="007526D8">
        <w:rPr>
          <w:rFonts w:ascii="Palatino Linotype" w:eastAsia="Palatino Linotype" w:hAnsi="Palatino Linotype" w:cs="Palatino Linotype"/>
          <w:b/>
          <w:color w:val="000000" w:themeColor="text1"/>
        </w:rPr>
        <w:t xml:space="preserve">QUINTO. </w:t>
      </w:r>
      <w:r w:rsidRPr="007526D8">
        <w:rPr>
          <w:rFonts w:ascii="Palatino Linotype" w:eastAsia="Palatino Linotype" w:hAnsi="Palatino Linotype" w:cs="Palatino Linotype"/>
          <w:color w:val="000000" w:themeColor="text1"/>
        </w:rPr>
        <w:t xml:space="preserve">Notifíquese al Recurrente la presente resolución, vía </w:t>
      </w:r>
      <w:r w:rsidRPr="007526D8">
        <w:rPr>
          <w:rFonts w:ascii="Palatino Linotype" w:eastAsia="Palatino Linotype" w:hAnsi="Palatino Linotype" w:cs="Palatino Linotype"/>
          <w:b/>
          <w:color w:val="000000" w:themeColor="text1"/>
        </w:rPr>
        <w:t>SAIMEX</w:t>
      </w:r>
      <w:r w:rsidRPr="007526D8">
        <w:rPr>
          <w:rFonts w:ascii="Palatino Linotype" w:eastAsia="Palatino Linotype" w:hAnsi="Palatino Linotype" w:cs="Palatino Linotype"/>
          <w:color w:val="000000" w:themeColor="text1"/>
        </w:rPr>
        <w:t>.</w:t>
      </w:r>
    </w:p>
    <w:p w:rsidR="00005AFE" w:rsidRPr="007526D8" w:rsidRDefault="00005AFE" w:rsidP="00970903">
      <w:pPr>
        <w:tabs>
          <w:tab w:val="left" w:pos="8080"/>
        </w:tabs>
        <w:spacing w:line="360" w:lineRule="auto"/>
        <w:jc w:val="both"/>
        <w:rPr>
          <w:rFonts w:ascii="Palatino Linotype" w:eastAsia="Palatino Linotype" w:hAnsi="Palatino Linotype" w:cs="Palatino Linotype"/>
          <w:color w:val="000000" w:themeColor="text1"/>
        </w:rPr>
      </w:pPr>
    </w:p>
    <w:p w:rsidR="0053761B" w:rsidRPr="007526D8" w:rsidRDefault="003D2CFE" w:rsidP="00970903">
      <w:pPr>
        <w:shd w:val="clear" w:color="auto" w:fill="FFFFFF"/>
        <w:spacing w:line="360" w:lineRule="auto"/>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SEXTO. </w:t>
      </w:r>
      <w:r w:rsidRPr="007526D8">
        <w:rPr>
          <w:rFonts w:ascii="Palatino Linotype" w:eastAsia="Palatino Linotype" w:hAnsi="Palatino Linotype" w:cs="Palatino Linotype"/>
          <w:color w:val="000000" w:themeColor="text1"/>
        </w:rPr>
        <w:t>Se hace del conocimiento del</w:t>
      </w:r>
      <w:r w:rsidRPr="007526D8">
        <w:rPr>
          <w:rFonts w:ascii="Palatino Linotype" w:eastAsia="Palatino Linotype" w:hAnsi="Palatino Linotype" w:cs="Palatino Linotype"/>
          <w:b/>
          <w:color w:val="000000" w:themeColor="text1"/>
        </w:rPr>
        <w:t xml:space="preserve"> Recurrente </w:t>
      </w:r>
      <w:r w:rsidRPr="007526D8">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w:t>
      </w:r>
      <w:r w:rsidRPr="007526D8">
        <w:rPr>
          <w:rFonts w:ascii="Palatino Linotype" w:eastAsia="Palatino Linotype" w:hAnsi="Palatino Linotype" w:cs="Palatino Linotype"/>
          <w:color w:val="000000" w:themeColor="text1"/>
        </w:rPr>
        <w:lastRenderedPageBreak/>
        <w:t>de México y Municipios, en caso de que considere que la resolución le cause algún perjuicio podrá impugnarla vía juicio de amparo en los términos de las leyes aplicables.</w:t>
      </w:r>
    </w:p>
    <w:p w:rsidR="00005AFE" w:rsidRPr="007526D8" w:rsidRDefault="00005AFE" w:rsidP="00970903">
      <w:pPr>
        <w:shd w:val="clear" w:color="auto" w:fill="FFFFFF"/>
        <w:spacing w:line="360" w:lineRule="auto"/>
        <w:jc w:val="both"/>
        <w:rPr>
          <w:rFonts w:ascii="Palatino Linotype" w:eastAsia="Palatino Linotype" w:hAnsi="Palatino Linotype" w:cs="Palatino Linotype"/>
          <w:color w:val="000000" w:themeColor="text1"/>
        </w:rPr>
      </w:pPr>
    </w:p>
    <w:p w:rsidR="00005AFE" w:rsidRDefault="00005AFE" w:rsidP="007526D8">
      <w:pPr>
        <w:spacing w:line="360" w:lineRule="auto"/>
        <w:ind w:right="49"/>
        <w:jc w:val="both"/>
        <w:rPr>
          <w:rFonts w:ascii="Palatino Linotype" w:eastAsia="Palatino Linotype" w:hAnsi="Palatino Linotype" w:cs="Palatino Linotype"/>
        </w:rPr>
      </w:pPr>
      <w:r w:rsidRPr="007526D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43BFA" w:rsidRPr="007526D8">
        <w:rPr>
          <w:rFonts w:ascii="Palatino Linotype" w:eastAsia="Palatino Linotype" w:hAnsi="Palatino Linotype" w:cs="Palatino Linotype"/>
        </w:rPr>
        <w:t xml:space="preserve"> </w:t>
      </w:r>
      <w:r w:rsidR="00D85AE3" w:rsidRPr="007526D8">
        <w:rPr>
          <w:rFonts w:ascii="Palatino Linotype" w:eastAsia="Palatino Linotype" w:hAnsi="Palatino Linotype" w:cs="Palatino Linotype"/>
        </w:rPr>
        <w:t xml:space="preserve">EMITIENDO </w:t>
      </w:r>
      <w:r w:rsidR="00743BFA" w:rsidRPr="007526D8">
        <w:rPr>
          <w:rFonts w:ascii="Palatino Linotype" w:eastAsia="Palatino Linotype" w:hAnsi="Palatino Linotype" w:cs="Palatino Linotype"/>
        </w:rPr>
        <w:t>VOTO PARTICULAR</w:t>
      </w:r>
      <w:r w:rsidRPr="007526D8">
        <w:rPr>
          <w:rFonts w:ascii="Palatino Linotype" w:eastAsia="Palatino Linotype" w:hAnsi="Palatino Linotype" w:cs="Palatino Linotype"/>
        </w:rPr>
        <w:t>; EN LA TRIGÉSIMA SESIÓN ORDINARIA, CELEBRADA EL VEINTISIETE (27) DE AGOSTO DE DOS MIL VEINTICINCO, ANTE EL SECRETARIO TÉCNICO DEL PLENO ALEXIS TAPIA RAMÍREZ.</w:t>
      </w: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Default="00693D7B" w:rsidP="007526D8">
      <w:pPr>
        <w:spacing w:line="360" w:lineRule="auto"/>
        <w:ind w:right="49"/>
        <w:jc w:val="both"/>
        <w:rPr>
          <w:rFonts w:ascii="Palatino Linotype" w:eastAsia="Palatino Linotype" w:hAnsi="Palatino Linotype" w:cs="Palatino Linotype"/>
        </w:rPr>
      </w:pPr>
    </w:p>
    <w:p w:rsidR="00693D7B" w:rsidRPr="00444783" w:rsidRDefault="00693D7B" w:rsidP="007526D8">
      <w:pPr>
        <w:spacing w:line="360" w:lineRule="auto"/>
        <w:ind w:right="49"/>
        <w:jc w:val="both"/>
        <w:rPr>
          <w:rFonts w:ascii="Palatino Linotype" w:eastAsia="Palatino Linotype" w:hAnsi="Palatino Linotype" w:cs="Palatino Linotype"/>
        </w:rPr>
      </w:pPr>
    </w:p>
    <w:p w:rsidR="0053761B" w:rsidRPr="00970903" w:rsidRDefault="0053761B" w:rsidP="00970903">
      <w:pPr>
        <w:spacing w:line="360" w:lineRule="auto"/>
        <w:ind w:firstLine="1"/>
        <w:jc w:val="both"/>
        <w:rPr>
          <w:rFonts w:ascii="Palatino Linotype" w:eastAsia="Palatino Linotype" w:hAnsi="Palatino Linotype" w:cs="Palatino Linotype"/>
          <w:color w:val="000000" w:themeColor="text1"/>
        </w:rPr>
      </w:pPr>
    </w:p>
    <w:p w:rsidR="0053761B" w:rsidRPr="00970903" w:rsidRDefault="0053761B" w:rsidP="00970903">
      <w:pPr>
        <w:spacing w:line="360" w:lineRule="auto"/>
        <w:jc w:val="both"/>
        <w:rPr>
          <w:rFonts w:ascii="Palatino Linotype" w:eastAsia="Palatino Linotype" w:hAnsi="Palatino Linotype" w:cs="Palatino Linotype"/>
          <w:color w:val="000000" w:themeColor="text1"/>
        </w:rPr>
      </w:pPr>
    </w:p>
    <w:p w:rsidR="0053761B" w:rsidRPr="00970903" w:rsidRDefault="0053761B" w:rsidP="00970903">
      <w:pPr>
        <w:spacing w:line="360" w:lineRule="auto"/>
        <w:jc w:val="both"/>
        <w:rPr>
          <w:rFonts w:ascii="Palatino Linotype" w:eastAsia="Palatino Linotype" w:hAnsi="Palatino Linotype" w:cs="Palatino Linotype"/>
          <w:color w:val="000000" w:themeColor="text1"/>
        </w:rPr>
      </w:pPr>
    </w:p>
    <w:p w:rsidR="0053761B" w:rsidRPr="00970903" w:rsidRDefault="0053761B" w:rsidP="00970903">
      <w:pPr>
        <w:spacing w:line="360" w:lineRule="auto"/>
        <w:jc w:val="both"/>
        <w:rPr>
          <w:rFonts w:ascii="Palatino Linotype" w:eastAsia="Palatino Linotype" w:hAnsi="Palatino Linotype" w:cs="Palatino Linotype"/>
          <w:color w:val="000000" w:themeColor="text1"/>
        </w:rPr>
      </w:pPr>
    </w:p>
    <w:p w:rsidR="0053761B" w:rsidRPr="00970903" w:rsidRDefault="0053761B" w:rsidP="00970903">
      <w:pPr>
        <w:spacing w:line="360" w:lineRule="auto"/>
        <w:jc w:val="both"/>
        <w:rPr>
          <w:rFonts w:ascii="Palatino Linotype" w:eastAsia="Palatino Linotype" w:hAnsi="Palatino Linotype" w:cs="Palatino Linotype"/>
          <w:color w:val="000000" w:themeColor="text1"/>
        </w:rPr>
      </w:pPr>
    </w:p>
    <w:p w:rsidR="0053761B" w:rsidRPr="00970903" w:rsidRDefault="0053761B" w:rsidP="00970903">
      <w:pPr>
        <w:spacing w:line="360" w:lineRule="auto"/>
        <w:jc w:val="both"/>
        <w:rPr>
          <w:rFonts w:ascii="Palatino Linotype" w:eastAsia="Palatino Linotype" w:hAnsi="Palatino Linotype" w:cs="Palatino Linotype"/>
          <w:color w:val="000000" w:themeColor="text1"/>
        </w:rPr>
      </w:pPr>
    </w:p>
    <w:p w:rsidR="0053761B" w:rsidRPr="00970903" w:rsidRDefault="0053761B" w:rsidP="00970903">
      <w:pPr>
        <w:spacing w:line="360" w:lineRule="auto"/>
        <w:jc w:val="both"/>
        <w:rPr>
          <w:rFonts w:ascii="Palatino Linotype" w:eastAsia="Palatino Linotype" w:hAnsi="Palatino Linotype" w:cs="Palatino Linotype"/>
          <w:color w:val="000000" w:themeColor="text1"/>
        </w:rPr>
      </w:pPr>
    </w:p>
    <w:p w:rsidR="0053761B" w:rsidRPr="00970903" w:rsidRDefault="0053761B" w:rsidP="00970903">
      <w:pPr>
        <w:spacing w:line="360" w:lineRule="auto"/>
        <w:rPr>
          <w:rFonts w:ascii="Palatino Linotype" w:eastAsia="Palatino Linotype" w:hAnsi="Palatino Linotype" w:cs="Palatino Linotype"/>
          <w:color w:val="000000" w:themeColor="text1"/>
        </w:rPr>
      </w:pPr>
    </w:p>
    <w:p w:rsidR="0053761B" w:rsidRPr="00970903" w:rsidRDefault="0053761B" w:rsidP="00970903">
      <w:pPr>
        <w:spacing w:line="360" w:lineRule="auto"/>
        <w:rPr>
          <w:rFonts w:ascii="Palatino Linotype" w:eastAsia="Palatino Linotype" w:hAnsi="Palatino Linotype" w:cs="Palatino Linotype"/>
          <w:color w:val="000000" w:themeColor="text1"/>
        </w:rPr>
      </w:pPr>
    </w:p>
    <w:p w:rsidR="0053761B" w:rsidRPr="00970903" w:rsidRDefault="0053761B" w:rsidP="007526D8">
      <w:pPr>
        <w:tabs>
          <w:tab w:val="left" w:pos="3374"/>
        </w:tabs>
        <w:spacing w:line="360" w:lineRule="auto"/>
        <w:rPr>
          <w:rFonts w:ascii="Palatino Linotype" w:eastAsia="Palatino Linotype" w:hAnsi="Palatino Linotype" w:cs="Palatino Linotype"/>
          <w:color w:val="000000" w:themeColor="text1"/>
        </w:rPr>
      </w:pPr>
    </w:p>
    <w:sectPr w:rsidR="0053761B" w:rsidRPr="00970903" w:rsidSect="00693D7B">
      <w:headerReference w:type="even" r:id="rId12"/>
      <w:headerReference w:type="default" r:id="rId13"/>
      <w:footerReference w:type="default" r:id="rId14"/>
      <w:headerReference w:type="first" r:id="rId15"/>
      <w:footerReference w:type="first" r:id="rId16"/>
      <w:pgSz w:w="12240" w:h="15840"/>
      <w:pgMar w:top="2268" w:right="900" w:bottom="2269"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74" w:rsidRDefault="005F0B74">
      <w:r>
        <w:separator/>
      </w:r>
    </w:p>
  </w:endnote>
  <w:endnote w:type="continuationSeparator" w:id="0">
    <w:p w:rsidR="005F0B74" w:rsidRDefault="005F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61B" w:rsidRDefault="003D2CF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738F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738FF">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53761B" w:rsidRDefault="0053761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61B" w:rsidRDefault="003D2CF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738F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738FF">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53761B" w:rsidRDefault="0053761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74" w:rsidRDefault="005F0B74">
      <w:r>
        <w:separator/>
      </w:r>
    </w:p>
  </w:footnote>
  <w:footnote w:type="continuationSeparator" w:id="0">
    <w:p w:rsidR="005F0B74" w:rsidRDefault="005F0B74">
      <w:r>
        <w:continuationSeparator/>
      </w:r>
    </w:p>
  </w:footnote>
  <w:footnote w:id="1">
    <w:p w:rsidR="0053761B" w:rsidRDefault="003D2C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93, Ley Orgánica Municipal del Estado de México.</w:t>
      </w:r>
    </w:p>
  </w:footnote>
  <w:footnote w:id="2">
    <w:p w:rsidR="0053761B" w:rsidRDefault="003D2C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¿Qué son y para qué sirven el pago del impuesto predial y el catastro?</w:t>
      </w:r>
      <w:r>
        <w:rPr>
          <w:color w:val="000000"/>
          <w:sz w:val="20"/>
          <w:szCs w:val="20"/>
        </w:rPr>
        <w:t>, El Financiero, versión digital, consultable en: https://www.elfinanciero.com.mx/inmobiliario/que-son-y-para-que-sirven-el-pago-del-impuesto-predial-y-el-catastro/</w:t>
      </w:r>
    </w:p>
  </w:footnote>
  <w:footnote w:id="3">
    <w:p w:rsidR="0053761B" w:rsidRDefault="003D2C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108, Código Financiero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61B" w:rsidRDefault="005F0B7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261" w:type="dxa"/>
      <w:tblLayout w:type="fixed"/>
      <w:tblLook w:val="0400" w:firstRow="0" w:lastRow="0" w:firstColumn="0" w:lastColumn="0" w:noHBand="0" w:noVBand="1"/>
    </w:tblPr>
    <w:tblGrid>
      <w:gridCol w:w="2976"/>
      <w:gridCol w:w="3543"/>
    </w:tblGrid>
    <w:tr w:rsidR="0053761B" w:rsidTr="00693D7B">
      <w:trPr>
        <w:trHeight w:val="227"/>
      </w:trPr>
      <w:tc>
        <w:tcPr>
          <w:tcW w:w="2976" w:type="dxa"/>
          <w:vAlign w:val="center"/>
        </w:tcPr>
        <w:p w:rsidR="0053761B" w:rsidRPr="00970903" w:rsidRDefault="003D2CFE" w:rsidP="00970903">
          <w:pPr>
            <w:ind w:right="34"/>
            <w:jc w:val="right"/>
            <w:rPr>
              <w:rFonts w:ascii="Palatino Linotype" w:eastAsia="Palatino Linotype" w:hAnsi="Palatino Linotype" w:cs="Palatino Linotype"/>
              <w:b/>
            </w:rPr>
          </w:pPr>
          <w:r w:rsidRPr="00970903">
            <w:rPr>
              <w:rFonts w:ascii="Palatino Linotype" w:eastAsia="Palatino Linotype" w:hAnsi="Palatino Linotype" w:cs="Palatino Linotype"/>
              <w:b/>
            </w:rPr>
            <w:t>Recurso de Revisión:</w:t>
          </w:r>
        </w:p>
      </w:tc>
      <w:tc>
        <w:tcPr>
          <w:tcW w:w="3543" w:type="dxa"/>
          <w:vAlign w:val="center"/>
        </w:tcPr>
        <w:p w:rsidR="0053761B" w:rsidRPr="00970903" w:rsidRDefault="00970903" w:rsidP="0097090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03528/INFOEM/IP/RR/2025</w:t>
          </w:r>
        </w:p>
      </w:tc>
    </w:tr>
    <w:tr w:rsidR="0053761B" w:rsidTr="00693D7B">
      <w:trPr>
        <w:trHeight w:val="242"/>
      </w:trPr>
      <w:tc>
        <w:tcPr>
          <w:tcW w:w="2976" w:type="dxa"/>
          <w:vAlign w:val="center"/>
        </w:tcPr>
        <w:p w:rsidR="0053761B" w:rsidRPr="00970903" w:rsidRDefault="003D2CFE" w:rsidP="00970903">
          <w:pPr>
            <w:ind w:right="34"/>
            <w:jc w:val="right"/>
            <w:rPr>
              <w:rFonts w:ascii="Palatino Linotype" w:eastAsia="Palatino Linotype" w:hAnsi="Palatino Linotype" w:cs="Palatino Linotype"/>
              <w:b/>
            </w:rPr>
          </w:pPr>
          <w:r w:rsidRPr="00970903">
            <w:rPr>
              <w:rFonts w:ascii="Palatino Linotype" w:eastAsia="Palatino Linotype" w:hAnsi="Palatino Linotype" w:cs="Palatino Linotype"/>
              <w:b/>
            </w:rPr>
            <w:t>Sujeto Obligado:</w:t>
          </w:r>
        </w:p>
      </w:tc>
      <w:tc>
        <w:tcPr>
          <w:tcW w:w="3543" w:type="dxa"/>
          <w:vAlign w:val="center"/>
        </w:tcPr>
        <w:p w:rsidR="0053761B" w:rsidRPr="00970903" w:rsidRDefault="003D2CFE" w:rsidP="0097090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70903">
            <w:rPr>
              <w:rFonts w:ascii="Palatino Linotype" w:eastAsia="Palatino Linotype" w:hAnsi="Palatino Linotype" w:cs="Palatino Linotype"/>
              <w:color w:val="000000"/>
            </w:rPr>
            <w:t>Ayuntamiento de Toluca</w:t>
          </w:r>
        </w:p>
      </w:tc>
    </w:tr>
    <w:tr w:rsidR="0053761B" w:rsidTr="00693D7B">
      <w:trPr>
        <w:trHeight w:val="342"/>
      </w:trPr>
      <w:tc>
        <w:tcPr>
          <w:tcW w:w="2976" w:type="dxa"/>
          <w:vAlign w:val="center"/>
        </w:tcPr>
        <w:p w:rsidR="0053761B" w:rsidRPr="00970903" w:rsidRDefault="003D2CFE" w:rsidP="00970903">
          <w:pPr>
            <w:ind w:right="34"/>
            <w:jc w:val="right"/>
            <w:rPr>
              <w:rFonts w:ascii="Palatino Linotype" w:eastAsia="Palatino Linotype" w:hAnsi="Palatino Linotype" w:cs="Palatino Linotype"/>
              <w:b/>
            </w:rPr>
          </w:pPr>
          <w:r w:rsidRPr="00970903">
            <w:rPr>
              <w:rFonts w:ascii="Palatino Linotype" w:eastAsia="Palatino Linotype" w:hAnsi="Palatino Linotype" w:cs="Palatino Linotype"/>
              <w:b/>
            </w:rPr>
            <w:t>Comisionada Ponente:</w:t>
          </w:r>
        </w:p>
      </w:tc>
      <w:tc>
        <w:tcPr>
          <w:tcW w:w="3543" w:type="dxa"/>
          <w:vAlign w:val="center"/>
        </w:tcPr>
        <w:p w:rsidR="0053761B" w:rsidRPr="00970903" w:rsidRDefault="003D2CFE" w:rsidP="0097090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70903">
            <w:rPr>
              <w:rFonts w:ascii="Palatino Linotype" w:eastAsia="Palatino Linotype" w:hAnsi="Palatino Linotype" w:cs="Palatino Linotype"/>
              <w:color w:val="000000"/>
            </w:rPr>
            <w:t>María del Rosario Mejía Ayala</w:t>
          </w:r>
        </w:p>
      </w:tc>
    </w:tr>
  </w:tbl>
  <w:p w:rsidR="0053761B" w:rsidRDefault="005F0B7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4.6pt;margin-top:-126.4pt;width:609.4pt;height:793.75pt;z-index:-25165977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229" w:type="dxa"/>
      <w:tblInd w:w="3402" w:type="dxa"/>
      <w:tblLayout w:type="fixed"/>
      <w:tblLook w:val="0400" w:firstRow="0" w:lastRow="0" w:firstColumn="0" w:lastColumn="0" w:noHBand="0" w:noVBand="1"/>
    </w:tblPr>
    <w:tblGrid>
      <w:gridCol w:w="2977"/>
      <w:gridCol w:w="4252"/>
    </w:tblGrid>
    <w:tr w:rsidR="0053761B" w:rsidTr="00693D7B">
      <w:trPr>
        <w:trHeight w:val="227"/>
      </w:trPr>
      <w:tc>
        <w:tcPr>
          <w:tcW w:w="2977" w:type="dxa"/>
          <w:vAlign w:val="center"/>
        </w:tcPr>
        <w:p w:rsidR="0053761B" w:rsidRPr="00970903" w:rsidRDefault="003D2CFE" w:rsidP="00970903">
          <w:pPr>
            <w:jc w:val="right"/>
            <w:rPr>
              <w:rFonts w:ascii="Palatino Linotype" w:eastAsia="Palatino Linotype" w:hAnsi="Palatino Linotype" w:cs="Palatino Linotype"/>
              <w:b/>
            </w:rPr>
          </w:pPr>
          <w:r w:rsidRPr="00970903">
            <w:rPr>
              <w:rFonts w:ascii="Palatino Linotype" w:eastAsia="Palatino Linotype" w:hAnsi="Palatino Linotype" w:cs="Palatino Linotype"/>
              <w:b/>
            </w:rPr>
            <w:t>Recurso de Revisión:</w:t>
          </w:r>
        </w:p>
      </w:tc>
      <w:tc>
        <w:tcPr>
          <w:tcW w:w="4252" w:type="dxa"/>
          <w:vAlign w:val="center"/>
        </w:tcPr>
        <w:p w:rsidR="0053761B" w:rsidRPr="00970903" w:rsidRDefault="003D2CFE" w:rsidP="0097090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70903">
            <w:rPr>
              <w:rFonts w:ascii="Palatino Linotype" w:eastAsia="Palatino Linotype" w:hAnsi="Palatino Linotype" w:cs="Palatino Linotype"/>
              <w:color w:val="000000"/>
            </w:rPr>
            <w:t>03528/INFOEM/IP/RR/202</w:t>
          </w:r>
          <w:r w:rsidR="00970903">
            <w:rPr>
              <w:rFonts w:ascii="Palatino Linotype" w:eastAsia="Palatino Linotype" w:hAnsi="Palatino Linotype" w:cs="Palatino Linotype"/>
              <w:color w:val="000000"/>
            </w:rPr>
            <w:t>5</w:t>
          </w:r>
        </w:p>
      </w:tc>
    </w:tr>
    <w:tr w:rsidR="0053761B" w:rsidTr="00693D7B">
      <w:trPr>
        <w:trHeight w:val="242"/>
      </w:trPr>
      <w:tc>
        <w:tcPr>
          <w:tcW w:w="2977" w:type="dxa"/>
          <w:vAlign w:val="center"/>
        </w:tcPr>
        <w:p w:rsidR="0053761B" w:rsidRPr="00970903" w:rsidRDefault="003D2CFE" w:rsidP="00970903">
          <w:pPr>
            <w:jc w:val="right"/>
            <w:rPr>
              <w:rFonts w:ascii="Palatino Linotype" w:eastAsia="Palatino Linotype" w:hAnsi="Palatino Linotype" w:cs="Palatino Linotype"/>
              <w:b/>
            </w:rPr>
          </w:pPr>
          <w:r w:rsidRPr="00970903">
            <w:rPr>
              <w:rFonts w:ascii="Palatino Linotype" w:eastAsia="Palatino Linotype" w:hAnsi="Palatino Linotype" w:cs="Palatino Linotype"/>
              <w:b/>
            </w:rPr>
            <w:t>Recurrente:</w:t>
          </w:r>
        </w:p>
      </w:tc>
      <w:tc>
        <w:tcPr>
          <w:tcW w:w="4252" w:type="dxa"/>
        </w:tcPr>
        <w:p w:rsidR="0053761B" w:rsidRPr="00970903" w:rsidRDefault="001738FF" w:rsidP="00970903">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53761B" w:rsidTr="00693D7B">
      <w:trPr>
        <w:trHeight w:val="342"/>
      </w:trPr>
      <w:tc>
        <w:tcPr>
          <w:tcW w:w="2977" w:type="dxa"/>
          <w:vAlign w:val="center"/>
        </w:tcPr>
        <w:p w:rsidR="0053761B" w:rsidRPr="00970903" w:rsidRDefault="003D2CFE" w:rsidP="00970903">
          <w:pPr>
            <w:jc w:val="right"/>
            <w:rPr>
              <w:rFonts w:ascii="Palatino Linotype" w:eastAsia="Palatino Linotype" w:hAnsi="Palatino Linotype" w:cs="Palatino Linotype"/>
              <w:b/>
            </w:rPr>
          </w:pPr>
          <w:r w:rsidRPr="00970903">
            <w:rPr>
              <w:rFonts w:ascii="Palatino Linotype" w:eastAsia="Palatino Linotype" w:hAnsi="Palatino Linotype" w:cs="Palatino Linotype"/>
              <w:b/>
            </w:rPr>
            <w:t>Sujeto Obligado:</w:t>
          </w:r>
        </w:p>
      </w:tc>
      <w:tc>
        <w:tcPr>
          <w:tcW w:w="4252" w:type="dxa"/>
          <w:vAlign w:val="center"/>
        </w:tcPr>
        <w:p w:rsidR="0053761B" w:rsidRPr="00970903" w:rsidRDefault="003D2CFE" w:rsidP="0097090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70903">
            <w:rPr>
              <w:rFonts w:ascii="Palatino Linotype" w:eastAsia="Palatino Linotype" w:hAnsi="Palatino Linotype" w:cs="Palatino Linotype"/>
              <w:color w:val="000000"/>
            </w:rPr>
            <w:t>Ayuntamiento de Toluca</w:t>
          </w:r>
        </w:p>
      </w:tc>
    </w:tr>
    <w:tr w:rsidR="0053761B" w:rsidTr="00693D7B">
      <w:trPr>
        <w:trHeight w:val="342"/>
      </w:trPr>
      <w:tc>
        <w:tcPr>
          <w:tcW w:w="2977" w:type="dxa"/>
          <w:vAlign w:val="center"/>
        </w:tcPr>
        <w:p w:rsidR="0053761B" w:rsidRPr="00970903" w:rsidRDefault="003D2CFE" w:rsidP="00970903">
          <w:pPr>
            <w:jc w:val="right"/>
            <w:rPr>
              <w:rFonts w:ascii="Palatino Linotype" w:eastAsia="Palatino Linotype" w:hAnsi="Palatino Linotype" w:cs="Palatino Linotype"/>
              <w:b/>
            </w:rPr>
          </w:pPr>
          <w:r w:rsidRPr="00970903">
            <w:rPr>
              <w:rFonts w:ascii="Palatino Linotype" w:eastAsia="Palatino Linotype" w:hAnsi="Palatino Linotype" w:cs="Palatino Linotype"/>
              <w:b/>
            </w:rPr>
            <w:t>Comisionada Ponente:</w:t>
          </w:r>
        </w:p>
      </w:tc>
      <w:tc>
        <w:tcPr>
          <w:tcW w:w="4252" w:type="dxa"/>
          <w:vAlign w:val="center"/>
        </w:tcPr>
        <w:p w:rsidR="0053761B" w:rsidRPr="00970903" w:rsidRDefault="003D2CFE" w:rsidP="0097090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70903">
            <w:rPr>
              <w:rFonts w:ascii="Palatino Linotype" w:eastAsia="Palatino Linotype" w:hAnsi="Palatino Linotype" w:cs="Palatino Linotype"/>
              <w:color w:val="000000"/>
            </w:rPr>
            <w:t>María del Rosario Mejía Ayala</w:t>
          </w:r>
        </w:p>
      </w:tc>
    </w:tr>
  </w:tbl>
  <w:p w:rsidR="0053761B" w:rsidRDefault="005F0B7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4.05pt;width:609.4pt;height:793.75pt;z-index:-25165875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1ED1"/>
    <w:multiLevelType w:val="multilevel"/>
    <w:tmpl w:val="E460E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006335"/>
    <w:multiLevelType w:val="multilevel"/>
    <w:tmpl w:val="560684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E24702F"/>
    <w:multiLevelType w:val="multilevel"/>
    <w:tmpl w:val="184C629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28AC769C"/>
    <w:multiLevelType w:val="multilevel"/>
    <w:tmpl w:val="0554AFF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225CE"/>
    <w:multiLevelType w:val="multilevel"/>
    <w:tmpl w:val="2272D5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1701A5A"/>
    <w:multiLevelType w:val="multilevel"/>
    <w:tmpl w:val="4B7AED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424A4E71"/>
    <w:multiLevelType w:val="multilevel"/>
    <w:tmpl w:val="2E2CCC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0376BB"/>
    <w:multiLevelType w:val="multilevel"/>
    <w:tmpl w:val="777A0E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59362E1"/>
    <w:multiLevelType w:val="multilevel"/>
    <w:tmpl w:val="41CA67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DE616C"/>
    <w:multiLevelType w:val="multilevel"/>
    <w:tmpl w:val="52200E2E"/>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7"/>
  </w:num>
  <w:num w:numId="5">
    <w:abstractNumId w:val="4"/>
  </w:num>
  <w:num w:numId="6">
    <w:abstractNumId w:val="2"/>
  </w:num>
  <w:num w:numId="7">
    <w:abstractNumId w:val="6"/>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1B"/>
    <w:rsid w:val="00005AFE"/>
    <w:rsid w:val="000B569A"/>
    <w:rsid w:val="001738FF"/>
    <w:rsid w:val="001C56CC"/>
    <w:rsid w:val="001F7D48"/>
    <w:rsid w:val="003D2CFE"/>
    <w:rsid w:val="0053761B"/>
    <w:rsid w:val="005F0B74"/>
    <w:rsid w:val="00693D7B"/>
    <w:rsid w:val="00743BFA"/>
    <w:rsid w:val="007526D8"/>
    <w:rsid w:val="00970903"/>
    <w:rsid w:val="00AD2386"/>
    <w:rsid w:val="00D85A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05FF1C0-F5FC-4C5A-88A6-EBE561DE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qFormat/>
    <w:rsid w:val="00AC5C39"/>
    <w:pPr>
      <w:autoSpaceDE w:val="0"/>
      <w:autoSpaceDN w:val="0"/>
      <w:adjustRightInd w:val="0"/>
    </w:pPr>
    <w:rPr>
      <w:rFonts w:ascii="Arial" w:hAnsi="Arial" w:cs="Arial"/>
      <w:color w:val="000000"/>
    </w:rPr>
  </w:style>
  <w:style w:type="character" w:styleId="nfasis">
    <w:name w:val="Emphasis"/>
    <w:basedOn w:val="Fuentedeprrafopredeter"/>
    <w:uiPriority w:val="20"/>
    <w:qFormat/>
    <w:rsid w:val="006B0428"/>
    <w:rPr>
      <w:i/>
      <w:iCs/>
    </w:rPr>
  </w:style>
  <w:style w:type="paragraph" w:styleId="NormalWeb">
    <w:name w:val="Normal (Web)"/>
    <w:basedOn w:val="Normal"/>
    <w:uiPriority w:val="99"/>
    <w:rsid w:val="000F30BC"/>
    <w:pPr>
      <w:spacing w:before="100" w:beforeAutospacing="1" w:after="100" w:afterAutospacing="1"/>
    </w:pPr>
    <w:rPr>
      <w:rFonts w:ascii="Times New Roman" w:eastAsia="Times New Roman" w:hAnsi="Times New Roman" w:cs="Times New Roman"/>
      <w:lang w:val="es-ES"/>
    </w:rPr>
  </w:style>
  <w:style w:type="character" w:styleId="Textoennegrita">
    <w:name w:val="Strong"/>
    <w:basedOn w:val="Fuentedeprrafopredeter"/>
    <w:uiPriority w:val="22"/>
    <w:qFormat/>
    <w:rsid w:val="00DB3F48"/>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TtuySKWbhJ+mKftFa3nErvefA==">CgMxLjAyDmguZ3k3dDBzanc1a3NtMg5oLjZlaW9qZG51NGF6ODIOaC45ZjE1c2JvNnNya2oyDmguaDJrdGU0anJteDJuMg5oLms3Nzk2dHdkaG5wZDIOaC5nMnFvdnN0anF2MjIyDmgudTFsbDBzNDJybWNyMg5oLmxkNXUxOTV4eGpsMDIJaC4xN2RwOHZ1Mg5oLnZpaG1lbGN1YjBlYjIOaC54aHI5ODF5NGczOXc4AHIhMVI1T0NSTUxsb28xMElQeFRha2E4UmhVUFdnQ045WV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7874</Words>
  <Characters>43309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2025-08-29T16:26:00Z</cp:lastPrinted>
  <dcterms:created xsi:type="dcterms:W3CDTF">2025-08-20T03:06:00Z</dcterms:created>
  <dcterms:modified xsi:type="dcterms:W3CDTF">2025-09-05T19:00:00Z</dcterms:modified>
</cp:coreProperties>
</file>