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8E8806" w14:textId="77777777" w:rsidR="001254C0" w:rsidRPr="00614F2E" w:rsidRDefault="00DA026C">
      <w:pPr>
        <w:spacing w:before="240" w:after="240" w:line="360" w:lineRule="auto"/>
        <w:jc w:val="both"/>
        <w:rPr>
          <w:rFonts w:ascii="Palatino Linotype" w:eastAsia="Palatino Linotype" w:hAnsi="Palatino Linotype" w:cs="Palatino Linotype"/>
        </w:rPr>
      </w:pPr>
      <w:bookmarkStart w:id="0" w:name="_heading=h.3rdcrjn" w:colFirst="0" w:colLast="0"/>
      <w:bookmarkEnd w:id="0"/>
      <w:r w:rsidRPr="00614F2E">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dieciocho de septiembre de dos mil veinticinco. </w:t>
      </w:r>
    </w:p>
    <w:p w14:paraId="6A050387" w14:textId="77777777" w:rsidR="001254C0" w:rsidRPr="00614F2E" w:rsidRDefault="00DA026C">
      <w:pPr>
        <w:tabs>
          <w:tab w:val="left" w:pos="5812"/>
        </w:tabs>
        <w:spacing w:before="240" w:after="240" w:line="360" w:lineRule="auto"/>
        <w:jc w:val="both"/>
        <w:rPr>
          <w:rFonts w:ascii="Palatino Linotype" w:eastAsia="Palatino Linotype" w:hAnsi="Palatino Linotype" w:cs="Palatino Linotype"/>
        </w:rPr>
      </w:pPr>
      <w:bookmarkStart w:id="1" w:name="_heading=h.daj3j2xo6q66" w:colFirst="0" w:colLast="0"/>
      <w:bookmarkEnd w:id="1"/>
      <w:r w:rsidRPr="00614F2E">
        <w:rPr>
          <w:rFonts w:ascii="Palatino Linotype" w:eastAsia="Palatino Linotype" w:hAnsi="Palatino Linotype" w:cs="Palatino Linotype"/>
          <w:b/>
        </w:rPr>
        <w:t>VISTO</w:t>
      </w:r>
      <w:r w:rsidRPr="00614F2E">
        <w:rPr>
          <w:rFonts w:ascii="Palatino Linotype" w:eastAsia="Palatino Linotype" w:hAnsi="Palatino Linotype" w:cs="Palatino Linotype"/>
        </w:rPr>
        <w:t xml:space="preserve"> el expediente formado con motivo del recurso de revisión </w:t>
      </w:r>
      <w:r w:rsidRPr="00614F2E">
        <w:rPr>
          <w:rFonts w:ascii="Palatino Linotype" w:eastAsia="Palatino Linotype" w:hAnsi="Palatino Linotype" w:cs="Palatino Linotype"/>
          <w:b/>
        </w:rPr>
        <w:t>05564/INFOEM/IP/RR/2025</w:t>
      </w:r>
      <w:r w:rsidRPr="00614F2E">
        <w:rPr>
          <w:rFonts w:ascii="Palatino Linotype" w:eastAsia="Palatino Linotype" w:hAnsi="Palatino Linotype" w:cs="Palatino Linotype"/>
        </w:rPr>
        <w:t>, interpuesto por</w:t>
      </w:r>
      <w:r w:rsidRPr="00614F2E">
        <w:rPr>
          <w:rFonts w:ascii="Palatino Linotype" w:eastAsia="Palatino Linotype" w:hAnsi="Palatino Linotype" w:cs="Palatino Linotype"/>
          <w:b/>
        </w:rPr>
        <w:t xml:space="preserve"> una persona que no proporcionó nombre o seudónimo,</w:t>
      </w:r>
      <w:r w:rsidRPr="00614F2E">
        <w:rPr>
          <w:rFonts w:ascii="Palatino Linotype" w:eastAsia="Palatino Linotype" w:hAnsi="Palatino Linotype" w:cs="Palatino Linotype"/>
        </w:rPr>
        <w:t xml:space="preserve"> en lo sucesivo</w:t>
      </w:r>
      <w:r w:rsidRPr="00614F2E">
        <w:rPr>
          <w:rFonts w:ascii="Palatino Linotype" w:eastAsia="Palatino Linotype" w:hAnsi="Palatino Linotype" w:cs="Palatino Linotype"/>
          <w:b/>
        </w:rPr>
        <w:t xml:space="preserve"> </w:t>
      </w:r>
      <w:r w:rsidRPr="00614F2E">
        <w:rPr>
          <w:rFonts w:ascii="Palatino Linotype" w:eastAsia="Palatino Linotype" w:hAnsi="Palatino Linotype" w:cs="Palatino Linotype"/>
        </w:rPr>
        <w:t xml:space="preserve">la parte </w:t>
      </w:r>
      <w:r w:rsidRPr="00614F2E">
        <w:rPr>
          <w:rFonts w:ascii="Palatino Linotype" w:eastAsia="Palatino Linotype" w:hAnsi="Palatino Linotype" w:cs="Palatino Linotype"/>
          <w:b/>
        </w:rPr>
        <w:t>Recurrente,</w:t>
      </w:r>
      <w:r w:rsidRPr="00614F2E">
        <w:rPr>
          <w:rFonts w:ascii="Palatino Linotype" w:eastAsia="Palatino Linotype" w:hAnsi="Palatino Linotype" w:cs="Palatino Linotype"/>
        </w:rPr>
        <w:t xml:space="preserve"> en contra de la respuesta a la solicitud de información con número de folio</w:t>
      </w:r>
      <w:r w:rsidRPr="00614F2E">
        <w:rPr>
          <w:rFonts w:ascii="Palatino Linotype" w:eastAsia="Palatino Linotype" w:hAnsi="Palatino Linotype" w:cs="Palatino Linotype"/>
          <w:b/>
        </w:rPr>
        <w:t xml:space="preserve"> 01818/TOLUCA/IP/2025, </w:t>
      </w:r>
      <w:r w:rsidRPr="00614F2E">
        <w:rPr>
          <w:rFonts w:ascii="Palatino Linotype" w:eastAsia="Palatino Linotype" w:hAnsi="Palatino Linotype" w:cs="Palatino Linotype"/>
        </w:rPr>
        <w:t xml:space="preserve">por parte del </w:t>
      </w:r>
      <w:r w:rsidRPr="00614F2E">
        <w:rPr>
          <w:rFonts w:ascii="Palatino Linotype" w:eastAsia="Palatino Linotype" w:hAnsi="Palatino Linotype" w:cs="Palatino Linotype"/>
          <w:b/>
        </w:rPr>
        <w:t xml:space="preserve">Ayuntamiento de Toluca, </w:t>
      </w:r>
      <w:r w:rsidRPr="00614F2E">
        <w:rPr>
          <w:rFonts w:ascii="Palatino Linotype" w:eastAsia="Palatino Linotype" w:hAnsi="Palatino Linotype" w:cs="Palatino Linotype"/>
        </w:rPr>
        <w:t xml:space="preserve">en lo sucesivo el </w:t>
      </w:r>
      <w:r w:rsidRPr="00614F2E">
        <w:rPr>
          <w:rFonts w:ascii="Palatino Linotype" w:eastAsia="Palatino Linotype" w:hAnsi="Palatino Linotype" w:cs="Palatino Linotype"/>
          <w:b/>
        </w:rPr>
        <w:t xml:space="preserve">Sujeto Obligado, </w:t>
      </w:r>
      <w:r w:rsidRPr="00614F2E">
        <w:rPr>
          <w:rFonts w:ascii="Palatino Linotype" w:eastAsia="Palatino Linotype" w:hAnsi="Palatino Linotype" w:cs="Palatino Linotype"/>
        </w:rPr>
        <w:t xml:space="preserve">se procede a dictar la presente resolución con base en los siguientes: </w:t>
      </w:r>
    </w:p>
    <w:p w14:paraId="5D653878" w14:textId="77777777" w:rsidR="001254C0" w:rsidRPr="00614F2E" w:rsidRDefault="00DA026C">
      <w:pPr>
        <w:spacing w:before="240" w:after="240" w:line="360" w:lineRule="auto"/>
        <w:jc w:val="center"/>
        <w:rPr>
          <w:rFonts w:ascii="Palatino Linotype" w:eastAsia="Palatino Linotype" w:hAnsi="Palatino Linotype" w:cs="Palatino Linotype"/>
          <w:b/>
        </w:rPr>
      </w:pPr>
      <w:r w:rsidRPr="00614F2E">
        <w:rPr>
          <w:rFonts w:ascii="Palatino Linotype" w:eastAsia="Palatino Linotype" w:hAnsi="Palatino Linotype" w:cs="Palatino Linotype"/>
          <w:b/>
        </w:rPr>
        <w:t>I. A N T E C E D E N T E S</w:t>
      </w:r>
    </w:p>
    <w:p w14:paraId="0F34390D" w14:textId="77777777" w:rsidR="001254C0" w:rsidRPr="00614F2E" w:rsidRDefault="00DA026C">
      <w:pPr>
        <w:spacing w:before="240" w:after="240" w:line="360" w:lineRule="auto"/>
        <w:jc w:val="both"/>
        <w:rPr>
          <w:rFonts w:ascii="Palatino Linotype" w:eastAsia="Palatino Linotype" w:hAnsi="Palatino Linotype" w:cs="Palatino Linotype"/>
        </w:rPr>
      </w:pPr>
      <w:bookmarkStart w:id="2" w:name="_heading=h.gjdgxs" w:colFirst="0" w:colLast="0"/>
      <w:bookmarkEnd w:id="2"/>
      <w:r w:rsidRPr="00614F2E">
        <w:rPr>
          <w:rFonts w:ascii="Palatino Linotype" w:eastAsia="Palatino Linotype" w:hAnsi="Palatino Linotype" w:cs="Palatino Linotype"/>
          <w:b/>
        </w:rPr>
        <w:t>1. Solicitud de acceso a la información.</w:t>
      </w:r>
      <w:r w:rsidRPr="00614F2E">
        <w:rPr>
          <w:rFonts w:ascii="Palatino Linotype" w:eastAsia="Palatino Linotype" w:hAnsi="Palatino Linotype" w:cs="Palatino Linotype"/>
        </w:rPr>
        <w:t xml:space="preserve"> El </w:t>
      </w:r>
      <w:r w:rsidRPr="00614F2E">
        <w:rPr>
          <w:rFonts w:ascii="Palatino Linotype" w:eastAsia="Palatino Linotype" w:hAnsi="Palatino Linotype" w:cs="Palatino Linotype"/>
          <w:b/>
        </w:rPr>
        <w:t>veinticinco de marzo de dos mil veinticinco,</w:t>
      </w:r>
      <w:r w:rsidRPr="00614F2E">
        <w:rPr>
          <w:rFonts w:ascii="Palatino Linotype" w:eastAsia="Palatino Linotype" w:hAnsi="Palatino Linotype" w:cs="Palatino Linotype"/>
        </w:rPr>
        <w:t xml:space="preserve"> la parte </w:t>
      </w:r>
      <w:r w:rsidRPr="00614F2E">
        <w:rPr>
          <w:rFonts w:ascii="Palatino Linotype" w:eastAsia="Palatino Linotype" w:hAnsi="Palatino Linotype" w:cs="Palatino Linotype"/>
          <w:b/>
        </w:rPr>
        <w:t xml:space="preserve">Recurrente </w:t>
      </w:r>
      <w:r w:rsidRPr="00614F2E">
        <w:rPr>
          <w:rFonts w:ascii="Palatino Linotype" w:eastAsia="Palatino Linotype" w:hAnsi="Palatino Linotype" w:cs="Palatino Linotype"/>
        </w:rPr>
        <w:t xml:space="preserve">presentó la solicitud de acceso a la información pública ante el </w:t>
      </w:r>
      <w:r w:rsidRPr="00614F2E">
        <w:rPr>
          <w:rFonts w:ascii="Palatino Linotype" w:eastAsia="Palatino Linotype" w:hAnsi="Palatino Linotype" w:cs="Palatino Linotype"/>
          <w:b/>
        </w:rPr>
        <w:t>Sujeto Obligado</w:t>
      </w:r>
      <w:r w:rsidRPr="00614F2E">
        <w:rPr>
          <w:rFonts w:ascii="Palatino Linotype" w:eastAsia="Palatino Linotype" w:hAnsi="Palatino Linotype" w:cs="Palatino Linotype"/>
        </w:rPr>
        <w:t xml:space="preserve">, a través del Sistema de Acceso a la Información Mexiquense, en lo subsecuente el </w:t>
      </w:r>
      <w:r w:rsidRPr="00614F2E">
        <w:rPr>
          <w:rFonts w:ascii="Palatino Linotype" w:eastAsia="Palatino Linotype" w:hAnsi="Palatino Linotype" w:cs="Palatino Linotype"/>
          <w:b/>
        </w:rPr>
        <w:t>SAIMEX,</w:t>
      </w:r>
      <w:r w:rsidRPr="00614F2E">
        <w:rPr>
          <w:rFonts w:ascii="Palatino Linotype" w:eastAsia="Palatino Linotype" w:hAnsi="Palatino Linotype" w:cs="Palatino Linotype"/>
        </w:rPr>
        <w:t xml:space="preserve"> mediante la cual requirió lo siguiente:</w:t>
      </w:r>
    </w:p>
    <w:p w14:paraId="617D58F3" w14:textId="77777777" w:rsidR="001254C0" w:rsidRPr="00614F2E" w:rsidRDefault="00DA026C">
      <w:pPr>
        <w:spacing w:before="120" w:after="120"/>
        <w:ind w:left="851" w:right="902"/>
        <w:jc w:val="both"/>
        <w:rPr>
          <w:rFonts w:ascii="Palatino Linotype" w:eastAsia="Palatino Linotype" w:hAnsi="Palatino Linotype" w:cs="Palatino Linotype"/>
          <w:b/>
          <w:i/>
          <w:sz w:val="22"/>
          <w:szCs w:val="22"/>
        </w:rPr>
      </w:pPr>
      <w:r w:rsidRPr="00614F2E">
        <w:rPr>
          <w:rFonts w:ascii="Palatino Linotype" w:eastAsia="Palatino Linotype" w:hAnsi="Palatino Linotype" w:cs="Palatino Linotype"/>
          <w:i/>
          <w:sz w:val="22"/>
          <w:szCs w:val="22"/>
        </w:rPr>
        <w:t xml:space="preserve"> “SOLICITO SE ME INFORME CUÁL ES EL ESTATUS JURÍDICO DE LOS EDIFICIOS DELEGACIONALES Y SUBELEGACIONALES DE CADA UNA DE LAS 48 DELEGACIONES Y 37 SUBDELEGACIONES DEL MUNICIPIO DE TOLUCA, EN LOS CUALES LOS DELEGADOS Y SUBDELEGADOS ATIENDEN A LOS CIUDADANOS.</w:t>
      </w:r>
      <w:r w:rsidRPr="00614F2E">
        <w:rPr>
          <w:rFonts w:ascii="Palatino Linotype" w:eastAsia="Palatino Linotype" w:hAnsi="Palatino Linotype" w:cs="Palatino Linotype"/>
          <w:b/>
          <w:i/>
          <w:sz w:val="22"/>
          <w:szCs w:val="22"/>
        </w:rPr>
        <w:t>”</w:t>
      </w:r>
      <w:r w:rsidRPr="00614F2E">
        <w:rPr>
          <w:rFonts w:ascii="Palatino Linotype" w:eastAsia="Palatino Linotype" w:hAnsi="Palatino Linotype" w:cs="Palatino Linotype"/>
          <w:i/>
          <w:sz w:val="22"/>
          <w:szCs w:val="22"/>
        </w:rPr>
        <w:t xml:space="preserve"> (sic) </w:t>
      </w:r>
    </w:p>
    <w:p w14:paraId="20CA4915" w14:textId="77777777" w:rsidR="001254C0" w:rsidRPr="00614F2E" w:rsidRDefault="00DA026C">
      <w:pPr>
        <w:spacing w:before="240" w:after="240" w:line="360" w:lineRule="auto"/>
        <w:jc w:val="both"/>
        <w:rPr>
          <w:rFonts w:ascii="Palatino Linotype" w:eastAsia="Palatino Linotype" w:hAnsi="Palatino Linotype" w:cs="Palatino Linotype"/>
        </w:rPr>
      </w:pPr>
      <w:bookmarkStart w:id="3" w:name="_heading=h.3dy6vkm" w:colFirst="0" w:colLast="0"/>
      <w:bookmarkEnd w:id="3"/>
      <w:r w:rsidRPr="00614F2E">
        <w:rPr>
          <w:rFonts w:ascii="Palatino Linotype" w:eastAsia="Palatino Linotype" w:hAnsi="Palatino Linotype" w:cs="Palatino Linotype"/>
          <w:b/>
        </w:rPr>
        <w:t>Modalidad de Entrega:</w:t>
      </w:r>
      <w:r w:rsidRPr="00614F2E">
        <w:rPr>
          <w:rFonts w:ascii="Palatino Linotype" w:eastAsia="Palatino Linotype" w:hAnsi="Palatino Linotype" w:cs="Palatino Linotype"/>
        </w:rPr>
        <w:t xml:space="preserve"> a través del</w:t>
      </w:r>
      <w:r w:rsidRPr="00614F2E">
        <w:rPr>
          <w:rFonts w:ascii="Palatino Linotype" w:eastAsia="Palatino Linotype" w:hAnsi="Palatino Linotype" w:cs="Palatino Linotype"/>
          <w:b/>
        </w:rPr>
        <w:t xml:space="preserve"> SAIMEX.</w:t>
      </w:r>
    </w:p>
    <w:p w14:paraId="0B626633" w14:textId="77777777" w:rsidR="001254C0" w:rsidRPr="00614F2E" w:rsidRDefault="00DA026C">
      <w:pPr>
        <w:spacing w:before="240" w:after="240"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b/>
        </w:rPr>
        <w:lastRenderedPageBreak/>
        <w:t xml:space="preserve">2. Respuesta. </w:t>
      </w:r>
      <w:r w:rsidRPr="00614F2E">
        <w:rPr>
          <w:rFonts w:ascii="Palatino Linotype" w:eastAsia="Palatino Linotype" w:hAnsi="Palatino Linotype" w:cs="Palatino Linotype"/>
        </w:rPr>
        <w:t xml:space="preserve">El </w:t>
      </w:r>
      <w:r w:rsidRPr="00614F2E">
        <w:rPr>
          <w:rFonts w:ascii="Palatino Linotype" w:eastAsia="Palatino Linotype" w:hAnsi="Palatino Linotype" w:cs="Palatino Linotype"/>
          <w:b/>
        </w:rPr>
        <w:t>veintidós de abril de dos mil veinticinco,</w:t>
      </w:r>
      <w:r w:rsidRPr="00614F2E">
        <w:rPr>
          <w:rFonts w:ascii="Palatino Linotype" w:eastAsia="Palatino Linotype" w:hAnsi="Palatino Linotype" w:cs="Palatino Linotype"/>
        </w:rPr>
        <w:t xml:space="preserve"> el </w:t>
      </w:r>
      <w:r w:rsidRPr="00614F2E">
        <w:rPr>
          <w:rFonts w:ascii="Palatino Linotype" w:eastAsia="Palatino Linotype" w:hAnsi="Palatino Linotype" w:cs="Palatino Linotype"/>
          <w:b/>
        </w:rPr>
        <w:t xml:space="preserve">Sujeto Obligado </w:t>
      </w:r>
      <w:r w:rsidRPr="00614F2E">
        <w:rPr>
          <w:rFonts w:ascii="Palatino Linotype" w:eastAsia="Palatino Linotype" w:hAnsi="Palatino Linotype" w:cs="Palatino Linotype"/>
        </w:rPr>
        <w:t xml:space="preserve">envió su respuesta a la solicitud de acceso a la información a través del SAIMEX, sustancialmente en los términos siguientes:   </w:t>
      </w:r>
    </w:p>
    <w:p w14:paraId="58F77583" w14:textId="77777777" w:rsidR="001254C0" w:rsidRPr="00614F2E" w:rsidRDefault="00DA026C">
      <w:pPr>
        <w:spacing w:before="240" w:after="240"/>
        <w:ind w:left="851"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i/>
          <w:sz w:val="22"/>
          <w:szCs w:val="22"/>
        </w:rPr>
        <w:t>“…En atención a la solicitud con folio 01818/TOLUCA/IP/2025, me permito adjuntar al presente la respuesta correspondiente. Sin más por el momento, reciba un saludo...” (sic)</w:t>
      </w:r>
    </w:p>
    <w:p w14:paraId="28640B44" w14:textId="77777777" w:rsidR="001254C0" w:rsidRPr="00614F2E" w:rsidRDefault="00DA026C">
      <w:pPr>
        <w:spacing w:before="240" w:after="240" w:line="360" w:lineRule="auto"/>
        <w:ind w:right="49"/>
        <w:jc w:val="both"/>
        <w:rPr>
          <w:rFonts w:ascii="Palatino Linotype" w:eastAsia="Palatino Linotype" w:hAnsi="Palatino Linotype" w:cs="Palatino Linotype"/>
        </w:rPr>
      </w:pPr>
      <w:r w:rsidRPr="00614F2E">
        <w:rPr>
          <w:rFonts w:ascii="Palatino Linotype" w:eastAsia="Palatino Linotype" w:hAnsi="Palatino Linotype" w:cs="Palatino Linotype"/>
        </w:rPr>
        <w:t xml:space="preserve">El </w:t>
      </w:r>
      <w:r w:rsidRPr="00614F2E">
        <w:rPr>
          <w:rFonts w:ascii="Palatino Linotype" w:eastAsia="Palatino Linotype" w:hAnsi="Palatino Linotype" w:cs="Palatino Linotype"/>
          <w:b/>
        </w:rPr>
        <w:t xml:space="preserve">Sujeto Obligado </w:t>
      </w:r>
      <w:r w:rsidRPr="00614F2E">
        <w:rPr>
          <w:rFonts w:ascii="Palatino Linotype" w:eastAsia="Palatino Linotype" w:hAnsi="Palatino Linotype" w:cs="Palatino Linotype"/>
        </w:rPr>
        <w:t>adjuntó lo siguiente:</w:t>
      </w:r>
    </w:p>
    <w:p w14:paraId="21110007" w14:textId="77777777" w:rsidR="001254C0" w:rsidRPr="00614F2E" w:rsidRDefault="00DA026C">
      <w:pPr>
        <w:spacing w:before="240" w:after="240" w:line="360" w:lineRule="auto"/>
        <w:ind w:right="49"/>
        <w:jc w:val="both"/>
        <w:rPr>
          <w:rFonts w:ascii="Palatino Linotype" w:eastAsia="Palatino Linotype" w:hAnsi="Palatino Linotype" w:cs="Palatino Linotype"/>
        </w:rPr>
      </w:pPr>
      <w:r w:rsidRPr="00614F2E">
        <w:rPr>
          <w:rFonts w:ascii="Palatino Linotype" w:eastAsia="Palatino Linotype" w:hAnsi="Palatino Linotype" w:cs="Palatino Linotype"/>
        </w:rPr>
        <w:t>- Escrito mediante el cual el titular de la Unidad de Transparencia notificó a la persona solicitante la respuesta proporcionada por las personas servidoras públicas de la Secretaría del Ayuntamiento, por conducto del Departamento de Patrimonio Municipal</w:t>
      </w:r>
      <w:r w:rsidRPr="00614F2E">
        <w:rPr>
          <w:rFonts w:ascii="Palatino Linotype" w:eastAsia="Palatino Linotype" w:hAnsi="Palatino Linotype" w:cs="Palatino Linotype"/>
          <w:b/>
        </w:rPr>
        <w:t xml:space="preserve"> </w:t>
      </w:r>
      <w:r w:rsidRPr="00614F2E">
        <w:rPr>
          <w:rFonts w:ascii="Palatino Linotype" w:eastAsia="Palatino Linotype" w:hAnsi="Palatino Linotype" w:cs="Palatino Linotype"/>
        </w:rPr>
        <w:t>y la Consejería Jurídica.</w:t>
      </w:r>
    </w:p>
    <w:p w14:paraId="243ADB98" w14:textId="77777777" w:rsidR="001254C0" w:rsidRPr="00614F2E" w:rsidRDefault="00DA026C">
      <w:pPr>
        <w:spacing w:before="240" w:after="240" w:line="360" w:lineRule="auto"/>
        <w:ind w:right="49"/>
        <w:jc w:val="both"/>
        <w:rPr>
          <w:rFonts w:ascii="Palatino Linotype" w:eastAsia="Palatino Linotype" w:hAnsi="Palatino Linotype" w:cs="Palatino Linotype"/>
        </w:rPr>
      </w:pPr>
      <w:r w:rsidRPr="00614F2E">
        <w:rPr>
          <w:rFonts w:ascii="Palatino Linotype" w:eastAsia="Palatino Linotype" w:hAnsi="Palatino Linotype" w:cs="Palatino Linotype"/>
        </w:rPr>
        <w:t>- Oficio número SA/DPM/048/2025, mediante el cual el Jefe de Departamento de Patrimonio Municipal, informó que el Ayuntamiento sólo cuenta con 12 inmuebles que ocupan las Delegaciones y Subdelegaciones.</w:t>
      </w:r>
    </w:p>
    <w:p w14:paraId="010721E7" w14:textId="77777777" w:rsidR="001254C0" w:rsidRPr="00614F2E" w:rsidRDefault="00DA026C">
      <w:pPr>
        <w:spacing w:before="240" w:after="240" w:line="360" w:lineRule="auto"/>
        <w:ind w:right="49"/>
        <w:jc w:val="both"/>
        <w:rPr>
          <w:rFonts w:ascii="Palatino Linotype" w:eastAsia="Palatino Linotype" w:hAnsi="Palatino Linotype" w:cs="Palatino Linotype"/>
        </w:rPr>
      </w:pPr>
      <w:r w:rsidRPr="00614F2E">
        <w:rPr>
          <w:rFonts w:ascii="Palatino Linotype" w:eastAsia="Palatino Linotype" w:hAnsi="Palatino Linotype" w:cs="Palatino Linotype"/>
        </w:rPr>
        <w:t>- Oficio número 201012000/1248/2025, mediante el cual la Coordinadora Jurídica informó que después de haber realizado una exhaustiva búsqueda de la documentación en físico y de manera digital en los archivos que ocupa la Coordinación no cuenta con el estatus jurídico de los edificios delegacionales y subdelegaciones de cada una de las 48 delegaciones y 37 subdelegaciones, concluyendo que no puede brindar mayor información de conformidad con lo establecido en el artículo 12 párrafo segundo de la Ley de Transparencia y Acceso a la Información Pública del Estado de México.</w:t>
      </w:r>
    </w:p>
    <w:p w14:paraId="09AC3991" w14:textId="77777777" w:rsidR="001254C0" w:rsidRPr="00614F2E" w:rsidRDefault="00DA026C">
      <w:pPr>
        <w:spacing w:before="240" w:after="240" w:line="360" w:lineRule="auto"/>
        <w:ind w:right="49"/>
        <w:jc w:val="both"/>
        <w:rPr>
          <w:rFonts w:ascii="Palatino Linotype" w:eastAsia="Palatino Linotype" w:hAnsi="Palatino Linotype" w:cs="Palatino Linotype"/>
        </w:rPr>
      </w:pPr>
      <w:r w:rsidRPr="00614F2E">
        <w:rPr>
          <w:rFonts w:ascii="Palatino Linotype" w:eastAsia="Palatino Linotype" w:hAnsi="Palatino Linotype" w:cs="Palatino Linotype"/>
        </w:rPr>
        <w:lastRenderedPageBreak/>
        <w:t xml:space="preserve"> </w:t>
      </w:r>
      <w:r w:rsidRPr="00614F2E">
        <w:rPr>
          <w:rFonts w:ascii="Palatino Linotype" w:eastAsia="Palatino Linotype" w:hAnsi="Palatino Linotype" w:cs="Palatino Linotype"/>
          <w:b/>
        </w:rPr>
        <w:t xml:space="preserve">3. Interposición del recurso de revisión. </w:t>
      </w:r>
      <w:r w:rsidRPr="00614F2E">
        <w:rPr>
          <w:rFonts w:ascii="Palatino Linotype" w:eastAsia="Palatino Linotype" w:hAnsi="Palatino Linotype" w:cs="Palatino Linotype"/>
        </w:rPr>
        <w:t xml:space="preserve">Inconforme con los términos de la respuesta emitida por parte del </w:t>
      </w:r>
      <w:r w:rsidRPr="00614F2E">
        <w:rPr>
          <w:rFonts w:ascii="Palatino Linotype" w:eastAsia="Palatino Linotype" w:hAnsi="Palatino Linotype" w:cs="Palatino Linotype"/>
          <w:b/>
        </w:rPr>
        <w:t>Sujeto Obligado</w:t>
      </w:r>
      <w:r w:rsidRPr="00614F2E">
        <w:rPr>
          <w:rFonts w:ascii="Palatino Linotype" w:eastAsia="Palatino Linotype" w:hAnsi="Palatino Linotype" w:cs="Palatino Linotype"/>
        </w:rPr>
        <w:t xml:space="preserve">, el </w:t>
      </w:r>
      <w:r w:rsidRPr="00614F2E">
        <w:rPr>
          <w:rFonts w:ascii="Palatino Linotype" w:eastAsia="Palatino Linotype" w:hAnsi="Palatino Linotype" w:cs="Palatino Linotype"/>
          <w:b/>
        </w:rPr>
        <w:t>quince de mayo de dos mil veinticinco,</w:t>
      </w:r>
      <w:r w:rsidRPr="00614F2E">
        <w:rPr>
          <w:rFonts w:ascii="Palatino Linotype" w:eastAsia="Palatino Linotype" w:hAnsi="Palatino Linotype" w:cs="Palatino Linotype"/>
        </w:rPr>
        <w:t xml:space="preserve"> la parte </w:t>
      </w:r>
      <w:r w:rsidRPr="00614F2E">
        <w:rPr>
          <w:rFonts w:ascii="Palatino Linotype" w:eastAsia="Palatino Linotype" w:hAnsi="Palatino Linotype" w:cs="Palatino Linotype"/>
          <w:b/>
        </w:rPr>
        <w:t>Recurrente</w:t>
      </w:r>
      <w:r w:rsidRPr="00614F2E">
        <w:rPr>
          <w:rFonts w:ascii="Palatino Linotype" w:eastAsia="Palatino Linotype" w:hAnsi="Palatino Linotype" w:cs="Palatino Linotype"/>
        </w:rPr>
        <w:t xml:space="preserve"> interpuso el recurso de revisión a través de </w:t>
      </w:r>
      <w:r w:rsidRPr="00614F2E">
        <w:rPr>
          <w:rFonts w:ascii="Palatino Linotype" w:eastAsia="Palatino Linotype" w:hAnsi="Palatino Linotype" w:cs="Palatino Linotype"/>
          <w:b/>
        </w:rPr>
        <w:t xml:space="preserve">SAIMEX, </w:t>
      </w:r>
      <w:r w:rsidRPr="00614F2E">
        <w:rPr>
          <w:rFonts w:ascii="Palatino Linotype" w:eastAsia="Palatino Linotype" w:hAnsi="Palatino Linotype" w:cs="Palatino Linotype"/>
        </w:rPr>
        <w:t>en donde se manifestó de la siguiente manera:</w:t>
      </w:r>
    </w:p>
    <w:p w14:paraId="2F292E52" w14:textId="77777777" w:rsidR="001254C0" w:rsidRPr="00614F2E" w:rsidRDefault="00DA026C">
      <w:pPr>
        <w:tabs>
          <w:tab w:val="left" w:pos="5706"/>
        </w:tabs>
        <w:spacing w:before="240" w:after="240" w:line="360" w:lineRule="auto"/>
        <w:ind w:right="49"/>
        <w:jc w:val="both"/>
        <w:rPr>
          <w:rFonts w:ascii="Palatino Linotype" w:eastAsia="Palatino Linotype" w:hAnsi="Palatino Linotype" w:cs="Palatino Linotype"/>
          <w:b/>
        </w:rPr>
      </w:pPr>
      <w:r w:rsidRPr="00614F2E">
        <w:rPr>
          <w:rFonts w:ascii="Palatino Linotype" w:eastAsia="Palatino Linotype" w:hAnsi="Palatino Linotype" w:cs="Palatino Linotype"/>
          <w:b/>
        </w:rPr>
        <w:t xml:space="preserve">Acto impugnado: </w:t>
      </w:r>
      <w:r w:rsidRPr="00614F2E">
        <w:rPr>
          <w:rFonts w:ascii="Palatino Linotype" w:eastAsia="Palatino Linotype" w:hAnsi="Palatino Linotype" w:cs="Palatino Linotype"/>
          <w:b/>
        </w:rPr>
        <w:tab/>
      </w:r>
    </w:p>
    <w:p w14:paraId="59E2B912" w14:textId="77777777" w:rsidR="001254C0" w:rsidRPr="00614F2E" w:rsidRDefault="00DA026C">
      <w:pPr>
        <w:tabs>
          <w:tab w:val="left" w:pos="2745"/>
        </w:tabs>
        <w:spacing w:before="240" w:after="240"/>
        <w:ind w:left="851" w:right="900"/>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i/>
          <w:sz w:val="22"/>
          <w:szCs w:val="22"/>
        </w:rPr>
        <w:t>“LA RESPUESTA” (sic)</w:t>
      </w:r>
    </w:p>
    <w:p w14:paraId="69E2CF5A" w14:textId="77777777" w:rsidR="001254C0" w:rsidRPr="00614F2E" w:rsidRDefault="00DA026C">
      <w:pPr>
        <w:spacing w:line="360" w:lineRule="auto"/>
        <w:jc w:val="both"/>
        <w:rPr>
          <w:rFonts w:ascii="Palatino Linotype" w:eastAsia="Palatino Linotype" w:hAnsi="Palatino Linotype" w:cs="Palatino Linotype"/>
        </w:rPr>
      </w:pPr>
      <w:bookmarkStart w:id="4" w:name="_heading=h.30j0zll" w:colFirst="0" w:colLast="0"/>
      <w:bookmarkEnd w:id="4"/>
      <w:r w:rsidRPr="00614F2E">
        <w:rPr>
          <w:rFonts w:ascii="Palatino Linotype" w:eastAsia="Palatino Linotype" w:hAnsi="Palatino Linotype" w:cs="Palatino Linotype"/>
          <w:b/>
        </w:rPr>
        <w:t>Y, Razones o motivos de inconformidad</w:t>
      </w:r>
      <w:r w:rsidRPr="00614F2E">
        <w:rPr>
          <w:rFonts w:ascii="Palatino Linotype" w:eastAsia="Palatino Linotype" w:hAnsi="Palatino Linotype" w:cs="Palatino Linotype"/>
        </w:rPr>
        <w:t>:</w:t>
      </w:r>
    </w:p>
    <w:p w14:paraId="3D398FC1" w14:textId="77777777" w:rsidR="001254C0" w:rsidRPr="00614F2E" w:rsidRDefault="00DA026C">
      <w:pPr>
        <w:tabs>
          <w:tab w:val="left" w:pos="2745"/>
        </w:tabs>
        <w:spacing w:before="240" w:after="240"/>
        <w:ind w:left="851" w:right="900"/>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i/>
          <w:sz w:val="22"/>
          <w:szCs w:val="22"/>
        </w:rPr>
        <w:t>“NO ATIENDE LO SOLCIITADO NO SE SATISFACE EL DERECHO DE SABER” (sic)</w:t>
      </w:r>
    </w:p>
    <w:p w14:paraId="644CB3B5" w14:textId="77777777" w:rsidR="001254C0" w:rsidRPr="00614F2E" w:rsidRDefault="00DA026C">
      <w:pPr>
        <w:spacing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b/>
        </w:rPr>
        <w:t xml:space="preserve">4. Turno. </w:t>
      </w:r>
      <w:r w:rsidRPr="00614F2E">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614F2E">
        <w:rPr>
          <w:rFonts w:ascii="Palatino Linotype" w:eastAsia="Palatino Linotype" w:hAnsi="Palatino Linotype" w:cs="Palatino Linotype"/>
          <w:b/>
        </w:rPr>
        <w:t xml:space="preserve">Guadalupe Ramírez Peña, </w:t>
      </w:r>
      <w:r w:rsidRPr="00614F2E">
        <w:rPr>
          <w:rFonts w:ascii="Palatino Linotype" w:eastAsia="Palatino Linotype" w:hAnsi="Palatino Linotype" w:cs="Palatino Linotype"/>
        </w:rPr>
        <w:t xml:space="preserve">a efecto de que analizara sobre su admisión o su </w:t>
      </w:r>
      <w:proofErr w:type="spellStart"/>
      <w:r w:rsidRPr="00614F2E">
        <w:rPr>
          <w:rFonts w:ascii="Palatino Linotype" w:eastAsia="Palatino Linotype" w:hAnsi="Palatino Linotype" w:cs="Palatino Linotype"/>
        </w:rPr>
        <w:t>desechamiento</w:t>
      </w:r>
      <w:proofErr w:type="spellEnd"/>
      <w:r w:rsidRPr="00614F2E">
        <w:rPr>
          <w:rFonts w:ascii="Palatino Linotype" w:eastAsia="Palatino Linotype" w:hAnsi="Palatino Linotype" w:cs="Palatino Linotype"/>
        </w:rPr>
        <w:t>.</w:t>
      </w:r>
    </w:p>
    <w:p w14:paraId="6D97035D" w14:textId="77777777" w:rsidR="001254C0" w:rsidRPr="00614F2E" w:rsidRDefault="00DA026C">
      <w:pPr>
        <w:spacing w:before="240" w:after="240" w:line="360" w:lineRule="auto"/>
        <w:jc w:val="both"/>
        <w:rPr>
          <w:rFonts w:ascii="Palatino Linotype" w:eastAsia="Palatino Linotype" w:hAnsi="Palatino Linotype" w:cs="Palatino Linotype"/>
          <w:b/>
        </w:rPr>
      </w:pPr>
      <w:r w:rsidRPr="00614F2E">
        <w:rPr>
          <w:rFonts w:ascii="Palatino Linotype" w:eastAsia="Palatino Linotype" w:hAnsi="Palatino Linotype" w:cs="Palatino Linotype"/>
          <w:b/>
        </w:rPr>
        <w:t>5. Admisión del Recurso de revisión.</w:t>
      </w:r>
      <w:r w:rsidRPr="00614F2E">
        <w:rPr>
          <w:rFonts w:ascii="Palatino Linotype" w:eastAsia="Palatino Linotype" w:hAnsi="Palatino Linotype" w:cs="Palatino Linotype"/>
        </w:rPr>
        <w:t xml:space="preserve"> El</w:t>
      </w:r>
      <w:r w:rsidRPr="00614F2E">
        <w:rPr>
          <w:rFonts w:ascii="Palatino Linotype" w:eastAsia="Palatino Linotype" w:hAnsi="Palatino Linotype" w:cs="Palatino Linotype"/>
          <w:b/>
        </w:rPr>
        <w:t xml:space="preserve"> veinte de mayo de dos mil veinticinco, </w:t>
      </w:r>
      <w:r w:rsidRPr="00614F2E">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614F2E">
        <w:rPr>
          <w:rFonts w:ascii="Palatino Linotype" w:eastAsia="Palatino Linotype" w:hAnsi="Palatino Linotype" w:cs="Palatino Linotype"/>
          <w:b/>
        </w:rPr>
        <w:t xml:space="preserve">Sujeto Obligado </w:t>
      </w:r>
      <w:r w:rsidRPr="00614F2E">
        <w:rPr>
          <w:rFonts w:ascii="Palatino Linotype" w:eastAsia="Palatino Linotype" w:hAnsi="Palatino Linotype" w:cs="Palatino Linotype"/>
        </w:rPr>
        <w:t>presentara su informe justificado.</w:t>
      </w:r>
    </w:p>
    <w:p w14:paraId="5568F41B" w14:textId="77777777" w:rsidR="001254C0" w:rsidRPr="00614F2E" w:rsidRDefault="00DA026C">
      <w:pPr>
        <w:spacing w:before="240" w:after="240" w:line="360" w:lineRule="auto"/>
        <w:jc w:val="both"/>
        <w:rPr>
          <w:rFonts w:ascii="Palatino Linotype" w:eastAsia="Palatino Linotype" w:hAnsi="Palatino Linotype" w:cs="Palatino Linotype"/>
        </w:rPr>
      </w:pPr>
      <w:bookmarkStart w:id="5" w:name="_heading=h.2s8eyo1" w:colFirst="0" w:colLast="0"/>
      <w:bookmarkEnd w:id="5"/>
      <w:r w:rsidRPr="00614F2E">
        <w:rPr>
          <w:rFonts w:ascii="Palatino Linotype" w:eastAsia="Palatino Linotype" w:hAnsi="Palatino Linotype" w:cs="Palatino Linotype"/>
          <w:b/>
        </w:rPr>
        <w:lastRenderedPageBreak/>
        <w:t>6. Manifestaciones</w:t>
      </w:r>
      <w:r w:rsidRPr="00614F2E">
        <w:rPr>
          <w:rFonts w:ascii="Palatino Linotype" w:eastAsia="Palatino Linotype" w:hAnsi="Palatino Linotype" w:cs="Palatino Linotype"/>
        </w:rPr>
        <w:t xml:space="preserve">. El </w:t>
      </w:r>
      <w:r w:rsidRPr="00614F2E">
        <w:rPr>
          <w:rFonts w:ascii="Palatino Linotype" w:eastAsia="Palatino Linotype" w:hAnsi="Palatino Linotype" w:cs="Palatino Linotype"/>
          <w:b/>
        </w:rPr>
        <w:t>veintinueve de mayo de dos mil veinticinco</w:t>
      </w:r>
      <w:r w:rsidRPr="00614F2E">
        <w:rPr>
          <w:rFonts w:ascii="Palatino Linotype" w:eastAsia="Palatino Linotype" w:hAnsi="Palatino Linotype" w:cs="Palatino Linotype"/>
        </w:rPr>
        <w:t xml:space="preserve">, el </w:t>
      </w:r>
      <w:r w:rsidRPr="00614F2E">
        <w:rPr>
          <w:rFonts w:ascii="Palatino Linotype" w:eastAsia="Palatino Linotype" w:hAnsi="Palatino Linotype" w:cs="Palatino Linotype"/>
          <w:b/>
        </w:rPr>
        <w:t>Sujeto Obligado</w:t>
      </w:r>
      <w:r w:rsidRPr="00614F2E">
        <w:rPr>
          <w:rFonts w:ascii="Palatino Linotype" w:eastAsia="Palatino Linotype" w:hAnsi="Palatino Linotype" w:cs="Palatino Linotype"/>
        </w:rPr>
        <w:t xml:space="preserve"> remitió, a través del SAIMEX, lo siguiente:</w:t>
      </w:r>
    </w:p>
    <w:p w14:paraId="36698A3F" w14:textId="77777777" w:rsidR="001254C0" w:rsidRPr="00614F2E" w:rsidRDefault="00DA026C">
      <w:pPr>
        <w:spacing w:before="240" w:after="240"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rPr>
        <w:t xml:space="preserve">- Escrito mediante el cual el titular de la Unidad de Transparencia ratificó en lo sustancial la respuesta proporcionada en primera instancia por la Secretaría del Ayuntamiento y la Consejería </w:t>
      </w:r>
      <w:proofErr w:type="spellStart"/>
      <w:r w:rsidRPr="00614F2E">
        <w:rPr>
          <w:rFonts w:ascii="Palatino Linotype" w:eastAsia="Palatino Linotype" w:hAnsi="Palatino Linotype" w:cs="Palatino Linotype"/>
        </w:rPr>
        <w:t>Juridica</w:t>
      </w:r>
      <w:proofErr w:type="spellEnd"/>
      <w:r w:rsidRPr="00614F2E">
        <w:rPr>
          <w:rFonts w:ascii="Palatino Linotype" w:eastAsia="Palatino Linotype" w:hAnsi="Palatino Linotype" w:cs="Palatino Linotype"/>
        </w:rPr>
        <w:t>.</w:t>
      </w:r>
    </w:p>
    <w:p w14:paraId="09E975F2" w14:textId="77777777" w:rsidR="001254C0" w:rsidRPr="00614F2E" w:rsidRDefault="00DA026C">
      <w:pPr>
        <w:spacing w:before="240" w:after="240"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rPr>
        <w:t>- Oficio número SA/CJ/0443/2025, mediante el cual el servidor público habilitado de la Consejería Jurídica refirió que la solicitud fue atendida en tiempo y forma, reiterando que derivado de una búsqueda exhaustiva no se encontraron documentales relacionadas con el estatus jurídico de los edificios delegacionales y subdelegacionales de cada una de las 48 delegaciones y 37 subdelegaciones del municipio de Toluca, al no corresponder a las atribuciones de la Coordinación jurídica y de la Consejería Jurídica</w:t>
      </w:r>
      <w:r w:rsidRPr="00614F2E">
        <w:t>.</w:t>
      </w:r>
    </w:p>
    <w:p w14:paraId="5C5E7D55" w14:textId="77777777" w:rsidR="001254C0" w:rsidRPr="00614F2E" w:rsidRDefault="00DA026C">
      <w:pPr>
        <w:spacing w:before="240" w:after="240"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rPr>
        <w:t>Una vez analizada la información, se hizo del conocimiento de la persona solicitante a efecto de que manifestara lo que a su derecho estimara conveniente, siendo omisa en ejercer dicha prerrogativa.</w:t>
      </w:r>
    </w:p>
    <w:p w14:paraId="2FFB1D77" w14:textId="77777777" w:rsidR="001254C0" w:rsidRPr="00614F2E" w:rsidRDefault="00DA026C">
      <w:pPr>
        <w:spacing w:before="240" w:after="240"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b/>
        </w:rPr>
        <w:t xml:space="preserve">7. Cierre de instrucción. </w:t>
      </w:r>
      <w:r w:rsidRPr="00614F2E">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614F2E">
        <w:rPr>
          <w:rFonts w:ascii="Palatino Linotype" w:eastAsia="Palatino Linotype" w:hAnsi="Palatino Linotype" w:cs="Palatino Linotype"/>
          <w:b/>
        </w:rPr>
        <w:t>cuatro de septiembre de dos mil veinticinco</w:t>
      </w:r>
      <w:r w:rsidRPr="00614F2E">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 </w:t>
      </w:r>
    </w:p>
    <w:p w14:paraId="4FA6342C" w14:textId="77777777" w:rsidR="001254C0" w:rsidRPr="00614F2E" w:rsidRDefault="00DA026C">
      <w:pPr>
        <w:spacing w:before="240" w:after="240" w:line="360" w:lineRule="auto"/>
        <w:jc w:val="both"/>
        <w:rPr>
          <w:rFonts w:ascii="Palatino Linotype" w:eastAsia="Palatino Linotype" w:hAnsi="Palatino Linotype" w:cs="Palatino Linotype"/>
          <w:b/>
        </w:rPr>
      </w:pPr>
      <w:r w:rsidRPr="00614F2E">
        <w:rPr>
          <w:rFonts w:ascii="Palatino Linotype" w:eastAsia="Palatino Linotype" w:hAnsi="Palatino Linotype" w:cs="Palatino Linotype"/>
          <w:b/>
        </w:rPr>
        <w:t>8</w:t>
      </w:r>
      <w:r w:rsidRPr="00614F2E">
        <w:rPr>
          <w:rFonts w:ascii="Palatino Linotype" w:eastAsia="Palatino Linotype" w:hAnsi="Palatino Linotype" w:cs="Palatino Linotype"/>
        </w:rPr>
        <w:t xml:space="preserve">. </w:t>
      </w:r>
      <w:r w:rsidRPr="00614F2E">
        <w:rPr>
          <w:rFonts w:ascii="Palatino Linotype" w:eastAsia="Palatino Linotype" w:hAnsi="Palatino Linotype" w:cs="Palatino Linotype"/>
          <w:b/>
        </w:rPr>
        <w:t xml:space="preserve">Ampliación del término para resolver. </w:t>
      </w:r>
      <w:r w:rsidRPr="00614F2E">
        <w:rPr>
          <w:rFonts w:ascii="Palatino Linotype" w:eastAsia="Palatino Linotype" w:hAnsi="Palatino Linotype" w:cs="Palatino Linotype"/>
        </w:rPr>
        <w:t>El</w:t>
      </w:r>
      <w:r w:rsidRPr="00614F2E">
        <w:rPr>
          <w:rFonts w:ascii="Palatino Linotype" w:eastAsia="Palatino Linotype" w:hAnsi="Palatino Linotype" w:cs="Palatino Linotype"/>
          <w:b/>
        </w:rPr>
        <w:t xml:space="preserve"> cuatro de septiembre de dos mil veinticinco</w:t>
      </w:r>
      <w:r w:rsidRPr="00614F2E">
        <w:rPr>
          <w:rFonts w:ascii="Palatino Linotype" w:eastAsia="Palatino Linotype" w:hAnsi="Palatino Linotype" w:cs="Palatino Linotype"/>
        </w:rPr>
        <w:t xml:space="preserve">, se amplió el término para resolver el recurso de revisión en términos </w:t>
      </w:r>
      <w:r w:rsidRPr="00614F2E">
        <w:rPr>
          <w:rFonts w:ascii="Palatino Linotype" w:eastAsia="Palatino Linotype" w:hAnsi="Palatino Linotype" w:cs="Palatino Linotype"/>
        </w:rPr>
        <w:lastRenderedPageBreak/>
        <w:t>del artículo 181 párrafo tercero de la Ley de Transparencia y Acceso a la Información Pública del Estado de México y Municipios.</w:t>
      </w:r>
    </w:p>
    <w:p w14:paraId="362C62F0" w14:textId="77777777" w:rsidR="001254C0" w:rsidRPr="00614F2E" w:rsidRDefault="00DA026C">
      <w:pPr>
        <w:spacing w:before="240" w:after="240"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5FDC5AB1" w14:textId="77777777" w:rsidR="001254C0" w:rsidRPr="00614F2E" w:rsidRDefault="00DA026C">
      <w:pPr>
        <w:widowControl w:val="0"/>
        <w:spacing w:before="240" w:after="240" w:line="360" w:lineRule="auto"/>
        <w:jc w:val="center"/>
        <w:rPr>
          <w:rFonts w:ascii="Palatino Linotype" w:eastAsia="Palatino Linotype" w:hAnsi="Palatino Linotype" w:cs="Palatino Linotype"/>
          <w:b/>
        </w:rPr>
      </w:pPr>
      <w:r w:rsidRPr="00614F2E">
        <w:rPr>
          <w:rFonts w:ascii="Palatino Linotype" w:eastAsia="Palatino Linotype" w:hAnsi="Palatino Linotype" w:cs="Palatino Linotype"/>
          <w:b/>
        </w:rPr>
        <w:t>II. C O N S I D E R A N D O S</w:t>
      </w:r>
    </w:p>
    <w:p w14:paraId="23901969" w14:textId="77777777" w:rsidR="001254C0" w:rsidRPr="00614F2E" w:rsidRDefault="00DA026C">
      <w:pPr>
        <w:spacing w:before="240" w:after="240"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b/>
        </w:rPr>
        <w:t>Primero. Competencia.</w:t>
      </w:r>
      <w:r w:rsidRPr="00614F2E">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A2B9434" w14:textId="77777777" w:rsidR="001254C0" w:rsidRPr="00614F2E" w:rsidRDefault="00DA026C">
      <w:pPr>
        <w:spacing w:before="240" w:after="240" w:line="360" w:lineRule="auto"/>
        <w:jc w:val="both"/>
        <w:rPr>
          <w:rFonts w:ascii="Palatino Linotype" w:eastAsia="Palatino Linotype" w:hAnsi="Palatino Linotype" w:cs="Palatino Linotype"/>
        </w:rPr>
      </w:pPr>
      <w:bookmarkStart w:id="6" w:name="_heading=h.tyjcwt" w:colFirst="0" w:colLast="0"/>
      <w:bookmarkEnd w:id="6"/>
      <w:r w:rsidRPr="00614F2E">
        <w:rPr>
          <w:rFonts w:ascii="Palatino Linotype" w:eastAsia="Palatino Linotype" w:hAnsi="Palatino Linotype" w:cs="Palatino Linotype"/>
          <w:b/>
        </w:rPr>
        <w:t>Segundo. Oportunidad y Procedibilidad del Recurso de Revisión</w:t>
      </w:r>
      <w:r w:rsidRPr="00614F2E">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4E17E89" w14:textId="77777777" w:rsidR="001254C0" w:rsidRPr="00614F2E" w:rsidRDefault="00DA026C">
      <w:pPr>
        <w:spacing w:before="240" w:after="240"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rPr>
        <w:lastRenderedPageBreak/>
        <w:t xml:space="preserve">El recurso de revisión fue interpuesto dentro del plazo de quince días hábiles, previsto en el artículo 178 de la Ley de Transparencia y Acceso a la Información Pública del Estado de México y Municipios, toda vez que el </w:t>
      </w:r>
      <w:r w:rsidRPr="00614F2E">
        <w:rPr>
          <w:rFonts w:ascii="Palatino Linotype" w:eastAsia="Palatino Linotype" w:hAnsi="Palatino Linotype" w:cs="Palatino Linotype"/>
          <w:b/>
        </w:rPr>
        <w:t xml:space="preserve">Sujeto Obligado </w:t>
      </w:r>
      <w:r w:rsidRPr="00614F2E">
        <w:rPr>
          <w:rFonts w:ascii="Palatino Linotype" w:eastAsia="Palatino Linotype" w:hAnsi="Palatino Linotype" w:cs="Palatino Linotype"/>
        </w:rPr>
        <w:t xml:space="preserve">remitió la respuesta a la solicitud de información el día </w:t>
      </w:r>
      <w:r w:rsidRPr="00614F2E">
        <w:rPr>
          <w:rFonts w:ascii="Palatino Linotype" w:eastAsia="Palatino Linotype" w:hAnsi="Palatino Linotype" w:cs="Palatino Linotype"/>
          <w:b/>
        </w:rPr>
        <w:t xml:space="preserve">veintidós de abril de dos mil veinticinco, </w:t>
      </w:r>
      <w:r w:rsidRPr="00614F2E">
        <w:rPr>
          <w:rFonts w:ascii="Palatino Linotype" w:eastAsia="Palatino Linotype" w:hAnsi="Palatino Linotype" w:cs="Palatino Linotype"/>
        </w:rPr>
        <w:t xml:space="preserve">mientras que el recurso de revisión interpuesto por la parte </w:t>
      </w:r>
      <w:r w:rsidRPr="00614F2E">
        <w:rPr>
          <w:rFonts w:ascii="Palatino Linotype" w:eastAsia="Palatino Linotype" w:hAnsi="Palatino Linotype" w:cs="Palatino Linotype"/>
          <w:b/>
        </w:rPr>
        <w:t xml:space="preserve">Recurrente, </w:t>
      </w:r>
      <w:r w:rsidRPr="00614F2E">
        <w:rPr>
          <w:rFonts w:ascii="Palatino Linotype" w:eastAsia="Palatino Linotype" w:hAnsi="Palatino Linotype" w:cs="Palatino Linotype"/>
        </w:rPr>
        <w:t>se tuvo por presentado el día</w:t>
      </w:r>
      <w:r w:rsidRPr="00614F2E">
        <w:rPr>
          <w:rFonts w:ascii="Palatino Linotype" w:eastAsia="Palatino Linotype" w:hAnsi="Palatino Linotype" w:cs="Palatino Linotype"/>
          <w:b/>
        </w:rPr>
        <w:t xml:space="preserve"> quince de mayo de dos mil veinticinco, </w:t>
      </w:r>
      <w:r w:rsidRPr="00614F2E">
        <w:rPr>
          <w:rFonts w:ascii="Palatino Linotype" w:eastAsia="Palatino Linotype" w:hAnsi="Palatino Linotype" w:cs="Palatino Linotype"/>
        </w:rPr>
        <w:t>esto es, décimo quinto día hábil posterior a aquel en el que tuvo conocimiento de la respuesta impugnada. En este sentido, se concluye que el presente recurso de revisión se encuentra dentro de los márgenes temporales previstos en las disposiciones legales referidas.</w:t>
      </w:r>
    </w:p>
    <w:p w14:paraId="79C019F8" w14:textId="77777777" w:rsidR="001254C0" w:rsidRPr="00614F2E" w:rsidRDefault="00DA026C">
      <w:pPr>
        <w:spacing w:before="240" w:after="240"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59B134E1" w14:textId="77777777" w:rsidR="001254C0" w:rsidRPr="00614F2E" w:rsidRDefault="00DA026C">
      <w:pPr>
        <w:spacing w:before="120" w:after="120"/>
        <w:ind w:left="851"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614F2E">
        <w:rPr>
          <w:rFonts w:ascii="Palatino Linotype" w:eastAsia="Palatino Linotype" w:hAnsi="Palatino Linotype" w:cs="Palatino Linotype"/>
          <w:i/>
          <w:sz w:val="22"/>
          <w:szCs w:val="22"/>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w:t>
      </w:r>
      <w:r w:rsidRPr="00614F2E">
        <w:rPr>
          <w:rFonts w:ascii="Palatino Linotype" w:eastAsia="Palatino Linotype" w:hAnsi="Palatino Linotype" w:cs="Palatino Linotype"/>
          <w:i/>
          <w:sz w:val="22"/>
          <w:szCs w:val="22"/>
        </w:rPr>
        <w:lastRenderedPageBreak/>
        <w:t>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7E468A41" w14:textId="77777777" w:rsidR="001254C0" w:rsidRPr="00614F2E" w:rsidRDefault="00DA026C">
      <w:pPr>
        <w:spacing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rPr>
        <w:t>Además, por cuanto hace a la procedibilidad del recurso de revisión, es de suma importancia señalar que la parte</w:t>
      </w:r>
      <w:r w:rsidRPr="00614F2E">
        <w:rPr>
          <w:rFonts w:ascii="Palatino Linotype" w:eastAsia="Palatino Linotype" w:hAnsi="Palatino Linotype" w:cs="Palatino Linotype"/>
          <w:b/>
        </w:rPr>
        <w:t xml:space="preserve"> Recurrente</w:t>
      </w:r>
      <w:r w:rsidRPr="00614F2E">
        <w:rPr>
          <w:rFonts w:ascii="Palatino Linotype" w:eastAsia="Palatino Linotype" w:hAnsi="Palatino Linotype" w:cs="Palatino Linotype"/>
        </w:rPr>
        <w:t xml:space="preserve">, no señaló un </w:t>
      </w:r>
      <w:r w:rsidRPr="00614F2E">
        <w:rPr>
          <w:rFonts w:ascii="Palatino Linotype" w:eastAsia="Palatino Linotype" w:hAnsi="Palatino Linotype" w:cs="Palatino Linotype"/>
          <w:b/>
        </w:rPr>
        <w:t>nombre</w:t>
      </w:r>
      <w:r w:rsidRPr="00614F2E">
        <w:rPr>
          <w:rFonts w:ascii="Palatino Linotype" w:eastAsia="Palatino Linotype" w:hAnsi="Palatino Linotype" w:cs="Palatino Linotype"/>
        </w:rPr>
        <w:t xml:space="preserve"> o seudónimo con el cual desea ser identificado, como se advierte en el detalle de seguimiento del SAIMEX, no obstante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332DCBE" w14:textId="77777777" w:rsidR="001254C0" w:rsidRPr="00614F2E" w:rsidRDefault="00DA026C">
      <w:pPr>
        <w:spacing w:before="120" w:after="120"/>
        <w:ind w:left="851"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i/>
          <w:sz w:val="22"/>
          <w:szCs w:val="22"/>
        </w:rPr>
        <w:t>"</w:t>
      </w:r>
      <w:r w:rsidRPr="00614F2E">
        <w:rPr>
          <w:rFonts w:ascii="Palatino Linotype" w:eastAsia="Palatino Linotype" w:hAnsi="Palatino Linotype" w:cs="Palatino Linotype"/>
          <w:b/>
          <w:i/>
          <w:sz w:val="22"/>
          <w:szCs w:val="22"/>
        </w:rPr>
        <w:t>Las solicitudes anónimas</w:t>
      </w:r>
      <w:r w:rsidRPr="00614F2E">
        <w:rPr>
          <w:rFonts w:ascii="Palatino Linotype" w:eastAsia="Palatino Linotype" w:hAnsi="Palatino Linotype" w:cs="Palatino Linotype"/>
          <w:i/>
          <w:sz w:val="22"/>
          <w:szCs w:val="22"/>
        </w:rPr>
        <w:t xml:space="preserve">, con nombre incompleto o </w:t>
      </w:r>
      <w:r w:rsidRPr="00614F2E">
        <w:rPr>
          <w:rFonts w:ascii="Palatino Linotype" w:eastAsia="Palatino Linotype" w:hAnsi="Palatino Linotype" w:cs="Palatino Linotype"/>
          <w:b/>
          <w:i/>
          <w:sz w:val="22"/>
          <w:szCs w:val="22"/>
        </w:rPr>
        <w:t>seudónimo</w:t>
      </w:r>
      <w:r w:rsidRPr="00614F2E">
        <w:rPr>
          <w:rFonts w:ascii="Palatino Linotype" w:eastAsia="Palatino Linotype" w:hAnsi="Palatino Linotype" w:cs="Palatino Linotype"/>
          <w:i/>
          <w:sz w:val="22"/>
          <w:szCs w:val="22"/>
        </w:rPr>
        <w:t xml:space="preserve"> serán procedentes para su trámite por parte del sujeto obligado ante quien se presente. No podrá requerirse información adicional con motivo del nombre proporcionado por el solicitante."</w:t>
      </w:r>
    </w:p>
    <w:p w14:paraId="014B4C0E" w14:textId="77777777" w:rsidR="001254C0" w:rsidRPr="00614F2E" w:rsidRDefault="00DA026C">
      <w:pPr>
        <w:spacing w:before="240" w:after="240"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rPr>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614F2E">
        <w:rPr>
          <w:rFonts w:ascii="Palatino Linotype" w:eastAsia="Palatino Linotype" w:hAnsi="Palatino Linotype" w:cs="Palatino Linotype"/>
          <w:b/>
        </w:rPr>
        <w:t xml:space="preserve"> SAIMEX.</w:t>
      </w:r>
    </w:p>
    <w:p w14:paraId="40B15F45" w14:textId="77777777" w:rsidR="001254C0" w:rsidRPr="00614F2E" w:rsidRDefault="00DA026C">
      <w:pPr>
        <w:spacing w:before="240" w:after="240"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rPr>
        <w:t xml:space="preserve">Finalmente, se advierte que resulta procedente la interposición del recurso, según lo manifestado por la parte </w:t>
      </w:r>
      <w:r w:rsidRPr="00614F2E">
        <w:rPr>
          <w:rFonts w:ascii="Palatino Linotype" w:eastAsia="Palatino Linotype" w:hAnsi="Palatino Linotype" w:cs="Palatino Linotype"/>
          <w:b/>
        </w:rPr>
        <w:t>Recurrente</w:t>
      </w:r>
      <w:r w:rsidRPr="00614F2E">
        <w:rPr>
          <w:rFonts w:ascii="Palatino Linotype" w:eastAsia="Palatino Linotype" w:hAnsi="Palatino Linotype" w:cs="Palatino Linotype"/>
        </w:rPr>
        <w:t xml:space="preserve"> en sus motivos de inconformidad, de acuerdo al artículo 179, fracción I del ordenamiento legal citado, que a la letra dice: </w:t>
      </w:r>
    </w:p>
    <w:p w14:paraId="6FA0BE05" w14:textId="77777777" w:rsidR="001254C0" w:rsidRPr="00614F2E" w:rsidRDefault="00DA026C">
      <w:pPr>
        <w:tabs>
          <w:tab w:val="left" w:pos="7938"/>
        </w:tabs>
        <w:spacing w:before="120" w:after="120"/>
        <w:ind w:left="851"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i/>
          <w:sz w:val="22"/>
          <w:szCs w:val="22"/>
        </w:rPr>
        <w:t>“</w:t>
      </w:r>
      <w:r w:rsidRPr="00614F2E">
        <w:rPr>
          <w:rFonts w:ascii="Palatino Linotype" w:eastAsia="Palatino Linotype" w:hAnsi="Palatino Linotype" w:cs="Palatino Linotype"/>
          <w:b/>
          <w:i/>
          <w:sz w:val="22"/>
          <w:szCs w:val="22"/>
        </w:rPr>
        <w:t>Artículo 179.</w:t>
      </w:r>
      <w:r w:rsidRPr="00614F2E">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04A6B6F6" w14:textId="77777777" w:rsidR="001254C0" w:rsidRPr="00614F2E" w:rsidRDefault="00DA026C">
      <w:pPr>
        <w:tabs>
          <w:tab w:val="left" w:pos="7938"/>
        </w:tabs>
        <w:spacing w:before="120" w:after="120"/>
        <w:ind w:left="851" w:right="900"/>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t>I.</w:t>
      </w:r>
      <w:r w:rsidRPr="00614F2E">
        <w:rPr>
          <w:rFonts w:ascii="Palatino Linotype" w:eastAsia="Palatino Linotype" w:hAnsi="Palatino Linotype" w:cs="Palatino Linotype"/>
          <w:i/>
          <w:sz w:val="22"/>
          <w:szCs w:val="22"/>
        </w:rPr>
        <w:t xml:space="preserve"> La negativa a la información solicitada;”</w:t>
      </w:r>
    </w:p>
    <w:p w14:paraId="0AC5B9A3" w14:textId="77777777" w:rsidR="001254C0" w:rsidRPr="00614F2E" w:rsidRDefault="00DA026C">
      <w:pPr>
        <w:spacing w:before="240" w:after="240" w:line="360" w:lineRule="auto"/>
        <w:jc w:val="both"/>
        <w:rPr>
          <w:rFonts w:ascii="Palatino Linotype" w:eastAsia="Palatino Linotype" w:hAnsi="Palatino Linotype" w:cs="Palatino Linotype"/>
          <w:b/>
        </w:rPr>
      </w:pPr>
      <w:r w:rsidRPr="00614F2E">
        <w:rPr>
          <w:rFonts w:ascii="Palatino Linotype" w:eastAsia="Palatino Linotype" w:hAnsi="Palatino Linotype" w:cs="Palatino Linotype"/>
          <w:b/>
        </w:rPr>
        <w:lastRenderedPageBreak/>
        <w:t xml:space="preserve">Tercero. Materia de la revisión. </w:t>
      </w:r>
      <w:r w:rsidRPr="00614F2E">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614F2E">
        <w:rPr>
          <w:rFonts w:ascii="Palatino Linotype" w:eastAsia="Palatino Linotype" w:hAnsi="Palatino Linotype" w:cs="Palatino Linotype"/>
          <w:b/>
        </w:rPr>
        <w:t xml:space="preserve">verificar si la información proporcionada por el Sujeto Obligado es adecuada y suficiente para satisfacer el derecho de acceso a la información pública </w:t>
      </w:r>
      <w:r w:rsidRPr="00614F2E">
        <w:rPr>
          <w:rFonts w:ascii="Palatino Linotype" w:eastAsia="Palatino Linotype" w:hAnsi="Palatino Linotype" w:cs="Palatino Linotype"/>
        </w:rPr>
        <w:t xml:space="preserve">de la parte </w:t>
      </w:r>
      <w:r w:rsidRPr="00614F2E">
        <w:rPr>
          <w:rFonts w:ascii="Palatino Linotype" w:eastAsia="Palatino Linotype" w:hAnsi="Palatino Linotype" w:cs="Palatino Linotype"/>
          <w:b/>
        </w:rPr>
        <w:t>Recurrente</w:t>
      </w:r>
      <w:r w:rsidRPr="00614F2E">
        <w:rPr>
          <w:rFonts w:ascii="Palatino Linotype" w:eastAsia="Palatino Linotype" w:hAnsi="Palatino Linotype" w:cs="Palatino Linotype"/>
        </w:rPr>
        <w:t>, o en su defecto, en caso de ser procedente, ordenar la entrega de información.</w:t>
      </w:r>
    </w:p>
    <w:p w14:paraId="5E6F5384" w14:textId="77777777" w:rsidR="001254C0" w:rsidRPr="00614F2E" w:rsidRDefault="00DA026C">
      <w:pPr>
        <w:spacing w:before="240" w:after="240" w:line="360" w:lineRule="auto"/>
        <w:jc w:val="both"/>
        <w:rPr>
          <w:rFonts w:ascii="Palatino Linotype" w:eastAsia="Palatino Linotype" w:hAnsi="Palatino Linotype" w:cs="Palatino Linotype"/>
        </w:rPr>
      </w:pPr>
      <w:bookmarkStart w:id="7" w:name="_heading=h.2et92p0" w:colFirst="0" w:colLast="0"/>
      <w:bookmarkEnd w:id="7"/>
      <w:r w:rsidRPr="00614F2E">
        <w:rPr>
          <w:rFonts w:ascii="Palatino Linotype" w:eastAsia="Palatino Linotype" w:hAnsi="Palatino Linotype" w:cs="Palatino Linotype"/>
          <w:b/>
        </w:rPr>
        <w:t xml:space="preserve">Cuarto. Estudio del asunto. </w:t>
      </w:r>
      <w:r w:rsidRPr="00614F2E">
        <w:rPr>
          <w:rFonts w:ascii="Palatino Linotype" w:eastAsia="Palatino Linotype" w:hAnsi="Palatino Linotype" w:cs="Palatino Linotype"/>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FE3DCB8" w14:textId="77777777" w:rsidR="001254C0" w:rsidRPr="00614F2E" w:rsidRDefault="00DA026C">
      <w:pPr>
        <w:spacing w:before="120" w:after="120"/>
        <w:ind w:left="851"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i/>
          <w:sz w:val="22"/>
          <w:szCs w:val="22"/>
        </w:rPr>
        <w:t>“</w:t>
      </w:r>
      <w:r w:rsidRPr="00614F2E">
        <w:rPr>
          <w:rFonts w:ascii="Palatino Linotype" w:eastAsia="Palatino Linotype" w:hAnsi="Palatino Linotype" w:cs="Palatino Linotype"/>
          <w:b/>
          <w:i/>
          <w:sz w:val="22"/>
          <w:szCs w:val="22"/>
        </w:rPr>
        <w:t>Artículo 4</w:t>
      </w:r>
      <w:r w:rsidRPr="00614F2E">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3978305" w14:textId="77777777" w:rsidR="001254C0" w:rsidRPr="00614F2E" w:rsidRDefault="00DA026C">
      <w:pPr>
        <w:spacing w:before="120" w:after="120"/>
        <w:ind w:left="851"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614F2E">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68A1A2E" w14:textId="77777777" w:rsidR="001254C0" w:rsidRPr="00614F2E" w:rsidRDefault="00DA026C">
      <w:pPr>
        <w:spacing w:before="120" w:after="120"/>
        <w:ind w:left="851"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r w:rsidRPr="00614F2E">
        <w:rPr>
          <w:rFonts w:ascii="Palatino Linotype" w:eastAsia="Palatino Linotype" w:hAnsi="Palatino Linotype" w:cs="Palatino Linotype"/>
          <w:i/>
          <w:sz w:val="22"/>
          <w:szCs w:val="22"/>
        </w:rPr>
        <w:t>.”</w:t>
      </w:r>
    </w:p>
    <w:p w14:paraId="6B1B1580" w14:textId="77777777" w:rsidR="001254C0" w:rsidRPr="00614F2E" w:rsidRDefault="00DA026C">
      <w:pPr>
        <w:spacing w:before="240" w:after="240"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914B196" w14:textId="77777777" w:rsidR="001254C0" w:rsidRPr="00614F2E" w:rsidRDefault="00DA026C">
      <w:pPr>
        <w:spacing w:before="120" w:after="120"/>
        <w:ind w:left="851"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t>“Artículo 12.-</w:t>
      </w:r>
      <w:r w:rsidRPr="00614F2E">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9ED7220" w14:textId="77777777" w:rsidR="001254C0" w:rsidRPr="00614F2E" w:rsidRDefault="00DA026C">
      <w:pPr>
        <w:spacing w:before="120" w:after="120"/>
        <w:ind w:left="851"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614F2E">
        <w:rPr>
          <w:rFonts w:ascii="Palatino Linotype" w:eastAsia="Palatino Linotype" w:hAnsi="Palatino Linotype" w:cs="Palatino Linotype"/>
          <w:i/>
          <w:sz w:val="22"/>
          <w:szCs w:val="22"/>
        </w:rPr>
        <w:t xml:space="preserve">. </w:t>
      </w:r>
      <w:r w:rsidRPr="00614F2E">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25401D07" w14:textId="77777777" w:rsidR="001254C0" w:rsidRPr="00614F2E" w:rsidRDefault="00DA026C">
      <w:pPr>
        <w:spacing w:before="240" w:after="240" w:line="360" w:lineRule="auto"/>
        <w:ind w:right="-93"/>
        <w:jc w:val="both"/>
        <w:rPr>
          <w:rFonts w:ascii="Palatino Linotype" w:eastAsia="Palatino Linotype" w:hAnsi="Palatino Linotype" w:cs="Palatino Linotype"/>
        </w:rPr>
      </w:pPr>
      <w:r w:rsidRPr="00614F2E">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27A6627F" w14:textId="77777777" w:rsidR="001254C0" w:rsidRPr="00614F2E" w:rsidRDefault="00DA026C">
      <w:pPr>
        <w:spacing w:before="240" w:after="240" w:line="360" w:lineRule="auto"/>
        <w:jc w:val="both"/>
        <w:rPr>
          <w:rFonts w:ascii="Palatino Linotype" w:eastAsia="Palatino Linotype" w:hAnsi="Palatino Linotype" w:cs="Palatino Linotype"/>
          <w:b/>
        </w:rPr>
      </w:pPr>
      <w:r w:rsidRPr="00614F2E">
        <w:rPr>
          <w:rFonts w:ascii="Palatino Linotype" w:eastAsia="Palatino Linotype" w:hAnsi="Palatino Linotype" w:cs="Palatino Linotype"/>
        </w:rPr>
        <w:lastRenderedPageBreak/>
        <w:t>Sirve de apoyo a lo anterior, el criterio orientador con clave de control SO/003/2017, emitido por el entonces Instituto Nacional de Transparencia, Acceso a la Información y Protección de Datos Personales, que por rubro y texto, dispone lo siguiente:</w:t>
      </w:r>
      <w:r w:rsidRPr="00614F2E">
        <w:rPr>
          <w:rFonts w:ascii="Palatino Linotype" w:eastAsia="Palatino Linotype" w:hAnsi="Palatino Linotype" w:cs="Palatino Linotype"/>
          <w:b/>
        </w:rPr>
        <w:t xml:space="preserve"> </w:t>
      </w:r>
    </w:p>
    <w:p w14:paraId="351D6A85" w14:textId="77777777" w:rsidR="001254C0" w:rsidRPr="00614F2E" w:rsidRDefault="00DA026C">
      <w:pPr>
        <w:spacing w:before="120" w:after="120"/>
        <w:ind w:left="1134"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i/>
          <w:sz w:val="22"/>
          <w:szCs w:val="22"/>
        </w:rPr>
        <w:t xml:space="preserve"> “</w:t>
      </w:r>
      <w:r w:rsidRPr="00614F2E">
        <w:rPr>
          <w:rFonts w:ascii="Palatino Linotype" w:eastAsia="Palatino Linotype" w:hAnsi="Palatino Linotype" w:cs="Palatino Linotype"/>
          <w:b/>
          <w:i/>
          <w:sz w:val="22"/>
          <w:szCs w:val="22"/>
        </w:rPr>
        <w:t>No existe obligación de elaborar documentos ad hoc para atender las solicitudes de acceso a la información.</w:t>
      </w:r>
      <w:r w:rsidRPr="00614F2E">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48C35A0" w14:textId="77777777" w:rsidR="001254C0" w:rsidRPr="00614F2E" w:rsidRDefault="00DA026C">
      <w:pPr>
        <w:spacing w:before="120" w:after="120"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1F215A3" w14:textId="77777777" w:rsidR="001254C0" w:rsidRPr="00614F2E" w:rsidRDefault="00DA026C">
      <w:pPr>
        <w:spacing w:before="120" w:after="120"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w:t>
      </w:r>
      <w:r w:rsidRPr="00614F2E">
        <w:rPr>
          <w:rFonts w:ascii="Palatino Linotype" w:eastAsia="Palatino Linotype" w:hAnsi="Palatino Linotype" w:cs="Palatino Linotype"/>
        </w:rPr>
        <w:lastRenderedPageBreak/>
        <w:t xml:space="preserve">podrán estar en cualquier medio, sea escrito, impreso, sonoro, visual, electrónico, informático u holográfico de conformidad con el artículo 3, fracción XI de la Ley de la materia, el cual señala lo siguiente: </w:t>
      </w:r>
    </w:p>
    <w:p w14:paraId="4F34F83D" w14:textId="77777777" w:rsidR="001254C0" w:rsidRPr="00614F2E" w:rsidRDefault="00DA026C">
      <w:pPr>
        <w:spacing w:before="120" w:after="120"/>
        <w:ind w:left="851"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i/>
          <w:sz w:val="22"/>
          <w:szCs w:val="22"/>
        </w:rPr>
        <w:t>“</w:t>
      </w:r>
      <w:r w:rsidRPr="00614F2E">
        <w:rPr>
          <w:rFonts w:ascii="Palatino Linotype" w:eastAsia="Palatino Linotype" w:hAnsi="Palatino Linotype" w:cs="Palatino Linotype"/>
          <w:b/>
          <w:i/>
          <w:sz w:val="22"/>
          <w:szCs w:val="22"/>
        </w:rPr>
        <w:t xml:space="preserve">Artículo 3. </w:t>
      </w:r>
      <w:r w:rsidRPr="00614F2E">
        <w:rPr>
          <w:rFonts w:ascii="Palatino Linotype" w:eastAsia="Palatino Linotype" w:hAnsi="Palatino Linotype" w:cs="Palatino Linotype"/>
          <w:i/>
          <w:sz w:val="22"/>
          <w:szCs w:val="22"/>
        </w:rPr>
        <w:t>Para los efectos de la presente Ley se entenderá por:</w:t>
      </w:r>
    </w:p>
    <w:p w14:paraId="3E2416D3" w14:textId="77777777" w:rsidR="001254C0" w:rsidRPr="00614F2E" w:rsidRDefault="00DA026C">
      <w:pPr>
        <w:spacing w:before="120" w:after="120"/>
        <w:ind w:left="1134"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i/>
          <w:sz w:val="22"/>
          <w:szCs w:val="22"/>
        </w:rPr>
        <w:t>…</w:t>
      </w:r>
    </w:p>
    <w:p w14:paraId="098C6E41" w14:textId="77777777" w:rsidR="001254C0" w:rsidRPr="00614F2E" w:rsidRDefault="00DA026C">
      <w:pPr>
        <w:spacing w:before="120" w:after="120"/>
        <w:ind w:left="1134"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t>XI. Documento:</w:t>
      </w:r>
      <w:r w:rsidRPr="00614F2E">
        <w:rPr>
          <w:rFonts w:ascii="Palatino Linotype" w:eastAsia="Palatino Linotype" w:hAnsi="Palatino Linotype" w:cs="Palatino Linotype"/>
          <w:i/>
          <w:sz w:val="22"/>
          <w:szCs w:val="22"/>
        </w:rPr>
        <w:t xml:space="preserve"> Los expedientes, reportes, estudios, actas</w:t>
      </w:r>
      <w:r w:rsidRPr="00614F2E">
        <w:rPr>
          <w:rFonts w:ascii="Palatino Linotype" w:eastAsia="Palatino Linotype" w:hAnsi="Palatino Linotype" w:cs="Palatino Linotype"/>
          <w:b/>
          <w:i/>
          <w:sz w:val="22"/>
          <w:szCs w:val="22"/>
        </w:rPr>
        <w:t>,</w:t>
      </w:r>
      <w:r w:rsidRPr="00614F2E">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6B6E5FAB" w14:textId="77777777" w:rsidR="001254C0" w:rsidRPr="00614F2E" w:rsidRDefault="00DA026C">
      <w:pPr>
        <w:spacing w:before="240" w:after="240"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4591BD6" w14:textId="77777777" w:rsidR="001254C0" w:rsidRPr="00614F2E" w:rsidRDefault="00DA026C">
      <w:pPr>
        <w:spacing w:before="120" w:after="120"/>
        <w:ind w:left="851"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sz w:val="22"/>
          <w:szCs w:val="22"/>
        </w:rPr>
        <w:t>“</w:t>
      </w:r>
      <w:r w:rsidRPr="00614F2E">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614F2E">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98D85D4" w14:textId="77777777" w:rsidR="001254C0" w:rsidRPr="00614F2E" w:rsidRDefault="00DA026C">
      <w:pPr>
        <w:spacing w:before="120" w:after="120"/>
        <w:ind w:left="851"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755412D8" w14:textId="77777777" w:rsidR="001254C0" w:rsidRPr="00614F2E" w:rsidRDefault="00DA026C">
      <w:pPr>
        <w:spacing w:before="120" w:after="120"/>
        <w:ind w:left="1134"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3563D9D6" w14:textId="77777777" w:rsidR="001254C0" w:rsidRPr="00614F2E" w:rsidRDefault="00DA026C">
      <w:pPr>
        <w:spacing w:before="120" w:after="120"/>
        <w:ind w:left="1134"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i/>
          <w:sz w:val="22"/>
          <w:szCs w:val="22"/>
        </w:rPr>
        <w:lastRenderedPageBreak/>
        <w:t>2) Que se trate de información registrada en cualquier soporte documental, que en ejercicio de las atribuciones conferidas, sea administrada por los Sujetos Obligados, y</w:t>
      </w:r>
    </w:p>
    <w:p w14:paraId="52A8B9D6" w14:textId="77777777" w:rsidR="001254C0" w:rsidRPr="00614F2E" w:rsidRDefault="00DA026C">
      <w:pPr>
        <w:spacing w:before="120" w:after="120"/>
        <w:ind w:left="1134"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14:paraId="2DEE3171" w14:textId="77777777" w:rsidR="001254C0" w:rsidRPr="00614F2E" w:rsidRDefault="00DA026C">
      <w:pPr>
        <w:spacing w:before="240" w:after="240" w:line="360" w:lineRule="auto"/>
        <w:ind w:right="51"/>
        <w:jc w:val="both"/>
        <w:rPr>
          <w:rFonts w:ascii="Palatino Linotype" w:eastAsia="Palatino Linotype" w:hAnsi="Palatino Linotype" w:cs="Palatino Linotype"/>
        </w:rPr>
      </w:pPr>
      <w:r w:rsidRPr="00614F2E">
        <w:rPr>
          <w:rFonts w:ascii="Palatino Linotype" w:eastAsia="Palatino Linotype" w:hAnsi="Palatino Linotype" w:cs="Palatino Linotype"/>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5EB88B4" w14:textId="77777777" w:rsidR="001254C0" w:rsidRPr="00614F2E" w:rsidRDefault="00DA026C">
      <w:pPr>
        <w:spacing w:before="240" w:after="240"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57E83443" w14:textId="77777777" w:rsidR="001254C0" w:rsidRPr="00614F2E" w:rsidRDefault="00DA026C">
      <w:pPr>
        <w:spacing w:before="240" w:after="240" w:line="360" w:lineRule="auto"/>
        <w:ind w:right="51"/>
        <w:jc w:val="both"/>
        <w:rPr>
          <w:rFonts w:ascii="Palatino Linotype" w:eastAsia="Palatino Linotype" w:hAnsi="Palatino Linotype" w:cs="Palatino Linotype"/>
        </w:rPr>
      </w:pPr>
      <w:r w:rsidRPr="00614F2E">
        <w:rPr>
          <w:rFonts w:ascii="Palatino Linotype" w:eastAsia="Palatino Linotype" w:hAnsi="Palatino Linotype" w:cs="Palatino Linotype"/>
        </w:rPr>
        <w:lastRenderedPageBreak/>
        <w:t xml:space="preserve">Ahora bien, del análisis de la solicitud de información, motivo del recurso de revisión que ahora se resuelve, se advierte que la parte </w:t>
      </w:r>
      <w:r w:rsidRPr="00614F2E">
        <w:rPr>
          <w:rFonts w:ascii="Palatino Linotype" w:eastAsia="Palatino Linotype" w:hAnsi="Palatino Linotype" w:cs="Palatino Linotype"/>
          <w:b/>
        </w:rPr>
        <w:t>Recurrente</w:t>
      </w:r>
      <w:r w:rsidRPr="00614F2E">
        <w:rPr>
          <w:rFonts w:ascii="Palatino Linotype" w:eastAsia="Palatino Linotype" w:hAnsi="Palatino Linotype" w:cs="Palatino Linotype"/>
        </w:rPr>
        <w:t xml:space="preserve"> requirió al </w:t>
      </w:r>
      <w:r w:rsidRPr="00614F2E">
        <w:rPr>
          <w:rFonts w:ascii="Palatino Linotype" w:eastAsia="Palatino Linotype" w:hAnsi="Palatino Linotype" w:cs="Palatino Linotype"/>
          <w:b/>
        </w:rPr>
        <w:t xml:space="preserve">Sujeto Obligado </w:t>
      </w:r>
      <w:r w:rsidRPr="00614F2E">
        <w:rPr>
          <w:rFonts w:ascii="Palatino Linotype" w:eastAsia="Palatino Linotype" w:hAnsi="Palatino Linotype" w:cs="Palatino Linotype"/>
        </w:rPr>
        <w:t>le proporcione, información consistente en lo siguiente:</w:t>
      </w:r>
    </w:p>
    <w:p w14:paraId="0229C423" w14:textId="77777777" w:rsidR="001254C0" w:rsidRPr="00614F2E" w:rsidRDefault="00DA026C">
      <w:pPr>
        <w:tabs>
          <w:tab w:val="left" w:pos="567"/>
        </w:tabs>
        <w:spacing w:before="240" w:after="240" w:line="360" w:lineRule="auto"/>
        <w:ind w:left="284" w:right="51"/>
        <w:jc w:val="both"/>
        <w:rPr>
          <w:rFonts w:ascii="Palatino Linotype" w:eastAsia="Palatino Linotype" w:hAnsi="Palatino Linotype" w:cs="Palatino Linotype"/>
          <w:sz w:val="28"/>
          <w:szCs w:val="28"/>
        </w:rPr>
      </w:pPr>
      <w:r w:rsidRPr="00614F2E">
        <w:rPr>
          <w:rFonts w:ascii="Palatino Linotype" w:eastAsia="Palatino Linotype" w:hAnsi="Palatino Linotype" w:cs="Palatino Linotype"/>
        </w:rPr>
        <w:t xml:space="preserve">1. Estatus jurídico de los edificios delegacionales y </w:t>
      </w:r>
      <w:proofErr w:type="spellStart"/>
      <w:r w:rsidRPr="00614F2E">
        <w:rPr>
          <w:rFonts w:ascii="Palatino Linotype" w:eastAsia="Palatino Linotype" w:hAnsi="Palatino Linotype" w:cs="Palatino Linotype"/>
        </w:rPr>
        <w:t>subelegacionales</w:t>
      </w:r>
      <w:proofErr w:type="spellEnd"/>
      <w:r w:rsidRPr="00614F2E">
        <w:rPr>
          <w:rFonts w:ascii="Palatino Linotype" w:eastAsia="Palatino Linotype" w:hAnsi="Palatino Linotype" w:cs="Palatino Linotype"/>
        </w:rPr>
        <w:t xml:space="preserve"> de cada una de las 48 delegaciones y 37 subdelegaciones del municipio,</w:t>
      </w:r>
    </w:p>
    <w:p w14:paraId="1756255F" w14:textId="77777777" w:rsidR="001254C0" w:rsidRPr="00614F2E" w:rsidRDefault="00DA026C">
      <w:pPr>
        <w:spacing w:before="240" w:after="240" w:line="360" w:lineRule="auto"/>
        <w:ind w:right="51"/>
        <w:jc w:val="both"/>
        <w:rPr>
          <w:rFonts w:ascii="Palatino Linotype" w:eastAsia="Palatino Linotype" w:hAnsi="Palatino Linotype" w:cs="Palatino Linotype"/>
        </w:rPr>
      </w:pPr>
      <w:r w:rsidRPr="00614F2E">
        <w:rPr>
          <w:rFonts w:ascii="Palatino Linotype" w:eastAsia="Palatino Linotype" w:hAnsi="Palatino Linotype" w:cs="Palatino Linotype"/>
        </w:rPr>
        <w:t xml:space="preserve">El </w:t>
      </w:r>
      <w:r w:rsidRPr="00614F2E">
        <w:rPr>
          <w:rFonts w:ascii="Palatino Linotype" w:eastAsia="Palatino Linotype" w:hAnsi="Palatino Linotype" w:cs="Palatino Linotype"/>
          <w:b/>
        </w:rPr>
        <w:t xml:space="preserve">Sujeto Obligado, </w:t>
      </w:r>
      <w:r w:rsidRPr="00614F2E">
        <w:rPr>
          <w:rFonts w:ascii="Palatino Linotype" w:eastAsia="Palatino Linotype" w:hAnsi="Palatino Linotype" w:cs="Palatino Linotype"/>
        </w:rPr>
        <w:t>dio respuesta por conducto de la Secretaría del Ayuntamiento y la Consejería Jurídica, en los siguientes términos:</w:t>
      </w:r>
    </w:p>
    <w:p w14:paraId="5EE458E5" w14:textId="77777777" w:rsidR="001254C0" w:rsidRPr="00614F2E" w:rsidRDefault="00DA026C">
      <w:pPr>
        <w:spacing w:before="240" w:after="240" w:line="360" w:lineRule="auto"/>
        <w:ind w:right="51"/>
        <w:jc w:val="both"/>
        <w:rPr>
          <w:rFonts w:ascii="Palatino Linotype" w:eastAsia="Palatino Linotype" w:hAnsi="Palatino Linotype" w:cs="Palatino Linotype"/>
        </w:rPr>
      </w:pPr>
      <w:r w:rsidRPr="00614F2E">
        <w:rPr>
          <w:rFonts w:ascii="Palatino Linotype" w:eastAsia="Palatino Linotype" w:hAnsi="Palatino Linotype" w:cs="Palatino Linotype"/>
        </w:rPr>
        <w:t xml:space="preserve">- </w:t>
      </w:r>
      <w:r w:rsidRPr="00614F2E">
        <w:rPr>
          <w:rFonts w:ascii="Palatino Linotype" w:eastAsia="Palatino Linotype" w:hAnsi="Palatino Linotype" w:cs="Palatino Linotype"/>
          <w:b/>
        </w:rPr>
        <w:t>Secretaria del Ayuntamiento</w:t>
      </w:r>
      <w:r w:rsidRPr="00614F2E">
        <w:rPr>
          <w:rFonts w:ascii="Palatino Linotype" w:eastAsia="Palatino Linotype" w:hAnsi="Palatino Linotype" w:cs="Palatino Linotype"/>
        </w:rPr>
        <w:t>, por conducto del Departamento de Patrimonio Municipal, informó que el ayuntamiento solo cuenta con 12 inmuebles que ocupan las Delegaciones y Subdelegaciones.</w:t>
      </w:r>
    </w:p>
    <w:p w14:paraId="7933408D" w14:textId="77777777" w:rsidR="001254C0" w:rsidRPr="00614F2E" w:rsidRDefault="00DA026C">
      <w:pPr>
        <w:spacing w:before="240" w:after="240" w:line="360" w:lineRule="auto"/>
        <w:ind w:right="51"/>
        <w:jc w:val="both"/>
        <w:rPr>
          <w:rFonts w:ascii="Palatino Linotype" w:eastAsia="Palatino Linotype" w:hAnsi="Palatino Linotype" w:cs="Palatino Linotype"/>
        </w:rPr>
      </w:pPr>
      <w:r w:rsidRPr="00614F2E">
        <w:rPr>
          <w:rFonts w:ascii="Palatino Linotype" w:eastAsia="Palatino Linotype" w:hAnsi="Palatino Linotype" w:cs="Palatino Linotype"/>
        </w:rPr>
        <w:t xml:space="preserve">- </w:t>
      </w:r>
      <w:r w:rsidRPr="00614F2E">
        <w:rPr>
          <w:rFonts w:ascii="Palatino Linotype" w:eastAsia="Palatino Linotype" w:hAnsi="Palatino Linotype" w:cs="Palatino Linotype"/>
          <w:b/>
        </w:rPr>
        <w:t xml:space="preserve">Coordinación Jurídica, </w:t>
      </w:r>
      <w:r w:rsidRPr="00614F2E">
        <w:rPr>
          <w:rFonts w:ascii="Palatino Linotype" w:eastAsia="Palatino Linotype" w:hAnsi="Palatino Linotype" w:cs="Palatino Linotype"/>
        </w:rPr>
        <w:t>manifestó que después de haber realizado una exhaustiva búsqueda de la documentación en físico y de manera digital en los archivos que ocupa la Coordinación no se cuenta con "el estatus jurídico de los edificios delegacionales y subdelegacionales de cada una de las 48 delegaciones y 37 subdelegaciones del municipio de Toluca, en los cuales los delegados y subdelegados atienden a los ciudadanos, razón por la cual no puede brindar mayor información.</w:t>
      </w:r>
    </w:p>
    <w:p w14:paraId="3E4048A0" w14:textId="77777777" w:rsidR="001254C0" w:rsidRPr="00614F2E" w:rsidRDefault="00DA026C">
      <w:pPr>
        <w:spacing w:before="240" w:after="240" w:line="360" w:lineRule="auto"/>
        <w:ind w:right="49"/>
        <w:jc w:val="both"/>
        <w:rPr>
          <w:rFonts w:ascii="Palatino Linotype" w:eastAsia="Palatino Linotype" w:hAnsi="Palatino Linotype" w:cs="Palatino Linotype"/>
        </w:rPr>
      </w:pPr>
      <w:r w:rsidRPr="00614F2E">
        <w:rPr>
          <w:rFonts w:ascii="Palatino Linotype" w:eastAsia="Palatino Linotype" w:hAnsi="Palatino Linotype" w:cs="Palatino Linotype"/>
        </w:rPr>
        <w:t xml:space="preserve">Sin embargo, al no estar conforme con los términos de la respuesta proporcionada, la parte </w:t>
      </w:r>
      <w:r w:rsidRPr="00614F2E">
        <w:rPr>
          <w:rFonts w:ascii="Palatino Linotype" w:eastAsia="Palatino Linotype" w:hAnsi="Palatino Linotype" w:cs="Palatino Linotype"/>
          <w:b/>
        </w:rPr>
        <w:t xml:space="preserve">Recurrente </w:t>
      </w:r>
      <w:r w:rsidRPr="00614F2E">
        <w:rPr>
          <w:rFonts w:ascii="Palatino Linotype" w:eastAsia="Palatino Linotype" w:hAnsi="Palatino Linotype" w:cs="Palatino Linotype"/>
        </w:rPr>
        <w:t>presentó el recurso de revisión que nos ocupa, donde señaló como motivo de inconformidad que no se hizo entrega la información solicitada.</w:t>
      </w:r>
    </w:p>
    <w:p w14:paraId="432EEF14" w14:textId="77777777" w:rsidR="001254C0" w:rsidRPr="00614F2E" w:rsidRDefault="00DA026C">
      <w:pPr>
        <w:spacing w:before="240" w:after="240"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rPr>
        <w:lastRenderedPageBreak/>
        <w:t xml:space="preserve">En la etapa de manifestaciones el </w:t>
      </w:r>
      <w:r w:rsidRPr="00614F2E">
        <w:rPr>
          <w:rFonts w:ascii="Palatino Linotype" w:eastAsia="Palatino Linotype" w:hAnsi="Palatino Linotype" w:cs="Palatino Linotype"/>
          <w:b/>
        </w:rPr>
        <w:t xml:space="preserve">Sujeto Obligado </w:t>
      </w:r>
      <w:r w:rsidRPr="00614F2E">
        <w:rPr>
          <w:rFonts w:ascii="Palatino Linotype" w:eastAsia="Palatino Linotype" w:hAnsi="Palatino Linotype" w:cs="Palatino Linotype"/>
        </w:rPr>
        <w:t>ratificó en lo sustancial la respuesta proporcionada en primera instancia por las personas servidoras públicas de la Secretaría del Ayuntamiento y la Consejería Jurídica.</w:t>
      </w:r>
    </w:p>
    <w:p w14:paraId="7A969AA5" w14:textId="77777777" w:rsidR="001254C0" w:rsidRPr="00614F2E" w:rsidRDefault="00DA026C">
      <w:pPr>
        <w:spacing w:before="240" w:after="240"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rPr>
        <w:t>Además de haber adjuntado el oficio SA/CJ/0443/2025, mediante el cual la persona servidora pública de la Consejería Jurídica, refirió que la solicitud de información fue atendida en tiempo y forma, toda vez que se le informo al solicitante que se adjunta la respuesta, en la cual se manifestó que derivado de una búsqueda exhaustiva no se encontraron documentales de lo solicitado al no corresponder a las atribuciones de la Coordinación Jurídica y de la Consejería Jurídica, ratificando la respuesta inicial.</w:t>
      </w:r>
    </w:p>
    <w:p w14:paraId="7EB7979C" w14:textId="77777777" w:rsidR="001254C0" w:rsidRPr="00614F2E" w:rsidRDefault="00DA026C">
      <w:pPr>
        <w:spacing w:before="240" w:after="240"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rPr>
        <w:t xml:space="preserve">Mientras que la parte </w:t>
      </w:r>
      <w:r w:rsidRPr="00614F2E">
        <w:rPr>
          <w:rFonts w:ascii="Palatino Linotype" w:eastAsia="Palatino Linotype" w:hAnsi="Palatino Linotype" w:cs="Palatino Linotype"/>
          <w:b/>
        </w:rPr>
        <w:t xml:space="preserve">Recurrente, </w:t>
      </w:r>
      <w:r w:rsidRPr="00614F2E">
        <w:rPr>
          <w:rFonts w:ascii="Palatino Linotype" w:eastAsia="Palatino Linotype" w:hAnsi="Palatino Linotype" w:cs="Palatino Linotype"/>
        </w:rPr>
        <w:t>fue omisa en hacer valer manifestaciones o rendir alegatos que conforme a derecho resultaran procedentes, por lo tanto, se tiene por precluido su derecho.</w:t>
      </w:r>
    </w:p>
    <w:p w14:paraId="64403C9F" w14:textId="77777777" w:rsidR="001254C0" w:rsidRPr="00614F2E" w:rsidRDefault="00DA026C">
      <w:pPr>
        <w:spacing w:before="280" w:after="280"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rPr>
        <w:t xml:space="preserve">Una vez establecidas las posturas de las partes, se procede al análisis del requerimiento de información combatido, así como la información proporcionada por el </w:t>
      </w:r>
      <w:r w:rsidRPr="00614F2E">
        <w:rPr>
          <w:rFonts w:ascii="Palatino Linotype" w:eastAsia="Palatino Linotype" w:hAnsi="Palatino Linotype" w:cs="Palatino Linotype"/>
          <w:b/>
        </w:rPr>
        <w:t xml:space="preserve">Sujeto Obligado, </w:t>
      </w:r>
      <w:r w:rsidRPr="00614F2E">
        <w:rPr>
          <w:rFonts w:ascii="Palatino Linotype" w:eastAsia="Palatino Linotype" w:hAnsi="Palatino Linotype" w:cs="Palatino Linotype"/>
        </w:rPr>
        <w:t xml:space="preserve">en contraposición con el motivo de inconformidad alegado por la parte </w:t>
      </w:r>
      <w:r w:rsidRPr="00614F2E">
        <w:rPr>
          <w:rFonts w:ascii="Palatino Linotype" w:eastAsia="Palatino Linotype" w:hAnsi="Palatino Linotype" w:cs="Palatino Linotype"/>
          <w:b/>
        </w:rPr>
        <w:t xml:space="preserve">Recurrente, </w:t>
      </w:r>
      <w:r w:rsidRPr="00614F2E">
        <w:rPr>
          <w:rFonts w:ascii="Palatino Linotype" w:eastAsia="Palatino Linotype" w:hAnsi="Palatino Linotype" w:cs="Palatino Linotype"/>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0F6290D5" w14:textId="77777777" w:rsidR="001254C0" w:rsidRPr="00614F2E" w:rsidRDefault="00DA026C">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rPr>
        <w:t xml:space="preserve">Ahora bien, en principio es imprescindible mencionar que las Unidades de Transparencia, son el área responsable en cada Sujeto Obligado para dar atención a </w:t>
      </w:r>
      <w:r w:rsidRPr="00614F2E">
        <w:rPr>
          <w:rFonts w:ascii="Palatino Linotype" w:eastAsia="Palatino Linotype" w:hAnsi="Palatino Linotype" w:cs="Palatino Linotype"/>
        </w:rPr>
        <w:lastRenderedPageBreak/>
        <w:t>las solicitudes de información que se realicen al amparo de la Ley, el responsable de dicha área funge como enlace entre el Sujeto Obligado y los solicitantes, y tiene bajo su responsabilidad el tramitar internamente la solicitud de información.</w:t>
      </w:r>
    </w:p>
    <w:p w14:paraId="535AF286" w14:textId="77777777" w:rsidR="001254C0" w:rsidRPr="00614F2E" w:rsidRDefault="00DA026C">
      <w:pPr>
        <w:spacing w:before="240" w:after="240"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6316F2E4" w14:textId="77777777" w:rsidR="001254C0" w:rsidRPr="00614F2E" w:rsidRDefault="00DA026C">
      <w:pPr>
        <w:spacing w:before="240" w:after="240" w:line="360" w:lineRule="auto"/>
        <w:ind w:right="51"/>
        <w:jc w:val="both"/>
        <w:rPr>
          <w:rFonts w:ascii="Palatino Linotype" w:eastAsia="Palatino Linotype" w:hAnsi="Palatino Linotype" w:cs="Palatino Linotype"/>
        </w:rPr>
      </w:pPr>
      <w:r w:rsidRPr="00614F2E">
        <w:rPr>
          <w:rFonts w:ascii="Palatino Linotype" w:eastAsia="Palatino Linotype" w:hAnsi="Palatino Linotype" w:cs="Palatino Linotype"/>
        </w:rPr>
        <w:t xml:space="preserve">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w:t>
      </w:r>
      <w:r w:rsidRPr="00614F2E">
        <w:rPr>
          <w:rFonts w:ascii="Palatino Linotype" w:eastAsia="Palatino Linotype" w:hAnsi="Palatino Linotype" w:cs="Palatino Linotype"/>
        </w:rPr>
        <w:lastRenderedPageBreak/>
        <w:t>de la Ley de la Ley de Transparencia y Acceso a la Información Pública del Estado de México y Municipios.</w:t>
      </w:r>
    </w:p>
    <w:p w14:paraId="02710A78" w14:textId="77777777" w:rsidR="001254C0" w:rsidRPr="00614F2E" w:rsidRDefault="00DA026C">
      <w:pPr>
        <w:spacing w:before="240" w:after="240"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45AB57D0" w14:textId="77777777" w:rsidR="001254C0" w:rsidRPr="00614F2E" w:rsidRDefault="00DA026C">
      <w:pPr>
        <w:spacing w:before="280" w:after="280"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rPr>
        <w:t>En el caso particular, es de recordar que la Unidad de Transparencia turnó la solicitud la Secretaría del Ayuntamiento y a la Consejería Jurídica, como las áreas competentes para contar con la información solicitada.</w:t>
      </w:r>
    </w:p>
    <w:p w14:paraId="5954A593" w14:textId="77777777" w:rsidR="001254C0" w:rsidRPr="00614F2E" w:rsidRDefault="00DA026C">
      <w:pPr>
        <w:spacing w:before="280" w:after="280"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rPr>
        <w:t xml:space="preserve">En este tenor, no obsta mencionar que la Secretaría del Ayuntamiento es la dependencia de la administración pública municipal que tiene a su cargo los libros de las actas de cabildo, el archivo municipal, asimismo, </w:t>
      </w:r>
      <w:r w:rsidRPr="00614F2E">
        <w:rPr>
          <w:rFonts w:ascii="Palatino Linotype" w:eastAsia="Palatino Linotype" w:hAnsi="Palatino Linotype" w:cs="Palatino Linotype"/>
          <w:b/>
        </w:rPr>
        <w:t>elabora con la intervención del síndico el inventario general de los bienes muebles e inmuebles municipales</w:t>
      </w:r>
      <w:r w:rsidRPr="00614F2E">
        <w:rPr>
          <w:rFonts w:ascii="Palatino Linotype" w:eastAsia="Palatino Linotype" w:hAnsi="Palatino Linotype" w:cs="Palatino Linotype"/>
        </w:rPr>
        <w:t xml:space="preserve">, </w:t>
      </w:r>
      <w:r w:rsidRPr="00614F2E">
        <w:rPr>
          <w:rFonts w:ascii="Palatino Linotype" w:eastAsia="Palatino Linotype" w:hAnsi="Palatino Linotype" w:cs="Palatino Linotype"/>
          <w:b/>
        </w:rPr>
        <w:t>e integra el sistema de información inmobiliaria</w:t>
      </w:r>
      <w:r w:rsidRPr="00614F2E">
        <w:rPr>
          <w:rFonts w:ascii="Palatino Linotype" w:eastAsia="Palatino Linotype" w:hAnsi="Palatino Linotype" w:cs="Palatino Linotype"/>
        </w:rPr>
        <w:t xml:space="preserve">, </w:t>
      </w:r>
      <w:r w:rsidRPr="00614F2E">
        <w:rPr>
          <w:rFonts w:ascii="Palatino Linotype" w:eastAsia="Palatino Linotype" w:hAnsi="Palatino Linotype" w:cs="Palatino Linotype"/>
          <w:b/>
        </w:rPr>
        <w:t>que contemple los bienes del dominio público y privado</w:t>
      </w:r>
      <w:r w:rsidRPr="00614F2E">
        <w:rPr>
          <w:rFonts w:ascii="Palatino Linotype" w:eastAsia="Palatino Linotype" w:hAnsi="Palatino Linotype" w:cs="Palatino Linotype"/>
        </w:rPr>
        <w:t>, de conformidad con el artículo 91, fracciones VI, VI y XI, de la Ley Orgánica Municipal del Estado de México a saber:</w:t>
      </w:r>
    </w:p>
    <w:p w14:paraId="1F60CF2C" w14:textId="77777777" w:rsidR="001254C0" w:rsidRPr="00614F2E" w:rsidRDefault="00DA026C">
      <w:pPr>
        <w:spacing w:before="120" w:after="120"/>
        <w:ind w:left="851"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i/>
          <w:sz w:val="22"/>
          <w:szCs w:val="22"/>
        </w:rPr>
        <w:t>“</w:t>
      </w:r>
      <w:r w:rsidRPr="00614F2E">
        <w:rPr>
          <w:rFonts w:ascii="Palatino Linotype" w:eastAsia="Palatino Linotype" w:hAnsi="Palatino Linotype" w:cs="Palatino Linotype"/>
          <w:b/>
          <w:i/>
          <w:sz w:val="22"/>
          <w:szCs w:val="22"/>
        </w:rPr>
        <w:t>Artículo 91</w:t>
      </w:r>
      <w:r w:rsidRPr="00614F2E">
        <w:rPr>
          <w:rFonts w:ascii="Palatino Linotype" w:eastAsia="Palatino Linotype" w:hAnsi="Palatino Linotype" w:cs="Palatino Linotype"/>
          <w:i/>
          <w:sz w:val="22"/>
          <w:szCs w:val="22"/>
        </w:rPr>
        <w:t>.-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5FF88B7F" w14:textId="77777777" w:rsidR="001254C0" w:rsidRPr="00614F2E" w:rsidRDefault="00DA026C">
      <w:pPr>
        <w:spacing w:before="120" w:after="120"/>
        <w:ind w:left="851"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lastRenderedPageBreak/>
        <w:t>IV</w:t>
      </w:r>
      <w:r w:rsidRPr="00614F2E">
        <w:rPr>
          <w:rFonts w:ascii="Palatino Linotype" w:eastAsia="Palatino Linotype" w:hAnsi="Palatino Linotype" w:cs="Palatino Linotype"/>
          <w:i/>
          <w:sz w:val="22"/>
          <w:szCs w:val="22"/>
        </w:rPr>
        <w:t>. Llevar y conservar los libros de actas de cabildo, obteniendo las firmas de los asistentes a las sesiones;</w:t>
      </w:r>
    </w:p>
    <w:p w14:paraId="5D0C7009" w14:textId="77777777" w:rsidR="001254C0" w:rsidRPr="00614F2E" w:rsidRDefault="00DA026C">
      <w:pPr>
        <w:spacing w:before="120" w:after="120"/>
        <w:ind w:left="851"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i/>
          <w:sz w:val="22"/>
          <w:szCs w:val="22"/>
        </w:rPr>
        <w:t>…</w:t>
      </w:r>
    </w:p>
    <w:p w14:paraId="4132EE7F" w14:textId="77777777" w:rsidR="001254C0" w:rsidRPr="00614F2E" w:rsidRDefault="00DA026C">
      <w:pPr>
        <w:spacing w:before="120" w:after="120"/>
        <w:ind w:left="851" w:right="902"/>
        <w:jc w:val="both"/>
      </w:pPr>
      <w:r w:rsidRPr="00614F2E">
        <w:rPr>
          <w:rFonts w:ascii="Palatino Linotype" w:eastAsia="Palatino Linotype" w:hAnsi="Palatino Linotype" w:cs="Palatino Linotype"/>
          <w:b/>
          <w:i/>
          <w:sz w:val="22"/>
          <w:szCs w:val="22"/>
        </w:rPr>
        <w:t>VI.</w:t>
      </w:r>
      <w:r w:rsidRPr="00614F2E">
        <w:rPr>
          <w:rFonts w:ascii="Palatino Linotype" w:eastAsia="Palatino Linotype" w:hAnsi="Palatino Linotype" w:cs="Palatino Linotype"/>
          <w:i/>
          <w:sz w:val="22"/>
          <w:szCs w:val="22"/>
        </w:rPr>
        <w:t xml:space="preserve"> Tener a su cargo el archivo general del ayuntamiento</w:t>
      </w:r>
      <w:r w:rsidRPr="00614F2E">
        <w:t>;</w:t>
      </w:r>
    </w:p>
    <w:p w14:paraId="59F4672F" w14:textId="77777777" w:rsidR="001254C0" w:rsidRPr="00614F2E" w:rsidRDefault="00DA026C">
      <w:pPr>
        <w:spacing w:before="120" w:after="120"/>
        <w:ind w:left="851"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i/>
          <w:sz w:val="22"/>
          <w:szCs w:val="22"/>
        </w:rPr>
        <w:t>…</w:t>
      </w:r>
    </w:p>
    <w:p w14:paraId="1027693E" w14:textId="77777777" w:rsidR="001254C0" w:rsidRPr="00614F2E" w:rsidRDefault="00DA026C">
      <w:pPr>
        <w:spacing w:before="120" w:after="120"/>
        <w:ind w:left="851"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t>XI</w:t>
      </w:r>
      <w:r w:rsidRPr="00614F2E">
        <w:rPr>
          <w:rFonts w:ascii="Palatino Linotype" w:eastAsia="Palatino Linotype" w:hAnsi="Palatino Linotype" w:cs="Palatino Linotype"/>
          <w:i/>
          <w:sz w:val="22"/>
          <w:szCs w:val="22"/>
        </w:rPr>
        <w:t xml:space="preserve">.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 </w:t>
      </w:r>
    </w:p>
    <w:p w14:paraId="52FD29F7" w14:textId="77777777" w:rsidR="001254C0" w:rsidRPr="00614F2E" w:rsidRDefault="00DA026C">
      <w:pPr>
        <w:spacing w:before="120" w:after="120"/>
        <w:ind w:left="851"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i/>
          <w:sz w:val="22"/>
          <w:szCs w:val="22"/>
        </w:rPr>
        <w:t>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w:t>
      </w:r>
    </w:p>
    <w:p w14:paraId="553FDCA5" w14:textId="77777777" w:rsidR="001254C0" w:rsidRPr="00614F2E" w:rsidRDefault="00DA026C">
      <w:pPr>
        <w:spacing w:before="280" w:after="280"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rPr>
        <w:t xml:space="preserve">En los mismos términos el artículo 3.13 del Código Reglamentario Municipal de Toluca, confiere a la Secretaría del Ayuntamiento, las siguientes atribuciones en su parte conducente: </w:t>
      </w:r>
    </w:p>
    <w:p w14:paraId="0E007FB5" w14:textId="77777777" w:rsidR="001254C0" w:rsidRPr="00614F2E" w:rsidRDefault="00DA026C">
      <w:pPr>
        <w:spacing w:before="120" w:after="120"/>
        <w:ind w:left="851"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t>“Artículo 3.13</w:t>
      </w:r>
      <w:r w:rsidRPr="00614F2E">
        <w:rPr>
          <w:rFonts w:ascii="Palatino Linotype" w:eastAsia="Palatino Linotype" w:hAnsi="Palatino Linotype" w:cs="Palatino Linotype"/>
          <w:i/>
          <w:sz w:val="22"/>
          <w:szCs w:val="22"/>
        </w:rPr>
        <w:t>. A la o el titular de la Secretaría del Ayuntamiento le corresponde, además de las atribuciones que le confiere la Ley Orgánica Municipal, el despacho de los siguientes asuntos:</w:t>
      </w:r>
    </w:p>
    <w:p w14:paraId="44300D75" w14:textId="77777777" w:rsidR="001254C0" w:rsidRPr="00614F2E" w:rsidRDefault="00DA026C">
      <w:pPr>
        <w:spacing w:before="120" w:after="120"/>
        <w:ind w:left="851"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i/>
          <w:sz w:val="22"/>
          <w:szCs w:val="22"/>
        </w:rPr>
        <w:t>…</w:t>
      </w:r>
    </w:p>
    <w:p w14:paraId="02811F05" w14:textId="77777777" w:rsidR="001254C0" w:rsidRPr="00614F2E" w:rsidRDefault="00DA026C">
      <w:pPr>
        <w:spacing w:before="120" w:after="120"/>
        <w:ind w:left="851" w:right="902"/>
        <w:jc w:val="both"/>
        <w:rPr>
          <w:rFonts w:ascii="Palatino Linotype" w:eastAsia="Palatino Linotype" w:hAnsi="Palatino Linotype" w:cs="Palatino Linotype"/>
          <w:b/>
          <w:i/>
          <w:sz w:val="22"/>
          <w:szCs w:val="22"/>
        </w:rPr>
      </w:pPr>
      <w:r w:rsidRPr="00614F2E">
        <w:rPr>
          <w:rFonts w:ascii="Palatino Linotype" w:eastAsia="Palatino Linotype" w:hAnsi="Palatino Linotype" w:cs="Palatino Linotype"/>
          <w:b/>
          <w:i/>
          <w:sz w:val="22"/>
          <w:szCs w:val="22"/>
        </w:rPr>
        <w:t>XXI.</w:t>
      </w:r>
      <w:r w:rsidRPr="00614F2E">
        <w:rPr>
          <w:rFonts w:ascii="Palatino Linotype" w:eastAsia="Palatino Linotype" w:hAnsi="Palatino Linotype" w:cs="Palatino Linotype"/>
          <w:i/>
          <w:sz w:val="22"/>
          <w:szCs w:val="22"/>
        </w:rPr>
        <w:t xml:space="preserve"> </w:t>
      </w:r>
      <w:r w:rsidRPr="00614F2E">
        <w:rPr>
          <w:rFonts w:ascii="Palatino Linotype" w:eastAsia="Palatino Linotype" w:hAnsi="Palatino Linotype" w:cs="Palatino Linotype"/>
          <w:b/>
          <w:i/>
          <w:sz w:val="22"/>
          <w:szCs w:val="22"/>
          <w:u w:val="single"/>
        </w:rPr>
        <w:t>Mantener actualizado el inventario general de bienes muebles e inmuebles propiedad del municipio, en coordinación con la o el segundo síndico</w:t>
      </w:r>
      <w:r w:rsidRPr="00614F2E">
        <w:rPr>
          <w:rFonts w:ascii="Palatino Linotype" w:eastAsia="Palatino Linotype" w:hAnsi="Palatino Linotype" w:cs="Palatino Linotype"/>
          <w:i/>
          <w:sz w:val="22"/>
          <w:szCs w:val="22"/>
        </w:rPr>
        <w:t>; así como expedir las constancias de no adeudo de bienes muebles solicitadas por los servidores públicos salientes, en coordinación con la Dirección General de Administración;</w:t>
      </w:r>
      <w:r w:rsidRPr="00614F2E">
        <w:rPr>
          <w:rFonts w:ascii="Palatino Linotype" w:eastAsia="Palatino Linotype" w:hAnsi="Palatino Linotype" w:cs="Palatino Linotype"/>
          <w:b/>
          <w:i/>
          <w:sz w:val="22"/>
          <w:szCs w:val="22"/>
        </w:rPr>
        <w:t xml:space="preserve"> </w:t>
      </w:r>
    </w:p>
    <w:p w14:paraId="2E8FAA4E" w14:textId="77777777" w:rsidR="001254C0" w:rsidRPr="00614F2E" w:rsidRDefault="00DA026C">
      <w:pPr>
        <w:spacing w:before="120" w:after="120"/>
        <w:ind w:left="851"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t>XXII.</w:t>
      </w:r>
      <w:r w:rsidRPr="00614F2E">
        <w:rPr>
          <w:rFonts w:ascii="Palatino Linotype" w:eastAsia="Palatino Linotype" w:hAnsi="Palatino Linotype" w:cs="Palatino Linotype"/>
          <w:i/>
          <w:sz w:val="22"/>
          <w:szCs w:val="22"/>
        </w:rPr>
        <w:t xml:space="preserve"> </w:t>
      </w:r>
      <w:r w:rsidRPr="00614F2E">
        <w:rPr>
          <w:rFonts w:ascii="Palatino Linotype" w:eastAsia="Palatino Linotype" w:hAnsi="Palatino Linotype" w:cs="Palatino Linotype"/>
          <w:b/>
          <w:i/>
          <w:sz w:val="22"/>
          <w:szCs w:val="22"/>
          <w:u w:val="single"/>
        </w:rPr>
        <w:t>Verificar la integración y actualización permanente de los libros de patrimonio inmobiliario</w:t>
      </w:r>
      <w:r w:rsidRPr="00614F2E">
        <w:rPr>
          <w:rFonts w:ascii="Palatino Linotype" w:eastAsia="Palatino Linotype" w:hAnsi="Palatino Linotype" w:cs="Palatino Linotype"/>
          <w:i/>
          <w:sz w:val="22"/>
          <w:szCs w:val="22"/>
        </w:rPr>
        <w:t xml:space="preserve">, </w:t>
      </w:r>
      <w:r w:rsidRPr="00614F2E">
        <w:rPr>
          <w:rFonts w:ascii="Palatino Linotype" w:eastAsia="Palatino Linotype" w:hAnsi="Palatino Linotype" w:cs="Palatino Linotype"/>
          <w:b/>
          <w:i/>
          <w:sz w:val="22"/>
          <w:szCs w:val="22"/>
        </w:rPr>
        <w:t>registrando las modificaciones por enajenación, cancelación, permutas, o cualquier circunstancia que se derive de los movimientos efectuados con los predios o inmuebles propiedad del municipio</w:t>
      </w:r>
      <w:r w:rsidRPr="00614F2E">
        <w:rPr>
          <w:rFonts w:ascii="Palatino Linotype" w:eastAsia="Palatino Linotype" w:hAnsi="Palatino Linotype" w:cs="Palatino Linotype"/>
          <w:i/>
          <w:sz w:val="22"/>
          <w:szCs w:val="22"/>
        </w:rPr>
        <w:t>;”</w:t>
      </w:r>
    </w:p>
    <w:p w14:paraId="5885419C" w14:textId="77777777" w:rsidR="001254C0" w:rsidRPr="00614F2E" w:rsidRDefault="00DA026C">
      <w:pPr>
        <w:spacing w:before="280" w:after="280"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rPr>
        <w:lastRenderedPageBreak/>
        <w:t xml:space="preserve">Para el cumplimiento de sus atribuciones, el artículo 3.14 de Código Reglamentario dispone que la Secretaría del Ayuntamiento se auxilia de las siguientes áreas: Coordinación de Apoyo Técnico; Delegación Administrativa; Coordinación de Apoyo al Sistema Municipal Anticorrupción; </w:t>
      </w:r>
      <w:r w:rsidRPr="00614F2E">
        <w:rPr>
          <w:rFonts w:ascii="Palatino Linotype" w:eastAsia="Palatino Linotype" w:hAnsi="Palatino Linotype" w:cs="Palatino Linotype"/>
          <w:b/>
        </w:rPr>
        <w:t xml:space="preserve">Consejería Jurídica; </w:t>
      </w:r>
      <w:r w:rsidRPr="00614F2E">
        <w:rPr>
          <w:rFonts w:ascii="Palatino Linotype" w:eastAsia="Palatino Linotype" w:hAnsi="Palatino Linotype" w:cs="Palatino Linotype"/>
        </w:rPr>
        <w:t>Coordinación de Apoyo a Cabildo; Departamento de Patrimonio Municipal; Departamento de Constancias de Vecindad y Certificaciones; Preceptoría Juvenil Regional de Reintegración Social; Unidad de Transparencia; Coordinación de Atención Ciudadana y Correspondencia; y  Coordinación de Protección Civil y Bomberos.</w:t>
      </w:r>
    </w:p>
    <w:p w14:paraId="0B32F543" w14:textId="77777777" w:rsidR="001254C0" w:rsidRPr="00614F2E" w:rsidRDefault="00DA026C">
      <w:pPr>
        <w:spacing w:before="280" w:after="280"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rPr>
        <w:t xml:space="preserve">Por su parte, la </w:t>
      </w:r>
      <w:r w:rsidRPr="00614F2E">
        <w:rPr>
          <w:rFonts w:ascii="Palatino Linotype" w:eastAsia="Palatino Linotype" w:hAnsi="Palatino Linotype" w:cs="Palatino Linotype"/>
          <w:b/>
        </w:rPr>
        <w:t>Consejería Jurídica</w:t>
      </w:r>
      <w:r w:rsidRPr="00614F2E">
        <w:rPr>
          <w:rFonts w:ascii="Palatino Linotype" w:eastAsia="Palatino Linotype" w:hAnsi="Palatino Linotype" w:cs="Palatino Linotype"/>
        </w:rPr>
        <w:t xml:space="preserve">, es responsable de coadyuvar con los Síndicos Municipales en los procedimientos que por disposición de ley deban conocer, tramitar y resolver; recuperar bienes del dominio público o privado del municipio mediante el procedimiento establecido en el artículo 27 Bis de la Ley de Bienes del Estado de México y sus Municipios, con la colaboración de las áreas del Ayuntamiento que de acuerdo a sus atribuciones considere necesarias, entre otras atribuciones. Además, la Consejería Jurídica se integra de la Coordinación Jurídica, en términos de los artículos 3.15 y 3.16 del Código Reglamentario Municipal. </w:t>
      </w:r>
    </w:p>
    <w:p w14:paraId="3CF7BAEB" w14:textId="77777777" w:rsidR="001254C0" w:rsidRPr="00614F2E" w:rsidRDefault="00DA026C">
      <w:pPr>
        <w:spacing w:before="280" w:after="280"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rPr>
        <w:t xml:space="preserve">Mientras que el Departamento de Patrimonio Municipal, según dispone el código estructural 201012001 del Manual de Organización de la Secretaria del Ayuntamiento, tiene como objetivo </w:t>
      </w:r>
      <w:r w:rsidRPr="00614F2E">
        <w:rPr>
          <w:rFonts w:ascii="Palatino Linotype" w:eastAsia="Palatino Linotype" w:hAnsi="Palatino Linotype" w:cs="Palatino Linotype"/>
          <w:b/>
        </w:rPr>
        <w:t>llevar a cabo actos tendientes a la tramitación y seguimiento, hasta la total terminación, de los asuntos</w:t>
      </w:r>
      <w:r w:rsidRPr="00614F2E">
        <w:rPr>
          <w:rFonts w:ascii="Palatino Linotype" w:eastAsia="Palatino Linotype" w:hAnsi="Palatino Linotype" w:cs="Palatino Linotype"/>
        </w:rPr>
        <w:t xml:space="preserve"> </w:t>
      </w:r>
      <w:r w:rsidRPr="00614F2E">
        <w:rPr>
          <w:rFonts w:ascii="Palatino Linotype" w:eastAsia="Palatino Linotype" w:hAnsi="Palatino Linotype" w:cs="Palatino Linotype"/>
          <w:b/>
        </w:rPr>
        <w:t>civiles, mercantiles y agrarios,</w:t>
      </w:r>
      <w:r w:rsidRPr="00614F2E">
        <w:rPr>
          <w:rFonts w:ascii="Palatino Linotype" w:eastAsia="Palatino Linotype" w:hAnsi="Palatino Linotype" w:cs="Palatino Linotype"/>
        </w:rPr>
        <w:t xml:space="preserve"> </w:t>
      </w:r>
      <w:r w:rsidRPr="00614F2E">
        <w:rPr>
          <w:rFonts w:ascii="Palatino Linotype" w:eastAsia="Palatino Linotype" w:hAnsi="Palatino Linotype" w:cs="Palatino Linotype"/>
          <w:b/>
        </w:rPr>
        <w:t xml:space="preserve">referentes a la tenencia de la tierra y al núcleo ejidal, que se generan en el Ayuntamiento de Toluca, que desahogue la </w:t>
      </w:r>
      <w:r w:rsidRPr="00614F2E">
        <w:rPr>
          <w:rFonts w:ascii="Palatino Linotype" w:eastAsia="Palatino Linotype" w:hAnsi="Palatino Linotype" w:cs="Palatino Linotype"/>
          <w:b/>
          <w:u w:val="single"/>
        </w:rPr>
        <w:t>Consejería Jurídica</w:t>
      </w:r>
      <w:r w:rsidRPr="00614F2E">
        <w:rPr>
          <w:rFonts w:ascii="Palatino Linotype" w:eastAsia="Palatino Linotype" w:hAnsi="Palatino Linotype" w:cs="Palatino Linotype"/>
          <w:b/>
        </w:rPr>
        <w:t xml:space="preserve"> ante las autoridades judiciales</w:t>
      </w:r>
      <w:r w:rsidRPr="00614F2E">
        <w:rPr>
          <w:rFonts w:ascii="Palatino Linotype" w:eastAsia="Palatino Linotype" w:hAnsi="Palatino Linotype" w:cs="Palatino Linotype"/>
        </w:rPr>
        <w:t xml:space="preserve">; así como </w:t>
      </w:r>
      <w:r w:rsidRPr="00614F2E">
        <w:rPr>
          <w:rFonts w:ascii="Palatino Linotype" w:eastAsia="Palatino Linotype" w:hAnsi="Palatino Linotype" w:cs="Palatino Linotype"/>
          <w:b/>
          <w:u w:val="single"/>
        </w:rPr>
        <w:t xml:space="preserve">regularizar los bienes pertenecientes al </w:t>
      </w:r>
      <w:r w:rsidRPr="00614F2E">
        <w:rPr>
          <w:rFonts w:ascii="Palatino Linotype" w:eastAsia="Palatino Linotype" w:hAnsi="Palatino Linotype" w:cs="Palatino Linotype"/>
          <w:b/>
          <w:u w:val="single"/>
        </w:rPr>
        <w:lastRenderedPageBreak/>
        <w:t>patrimonio inmobiliario municipal,</w:t>
      </w:r>
      <w:r w:rsidRPr="00614F2E">
        <w:rPr>
          <w:rFonts w:ascii="Palatino Linotype" w:eastAsia="Palatino Linotype" w:hAnsi="Palatino Linotype" w:cs="Palatino Linotype"/>
        </w:rPr>
        <w:t xml:space="preserve"> por </w:t>
      </w:r>
      <w:r w:rsidRPr="00614F2E">
        <w:rPr>
          <w:rFonts w:ascii="Palatino Linotype" w:eastAsia="Palatino Linotype" w:hAnsi="Palatino Linotype" w:cs="Palatino Linotype"/>
          <w:b/>
        </w:rPr>
        <w:t>medio de Inmatriculación Administrativa y/o trámites requeridos para subdivisiones y desincorporaciones de inmuebles municipales</w:t>
      </w:r>
      <w:r w:rsidRPr="00614F2E">
        <w:rPr>
          <w:rFonts w:ascii="Palatino Linotype" w:eastAsia="Palatino Linotype" w:hAnsi="Palatino Linotype" w:cs="Palatino Linotype"/>
        </w:rPr>
        <w:t xml:space="preserve">, que hoy en día están en posesión y uso a cargo de terceros, </w:t>
      </w:r>
      <w:r w:rsidRPr="00614F2E">
        <w:rPr>
          <w:rFonts w:ascii="Palatino Linotype" w:eastAsia="Palatino Linotype" w:hAnsi="Palatino Linotype" w:cs="Palatino Linotype"/>
          <w:b/>
        </w:rPr>
        <w:t>para darle certeza jurídica al patrimonio del Municipio de Toluca</w:t>
      </w:r>
      <w:r w:rsidRPr="00614F2E">
        <w:rPr>
          <w:rFonts w:ascii="Palatino Linotype" w:eastAsia="Palatino Linotype" w:hAnsi="Palatino Linotype" w:cs="Palatino Linotype"/>
        </w:rPr>
        <w:t>, entre  cuyas atribuciones se encuentran las siguientes:</w:t>
      </w:r>
    </w:p>
    <w:p w14:paraId="06CAB054" w14:textId="77777777" w:rsidR="001254C0" w:rsidRPr="00614F2E" w:rsidRDefault="00DA026C">
      <w:pPr>
        <w:spacing w:before="280" w:after="280" w:line="360" w:lineRule="auto"/>
        <w:ind w:left="284"/>
        <w:jc w:val="both"/>
        <w:rPr>
          <w:rFonts w:ascii="Palatino Linotype" w:eastAsia="Palatino Linotype" w:hAnsi="Palatino Linotype" w:cs="Palatino Linotype"/>
        </w:rPr>
      </w:pPr>
      <w:r w:rsidRPr="00614F2E">
        <w:rPr>
          <w:rFonts w:ascii="Palatino Linotype" w:eastAsia="Palatino Linotype" w:hAnsi="Palatino Linotype" w:cs="Palatino Linotype"/>
        </w:rPr>
        <w:t>- Ejecutar, registrar e informar la regularización por la vía judicial o administrativa de los bienes inmuebles patrimonio del municipio;</w:t>
      </w:r>
    </w:p>
    <w:p w14:paraId="28DB29A9" w14:textId="77777777" w:rsidR="001254C0" w:rsidRPr="00614F2E" w:rsidRDefault="00DA026C">
      <w:pPr>
        <w:spacing w:before="280" w:after="280" w:line="360" w:lineRule="auto"/>
        <w:ind w:left="284"/>
        <w:jc w:val="both"/>
        <w:rPr>
          <w:rFonts w:ascii="Palatino Linotype" w:eastAsia="Palatino Linotype" w:hAnsi="Palatino Linotype" w:cs="Palatino Linotype"/>
        </w:rPr>
      </w:pPr>
      <w:r w:rsidRPr="00614F2E">
        <w:rPr>
          <w:rFonts w:ascii="Palatino Linotype" w:eastAsia="Palatino Linotype" w:hAnsi="Palatino Linotype" w:cs="Palatino Linotype"/>
        </w:rPr>
        <w:t>- Implementar la búsqueda y análisis de documentación de las constancias y/o expedientes de cada predio perteneciente al patrimonio municipal;</w:t>
      </w:r>
    </w:p>
    <w:p w14:paraId="7AD9F323" w14:textId="77777777" w:rsidR="001254C0" w:rsidRPr="00614F2E" w:rsidRDefault="00DA026C">
      <w:pPr>
        <w:spacing w:before="280" w:after="280" w:line="360" w:lineRule="auto"/>
        <w:ind w:left="284"/>
        <w:jc w:val="both"/>
        <w:rPr>
          <w:rFonts w:ascii="Palatino Linotype" w:eastAsia="Palatino Linotype" w:hAnsi="Palatino Linotype" w:cs="Palatino Linotype"/>
        </w:rPr>
      </w:pPr>
      <w:r w:rsidRPr="00614F2E">
        <w:rPr>
          <w:rFonts w:ascii="Palatino Linotype" w:eastAsia="Palatino Linotype" w:hAnsi="Palatino Linotype" w:cs="Palatino Linotype"/>
        </w:rPr>
        <w:t>- Identificar trámites y procedimientos a seguir en caso de inmatriculación administrativa, subdivisión y desincorporación;</w:t>
      </w:r>
    </w:p>
    <w:p w14:paraId="16516F24" w14:textId="77777777" w:rsidR="001254C0" w:rsidRPr="00614F2E" w:rsidRDefault="00DA026C">
      <w:pPr>
        <w:spacing w:before="280" w:after="280" w:line="360" w:lineRule="auto"/>
        <w:ind w:left="284"/>
        <w:jc w:val="both"/>
        <w:rPr>
          <w:rFonts w:ascii="Palatino Linotype" w:eastAsia="Palatino Linotype" w:hAnsi="Palatino Linotype" w:cs="Palatino Linotype"/>
        </w:rPr>
      </w:pPr>
      <w:r w:rsidRPr="00614F2E">
        <w:rPr>
          <w:rFonts w:ascii="Palatino Linotype" w:eastAsia="Palatino Linotype" w:hAnsi="Palatino Linotype" w:cs="Palatino Linotype"/>
        </w:rPr>
        <w:t>- Organizar y dar seguimiento a las búsquedas, análisis e investigación en el Instituto de la Función Registral del Estado de México, sobre los predios que cuentan con título de propiedad para posible subdivisión y/o desincorporación;</w:t>
      </w:r>
    </w:p>
    <w:p w14:paraId="4D21816F" w14:textId="77777777" w:rsidR="001254C0" w:rsidRPr="00614F2E" w:rsidRDefault="00DA026C">
      <w:pPr>
        <w:spacing w:before="280" w:after="280" w:line="360" w:lineRule="auto"/>
        <w:ind w:left="284"/>
        <w:jc w:val="both"/>
        <w:rPr>
          <w:rFonts w:ascii="Palatino Linotype" w:eastAsia="Palatino Linotype" w:hAnsi="Palatino Linotype" w:cs="Palatino Linotype"/>
        </w:rPr>
      </w:pPr>
      <w:r w:rsidRPr="00614F2E">
        <w:rPr>
          <w:rFonts w:ascii="Palatino Linotype" w:eastAsia="Palatino Linotype" w:hAnsi="Palatino Linotype" w:cs="Palatino Linotype"/>
        </w:rPr>
        <w:t>- Organizar, dirigir, controlar y dar seguimiento a los trámites de inmatriculación administrativa, subdivisión y desincorporación, ante las instancias correspondientes hasta su culminación;</w:t>
      </w:r>
    </w:p>
    <w:p w14:paraId="196F527F" w14:textId="77777777" w:rsidR="001254C0" w:rsidRPr="00614F2E" w:rsidRDefault="00DA026C">
      <w:pPr>
        <w:spacing w:before="280" w:after="280" w:line="360" w:lineRule="auto"/>
        <w:ind w:left="284"/>
        <w:jc w:val="both"/>
        <w:rPr>
          <w:rFonts w:ascii="Palatino Linotype" w:eastAsia="Palatino Linotype" w:hAnsi="Palatino Linotype" w:cs="Palatino Linotype"/>
        </w:rPr>
      </w:pPr>
      <w:r w:rsidRPr="00614F2E">
        <w:rPr>
          <w:rFonts w:ascii="Palatino Linotype" w:eastAsia="Palatino Linotype" w:hAnsi="Palatino Linotype" w:cs="Palatino Linotype"/>
        </w:rPr>
        <w:t xml:space="preserve">- Gestionar ante Notario Público de la protocolización de escrituras y/u otros documentos necesarios para la inscripción ante el Instituto de la Función Registral del Estado de México; </w:t>
      </w:r>
    </w:p>
    <w:p w14:paraId="5EBC9D70" w14:textId="77777777" w:rsidR="001254C0" w:rsidRPr="00614F2E" w:rsidRDefault="00DA026C">
      <w:pPr>
        <w:spacing w:before="280" w:after="280"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rPr>
        <w:lastRenderedPageBreak/>
        <w:t>Atento a lo anterior, se colige que en el presente asunto la Unidad de Transparencia cumplió el procedimiento de búsqueda establecido en los artículos 151, 159, 160, 162, 163, 164, 165 y 166, de la Ley de Transparencia y Acceso a la Información Pública del Estado de México y Municipio, el cual se constituye como la garantía primaria del derecho humano de acceso a la información pública, el cual se rige por los principios de simplicidad, rapidez, gratuidad del procedimiento, auxilio y orientación a las personas solicitantes con el fin de otorgar la protección más amplia de este derecho.</w:t>
      </w:r>
    </w:p>
    <w:p w14:paraId="04F0C096" w14:textId="77777777" w:rsidR="001254C0" w:rsidRPr="00614F2E" w:rsidRDefault="00DA026C">
      <w:pPr>
        <w:spacing w:before="240" w:after="240"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rPr>
        <w:t>Por otro lado, si bien no se niega que la Secretaría del Ayuntamiento cuenta con atribuciones para conocer de la información que es del interés de la persona solicitante, debe decirse que la respuesta proporcionada por la persona servidora pública habilitada es insuficiente para satisfacer el derecho de acceso de la persona solicitante, puesto que se limitó a referir que el Ayuntamiento solo contaba con 12 inmuebles que ocupan las Delegaciones y Subdelegaciones, sin pronunciarse concretamente respecto del estatus jurídico los inmuebles que ocupan las 48 Delegaciones y 37 Subdelegaciones que integran el municipio de Toluca de conformidad con el artículo 34 del Bando Municipal de Toluca, a saber:</w:t>
      </w:r>
    </w:p>
    <w:p w14:paraId="2318E760" w14:textId="77777777" w:rsidR="001254C0" w:rsidRPr="00614F2E" w:rsidRDefault="00DA026C">
      <w:pPr>
        <w:spacing w:before="240" w:after="240"/>
        <w:ind w:left="851" w:right="900"/>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t>“Artículo 34</w:t>
      </w:r>
      <w:r w:rsidRPr="00614F2E">
        <w:rPr>
          <w:rFonts w:ascii="Palatino Linotype" w:eastAsia="Palatino Linotype" w:hAnsi="Palatino Linotype" w:cs="Palatino Linotype"/>
          <w:i/>
          <w:sz w:val="22"/>
          <w:szCs w:val="22"/>
        </w:rPr>
        <w:t xml:space="preserve">. Para el cumplimiento de sus funciones políticas y administrativas, el municipio cuenta con la siguiente división territorial: 85 circunscripciones territoriales divididas en </w:t>
      </w:r>
      <w:r w:rsidRPr="00614F2E">
        <w:rPr>
          <w:rFonts w:ascii="Palatino Linotype" w:eastAsia="Palatino Linotype" w:hAnsi="Palatino Linotype" w:cs="Palatino Linotype"/>
          <w:b/>
          <w:i/>
          <w:sz w:val="22"/>
          <w:szCs w:val="22"/>
          <w:u w:val="single"/>
        </w:rPr>
        <w:t>48 delegaciones y 37 subdelegaciones</w:t>
      </w:r>
      <w:r w:rsidRPr="00614F2E">
        <w:rPr>
          <w:rFonts w:ascii="Palatino Linotype" w:eastAsia="Palatino Linotype" w:hAnsi="Palatino Linotype" w:cs="Palatino Linotype"/>
          <w:i/>
          <w:sz w:val="22"/>
          <w:szCs w:val="22"/>
        </w:rPr>
        <w:t xml:space="preserve"> las cuales son:</w:t>
      </w:r>
    </w:p>
    <w:p w14:paraId="0D712026" w14:textId="77777777" w:rsidR="001254C0" w:rsidRPr="00614F2E" w:rsidRDefault="00DA026C">
      <w:pPr>
        <w:spacing w:before="240" w:after="240"/>
        <w:ind w:left="851" w:right="900"/>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i/>
          <w:sz w:val="22"/>
          <w:szCs w:val="22"/>
        </w:rPr>
        <w:t>...”</w:t>
      </w:r>
    </w:p>
    <w:p w14:paraId="47EB1637" w14:textId="77777777" w:rsidR="001254C0" w:rsidRPr="00614F2E" w:rsidRDefault="00DA026C">
      <w:pPr>
        <w:spacing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rPr>
        <w:t>Sobre el tema, el artículo 1.8, fracción XIII, del Código Administrativo del Estado de México, establece que para que tenga validez, todo acto administrativo deberá resolver todos los puntos propuestos por los interesados.</w:t>
      </w:r>
    </w:p>
    <w:p w14:paraId="20C00F9A" w14:textId="77777777" w:rsidR="001254C0" w:rsidRPr="00614F2E" w:rsidRDefault="00DA026C">
      <w:pPr>
        <w:spacing w:before="240" w:after="240" w:line="360" w:lineRule="auto"/>
        <w:ind w:right="-91"/>
        <w:jc w:val="both"/>
        <w:rPr>
          <w:rFonts w:ascii="Palatino Linotype" w:eastAsia="Palatino Linotype" w:hAnsi="Palatino Linotype" w:cs="Palatino Linotype"/>
        </w:rPr>
      </w:pPr>
      <w:r w:rsidRPr="00614F2E">
        <w:rPr>
          <w:rFonts w:ascii="Palatino Linotype" w:eastAsia="Palatino Linotype" w:hAnsi="Palatino Linotype" w:cs="Palatino Linotype"/>
        </w:rPr>
        <w:lastRenderedPageBreak/>
        <w:t xml:space="preserve">Situación que se robustece, con el Criterio orientador, con clave de control SO/002/2017, emitido por el entonces Instituto Nacional de Transparencia, Acceso a la Información y Protección de Datos Personales, el cual establece que todo acto administrativo debe apegarse a los </w:t>
      </w:r>
      <w:r w:rsidRPr="00614F2E">
        <w:rPr>
          <w:rFonts w:ascii="Palatino Linotype" w:eastAsia="Palatino Linotype" w:hAnsi="Palatino Linotype" w:cs="Palatino Linotype"/>
          <w:b/>
        </w:rPr>
        <w:t>principios de congruencia y exhaustividad,</w:t>
      </w:r>
      <w:r w:rsidRPr="00614F2E">
        <w:rPr>
          <w:rFonts w:ascii="Palatino Linotype" w:eastAsia="Palatino Linotype" w:hAnsi="Palatino Linotype" w:cs="Palatino Linotype"/>
        </w:rPr>
        <w:t xml:space="preserve"> entendiendo por estos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032355B3" w14:textId="77777777" w:rsidR="001254C0" w:rsidRPr="00614F2E" w:rsidRDefault="00DA026C">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t xml:space="preserve">“Congruencia y exhaustividad. Sus alcances para garantizar el derecho de acceso a la información. </w:t>
      </w:r>
      <w:r w:rsidRPr="00614F2E">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614F2E">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614F2E">
        <w:rPr>
          <w:rFonts w:ascii="Palatino Linotype" w:eastAsia="Palatino Linotype" w:hAnsi="Palatino Linotype" w:cs="Palatino Linotype"/>
          <w:i/>
          <w:sz w:val="22"/>
          <w:szCs w:val="22"/>
        </w:rPr>
        <w:t xml:space="preserve">; mientras que </w:t>
      </w:r>
      <w:r w:rsidRPr="00614F2E">
        <w:rPr>
          <w:rFonts w:ascii="Palatino Linotype" w:eastAsia="Palatino Linotype" w:hAnsi="Palatino Linotype" w:cs="Palatino Linotype"/>
          <w:b/>
          <w:i/>
          <w:sz w:val="22"/>
          <w:szCs w:val="22"/>
        </w:rPr>
        <w:t>la exhaustividad significa que dicha respuesta se refiera expresamente a cada uno de los puntos solicitados</w:t>
      </w:r>
      <w:r w:rsidRPr="00614F2E">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7D9B63D4" w14:textId="77777777" w:rsidR="001254C0" w:rsidRPr="00614F2E" w:rsidRDefault="00DA026C">
      <w:pPr>
        <w:spacing w:before="240" w:after="240"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rPr>
        <w:t xml:space="preserve">Por lo anterior, este Organismo Garante, con la finalidad de garantizar el derecho humano de acceso a la información de la parte </w:t>
      </w:r>
      <w:r w:rsidRPr="00614F2E">
        <w:rPr>
          <w:rFonts w:ascii="Palatino Linotype" w:eastAsia="Palatino Linotype" w:hAnsi="Palatino Linotype" w:cs="Palatino Linotype"/>
          <w:b/>
        </w:rPr>
        <w:t>Recurrente,</w:t>
      </w:r>
      <w:r w:rsidRPr="00614F2E">
        <w:rPr>
          <w:rFonts w:ascii="Palatino Linotype" w:eastAsia="Palatino Linotype" w:hAnsi="Palatino Linotype" w:cs="Palatino Linotype"/>
        </w:rPr>
        <w:t xml:space="preserve"> y a fin de reparar el agravio causado ante la omisión en que incurriera el </w:t>
      </w:r>
      <w:r w:rsidRPr="00614F2E">
        <w:rPr>
          <w:rFonts w:ascii="Palatino Linotype" w:eastAsia="Palatino Linotype" w:hAnsi="Palatino Linotype" w:cs="Palatino Linotype"/>
          <w:b/>
        </w:rPr>
        <w:t>Sujeto Obligado</w:t>
      </w:r>
      <w:r w:rsidRPr="00614F2E">
        <w:rPr>
          <w:rFonts w:ascii="Palatino Linotype" w:eastAsia="Palatino Linotype" w:hAnsi="Palatino Linotype" w:cs="Palatino Linotype"/>
        </w:rPr>
        <w:t xml:space="preserve">, ya que, como se señaló, su respuesta careció de los principios de congruencia y exhaustividad, al no haberse pronunciado sobre el estatus jurídico de los inmuebles que ocupan las 48 Delegaciones y 37 Subdelegaciones que integran el municipio de Toluca, se estima </w:t>
      </w:r>
      <w:r w:rsidRPr="00614F2E">
        <w:rPr>
          <w:rFonts w:ascii="Palatino Linotype" w:eastAsia="Palatino Linotype" w:hAnsi="Palatino Linotype" w:cs="Palatino Linotype"/>
        </w:rPr>
        <w:lastRenderedPageBreak/>
        <w:t>procedente ordenar que, previa búsqueda exhaustiva y razonable, se haga entrega del soporte documental que dé cuenta de lo solicitado, en versión pública de ser procedente, de conformidad con el considerando siguiente.</w:t>
      </w:r>
    </w:p>
    <w:p w14:paraId="4D51B7E0" w14:textId="77777777" w:rsidR="001254C0" w:rsidRPr="00614F2E" w:rsidRDefault="00DA026C">
      <w:pPr>
        <w:spacing w:before="240" w:after="240"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rPr>
        <w:t xml:space="preserve">Para efectos de lo anterior, no obsta mencionar que el </w:t>
      </w:r>
      <w:r w:rsidRPr="00614F2E">
        <w:rPr>
          <w:rFonts w:ascii="Palatino Linotype" w:eastAsia="Palatino Linotype" w:hAnsi="Palatino Linotype" w:cs="Palatino Linotype"/>
          <w:b/>
        </w:rPr>
        <w:t xml:space="preserve">Sujeto Obligado </w:t>
      </w:r>
      <w:r w:rsidRPr="00614F2E">
        <w:rPr>
          <w:rFonts w:ascii="Palatino Linotype" w:eastAsia="Palatino Linotype" w:hAnsi="Palatino Linotype" w:cs="Palatino Linotype"/>
        </w:rPr>
        <w:t>deberá hacer la búsqueda exhaustiva y razonable del o los documentos que den cuenta de lo solicitado en los archivos de todas las áreas competentes, entre las cuales no podrá faltar la Secretaría del Ayuntamiento, así como la Sindicatura Municipal, al tener esta última la obligación de intervenir en la formulación del inventario general de los bienes inmuebles propiedad del municipio, haciendo que se inscriban en el libro especial, con expresión de sus valores y de todas las características de identificación, así como el uso y destino de los mismos; así como de regularizar la propiedad de los bienes inmuebles municipales; e inscribir los bienes inmuebles municipales en el Registro Público de la Propiedad, de conformidad con el artículo 53, fracciones VII, VIII y IX de la Ley Orgánica Municipal del Estado de México, a saber:</w:t>
      </w:r>
    </w:p>
    <w:p w14:paraId="5307E085" w14:textId="77777777" w:rsidR="001254C0" w:rsidRPr="00614F2E" w:rsidRDefault="00DA026C">
      <w:pPr>
        <w:spacing w:before="120" w:after="120"/>
        <w:ind w:left="851" w:right="902"/>
        <w:jc w:val="both"/>
        <w:rPr>
          <w:rFonts w:ascii="Palatino Linotype" w:eastAsia="Palatino Linotype" w:hAnsi="Palatino Linotype" w:cs="Palatino Linotype"/>
          <w:b/>
          <w:i/>
          <w:sz w:val="22"/>
          <w:szCs w:val="22"/>
        </w:rPr>
      </w:pPr>
      <w:r w:rsidRPr="00614F2E">
        <w:rPr>
          <w:rFonts w:ascii="Palatino Linotype" w:eastAsia="Palatino Linotype" w:hAnsi="Palatino Linotype" w:cs="Palatino Linotype"/>
          <w:b/>
          <w:i/>
          <w:sz w:val="22"/>
          <w:szCs w:val="22"/>
        </w:rPr>
        <w:t>“Artículo 53.-</w:t>
      </w:r>
      <w:r w:rsidRPr="00614F2E">
        <w:rPr>
          <w:rFonts w:ascii="Palatino Linotype" w:eastAsia="Palatino Linotype" w:hAnsi="Palatino Linotype" w:cs="Palatino Linotype"/>
          <w:i/>
          <w:sz w:val="22"/>
          <w:szCs w:val="22"/>
        </w:rPr>
        <w:t xml:space="preserve"> Los síndicos tendrán las siguientes atribuciones:</w:t>
      </w:r>
    </w:p>
    <w:p w14:paraId="703D277A" w14:textId="77777777" w:rsidR="001254C0" w:rsidRPr="00614F2E" w:rsidRDefault="00DA026C">
      <w:pPr>
        <w:spacing w:before="120" w:after="120"/>
        <w:ind w:left="851" w:right="902"/>
        <w:jc w:val="both"/>
        <w:rPr>
          <w:rFonts w:ascii="Palatino Linotype" w:eastAsia="Palatino Linotype" w:hAnsi="Palatino Linotype" w:cs="Palatino Linotype"/>
          <w:b/>
          <w:i/>
          <w:sz w:val="22"/>
          <w:szCs w:val="22"/>
        </w:rPr>
      </w:pPr>
      <w:r w:rsidRPr="00614F2E">
        <w:rPr>
          <w:rFonts w:ascii="Palatino Linotype" w:eastAsia="Palatino Linotype" w:hAnsi="Palatino Linotype" w:cs="Palatino Linotype"/>
          <w:b/>
          <w:i/>
          <w:sz w:val="22"/>
          <w:szCs w:val="22"/>
        </w:rPr>
        <w:t>…</w:t>
      </w:r>
    </w:p>
    <w:p w14:paraId="7520795D" w14:textId="77777777" w:rsidR="001254C0" w:rsidRPr="00614F2E" w:rsidRDefault="00DA026C">
      <w:pPr>
        <w:spacing w:before="120" w:after="120"/>
        <w:ind w:left="851"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t>VII.</w:t>
      </w:r>
      <w:r w:rsidRPr="00614F2E">
        <w:rPr>
          <w:rFonts w:ascii="Palatino Linotype" w:eastAsia="Palatino Linotype" w:hAnsi="Palatino Linotype" w:cs="Palatino Linotype"/>
          <w:i/>
          <w:sz w:val="22"/>
          <w:szCs w:val="22"/>
        </w:rPr>
        <w:t xml:space="preserve"> </w:t>
      </w:r>
      <w:r w:rsidRPr="00614F2E">
        <w:rPr>
          <w:rFonts w:ascii="Palatino Linotype" w:eastAsia="Palatino Linotype" w:hAnsi="Palatino Linotype" w:cs="Palatino Linotype"/>
          <w:b/>
          <w:i/>
          <w:sz w:val="22"/>
          <w:szCs w:val="22"/>
        </w:rPr>
        <w:t>Intervenir en la formulación del inventario general de los bienes</w:t>
      </w:r>
      <w:r w:rsidRPr="00614F2E">
        <w:rPr>
          <w:rFonts w:ascii="Palatino Linotype" w:eastAsia="Palatino Linotype" w:hAnsi="Palatino Linotype" w:cs="Palatino Linotype"/>
          <w:i/>
          <w:sz w:val="22"/>
          <w:szCs w:val="22"/>
        </w:rPr>
        <w:t xml:space="preserve"> muebles e </w:t>
      </w:r>
      <w:r w:rsidRPr="00614F2E">
        <w:rPr>
          <w:rFonts w:ascii="Palatino Linotype" w:eastAsia="Palatino Linotype" w:hAnsi="Palatino Linotype" w:cs="Palatino Linotype"/>
          <w:b/>
          <w:i/>
          <w:sz w:val="22"/>
          <w:szCs w:val="22"/>
        </w:rPr>
        <w:t>inmuebles propiedad del municipio</w:t>
      </w:r>
      <w:r w:rsidRPr="00614F2E">
        <w:rPr>
          <w:rFonts w:ascii="Palatino Linotype" w:eastAsia="Palatino Linotype" w:hAnsi="Palatino Linotype" w:cs="Palatino Linotype"/>
          <w:i/>
          <w:sz w:val="22"/>
          <w:szCs w:val="22"/>
        </w:rPr>
        <w:t xml:space="preserve">, haciendo que se inscriban en el libro especial, con expresión de sus valores y de todas las características de identificación, así como el uso y destino de los mismos; </w:t>
      </w:r>
    </w:p>
    <w:p w14:paraId="79DCE356" w14:textId="77777777" w:rsidR="001254C0" w:rsidRPr="00614F2E" w:rsidRDefault="00DA026C">
      <w:pPr>
        <w:spacing w:before="120" w:after="120"/>
        <w:ind w:left="851"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t>VIII</w:t>
      </w:r>
      <w:r w:rsidRPr="00614F2E">
        <w:rPr>
          <w:rFonts w:ascii="Palatino Linotype" w:eastAsia="Palatino Linotype" w:hAnsi="Palatino Linotype" w:cs="Palatino Linotype"/>
          <w:i/>
          <w:sz w:val="22"/>
          <w:szCs w:val="22"/>
        </w:rPr>
        <w:t xml:space="preserve">. </w:t>
      </w:r>
      <w:r w:rsidRPr="00614F2E">
        <w:rPr>
          <w:rFonts w:ascii="Palatino Linotype" w:eastAsia="Palatino Linotype" w:hAnsi="Palatino Linotype" w:cs="Palatino Linotype"/>
          <w:b/>
          <w:i/>
          <w:sz w:val="22"/>
          <w:szCs w:val="22"/>
        </w:rPr>
        <w:t>Regularizar la propiedad de los bienes inmuebles municipales</w:t>
      </w:r>
      <w:r w:rsidRPr="00614F2E">
        <w:rPr>
          <w:rFonts w:ascii="Palatino Linotype" w:eastAsia="Palatino Linotype" w:hAnsi="Palatino Linotype" w:cs="Palatino Linotype"/>
          <w:i/>
          <w:sz w:val="22"/>
          <w:szCs w:val="22"/>
        </w:rPr>
        <w:t>, para ello tendrán un plazo de ciento veinte días hábiles, contados a partir de la adquisición;</w:t>
      </w:r>
    </w:p>
    <w:p w14:paraId="2A0A5281" w14:textId="77777777" w:rsidR="001254C0" w:rsidRPr="00614F2E" w:rsidRDefault="00DA026C">
      <w:pPr>
        <w:spacing w:before="120" w:after="120"/>
        <w:ind w:left="851"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t>IX.</w:t>
      </w:r>
      <w:r w:rsidRPr="00614F2E">
        <w:rPr>
          <w:rFonts w:ascii="Palatino Linotype" w:eastAsia="Palatino Linotype" w:hAnsi="Palatino Linotype" w:cs="Palatino Linotype"/>
          <w:i/>
          <w:sz w:val="22"/>
          <w:szCs w:val="22"/>
        </w:rPr>
        <w:t xml:space="preserve"> </w:t>
      </w:r>
      <w:r w:rsidRPr="00614F2E">
        <w:rPr>
          <w:rFonts w:ascii="Palatino Linotype" w:eastAsia="Palatino Linotype" w:hAnsi="Palatino Linotype" w:cs="Palatino Linotype"/>
          <w:b/>
          <w:i/>
          <w:sz w:val="22"/>
          <w:szCs w:val="22"/>
        </w:rPr>
        <w:t>Inscribir los bienes inmuebles municipales en el Registro Público</w:t>
      </w:r>
      <w:r w:rsidRPr="00614F2E">
        <w:rPr>
          <w:rFonts w:ascii="Palatino Linotype" w:eastAsia="Palatino Linotype" w:hAnsi="Palatino Linotype" w:cs="Palatino Linotype"/>
          <w:i/>
          <w:sz w:val="22"/>
          <w:szCs w:val="22"/>
        </w:rPr>
        <w:t xml:space="preserve"> de la Propiedad, para iniciar los trámites correspondientes tendrán un plazo de ciento veinte días hábiles contados a partir de aquel en que concluyo el proceso de regularización;</w:t>
      </w:r>
    </w:p>
    <w:p w14:paraId="690BE6DE" w14:textId="77777777" w:rsidR="001254C0" w:rsidRPr="00614F2E" w:rsidRDefault="00DA026C">
      <w:pPr>
        <w:spacing w:before="240" w:after="240"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rPr>
        <w:lastRenderedPageBreak/>
        <w:t xml:space="preserve">Asimismo, es imprescindible mencionar que de conformidad con la fracción XXXVIII del artículo 92 de la Ley de Transparencia y Acceso a la Información Pública de Estado de México y Municipios, el inventario de bienes muebles e inmuebles en posesión y propiedad de los sujetos obligados constituye una obligación de transparencia, y por ende, estos deberán poner a disposición del público dicha información de manera permanente y actualizada de forma sencilla, precisa y entendible en los respectivos medios electrónicos, como se advierte enseguida: </w:t>
      </w:r>
    </w:p>
    <w:p w14:paraId="08A4C1D9" w14:textId="77777777" w:rsidR="001254C0" w:rsidRPr="00614F2E" w:rsidRDefault="00DA026C">
      <w:pPr>
        <w:widowControl w:val="0"/>
        <w:spacing w:line="256" w:lineRule="auto"/>
        <w:ind w:left="851" w:right="900"/>
        <w:jc w:val="both"/>
        <w:rPr>
          <w:rFonts w:ascii="Palatino Linotype" w:eastAsia="Palatino Linotype" w:hAnsi="Palatino Linotype" w:cs="Palatino Linotype"/>
          <w:i/>
        </w:rPr>
      </w:pPr>
      <w:r w:rsidRPr="00614F2E">
        <w:rPr>
          <w:rFonts w:ascii="Palatino Linotype" w:eastAsia="Palatino Linotype" w:hAnsi="Palatino Linotype" w:cs="Palatino Linotype"/>
          <w:i/>
        </w:rPr>
        <w:t>“</w:t>
      </w:r>
      <w:r w:rsidRPr="00614F2E">
        <w:rPr>
          <w:rFonts w:ascii="Palatino Linotype" w:eastAsia="Palatino Linotype" w:hAnsi="Palatino Linotype" w:cs="Palatino Linotype"/>
          <w:b/>
          <w:i/>
        </w:rPr>
        <w:t>Artículo 92</w:t>
      </w:r>
      <w:r w:rsidRPr="00614F2E">
        <w:rPr>
          <w:rFonts w:ascii="Palatino Linotype" w:eastAsia="Palatino Linotype" w:hAnsi="Palatino Linotype" w:cs="Palatino Linotype"/>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3AD443A" w14:textId="77777777" w:rsidR="001254C0" w:rsidRPr="00614F2E" w:rsidRDefault="00DA026C">
      <w:pPr>
        <w:widowControl w:val="0"/>
        <w:spacing w:line="256" w:lineRule="auto"/>
        <w:ind w:left="851" w:right="900"/>
        <w:jc w:val="both"/>
        <w:rPr>
          <w:rFonts w:ascii="Palatino Linotype" w:eastAsia="Palatino Linotype" w:hAnsi="Palatino Linotype" w:cs="Palatino Linotype"/>
        </w:rPr>
      </w:pPr>
      <w:r w:rsidRPr="00614F2E">
        <w:rPr>
          <w:rFonts w:ascii="Palatino Linotype" w:eastAsia="Palatino Linotype" w:hAnsi="Palatino Linotype" w:cs="Palatino Linotype"/>
          <w:i/>
        </w:rPr>
        <w:t>…</w:t>
      </w:r>
    </w:p>
    <w:p w14:paraId="191F26DC" w14:textId="77777777" w:rsidR="001254C0" w:rsidRPr="00614F2E" w:rsidRDefault="00DA026C">
      <w:pPr>
        <w:widowControl w:val="0"/>
        <w:spacing w:line="256" w:lineRule="auto"/>
        <w:ind w:left="851" w:right="900"/>
        <w:jc w:val="both"/>
        <w:rPr>
          <w:rFonts w:ascii="Palatino Linotype" w:eastAsia="Palatino Linotype" w:hAnsi="Palatino Linotype" w:cs="Palatino Linotype"/>
          <w:b/>
          <w:i/>
        </w:rPr>
      </w:pPr>
      <w:r w:rsidRPr="00614F2E">
        <w:rPr>
          <w:rFonts w:ascii="Palatino Linotype" w:eastAsia="Palatino Linotype" w:hAnsi="Palatino Linotype" w:cs="Palatino Linotype"/>
          <w:b/>
          <w:i/>
        </w:rPr>
        <w:t>XXXVIII. El inventario de bienes muebles e inmuebles en posesión y propiedad;”</w:t>
      </w:r>
    </w:p>
    <w:p w14:paraId="5B228BD4" w14:textId="77777777" w:rsidR="001254C0" w:rsidRPr="00614F2E" w:rsidRDefault="00DA026C">
      <w:pPr>
        <w:spacing w:before="240" w:after="240"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rPr>
        <w:t>El inventario de bienes muebles e inmuebles  deberá ser publicado en atención 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deberán difundir los Sujetos Obligados en los Portales de Internet y en la Plataforma Nacional de Transparencia”</w:t>
      </w:r>
      <w:r w:rsidRPr="00614F2E">
        <w:rPr>
          <w:rFonts w:ascii="Palatino Linotype" w:eastAsia="Palatino Linotype" w:hAnsi="Palatino Linotype" w:cs="Palatino Linotype"/>
          <w:i/>
        </w:rPr>
        <w:t xml:space="preserve"> </w:t>
      </w:r>
      <w:r w:rsidRPr="00614F2E">
        <w:rPr>
          <w:rFonts w:ascii="Palatino Linotype" w:eastAsia="Palatino Linotype" w:hAnsi="Palatino Linotype" w:cs="Palatino Linotype"/>
        </w:rPr>
        <w:t xml:space="preserve">los cuales establecen  que </w:t>
      </w:r>
      <w:r w:rsidRPr="00614F2E">
        <w:rPr>
          <w:rFonts w:ascii="Palatino Linotype" w:eastAsia="Palatino Linotype" w:hAnsi="Palatino Linotype" w:cs="Palatino Linotype"/>
          <w:b/>
        </w:rPr>
        <w:t>todos los sujetos obligados publicarán el inventario de bienes muebles e inmuebles</w:t>
      </w:r>
      <w:r w:rsidRPr="00614F2E">
        <w:rPr>
          <w:rFonts w:ascii="Palatino Linotype" w:eastAsia="Palatino Linotype" w:hAnsi="Palatino Linotype" w:cs="Palatino Linotype"/>
        </w:rPr>
        <w:t xml:space="preserve"> que utilicen, tengan a su cargo y/o les hayan sido asignados para el ejercicio de sus funciones; </w:t>
      </w:r>
      <w:r w:rsidRPr="00614F2E">
        <w:rPr>
          <w:rFonts w:ascii="Palatino Linotype" w:eastAsia="Palatino Linotype" w:hAnsi="Palatino Linotype" w:cs="Palatino Linotype"/>
          <w:b/>
        </w:rPr>
        <w:t xml:space="preserve">que destinen a un servicio público conforme a la </w:t>
      </w:r>
      <w:r w:rsidRPr="00614F2E">
        <w:rPr>
          <w:rFonts w:ascii="Palatino Linotype" w:eastAsia="Palatino Linotype" w:hAnsi="Palatino Linotype" w:cs="Palatino Linotype"/>
          <w:b/>
        </w:rPr>
        <w:lastRenderedPageBreak/>
        <w:t>normatividad aplicable o por cualquier concepto, tanto si son propiedad del sujeto obligado como que se encuentren en posesión de éstos</w:t>
      </w:r>
      <w:r w:rsidRPr="00614F2E">
        <w:rPr>
          <w:rFonts w:ascii="Palatino Linotype" w:eastAsia="Palatino Linotype" w:hAnsi="Palatino Linotype" w:cs="Palatino Linotype"/>
        </w:rPr>
        <w:t xml:space="preserve">. </w:t>
      </w:r>
    </w:p>
    <w:p w14:paraId="575B2FE9" w14:textId="77777777" w:rsidR="001254C0" w:rsidRPr="00614F2E" w:rsidRDefault="00DA026C">
      <w:pPr>
        <w:spacing w:before="240" w:after="240"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rPr>
        <w:t xml:space="preserve">Además, el </w:t>
      </w:r>
      <w:r w:rsidRPr="00614F2E">
        <w:rPr>
          <w:rFonts w:ascii="Palatino Linotype" w:eastAsia="Palatino Linotype" w:hAnsi="Palatino Linotype" w:cs="Palatino Linotype"/>
          <w:b/>
        </w:rPr>
        <w:t xml:space="preserve">Sujeto Obligado </w:t>
      </w:r>
      <w:r w:rsidRPr="00614F2E">
        <w:rPr>
          <w:rFonts w:ascii="Palatino Linotype" w:eastAsia="Palatino Linotype" w:hAnsi="Palatino Linotype" w:cs="Palatino Linotype"/>
        </w:rPr>
        <w:t>se encuentra constreñido a entregar al Órgano Superior de Fiscalización del Estado de México, como parte de los informes trimestrales, el inventario de bienes inmuebles como se desprende de los Lineamientos para la integración y presentación de los Informes Trimestrales Estatales y Municipales del Ejercicio Fiscal 2025, los cuales establecen el formato mediante el cual debe presentarse la información que integra dichos informes y los instructivos de llenado correspondientes.</w:t>
      </w:r>
    </w:p>
    <w:p w14:paraId="6049ED10" w14:textId="77777777" w:rsidR="001254C0" w:rsidRPr="00614F2E" w:rsidRDefault="00DA026C">
      <w:pPr>
        <w:spacing w:before="240" w:after="240"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rPr>
        <w:t>De conformidad con los Lineamientos del ejercicio 2025, la información que generan los entes fiscalizables de carácter municipal con motivo del inventario de bienes inmuebles se encuentra contenida en el Módulo 4 Información Administrativa, Submódulo Información de Bienes Muebles e Inmuebles, (Plataforma Digital), como se muestra a continuación:</w:t>
      </w:r>
    </w:p>
    <w:p w14:paraId="0F185C7A" w14:textId="77777777" w:rsidR="001254C0" w:rsidRPr="00614F2E" w:rsidRDefault="00DA026C">
      <w:pPr>
        <w:spacing w:before="240" w:after="240"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noProof/>
        </w:rPr>
        <w:drawing>
          <wp:inline distT="0" distB="0" distL="0" distR="0" wp14:anchorId="7D5067FD" wp14:editId="10B25664">
            <wp:extent cx="5612130" cy="2810510"/>
            <wp:effectExtent l="0" t="0" r="0" b="0"/>
            <wp:docPr id="214013184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5612130" cy="2810510"/>
                    </a:xfrm>
                    <a:prstGeom prst="rect">
                      <a:avLst/>
                    </a:prstGeom>
                    <a:ln/>
                  </pic:spPr>
                </pic:pic>
              </a:graphicData>
            </a:graphic>
          </wp:inline>
        </w:drawing>
      </w:r>
    </w:p>
    <w:p w14:paraId="34A069BF" w14:textId="77777777" w:rsidR="001254C0" w:rsidRPr="00614F2E" w:rsidRDefault="00DA026C">
      <w:pPr>
        <w:spacing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noProof/>
        </w:rPr>
        <w:lastRenderedPageBreak/>
        <w:drawing>
          <wp:inline distT="0" distB="0" distL="0" distR="0" wp14:anchorId="24A8E903" wp14:editId="7EFFD1C8">
            <wp:extent cx="5612130" cy="1713865"/>
            <wp:effectExtent l="0" t="0" r="0" b="0"/>
            <wp:docPr id="21401318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612130" cy="1713865"/>
                    </a:xfrm>
                    <a:prstGeom prst="rect">
                      <a:avLst/>
                    </a:prstGeom>
                    <a:ln/>
                  </pic:spPr>
                </pic:pic>
              </a:graphicData>
            </a:graphic>
          </wp:inline>
        </w:drawing>
      </w:r>
    </w:p>
    <w:p w14:paraId="09058B6C" w14:textId="77777777" w:rsidR="001254C0" w:rsidRPr="00614F2E" w:rsidRDefault="00DA026C">
      <w:pPr>
        <w:spacing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noProof/>
        </w:rPr>
        <w:drawing>
          <wp:inline distT="0" distB="0" distL="0" distR="0" wp14:anchorId="371FE09D" wp14:editId="5CF8C3B8">
            <wp:extent cx="5612130" cy="1917065"/>
            <wp:effectExtent l="0" t="0" r="0" b="0"/>
            <wp:docPr id="21401318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612130" cy="1917065"/>
                    </a:xfrm>
                    <a:prstGeom prst="rect">
                      <a:avLst/>
                    </a:prstGeom>
                    <a:ln/>
                  </pic:spPr>
                </pic:pic>
              </a:graphicData>
            </a:graphic>
          </wp:inline>
        </w:drawing>
      </w:r>
      <w:r w:rsidRPr="00614F2E">
        <w:rPr>
          <w:noProof/>
        </w:rPr>
        <mc:AlternateContent>
          <mc:Choice Requires="wps">
            <w:drawing>
              <wp:anchor distT="0" distB="0" distL="114300" distR="114300" simplePos="0" relativeHeight="251658240" behindDoc="0" locked="0" layoutInCell="1" hidden="0" allowOverlap="1" wp14:anchorId="4E795E22" wp14:editId="211D1499">
                <wp:simplePos x="0" y="0"/>
                <wp:positionH relativeFrom="column">
                  <wp:posOffset>497205</wp:posOffset>
                </wp:positionH>
                <wp:positionV relativeFrom="paragraph">
                  <wp:posOffset>810260</wp:posOffset>
                </wp:positionV>
                <wp:extent cx="5133975" cy="304800"/>
                <wp:effectExtent l="0" t="0" r="0" b="0"/>
                <wp:wrapNone/>
                <wp:docPr id="2140131844" name="Rectángulo 2140131844"/>
                <wp:cNvGraphicFramePr/>
                <a:graphic xmlns:a="http://schemas.openxmlformats.org/drawingml/2006/main">
                  <a:graphicData uri="http://schemas.microsoft.com/office/word/2010/wordprocessingShape">
                    <wps:wsp>
                      <wps:cNvSpPr/>
                      <wps:spPr>
                        <a:xfrm>
                          <a:off x="2798063" y="3646650"/>
                          <a:ext cx="5095875" cy="266700"/>
                        </a:xfrm>
                        <a:prstGeom prst="rect">
                          <a:avLst/>
                        </a:prstGeom>
                        <a:noFill/>
                        <a:ln w="38100" cap="flat" cmpd="sng">
                          <a:solidFill>
                            <a:srgbClr val="C00000"/>
                          </a:solidFill>
                          <a:prstDash val="solid"/>
                          <a:miter lim="800000"/>
                          <a:headEnd type="none" w="sm" len="sm"/>
                          <a:tailEnd type="none" w="sm" len="sm"/>
                        </a:ln>
                      </wps:spPr>
                      <wps:txbx>
                        <w:txbxContent>
                          <w:p w14:paraId="05A6B109" w14:textId="77777777" w:rsidR="001254C0" w:rsidRDefault="001254C0">
                            <w:pPr>
                              <w:textDirection w:val="btLr"/>
                            </w:pPr>
                          </w:p>
                        </w:txbxContent>
                      </wps:txbx>
                      <wps:bodyPr spcFirstLastPara="1" wrap="square" lIns="91425" tIns="91425" rIns="91425" bIns="91425" anchor="ctr" anchorCtr="0">
                        <a:noAutofit/>
                      </wps:bodyPr>
                    </wps:wsp>
                  </a:graphicData>
                </a:graphic>
              </wp:anchor>
            </w:drawing>
          </mc:Choice>
          <mc:Fallback>
            <w:pict>
              <v:rect w14:anchorId="4E795E22" id="Rectángulo 2140131844" o:spid="_x0000_s1026" style="position:absolute;left:0;text-align:left;margin-left:39.15pt;margin-top:63.8pt;width:404.25pt;height:2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" filled="f" strokecolor="#c00000" strokeweight="3pt">
                <v:stroke startarrowwidth="narrow" startarrowlength="short" endarrowwidth="narrow" endarrowlength="short"/>
                <v:textbox inset="2.53958mm,2.53958mm,2.53958mm,2.53958mm">
                  <w:txbxContent>
                    <w:p w14:paraId="05A6B109" w14:textId="77777777" w:rsidR="001254C0" w:rsidRDefault="001254C0">
                      <w:pPr>
                        <w:textDirection w:val="btLr"/>
                      </w:pPr>
                    </w:p>
                  </w:txbxContent>
                </v:textbox>
              </v:rect>
            </w:pict>
          </mc:Fallback>
        </mc:AlternateContent>
      </w:r>
    </w:p>
    <w:p w14:paraId="34C26934" w14:textId="77777777" w:rsidR="001254C0" w:rsidRPr="00614F2E" w:rsidRDefault="00DA026C">
      <w:pPr>
        <w:spacing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rPr>
        <w:t>La finalidad del Inventario de Bienes Inmuebles consiste en registrar los bienes inmuebles con los que cuenta la entidad municipal.</w:t>
      </w:r>
    </w:p>
    <w:p w14:paraId="214AC7DC" w14:textId="77777777" w:rsidR="001254C0" w:rsidRPr="00614F2E" w:rsidRDefault="00DA026C">
      <w:pPr>
        <w:spacing w:before="240" w:line="360" w:lineRule="auto"/>
        <w:ind w:right="49"/>
        <w:jc w:val="both"/>
        <w:rPr>
          <w:rFonts w:ascii="Palatino Linotype" w:eastAsia="Palatino Linotype" w:hAnsi="Palatino Linotype" w:cs="Palatino Linotype"/>
        </w:rPr>
      </w:pPr>
      <w:r w:rsidRPr="00614F2E">
        <w:rPr>
          <w:rFonts w:ascii="Palatino Linotype" w:eastAsia="Palatino Linotype" w:hAnsi="Palatino Linotype" w:cs="Palatino Linotype"/>
        </w:rPr>
        <w:t>Y, debe presentarse a través de los formatos PDF, XLSX y TXT:</w:t>
      </w:r>
    </w:p>
    <w:p w14:paraId="4CE1FFD7" w14:textId="77777777" w:rsidR="001254C0" w:rsidRPr="00614F2E" w:rsidRDefault="00DA026C">
      <w:pPr>
        <w:spacing w:before="240" w:line="360" w:lineRule="auto"/>
        <w:ind w:right="49"/>
        <w:jc w:val="center"/>
        <w:rPr>
          <w:rFonts w:ascii="Palatino Linotype" w:eastAsia="Palatino Linotype" w:hAnsi="Palatino Linotype" w:cs="Palatino Linotype"/>
        </w:rPr>
      </w:pPr>
      <w:r w:rsidRPr="00614F2E">
        <w:rPr>
          <w:rFonts w:ascii="Palatino Linotype" w:eastAsia="Palatino Linotype" w:hAnsi="Palatino Linotype" w:cs="Palatino Linotype"/>
          <w:noProof/>
        </w:rPr>
        <w:drawing>
          <wp:inline distT="0" distB="0" distL="0" distR="0" wp14:anchorId="73ABE7AD" wp14:editId="24E3DD99">
            <wp:extent cx="4500000" cy="2520367"/>
            <wp:effectExtent l="0" t="0" r="0" b="0"/>
            <wp:docPr id="214013185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b="45049"/>
                    <a:stretch>
                      <a:fillRect/>
                    </a:stretch>
                  </pic:blipFill>
                  <pic:spPr>
                    <a:xfrm>
                      <a:off x="0" y="0"/>
                      <a:ext cx="4500000" cy="2520367"/>
                    </a:xfrm>
                    <a:prstGeom prst="rect">
                      <a:avLst/>
                    </a:prstGeom>
                    <a:ln/>
                  </pic:spPr>
                </pic:pic>
              </a:graphicData>
            </a:graphic>
          </wp:inline>
        </w:drawing>
      </w:r>
    </w:p>
    <w:p w14:paraId="1520A86F" w14:textId="77777777" w:rsidR="001254C0" w:rsidRPr="00614F2E" w:rsidRDefault="00DA026C">
      <w:pPr>
        <w:spacing w:before="240" w:after="240" w:line="360" w:lineRule="auto"/>
        <w:ind w:right="49"/>
        <w:jc w:val="both"/>
        <w:rPr>
          <w:rFonts w:ascii="Palatino Linotype" w:eastAsia="Palatino Linotype" w:hAnsi="Palatino Linotype" w:cs="Palatino Linotype"/>
        </w:rPr>
      </w:pPr>
      <w:r w:rsidRPr="00614F2E">
        <w:rPr>
          <w:rFonts w:ascii="Palatino Linotype" w:eastAsia="Palatino Linotype" w:hAnsi="Palatino Linotype" w:cs="Palatino Linotype"/>
        </w:rPr>
        <w:lastRenderedPageBreak/>
        <w:t>Para el llenado se deben observar las siguientes especificaciones:</w:t>
      </w:r>
    </w:p>
    <w:p w14:paraId="20EA6F2F" w14:textId="77777777" w:rsidR="001254C0" w:rsidRPr="00614F2E" w:rsidRDefault="00DA026C">
      <w:pPr>
        <w:spacing w:line="360" w:lineRule="auto"/>
        <w:jc w:val="center"/>
        <w:rPr>
          <w:rFonts w:ascii="Palatino Linotype" w:eastAsia="Palatino Linotype" w:hAnsi="Palatino Linotype" w:cs="Palatino Linotype"/>
        </w:rPr>
      </w:pPr>
      <w:r w:rsidRPr="00614F2E">
        <w:rPr>
          <w:rFonts w:ascii="Palatino Linotype" w:eastAsia="Palatino Linotype" w:hAnsi="Palatino Linotype" w:cs="Palatino Linotype"/>
          <w:noProof/>
        </w:rPr>
        <w:drawing>
          <wp:inline distT="0" distB="0" distL="0" distR="0" wp14:anchorId="54B8F2E6" wp14:editId="564B43DC">
            <wp:extent cx="5220000" cy="5284379"/>
            <wp:effectExtent l="0" t="0" r="0" b="0"/>
            <wp:docPr id="214013185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220000" cy="5284379"/>
                    </a:xfrm>
                    <a:prstGeom prst="rect">
                      <a:avLst/>
                    </a:prstGeom>
                    <a:ln/>
                  </pic:spPr>
                </pic:pic>
              </a:graphicData>
            </a:graphic>
          </wp:inline>
        </w:drawing>
      </w:r>
      <w:r w:rsidRPr="00614F2E">
        <w:rPr>
          <w:noProof/>
        </w:rPr>
        <mc:AlternateContent>
          <mc:Choice Requires="wps">
            <w:drawing>
              <wp:anchor distT="0" distB="0" distL="114300" distR="114300" simplePos="0" relativeHeight="251659264" behindDoc="0" locked="0" layoutInCell="1" hidden="0" allowOverlap="1" wp14:anchorId="207734C0" wp14:editId="182F7DD3">
                <wp:simplePos x="0" y="0"/>
                <wp:positionH relativeFrom="column">
                  <wp:posOffset>148589</wp:posOffset>
                </wp:positionH>
                <wp:positionV relativeFrom="paragraph">
                  <wp:posOffset>1718945</wp:posOffset>
                </wp:positionV>
                <wp:extent cx="5229225" cy="619125"/>
                <wp:effectExtent l="0" t="0" r="0" b="0"/>
                <wp:wrapNone/>
                <wp:docPr id="2140131841" name="Rectángulo 2140131841"/>
                <wp:cNvGraphicFramePr/>
                <a:graphic xmlns:a="http://schemas.openxmlformats.org/drawingml/2006/main">
                  <a:graphicData uri="http://schemas.microsoft.com/office/word/2010/wordprocessingShape">
                    <wps:wsp>
                      <wps:cNvSpPr/>
                      <wps:spPr>
                        <a:xfrm>
                          <a:off x="2750438" y="3489488"/>
                          <a:ext cx="5191125" cy="581025"/>
                        </a:xfrm>
                        <a:prstGeom prst="rect">
                          <a:avLst/>
                        </a:prstGeom>
                        <a:noFill/>
                        <a:ln w="38100" cap="flat" cmpd="sng">
                          <a:solidFill>
                            <a:srgbClr val="C00000"/>
                          </a:solidFill>
                          <a:prstDash val="solid"/>
                          <a:round/>
                          <a:headEnd type="none" w="sm" len="sm"/>
                          <a:tailEnd type="none" w="sm" len="sm"/>
                        </a:ln>
                      </wps:spPr>
                      <wps:txbx>
                        <w:txbxContent>
                          <w:p w14:paraId="15463E4D" w14:textId="77777777" w:rsidR="001254C0" w:rsidRDefault="001254C0">
                            <w:pPr>
                              <w:textDirection w:val="btLr"/>
                            </w:pPr>
                          </w:p>
                        </w:txbxContent>
                      </wps:txbx>
                      <wps:bodyPr spcFirstLastPara="1" wrap="square" lIns="91425" tIns="91425" rIns="91425" bIns="91425" anchor="ctr" anchorCtr="0">
                        <a:noAutofit/>
                      </wps:bodyPr>
                    </wps:wsp>
                  </a:graphicData>
                </a:graphic>
              </wp:anchor>
            </w:drawing>
          </mc:Choice>
          <mc:Fallback>
            <w:pict>
              <v:rect w14:anchorId="207734C0" id="Rectángulo 2140131841" o:spid="_x0000_s1027" style="position:absolute;left:0;text-align:left;margin-left:11.7pt;margin-top:135.35pt;width:411.75pt;height:4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" filled="f" strokecolor="#c00000" strokeweight="3pt">
                <v:stroke startarrowwidth="narrow" startarrowlength="short" endarrowwidth="narrow" endarrowlength="short" joinstyle="round"/>
                <v:textbox inset="2.53958mm,2.53958mm,2.53958mm,2.53958mm">
                  <w:txbxContent>
                    <w:p w14:paraId="15463E4D" w14:textId="77777777" w:rsidR="001254C0" w:rsidRDefault="001254C0">
                      <w:pPr>
                        <w:textDirection w:val="btLr"/>
                      </w:pPr>
                    </w:p>
                  </w:txbxContent>
                </v:textbox>
              </v:rect>
            </w:pict>
          </mc:Fallback>
        </mc:AlternateContent>
      </w:r>
      <w:r w:rsidRPr="00614F2E">
        <w:rPr>
          <w:noProof/>
        </w:rPr>
        <mc:AlternateContent>
          <mc:Choice Requires="wps">
            <w:drawing>
              <wp:anchor distT="0" distB="0" distL="114300" distR="114300" simplePos="0" relativeHeight="251660288" behindDoc="0" locked="0" layoutInCell="1" hidden="0" allowOverlap="1" wp14:anchorId="70FAB37C" wp14:editId="5CC47FDA">
                <wp:simplePos x="0" y="0"/>
                <wp:positionH relativeFrom="column">
                  <wp:posOffset>191452</wp:posOffset>
                </wp:positionH>
                <wp:positionV relativeFrom="paragraph">
                  <wp:posOffset>3442970</wp:posOffset>
                </wp:positionV>
                <wp:extent cx="5229225" cy="876300"/>
                <wp:effectExtent l="0" t="0" r="0" b="0"/>
                <wp:wrapNone/>
                <wp:docPr id="2140131843" name="Rectángulo 2140131843"/>
                <wp:cNvGraphicFramePr/>
                <a:graphic xmlns:a="http://schemas.openxmlformats.org/drawingml/2006/main">
                  <a:graphicData uri="http://schemas.microsoft.com/office/word/2010/wordprocessingShape">
                    <wps:wsp>
                      <wps:cNvSpPr/>
                      <wps:spPr>
                        <a:xfrm>
                          <a:off x="2750438" y="3360900"/>
                          <a:ext cx="5191125" cy="838200"/>
                        </a:xfrm>
                        <a:prstGeom prst="rect">
                          <a:avLst/>
                        </a:prstGeom>
                        <a:noFill/>
                        <a:ln w="38100" cap="flat" cmpd="sng">
                          <a:solidFill>
                            <a:srgbClr val="C00000"/>
                          </a:solidFill>
                          <a:prstDash val="solid"/>
                          <a:round/>
                          <a:headEnd type="none" w="sm" len="sm"/>
                          <a:tailEnd type="none" w="sm" len="sm"/>
                        </a:ln>
                      </wps:spPr>
                      <wps:txbx>
                        <w:txbxContent>
                          <w:p w14:paraId="6106007F" w14:textId="77777777" w:rsidR="001254C0" w:rsidRDefault="001254C0">
                            <w:pPr>
                              <w:textDirection w:val="btLr"/>
                            </w:pPr>
                          </w:p>
                        </w:txbxContent>
                      </wps:txbx>
                      <wps:bodyPr spcFirstLastPara="1" wrap="square" lIns="91425" tIns="91425" rIns="91425" bIns="91425" anchor="ctr" anchorCtr="0">
                        <a:noAutofit/>
                      </wps:bodyPr>
                    </wps:wsp>
                  </a:graphicData>
                </a:graphic>
              </wp:anchor>
            </w:drawing>
          </mc:Choice>
          <mc:Fallback>
            <w:pict>
              <v:rect w14:anchorId="70FAB37C" id="Rectángulo 2140131843" o:spid="_x0000_s1028" style="position:absolute;left:0;text-align:left;margin-left:15.05pt;margin-top:271.1pt;width:411.75pt;height:6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" filled="f" strokecolor="#c00000" strokeweight="3pt">
                <v:stroke startarrowwidth="narrow" startarrowlength="short" endarrowwidth="narrow" endarrowlength="short" joinstyle="round"/>
                <v:textbox inset="2.53958mm,2.53958mm,2.53958mm,2.53958mm">
                  <w:txbxContent>
                    <w:p w14:paraId="6106007F" w14:textId="77777777" w:rsidR="001254C0" w:rsidRDefault="001254C0">
                      <w:pPr>
                        <w:textDirection w:val="btLr"/>
                      </w:pPr>
                    </w:p>
                  </w:txbxContent>
                </v:textbox>
              </v:rect>
            </w:pict>
          </mc:Fallback>
        </mc:AlternateContent>
      </w:r>
      <w:r w:rsidRPr="00614F2E">
        <w:rPr>
          <w:noProof/>
        </w:rPr>
        <mc:AlternateContent>
          <mc:Choice Requires="wps">
            <w:drawing>
              <wp:anchor distT="0" distB="0" distL="114300" distR="114300" simplePos="0" relativeHeight="251661312" behindDoc="0" locked="0" layoutInCell="1" hidden="0" allowOverlap="1" wp14:anchorId="7969A5EF" wp14:editId="650FB690">
                <wp:simplePos x="0" y="0"/>
                <wp:positionH relativeFrom="column">
                  <wp:posOffset>191452</wp:posOffset>
                </wp:positionH>
                <wp:positionV relativeFrom="paragraph">
                  <wp:posOffset>4690745</wp:posOffset>
                </wp:positionV>
                <wp:extent cx="5229225" cy="276225"/>
                <wp:effectExtent l="0" t="0" r="0" b="0"/>
                <wp:wrapNone/>
                <wp:docPr id="2140131840" name="Rectángulo 2140131840"/>
                <wp:cNvGraphicFramePr/>
                <a:graphic xmlns:a="http://schemas.openxmlformats.org/drawingml/2006/main">
                  <a:graphicData uri="http://schemas.microsoft.com/office/word/2010/wordprocessingShape">
                    <wps:wsp>
                      <wps:cNvSpPr/>
                      <wps:spPr>
                        <a:xfrm>
                          <a:off x="2750438" y="3660938"/>
                          <a:ext cx="5191125" cy="238125"/>
                        </a:xfrm>
                        <a:prstGeom prst="rect">
                          <a:avLst/>
                        </a:prstGeom>
                        <a:noFill/>
                        <a:ln w="38100" cap="flat" cmpd="sng">
                          <a:solidFill>
                            <a:srgbClr val="C00000"/>
                          </a:solidFill>
                          <a:prstDash val="solid"/>
                          <a:round/>
                          <a:headEnd type="none" w="sm" len="sm"/>
                          <a:tailEnd type="none" w="sm" len="sm"/>
                        </a:ln>
                      </wps:spPr>
                      <wps:txbx>
                        <w:txbxContent>
                          <w:p w14:paraId="4D9AFD37" w14:textId="77777777" w:rsidR="001254C0" w:rsidRDefault="001254C0">
                            <w:pPr>
                              <w:textDirection w:val="btLr"/>
                            </w:pPr>
                          </w:p>
                        </w:txbxContent>
                      </wps:txbx>
                      <wps:bodyPr spcFirstLastPara="1" wrap="square" lIns="91425" tIns="91425" rIns="91425" bIns="91425" anchor="ctr" anchorCtr="0">
                        <a:noAutofit/>
                      </wps:bodyPr>
                    </wps:wsp>
                  </a:graphicData>
                </a:graphic>
              </wp:anchor>
            </w:drawing>
          </mc:Choice>
          <mc:Fallback>
            <w:pict>
              <v:rect w14:anchorId="7969A5EF" id="Rectángulo 2140131840" o:spid="_x0000_s1029" style="position:absolute;left:0;text-align:left;margin-left:15.05pt;margin-top:369.35pt;width:411.75pt;height:21.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" filled="f" strokecolor="#c00000" strokeweight="3pt">
                <v:stroke startarrowwidth="narrow" startarrowlength="short" endarrowwidth="narrow" endarrowlength="short" joinstyle="round"/>
                <v:textbox inset="2.53958mm,2.53958mm,2.53958mm,2.53958mm">
                  <w:txbxContent>
                    <w:p w14:paraId="4D9AFD37" w14:textId="77777777" w:rsidR="001254C0" w:rsidRDefault="001254C0">
                      <w:pPr>
                        <w:textDirection w:val="btLr"/>
                      </w:pPr>
                    </w:p>
                  </w:txbxContent>
                </v:textbox>
              </v:rect>
            </w:pict>
          </mc:Fallback>
        </mc:AlternateContent>
      </w:r>
      <w:r w:rsidRPr="00614F2E">
        <w:rPr>
          <w:noProof/>
        </w:rPr>
        <mc:AlternateContent>
          <mc:Choice Requires="wps">
            <w:drawing>
              <wp:anchor distT="0" distB="0" distL="114300" distR="114300" simplePos="0" relativeHeight="251662336" behindDoc="0" locked="0" layoutInCell="1" hidden="0" allowOverlap="1" wp14:anchorId="26DB8C27" wp14:editId="4F9C85D7">
                <wp:simplePos x="0" y="0"/>
                <wp:positionH relativeFrom="column">
                  <wp:posOffset>163830</wp:posOffset>
                </wp:positionH>
                <wp:positionV relativeFrom="paragraph">
                  <wp:posOffset>5100320</wp:posOffset>
                </wp:positionV>
                <wp:extent cx="5229225" cy="276225"/>
                <wp:effectExtent l="0" t="0" r="0" b="0"/>
                <wp:wrapNone/>
                <wp:docPr id="2140131845" name="Rectángulo 2140131845"/>
                <wp:cNvGraphicFramePr/>
                <a:graphic xmlns:a="http://schemas.openxmlformats.org/drawingml/2006/main">
                  <a:graphicData uri="http://schemas.microsoft.com/office/word/2010/wordprocessingShape">
                    <wps:wsp>
                      <wps:cNvSpPr/>
                      <wps:spPr>
                        <a:xfrm>
                          <a:off x="2750438" y="3660938"/>
                          <a:ext cx="5191125" cy="238125"/>
                        </a:xfrm>
                        <a:prstGeom prst="rect">
                          <a:avLst/>
                        </a:prstGeom>
                        <a:noFill/>
                        <a:ln w="38100" cap="flat" cmpd="sng">
                          <a:solidFill>
                            <a:srgbClr val="C00000"/>
                          </a:solidFill>
                          <a:prstDash val="solid"/>
                          <a:round/>
                          <a:headEnd type="none" w="sm" len="sm"/>
                          <a:tailEnd type="none" w="sm" len="sm"/>
                        </a:ln>
                      </wps:spPr>
                      <wps:txbx>
                        <w:txbxContent>
                          <w:p w14:paraId="32600276" w14:textId="77777777" w:rsidR="001254C0" w:rsidRDefault="001254C0">
                            <w:pPr>
                              <w:textDirection w:val="btLr"/>
                            </w:pPr>
                          </w:p>
                        </w:txbxContent>
                      </wps:txbx>
                      <wps:bodyPr spcFirstLastPara="1" wrap="square" lIns="91425" tIns="91425" rIns="91425" bIns="91425" anchor="ctr" anchorCtr="0">
                        <a:noAutofit/>
                      </wps:bodyPr>
                    </wps:wsp>
                  </a:graphicData>
                </a:graphic>
              </wp:anchor>
            </w:drawing>
          </mc:Choice>
          <mc:Fallback>
            <w:pict>
              <v:rect w14:anchorId="26DB8C27" id="Rectángulo 2140131845" o:spid="_x0000_s1030" style="position:absolute;left:0;text-align:left;margin-left:12.9pt;margin-top:401.6pt;width:411.75pt;height:21.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" filled="f" strokecolor="#c00000" strokeweight="3pt">
                <v:stroke startarrowwidth="narrow" startarrowlength="short" endarrowwidth="narrow" endarrowlength="short" joinstyle="round"/>
                <v:textbox inset="2.53958mm,2.53958mm,2.53958mm,2.53958mm">
                  <w:txbxContent>
                    <w:p w14:paraId="32600276" w14:textId="77777777" w:rsidR="001254C0" w:rsidRDefault="001254C0">
                      <w:pPr>
                        <w:textDirection w:val="btLr"/>
                      </w:pPr>
                    </w:p>
                  </w:txbxContent>
                </v:textbox>
              </v:rect>
            </w:pict>
          </mc:Fallback>
        </mc:AlternateContent>
      </w:r>
    </w:p>
    <w:p w14:paraId="5CB83524" w14:textId="77777777" w:rsidR="001254C0" w:rsidRPr="00614F2E" w:rsidRDefault="00DA026C">
      <w:pPr>
        <w:spacing w:line="360" w:lineRule="auto"/>
        <w:jc w:val="center"/>
        <w:rPr>
          <w:rFonts w:ascii="Palatino Linotype" w:eastAsia="Palatino Linotype" w:hAnsi="Palatino Linotype" w:cs="Palatino Linotype"/>
        </w:rPr>
      </w:pPr>
      <w:r w:rsidRPr="00614F2E">
        <w:rPr>
          <w:rFonts w:ascii="Palatino Linotype" w:eastAsia="Palatino Linotype" w:hAnsi="Palatino Linotype" w:cs="Palatino Linotype"/>
          <w:noProof/>
        </w:rPr>
        <w:drawing>
          <wp:inline distT="0" distB="0" distL="0" distR="0" wp14:anchorId="42C7627F" wp14:editId="761A705C">
            <wp:extent cx="5220000" cy="1017653"/>
            <wp:effectExtent l="0" t="0" r="0" b="0"/>
            <wp:docPr id="21401318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220000" cy="1017653"/>
                    </a:xfrm>
                    <a:prstGeom prst="rect">
                      <a:avLst/>
                    </a:prstGeom>
                    <a:ln/>
                  </pic:spPr>
                </pic:pic>
              </a:graphicData>
            </a:graphic>
          </wp:inline>
        </w:drawing>
      </w:r>
      <w:r w:rsidRPr="00614F2E">
        <w:rPr>
          <w:noProof/>
        </w:rPr>
        <mc:AlternateContent>
          <mc:Choice Requires="wps">
            <w:drawing>
              <wp:anchor distT="0" distB="0" distL="114300" distR="114300" simplePos="0" relativeHeight="251663360" behindDoc="0" locked="0" layoutInCell="1" hidden="0" allowOverlap="1" wp14:anchorId="6F556B89" wp14:editId="3B0B5930">
                <wp:simplePos x="0" y="0"/>
                <wp:positionH relativeFrom="column">
                  <wp:posOffset>191452</wp:posOffset>
                </wp:positionH>
                <wp:positionV relativeFrom="paragraph">
                  <wp:posOffset>247015</wp:posOffset>
                </wp:positionV>
                <wp:extent cx="5229225" cy="276225"/>
                <wp:effectExtent l="0" t="0" r="0" b="0"/>
                <wp:wrapNone/>
                <wp:docPr id="2140131842" name="Rectángulo 2140131842"/>
                <wp:cNvGraphicFramePr/>
                <a:graphic xmlns:a="http://schemas.openxmlformats.org/drawingml/2006/main">
                  <a:graphicData uri="http://schemas.microsoft.com/office/word/2010/wordprocessingShape">
                    <wps:wsp>
                      <wps:cNvSpPr/>
                      <wps:spPr>
                        <a:xfrm>
                          <a:off x="2750438" y="3660938"/>
                          <a:ext cx="5191125" cy="238125"/>
                        </a:xfrm>
                        <a:prstGeom prst="rect">
                          <a:avLst/>
                        </a:prstGeom>
                        <a:noFill/>
                        <a:ln w="38100" cap="flat" cmpd="sng">
                          <a:solidFill>
                            <a:srgbClr val="C00000"/>
                          </a:solidFill>
                          <a:prstDash val="solid"/>
                          <a:round/>
                          <a:headEnd type="none" w="sm" len="sm"/>
                          <a:tailEnd type="none" w="sm" len="sm"/>
                        </a:ln>
                      </wps:spPr>
                      <wps:txbx>
                        <w:txbxContent>
                          <w:p w14:paraId="68E67B76" w14:textId="77777777" w:rsidR="001254C0" w:rsidRDefault="001254C0">
                            <w:pPr>
                              <w:textDirection w:val="btLr"/>
                            </w:pPr>
                          </w:p>
                        </w:txbxContent>
                      </wps:txbx>
                      <wps:bodyPr spcFirstLastPara="1" wrap="square" lIns="91425" tIns="91425" rIns="91425" bIns="91425" anchor="ctr" anchorCtr="0">
                        <a:noAutofit/>
                      </wps:bodyPr>
                    </wps:wsp>
                  </a:graphicData>
                </a:graphic>
              </wp:anchor>
            </w:drawing>
          </mc:Choice>
          <mc:Fallback>
            <w:pict>
              <v:rect w14:anchorId="6F556B89" id="Rectángulo 2140131842" o:spid="_x0000_s1031" style="position:absolute;left:0;text-align:left;margin-left:15.05pt;margin-top:19.45pt;width:411.75pt;height:21.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" filled="f" strokecolor="#c00000" strokeweight="3pt">
                <v:stroke startarrowwidth="narrow" startarrowlength="short" endarrowwidth="narrow" endarrowlength="short" joinstyle="round"/>
                <v:textbox inset="2.53958mm,2.53958mm,2.53958mm,2.53958mm">
                  <w:txbxContent>
                    <w:p w14:paraId="68E67B76" w14:textId="77777777" w:rsidR="001254C0" w:rsidRDefault="001254C0">
                      <w:pPr>
                        <w:textDirection w:val="btLr"/>
                      </w:pPr>
                    </w:p>
                  </w:txbxContent>
                </v:textbox>
              </v:rect>
            </w:pict>
          </mc:Fallback>
        </mc:AlternateContent>
      </w:r>
    </w:p>
    <w:p w14:paraId="21DB8278" w14:textId="77777777" w:rsidR="001254C0" w:rsidRPr="00614F2E" w:rsidRDefault="00DA026C">
      <w:pPr>
        <w:spacing w:before="240" w:after="240"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rPr>
        <w:lastRenderedPageBreak/>
        <w:t xml:space="preserve">Con base en lo anterior, se estima que el Inventario de Bienes Inmuebles es el documento por medio del cual el Sujeto Obligado puede dar cumplimiento a la presente resolución, al ser el documento mediante el cual la persona solicitante podrá advertir la situación jurídica de los bienes inmuebles que son de su interés, ya que dicho documento contiene datos como el nombre del inmueble, su ubicación, la fecha de adquisición, el uso, la referencia al documento que ampara la posesión del inmueble, entre otros datos. </w:t>
      </w:r>
    </w:p>
    <w:p w14:paraId="7D28E7A4" w14:textId="77777777" w:rsidR="001254C0" w:rsidRPr="00614F2E" w:rsidRDefault="00DA026C">
      <w:pPr>
        <w:tabs>
          <w:tab w:val="left" w:pos="7665"/>
        </w:tabs>
        <w:spacing w:before="73" w:line="360" w:lineRule="auto"/>
        <w:ind w:left="140" w:right="97"/>
        <w:jc w:val="both"/>
        <w:rPr>
          <w:rFonts w:ascii="Palatino Linotype" w:eastAsia="Palatino Linotype" w:hAnsi="Palatino Linotype" w:cs="Palatino Linotype"/>
        </w:rPr>
      </w:pPr>
      <w:r w:rsidRPr="00614F2E">
        <w:rPr>
          <w:rFonts w:ascii="Palatino Linotype" w:eastAsia="Palatino Linotype" w:hAnsi="Palatino Linotype" w:cs="Palatino Linotype"/>
        </w:rPr>
        <w:t>Finalmente, y no menos importante, es preciso mencionar que la Ley de Bienes del Estado de México dispone que los bienes pueden dividirse en públicos y privados, clasificando los bienes de dominio público a los bienes de uso común y los bienes destinados al servicio público, siendo estos últimos aquéllos que utilicen los poderes del Estado y los municipios para el desarrollo de sus actividades o los que de hecho se utilicen para la prestación de servicios públicos o actividades equiparables a ellos como lo es el caso en específico requerido por la parte Recurrente, conforme lo siguiente:</w:t>
      </w:r>
    </w:p>
    <w:p w14:paraId="254B8BAC" w14:textId="77777777" w:rsidR="001254C0" w:rsidRPr="00614F2E" w:rsidRDefault="00DA026C">
      <w:pPr>
        <w:tabs>
          <w:tab w:val="left" w:pos="7665"/>
        </w:tabs>
        <w:spacing w:before="120" w:after="120"/>
        <w:ind w:left="851" w:right="902"/>
        <w:jc w:val="both"/>
        <w:rPr>
          <w:rFonts w:ascii="Palatino Linotype" w:eastAsia="Palatino Linotype" w:hAnsi="Palatino Linotype" w:cs="Palatino Linotype"/>
          <w:i/>
        </w:rPr>
      </w:pPr>
      <w:r w:rsidRPr="00614F2E">
        <w:rPr>
          <w:rFonts w:ascii="Palatino Linotype" w:eastAsia="Palatino Linotype" w:hAnsi="Palatino Linotype" w:cs="Palatino Linotype"/>
        </w:rPr>
        <w:t>“</w:t>
      </w:r>
      <w:r w:rsidRPr="00614F2E">
        <w:rPr>
          <w:rFonts w:ascii="Palatino Linotype" w:eastAsia="Palatino Linotype" w:hAnsi="Palatino Linotype" w:cs="Palatino Linotype"/>
          <w:b/>
          <w:i/>
        </w:rPr>
        <w:t>Artículo 12</w:t>
      </w:r>
      <w:r w:rsidRPr="00614F2E">
        <w:rPr>
          <w:rFonts w:ascii="Palatino Linotype" w:eastAsia="Palatino Linotype" w:hAnsi="Palatino Linotype" w:cs="Palatino Linotype"/>
          <w:i/>
        </w:rPr>
        <w:t>.- El Estado de México y sus municipios tienen personalidad jurídica para adquirir y poseer bienes para la prestación de los servicios públicos y el cumplimiento de sus fines.</w:t>
      </w:r>
    </w:p>
    <w:p w14:paraId="5E39FA28" w14:textId="77777777" w:rsidR="001254C0" w:rsidRPr="00614F2E" w:rsidRDefault="00DA026C">
      <w:pPr>
        <w:tabs>
          <w:tab w:val="left" w:pos="7665"/>
        </w:tabs>
        <w:spacing w:before="120" w:after="120"/>
        <w:ind w:left="851" w:right="902"/>
        <w:jc w:val="both"/>
        <w:rPr>
          <w:rFonts w:ascii="Palatino Linotype" w:eastAsia="Palatino Linotype" w:hAnsi="Palatino Linotype" w:cs="Palatino Linotype"/>
          <w:i/>
        </w:rPr>
      </w:pPr>
      <w:r w:rsidRPr="00614F2E">
        <w:rPr>
          <w:rFonts w:ascii="Palatino Linotype" w:eastAsia="Palatino Linotype" w:hAnsi="Palatino Linotype" w:cs="Palatino Linotype"/>
          <w:b/>
          <w:i/>
        </w:rPr>
        <w:t>Artículo 13.-</w:t>
      </w:r>
      <w:r w:rsidRPr="00614F2E">
        <w:rPr>
          <w:rFonts w:ascii="Palatino Linotype" w:eastAsia="Palatino Linotype" w:hAnsi="Palatino Linotype" w:cs="Palatino Linotype"/>
          <w:i/>
        </w:rPr>
        <w:t xml:space="preserve"> Los bienes del Estado de México y sus municipios son:</w:t>
      </w:r>
    </w:p>
    <w:p w14:paraId="713EC4F8" w14:textId="77777777" w:rsidR="001254C0" w:rsidRPr="00614F2E" w:rsidRDefault="00DA026C">
      <w:pPr>
        <w:pBdr>
          <w:top w:val="nil"/>
          <w:left w:val="nil"/>
          <w:bottom w:val="nil"/>
          <w:right w:val="nil"/>
          <w:between w:val="nil"/>
        </w:pBdr>
        <w:tabs>
          <w:tab w:val="left" w:pos="7665"/>
        </w:tabs>
        <w:spacing w:before="120" w:after="120"/>
        <w:ind w:left="851" w:right="902"/>
        <w:jc w:val="both"/>
        <w:rPr>
          <w:rFonts w:ascii="Palatino Linotype" w:eastAsia="Palatino Linotype" w:hAnsi="Palatino Linotype" w:cs="Palatino Linotype"/>
          <w:i/>
        </w:rPr>
      </w:pPr>
      <w:r w:rsidRPr="00614F2E">
        <w:rPr>
          <w:rFonts w:ascii="Palatino Linotype" w:eastAsia="Palatino Linotype" w:hAnsi="Palatino Linotype" w:cs="Palatino Linotype"/>
          <w:b/>
          <w:i/>
        </w:rPr>
        <w:t>I.</w:t>
      </w:r>
      <w:r w:rsidRPr="00614F2E">
        <w:rPr>
          <w:rFonts w:ascii="Palatino Linotype" w:eastAsia="Palatino Linotype" w:hAnsi="Palatino Linotype" w:cs="Palatino Linotype"/>
          <w:i/>
        </w:rPr>
        <w:t xml:space="preserve"> Bienes del dominio público; y</w:t>
      </w:r>
    </w:p>
    <w:p w14:paraId="10174247" w14:textId="77777777" w:rsidR="001254C0" w:rsidRPr="00614F2E" w:rsidRDefault="00DA026C">
      <w:pPr>
        <w:pBdr>
          <w:top w:val="nil"/>
          <w:left w:val="nil"/>
          <w:bottom w:val="nil"/>
          <w:right w:val="nil"/>
          <w:between w:val="nil"/>
        </w:pBdr>
        <w:tabs>
          <w:tab w:val="left" w:pos="7665"/>
        </w:tabs>
        <w:spacing w:before="120" w:after="120"/>
        <w:ind w:left="851" w:right="902"/>
        <w:jc w:val="both"/>
        <w:rPr>
          <w:rFonts w:ascii="Palatino Linotype" w:eastAsia="Palatino Linotype" w:hAnsi="Palatino Linotype" w:cs="Palatino Linotype"/>
          <w:i/>
        </w:rPr>
      </w:pPr>
      <w:r w:rsidRPr="00614F2E">
        <w:rPr>
          <w:rFonts w:ascii="Palatino Linotype" w:eastAsia="Palatino Linotype" w:hAnsi="Palatino Linotype" w:cs="Palatino Linotype"/>
          <w:b/>
          <w:i/>
        </w:rPr>
        <w:t>II</w:t>
      </w:r>
      <w:r w:rsidRPr="00614F2E">
        <w:rPr>
          <w:rFonts w:ascii="Palatino Linotype" w:eastAsia="Palatino Linotype" w:hAnsi="Palatino Linotype" w:cs="Palatino Linotype"/>
          <w:i/>
        </w:rPr>
        <w:t xml:space="preserve">. Bienes del dominio privado. </w:t>
      </w:r>
    </w:p>
    <w:p w14:paraId="67564BB9" w14:textId="77777777" w:rsidR="001254C0" w:rsidRPr="00614F2E" w:rsidRDefault="00DA026C">
      <w:pPr>
        <w:tabs>
          <w:tab w:val="left" w:pos="7665"/>
        </w:tabs>
        <w:spacing w:before="120" w:after="120"/>
        <w:ind w:left="851" w:right="902"/>
        <w:jc w:val="both"/>
        <w:rPr>
          <w:rFonts w:ascii="Palatino Linotype" w:eastAsia="Palatino Linotype" w:hAnsi="Palatino Linotype" w:cs="Palatino Linotype"/>
          <w:i/>
        </w:rPr>
      </w:pPr>
      <w:r w:rsidRPr="00614F2E">
        <w:rPr>
          <w:rFonts w:ascii="Palatino Linotype" w:eastAsia="Palatino Linotype" w:hAnsi="Palatino Linotype" w:cs="Palatino Linotype"/>
          <w:b/>
          <w:i/>
        </w:rPr>
        <w:t>Artículo 14.-</w:t>
      </w:r>
      <w:r w:rsidRPr="00614F2E">
        <w:rPr>
          <w:rFonts w:ascii="Palatino Linotype" w:eastAsia="Palatino Linotype" w:hAnsi="Palatino Linotype" w:cs="Palatino Linotype"/>
          <w:i/>
        </w:rPr>
        <w:t xml:space="preserve"> Los bienes del dominio público, se clasifican en: </w:t>
      </w:r>
    </w:p>
    <w:p w14:paraId="74A3DF4E" w14:textId="77777777" w:rsidR="001254C0" w:rsidRPr="00614F2E" w:rsidRDefault="00DA026C">
      <w:pPr>
        <w:pBdr>
          <w:top w:val="nil"/>
          <w:left w:val="nil"/>
          <w:bottom w:val="nil"/>
          <w:right w:val="nil"/>
          <w:between w:val="nil"/>
        </w:pBdr>
        <w:tabs>
          <w:tab w:val="left" w:pos="7665"/>
        </w:tabs>
        <w:spacing w:before="120" w:after="120"/>
        <w:ind w:left="851" w:right="902"/>
        <w:jc w:val="both"/>
        <w:rPr>
          <w:rFonts w:ascii="Palatino Linotype" w:eastAsia="Palatino Linotype" w:hAnsi="Palatino Linotype" w:cs="Palatino Linotype"/>
          <w:i/>
        </w:rPr>
      </w:pPr>
      <w:r w:rsidRPr="00614F2E">
        <w:rPr>
          <w:rFonts w:ascii="Palatino Linotype" w:eastAsia="Palatino Linotype" w:hAnsi="Palatino Linotype" w:cs="Palatino Linotype"/>
          <w:b/>
          <w:i/>
        </w:rPr>
        <w:t>I</w:t>
      </w:r>
      <w:r w:rsidRPr="00614F2E">
        <w:rPr>
          <w:rFonts w:ascii="Palatino Linotype" w:eastAsia="Palatino Linotype" w:hAnsi="Palatino Linotype" w:cs="Palatino Linotype"/>
          <w:i/>
        </w:rPr>
        <w:t xml:space="preserve">. Bienes de uso común; y </w:t>
      </w:r>
    </w:p>
    <w:p w14:paraId="4DBAB124" w14:textId="77777777" w:rsidR="001254C0" w:rsidRPr="00614F2E" w:rsidRDefault="00DA026C">
      <w:pPr>
        <w:pBdr>
          <w:top w:val="nil"/>
          <w:left w:val="nil"/>
          <w:bottom w:val="nil"/>
          <w:right w:val="nil"/>
          <w:between w:val="nil"/>
        </w:pBdr>
        <w:tabs>
          <w:tab w:val="left" w:pos="7665"/>
        </w:tabs>
        <w:spacing w:before="120" w:after="120"/>
        <w:ind w:left="851" w:right="902"/>
        <w:jc w:val="both"/>
        <w:rPr>
          <w:rFonts w:ascii="Palatino Linotype" w:eastAsia="Palatino Linotype" w:hAnsi="Palatino Linotype" w:cs="Palatino Linotype"/>
          <w:i/>
        </w:rPr>
      </w:pPr>
      <w:r w:rsidRPr="00614F2E">
        <w:rPr>
          <w:rFonts w:ascii="Palatino Linotype" w:eastAsia="Palatino Linotype" w:hAnsi="Palatino Linotype" w:cs="Palatino Linotype"/>
          <w:b/>
          <w:i/>
        </w:rPr>
        <w:t>II.</w:t>
      </w:r>
      <w:r w:rsidRPr="00614F2E">
        <w:rPr>
          <w:rFonts w:ascii="Palatino Linotype" w:eastAsia="Palatino Linotype" w:hAnsi="Palatino Linotype" w:cs="Palatino Linotype"/>
          <w:i/>
        </w:rPr>
        <w:t xml:space="preserve"> Bienes destinados a un servicio público. </w:t>
      </w:r>
    </w:p>
    <w:p w14:paraId="0E2A8B05" w14:textId="77777777" w:rsidR="001254C0" w:rsidRPr="00614F2E" w:rsidRDefault="00DA026C">
      <w:pPr>
        <w:pBdr>
          <w:top w:val="nil"/>
          <w:left w:val="nil"/>
          <w:bottom w:val="nil"/>
          <w:right w:val="nil"/>
          <w:between w:val="nil"/>
        </w:pBdr>
        <w:tabs>
          <w:tab w:val="left" w:pos="7665"/>
        </w:tabs>
        <w:spacing w:before="120" w:after="120"/>
        <w:ind w:left="851" w:right="902"/>
        <w:jc w:val="both"/>
        <w:rPr>
          <w:rFonts w:ascii="Palatino Linotype" w:eastAsia="Palatino Linotype" w:hAnsi="Palatino Linotype" w:cs="Palatino Linotype"/>
          <w:i/>
        </w:rPr>
      </w:pPr>
      <w:r w:rsidRPr="00614F2E">
        <w:rPr>
          <w:rFonts w:ascii="Palatino Linotype" w:eastAsia="Palatino Linotype" w:hAnsi="Palatino Linotype" w:cs="Palatino Linotype"/>
          <w:i/>
        </w:rPr>
        <w:lastRenderedPageBreak/>
        <w:t xml:space="preserve">También se consideran bienes del dominio público, las pinturas, murales, esculturas y cualquier obra artística incorporada o adherida permanentemente a los inmuebles del Estado, de los municipios o de sus organismos auxiliares, cuya conservación sea de interés general; los muebles de propiedad estatal o municipal que por su naturaleza no sean normalmente sustituibles, como documentos y expedientes de las oficinas, manuscritos, incunables, ediciones, libros, documentos, publicaciones periódicas, mapas, planos, folletos y grabados importantes o raros, así como las colecciones de estos bienes, colecciones, científicas o técnicas, de armas, numismáticas y filatélicas, archivos, </w:t>
      </w:r>
      <w:proofErr w:type="spellStart"/>
      <w:r w:rsidRPr="00614F2E">
        <w:rPr>
          <w:rFonts w:ascii="Palatino Linotype" w:eastAsia="Palatino Linotype" w:hAnsi="Palatino Linotype" w:cs="Palatino Linotype"/>
          <w:i/>
        </w:rPr>
        <w:t>fonograbaciones</w:t>
      </w:r>
      <w:proofErr w:type="spellEnd"/>
      <w:r w:rsidRPr="00614F2E">
        <w:rPr>
          <w:rFonts w:ascii="Palatino Linotype" w:eastAsia="Palatino Linotype" w:hAnsi="Palatino Linotype" w:cs="Palatino Linotype"/>
          <w:i/>
        </w:rPr>
        <w:t>, películas, videos; archivos fotográficos, cintas magnetofónicas y cualquier otro objeto que contenga imágenes o sonido y las piezas artísticas o históricas de los museos.</w:t>
      </w:r>
    </w:p>
    <w:p w14:paraId="11240999" w14:textId="77777777" w:rsidR="001254C0" w:rsidRPr="00614F2E" w:rsidRDefault="00DA026C">
      <w:pPr>
        <w:tabs>
          <w:tab w:val="left" w:pos="7665"/>
        </w:tabs>
        <w:spacing w:before="120" w:after="120"/>
        <w:ind w:left="851" w:right="902"/>
        <w:jc w:val="both"/>
        <w:rPr>
          <w:rFonts w:ascii="Palatino Linotype" w:eastAsia="Palatino Linotype" w:hAnsi="Palatino Linotype" w:cs="Palatino Linotype"/>
          <w:i/>
        </w:rPr>
      </w:pPr>
      <w:r w:rsidRPr="00614F2E">
        <w:rPr>
          <w:rFonts w:ascii="Palatino Linotype" w:eastAsia="Palatino Linotype" w:hAnsi="Palatino Linotype" w:cs="Palatino Linotype"/>
          <w:b/>
          <w:i/>
        </w:rPr>
        <w:t>Artículo 17</w:t>
      </w:r>
      <w:r w:rsidRPr="00614F2E">
        <w:rPr>
          <w:rFonts w:ascii="Palatino Linotype" w:eastAsia="Palatino Linotype" w:hAnsi="Palatino Linotype" w:cs="Palatino Linotype"/>
          <w:b/>
          <w:i/>
          <w:u w:val="single"/>
        </w:rPr>
        <w:t>.-</w:t>
      </w:r>
      <w:r w:rsidRPr="00614F2E">
        <w:rPr>
          <w:rFonts w:ascii="Palatino Linotype" w:eastAsia="Palatino Linotype" w:hAnsi="Palatino Linotype" w:cs="Palatino Linotype"/>
          <w:i/>
          <w:u w:val="single"/>
        </w:rPr>
        <w:t xml:space="preserve"> Son bienes destinados a un servicio público</w:t>
      </w:r>
      <w:r w:rsidRPr="00614F2E">
        <w:rPr>
          <w:rFonts w:ascii="Palatino Linotype" w:eastAsia="Palatino Linotype" w:hAnsi="Palatino Linotype" w:cs="Palatino Linotype"/>
          <w:i/>
        </w:rPr>
        <w:t>, aquéllos que utilicen los poderes del Estado y los municipios para el desarrollo de sus actividades o los que de hecho se utilicen para la prestación de servicios públicos o actividades equiparables a ellos.</w:t>
      </w:r>
    </w:p>
    <w:p w14:paraId="2E90F0B3" w14:textId="77777777" w:rsidR="001254C0" w:rsidRPr="00614F2E" w:rsidRDefault="00DA026C">
      <w:pPr>
        <w:tabs>
          <w:tab w:val="left" w:pos="7665"/>
        </w:tabs>
        <w:spacing w:before="120" w:after="120"/>
        <w:ind w:left="851" w:right="902"/>
        <w:jc w:val="both"/>
        <w:rPr>
          <w:rFonts w:ascii="Palatino Linotype" w:eastAsia="Palatino Linotype" w:hAnsi="Palatino Linotype" w:cs="Palatino Linotype"/>
          <w:i/>
        </w:rPr>
      </w:pPr>
      <w:r w:rsidRPr="00614F2E">
        <w:rPr>
          <w:rFonts w:ascii="Palatino Linotype" w:eastAsia="Palatino Linotype" w:hAnsi="Palatino Linotype" w:cs="Palatino Linotype"/>
          <w:b/>
          <w:i/>
        </w:rPr>
        <w:t>Artículo 18.-</w:t>
      </w:r>
      <w:r w:rsidRPr="00614F2E">
        <w:rPr>
          <w:rFonts w:ascii="Palatino Linotype" w:eastAsia="Palatino Linotype" w:hAnsi="Palatino Linotype" w:cs="Palatino Linotype"/>
          <w:i/>
        </w:rPr>
        <w:t xml:space="preserve"> Son bienes destinados a un servicio público: </w:t>
      </w:r>
    </w:p>
    <w:p w14:paraId="096ECCC3" w14:textId="77777777" w:rsidR="001254C0" w:rsidRPr="00614F2E" w:rsidRDefault="00DA026C">
      <w:pPr>
        <w:pBdr>
          <w:top w:val="nil"/>
          <w:left w:val="nil"/>
          <w:bottom w:val="nil"/>
          <w:right w:val="nil"/>
          <w:between w:val="nil"/>
        </w:pBdr>
        <w:tabs>
          <w:tab w:val="left" w:pos="7665"/>
        </w:tabs>
        <w:spacing w:before="120" w:after="120"/>
        <w:ind w:left="851" w:right="902"/>
        <w:jc w:val="both"/>
        <w:rPr>
          <w:rFonts w:ascii="Palatino Linotype" w:eastAsia="Palatino Linotype" w:hAnsi="Palatino Linotype" w:cs="Palatino Linotype"/>
          <w:i/>
        </w:rPr>
      </w:pPr>
      <w:r w:rsidRPr="00614F2E">
        <w:rPr>
          <w:rFonts w:ascii="Palatino Linotype" w:eastAsia="Palatino Linotype" w:hAnsi="Palatino Linotype" w:cs="Palatino Linotype"/>
          <w:b/>
          <w:i/>
        </w:rPr>
        <w:t>I.</w:t>
      </w:r>
      <w:r w:rsidRPr="00614F2E">
        <w:rPr>
          <w:rFonts w:ascii="Palatino Linotype" w:eastAsia="Palatino Linotype" w:hAnsi="Palatino Linotype" w:cs="Palatino Linotype"/>
          <w:i/>
        </w:rPr>
        <w:t xml:space="preserve"> Los inmuebles destinados al servicio de los poderes públicos del Estado de México y de los ayuntamientos; </w:t>
      </w:r>
    </w:p>
    <w:p w14:paraId="7AB1FE1F" w14:textId="77777777" w:rsidR="001254C0" w:rsidRPr="00614F2E" w:rsidRDefault="00DA026C">
      <w:pPr>
        <w:pBdr>
          <w:top w:val="nil"/>
          <w:left w:val="nil"/>
          <w:bottom w:val="nil"/>
          <w:right w:val="nil"/>
          <w:between w:val="nil"/>
        </w:pBdr>
        <w:tabs>
          <w:tab w:val="left" w:pos="7665"/>
        </w:tabs>
        <w:spacing w:before="120" w:after="120"/>
        <w:ind w:left="851" w:right="902"/>
        <w:jc w:val="both"/>
        <w:rPr>
          <w:rFonts w:ascii="Palatino Linotype" w:eastAsia="Palatino Linotype" w:hAnsi="Palatino Linotype" w:cs="Palatino Linotype"/>
          <w:i/>
        </w:rPr>
      </w:pPr>
      <w:r w:rsidRPr="00614F2E">
        <w:rPr>
          <w:rFonts w:ascii="Palatino Linotype" w:eastAsia="Palatino Linotype" w:hAnsi="Palatino Linotype" w:cs="Palatino Linotype"/>
          <w:b/>
          <w:i/>
        </w:rPr>
        <w:t>II.</w:t>
      </w:r>
      <w:r w:rsidRPr="00614F2E">
        <w:rPr>
          <w:rFonts w:ascii="Palatino Linotype" w:eastAsia="Palatino Linotype" w:hAnsi="Palatino Linotype" w:cs="Palatino Linotype"/>
          <w:i/>
        </w:rPr>
        <w:t xml:space="preserve"> Los inmuebles de propiedad estatal destinados al servicio público de los gobiernos federal o municipales; </w:t>
      </w:r>
    </w:p>
    <w:p w14:paraId="196EEEB0" w14:textId="77777777" w:rsidR="001254C0" w:rsidRPr="00614F2E" w:rsidRDefault="00DA026C">
      <w:pPr>
        <w:pBdr>
          <w:top w:val="nil"/>
          <w:left w:val="nil"/>
          <w:bottom w:val="nil"/>
          <w:right w:val="nil"/>
          <w:between w:val="nil"/>
        </w:pBdr>
        <w:tabs>
          <w:tab w:val="left" w:pos="7665"/>
        </w:tabs>
        <w:spacing w:before="120" w:after="120"/>
        <w:ind w:left="851" w:right="902"/>
        <w:jc w:val="both"/>
        <w:rPr>
          <w:rFonts w:ascii="Palatino Linotype" w:eastAsia="Palatino Linotype" w:hAnsi="Palatino Linotype" w:cs="Palatino Linotype"/>
          <w:i/>
        </w:rPr>
      </w:pPr>
      <w:r w:rsidRPr="00614F2E">
        <w:rPr>
          <w:rFonts w:ascii="Palatino Linotype" w:eastAsia="Palatino Linotype" w:hAnsi="Palatino Linotype" w:cs="Palatino Linotype"/>
          <w:b/>
          <w:i/>
        </w:rPr>
        <w:t>III.</w:t>
      </w:r>
      <w:r w:rsidRPr="00614F2E">
        <w:rPr>
          <w:rFonts w:ascii="Palatino Linotype" w:eastAsia="Palatino Linotype" w:hAnsi="Palatino Linotype" w:cs="Palatino Linotype"/>
          <w:i/>
        </w:rPr>
        <w:t xml:space="preserve"> Los inmuebles propiedad municipal destinados al servicio de los gobiernos federal y estatal; </w:t>
      </w:r>
    </w:p>
    <w:p w14:paraId="4FC7A07E" w14:textId="77777777" w:rsidR="001254C0" w:rsidRPr="00614F2E" w:rsidRDefault="00DA026C">
      <w:pPr>
        <w:pBdr>
          <w:top w:val="nil"/>
          <w:left w:val="nil"/>
          <w:bottom w:val="nil"/>
          <w:right w:val="nil"/>
          <w:between w:val="nil"/>
        </w:pBdr>
        <w:tabs>
          <w:tab w:val="left" w:pos="7665"/>
        </w:tabs>
        <w:spacing w:before="120" w:after="120"/>
        <w:ind w:left="851" w:right="902"/>
        <w:jc w:val="both"/>
        <w:rPr>
          <w:rFonts w:ascii="Palatino Linotype" w:eastAsia="Palatino Linotype" w:hAnsi="Palatino Linotype" w:cs="Palatino Linotype"/>
          <w:i/>
        </w:rPr>
      </w:pPr>
      <w:r w:rsidRPr="00614F2E">
        <w:rPr>
          <w:rFonts w:ascii="Palatino Linotype" w:eastAsia="Palatino Linotype" w:hAnsi="Palatino Linotype" w:cs="Palatino Linotype"/>
          <w:b/>
          <w:i/>
        </w:rPr>
        <w:t>IV</w:t>
      </w:r>
      <w:r w:rsidRPr="00614F2E">
        <w:rPr>
          <w:rFonts w:ascii="Palatino Linotype" w:eastAsia="Palatino Linotype" w:hAnsi="Palatino Linotype" w:cs="Palatino Linotype"/>
          <w:i/>
        </w:rPr>
        <w:t xml:space="preserve">. Los inmuebles que forman parte del patrimonio de los organismos auxiliares estatales o municipales, que se utilicen en las actividades que tengan encomendadas conforme a sus respectivos objetos. No quedan comprendidos entre los bienes a que se refiere esta fracción los inmuebles que los organismos auxiliares utilicen para propósitos distintos a los de su objeto; </w:t>
      </w:r>
    </w:p>
    <w:p w14:paraId="3864D159" w14:textId="77777777" w:rsidR="001254C0" w:rsidRPr="00614F2E" w:rsidRDefault="00DA026C">
      <w:pPr>
        <w:pBdr>
          <w:top w:val="nil"/>
          <w:left w:val="nil"/>
          <w:bottom w:val="nil"/>
          <w:right w:val="nil"/>
          <w:between w:val="nil"/>
        </w:pBdr>
        <w:tabs>
          <w:tab w:val="left" w:pos="7665"/>
        </w:tabs>
        <w:spacing w:before="120" w:after="120"/>
        <w:ind w:left="851" w:right="902"/>
        <w:jc w:val="both"/>
        <w:rPr>
          <w:rFonts w:ascii="Palatino Linotype" w:eastAsia="Palatino Linotype" w:hAnsi="Palatino Linotype" w:cs="Palatino Linotype"/>
          <w:i/>
        </w:rPr>
      </w:pPr>
      <w:r w:rsidRPr="00614F2E">
        <w:rPr>
          <w:rFonts w:ascii="Palatino Linotype" w:eastAsia="Palatino Linotype" w:hAnsi="Palatino Linotype" w:cs="Palatino Linotype"/>
          <w:b/>
          <w:i/>
        </w:rPr>
        <w:t>V.</w:t>
      </w:r>
      <w:r w:rsidRPr="00614F2E">
        <w:rPr>
          <w:rFonts w:ascii="Palatino Linotype" w:eastAsia="Palatino Linotype" w:hAnsi="Palatino Linotype" w:cs="Palatino Linotype"/>
          <w:i/>
        </w:rPr>
        <w:t xml:space="preserve"> Los inmuebles utilizados para la prestación de servicios públicos estatales o municipales, tales como: mercados, rastros, hospitales, panteones públicos, zoológicos, jardines botánicos, museos, bibliotecas, parques y los demás similares o análogos a ellos; </w:t>
      </w:r>
    </w:p>
    <w:p w14:paraId="0EC0196E" w14:textId="77777777" w:rsidR="001254C0" w:rsidRPr="00614F2E" w:rsidRDefault="00DA026C">
      <w:pPr>
        <w:pBdr>
          <w:top w:val="nil"/>
          <w:left w:val="nil"/>
          <w:bottom w:val="nil"/>
          <w:right w:val="nil"/>
          <w:between w:val="nil"/>
        </w:pBdr>
        <w:tabs>
          <w:tab w:val="left" w:pos="7665"/>
        </w:tabs>
        <w:spacing w:before="120" w:after="120"/>
        <w:ind w:left="851" w:right="902"/>
        <w:jc w:val="both"/>
        <w:rPr>
          <w:rFonts w:ascii="Palatino Linotype" w:eastAsia="Palatino Linotype" w:hAnsi="Palatino Linotype" w:cs="Palatino Linotype"/>
          <w:i/>
        </w:rPr>
      </w:pPr>
      <w:r w:rsidRPr="00614F2E">
        <w:rPr>
          <w:rFonts w:ascii="Palatino Linotype" w:eastAsia="Palatino Linotype" w:hAnsi="Palatino Linotype" w:cs="Palatino Linotype"/>
          <w:b/>
          <w:i/>
        </w:rPr>
        <w:lastRenderedPageBreak/>
        <w:t>VI.</w:t>
      </w:r>
      <w:r w:rsidRPr="00614F2E">
        <w:rPr>
          <w:rFonts w:ascii="Palatino Linotype" w:eastAsia="Palatino Linotype" w:hAnsi="Palatino Linotype" w:cs="Palatino Linotype"/>
          <w:i/>
        </w:rPr>
        <w:t xml:space="preserve"> Los bienes muebles de propiedad estatal o municipal que tengan uso o utilidad en la prestación de un servicio público; y </w:t>
      </w:r>
    </w:p>
    <w:p w14:paraId="7A9C391F" w14:textId="77777777" w:rsidR="001254C0" w:rsidRPr="00614F2E" w:rsidRDefault="00DA026C">
      <w:pPr>
        <w:pBdr>
          <w:top w:val="nil"/>
          <w:left w:val="nil"/>
          <w:bottom w:val="nil"/>
          <w:right w:val="nil"/>
          <w:between w:val="nil"/>
        </w:pBdr>
        <w:tabs>
          <w:tab w:val="left" w:pos="7665"/>
        </w:tabs>
        <w:spacing w:before="120" w:after="120"/>
        <w:ind w:left="851" w:right="902"/>
        <w:jc w:val="both"/>
        <w:rPr>
          <w:rFonts w:ascii="Palatino Linotype" w:eastAsia="Palatino Linotype" w:hAnsi="Palatino Linotype" w:cs="Palatino Linotype"/>
          <w:i/>
        </w:rPr>
      </w:pPr>
      <w:r w:rsidRPr="00614F2E">
        <w:rPr>
          <w:rFonts w:ascii="Palatino Linotype" w:eastAsia="Palatino Linotype" w:hAnsi="Palatino Linotype" w:cs="Palatino Linotype"/>
          <w:b/>
          <w:i/>
        </w:rPr>
        <w:t>VII.</w:t>
      </w:r>
      <w:r w:rsidRPr="00614F2E">
        <w:rPr>
          <w:rFonts w:ascii="Palatino Linotype" w:eastAsia="Palatino Linotype" w:hAnsi="Palatino Linotype" w:cs="Palatino Linotype"/>
          <w:i/>
        </w:rPr>
        <w:t xml:space="preserve"> Los demás a los que las leyes les asignen este carácter. Se equiparán a los bienes destinados a un servicio público, los inmuebles asignados por la Oficialía Mayor o los ayuntamientos, en su caso, a los organismos auxiliares y fideicomisos públicos, estatales o municipales.”</w:t>
      </w:r>
    </w:p>
    <w:p w14:paraId="564841E3" w14:textId="66AE8102" w:rsidR="001254C0" w:rsidRPr="00614F2E" w:rsidRDefault="00DA026C">
      <w:pPr>
        <w:spacing w:before="240" w:after="240"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rPr>
        <w:t xml:space="preserve">Bajo esta óptica, para el caso de que derivado de la búsqueda que se ordena, no se localice documento que dé cuenta de la situación jurídica de los inmuebles que ocupan las 48 Delegaciones y 37 Subdelegaciones que integran el municipio de Toluca, </w:t>
      </w:r>
      <w:r w:rsidR="00DC7438" w:rsidRPr="00614F2E">
        <w:rPr>
          <w:rFonts w:ascii="Palatino Linotype" w:eastAsia="Palatino Linotype" w:hAnsi="Palatino Linotype" w:cs="Palatino Linotype"/>
        </w:rPr>
        <w:t xml:space="preserve">con excepción de los 12 inmuebles referidos en respuesta, </w:t>
      </w:r>
      <w:r w:rsidRPr="00614F2E">
        <w:rPr>
          <w:rFonts w:ascii="Palatino Linotype" w:eastAsia="Palatino Linotype" w:hAnsi="Palatino Linotype" w:cs="Palatino Linotype"/>
        </w:rPr>
        <w:t xml:space="preserve">por no ser propiedad del ayuntamiento, o </w:t>
      </w:r>
      <w:r w:rsidR="00DC7438" w:rsidRPr="00614F2E">
        <w:rPr>
          <w:rFonts w:ascii="Palatino Linotype" w:eastAsia="Palatino Linotype" w:hAnsi="Palatino Linotype" w:cs="Palatino Linotype"/>
        </w:rPr>
        <w:t xml:space="preserve">no </w:t>
      </w:r>
      <w:r w:rsidRPr="00614F2E">
        <w:rPr>
          <w:rFonts w:ascii="Palatino Linotype" w:eastAsia="Palatino Linotype" w:hAnsi="Palatino Linotype" w:cs="Palatino Linotype"/>
        </w:rPr>
        <w:t xml:space="preserve">encontrarse en posesión del mismo, deberá hacerlo de conocimiento de la persona solicitante </w:t>
      </w:r>
      <w:r w:rsidRPr="00614F2E">
        <w:rPr>
          <w:rFonts w:ascii="Palatino Linotype" w:eastAsia="Palatino Linotype" w:hAnsi="Palatino Linotype" w:cs="Palatino Linotype"/>
          <w:bCs/>
        </w:rPr>
        <w:t>de manera fundada y motivada,</w:t>
      </w:r>
      <w:r w:rsidRPr="00614F2E">
        <w:rPr>
          <w:rFonts w:ascii="Palatino Linotype" w:eastAsia="Palatino Linotype" w:hAnsi="Palatino Linotype" w:cs="Palatino Linotype"/>
        </w:rPr>
        <w:t xml:space="preserve"> en términos de lo dispuesto por el artículo 19, párrafo segundo de la Ley de Transparencia y Acceso a la Información Pública del Estado de México y Municipios, a saber:</w:t>
      </w:r>
    </w:p>
    <w:p w14:paraId="2D148366" w14:textId="77777777" w:rsidR="001254C0" w:rsidRPr="00614F2E" w:rsidRDefault="00DA026C">
      <w:pPr>
        <w:spacing w:before="120" w:after="120"/>
        <w:ind w:left="851"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i/>
          <w:sz w:val="22"/>
          <w:szCs w:val="22"/>
        </w:rPr>
        <w:t>“</w:t>
      </w:r>
      <w:r w:rsidRPr="00614F2E">
        <w:rPr>
          <w:rFonts w:ascii="Palatino Linotype" w:eastAsia="Palatino Linotype" w:hAnsi="Palatino Linotype" w:cs="Palatino Linotype"/>
          <w:b/>
          <w:i/>
          <w:sz w:val="22"/>
          <w:szCs w:val="22"/>
        </w:rPr>
        <w:t>Artículo 19</w:t>
      </w:r>
      <w:r w:rsidRPr="00614F2E">
        <w:rPr>
          <w:rFonts w:ascii="Palatino Linotype" w:eastAsia="Palatino Linotype" w:hAnsi="Palatino Linotype" w:cs="Palatino Linotype"/>
          <w:i/>
          <w:sz w:val="22"/>
          <w:szCs w:val="22"/>
        </w:rPr>
        <w:t>…</w:t>
      </w:r>
    </w:p>
    <w:p w14:paraId="0701A30B" w14:textId="77777777" w:rsidR="001254C0" w:rsidRPr="00614F2E" w:rsidRDefault="00DA026C">
      <w:pPr>
        <w:spacing w:before="120" w:after="120"/>
        <w:ind w:left="851"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64D89F4E" w14:textId="67371B82" w:rsidR="001254C0" w:rsidRPr="00614F2E" w:rsidRDefault="00DA026C">
      <w:pPr>
        <w:spacing w:before="240" w:after="240"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rPr>
        <w:t xml:space="preserve">Lo anterior, se estima así en virtud de que del marco normativo analizado para la resolución del presente asunto no se advirtió fuente obligacional que constriña al Ayuntamiento a </w:t>
      </w:r>
      <w:r w:rsidR="00DC7438" w:rsidRPr="00614F2E">
        <w:rPr>
          <w:rFonts w:ascii="Palatino Linotype" w:eastAsia="Palatino Linotype" w:hAnsi="Palatino Linotype" w:cs="Palatino Linotype"/>
        </w:rPr>
        <w:t xml:space="preserve">dotar de inmuebles a </w:t>
      </w:r>
      <w:r w:rsidRPr="00614F2E">
        <w:rPr>
          <w:rFonts w:ascii="Palatino Linotype" w:eastAsia="Palatino Linotype" w:hAnsi="Palatino Linotype" w:cs="Palatino Linotype"/>
        </w:rPr>
        <w:t>las Delegaciones y Subdelegaciones</w:t>
      </w:r>
      <w:r w:rsidR="00DC7438" w:rsidRPr="00614F2E">
        <w:rPr>
          <w:rFonts w:ascii="Palatino Linotype" w:eastAsia="Palatino Linotype" w:hAnsi="Palatino Linotype" w:cs="Palatino Linotype"/>
        </w:rPr>
        <w:t>, así como contar con un título de propiedad respecto de dichos los inmuebles, tal y como se desprende del artículo 4.11, párrafo primero del Código Reglamentario Municipal de Toluca, vigente:</w:t>
      </w:r>
    </w:p>
    <w:p w14:paraId="668F3312" w14:textId="6B827DE7" w:rsidR="00DC7438" w:rsidRPr="00614F2E" w:rsidRDefault="00DC7438" w:rsidP="00DC7438">
      <w:pPr>
        <w:spacing w:before="120" w:after="120"/>
        <w:ind w:left="851" w:right="902"/>
        <w:jc w:val="both"/>
        <w:rPr>
          <w:rFonts w:ascii="Palatino Linotype" w:eastAsia="Palatino Linotype" w:hAnsi="Palatino Linotype" w:cs="Palatino Linotype"/>
          <w:i/>
          <w:iCs/>
          <w:sz w:val="22"/>
          <w:szCs w:val="22"/>
        </w:rPr>
      </w:pPr>
      <w:r w:rsidRPr="00614F2E">
        <w:rPr>
          <w:rFonts w:ascii="Palatino Linotype" w:eastAsia="Palatino Linotype" w:hAnsi="Palatino Linotype" w:cs="Palatino Linotype"/>
          <w:i/>
          <w:iCs/>
          <w:sz w:val="22"/>
          <w:szCs w:val="22"/>
        </w:rPr>
        <w:lastRenderedPageBreak/>
        <w:t>“</w:t>
      </w:r>
      <w:r w:rsidRPr="00614F2E">
        <w:rPr>
          <w:rFonts w:ascii="Palatino Linotype" w:eastAsia="Palatino Linotype" w:hAnsi="Palatino Linotype" w:cs="Palatino Linotype"/>
          <w:b/>
          <w:bCs/>
          <w:i/>
          <w:iCs/>
          <w:sz w:val="22"/>
          <w:szCs w:val="22"/>
        </w:rPr>
        <w:t>Artículo 4.11</w:t>
      </w:r>
      <w:r w:rsidRPr="00614F2E">
        <w:rPr>
          <w:rFonts w:ascii="Palatino Linotype" w:eastAsia="Palatino Linotype" w:hAnsi="Palatino Linotype" w:cs="Palatino Linotype"/>
          <w:i/>
          <w:iCs/>
          <w:sz w:val="22"/>
          <w:szCs w:val="22"/>
        </w:rPr>
        <w:t xml:space="preserve">. Para el ejercicio de las atribuciones que competen a las y los Delegados y las y los Subdelegados, el Ayuntamiento les proporcionará el sello, el cual no deberá ser replicado bajo ninguna circunstancia por persona alguna, el diseño de la papelería oficial; </w:t>
      </w:r>
      <w:r w:rsidRPr="00614F2E">
        <w:rPr>
          <w:rFonts w:ascii="Palatino Linotype" w:eastAsia="Palatino Linotype" w:hAnsi="Palatino Linotype" w:cs="Palatino Linotype"/>
          <w:b/>
          <w:bCs/>
          <w:i/>
          <w:iCs/>
          <w:sz w:val="22"/>
          <w:szCs w:val="22"/>
          <w:u w:val="single"/>
        </w:rPr>
        <w:t>y en la medida de sus posibilidades los inmuebles</w:t>
      </w:r>
      <w:r w:rsidRPr="00614F2E">
        <w:rPr>
          <w:rFonts w:ascii="Palatino Linotype" w:eastAsia="Palatino Linotype" w:hAnsi="Palatino Linotype" w:cs="Palatino Linotype"/>
          <w:i/>
          <w:iCs/>
          <w:sz w:val="22"/>
          <w:szCs w:val="22"/>
        </w:rPr>
        <w:t xml:space="preserve"> y mobiliario que requieran.”</w:t>
      </w:r>
    </w:p>
    <w:p w14:paraId="65646A05" w14:textId="77777777" w:rsidR="001254C0" w:rsidRPr="00614F2E" w:rsidRDefault="00DA026C">
      <w:pPr>
        <w:spacing w:before="240" w:after="240" w:line="360" w:lineRule="auto"/>
        <w:ind w:right="49"/>
        <w:jc w:val="both"/>
        <w:rPr>
          <w:rFonts w:ascii="Palatino Linotype" w:eastAsia="Palatino Linotype" w:hAnsi="Palatino Linotype" w:cs="Palatino Linotype"/>
        </w:rPr>
      </w:pPr>
      <w:r w:rsidRPr="00614F2E">
        <w:rPr>
          <w:rFonts w:ascii="Palatino Linotype" w:eastAsia="Palatino Linotype" w:hAnsi="Palatino Linotype" w:cs="Palatino Linotype"/>
        </w:rPr>
        <w:t xml:space="preserve">De lo hasta aquí expuesto, se concluye que los motivos de inconformidad de la parte </w:t>
      </w:r>
      <w:r w:rsidRPr="00614F2E">
        <w:rPr>
          <w:rFonts w:ascii="Palatino Linotype" w:eastAsia="Palatino Linotype" w:hAnsi="Palatino Linotype" w:cs="Palatino Linotype"/>
          <w:b/>
        </w:rPr>
        <w:t xml:space="preserve">Recurrente </w:t>
      </w:r>
      <w:r w:rsidRPr="00614F2E">
        <w:rPr>
          <w:rFonts w:ascii="Palatino Linotype" w:eastAsia="Palatino Linotype" w:hAnsi="Palatino Linotype" w:cs="Palatino Linotype"/>
        </w:rPr>
        <w:t xml:space="preserve">devienen fundados, siendo procedente </w:t>
      </w:r>
      <w:r w:rsidRPr="00614F2E">
        <w:rPr>
          <w:rFonts w:ascii="Palatino Linotype" w:eastAsia="Palatino Linotype" w:hAnsi="Palatino Linotype" w:cs="Palatino Linotype"/>
          <w:i/>
        </w:rPr>
        <w:t xml:space="preserve">Revocar </w:t>
      </w:r>
      <w:r w:rsidRPr="00614F2E">
        <w:rPr>
          <w:rFonts w:ascii="Palatino Linotype" w:eastAsia="Palatino Linotype" w:hAnsi="Palatino Linotype" w:cs="Palatino Linotype"/>
        </w:rPr>
        <w:t xml:space="preserve">la respuesta proporcionada por el </w:t>
      </w:r>
      <w:r w:rsidRPr="00614F2E">
        <w:rPr>
          <w:rFonts w:ascii="Palatino Linotype" w:eastAsia="Palatino Linotype" w:hAnsi="Palatino Linotype" w:cs="Palatino Linotype"/>
          <w:b/>
        </w:rPr>
        <w:t xml:space="preserve">Sujeto Obligado </w:t>
      </w:r>
      <w:r w:rsidRPr="00614F2E">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5844373A" w14:textId="77777777" w:rsidR="001254C0" w:rsidRPr="00614F2E" w:rsidRDefault="00DA026C">
      <w:pPr>
        <w:spacing w:before="240" w:after="240" w:line="360" w:lineRule="auto"/>
        <w:ind w:right="51"/>
        <w:jc w:val="both"/>
        <w:rPr>
          <w:rFonts w:ascii="Palatino Linotype" w:eastAsia="Palatino Linotype" w:hAnsi="Palatino Linotype" w:cs="Palatino Linotype"/>
        </w:rPr>
      </w:pPr>
      <w:r w:rsidRPr="00614F2E">
        <w:rPr>
          <w:rFonts w:ascii="Palatino Linotype" w:eastAsia="Palatino Linotype" w:hAnsi="Palatino Linotype" w:cs="Palatino Linotype"/>
          <w:b/>
        </w:rPr>
        <w:t xml:space="preserve">Quinto. Versión Pública. </w:t>
      </w:r>
      <w:r w:rsidRPr="00614F2E">
        <w:rPr>
          <w:rFonts w:ascii="Palatino Linotype" w:eastAsia="Palatino Linotype" w:hAnsi="Palatino Linotype" w:cs="Palatino Linotype"/>
        </w:rPr>
        <w:t>Como fue debidamente apuntado, el </w:t>
      </w:r>
      <w:r w:rsidRPr="00614F2E">
        <w:rPr>
          <w:rFonts w:ascii="Palatino Linotype" w:eastAsia="Palatino Linotype" w:hAnsi="Palatino Linotype" w:cs="Palatino Linotype"/>
          <w:b/>
        </w:rPr>
        <w:t>Sujeto Obligado</w:t>
      </w:r>
      <w:r w:rsidRPr="00614F2E">
        <w:rPr>
          <w:rFonts w:ascii="Palatino Linotype" w:eastAsia="Palatino Linotype" w:hAnsi="Palatino Linotype" w:cs="Palatino Linotype"/>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4C079E1C" w14:textId="77777777" w:rsidR="001254C0" w:rsidRPr="00614F2E" w:rsidRDefault="00DA026C">
      <w:pPr>
        <w:spacing w:before="240" w:after="240" w:line="360" w:lineRule="auto"/>
        <w:ind w:right="49"/>
        <w:jc w:val="both"/>
        <w:rPr>
          <w:rFonts w:ascii="Palatino Linotype" w:eastAsia="Palatino Linotype" w:hAnsi="Palatino Linotype" w:cs="Palatino Linotype"/>
        </w:rPr>
      </w:pPr>
      <w:r w:rsidRPr="00614F2E">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5B49838B" w14:textId="77777777" w:rsidR="001254C0" w:rsidRPr="00614F2E" w:rsidRDefault="00DA026C">
      <w:pPr>
        <w:spacing w:before="240" w:after="240" w:line="360" w:lineRule="auto"/>
        <w:ind w:right="49"/>
        <w:jc w:val="both"/>
        <w:rPr>
          <w:rFonts w:ascii="Palatino Linotype" w:eastAsia="Palatino Linotype" w:hAnsi="Palatino Linotype" w:cs="Palatino Linotype"/>
        </w:rPr>
      </w:pPr>
      <w:r w:rsidRPr="00614F2E">
        <w:rPr>
          <w:rFonts w:ascii="Palatino Linotype" w:eastAsia="Palatino Linotype" w:hAnsi="Palatino Linotype" w:cs="Palatino Linotype"/>
        </w:rPr>
        <w:t xml:space="preserve">De este modo, en armonía entre los principios constitucionales de máxima publicidad y de protección de datos personales, la ley permite la elaboración de </w:t>
      </w:r>
      <w:r w:rsidRPr="00614F2E">
        <w:rPr>
          <w:rFonts w:ascii="Palatino Linotype" w:eastAsia="Palatino Linotype" w:hAnsi="Palatino Linotype" w:cs="Palatino Linotype"/>
        </w:rPr>
        <w:lastRenderedPageBreak/>
        <w:t>versiones públicas en las que se suprima aquella información relacionada con la vida privada de las personas.</w:t>
      </w:r>
    </w:p>
    <w:p w14:paraId="2E485080" w14:textId="77777777" w:rsidR="001254C0" w:rsidRPr="00614F2E" w:rsidRDefault="00DA026C">
      <w:pPr>
        <w:spacing w:before="240" w:after="240" w:line="360" w:lineRule="auto"/>
        <w:ind w:right="49"/>
        <w:jc w:val="both"/>
        <w:rPr>
          <w:rFonts w:ascii="Palatino Linotype" w:eastAsia="Palatino Linotype" w:hAnsi="Palatino Linotype" w:cs="Palatino Linotype"/>
        </w:rPr>
      </w:pPr>
      <w:r w:rsidRPr="00614F2E">
        <w:rPr>
          <w:rFonts w:ascii="Palatino Linotype" w:eastAsia="Palatino Linotype" w:hAnsi="Palatino Linotype" w:cs="Palatino Linotype"/>
        </w:rPr>
        <w:t>Al respecto, los artículos 3, fracciones IX, XX, XXI, XXXII, XLV; 6, 91, 132, 137, 143, fracción I, de la Ley de Transparencia y Acceso a la Información Pública del Estado de México y Municipios establecen:</w:t>
      </w:r>
    </w:p>
    <w:p w14:paraId="274512A5" w14:textId="77777777" w:rsidR="001254C0" w:rsidRPr="00614F2E" w:rsidRDefault="00DA026C">
      <w:pPr>
        <w:spacing w:before="120" w:after="120"/>
        <w:ind w:left="851"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sz w:val="22"/>
          <w:szCs w:val="22"/>
        </w:rPr>
        <w:t> </w:t>
      </w:r>
      <w:r w:rsidRPr="00614F2E">
        <w:rPr>
          <w:rFonts w:ascii="Palatino Linotype" w:eastAsia="Palatino Linotype" w:hAnsi="Palatino Linotype" w:cs="Palatino Linotype"/>
          <w:i/>
          <w:sz w:val="22"/>
          <w:szCs w:val="22"/>
        </w:rPr>
        <w:t>“</w:t>
      </w:r>
      <w:r w:rsidRPr="00614F2E">
        <w:rPr>
          <w:rFonts w:ascii="Palatino Linotype" w:eastAsia="Palatino Linotype" w:hAnsi="Palatino Linotype" w:cs="Palatino Linotype"/>
          <w:b/>
          <w:i/>
          <w:sz w:val="22"/>
          <w:szCs w:val="22"/>
        </w:rPr>
        <w:t>Artículo 3.</w:t>
      </w:r>
      <w:r w:rsidRPr="00614F2E">
        <w:rPr>
          <w:rFonts w:ascii="Palatino Linotype" w:eastAsia="Palatino Linotype" w:hAnsi="Palatino Linotype" w:cs="Palatino Linotype"/>
          <w:i/>
          <w:sz w:val="22"/>
          <w:szCs w:val="22"/>
        </w:rPr>
        <w:t xml:space="preserve"> Para los efectos de la presente Ley se entenderá por:</w:t>
      </w:r>
    </w:p>
    <w:p w14:paraId="1FE91D1C" w14:textId="77777777" w:rsidR="001254C0" w:rsidRPr="00614F2E" w:rsidRDefault="00DA026C">
      <w:pPr>
        <w:tabs>
          <w:tab w:val="left" w:pos="1276"/>
        </w:tabs>
        <w:spacing w:before="120" w:after="120"/>
        <w:ind w:left="1134"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i/>
          <w:sz w:val="22"/>
          <w:szCs w:val="22"/>
        </w:rPr>
        <w:t>…</w:t>
      </w:r>
    </w:p>
    <w:p w14:paraId="4D0E747E" w14:textId="77777777" w:rsidR="001254C0" w:rsidRPr="00614F2E" w:rsidRDefault="00DA026C">
      <w:pPr>
        <w:tabs>
          <w:tab w:val="left" w:pos="1276"/>
        </w:tabs>
        <w:spacing w:before="120" w:after="120"/>
        <w:ind w:left="1134"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t>IX. Datos personales</w:t>
      </w:r>
      <w:r w:rsidRPr="00614F2E">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3E97DDE4" w14:textId="77777777" w:rsidR="001254C0" w:rsidRPr="00614F2E" w:rsidRDefault="00DA026C">
      <w:pPr>
        <w:tabs>
          <w:tab w:val="left" w:pos="1276"/>
        </w:tabs>
        <w:spacing w:before="120" w:after="120"/>
        <w:ind w:left="1134"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i/>
          <w:sz w:val="22"/>
          <w:szCs w:val="22"/>
        </w:rPr>
        <w:t>…</w:t>
      </w:r>
    </w:p>
    <w:p w14:paraId="63283EAE" w14:textId="77777777" w:rsidR="001254C0" w:rsidRPr="00614F2E" w:rsidRDefault="00DA026C">
      <w:pPr>
        <w:tabs>
          <w:tab w:val="left" w:pos="1276"/>
        </w:tabs>
        <w:spacing w:before="120" w:after="120"/>
        <w:ind w:left="1134"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t>XX. Información clasificada</w:t>
      </w:r>
      <w:r w:rsidRPr="00614F2E">
        <w:rPr>
          <w:rFonts w:ascii="Palatino Linotype" w:eastAsia="Palatino Linotype" w:hAnsi="Palatino Linotype" w:cs="Palatino Linotype"/>
          <w:i/>
          <w:sz w:val="22"/>
          <w:szCs w:val="22"/>
        </w:rPr>
        <w:t>: Aquella considerada por la presente Ley como reservada o confidencial;</w:t>
      </w:r>
    </w:p>
    <w:p w14:paraId="19F984A9" w14:textId="77777777" w:rsidR="001254C0" w:rsidRPr="00614F2E" w:rsidRDefault="00DA026C">
      <w:pPr>
        <w:tabs>
          <w:tab w:val="left" w:pos="1276"/>
        </w:tabs>
        <w:spacing w:before="120" w:after="120"/>
        <w:ind w:left="1134"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t>XXI. Información confidencial</w:t>
      </w:r>
      <w:r w:rsidRPr="00614F2E">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4630D02" w14:textId="77777777" w:rsidR="001254C0" w:rsidRPr="00614F2E" w:rsidRDefault="00DA026C">
      <w:pPr>
        <w:tabs>
          <w:tab w:val="left" w:pos="1276"/>
        </w:tabs>
        <w:spacing w:before="120" w:after="120"/>
        <w:ind w:left="1134"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i/>
          <w:sz w:val="22"/>
          <w:szCs w:val="22"/>
        </w:rPr>
        <w:t>…</w:t>
      </w:r>
    </w:p>
    <w:p w14:paraId="36F6AF63" w14:textId="77777777" w:rsidR="001254C0" w:rsidRPr="00614F2E" w:rsidRDefault="00DA026C">
      <w:pPr>
        <w:tabs>
          <w:tab w:val="left" w:pos="1276"/>
        </w:tabs>
        <w:spacing w:before="120" w:after="120"/>
        <w:ind w:left="1134"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t>XXXII. Protección de Datos Personales</w:t>
      </w:r>
      <w:r w:rsidRPr="00614F2E">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30B34281" w14:textId="77777777" w:rsidR="001254C0" w:rsidRPr="00614F2E" w:rsidRDefault="00DA026C">
      <w:pPr>
        <w:tabs>
          <w:tab w:val="left" w:pos="1276"/>
        </w:tabs>
        <w:spacing w:before="120" w:after="120"/>
        <w:ind w:left="1134"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i/>
          <w:sz w:val="22"/>
          <w:szCs w:val="22"/>
        </w:rPr>
        <w:t>…</w:t>
      </w:r>
    </w:p>
    <w:p w14:paraId="680B2B06" w14:textId="77777777" w:rsidR="001254C0" w:rsidRPr="00614F2E" w:rsidRDefault="00DA026C">
      <w:pPr>
        <w:tabs>
          <w:tab w:val="left" w:pos="1276"/>
        </w:tabs>
        <w:spacing w:before="120" w:after="120"/>
        <w:ind w:left="1134"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t>XLV. Versión pública</w:t>
      </w:r>
      <w:r w:rsidRPr="00614F2E">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0F7E6F0F" w14:textId="77777777" w:rsidR="001254C0" w:rsidRPr="00614F2E" w:rsidRDefault="00DA026C">
      <w:pPr>
        <w:spacing w:before="120" w:after="120"/>
        <w:ind w:left="851"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t> Artículo 6</w:t>
      </w:r>
      <w:r w:rsidRPr="00614F2E">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w:t>
      </w:r>
      <w:r w:rsidRPr="00614F2E">
        <w:rPr>
          <w:rFonts w:ascii="Palatino Linotype" w:eastAsia="Palatino Linotype" w:hAnsi="Palatino Linotype" w:cs="Palatino Linotype"/>
          <w:i/>
          <w:sz w:val="22"/>
          <w:szCs w:val="22"/>
        </w:rPr>
        <w:lastRenderedPageBreak/>
        <w:t>materia de datos personales, se deberá estar a lo dispuesto en las leyes de la materia.</w:t>
      </w:r>
    </w:p>
    <w:p w14:paraId="007738D1" w14:textId="77777777" w:rsidR="001254C0" w:rsidRPr="00614F2E" w:rsidRDefault="00DA026C">
      <w:pPr>
        <w:spacing w:before="120" w:after="120"/>
        <w:ind w:left="851"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i/>
          <w:sz w:val="22"/>
          <w:szCs w:val="22"/>
        </w:rPr>
        <w:t>…</w:t>
      </w:r>
    </w:p>
    <w:p w14:paraId="78CB5D66" w14:textId="77777777" w:rsidR="001254C0" w:rsidRPr="00614F2E" w:rsidRDefault="00DA026C">
      <w:pPr>
        <w:spacing w:before="120" w:after="120"/>
        <w:ind w:left="851"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t>Artículo 91.</w:t>
      </w:r>
      <w:r w:rsidRPr="00614F2E">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614F2E">
        <w:rPr>
          <w:rFonts w:ascii="Palatino Linotype" w:eastAsia="Palatino Linotype" w:hAnsi="Palatino Linotype" w:cs="Palatino Linotype"/>
          <w:i/>
          <w:sz w:val="22"/>
          <w:szCs w:val="22"/>
        </w:rPr>
        <w:br/>
        <w:t>…</w:t>
      </w:r>
    </w:p>
    <w:p w14:paraId="2CCB0A18" w14:textId="77777777" w:rsidR="001254C0" w:rsidRPr="00614F2E" w:rsidRDefault="00DA026C">
      <w:pPr>
        <w:spacing w:before="120" w:after="120"/>
        <w:ind w:left="851"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t>Artículo 132.</w:t>
      </w:r>
      <w:r w:rsidRPr="00614F2E">
        <w:rPr>
          <w:rFonts w:ascii="Palatino Linotype" w:eastAsia="Palatino Linotype" w:hAnsi="Palatino Linotype" w:cs="Palatino Linotype"/>
          <w:i/>
          <w:sz w:val="22"/>
          <w:szCs w:val="22"/>
        </w:rPr>
        <w:t xml:space="preserve"> La clasificación de la información se llevará a cabo en el momento en que:</w:t>
      </w:r>
    </w:p>
    <w:p w14:paraId="044EF94A" w14:textId="77777777" w:rsidR="001254C0" w:rsidRPr="00614F2E" w:rsidRDefault="00DA026C">
      <w:pPr>
        <w:spacing w:before="120" w:after="120"/>
        <w:ind w:left="1134"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t>I</w:t>
      </w:r>
      <w:r w:rsidRPr="00614F2E">
        <w:rPr>
          <w:rFonts w:ascii="Palatino Linotype" w:eastAsia="Palatino Linotype" w:hAnsi="Palatino Linotype" w:cs="Palatino Linotype"/>
          <w:i/>
          <w:sz w:val="22"/>
          <w:szCs w:val="22"/>
        </w:rPr>
        <w:t>. Se reciba una solicitud de acceso a la información;</w:t>
      </w:r>
    </w:p>
    <w:p w14:paraId="64BE32B2" w14:textId="77777777" w:rsidR="001254C0" w:rsidRPr="00614F2E" w:rsidRDefault="00DA026C">
      <w:pPr>
        <w:spacing w:before="120" w:after="120"/>
        <w:ind w:left="1134"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t>II.</w:t>
      </w:r>
      <w:r w:rsidRPr="00614F2E">
        <w:rPr>
          <w:rFonts w:ascii="Palatino Linotype" w:eastAsia="Palatino Linotype" w:hAnsi="Palatino Linotype" w:cs="Palatino Linotype"/>
          <w:i/>
          <w:sz w:val="22"/>
          <w:szCs w:val="22"/>
        </w:rPr>
        <w:t xml:space="preserve"> Se determine mediante resolución de autoridad competente; o</w:t>
      </w:r>
    </w:p>
    <w:p w14:paraId="6FABB3F2" w14:textId="77777777" w:rsidR="001254C0" w:rsidRPr="00614F2E" w:rsidRDefault="00DA026C">
      <w:pPr>
        <w:spacing w:before="120" w:after="120"/>
        <w:ind w:left="1134"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t>III.</w:t>
      </w:r>
      <w:r w:rsidRPr="00614F2E">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29235096" w14:textId="77777777" w:rsidR="001254C0" w:rsidRPr="00614F2E" w:rsidRDefault="00DA026C">
      <w:pPr>
        <w:spacing w:before="120" w:after="120"/>
        <w:ind w:left="851"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t>…</w:t>
      </w:r>
    </w:p>
    <w:p w14:paraId="4AD76621" w14:textId="77777777" w:rsidR="001254C0" w:rsidRPr="00614F2E" w:rsidRDefault="00DA026C">
      <w:pPr>
        <w:spacing w:before="120" w:after="120"/>
        <w:ind w:left="851"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t>Artículo 137.</w:t>
      </w:r>
      <w:r w:rsidRPr="00614F2E">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475DF72" w14:textId="77777777" w:rsidR="001254C0" w:rsidRPr="00614F2E" w:rsidRDefault="00DA026C">
      <w:pPr>
        <w:spacing w:before="120" w:after="120"/>
        <w:ind w:left="851"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t> Artículo 143.</w:t>
      </w:r>
      <w:r w:rsidRPr="00614F2E">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790A01FC" w14:textId="77777777" w:rsidR="001254C0" w:rsidRPr="00614F2E" w:rsidRDefault="00DA026C">
      <w:pPr>
        <w:spacing w:before="120" w:after="120"/>
        <w:ind w:left="1134"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t>I.</w:t>
      </w:r>
      <w:r w:rsidRPr="00614F2E">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0FFB1E21" w14:textId="77777777" w:rsidR="001254C0" w:rsidRPr="00614F2E" w:rsidRDefault="00DA026C">
      <w:pPr>
        <w:spacing w:before="240" w:after="240" w:line="360" w:lineRule="auto"/>
        <w:ind w:right="50"/>
        <w:jc w:val="both"/>
        <w:rPr>
          <w:rFonts w:ascii="Palatino Linotype" w:eastAsia="Palatino Linotype" w:hAnsi="Palatino Linotype" w:cs="Palatino Linotype"/>
        </w:rPr>
      </w:pPr>
      <w:r w:rsidRPr="00614F2E">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614F2E">
        <w:rPr>
          <w:rFonts w:ascii="Palatino Linotype" w:eastAsia="Palatino Linotype" w:hAnsi="Palatino Linotype" w:cs="Palatino Linotype"/>
          <w:b/>
        </w:rPr>
        <w:t>Sujeto Obligado</w:t>
      </w:r>
      <w:r w:rsidRPr="00614F2E">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w:t>
      </w:r>
      <w:r w:rsidRPr="00614F2E">
        <w:rPr>
          <w:rFonts w:ascii="Palatino Linotype" w:eastAsia="Palatino Linotype" w:hAnsi="Palatino Linotype" w:cs="Palatino Linotype"/>
        </w:rPr>
        <w:lastRenderedPageBreak/>
        <w:t>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2FBF9BF3" w14:textId="77777777" w:rsidR="001254C0" w:rsidRPr="00614F2E" w:rsidRDefault="00DA026C">
      <w:pPr>
        <w:spacing w:before="240" w:after="240" w:line="360" w:lineRule="auto"/>
        <w:ind w:right="50"/>
        <w:jc w:val="both"/>
        <w:rPr>
          <w:rFonts w:ascii="Palatino Linotype" w:eastAsia="Palatino Linotype" w:hAnsi="Palatino Linotype" w:cs="Palatino Linotype"/>
        </w:rPr>
      </w:pPr>
      <w:r w:rsidRPr="00614F2E">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64CE8973" w14:textId="77777777" w:rsidR="001254C0" w:rsidRPr="00614F2E" w:rsidRDefault="00DA026C">
      <w:pPr>
        <w:spacing w:before="240" w:after="240"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rPr>
        <w:t>De esta manera, la información que se ordena pudiera contener, entre otros datos, información de los predios colindantes, es decir, de los predios contiguos o que limitan con determinado bien inmueble; como lo es de manera enunciativa, más no limitativa, el nombre de los propietarios.</w:t>
      </w:r>
    </w:p>
    <w:p w14:paraId="627BE840" w14:textId="77777777" w:rsidR="001254C0" w:rsidRPr="00614F2E" w:rsidRDefault="00DA026C">
      <w:pPr>
        <w:spacing w:before="240" w:after="240"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rPr>
        <w:t>En tal sentido, para el caso de que los documentos mediante los cuales se dará cumplimiento a la presente resolución contengan el nombre de personas físicas identificadas o identificables, en su carácter de propietarias de predios colindantes con bienes inmuebles de las instituciones públicas, así como de los bienes de dominio público, dicho dato deberá ser clasificado como confidencial.</w:t>
      </w:r>
    </w:p>
    <w:p w14:paraId="4689D988" w14:textId="77777777" w:rsidR="001254C0" w:rsidRPr="00614F2E" w:rsidRDefault="00DA026C">
      <w:pPr>
        <w:spacing w:before="240" w:after="240"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rPr>
        <w:t xml:space="preserve">Al respecto, es conveniente señalar que el nombre de una persona física, al ser uno de los atributos de la personalidad y la manifestación principal del derecho subjetivo a la identidad, es un dato personal que, por regla general, debe considerarse como un dato confidencial en términos del artículo 143, fracción I de la Ley de Transparencia y Acceso a la Información Pública del Estado de México y Municipios, cuando esta no se desempeña en la función pública, o bien, no celebra actos en el </w:t>
      </w:r>
      <w:r w:rsidRPr="00614F2E">
        <w:rPr>
          <w:rFonts w:ascii="Palatino Linotype" w:eastAsia="Palatino Linotype" w:hAnsi="Palatino Linotype" w:cs="Palatino Linotype"/>
        </w:rPr>
        <w:lastRenderedPageBreak/>
        <w:t>ámbito del derecho público, ya que por sí solo es un dato que identifica a su titular o lo hace identificable, por lo que con su publicidad se vulneraría su ámbito de privacidad.</w:t>
      </w:r>
    </w:p>
    <w:p w14:paraId="316B2108" w14:textId="77777777" w:rsidR="001254C0" w:rsidRPr="00614F2E" w:rsidRDefault="00DA026C">
      <w:pPr>
        <w:spacing w:before="240" w:after="240"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rPr>
        <w:t>Asimismo, cabe señalar que las medidas y colindancias de los bienes inmuebles, en sí, no corren la misma suerte que el nombre de sus propietarios, toda vez que la finalidad de dichos datos, basados generalmente en los puntos cardinales, consiste únicamente en delimitar el área de determinado predio, esto es, su extensión y límites o linderos, respecto de los predios contiguos o adyacentes al mismo, por lo que no son propiamente datos personales susceptibles de ser clasificados de conformidad con las leyes de la materia.</w:t>
      </w:r>
    </w:p>
    <w:p w14:paraId="75DEF596" w14:textId="77777777" w:rsidR="001254C0" w:rsidRPr="00614F2E" w:rsidRDefault="00DA026C">
      <w:pPr>
        <w:spacing w:before="240" w:after="240" w:line="360" w:lineRule="auto"/>
        <w:ind w:right="50"/>
        <w:jc w:val="both"/>
        <w:rPr>
          <w:rFonts w:ascii="Palatino Linotype" w:eastAsia="Palatino Linotype" w:hAnsi="Palatino Linotype" w:cs="Palatino Linotype"/>
        </w:rPr>
      </w:pPr>
      <w:r w:rsidRPr="00614F2E">
        <w:rPr>
          <w:rFonts w:ascii="Palatino Linotype" w:eastAsia="Palatino Linotype" w:hAnsi="Palatino Linotype" w:cs="Palatino Linotype"/>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058078DA" w14:textId="77777777" w:rsidR="001254C0" w:rsidRPr="00614F2E" w:rsidRDefault="00DA026C">
      <w:pPr>
        <w:spacing w:before="120" w:after="120"/>
        <w:ind w:left="851"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t>“Artículo 49.</w:t>
      </w:r>
      <w:r w:rsidRPr="00614F2E">
        <w:rPr>
          <w:rFonts w:ascii="Palatino Linotype" w:eastAsia="Palatino Linotype" w:hAnsi="Palatino Linotype" w:cs="Palatino Linotype"/>
          <w:i/>
          <w:sz w:val="22"/>
          <w:szCs w:val="22"/>
        </w:rPr>
        <w:t xml:space="preserve"> </w:t>
      </w:r>
      <w:r w:rsidRPr="00614F2E">
        <w:rPr>
          <w:rFonts w:ascii="Palatino Linotype" w:eastAsia="Palatino Linotype" w:hAnsi="Palatino Linotype" w:cs="Palatino Linotype"/>
          <w:b/>
          <w:i/>
          <w:sz w:val="22"/>
          <w:szCs w:val="22"/>
        </w:rPr>
        <w:t>Los Comités de Transparencia</w:t>
      </w:r>
      <w:r w:rsidRPr="00614F2E">
        <w:rPr>
          <w:rFonts w:ascii="Palatino Linotype" w:eastAsia="Palatino Linotype" w:hAnsi="Palatino Linotype" w:cs="Palatino Linotype"/>
          <w:i/>
          <w:sz w:val="22"/>
          <w:szCs w:val="22"/>
        </w:rPr>
        <w:t xml:space="preserve"> tendrán las siguientes atribuciones:</w:t>
      </w:r>
    </w:p>
    <w:p w14:paraId="2CA8F254" w14:textId="77777777" w:rsidR="001254C0" w:rsidRPr="00614F2E" w:rsidRDefault="00DA026C">
      <w:pPr>
        <w:spacing w:before="120" w:after="120"/>
        <w:ind w:left="1134"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t>VIII. Aprobar, modificar o revocar la clasificación de la información</w:t>
      </w:r>
      <w:r w:rsidRPr="00614F2E">
        <w:rPr>
          <w:rFonts w:ascii="Palatino Linotype" w:eastAsia="Palatino Linotype" w:hAnsi="Palatino Linotype" w:cs="Palatino Linotype"/>
          <w:i/>
          <w:sz w:val="22"/>
          <w:szCs w:val="22"/>
        </w:rPr>
        <w:t>…”</w:t>
      </w:r>
    </w:p>
    <w:p w14:paraId="68653DA8" w14:textId="77777777" w:rsidR="001254C0" w:rsidRPr="00614F2E" w:rsidRDefault="00DA026C">
      <w:pPr>
        <w:spacing w:before="120" w:after="120"/>
        <w:ind w:left="851"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i/>
          <w:sz w:val="22"/>
          <w:szCs w:val="22"/>
        </w:rPr>
        <w:t>“</w:t>
      </w:r>
      <w:r w:rsidRPr="00614F2E">
        <w:rPr>
          <w:rFonts w:ascii="Palatino Linotype" w:eastAsia="Palatino Linotype" w:hAnsi="Palatino Linotype" w:cs="Palatino Linotype"/>
          <w:b/>
          <w:i/>
          <w:sz w:val="22"/>
          <w:szCs w:val="22"/>
        </w:rPr>
        <w:t>Artículo 53.</w:t>
      </w:r>
      <w:r w:rsidRPr="00614F2E">
        <w:rPr>
          <w:rFonts w:ascii="Palatino Linotype" w:eastAsia="Palatino Linotype" w:hAnsi="Palatino Linotype" w:cs="Palatino Linotype"/>
          <w:i/>
          <w:sz w:val="22"/>
          <w:szCs w:val="22"/>
        </w:rPr>
        <w:t xml:space="preserve"> Las </w:t>
      </w:r>
      <w:r w:rsidRPr="00614F2E">
        <w:rPr>
          <w:rFonts w:ascii="Palatino Linotype" w:eastAsia="Palatino Linotype" w:hAnsi="Palatino Linotype" w:cs="Palatino Linotype"/>
          <w:b/>
          <w:i/>
          <w:sz w:val="22"/>
          <w:szCs w:val="22"/>
        </w:rPr>
        <w:t>Unidades de Transparencia</w:t>
      </w:r>
      <w:r w:rsidRPr="00614F2E">
        <w:rPr>
          <w:rFonts w:ascii="Palatino Linotype" w:eastAsia="Palatino Linotype" w:hAnsi="Palatino Linotype" w:cs="Palatino Linotype"/>
          <w:i/>
          <w:sz w:val="22"/>
          <w:szCs w:val="22"/>
        </w:rPr>
        <w:t xml:space="preserve"> tendrán las siguientes </w:t>
      </w:r>
      <w:r w:rsidRPr="00614F2E">
        <w:rPr>
          <w:rFonts w:ascii="Palatino Linotype" w:eastAsia="Palatino Linotype" w:hAnsi="Palatino Linotype" w:cs="Palatino Linotype"/>
          <w:b/>
          <w:i/>
          <w:sz w:val="22"/>
          <w:szCs w:val="22"/>
        </w:rPr>
        <w:t>funciones</w:t>
      </w:r>
      <w:r w:rsidRPr="00614F2E">
        <w:rPr>
          <w:rFonts w:ascii="Palatino Linotype" w:eastAsia="Palatino Linotype" w:hAnsi="Palatino Linotype" w:cs="Palatino Linotype"/>
          <w:i/>
          <w:sz w:val="22"/>
          <w:szCs w:val="22"/>
        </w:rPr>
        <w:t>:</w:t>
      </w:r>
    </w:p>
    <w:p w14:paraId="0EFB3844" w14:textId="77777777" w:rsidR="001254C0" w:rsidRPr="00614F2E" w:rsidRDefault="00DA026C">
      <w:pPr>
        <w:spacing w:before="120" w:after="120"/>
        <w:ind w:left="1134"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t>X. Presentar ante el Comité, el proyecto de clasificación de información</w:t>
      </w:r>
      <w:r w:rsidRPr="00614F2E">
        <w:rPr>
          <w:rFonts w:ascii="Palatino Linotype" w:eastAsia="Palatino Linotype" w:hAnsi="Palatino Linotype" w:cs="Palatino Linotype"/>
          <w:i/>
          <w:sz w:val="22"/>
          <w:szCs w:val="22"/>
        </w:rPr>
        <w:t xml:space="preserve">…” </w:t>
      </w:r>
    </w:p>
    <w:p w14:paraId="56AA4133" w14:textId="77777777" w:rsidR="001254C0" w:rsidRPr="00614F2E" w:rsidRDefault="00DA026C">
      <w:pPr>
        <w:spacing w:before="120" w:after="120"/>
        <w:ind w:left="851"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t>“Artículo 59.</w:t>
      </w:r>
      <w:r w:rsidRPr="00614F2E">
        <w:rPr>
          <w:rFonts w:ascii="Palatino Linotype" w:eastAsia="Palatino Linotype" w:hAnsi="Palatino Linotype" w:cs="Palatino Linotype"/>
          <w:i/>
          <w:sz w:val="22"/>
          <w:szCs w:val="22"/>
        </w:rPr>
        <w:t xml:space="preserve"> Los </w:t>
      </w:r>
      <w:r w:rsidRPr="00614F2E">
        <w:rPr>
          <w:rFonts w:ascii="Palatino Linotype" w:eastAsia="Palatino Linotype" w:hAnsi="Palatino Linotype" w:cs="Palatino Linotype"/>
          <w:b/>
          <w:i/>
          <w:sz w:val="22"/>
          <w:szCs w:val="22"/>
        </w:rPr>
        <w:t>servidores públicos habilitados</w:t>
      </w:r>
      <w:r w:rsidRPr="00614F2E">
        <w:rPr>
          <w:rFonts w:ascii="Palatino Linotype" w:eastAsia="Palatino Linotype" w:hAnsi="Palatino Linotype" w:cs="Palatino Linotype"/>
          <w:i/>
          <w:sz w:val="22"/>
          <w:szCs w:val="22"/>
        </w:rPr>
        <w:t xml:space="preserve"> tendrán las </w:t>
      </w:r>
      <w:r w:rsidRPr="00614F2E">
        <w:rPr>
          <w:rFonts w:ascii="Palatino Linotype" w:eastAsia="Palatino Linotype" w:hAnsi="Palatino Linotype" w:cs="Palatino Linotype"/>
          <w:b/>
          <w:i/>
          <w:sz w:val="22"/>
          <w:szCs w:val="22"/>
        </w:rPr>
        <w:t>funciones</w:t>
      </w:r>
      <w:r w:rsidRPr="00614F2E">
        <w:rPr>
          <w:rFonts w:ascii="Palatino Linotype" w:eastAsia="Palatino Linotype" w:hAnsi="Palatino Linotype" w:cs="Palatino Linotype"/>
          <w:i/>
          <w:sz w:val="22"/>
          <w:szCs w:val="22"/>
        </w:rPr>
        <w:t xml:space="preserve"> siguientes:</w:t>
      </w:r>
    </w:p>
    <w:p w14:paraId="5C9419B7" w14:textId="77777777" w:rsidR="001254C0" w:rsidRPr="00614F2E" w:rsidRDefault="00DA026C">
      <w:pPr>
        <w:spacing w:before="120" w:after="120"/>
        <w:ind w:left="1134"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lastRenderedPageBreak/>
        <w:t>V. Integrar y presentar al responsable de la Unidad de Transparencia la propuesta de clasificación de información</w:t>
      </w:r>
      <w:r w:rsidRPr="00614F2E">
        <w:rPr>
          <w:rFonts w:ascii="Palatino Linotype" w:eastAsia="Palatino Linotype" w:hAnsi="Palatino Linotype" w:cs="Palatino Linotype"/>
          <w:i/>
          <w:sz w:val="22"/>
          <w:szCs w:val="22"/>
        </w:rPr>
        <w:t>, la cual tendrá los fundamentos y argumentos en que se basa dicha propuesta…”</w:t>
      </w:r>
    </w:p>
    <w:p w14:paraId="38AB79AB" w14:textId="77777777" w:rsidR="001254C0" w:rsidRPr="00614F2E" w:rsidRDefault="00DA026C">
      <w:pPr>
        <w:spacing w:before="240" w:after="240"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5675616" w14:textId="77777777" w:rsidR="001254C0" w:rsidRPr="00614F2E" w:rsidRDefault="00DA026C">
      <w:pPr>
        <w:spacing w:before="240" w:after="240"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085E4FFB" w14:textId="77777777" w:rsidR="001254C0" w:rsidRPr="00614F2E" w:rsidRDefault="00DA026C">
      <w:pPr>
        <w:spacing w:before="120" w:after="120"/>
        <w:ind w:left="851"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i/>
          <w:sz w:val="22"/>
          <w:szCs w:val="22"/>
        </w:rPr>
        <w:t>“</w:t>
      </w:r>
      <w:r w:rsidRPr="00614F2E">
        <w:rPr>
          <w:rFonts w:ascii="Palatino Linotype" w:eastAsia="Palatino Linotype" w:hAnsi="Palatino Linotype" w:cs="Palatino Linotype"/>
          <w:b/>
          <w:i/>
          <w:sz w:val="22"/>
          <w:szCs w:val="22"/>
        </w:rPr>
        <w:t>Artículo 149.</w:t>
      </w:r>
      <w:r w:rsidRPr="00614F2E">
        <w:rPr>
          <w:rFonts w:ascii="Palatino Linotype" w:eastAsia="Palatino Linotype" w:hAnsi="Palatino Linotype" w:cs="Palatino Linotype"/>
          <w:i/>
          <w:sz w:val="22"/>
          <w:szCs w:val="22"/>
        </w:rPr>
        <w:t xml:space="preserve"> El </w:t>
      </w:r>
      <w:r w:rsidRPr="00614F2E">
        <w:rPr>
          <w:rFonts w:ascii="Palatino Linotype" w:eastAsia="Palatino Linotype" w:hAnsi="Palatino Linotype" w:cs="Palatino Linotype"/>
          <w:b/>
          <w:i/>
          <w:sz w:val="22"/>
          <w:szCs w:val="22"/>
        </w:rPr>
        <w:t>acuerdo que clasifique la información como confidencial</w:t>
      </w:r>
      <w:r w:rsidRPr="00614F2E">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252EF653" w14:textId="77777777" w:rsidR="001254C0" w:rsidRPr="00614F2E" w:rsidRDefault="00DA026C">
      <w:pPr>
        <w:spacing w:before="240" w:after="240" w:line="360" w:lineRule="auto"/>
        <w:ind w:right="51"/>
        <w:jc w:val="both"/>
        <w:rPr>
          <w:rFonts w:ascii="Palatino Linotype" w:eastAsia="Palatino Linotype" w:hAnsi="Palatino Linotype" w:cs="Palatino Linotype"/>
        </w:rPr>
      </w:pPr>
      <w:r w:rsidRPr="00614F2E">
        <w:rPr>
          <w:rFonts w:ascii="Palatino Linotype" w:eastAsia="Palatino Linotype" w:hAnsi="Palatino Linotype" w:cs="Palatino Linotype"/>
        </w:rPr>
        <w:t xml:space="preserve">Es decir, el </w:t>
      </w:r>
      <w:r w:rsidRPr="00614F2E">
        <w:rPr>
          <w:rFonts w:ascii="Palatino Linotype" w:eastAsia="Palatino Linotype" w:hAnsi="Palatino Linotype" w:cs="Palatino Linotype"/>
          <w:b/>
        </w:rPr>
        <w:t>Sujeto Obligado</w:t>
      </w:r>
      <w:r w:rsidRPr="00614F2E">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w:t>
      </w:r>
      <w:r w:rsidRPr="00614F2E">
        <w:rPr>
          <w:rFonts w:ascii="Palatino Linotype" w:eastAsia="Palatino Linotype" w:hAnsi="Palatino Linotype" w:cs="Palatino Linotype"/>
        </w:rPr>
        <w:lastRenderedPageBreak/>
        <w:t>versión pública de la documentación entregada se estaría violentando el derecho de acceso a la información de la persona solicitante.</w:t>
      </w:r>
    </w:p>
    <w:p w14:paraId="15AC9317" w14:textId="77777777" w:rsidR="001254C0" w:rsidRPr="00614F2E" w:rsidRDefault="00DA026C">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614F2E">
        <w:rPr>
          <w:rFonts w:ascii="Palatino Linotype" w:eastAsia="Palatino Linotype" w:hAnsi="Palatino Linotype" w:cs="Palatino Linotype"/>
        </w:rPr>
        <w:t xml:space="preserve">Asimismo, respecto a las formalidades que deberá llevar el acuerdo de clasificación que deberá emitir el </w:t>
      </w:r>
      <w:r w:rsidRPr="00614F2E">
        <w:rPr>
          <w:rFonts w:ascii="Palatino Linotype" w:eastAsia="Palatino Linotype" w:hAnsi="Palatino Linotype" w:cs="Palatino Linotype"/>
          <w:b/>
        </w:rPr>
        <w:t>Sujeto Obligado</w:t>
      </w:r>
      <w:r w:rsidRPr="00614F2E">
        <w:rPr>
          <w:rFonts w:ascii="Palatino Linotype" w:eastAsia="Palatino Linotype" w:hAnsi="Palatino Linotype" w:cs="Palatino Linotype"/>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18939108" w14:textId="77777777" w:rsidR="001254C0" w:rsidRPr="00614F2E" w:rsidRDefault="00DA026C">
      <w:pPr>
        <w:spacing w:before="120" w:after="120"/>
        <w:ind w:left="851"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t xml:space="preserve"> “Quincuagésimo. </w:t>
      </w:r>
      <w:r w:rsidRPr="00614F2E">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702F91CE" w14:textId="77777777" w:rsidR="001254C0" w:rsidRPr="00614F2E" w:rsidRDefault="00DA026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t xml:space="preserve">Quincuagésimo primero. </w:t>
      </w:r>
      <w:r w:rsidRPr="00614F2E">
        <w:rPr>
          <w:rFonts w:ascii="Palatino Linotype" w:eastAsia="Palatino Linotype" w:hAnsi="Palatino Linotype" w:cs="Palatino Linotype"/>
          <w:i/>
          <w:sz w:val="22"/>
          <w:szCs w:val="22"/>
        </w:rPr>
        <w:t xml:space="preserve">Toda acta del Comité de Transparencia deberá contener: </w:t>
      </w:r>
    </w:p>
    <w:p w14:paraId="6BF98AFD" w14:textId="77777777" w:rsidR="001254C0" w:rsidRPr="00614F2E" w:rsidRDefault="00DA026C">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t>I.</w:t>
      </w:r>
      <w:r w:rsidRPr="00614F2E">
        <w:rPr>
          <w:rFonts w:ascii="Palatino Linotype" w:eastAsia="Palatino Linotype" w:hAnsi="Palatino Linotype" w:cs="Palatino Linotype"/>
          <w:i/>
          <w:sz w:val="22"/>
          <w:szCs w:val="22"/>
        </w:rPr>
        <w:t xml:space="preserve"> El número de sesión y fecha; </w:t>
      </w:r>
    </w:p>
    <w:p w14:paraId="5F55EF30" w14:textId="77777777" w:rsidR="001254C0" w:rsidRPr="00614F2E" w:rsidRDefault="00DA026C">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t>II</w:t>
      </w:r>
      <w:r w:rsidRPr="00614F2E">
        <w:rPr>
          <w:rFonts w:ascii="Palatino Linotype" w:eastAsia="Palatino Linotype" w:hAnsi="Palatino Linotype" w:cs="Palatino Linotype"/>
          <w:i/>
          <w:sz w:val="22"/>
          <w:szCs w:val="22"/>
        </w:rPr>
        <w:t xml:space="preserve">. El nombre del área que solicitó la clasificación de información; </w:t>
      </w:r>
    </w:p>
    <w:p w14:paraId="7EC5F833" w14:textId="77777777" w:rsidR="001254C0" w:rsidRPr="00614F2E" w:rsidRDefault="00DA026C">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t>III</w:t>
      </w:r>
      <w:r w:rsidRPr="00614F2E">
        <w:rPr>
          <w:rFonts w:ascii="Palatino Linotype" w:eastAsia="Palatino Linotype" w:hAnsi="Palatino Linotype" w:cs="Palatino Linotype"/>
          <w:i/>
          <w:sz w:val="22"/>
          <w:szCs w:val="22"/>
        </w:rPr>
        <w:t xml:space="preserve">. La fundamentación legal y motivación correspondiente; </w:t>
      </w:r>
    </w:p>
    <w:p w14:paraId="0BCFAEB9" w14:textId="77777777" w:rsidR="001254C0" w:rsidRPr="00614F2E" w:rsidRDefault="00DA026C">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t>IV</w:t>
      </w:r>
      <w:r w:rsidRPr="00614F2E">
        <w:rPr>
          <w:rFonts w:ascii="Palatino Linotype" w:eastAsia="Palatino Linotype" w:hAnsi="Palatino Linotype" w:cs="Palatino Linotype"/>
          <w:i/>
          <w:sz w:val="22"/>
          <w:szCs w:val="22"/>
        </w:rPr>
        <w:t xml:space="preserve">. La resolución o resoluciones aprobadas; y </w:t>
      </w:r>
    </w:p>
    <w:p w14:paraId="396E9BCA" w14:textId="77777777" w:rsidR="001254C0" w:rsidRPr="00614F2E" w:rsidRDefault="00DA026C">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t>V</w:t>
      </w:r>
      <w:r w:rsidRPr="00614F2E">
        <w:rPr>
          <w:rFonts w:ascii="Palatino Linotype" w:eastAsia="Palatino Linotype" w:hAnsi="Palatino Linotype" w:cs="Palatino Linotype"/>
          <w:i/>
          <w:sz w:val="22"/>
          <w:szCs w:val="22"/>
        </w:rPr>
        <w:t xml:space="preserve">. La rúbrica o firma digital de cada integrante del Comité de Transparencia. </w:t>
      </w:r>
    </w:p>
    <w:p w14:paraId="635B7124" w14:textId="77777777" w:rsidR="001254C0" w:rsidRPr="00614F2E" w:rsidRDefault="00DA026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46106D56" w14:textId="77777777" w:rsidR="001254C0" w:rsidRPr="00614F2E" w:rsidRDefault="00DA026C">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t>I.</w:t>
      </w:r>
      <w:r w:rsidRPr="00614F2E">
        <w:rPr>
          <w:rFonts w:ascii="Palatino Linotype" w:eastAsia="Palatino Linotype" w:hAnsi="Palatino Linotype" w:cs="Palatino Linotype"/>
          <w:i/>
          <w:sz w:val="22"/>
          <w:szCs w:val="22"/>
        </w:rPr>
        <w:t xml:space="preserve"> Los motivos y razonamientos que sustenten la confirmación o modificación de la prueba de daño;</w:t>
      </w:r>
    </w:p>
    <w:p w14:paraId="7F3F4E5C" w14:textId="77777777" w:rsidR="001254C0" w:rsidRPr="00614F2E" w:rsidRDefault="00DA026C">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614F2E">
        <w:rPr>
          <w:rFonts w:ascii="Palatino Linotype" w:eastAsia="Palatino Linotype" w:hAnsi="Palatino Linotype" w:cs="Palatino Linotype"/>
          <w:b/>
          <w:i/>
          <w:sz w:val="22"/>
          <w:szCs w:val="22"/>
        </w:rPr>
        <w:t>II</w:t>
      </w:r>
      <w:r w:rsidRPr="00614F2E">
        <w:rPr>
          <w:rFonts w:ascii="Palatino Linotype" w:eastAsia="Palatino Linotype" w:hAnsi="Palatino Linotype" w:cs="Palatino Linotype"/>
          <w:i/>
          <w:sz w:val="22"/>
          <w:szCs w:val="22"/>
        </w:rPr>
        <w:t>. Descripción de las partes o secciones reservadas, en caso de clasificación parcial</w:t>
      </w:r>
      <w:r w:rsidRPr="00614F2E">
        <w:rPr>
          <w:rFonts w:ascii="Palatino Linotype" w:eastAsia="Palatino Linotype" w:hAnsi="Palatino Linotype" w:cs="Palatino Linotype"/>
          <w:b/>
          <w:i/>
          <w:sz w:val="22"/>
          <w:szCs w:val="22"/>
        </w:rPr>
        <w:t xml:space="preserve">; </w:t>
      </w:r>
    </w:p>
    <w:p w14:paraId="3AAE229F" w14:textId="77777777" w:rsidR="001254C0" w:rsidRPr="00614F2E" w:rsidRDefault="00DA026C">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t>III.</w:t>
      </w:r>
      <w:r w:rsidRPr="00614F2E">
        <w:rPr>
          <w:rFonts w:ascii="Palatino Linotype" w:eastAsia="Palatino Linotype" w:hAnsi="Palatino Linotype" w:cs="Palatino Linotype"/>
          <w:i/>
          <w:sz w:val="22"/>
          <w:szCs w:val="22"/>
        </w:rPr>
        <w:t xml:space="preserve"> El periodo por el que mantendrá su clasificación y fecha de expiración; y </w:t>
      </w:r>
    </w:p>
    <w:p w14:paraId="457309B3" w14:textId="77777777" w:rsidR="001254C0" w:rsidRPr="00614F2E" w:rsidRDefault="00DA026C">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t>IV.</w:t>
      </w:r>
      <w:r w:rsidRPr="00614F2E">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6947ECFE" w14:textId="77777777" w:rsidR="001254C0" w:rsidRPr="00614F2E" w:rsidRDefault="00DA026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i/>
          <w:sz w:val="22"/>
          <w:szCs w:val="22"/>
        </w:rPr>
        <w:lastRenderedPageBreak/>
        <w:t xml:space="preserve">En los casos en que se clasifique la información como reservada siempre se entregará o anexará la prueba de daño con la respuesta al solicitante. </w:t>
      </w:r>
    </w:p>
    <w:p w14:paraId="075BCBBB" w14:textId="77777777" w:rsidR="001254C0" w:rsidRPr="00614F2E" w:rsidRDefault="00DA026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67A37749" w14:textId="77777777" w:rsidR="001254C0" w:rsidRPr="00614F2E" w:rsidRDefault="00DA026C">
      <w:pPr>
        <w:spacing w:before="240" w:after="240"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rPr>
        <w:t>Asimismo, 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052407C3" w14:textId="77777777" w:rsidR="001254C0" w:rsidRPr="00614F2E" w:rsidRDefault="00DA026C">
      <w:pPr>
        <w:spacing w:before="120" w:after="120"/>
        <w:ind w:left="851" w:right="900"/>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i/>
          <w:sz w:val="22"/>
          <w:szCs w:val="22"/>
        </w:rPr>
        <w:t>“</w:t>
      </w:r>
      <w:r w:rsidRPr="00614F2E">
        <w:rPr>
          <w:rFonts w:ascii="Palatino Linotype" w:eastAsia="Palatino Linotype" w:hAnsi="Palatino Linotype" w:cs="Palatino Linotype"/>
          <w:b/>
          <w:i/>
          <w:sz w:val="22"/>
          <w:szCs w:val="22"/>
        </w:rPr>
        <w:t>Quincuagésimo segundo</w:t>
      </w:r>
      <w:r w:rsidRPr="00614F2E">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524A67F4" w14:textId="77777777" w:rsidR="001254C0" w:rsidRPr="00614F2E" w:rsidRDefault="00DA026C">
      <w:pPr>
        <w:spacing w:before="120" w:after="120"/>
        <w:ind w:left="851" w:right="900"/>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0B82EA9D" w14:textId="77777777" w:rsidR="001254C0" w:rsidRPr="00614F2E" w:rsidRDefault="00DA026C">
      <w:pPr>
        <w:spacing w:before="120" w:after="120"/>
        <w:ind w:left="1134" w:right="900"/>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t>I.</w:t>
      </w:r>
      <w:r w:rsidRPr="00614F2E">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386F3CE3" w14:textId="77777777" w:rsidR="001254C0" w:rsidRPr="00614F2E" w:rsidRDefault="00DA026C">
      <w:pPr>
        <w:spacing w:before="120" w:after="120"/>
        <w:ind w:left="1134" w:right="900"/>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t>II.</w:t>
      </w:r>
      <w:r w:rsidRPr="00614F2E">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1E7F9E9E" w14:textId="77777777" w:rsidR="001254C0" w:rsidRPr="00614F2E" w:rsidRDefault="00DA026C">
      <w:pPr>
        <w:spacing w:before="120" w:after="120"/>
        <w:ind w:left="1134" w:right="900"/>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t>III.</w:t>
      </w:r>
      <w:r w:rsidRPr="00614F2E">
        <w:rPr>
          <w:rFonts w:ascii="Palatino Linotype" w:eastAsia="Palatino Linotype" w:hAnsi="Palatino Linotype" w:cs="Palatino Linotype"/>
          <w:i/>
          <w:sz w:val="22"/>
          <w:szCs w:val="22"/>
        </w:rPr>
        <w:t xml:space="preserve"> Señalar las personas o instancias autorizadas a acceder a la información clasificada.</w:t>
      </w:r>
    </w:p>
    <w:p w14:paraId="20F4D82F" w14:textId="77777777" w:rsidR="001254C0" w:rsidRPr="00614F2E" w:rsidRDefault="00DA026C">
      <w:pPr>
        <w:spacing w:before="120" w:after="120"/>
        <w:ind w:left="851" w:right="900"/>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6C16532C" w14:textId="77777777" w:rsidR="001254C0" w:rsidRPr="00614F2E" w:rsidRDefault="00DA026C">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i/>
          <w:sz w:val="22"/>
          <w:szCs w:val="22"/>
        </w:rPr>
        <w:t>…</w:t>
      </w:r>
    </w:p>
    <w:p w14:paraId="2F819F7E" w14:textId="77777777" w:rsidR="001254C0" w:rsidRPr="00614F2E" w:rsidRDefault="00DA026C">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614F2E">
        <w:rPr>
          <w:rFonts w:ascii="Palatino Linotype" w:eastAsia="Palatino Linotype" w:hAnsi="Palatino Linotype" w:cs="Palatino Linotype"/>
          <w:b/>
          <w:i/>
          <w:sz w:val="22"/>
          <w:szCs w:val="22"/>
        </w:rPr>
        <w:t xml:space="preserve">Quincuagésimo cuarto. </w:t>
      </w:r>
      <w:r w:rsidRPr="00614F2E">
        <w:rPr>
          <w:rFonts w:ascii="Palatino Linotype" w:eastAsia="Palatino Linotype" w:hAnsi="Palatino Linotype" w:cs="Palatino Linotype"/>
          <w:i/>
          <w:sz w:val="22"/>
          <w:szCs w:val="22"/>
        </w:rPr>
        <w:t xml:space="preserve">Cuando el Comité de Transparencia confirme la clasificación de documentos reservados y/o confidenciales, sea total o parcialmente; se deberá anexar al expediente la resolución que determinó la </w:t>
      </w:r>
      <w:r w:rsidRPr="00614F2E">
        <w:rPr>
          <w:rFonts w:ascii="Palatino Linotype" w:eastAsia="Palatino Linotype" w:hAnsi="Palatino Linotype" w:cs="Palatino Linotype"/>
          <w:i/>
          <w:sz w:val="22"/>
          <w:szCs w:val="22"/>
        </w:rPr>
        <w:lastRenderedPageBreak/>
        <w:t>clasificación o, en su defecto, identificar en la carátula del expediente del cual formen parte, la fecha y sesión del Comité de Transparencia en la que se confirmó dicha clasificación.</w:t>
      </w:r>
      <w:r w:rsidRPr="00614F2E">
        <w:rPr>
          <w:rFonts w:ascii="Palatino Linotype" w:eastAsia="Palatino Linotype" w:hAnsi="Palatino Linotype" w:cs="Palatino Linotype"/>
          <w:b/>
          <w:i/>
          <w:sz w:val="22"/>
          <w:szCs w:val="22"/>
        </w:rPr>
        <w:t xml:space="preserve"> </w:t>
      </w:r>
    </w:p>
    <w:p w14:paraId="1AD07CD1" w14:textId="77777777" w:rsidR="001254C0" w:rsidRPr="00614F2E" w:rsidRDefault="00DA026C">
      <w:pPr>
        <w:spacing w:before="120" w:after="120"/>
        <w:ind w:left="851"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t xml:space="preserve">Quincuagésimo quinto. </w:t>
      </w:r>
      <w:r w:rsidRPr="00614F2E">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614F2E">
        <w:rPr>
          <w:rFonts w:ascii="Palatino Linotype" w:eastAsia="Palatino Linotype" w:hAnsi="Palatino Linotype" w:cs="Palatino Linotype"/>
          <w:i/>
          <w:sz w:val="22"/>
          <w:szCs w:val="22"/>
        </w:rPr>
        <w:t>testado</w:t>
      </w:r>
      <w:proofErr w:type="spellEnd"/>
      <w:r w:rsidRPr="00614F2E">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B5121CF" w14:textId="77777777" w:rsidR="001254C0" w:rsidRPr="00614F2E" w:rsidRDefault="00DA026C">
      <w:pPr>
        <w:spacing w:before="120" w:after="120"/>
        <w:ind w:left="851" w:right="902"/>
        <w:jc w:val="both"/>
        <w:rPr>
          <w:rFonts w:ascii="Palatino Linotype" w:eastAsia="Palatino Linotype" w:hAnsi="Palatino Linotype" w:cs="Palatino Linotype"/>
          <w:b/>
          <w:i/>
          <w:sz w:val="22"/>
          <w:szCs w:val="22"/>
        </w:rPr>
      </w:pPr>
      <w:r w:rsidRPr="00614F2E">
        <w:rPr>
          <w:rFonts w:ascii="Palatino Linotype" w:eastAsia="Palatino Linotype" w:hAnsi="Palatino Linotype" w:cs="Palatino Linotype"/>
          <w:b/>
          <w:i/>
          <w:sz w:val="22"/>
          <w:szCs w:val="22"/>
        </w:rPr>
        <w:t>...</w:t>
      </w:r>
    </w:p>
    <w:p w14:paraId="028AF1C6" w14:textId="77777777" w:rsidR="001254C0" w:rsidRPr="00614F2E" w:rsidRDefault="00DA026C">
      <w:pPr>
        <w:spacing w:before="120" w:after="120"/>
        <w:ind w:left="851"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t>Quincuagésimo séptimo</w:t>
      </w:r>
      <w:r w:rsidRPr="00614F2E">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769D7CD" w14:textId="77777777" w:rsidR="001254C0" w:rsidRPr="00614F2E" w:rsidRDefault="00DA026C">
      <w:pPr>
        <w:spacing w:before="120" w:after="120"/>
        <w:ind w:left="1134"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t>I</w:t>
      </w:r>
      <w:r w:rsidRPr="00614F2E">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2288A706" w14:textId="77777777" w:rsidR="001254C0" w:rsidRPr="00614F2E" w:rsidRDefault="00DA026C">
      <w:pPr>
        <w:spacing w:before="120" w:after="120"/>
        <w:ind w:left="1134"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t>II.</w:t>
      </w:r>
      <w:r w:rsidRPr="00614F2E">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6F7C4999" w14:textId="77777777" w:rsidR="001254C0" w:rsidRPr="00614F2E" w:rsidRDefault="00DA026C">
      <w:pPr>
        <w:spacing w:before="120" w:after="120"/>
        <w:ind w:left="1134"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t>III</w:t>
      </w:r>
      <w:r w:rsidRPr="00614F2E">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0E206A2C" w14:textId="77777777" w:rsidR="001254C0" w:rsidRPr="00614F2E" w:rsidRDefault="00DA026C">
      <w:pPr>
        <w:spacing w:before="120" w:after="120"/>
        <w:ind w:left="851"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0C95C991" w14:textId="77777777" w:rsidR="001254C0" w:rsidRPr="00614F2E" w:rsidRDefault="00DA026C">
      <w:pPr>
        <w:spacing w:before="120" w:after="120"/>
        <w:ind w:left="851" w:right="902"/>
        <w:jc w:val="both"/>
        <w:rPr>
          <w:rFonts w:ascii="Palatino Linotype" w:eastAsia="Palatino Linotype" w:hAnsi="Palatino Linotype" w:cs="Palatino Linotype"/>
          <w:i/>
          <w:sz w:val="22"/>
          <w:szCs w:val="22"/>
        </w:rPr>
      </w:pPr>
      <w:r w:rsidRPr="00614F2E">
        <w:rPr>
          <w:rFonts w:ascii="Palatino Linotype" w:eastAsia="Palatino Linotype" w:hAnsi="Palatino Linotype" w:cs="Palatino Linotype"/>
          <w:b/>
          <w:i/>
          <w:sz w:val="22"/>
          <w:szCs w:val="22"/>
        </w:rPr>
        <w:t>Quincuagésimo octavo</w:t>
      </w:r>
      <w:r w:rsidRPr="00614F2E">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69628043" w14:textId="77777777" w:rsidR="001254C0" w:rsidRPr="00614F2E" w:rsidRDefault="00DA026C">
      <w:pPr>
        <w:spacing w:before="280" w:after="280"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rPr>
        <w:t xml:space="preserve"> Así, con fundamento en lo prescrito en los artículos 5 párrafos trigésimo noveno, cuadragésimo y cuadragésimo primero de la Constitución Política del Estado Libre y Soberano de México; 2, fracción II; 29, 36 fracciones I y II; 176, 178, 181, 185 y 186 fracción II de la Ley de Transparencia y Acceso a la Información Pública del Estado de México y Municipios, este Pleno:</w:t>
      </w:r>
    </w:p>
    <w:p w14:paraId="02DF7A36" w14:textId="77777777" w:rsidR="001254C0" w:rsidRPr="00614F2E" w:rsidRDefault="00DA026C">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614F2E">
        <w:rPr>
          <w:rFonts w:ascii="Palatino Linotype" w:eastAsia="Palatino Linotype" w:hAnsi="Palatino Linotype" w:cs="Palatino Linotype"/>
          <w:b/>
        </w:rPr>
        <w:lastRenderedPageBreak/>
        <w:t>III. R E S U E L V E</w:t>
      </w:r>
    </w:p>
    <w:p w14:paraId="5260245C" w14:textId="77777777" w:rsidR="001254C0" w:rsidRPr="00614F2E" w:rsidRDefault="00DA026C">
      <w:pPr>
        <w:spacing w:before="240" w:after="240" w:line="360" w:lineRule="auto"/>
        <w:jc w:val="both"/>
        <w:rPr>
          <w:rFonts w:ascii="Palatino Linotype" w:eastAsia="Palatino Linotype" w:hAnsi="Palatino Linotype" w:cs="Palatino Linotype"/>
        </w:rPr>
      </w:pPr>
      <w:bookmarkStart w:id="8" w:name="_heading=h.1t3h5sf" w:colFirst="0" w:colLast="0"/>
      <w:bookmarkEnd w:id="8"/>
      <w:r w:rsidRPr="00614F2E">
        <w:rPr>
          <w:rFonts w:ascii="Palatino Linotype" w:eastAsia="Palatino Linotype" w:hAnsi="Palatino Linotype" w:cs="Palatino Linotype"/>
          <w:b/>
        </w:rPr>
        <w:t xml:space="preserve">Primero. </w:t>
      </w:r>
      <w:r w:rsidRPr="00614F2E">
        <w:rPr>
          <w:rFonts w:ascii="Palatino Linotype" w:eastAsia="Palatino Linotype" w:hAnsi="Palatino Linotype" w:cs="Palatino Linotype"/>
        </w:rPr>
        <w:t>Resultan</w:t>
      </w:r>
      <w:r w:rsidRPr="00614F2E">
        <w:rPr>
          <w:rFonts w:ascii="Palatino Linotype" w:eastAsia="Palatino Linotype" w:hAnsi="Palatino Linotype" w:cs="Palatino Linotype"/>
          <w:b/>
        </w:rPr>
        <w:t xml:space="preserve"> fundadas</w:t>
      </w:r>
      <w:r w:rsidRPr="00614F2E">
        <w:rPr>
          <w:rFonts w:ascii="Palatino Linotype" w:eastAsia="Palatino Linotype" w:hAnsi="Palatino Linotype" w:cs="Palatino Linotype"/>
        </w:rPr>
        <w:t xml:space="preserve"> las razones o motivos de inconformidad hechos valer por la parte</w:t>
      </w:r>
      <w:r w:rsidRPr="00614F2E">
        <w:rPr>
          <w:rFonts w:ascii="Palatino Linotype" w:eastAsia="Palatino Linotype" w:hAnsi="Palatino Linotype" w:cs="Palatino Linotype"/>
          <w:b/>
        </w:rPr>
        <w:t xml:space="preserve"> Recurrente</w:t>
      </w:r>
      <w:r w:rsidRPr="00614F2E">
        <w:rPr>
          <w:rFonts w:ascii="Palatino Linotype" w:eastAsia="Palatino Linotype" w:hAnsi="Palatino Linotype" w:cs="Palatino Linotype"/>
        </w:rPr>
        <w:t xml:space="preserve"> en el recurso de revisión </w:t>
      </w:r>
      <w:r w:rsidRPr="00614F2E">
        <w:rPr>
          <w:rFonts w:ascii="Palatino Linotype" w:eastAsia="Palatino Linotype" w:hAnsi="Palatino Linotype" w:cs="Palatino Linotype"/>
          <w:b/>
        </w:rPr>
        <w:t>05564/INFOEM/IP/RR/2025</w:t>
      </w:r>
      <w:r w:rsidRPr="00614F2E">
        <w:rPr>
          <w:rFonts w:ascii="Palatino Linotype" w:eastAsia="Palatino Linotype" w:hAnsi="Palatino Linotype" w:cs="Palatino Linotype"/>
        </w:rPr>
        <w:t xml:space="preserve">; por lo que, en términos del </w:t>
      </w:r>
      <w:r w:rsidRPr="00614F2E">
        <w:rPr>
          <w:rFonts w:ascii="Palatino Linotype" w:eastAsia="Palatino Linotype" w:hAnsi="Palatino Linotype" w:cs="Palatino Linotype"/>
          <w:b/>
        </w:rPr>
        <w:t>Considerando</w:t>
      </w:r>
      <w:r w:rsidRPr="00614F2E">
        <w:rPr>
          <w:rFonts w:ascii="Palatino Linotype" w:eastAsia="Palatino Linotype" w:hAnsi="Palatino Linotype" w:cs="Palatino Linotype"/>
        </w:rPr>
        <w:t xml:space="preserve"> </w:t>
      </w:r>
      <w:r w:rsidRPr="00614F2E">
        <w:rPr>
          <w:rFonts w:ascii="Palatino Linotype" w:eastAsia="Palatino Linotype" w:hAnsi="Palatino Linotype" w:cs="Palatino Linotype"/>
          <w:b/>
        </w:rPr>
        <w:t xml:space="preserve">Cuarto </w:t>
      </w:r>
      <w:r w:rsidRPr="00614F2E">
        <w:rPr>
          <w:rFonts w:ascii="Palatino Linotype" w:eastAsia="Palatino Linotype" w:hAnsi="Palatino Linotype" w:cs="Palatino Linotype"/>
        </w:rPr>
        <w:t xml:space="preserve">de esta resolución, se </w:t>
      </w:r>
      <w:r w:rsidRPr="00614F2E">
        <w:rPr>
          <w:rFonts w:ascii="Palatino Linotype" w:eastAsia="Palatino Linotype" w:hAnsi="Palatino Linotype" w:cs="Palatino Linotype"/>
          <w:b/>
        </w:rPr>
        <w:t xml:space="preserve">Revoca </w:t>
      </w:r>
      <w:r w:rsidRPr="00614F2E">
        <w:rPr>
          <w:rFonts w:ascii="Palatino Linotype" w:eastAsia="Palatino Linotype" w:hAnsi="Palatino Linotype" w:cs="Palatino Linotype"/>
        </w:rPr>
        <w:t xml:space="preserve">la respuesta emitida por el </w:t>
      </w:r>
      <w:r w:rsidRPr="00614F2E">
        <w:rPr>
          <w:rFonts w:ascii="Palatino Linotype" w:eastAsia="Palatino Linotype" w:hAnsi="Palatino Linotype" w:cs="Palatino Linotype"/>
          <w:b/>
        </w:rPr>
        <w:t xml:space="preserve">Sujeto Obligado. </w:t>
      </w:r>
    </w:p>
    <w:p w14:paraId="4D5FC6D9" w14:textId="77777777" w:rsidR="001254C0" w:rsidRPr="00614F2E" w:rsidRDefault="00DA026C">
      <w:pPr>
        <w:spacing w:before="240" w:after="240" w:line="360" w:lineRule="auto"/>
        <w:ind w:right="49"/>
        <w:jc w:val="both"/>
        <w:rPr>
          <w:rFonts w:ascii="Palatino Linotype" w:eastAsia="Palatino Linotype" w:hAnsi="Palatino Linotype" w:cs="Palatino Linotype"/>
        </w:rPr>
      </w:pPr>
      <w:r w:rsidRPr="00614F2E">
        <w:rPr>
          <w:rFonts w:ascii="Palatino Linotype" w:eastAsia="Palatino Linotype" w:hAnsi="Palatino Linotype" w:cs="Palatino Linotype"/>
          <w:b/>
        </w:rPr>
        <w:t xml:space="preserve">Segundo. </w:t>
      </w:r>
      <w:r w:rsidRPr="00614F2E">
        <w:rPr>
          <w:rFonts w:ascii="Palatino Linotype" w:eastAsia="Palatino Linotype" w:hAnsi="Palatino Linotype" w:cs="Palatino Linotype"/>
        </w:rPr>
        <w:t xml:space="preserve">Se </w:t>
      </w:r>
      <w:r w:rsidRPr="00614F2E">
        <w:rPr>
          <w:rFonts w:ascii="Palatino Linotype" w:eastAsia="Palatino Linotype" w:hAnsi="Palatino Linotype" w:cs="Palatino Linotype"/>
          <w:b/>
        </w:rPr>
        <w:t xml:space="preserve">Ordena </w:t>
      </w:r>
      <w:r w:rsidRPr="00614F2E">
        <w:rPr>
          <w:rFonts w:ascii="Palatino Linotype" w:eastAsia="Palatino Linotype" w:hAnsi="Palatino Linotype" w:cs="Palatino Linotype"/>
        </w:rPr>
        <w:t xml:space="preserve">al </w:t>
      </w:r>
      <w:r w:rsidRPr="00614F2E">
        <w:rPr>
          <w:rFonts w:ascii="Palatino Linotype" w:eastAsia="Palatino Linotype" w:hAnsi="Palatino Linotype" w:cs="Palatino Linotype"/>
          <w:b/>
        </w:rPr>
        <w:t xml:space="preserve">Sujeto Obligado, </w:t>
      </w:r>
      <w:r w:rsidRPr="00614F2E">
        <w:rPr>
          <w:rFonts w:ascii="Palatino Linotype" w:eastAsia="Palatino Linotype" w:hAnsi="Palatino Linotype" w:cs="Palatino Linotype"/>
        </w:rPr>
        <w:t xml:space="preserve">en términos de los </w:t>
      </w:r>
      <w:r w:rsidRPr="00614F2E">
        <w:rPr>
          <w:rFonts w:ascii="Palatino Linotype" w:eastAsia="Palatino Linotype" w:hAnsi="Palatino Linotype" w:cs="Palatino Linotype"/>
          <w:b/>
        </w:rPr>
        <w:t>Considerandos</w:t>
      </w:r>
      <w:r w:rsidRPr="00614F2E">
        <w:rPr>
          <w:rFonts w:ascii="Palatino Linotype" w:eastAsia="Palatino Linotype" w:hAnsi="Palatino Linotype" w:cs="Palatino Linotype"/>
        </w:rPr>
        <w:t xml:space="preserve"> </w:t>
      </w:r>
      <w:r w:rsidRPr="00614F2E">
        <w:rPr>
          <w:rFonts w:ascii="Palatino Linotype" w:eastAsia="Palatino Linotype" w:hAnsi="Palatino Linotype" w:cs="Palatino Linotype"/>
          <w:b/>
        </w:rPr>
        <w:t xml:space="preserve">Cuarto </w:t>
      </w:r>
      <w:r w:rsidRPr="00614F2E">
        <w:rPr>
          <w:rFonts w:ascii="Palatino Linotype" w:eastAsia="Palatino Linotype" w:hAnsi="Palatino Linotype" w:cs="Palatino Linotype"/>
        </w:rPr>
        <w:t xml:space="preserve">y </w:t>
      </w:r>
      <w:r w:rsidRPr="00614F2E">
        <w:rPr>
          <w:rFonts w:ascii="Palatino Linotype" w:eastAsia="Palatino Linotype" w:hAnsi="Palatino Linotype" w:cs="Palatino Linotype"/>
          <w:b/>
        </w:rPr>
        <w:t xml:space="preserve">Quinto </w:t>
      </w:r>
      <w:r w:rsidRPr="00614F2E">
        <w:rPr>
          <w:rFonts w:ascii="Palatino Linotype" w:eastAsia="Palatino Linotype" w:hAnsi="Palatino Linotype" w:cs="Palatino Linotype"/>
        </w:rPr>
        <w:t xml:space="preserve">de esta resolución, haga entrega, vía </w:t>
      </w:r>
      <w:r w:rsidRPr="00614F2E">
        <w:rPr>
          <w:rFonts w:ascii="Palatino Linotype" w:eastAsia="Palatino Linotype" w:hAnsi="Palatino Linotype" w:cs="Palatino Linotype"/>
          <w:b/>
        </w:rPr>
        <w:t>SAIMEX</w:t>
      </w:r>
      <w:r w:rsidRPr="00614F2E">
        <w:rPr>
          <w:rFonts w:ascii="Palatino Linotype" w:eastAsia="Palatino Linotype" w:hAnsi="Palatino Linotype" w:cs="Palatino Linotype"/>
        </w:rPr>
        <w:t>, previa búsqueda exhaustiva y razonable, en versión pública de ser procedente, de lo siguiente:</w:t>
      </w:r>
    </w:p>
    <w:p w14:paraId="6E5C531D" w14:textId="77777777" w:rsidR="001254C0" w:rsidRPr="00614F2E" w:rsidRDefault="00DA026C">
      <w:pPr>
        <w:numPr>
          <w:ilvl w:val="0"/>
          <w:numId w:val="1"/>
        </w:numPr>
        <w:pBdr>
          <w:top w:val="nil"/>
          <w:left w:val="nil"/>
          <w:bottom w:val="nil"/>
          <w:right w:val="nil"/>
          <w:between w:val="nil"/>
        </w:pBdr>
        <w:spacing w:before="240" w:after="240" w:line="360" w:lineRule="auto"/>
        <w:ind w:left="284" w:right="49" w:firstLine="0"/>
        <w:jc w:val="both"/>
        <w:rPr>
          <w:rFonts w:ascii="Palatino Linotype" w:eastAsia="Palatino Linotype" w:hAnsi="Palatino Linotype" w:cs="Palatino Linotype"/>
        </w:rPr>
      </w:pPr>
      <w:bookmarkStart w:id="9" w:name="_heading=h.1fob9te" w:colFirst="0" w:colLast="0"/>
      <w:bookmarkEnd w:id="9"/>
      <w:r w:rsidRPr="00614F2E">
        <w:rPr>
          <w:rFonts w:ascii="Palatino Linotype" w:eastAsia="Palatino Linotype" w:hAnsi="Palatino Linotype" w:cs="Palatino Linotype"/>
        </w:rPr>
        <w:t>El o los documentos en los que conste la situación jurídica de los inmuebles que ocupan las 48 Delegaciones y 37 Subdelegaciones que integran el municipio de Toluca, al veinticinco de marzo de dos mil veinticinco.</w:t>
      </w:r>
    </w:p>
    <w:p w14:paraId="66ED6908" w14:textId="77777777" w:rsidR="001254C0" w:rsidRPr="00614F2E" w:rsidRDefault="00DA026C">
      <w:pPr>
        <w:spacing w:before="240" w:after="240"/>
        <w:ind w:left="284" w:right="49"/>
        <w:jc w:val="both"/>
        <w:rPr>
          <w:rFonts w:ascii="Palatino Linotype" w:eastAsia="Palatino Linotype" w:hAnsi="Palatino Linotype" w:cs="Palatino Linotype"/>
          <w:i/>
          <w:sz w:val="20"/>
          <w:szCs w:val="20"/>
        </w:rPr>
      </w:pPr>
      <w:r w:rsidRPr="00614F2E">
        <w:rPr>
          <w:rFonts w:ascii="Palatino Linotype" w:eastAsia="Palatino Linotype" w:hAnsi="Palatino Linotype" w:cs="Palatino Linotype"/>
          <w:i/>
          <w:sz w:val="20"/>
          <w:szCs w:val="20"/>
        </w:rPr>
        <w:t>Para la entrega de información en versión pública, se deberá emitir el Acuerdo del Comité de Transparencia de acuerdo con la Ley de Transparencia y Acceso a la Información Pública del Estado de México y Municipios, en el que funde y motive las razones sobre los datos que se supriman, mismo que también hará de conocimiento del particular.</w:t>
      </w:r>
    </w:p>
    <w:p w14:paraId="3CE34E85" w14:textId="2D946FB9" w:rsidR="001254C0" w:rsidRPr="00614F2E" w:rsidRDefault="00DA026C">
      <w:pPr>
        <w:spacing w:before="120" w:after="120"/>
        <w:ind w:left="284"/>
        <w:jc w:val="both"/>
        <w:rPr>
          <w:rFonts w:ascii="Palatino Linotype" w:eastAsia="Palatino Linotype" w:hAnsi="Palatino Linotype" w:cs="Palatino Linotype"/>
          <w:i/>
          <w:sz w:val="20"/>
          <w:szCs w:val="20"/>
        </w:rPr>
      </w:pPr>
      <w:bookmarkStart w:id="10" w:name="_heading=h.hnzxsch5gysz" w:colFirst="0" w:colLast="0"/>
      <w:bookmarkEnd w:id="10"/>
      <w:r w:rsidRPr="00614F2E">
        <w:rPr>
          <w:rFonts w:ascii="Palatino Linotype" w:eastAsia="Palatino Linotype" w:hAnsi="Palatino Linotype" w:cs="Palatino Linotype"/>
          <w:i/>
          <w:sz w:val="20"/>
          <w:szCs w:val="20"/>
        </w:rPr>
        <w:t xml:space="preserve">En el supuesto que no obre en los archivos del </w:t>
      </w:r>
      <w:r w:rsidRPr="00614F2E">
        <w:rPr>
          <w:rFonts w:ascii="Palatino Linotype" w:eastAsia="Palatino Linotype" w:hAnsi="Palatino Linotype" w:cs="Palatino Linotype"/>
          <w:b/>
          <w:i/>
          <w:sz w:val="20"/>
          <w:szCs w:val="20"/>
        </w:rPr>
        <w:t xml:space="preserve">Sujeto Obligado </w:t>
      </w:r>
      <w:r w:rsidRPr="00614F2E">
        <w:rPr>
          <w:rFonts w:ascii="Palatino Linotype" w:eastAsia="Palatino Linotype" w:hAnsi="Palatino Linotype" w:cs="Palatino Linotype"/>
          <w:i/>
          <w:sz w:val="20"/>
          <w:szCs w:val="20"/>
        </w:rPr>
        <w:t xml:space="preserve">la información </w:t>
      </w:r>
      <w:r w:rsidR="00DC7438" w:rsidRPr="00614F2E">
        <w:rPr>
          <w:rFonts w:ascii="Palatino Linotype" w:eastAsia="Palatino Linotype" w:hAnsi="Palatino Linotype" w:cs="Palatino Linotype"/>
          <w:i/>
          <w:sz w:val="20"/>
          <w:szCs w:val="20"/>
        </w:rPr>
        <w:t xml:space="preserve">que se </w:t>
      </w:r>
      <w:r w:rsidRPr="00614F2E">
        <w:rPr>
          <w:rFonts w:ascii="Palatino Linotype" w:eastAsia="Palatino Linotype" w:hAnsi="Palatino Linotype" w:cs="Palatino Linotype"/>
          <w:i/>
          <w:sz w:val="20"/>
          <w:szCs w:val="20"/>
        </w:rPr>
        <w:t xml:space="preserve">ordena, </w:t>
      </w:r>
      <w:r w:rsidR="00DC7438" w:rsidRPr="00614F2E">
        <w:rPr>
          <w:rFonts w:ascii="Palatino Linotype" w:eastAsia="Palatino Linotype" w:hAnsi="Palatino Linotype" w:cs="Palatino Linotype"/>
          <w:b/>
          <w:bCs/>
          <w:i/>
          <w:sz w:val="20"/>
          <w:szCs w:val="20"/>
          <w:u w:val="single"/>
        </w:rPr>
        <w:t>con excepción de los 12 inmuebles referidos en respuesta,</w:t>
      </w:r>
      <w:r w:rsidR="00DC7438" w:rsidRPr="00614F2E">
        <w:rPr>
          <w:rFonts w:ascii="Palatino Linotype" w:eastAsia="Palatino Linotype" w:hAnsi="Palatino Linotype" w:cs="Palatino Linotype"/>
          <w:i/>
          <w:sz w:val="20"/>
          <w:szCs w:val="20"/>
        </w:rPr>
        <w:t xml:space="preserve"> </w:t>
      </w:r>
      <w:r w:rsidRPr="00614F2E">
        <w:rPr>
          <w:rFonts w:ascii="Palatino Linotype" w:eastAsia="Palatino Linotype" w:hAnsi="Palatino Linotype" w:cs="Palatino Linotype"/>
          <w:i/>
          <w:sz w:val="20"/>
          <w:szCs w:val="20"/>
        </w:rPr>
        <w:t xml:space="preserve">por tratarse de inmuebles cuya propiedad o posesión no corresponda al ayuntamiento, bastará con que así lo haga del conocimiento de la parte </w:t>
      </w:r>
      <w:r w:rsidRPr="00614F2E">
        <w:rPr>
          <w:rFonts w:ascii="Palatino Linotype" w:eastAsia="Palatino Linotype" w:hAnsi="Palatino Linotype" w:cs="Palatino Linotype"/>
          <w:b/>
          <w:i/>
          <w:sz w:val="20"/>
          <w:szCs w:val="20"/>
        </w:rPr>
        <w:t>Recurrente</w:t>
      </w:r>
      <w:r w:rsidRPr="00614F2E">
        <w:rPr>
          <w:rFonts w:ascii="Palatino Linotype" w:eastAsia="Palatino Linotype" w:hAnsi="Palatino Linotype" w:cs="Palatino Linotype"/>
          <w:i/>
          <w:sz w:val="20"/>
          <w:szCs w:val="20"/>
        </w:rPr>
        <w:t>, de manera fundada y motivada, en términos del artículo 19, párrafo segundo de la Ley de Transparencia y Acceso a la Información Pública del Estado de México y Municipios, para tener por colmado el requerimiento de información.</w:t>
      </w:r>
    </w:p>
    <w:p w14:paraId="77480C65" w14:textId="77777777" w:rsidR="001254C0" w:rsidRPr="00614F2E" w:rsidRDefault="00DA026C">
      <w:pPr>
        <w:spacing w:before="240" w:after="240"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b/>
        </w:rPr>
        <w:t xml:space="preserve">Tercero. Notifíquese, </w:t>
      </w:r>
      <w:r w:rsidRPr="00614F2E">
        <w:rPr>
          <w:rFonts w:ascii="Palatino Linotype" w:eastAsia="Palatino Linotype" w:hAnsi="Palatino Linotype" w:cs="Palatino Linotype"/>
        </w:rPr>
        <w:t xml:space="preserve">vía </w:t>
      </w:r>
      <w:r w:rsidRPr="00614F2E">
        <w:rPr>
          <w:rFonts w:ascii="Palatino Linotype" w:eastAsia="Palatino Linotype" w:hAnsi="Palatino Linotype" w:cs="Palatino Linotype"/>
          <w:b/>
        </w:rPr>
        <w:t>SAIMEX</w:t>
      </w:r>
      <w:r w:rsidRPr="00614F2E">
        <w:rPr>
          <w:rFonts w:ascii="Palatino Linotype" w:eastAsia="Palatino Linotype" w:hAnsi="Palatino Linotype" w:cs="Palatino Linotype"/>
        </w:rPr>
        <w:t xml:space="preserve">, al Titular de la Unidad de Transparencia del </w:t>
      </w:r>
      <w:r w:rsidRPr="00614F2E">
        <w:rPr>
          <w:rFonts w:ascii="Palatino Linotype" w:eastAsia="Palatino Linotype" w:hAnsi="Palatino Linotype" w:cs="Palatino Linotype"/>
          <w:b/>
        </w:rPr>
        <w:t>Sujeto Obligado,</w:t>
      </w:r>
      <w:r w:rsidRPr="00614F2E">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w:t>
      </w:r>
      <w:r w:rsidRPr="00614F2E">
        <w:rPr>
          <w:rFonts w:ascii="Palatino Linotype" w:eastAsia="Palatino Linotype" w:hAnsi="Palatino Linotype" w:cs="Palatino Linotype"/>
        </w:rPr>
        <w:lastRenderedPageBreak/>
        <w:t>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21074DB" w14:textId="77777777" w:rsidR="001254C0" w:rsidRPr="00614F2E" w:rsidRDefault="00DA026C">
      <w:pPr>
        <w:spacing w:before="240" w:after="240" w:line="360" w:lineRule="auto"/>
        <w:jc w:val="both"/>
        <w:rPr>
          <w:rFonts w:ascii="Palatino Linotype" w:eastAsia="Palatino Linotype" w:hAnsi="Palatino Linotype" w:cs="Palatino Linotype"/>
        </w:rPr>
      </w:pPr>
      <w:r w:rsidRPr="00614F2E">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614F2E">
        <w:rPr>
          <w:rFonts w:ascii="Palatino Linotype" w:eastAsia="Palatino Linotype" w:hAnsi="Palatino Linotype" w:cs="Palatino Linotype"/>
          <w:b/>
        </w:rPr>
        <w:t>Sujeto Obligado</w:t>
      </w:r>
      <w:r w:rsidRPr="00614F2E">
        <w:rPr>
          <w:rFonts w:ascii="Palatino Linotype" w:eastAsia="Palatino Linotype" w:hAnsi="Palatino Linotype" w:cs="Palatino Linotype"/>
        </w:rPr>
        <w:t xml:space="preserve"> de manera fundada y motivada, podrá solicitar una ampliación de plazo para el cumplimiento de la presente resolución.</w:t>
      </w:r>
    </w:p>
    <w:p w14:paraId="6C5FBA44" w14:textId="77777777" w:rsidR="001254C0" w:rsidRPr="00614F2E" w:rsidRDefault="00DA026C">
      <w:pPr>
        <w:spacing w:before="240" w:after="240" w:line="360" w:lineRule="auto"/>
        <w:jc w:val="both"/>
        <w:rPr>
          <w:rFonts w:ascii="Palatino Linotype" w:eastAsia="Palatino Linotype" w:hAnsi="Palatino Linotype" w:cs="Palatino Linotype"/>
        </w:rPr>
      </w:pPr>
      <w:bookmarkStart w:id="11" w:name="_heading=h.ot3qq6vxa08f" w:colFirst="0" w:colLast="0"/>
      <w:bookmarkEnd w:id="11"/>
      <w:r w:rsidRPr="00614F2E">
        <w:rPr>
          <w:rFonts w:ascii="Palatino Linotype" w:eastAsia="Palatino Linotype" w:hAnsi="Palatino Linotype" w:cs="Palatino Linotype"/>
          <w:b/>
        </w:rPr>
        <w:t xml:space="preserve">Cuarto.  Notifíquese, </w:t>
      </w:r>
      <w:r w:rsidRPr="00614F2E">
        <w:rPr>
          <w:rFonts w:ascii="Palatino Linotype" w:eastAsia="Palatino Linotype" w:hAnsi="Palatino Linotype" w:cs="Palatino Linotype"/>
        </w:rPr>
        <w:t xml:space="preserve">vía </w:t>
      </w:r>
      <w:r w:rsidRPr="00614F2E">
        <w:rPr>
          <w:rFonts w:ascii="Palatino Linotype" w:eastAsia="Palatino Linotype" w:hAnsi="Palatino Linotype" w:cs="Palatino Linotype"/>
          <w:b/>
        </w:rPr>
        <w:t>SAIMEX</w:t>
      </w:r>
      <w:r w:rsidRPr="00614F2E">
        <w:rPr>
          <w:rFonts w:ascii="Palatino Linotype" w:eastAsia="Palatino Linotype" w:hAnsi="Palatino Linotype" w:cs="Palatino Linotype"/>
        </w:rPr>
        <w:t xml:space="preserve"> a la parte </w:t>
      </w:r>
      <w:r w:rsidRPr="00614F2E">
        <w:rPr>
          <w:rFonts w:ascii="Palatino Linotype" w:eastAsia="Palatino Linotype" w:hAnsi="Palatino Linotype" w:cs="Palatino Linotype"/>
          <w:b/>
        </w:rPr>
        <w:t>Recurrente</w:t>
      </w:r>
      <w:r w:rsidRPr="00614F2E">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2F79B233" w14:textId="1F02940E" w:rsidR="001254C0" w:rsidRPr="00DA026C" w:rsidRDefault="00DA026C">
      <w:pPr>
        <w:tabs>
          <w:tab w:val="left" w:pos="8647"/>
        </w:tabs>
        <w:spacing w:before="240" w:after="240" w:line="360" w:lineRule="auto"/>
        <w:ind w:right="51"/>
        <w:jc w:val="both"/>
        <w:rPr>
          <w:rFonts w:ascii="Palatino Linotype" w:eastAsia="Palatino Linotype" w:hAnsi="Palatino Linotype" w:cs="Palatino Linotype"/>
        </w:rPr>
      </w:pPr>
      <w:bookmarkStart w:id="12" w:name="_heading=h.lnxbz9" w:colFirst="0" w:colLast="0"/>
      <w:bookmarkEnd w:id="12"/>
      <w:r w:rsidRPr="00614F2E">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A27581" w:rsidRPr="00614F2E">
        <w:rPr>
          <w:rFonts w:ascii="Palatino Linotype" w:eastAsia="Palatino Linotype" w:hAnsi="Palatino Linotype" w:cs="Palatino Linotype"/>
        </w:rPr>
        <w:t xml:space="preserve"> (AUSENCIA JUSTIFICADA)</w:t>
      </w:r>
      <w:r w:rsidRPr="00614F2E">
        <w:rPr>
          <w:rFonts w:ascii="Palatino Linotype" w:eastAsia="Palatino Linotype" w:hAnsi="Palatino Linotype" w:cs="Palatino Linotype"/>
        </w:rPr>
        <w:t>, LUIS GUSTAVO PARRA NORIEGA, Y GUADALUPE RAMÍREZ PEÑA, EN LA TRIGÉSIMA TERCERA SESIÓN ORDINARIA CELEBRADA EL DIECIOCHO DE SEPTIEMBRE DE DOS MIL VEINTICINCO, ANTE EL SECRETARIO TÉCNICO DEL PLENO ALEXIS TAPIA RAMÍREZ.</w:t>
      </w:r>
    </w:p>
    <w:p w14:paraId="6AB60CCA" w14:textId="77777777" w:rsidR="001254C0" w:rsidRPr="00DA026C" w:rsidRDefault="001254C0">
      <w:pPr>
        <w:spacing w:line="360" w:lineRule="auto"/>
        <w:jc w:val="both"/>
        <w:rPr>
          <w:rFonts w:ascii="Palatino Linotype" w:eastAsia="Palatino Linotype" w:hAnsi="Palatino Linotype" w:cs="Palatino Linotype"/>
        </w:rPr>
      </w:pPr>
    </w:p>
    <w:p w14:paraId="65159F69" w14:textId="77777777" w:rsidR="001254C0" w:rsidRPr="00DA026C" w:rsidRDefault="001254C0">
      <w:pPr>
        <w:spacing w:line="360" w:lineRule="auto"/>
        <w:jc w:val="center"/>
        <w:rPr>
          <w:rFonts w:ascii="Palatino Linotype" w:eastAsia="Palatino Linotype" w:hAnsi="Palatino Linotype" w:cs="Palatino Linotype"/>
        </w:rPr>
      </w:pPr>
    </w:p>
    <w:p w14:paraId="09916CEB" w14:textId="77777777" w:rsidR="001254C0" w:rsidRPr="00DA026C" w:rsidRDefault="001254C0">
      <w:pPr>
        <w:spacing w:line="360" w:lineRule="auto"/>
        <w:jc w:val="both"/>
        <w:rPr>
          <w:rFonts w:ascii="Palatino Linotype" w:eastAsia="Palatino Linotype" w:hAnsi="Palatino Linotype" w:cs="Palatino Linotype"/>
        </w:rPr>
      </w:pPr>
    </w:p>
    <w:p w14:paraId="2B0C2AD2" w14:textId="77777777" w:rsidR="001254C0" w:rsidRPr="00DA026C" w:rsidRDefault="001254C0">
      <w:pPr>
        <w:spacing w:line="360" w:lineRule="auto"/>
        <w:jc w:val="both"/>
        <w:rPr>
          <w:rFonts w:ascii="Palatino Linotype" w:eastAsia="Palatino Linotype" w:hAnsi="Palatino Linotype" w:cs="Palatino Linotype"/>
        </w:rPr>
      </w:pPr>
    </w:p>
    <w:p w14:paraId="0CD37DA7" w14:textId="77777777" w:rsidR="001254C0" w:rsidRPr="00DA026C" w:rsidRDefault="001254C0">
      <w:pPr>
        <w:spacing w:line="360" w:lineRule="auto"/>
        <w:jc w:val="both"/>
        <w:rPr>
          <w:rFonts w:ascii="Palatino Linotype" w:eastAsia="Palatino Linotype" w:hAnsi="Palatino Linotype" w:cs="Palatino Linotype"/>
        </w:rPr>
      </w:pPr>
    </w:p>
    <w:p w14:paraId="28882E76" w14:textId="77777777" w:rsidR="001254C0" w:rsidRPr="00DA026C" w:rsidRDefault="001254C0">
      <w:pPr>
        <w:spacing w:line="360" w:lineRule="auto"/>
        <w:jc w:val="both"/>
        <w:rPr>
          <w:rFonts w:ascii="Palatino Linotype" w:eastAsia="Palatino Linotype" w:hAnsi="Palatino Linotype" w:cs="Palatino Linotype"/>
        </w:rPr>
      </w:pPr>
    </w:p>
    <w:p w14:paraId="0B6B2097" w14:textId="77777777" w:rsidR="001254C0" w:rsidRPr="00DA026C" w:rsidRDefault="001254C0">
      <w:pPr>
        <w:spacing w:line="360" w:lineRule="auto"/>
        <w:jc w:val="both"/>
        <w:rPr>
          <w:rFonts w:ascii="Palatino Linotype" w:eastAsia="Palatino Linotype" w:hAnsi="Palatino Linotype" w:cs="Palatino Linotype"/>
        </w:rPr>
      </w:pPr>
    </w:p>
    <w:p w14:paraId="27CDEB6B" w14:textId="77777777" w:rsidR="001254C0" w:rsidRPr="00DA026C" w:rsidRDefault="001254C0">
      <w:pPr>
        <w:spacing w:line="360" w:lineRule="auto"/>
        <w:jc w:val="both"/>
        <w:rPr>
          <w:rFonts w:ascii="Palatino Linotype" w:eastAsia="Palatino Linotype" w:hAnsi="Palatino Linotype" w:cs="Palatino Linotype"/>
        </w:rPr>
      </w:pPr>
    </w:p>
    <w:p w14:paraId="21CD21F1" w14:textId="77777777" w:rsidR="001254C0" w:rsidRPr="00DA026C" w:rsidRDefault="001254C0">
      <w:pPr>
        <w:spacing w:line="360" w:lineRule="auto"/>
        <w:jc w:val="both"/>
        <w:rPr>
          <w:rFonts w:ascii="Palatino Linotype" w:eastAsia="Palatino Linotype" w:hAnsi="Palatino Linotype" w:cs="Palatino Linotype"/>
        </w:rPr>
      </w:pPr>
    </w:p>
    <w:p w14:paraId="559BEB9F" w14:textId="77777777" w:rsidR="001254C0" w:rsidRPr="00DA026C" w:rsidRDefault="001254C0">
      <w:pPr>
        <w:spacing w:line="360" w:lineRule="auto"/>
        <w:jc w:val="both"/>
        <w:rPr>
          <w:rFonts w:ascii="Palatino Linotype" w:eastAsia="Palatino Linotype" w:hAnsi="Palatino Linotype" w:cs="Palatino Linotype"/>
        </w:rPr>
      </w:pPr>
    </w:p>
    <w:p w14:paraId="59AB2121" w14:textId="77777777" w:rsidR="001254C0" w:rsidRPr="00DA026C" w:rsidRDefault="001254C0">
      <w:pPr>
        <w:spacing w:line="360" w:lineRule="auto"/>
        <w:jc w:val="both"/>
        <w:rPr>
          <w:rFonts w:ascii="Palatino Linotype" w:eastAsia="Palatino Linotype" w:hAnsi="Palatino Linotype" w:cs="Palatino Linotype"/>
        </w:rPr>
      </w:pPr>
    </w:p>
    <w:p w14:paraId="1522DE2F" w14:textId="77777777" w:rsidR="001254C0" w:rsidRPr="00DA026C" w:rsidRDefault="001254C0">
      <w:pPr>
        <w:spacing w:line="360" w:lineRule="auto"/>
        <w:jc w:val="both"/>
        <w:rPr>
          <w:rFonts w:ascii="Palatino Linotype" w:eastAsia="Palatino Linotype" w:hAnsi="Palatino Linotype" w:cs="Palatino Linotype"/>
        </w:rPr>
      </w:pPr>
    </w:p>
    <w:p w14:paraId="75B279D4" w14:textId="77777777" w:rsidR="001254C0" w:rsidRPr="00DA026C" w:rsidRDefault="001254C0">
      <w:pPr>
        <w:spacing w:line="360" w:lineRule="auto"/>
        <w:jc w:val="both"/>
        <w:rPr>
          <w:rFonts w:ascii="Palatino Linotype" w:eastAsia="Palatino Linotype" w:hAnsi="Palatino Linotype" w:cs="Palatino Linotype"/>
        </w:rPr>
      </w:pPr>
    </w:p>
    <w:p w14:paraId="5AF8A22A" w14:textId="77777777" w:rsidR="001254C0" w:rsidRPr="00DA026C" w:rsidRDefault="001254C0">
      <w:pPr>
        <w:spacing w:line="360" w:lineRule="auto"/>
        <w:jc w:val="both"/>
        <w:rPr>
          <w:rFonts w:ascii="Palatino Linotype" w:eastAsia="Palatino Linotype" w:hAnsi="Palatino Linotype" w:cs="Palatino Linotype"/>
        </w:rPr>
      </w:pPr>
    </w:p>
    <w:p w14:paraId="0F7211AF" w14:textId="77777777" w:rsidR="001254C0" w:rsidRPr="00DA026C" w:rsidRDefault="001254C0">
      <w:pPr>
        <w:spacing w:line="360" w:lineRule="auto"/>
        <w:jc w:val="both"/>
        <w:rPr>
          <w:rFonts w:ascii="Palatino Linotype" w:eastAsia="Palatino Linotype" w:hAnsi="Palatino Linotype" w:cs="Palatino Linotype"/>
        </w:rPr>
      </w:pPr>
    </w:p>
    <w:p w14:paraId="261D13AF" w14:textId="77777777" w:rsidR="001254C0" w:rsidRPr="00DA026C" w:rsidRDefault="001254C0">
      <w:pPr>
        <w:spacing w:line="360" w:lineRule="auto"/>
        <w:jc w:val="both"/>
        <w:rPr>
          <w:rFonts w:ascii="Palatino Linotype" w:eastAsia="Palatino Linotype" w:hAnsi="Palatino Linotype" w:cs="Palatino Linotype"/>
        </w:rPr>
      </w:pPr>
    </w:p>
    <w:p w14:paraId="4488E163" w14:textId="77777777" w:rsidR="001254C0" w:rsidRPr="00DA026C" w:rsidRDefault="001254C0">
      <w:pPr>
        <w:spacing w:line="360" w:lineRule="auto"/>
        <w:jc w:val="both"/>
        <w:rPr>
          <w:rFonts w:ascii="Palatino Linotype" w:eastAsia="Palatino Linotype" w:hAnsi="Palatino Linotype" w:cs="Palatino Linotype"/>
        </w:rPr>
      </w:pPr>
    </w:p>
    <w:p w14:paraId="523B7160" w14:textId="77777777" w:rsidR="001254C0" w:rsidRPr="00DA026C" w:rsidRDefault="001254C0">
      <w:pPr>
        <w:spacing w:line="360" w:lineRule="auto"/>
        <w:jc w:val="both"/>
        <w:rPr>
          <w:rFonts w:ascii="Palatino Linotype" w:eastAsia="Palatino Linotype" w:hAnsi="Palatino Linotype" w:cs="Palatino Linotype"/>
        </w:rPr>
      </w:pPr>
    </w:p>
    <w:p w14:paraId="4D79449E" w14:textId="77777777" w:rsidR="001254C0" w:rsidRPr="00DA026C" w:rsidRDefault="001254C0">
      <w:pPr>
        <w:spacing w:line="360" w:lineRule="auto"/>
        <w:jc w:val="both"/>
        <w:rPr>
          <w:rFonts w:ascii="Palatino Linotype" w:eastAsia="Palatino Linotype" w:hAnsi="Palatino Linotype" w:cs="Palatino Linotype"/>
        </w:rPr>
      </w:pPr>
    </w:p>
    <w:p w14:paraId="404A4BF2" w14:textId="77777777" w:rsidR="001254C0" w:rsidRPr="00DA026C" w:rsidRDefault="001254C0">
      <w:pPr>
        <w:spacing w:line="360" w:lineRule="auto"/>
        <w:jc w:val="both"/>
        <w:rPr>
          <w:rFonts w:ascii="Palatino Linotype" w:eastAsia="Palatino Linotype" w:hAnsi="Palatino Linotype" w:cs="Palatino Linotype"/>
        </w:rPr>
      </w:pPr>
    </w:p>
    <w:sectPr w:rsidR="001254C0" w:rsidRPr="00DA026C">
      <w:headerReference w:type="default" r:id="rId14"/>
      <w:footerReference w:type="default" r:id="rId15"/>
      <w:headerReference w:type="first" r:id="rId16"/>
      <w:footerReference w:type="first" r:id="rId1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1574E4" w14:textId="77777777" w:rsidR="00E60671" w:rsidRDefault="00E60671">
      <w:r>
        <w:separator/>
      </w:r>
    </w:p>
  </w:endnote>
  <w:endnote w:type="continuationSeparator" w:id="0">
    <w:p w14:paraId="18A8EF56" w14:textId="77777777" w:rsidR="00E60671" w:rsidRDefault="00E60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047B1E3-6FF2-47D6-9637-7129A4D55B99}"/>
    <w:embedBold r:id="rId2" w:fontKey="{AE25ABA7-CE2F-422B-A543-17B30041CF32}"/>
  </w:font>
  <w:font w:name="Cambria">
    <w:panose1 w:val="02040503050406030204"/>
    <w:charset w:val="00"/>
    <w:family w:val="roman"/>
    <w:pitch w:val="variable"/>
    <w:sig w:usb0="E00006FF" w:usb1="420024FF" w:usb2="02000000" w:usb3="00000000" w:csb0="0000019F" w:csb1="00000000"/>
    <w:embedRegular r:id="rId3" w:fontKey="{D48EA375-5799-457D-9F36-4860A4CC8C57}"/>
    <w:embedBold r:id="rId4" w:fontKey="{48AEABB5-B6E8-4B45-A1FC-8BB265F39F63}"/>
    <w:embedBoldItalic r:id="rId5" w:fontKey="{CE52362D-E578-4A1A-915E-005967AB2D36}"/>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088A4874-EC88-49F2-8F31-F223FCB1BAE3}"/>
  </w:font>
  <w:font w:name="Georgia">
    <w:panose1 w:val="02040502050405020303"/>
    <w:charset w:val="00"/>
    <w:family w:val="roman"/>
    <w:pitch w:val="variable"/>
    <w:sig w:usb0="00000287" w:usb1="00000000" w:usb2="00000000" w:usb3="00000000" w:csb0="0000009F" w:csb1="00000000"/>
    <w:embedRegular r:id="rId7" w:fontKey="{80916443-808B-4564-B06D-2561C6A3D577}"/>
    <w:embedItalic r:id="rId8" w:fontKey="{00C801D8-0632-4FB6-85AE-473E84A0E004}"/>
  </w:font>
  <w:font w:name="Palatino Linotype">
    <w:panose1 w:val="02040502050505030304"/>
    <w:charset w:val="00"/>
    <w:family w:val="roman"/>
    <w:pitch w:val="variable"/>
    <w:sig w:usb0="E0000287" w:usb1="40000013" w:usb2="00000000" w:usb3="00000000" w:csb0="0000019F" w:csb1="00000000"/>
    <w:embedRegular r:id="rId9" w:fontKey="{43B3AE92-CF03-475C-804F-7DD0855C7FE3}"/>
    <w:embedBold r:id="rId10" w:fontKey="{2629D42D-9512-4FA0-8E9A-24823DAE57C5}"/>
    <w:embedItalic r:id="rId11" w:fontKey="{80EA5A06-8FEB-49BC-8DD6-FEF94AD1C7C6}"/>
    <w:embedBoldItalic r:id="rId12" w:fontKey="{34357D47-38F4-40BA-8F24-E0F48D7CCA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42AAB" w14:textId="77777777" w:rsidR="001254C0" w:rsidRDefault="00DA026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17246">
      <w:rPr>
        <w:rFonts w:ascii="Palatino Linotype" w:eastAsia="Palatino Linotype" w:hAnsi="Palatino Linotype" w:cs="Palatino Linotype"/>
        <w:b/>
        <w:noProof/>
        <w:color w:val="000000"/>
        <w:sz w:val="20"/>
        <w:szCs w:val="20"/>
      </w:rPr>
      <w:t>39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17246">
      <w:rPr>
        <w:rFonts w:ascii="Palatino Linotype" w:eastAsia="Palatino Linotype" w:hAnsi="Palatino Linotype" w:cs="Palatino Linotype"/>
        <w:b/>
        <w:noProof/>
        <w:color w:val="000000"/>
        <w:sz w:val="20"/>
        <w:szCs w:val="20"/>
      </w:rPr>
      <w:t>41</w:t>
    </w:r>
    <w:r>
      <w:rPr>
        <w:rFonts w:ascii="Palatino Linotype" w:eastAsia="Palatino Linotype" w:hAnsi="Palatino Linotype" w:cs="Palatino Linotype"/>
        <w:b/>
        <w:color w:val="000000"/>
        <w:sz w:val="20"/>
        <w:szCs w:val="20"/>
      </w:rPr>
      <w:fldChar w:fldCharType="end"/>
    </w:r>
  </w:p>
  <w:p w14:paraId="1195DBE2" w14:textId="77777777" w:rsidR="001254C0" w:rsidRDefault="001254C0">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431C8" w14:textId="77777777" w:rsidR="001254C0" w:rsidRDefault="00DA026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17246">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17246">
      <w:rPr>
        <w:rFonts w:ascii="Palatino Linotype" w:eastAsia="Palatino Linotype" w:hAnsi="Palatino Linotype" w:cs="Palatino Linotype"/>
        <w:b/>
        <w:noProof/>
        <w:color w:val="000000"/>
        <w:sz w:val="20"/>
        <w:szCs w:val="20"/>
      </w:rPr>
      <w:t>41</w:t>
    </w:r>
    <w:r>
      <w:rPr>
        <w:rFonts w:ascii="Palatino Linotype" w:eastAsia="Palatino Linotype" w:hAnsi="Palatino Linotype" w:cs="Palatino Linotype"/>
        <w:b/>
        <w:color w:val="000000"/>
        <w:sz w:val="20"/>
        <w:szCs w:val="20"/>
      </w:rPr>
      <w:fldChar w:fldCharType="end"/>
    </w:r>
  </w:p>
  <w:p w14:paraId="6AB6B3CC" w14:textId="77777777" w:rsidR="001254C0" w:rsidRDefault="001254C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915762" w14:textId="77777777" w:rsidR="00E60671" w:rsidRDefault="00E60671">
      <w:r>
        <w:separator/>
      </w:r>
    </w:p>
  </w:footnote>
  <w:footnote w:type="continuationSeparator" w:id="0">
    <w:p w14:paraId="02DE967B" w14:textId="77777777" w:rsidR="00E60671" w:rsidRDefault="00E606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8408C" w14:textId="77777777" w:rsidR="001254C0" w:rsidRDefault="00DA026C">
    <w:pPr>
      <w:rPr>
        <w:rFonts w:ascii="Cambria" w:eastAsia="Cambria" w:hAnsi="Cambria" w:cs="Cambria"/>
        <w:color w:val="000000"/>
      </w:rPr>
    </w:pPr>
    <w:r>
      <w:rPr>
        <w:noProof/>
      </w:rPr>
      <w:drawing>
        <wp:anchor distT="0" distB="0" distL="0" distR="0" simplePos="0" relativeHeight="251658240" behindDoc="1" locked="0" layoutInCell="1" hidden="0" allowOverlap="1" wp14:anchorId="5C5C4BF6" wp14:editId="5BDAFB86">
          <wp:simplePos x="0" y="0"/>
          <wp:positionH relativeFrom="column">
            <wp:posOffset>-1080090</wp:posOffset>
          </wp:positionH>
          <wp:positionV relativeFrom="paragraph">
            <wp:posOffset>-488261</wp:posOffset>
          </wp:positionV>
          <wp:extent cx="7809865" cy="10165715"/>
          <wp:effectExtent l="0" t="0" r="0" b="0"/>
          <wp:wrapNone/>
          <wp:docPr id="21401318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c"/>
      <w:tblW w:w="5953" w:type="dxa"/>
      <w:tblInd w:w="3261" w:type="dxa"/>
      <w:tblLayout w:type="fixed"/>
      <w:tblLook w:val="0400" w:firstRow="0" w:lastRow="0" w:firstColumn="0" w:lastColumn="0" w:noHBand="0" w:noVBand="1"/>
    </w:tblPr>
    <w:tblGrid>
      <w:gridCol w:w="2489"/>
      <w:gridCol w:w="3464"/>
    </w:tblGrid>
    <w:tr w:rsidR="001254C0" w14:paraId="7005C000" w14:textId="77777777">
      <w:tc>
        <w:tcPr>
          <w:tcW w:w="2489" w:type="dxa"/>
        </w:tcPr>
        <w:p w14:paraId="2D21240F" w14:textId="77777777" w:rsidR="001254C0" w:rsidRDefault="00DA026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vAlign w:val="center"/>
        </w:tcPr>
        <w:p w14:paraId="6B712E2F" w14:textId="77777777" w:rsidR="001254C0" w:rsidRDefault="00DA026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05564/INFOEM/IP/RR/2025</w:t>
          </w:r>
        </w:p>
      </w:tc>
    </w:tr>
    <w:tr w:rsidR="001254C0" w14:paraId="4B4CDA31" w14:textId="77777777">
      <w:trPr>
        <w:trHeight w:val="228"/>
      </w:trPr>
      <w:tc>
        <w:tcPr>
          <w:tcW w:w="2489" w:type="dxa"/>
          <w:vAlign w:val="center"/>
        </w:tcPr>
        <w:p w14:paraId="27A3B4D1" w14:textId="77777777" w:rsidR="001254C0" w:rsidRDefault="00DA026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vAlign w:val="center"/>
        </w:tcPr>
        <w:p w14:paraId="4E5C704B" w14:textId="77777777" w:rsidR="001254C0" w:rsidRDefault="00DA026C">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1254C0" w14:paraId="325C32BD" w14:textId="77777777">
      <w:tc>
        <w:tcPr>
          <w:tcW w:w="2489" w:type="dxa"/>
          <w:vAlign w:val="center"/>
        </w:tcPr>
        <w:p w14:paraId="5E5B67AF" w14:textId="77777777" w:rsidR="001254C0" w:rsidRDefault="00DA026C">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vAlign w:val="center"/>
        </w:tcPr>
        <w:p w14:paraId="73A59543" w14:textId="77777777" w:rsidR="001254C0" w:rsidRDefault="00DA026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61338D5" w14:textId="77777777" w:rsidR="001254C0" w:rsidRDefault="00DA026C">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FF472" w14:textId="77777777" w:rsidR="001254C0" w:rsidRDefault="00DA026C">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7AF037BE" wp14:editId="6C975BB9">
          <wp:simplePos x="0" y="0"/>
          <wp:positionH relativeFrom="column">
            <wp:posOffset>-1080132</wp:posOffset>
          </wp:positionH>
          <wp:positionV relativeFrom="paragraph">
            <wp:posOffset>-369891</wp:posOffset>
          </wp:positionV>
          <wp:extent cx="7809865" cy="10165715"/>
          <wp:effectExtent l="0" t="0" r="0" b="0"/>
          <wp:wrapNone/>
          <wp:docPr id="21401318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d"/>
      <w:tblW w:w="5953" w:type="dxa"/>
      <w:tblInd w:w="3261" w:type="dxa"/>
      <w:tblLayout w:type="fixed"/>
      <w:tblLook w:val="0400" w:firstRow="0" w:lastRow="0" w:firstColumn="0" w:lastColumn="0" w:noHBand="0" w:noVBand="1"/>
    </w:tblPr>
    <w:tblGrid>
      <w:gridCol w:w="2489"/>
      <w:gridCol w:w="3464"/>
    </w:tblGrid>
    <w:tr w:rsidR="001254C0" w14:paraId="4C62F5E4" w14:textId="77777777">
      <w:tc>
        <w:tcPr>
          <w:tcW w:w="2489" w:type="dxa"/>
        </w:tcPr>
        <w:p w14:paraId="19B18DC9" w14:textId="77777777" w:rsidR="001254C0" w:rsidRDefault="00DA026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vAlign w:val="center"/>
        </w:tcPr>
        <w:p w14:paraId="4B991FBA" w14:textId="77777777" w:rsidR="001254C0" w:rsidRDefault="00DA026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05564/INFOEM/IP/RR/2025</w:t>
          </w:r>
        </w:p>
      </w:tc>
    </w:tr>
    <w:tr w:rsidR="001254C0" w14:paraId="00E9F004" w14:textId="77777777">
      <w:tc>
        <w:tcPr>
          <w:tcW w:w="2489" w:type="dxa"/>
        </w:tcPr>
        <w:p w14:paraId="0B800512" w14:textId="77777777" w:rsidR="001254C0" w:rsidRDefault="00DA026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vAlign w:val="center"/>
        </w:tcPr>
        <w:p w14:paraId="494F43D4" w14:textId="77777777" w:rsidR="001254C0" w:rsidRDefault="001254C0">
          <w:pPr>
            <w:ind w:right="175"/>
            <w:jc w:val="both"/>
            <w:rPr>
              <w:rFonts w:ascii="Palatino Linotype" w:eastAsia="Palatino Linotype" w:hAnsi="Palatino Linotype" w:cs="Palatino Linotype"/>
              <w:b/>
              <w:color w:val="FF0000"/>
              <w:sz w:val="22"/>
              <w:szCs w:val="22"/>
              <w:highlight w:val="yellow"/>
            </w:rPr>
          </w:pPr>
        </w:p>
      </w:tc>
    </w:tr>
    <w:tr w:rsidR="001254C0" w14:paraId="0912BC91" w14:textId="77777777">
      <w:trPr>
        <w:trHeight w:val="228"/>
      </w:trPr>
      <w:tc>
        <w:tcPr>
          <w:tcW w:w="2489" w:type="dxa"/>
          <w:vAlign w:val="center"/>
        </w:tcPr>
        <w:p w14:paraId="29A96E52" w14:textId="77777777" w:rsidR="001254C0" w:rsidRDefault="00DA026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vAlign w:val="center"/>
        </w:tcPr>
        <w:p w14:paraId="63FA015A" w14:textId="77777777" w:rsidR="001254C0" w:rsidRDefault="00DA026C">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1254C0" w14:paraId="1C0150C4" w14:textId="77777777">
      <w:tc>
        <w:tcPr>
          <w:tcW w:w="2489" w:type="dxa"/>
          <w:vAlign w:val="center"/>
        </w:tcPr>
        <w:p w14:paraId="2ED8C0D2" w14:textId="77777777" w:rsidR="001254C0" w:rsidRDefault="00DA026C">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vAlign w:val="center"/>
        </w:tcPr>
        <w:p w14:paraId="4C6A1054" w14:textId="77777777" w:rsidR="001254C0" w:rsidRDefault="00DA026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9843868" w14:textId="77777777" w:rsidR="001254C0" w:rsidRDefault="001254C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5C4DDF"/>
    <w:multiLevelType w:val="multilevel"/>
    <w:tmpl w:val="8D6022A6"/>
    <w:lvl w:ilvl="0">
      <w:start w:val="1"/>
      <w:numFmt w:val="decimal"/>
      <w:pStyle w:val="Listaconvietas3"/>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16cid:durableId="1690301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4C0"/>
    <w:rsid w:val="001254C0"/>
    <w:rsid w:val="00217246"/>
    <w:rsid w:val="00473B87"/>
    <w:rsid w:val="00614F2E"/>
    <w:rsid w:val="008648E8"/>
    <w:rsid w:val="00A27581"/>
    <w:rsid w:val="00DA026C"/>
    <w:rsid w:val="00DC608C"/>
    <w:rsid w:val="00DC7438"/>
    <w:rsid w:val="00E60671"/>
    <w:rsid w:val="00F03C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33A2D"/>
  <w15:docId w15:val="{D5E34772-7F25-4A0A-849B-F7C71CBCA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a">
    <w:basedOn w:val="TableNormalf2"/>
    <w:tblPr>
      <w:tblStyleRowBandSize w:val="1"/>
      <w:tblStyleColBandSize w:val="1"/>
      <w:tblCellMar>
        <w:left w:w="115" w:type="dxa"/>
        <w:right w:w="115" w:type="dxa"/>
      </w:tblCellMar>
    </w:tblPr>
  </w:style>
  <w:style w:type="table" w:customStyle="1" w:styleId="a0">
    <w:basedOn w:val="TableNormalf2"/>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334"/>
    <w:pPr>
      <w:ind w:left="720"/>
      <w:contextualSpacing/>
    </w:pPr>
  </w:style>
  <w:style w:type="paragraph" w:styleId="NormalWeb">
    <w:name w:val="Normal (Web)"/>
    <w:basedOn w:val="Normal"/>
    <w:uiPriority w:val="99"/>
    <w:semiHidden/>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2"/>
    <w:tblPr>
      <w:tblStyleRowBandSize w:val="1"/>
      <w:tblStyleColBandSize w:val="1"/>
      <w:tblCellMar>
        <w:left w:w="115" w:type="dxa"/>
        <w:right w:w="115" w:type="dxa"/>
      </w:tblCellMar>
    </w:tblPr>
  </w:style>
  <w:style w:type="table" w:customStyle="1" w:styleId="a2">
    <w:basedOn w:val="TableNormalf2"/>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f1"/>
    <w:tblPr>
      <w:tblStyleRowBandSize w:val="1"/>
      <w:tblStyleColBandSize w:val="1"/>
      <w:tblCellMar>
        <w:left w:w="115" w:type="dxa"/>
        <w:right w:w="115" w:type="dxa"/>
      </w:tblCellMar>
    </w:tblPr>
  </w:style>
  <w:style w:type="table" w:customStyle="1" w:styleId="a4">
    <w:basedOn w:val="TableNormalf1"/>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f0"/>
    <w:tblPr>
      <w:tblStyleRowBandSize w:val="1"/>
      <w:tblStyleColBandSize w:val="1"/>
      <w:tblCellMar>
        <w:left w:w="108" w:type="dxa"/>
        <w:right w:w="108" w:type="dxa"/>
      </w:tblCellMar>
    </w:tblPr>
  </w:style>
  <w:style w:type="table" w:customStyle="1" w:styleId="a6">
    <w:basedOn w:val="TableNormalf0"/>
    <w:tblPr>
      <w:tblStyleRowBandSize w:val="1"/>
      <w:tblStyleColBandSize w:val="1"/>
      <w:tblCellMar>
        <w:left w:w="108" w:type="dxa"/>
        <w:right w:w="108" w:type="dxa"/>
      </w:tblCellMar>
    </w:tblPr>
  </w:style>
  <w:style w:type="table" w:customStyle="1" w:styleId="a7">
    <w:basedOn w:val="TableNormalf0"/>
    <w:tblPr>
      <w:tblStyleRowBandSize w:val="1"/>
      <w:tblStyleColBandSize w:val="1"/>
      <w:tblCellMar>
        <w:left w:w="108" w:type="dxa"/>
        <w:right w:w="108" w:type="dxa"/>
      </w:tblCellMar>
    </w:tblPr>
  </w:style>
  <w:style w:type="table" w:customStyle="1" w:styleId="a8">
    <w:basedOn w:val="TableNormalf0"/>
    <w:tblPr>
      <w:tblStyleRowBandSize w:val="1"/>
      <w:tblStyleColBandSize w:val="1"/>
      <w:tblCellMar>
        <w:left w:w="108" w:type="dxa"/>
        <w:right w:w="108" w:type="dxa"/>
      </w:tblCellMar>
    </w:tblPr>
  </w:style>
  <w:style w:type="table" w:customStyle="1" w:styleId="a9">
    <w:basedOn w:val="TableNormalf0"/>
    <w:tblPr>
      <w:tblStyleRowBandSize w:val="1"/>
      <w:tblStyleColBandSize w:val="1"/>
      <w:tblCellMar>
        <w:left w:w="108" w:type="dxa"/>
        <w:right w:w="108" w:type="dxa"/>
      </w:tblCellMar>
    </w:tblPr>
  </w:style>
  <w:style w:type="table" w:customStyle="1" w:styleId="aa">
    <w:basedOn w:val="TableNormalf0"/>
    <w:tblPr>
      <w:tblStyleRowBandSize w:val="1"/>
      <w:tblStyleColBandSize w:val="1"/>
      <w:tblCellMar>
        <w:left w:w="115" w:type="dxa"/>
        <w:right w:w="115" w:type="dxa"/>
      </w:tblCellMar>
    </w:tblPr>
  </w:style>
  <w:style w:type="table" w:customStyle="1" w:styleId="ab">
    <w:basedOn w:val="TableNormalf0"/>
    <w:tblPr>
      <w:tblStyleRowBandSize w:val="1"/>
      <w:tblStyleColBandSize w:val="1"/>
      <w:tblCellMar>
        <w:left w:w="115" w:type="dxa"/>
        <w:right w:w="115" w:type="dxa"/>
      </w:tblCellMar>
    </w:tblPr>
  </w:style>
  <w:style w:type="table" w:customStyle="1" w:styleId="ac">
    <w:basedOn w:val="TableNormalf"/>
    <w:tblPr>
      <w:tblStyleRowBandSize w:val="1"/>
      <w:tblStyleColBandSize w:val="1"/>
      <w:tblCellMar>
        <w:left w:w="108" w:type="dxa"/>
        <w:right w:w="108" w:type="dxa"/>
      </w:tblCellMar>
    </w:tblPr>
  </w:style>
  <w:style w:type="table" w:customStyle="1" w:styleId="ad">
    <w:basedOn w:val="TableNormalf"/>
    <w:tblPr>
      <w:tblStyleRowBandSize w:val="1"/>
      <w:tblStyleColBandSize w:val="1"/>
      <w:tblCellMar>
        <w:left w:w="115" w:type="dxa"/>
        <w:right w:w="115" w:type="dxa"/>
      </w:tblCellMar>
    </w:tblPr>
  </w:style>
  <w:style w:type="table" w:customStyle="1" w:styleId="ae">
    <w:basedOn w:val="TableNormalf"/>
    <w:tblPr>
      <w:tblStyleRowBandSize w:val="1"/>
      <w:tblStyleColBandSize w:val="1"/>
      <w:tblCellMar>
        <w:left w:w="115" w:type="dxa"/>
        <w:right w:w="115" w:type="dxa"/>
      </w:tblCellMar>
    </w:tblPr>
  </w:style>
  <w:style w:type="table" w:customStyle="1" w:styleId="af">
    <w:basedOn w:val="TableNormale"/>
    <w:tblPr>
      <w:tblStyleRowBandSize w:val="1"/>
      <w:tblStyleColBandSize w:val="1"/>
      <w:tblCellMar>
        <w:left w:w="115" w:type="dxa"/>
        <w:right w:w="115" w:type="dxa"/>
      </w:tblCellMar>
    </w:tblPr>
  </w:style>
  <w:style w:type="table" w:customStyle="1" w:styleId="af0">
    <w:basedOn w:val="TableNormale"/>
    <w:tblPr>
      <w:tblStyleRowBandSize w:val="1"/>
      <w:tblStyleColBandSize w:val="1"/>
      <w:tblCellMar>
        <w:left w:w="115" w:type="dxa"/>
        <w:right w:w="115" w:type="dxa"/>
      </w:tblCellMar>
    </w:tblPr>
  </w:style>
  <w:style w:type="table" w:customStyle="1" w:styleId="af1">
    <w:basedOn w:val="TableNormale"/>
    <w:tblPr>
      <w:tblStyleRowBandSize w:val="1"/>
      <w:tblStyleColBandSize w:val="1"/>
      <w:tblCellMar>
        <w:left w:w="115" w:type="dxa"/>
        <w:right w:w="115" w:type="dxa"/>
      </w:tblCellMar>
    </w:tblPr>
  </w:style>
  <w:style w:type="table" w:customStyle="1" w:styleId="af2">
    <w:basedOn w:val="TableNormald"/>
    <w:tblPr>
      <w:tblStyleRowBandSize w:val="1"/>
      <w:tblStyleColBandSize w:val="1"/>
      <w:tblCellMar>
        <w:left w:w="115" w:type="dxa"/>
        <w:right w:w="115" w:type="dxa"/>
      </w:tblCellMar>
    </w:tblPr>
  </w:style>
  <w:style w:type="table" w:customStyle="1" w:styleId="af3">
    <w:basedOn w:val="TableNormald"/>
    <w:tblPr>
      <w:tblStyleRowBandSize w:val="1"/>
      <w:tblStyleColBandSize w:val="1"/>
      <w:tblCellMar>
        <w:left w:w="115" w:type="dxa"/>
        <w:right w:w="115" w:type="dxa"/>
      </w:tblCellMar>
    </w:tblPr>
  </w:style>
  <w:style w:type="table" w:customStyle="1" w:styleId="af4">
    <w:basedOn w:val="TableNormalc"/>
    <w:tblPr>
      <w:tblStyleRowBandSize w:val="1"/>
      <w:tblStyleColBandSize w:val="1"/>
      <w:tblCellMar>
        <w:left w:w="115" w:type="dxa"/>
        <w:right w:w="115" w:type="dxa"/>
      </w:tblCellMar>
    </w:tblPr>
  </w:style>
  <w:style w:type="table" w:customStyle="1" w:styleId="af5">
    <w:basedOn w:val="TableNormalc"/>
    <w:tblPr>
      <w:tblStyleRowBandSize w:val="1"/>
      <w:tblStyleColBandSize w:val="1"/>
      <w:tblCellMar>
        <w:left w:w="115" w:type="dxa"/>
        <w:right w:w="115" w:type="dxa"/>
      </w:tblCellMar>
    </w:tblPr>
  </w:style>
  <w:style w:type="table" w:customStyle="1" w:styleId="af6">
    <w:basedOn w:val="TableNormalb"/>
    <w:tblPr>
      <w:tblStyleRowBandSize w:val="1"/>
      <w:tblStyleColBandSize w:val="1"/>
      <w:tblCellMar>
        <w:left w:w="115" w:type="dxa"/>
        <w:right w:w="115" w:type="dxa"/>
      </w:tblCellMar>
    </w:tblPr>
  </w:style>
  <w:style w:type="table" w:customStyle="1" w:styleId="af7">
    <w:basedOn w:val="TableNormalb"/>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a"/>
    <w:tblPr>
      <w:tblStyleRowBandSize w:val="1"/>
      <w:tblStyleColBandSize w:val="1"/>
      <w:tblCellMar>
        <w:left w:w="115" w:type="dxa"/>
        <w:right w:w="115" w:type="dxa"/>
      </w:tblCellMar>
    </w:tblPr>
  </w:style>
  <w:style w:type="table" w:customStyle="1" w:styleId="af9">
    <w:basedOn w:val="TableNormala"/>
    <w:tblPr>
      <w:tblStyleRowBandSize w:val="1"/>
      <w:tblStyleColBandSize w:val="1"/>
      <w:tblCellMar>
        <w:left w:w="115" w:type="dxa"/>
        <w:right w:w="115" w:type="dxa"/>
      </w:tblCellMar>
    </w:tblPr>
  </w:style>
  <w:style w:type="table" w:customStyle="1" w:styleId="afa">
    <w:basedOn w:val="TableNormal9"/>
    <w:tblPr>
      <w:tblStyleRowBandSize w:val="1"/>
      <w:tblStyleColBandSize w:val="1"/>
      <w:tblCellMar>
        <w:left w:w="115" w:type="dxa"/>
        <w:right w:w="115" w:type="dxa"/>
      </w:tblCellMar>
    </w:tblPr>
  </w:style>
  <w:style w:type="table" w:customStyle="1" w:styleId="afb">
    <w:basedOn w:val="TableNormal9"/>
    <w:tblPr>
      <w:tblStyleRowBandSize w:val="1"/>
      <w:tblStyleColBandSize w:val="1"/>
      <w:tblCellMar>
        <w:left w:w="115" w:type="dxa"/>
        <w:right w:w="115" w:type="dxa"/>
      </w:tblCellMar>
    </w:tblPr>
  </w:style>
  <w:style w:type="table" w:customStyle="1" w:styleId="afc">
    <w:basedOn w:val="TableNormal8"/>
    <w:tblPr>
      <w:tblStyleRowBandSize w:val="1"/>
      <w:tblStyleColBandSize w:val="1"/>
      <w:tblCellMar>
        <w:left w:w="115" w:type="dxa"/>
        <w:right w:w="115" w:type="dxa"/>
      </w:tblCellMar>
    </w:tblPr>
  </w:style>
  <w:style w:type="table" w:customStyle="1" w:styleId="afd">
    <w:basedOn w:val="TableNormal8"/>
    <w:tblPr>
      <w:tblStyleRowBandSize w:val="1"/>
      <w:tblStyleColBandSize w:val="1"/>
      <w:tblCellMar>
        <w:left w:w="115" w:type="dxa"/>
        <w:right w:w="115" w:type="dxa"/>
      </w:tblCellMar>
    </w:tblPr>
  </w:style>
  <w:style w:type="table" w:customStyle="1" w:styleId="afe">
    <w:basedOn w:val="TableNormal7"/>
    <w:tblPr>
      <w:tblStyleRowBandSize w:val="1"/>
      <w:tblStyleColBandSize w:val="1"/>
      <w:tblCellMar>
        <w:left w:w="115" w:type="dxa"/>
        <w:right w:w="115" w:type="dxa"/>
      </w:tblCellMar>
    </w:tblPr>
  </w:style>
  <w:style w:type="table" w:customStyle="1" w:styleId="aff">
    <w:basedOn w:val="TableNormal7"/>
    <w:tblPr>
      <w:tblStyleRowBandSize w:val="1"/>
      <w:tblStyleColBandSize w:val="1"/>
      <w:tblCellMar>
        <w:left w:w="115" w:type="dxa"/>
        <w:right w:w="115" w:type="dxa"/>
      </w:tblCellMar>
    </w:tblPr>
  </w:style>
  <w:style w:type="table" w:customStyle="1" w:styleId="aff0">
    <w:basedOn w:val="TableNormal6"/>
    <w:tblPr>
      <w:tblStyleRowBandSize w:val="1"/>
      <w:tblStyleColBandSize w:val="1"/>
      <w:tblCellMar>
        <w:left w:w="115" w:type="dxa"/>
        <w:right w:w="115" w:type="dxa"/>
      </w:tblCellMar>
    </w:tblPr>
  </w:style>
  <w:style w:type="table" w:customStyle="1" w:styleId="aff1">
    <w:basedOn w:val="TableNormal6"/>
    <w:tblPr>
      <w:tblStyleRowBandSize w:val="1"/>
      <w:tblStyleColBandSize w:val="1"/>
      <w:tblCellMar>
        <w:left w:w="115" w:type="dxa"/>
        <w:right w:w="115" w:type="dxa"/>
      </w:tblCellMar>
    </w:tblPr>
  </w:style>
  <w:style w:type="table" w:customStyle="1" w:styleId="aff2">
    <w:basedOn w:val="TableNormal5"/>
    <w:tblPr>
      <w:tblStyleRowBandSize w:val="1"/>
      <w:tblStyleColBandSize w:val="1"/>
      <w:tblCellMar>
        <w:left w:w="115" w:type="dxa"/>
        <w:right w:w="115" w:type="dxa"/>
      </w:tblCellMar>
    </w:tblPr>
  </w:style>
  <w:style w:type="table" w:customStyle="1" w:styleId="aff3">
    <w:basedOn w:val="TableNormal5"/>
    <w:tblPr>
      <w:tblStyleRowBandSize w:val="1"/>
      <w:tblStyleColBandSize w:val="1"/>
      <w:tblCellMar>
        <w:left w:w="115" w:type="dxa"/>
        <w:right w:w="115" w:type="dxa"/>
      </w:tblCellMar>
    </w:tblPr>
  </w:style>
  <w:style w:type="table" w:customStyle="1" w:styleId="aff4">
    <w:basedOn w:val="TableNormal4"/>
    <w:tblPr>
      <w:tblStyleRowBandSize w:val="1"/>
      <w:tblStyleColBandSize w:val="1"/>
      <w:tblCellMar>
        <w:left w:w="115" w:type="dxa"/>
        <w:right w:w="115" w:type="dxa"/>
      </w:tblCellMar>
    </w:tblPr>
  </w:style>
  <w:style w:type="table" w:customStyle="1" w:styleId="aff5">
    <w:basedOn w:val="TableNormal4"/>
    <w:tblPr>
      <w:tblStyleRowBandSize w:val="1"/>
      <w:tblStyleColBandSize w:val="1"/>
      <w:tblCellMar>
        <w:left w:w="115" w:type="dxa"/>
        <w:right w:w="115" w:type="dxa"/>
      </w:tblCellMar>
    </w:tblPr>
  </w:style>
  <w:style w:type="table" w:customStyle="1" w:styleId="aff6">
    <w:basedOn w:val="TableNormal3"/>
    <w:tblPr>
      <w:tblStyleRowBandSize w:val="1"/>
      <w:tblStyleColBandSize w:val="1"/>
      <w:tblCellMar>
        <w:left w:w="115" w:type="dxa"/>
        <w:right w:w="115" w:type="dxa"/>
      </w:tblCellMar>
    </w:tblPr>
  </w:style>
  <w:style w:type="table" w:customStyle="1" w:styleId="aff7">
    <w:basedOn w:val="TableNormal3"/>
    <w:tblPr>
      <w:tblStyleRowBandSize w:val="1"/>
      <w:tblStyleColBandSize w:val="1"/>
      <w:tblCellMar>
        <w:left w:w="115" w:type="dxa"/>
        <w:right w:w="115" w:type="dxa"/>
      </w:tblCellMar>
    </w:tblPr>
  </w:style>
  <w:style w:type="table" w:customStyle="1" w:styleId="aff8">
    <w:basedOn w:val="TableNormal2"/>
    <w:tblPr>
      <w:tblStyleRowBandSize w:val="1"/>
      <w:tblStyleColBandSize w:val="1"/>
      <w:tblCellMar>
        <w:left w:w="115" w:type="dxa"/>
        <w:right w:w="115" w:type="dxa"/>
      </w:tblCellMar>
    </w:tblPr>
  </w:style>
  <w:style w:type="table" w:customStyle="1" w:styleId="aff9">
    <w:basedOn w:val="TableNormal2"/>
    <w:tblPr>
      <w:tblStyleRowBandSize w:val="1"/>
      <w:tblStyleColBandSize w:val="1"/>
      <w:tblCellMar>
        <w:left w:w="115" w:type="dxa"/>
        <w:right w:w="115" w:type="dxa"/>
      </w:tblCellMar>
    </w:tblPr>
  </w:style>
  <w:style w:type="table" w:customStyle="1" w:styleId="affa">
    <w:basedOn w:val="TableNormal1"/>
    <w:tblPr>
      <w:tblStyleRowBandSize w:val="1"/>
      <w:tblStyleColBandSize w:val="1"/>
      <w:tblCellMar>
        <w:left w:w="115" w:type="dxa"/>
        <w:right w:w="115" w:type="dxa"/>
      </w:tblCellMar>
    </w:tblPr>
  </w:style>
  <w:style w:type="table" w:customStyle="1" w:styleId="affb">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CxXsJqePv/HlZE4cT8j1RYNSrA==">CgMxLjAyCWguM3JkY3JqbjIOaC5kYWozajJ4bzZxNjYyCGguZ2pkZ3hzMgloLjNkeTZ2a20yCWguMzBqMHpsbDIJaC4yczhleW8xMghoLnR5amN3dDIJaC4yZXQ5MnAwMgloLjF0M2g1c2YyCWguMWZvYjl0ZTIOaC5obnp4c2NoNWd5c3oyDmgub3QzcXE2dnhhMDhmMghoLmxueGJ6OTgAciExV1lIMHpVcGdPaXBQRkxBREgxMTBCZWhpajBqN0d6QjY=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10356</Words>
  <Characters>56961</Characters>
  <Application>Microsoft Office Word</Application>
  <DocSecurity>0</DocSecurity>
  <Lines>474</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2025-09-19T17:51:00Z</cp:lastPrinted>
  <dcterms:created xsi:type="dcterms:W3CDTF">2025-10-06T20:53:00Z</dcterms:created>
  <dcterms:modified xsi:type="dcterms:W3CDTF">2025-10-06T20:53:00Z</dcterms:modified>
</cp:coreProperties>
</file>