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88F0" w14:textId="77777777" w:rsidR="00684D23" w:rsidRDefault="00684D23" w:rsidP="00606B13">
      <w:pPr>
        <w:tabs>
          <w:tab w:val="left" w:pos="8931"/>
        </w:tabs>
        <w:spacing w:after="0" w:line="360" w:lineRule="auto"/>
        <w:rPr>
          <w:color w:val="auto"/>
        </w:rPr>
      </w:pPr>
      <w:bookmarkStart w:id="0" w:name="_GoBack"/>
      <w:bookmarkEnd w:id="0"/>
    </w:p>
    <w:p w14:paraId="31E3144F" w14:textId="3AB51B54" w:rsidR="007230A0" w:rsidRPr="00FD7B59" w:rsidRDefault="00422CDE" w:rsidP="00606B13">
      <w:pPr>
        <w:tabs>
          <w:tab w:val="left" w:pos="8931"/>
        </w:tabs>
        <w:spacing w:after="0" w:line="360" w:lineRule="auto"/>
        <w:rPr>
          <w:color w:val="auto"/>
        </w:rPr>
      </w:pPr>
      <w:r w:rsidRPr="00FD7B59">
        <w:rPr>
          <w:color w:val="auto"/>
        </w:rPr>
        <w:t xml:space="preserve">Resolución del Pleno del Instituto de Transparencia, Acceso a la Información Pública y Protección de Datos Personales del Estado de México y Municipios, con domicilio en Metepec, Estado de México, de fecha </w:t>
      </w:r>
      <w:r w:rsidR="00FD7B59" w:rsidRPr="00FD7B59">
        <w:rPr>
          <w:color w:val="auto"/>
        </w:rPr>
        <w:t>nueve de abril de dos mil veinticinco.</w:t>
      </w:r>
    </w:p>
    <w:p w14:paraId="6F8ED824" w14:textId="77777777" w:rsidR="007230A0" w:rsidRPr="00FD7B59" w:rsidRDefault="007230A0" w:rsidP="00606B13">
      <w:pPr>
        <w:spacing w:after="0" w:line="360" w:lineRule="auto"/>
        <w:rPr>
          <w:b/>
          <w:color w:val="auto"/>
        </w:rPr>
      </w:pPr>
    </w:p>
    <w:p w14:paraId="5C0CE6EC" w14:textId="3E4DD478" w:rsidR="007230A0" w:rsidRPr="00BB6B80" w:rsidRDefault="00422CDE" w:rsidP="00606B13">
      <w:pPr>
        <w:spacing w:after="0" w:line="360" w:lineRule="auto"/>
        <w:rPr>
          <w:color w:val="auto"/>
        </w:rPr>
      </w:pPr>
      <w:bookmarkStart w:id="1" w:name="_heading=h.gjdgxs" w:colFirst="0" w:colLast="0"/>
      <w:bookmarkEnd w:id="1"/>
      <w:r w:rsidRPr="00FD7B59">
        <w:rPr>
          <w:b/>
          <w:color w:val="auto"/>
        </w:rPr>
        <w:t xml:space="preserve">VISTO </w:t>
      </w:r>
      <w:r w:rsidRPr="00FD7B59">
        <w:rPr>
          <w:color w:val="auto"/>
        </w:rPr>
        <w:t>el expediente conformado con moti</w:t>
      </w:r>
      <w:r w:rsidR="00A40CFE" w:rsidRPr="00FD7B59">
        <w:rPr>
          <w:color w:val="auto"/>
        </w:rPr>
        <w:t xml:space="preserve">vo del Recurso de Revisión </w:t>
      </w:r>
      <w:r w:rsidR="00FD7B59" w:rsidRPr="00FE7B29">
        <w:rPr>
          <w:b/>
          <w:color w:val="auto"/>
        </w:rPr>
        <w:t>02791/INFOEM/IP/RR/2025</w:t>
      </w:r>
      <w:r w:rsidRPr="00FD7B59">
        <w:rPr>
          <w:color w:val="auto"/>
        </w:rPr>
        <w:t>, interpuesto por</w:t>
      </w:r>
      <w:r w:rsidR="00FD7B59" w:rsidRPr="00FD7B59">
        <w:rPr>
          <w:color w:val="auto"/>
        </w:rPr>
        <w:t xml:space="preserve"> </w:t>
      </w:r>
      <w:r w:rsidR="00A02D6C" w:rsidRPr="00A02D6C">
        <w:rPr>
          <w:highlight w:val="black"/>
        </w:rPr>
        <w:t>XXX</w:t>
      </w:r>
      <w:r w:rsidR="00A02D6C">
        <w:rPr>
          <w:highlight w:val="black"/>
        </w:rPr>
        <w:t>X</w:t>
      </w:r>
      <w:r w:rsidR="00A02D6C" w:rsidRPr="00A02D6C">
        <w:rPr>
          <w:highlight w:val="black"/>
        </w:rPr>
        <w:t>XX</w:t>
      </w:r>
      <w:r w:rsidR="00FD7B59" w:rsidRPr="00FE7B29">
        <w:rPr>
          <w:b/>
          <w:color w:val="auto"/>
        </w:rPr>
        <w:t>,</w:t>
      </w:r>
      <w:r w:rsidR="00FD7B59" w:rsidRPr="00FD7B59">
        <w:rPr>
          <w:color w:val="auto"/>
        </w:rPr>
        <w:t xml:space="preserve"> en lo sucesivo </w:t>
      </w:r>
      <w:r w:rsidRPr="00FD7B59">
        <w:rPr>
          <w:color w:val="auto"/>
        </w:rPr>
        <w:t xml:space="preserve"> la persona Recurrente o Particular, en contra de la respuesta del Sujeto Obligado, </w:t>
      </w:r>
      <w:r w:rsidR="00FD7B59" w:rsidRPr="00FE7B29">
        <w:rPr>
          <w:b/>
          <w:color w:val="auto"/>
        </w:rPr>
        <w:t>Ayuntamiento de Coacalco de Berriozábal</w:t>
      </w:r>
      <w:r w:rsidRPr="00FE7B29">
        <w:rPr>
          <w:b/>
          <w:color w:val="auto"/>
        </w:rPr>
        <w:t>,</w:t>
      </w:r>
      <w:r w:rsidRPr="00FD7B59">
        <w:rPr>
          <w:color w:val="auto"/>
        </w:rPr>
        <w:t xml:space="preserve"> a la solicitud de acceso a la información pública</w:t>
      </w:r>
      <w:r w:rsidR="00FD7B59" w:rsidRPr="00FD7B59">
        <w:rPr>
          <w:color w:val="auto"/>
        </w:rPr>
        <w:t> 00026/COACALCO/IP/2025</w:t>
      </w:r>
      <w:r w:rsidRPr="00FD7B59">
        <w:rPr>
          <w:color w:val="auto"/>
        </w:rPr>
        <w:t>, se emite la presente Resolución, con base en los Antecedentes y Considerandos que se exponen a continuación:</w:t>
      </w:r>
    </w:p>
    <w:p w14:paraId="0E3A567A" w14:textId="087C7BC4" w:rsidR="007230A0" w:rsidRPr="00FA0ECD" w:rsidRDefault="00422CDE" w:rsidP="00606B13">
      <w:pPr>
        <w:pStyle w:val="Ttulo1"/>
        <w:keepNext w:val="0"/>
        <w:keepLines w:val="0"/>
        <w:spacing w:before="0" w:after="0" w:line="360" w:lineRule="auto"/>
        <w:jc w:val="center"/>
        <w:rPr>
          <w:sz w:val="22"/>
          <w:szCs w:val="22"/>
        </w:rPr>
      </w:pPr>
      <w:bookmarkStart w:id="2" w:name="_Toc194413663"/>
      <w:bookmarkStart w:id="3" w:name="_Toc195200974"/>
      <w:r w:rsidRPr="00BB6B80">
        <w:rPr>
          <w:sz w:val="22"/>
          <w:szCs w:val="22"/>
        </w:rPr>
        <w:t>A N T E C E D E N T E S</w:t>
      </w:r>
      <w:bookmarkEnd w:id="2"/>
      <w:bookmarkEnd w:id="3"/>
    </w:p>
    <w:p w14:paraId="6F143EBD" w14:textId="77777777" w:rsidR="007230A0" w:rsidRPr="00FA0ECD" w:rsidRDefault="00422CDE" w:rsidP="00606B13">
      <w:pPr>
        <w:pStyle w:val="Ttulo1"/>
        <w:keepNext w:val="0"/>
        <w:keepLines w:val="0"/>
        <w:spacing w:before="0" w:after="0" w:line="360" w:lineRule="auto"/>
        <w:rPr>
          <w:sz w:val="22"/>
          <w:szCs w:val="22"/>
        </w:rPr>
      </w:pPr>
      <w:bookmarkStart w:id="4" w:name="_Toc194413664"/>
      <w:bookmarkStart w:id="5" w:name="_Toc195200975"/>
      <w:r w:rsidRPr="00FA0ECD">
        <w:rPr>
          <w:sz w:val="22"/>
          <w:szCs w:val="22"/>
        </w:rPr>
        <w:t>I. Presentación de la solicitud de información</w:t>
      </w:r>
      <w:bookmarkEnd w:id="4"/>
      <w:bookmarkEnd w:id="5"/>
    </w:p>
    <w:p w14:paraId="76B7D03E" w14:textId="77777777" w:rsidR="007230A0" w:rsidRPr="00FD7B59" w:rsidRDefault="007230A0" w:rsidP="00606B13">
      <w:pPr>
        <w:spacing w:after="0" w:line="360" w:lineRule="auto"/>
        <w:rPr>
          <w:color w:val="FF0000"/>
        </w:rPr>
      </w:pPr>
    </w:p>
    <w:p w14:paraId="04BCD6D5" w14:textId="2B645B98" w:rsidR="007230A0" w:rsidRPr="00FD7B59" w:rsidRDefault="00A40CFE" w:rsidP="00606B13">
      <w:pPr>
        <w:spacing w:after="0" w:line="360" w:lineRule="auto"/>
        <w:rPr>
          <w:color w:val="auto"/>
        </w:rPr>
      </w:pPr>
      <w:r w:rsidRPr="00FD7B59">
        <w:rPr>
          <w:color w:val="auto"/>
        </w:rPr>
        <w:t>El</w:t>
      </w:r>
      <w:r w:rsidR="00FD7B59" w:rsidRPr="00FD7B59">
        <w:rPr>
          <w:color w:val="auto"/>
        </w:rPr>
        <w:t xml:space="preserve"> cinco de marzo de dos mil veinticinco, </w:t>
      </w:r>
      <w:r w:rsidR="00422CDE" w:rsidRPr="00FD7B59">
        <w:rPr>
          <w:color w:val="auto"/>
        </w:rPr>
        <w:t>se presentó una solicitud de información por la persona Recurrente, a través del Sistema de Acceso a la Información Mexiquense (SAIMEX),</w:t>
      </w:r>
      <w:r w:rsidR="00422CDE" w:rsidRPr="00FD7B59">
        <w:rPr>
          <w:b/>
          <w:color w:val="auto"/>
        </w:rPr>
        <w:t xml:space="preserve"> </w:t>
      </w:r>
      <w:r w:rsidR="00FD7B59" w:rsidRPr="00FD7B59">
        <w:rPr>
          <w:color w:val="auto"/>
        </w:rPr>
        <w:t>ante el Ayuntamiento de Coacalco de Berriozábal</w:t>
      </w:r>
      <w:r w:rsidR="00422CDE" w:rsidRPr="00FD7B59">
        <w:rPr>
          <w:color w:val="auto"/>
        </w:rPr>
        <w:t>, en los siguientes términos</w:t>
      </w:r>
      <w:r w:rsidRPr="00FD7B59">
        <w:rPr>
          <w:color w:val="auto"/>
        </w:rPr>
        <w:t>:</w:t>
      </w:r>
    </w:p>
    <w:p w14:paraId="5B8A6A0A" w14:textId="77777777" w:rsidR="007230A0" w:rsidRPr="00FD7B59" w:rsidRDefault="007230A0" w:rsidP="00606B13">
      <w:pPr>
        <w:spacing w:after="0" w:line="360" w:lineRule="auto"/>
        <w:rPr>
          <w:color w:val="FF0000"/>
        </w:rPr>
      </w:pPr>
    </w:p>
    <w:p w14:paraId="6812F878" w14:textId="77777777" w:rsidR="007230A0" w:rsidRPr="00491F4F" w:rsidRDefault="00422CDE" w:rsidP="00606B13">
      <w:pPr>
        <w:tabs>
          <w:tab w:val="left" w:pos="4667"/>
        </w:tabs>
        <w:spacing w:after="0" w:line="360" w:lineRule="auto"/>
        <w:ind w:left="567" w:right="567"/>
        <w:rPr>
          <w:b/>
          <w:i/>
          <w:color w:val="auto"/>
          <w:sz w:val="20"/>
          <w:szCs w:val="20"/>
        </w:rPr>
      </w:pPr>
      <w:r w:rsidRPr="00491F4F">
        <w:rPr>
          <w:b/>
          <w:i/>
          <w:color w:val="auto"/>
          <w:sz w:val="20"/>
          <w:szCs w:val="20"/>
        </w:rPr>
        <w:t>DESCRIPCIÓN CLARA Y PRECISA DE LA INFORMACIÓN SOLICITADA</w:t>
      </w:r>
    </w:p>
    <w:p w14:paraId="49644790" w14:textId="4A13D20C" w:rsidR="007230A0" w:rsidRPr="00491F4F" w:rsidRDefault="00A32C77" w:rsidP="00606B13">
      <w:pPr>
        <w:spacing w:after="0" w:line="360" w:lineRule="auto"/>
        <w:ind w:left="567" w:right="567"/>
        <w:rPr>
          <w:i/>
          <w:color w:val="auto"/>
          <w:sz w:val="20"/>
          <w:szCs w:val="20"/>
        </w:rPr>
      </w:pPr>
      <w:bookmarkStart w:id="6" w:name="_heading=h.30j0zll" w:colFirst="0" w:colLast="0"/>
      <w:bookmarkEnd w:id="6"/>
      <w:r w:rsidRPr="00491F4F">
        <w:rPr>
          <w:i/>
          <w:color w:val="auto"/>
          <w:sz w:val="20"/>
          <w:szCs w:val="20"/>
        </w:rPr>
        <w:t xml:space="preserve">solicito el nombre y el sueldo del personal adscrito a la direccion de administración” </w:t>
      </w:r>
      <w:r w:rsidR="00491F4F" w:rsidRPr="00491F4F">
        <w:rPr>
          <w:i/>
          <w:color w:val="auto"/>
          <w:sz w:val="20"/>
          <w:szCs w:val="20"/>
        </w:rPr>
        <w:t>(Sic)</w:t>
      </w:r>
    </w:p>
    <w:p w14:paraId="756DF31E" w14:textId="77777777" w:rsidR="00491F4F" w:rsidRPr="00491F4F" w:rsidRDefault="00491F4F" w:rsidP="00606B13">
      <w:pPr>
        <w:spacing w:after="0" w:line="360" w:lineRule="auto"/>
        <w:ind w:left="567" w:right="567"/>
        <w:rPr>
          <w:i/>
          <w:color w:val="auto"/>
          <w:sz w:val="20"/>
          <w:szCs w:val="20"/>
        </w:rPr>
      </w:pPr>
    </w:p>
    <w:p w14:paraId="271A4B70" w14:textId="77777777" w:rsidR="007230A0" w:rsidRPr="00491F4F" w:rsidRDefault="00422CDE" w:rsidP="00606B13">
      <w:pPr>
        <w:tabs>
          <w:tab w:val="left" w:pos="4667"/>
        </w:tabs>
        <w:spacing w:after="0" w:line="360" w:lineRule="auto"/>
        <w:ind w:left="567" w:right="567"/>
        <w:rPr>
          <w:b/>
          <w:i/>
          <w:color w:val="auto"/>
          <w:sz w:val="20"/>
          <w:szCs w:val="20"/>
        </w:rPr>
      </w:pPr>
      <w:r w:rsidRPr="00491F4F">
        <w:rPr>
          <w:b/>
          <w:i/>
          <w:color w:val="auto"/>
          <w:sz w:val="20"/>
          <w:szCs w:val="20"/>
        </w:rPr>
        <w:t>MODALIDAD DE ENTREGA</w:t>
      </w:r>
    </w:p>
    <w:p w14:paraId="67D324D1" w14:textId="750ABA6B" w:rsidR="007230A0" w:rsidRDefault="00422CDE" w:rsidP="00606B13">
      <w:pPr>
        <w:spacing w:after="0" w:line="360" w:lineRule="auto"/>
        <w:ind w:left="567" w:right="567"/>
        <w:rPr>
          <w:i/>
          <w:color w:val="auto"/>
          <w:sz w:val="20"/>
          <w:szCs w:val="20"/>
        </w:rPr>
      </w:pPr>
      <w:r w:rsidRPr="00491F4F">
        <w:rPr>
          <w:i/>
          <w:color w:val="auto"/>
          <w:sz w:val="20"/>
          <w:szCs w:val="20"/>
        </w:rPr>
        <w:t xml:space="preserve">A través del SAIMEX” </w:t>
      </w:r>
    </w:p>
    <w:p w14:paraId="75088947" w14:textId="77777777" w:rsidR="00606B13" w:rsidRPr="004F0506" w:rsidRDefault="00606B13" w:rsidP="00606B13">
      <w:pPr>
        <w:spacing w:after="0" w:line="360" w:lineRule="auto"/>
        <w:ind w:left="567" w:right="567"/>
        <w:rPr>
          <w:i/>
          <w:color w:val="auto"/>
          <w:sz w:val="20"/>
          <w:szCs w:val="20"/>
        </w:rPr>
      </w:pPr>
    </w:p>
    <w:p w14:paraId="2A3842D7" w14:textId="77777777" w:rsidR="007230A0" w:rsidRPr="00392127" w:rsidRDefault="00422CDE" w:rsidP="00606B13">
      <w:pPr>
        <w:pStyle w:val="Ttulo1"/>
        <w:keepNext w:val="0"/>
        <w:keepLines w:val="0"/>
        <w:spacing w:before="0" w:after="0" w:line="360" w:lineRule="auto"/>
        <w:rPr>
          <w:sz w:val="22"/>
          <w:szCs w:val="22"/>
        </w:rPr>
      </w:pPr>
      <w:bookmarkStart w:id="7" w:name="_Toc194413665"/>
      <w:bookmarkStart w:id="8" w:name="_Toc195200976"/>
      <w:r w:rsidRPr="00392127">
        <w:rPr>
          <w:sz w:val="22"/>
          <w:szCs w:val="22"/>
        </w:rPr>
        <w:t>II. Respuesta del Sujeto Obligado</w:t>
      </w:r>
      <w:bookmarkEnd w:id="7"/>
      <w:bookmarkEnd w:id="8"/>
    </w:p>
    <w:p w14:paraId="4B68EE92" w14:textId="77777777" w:rsidR="007230A0" w:rsidRPr="00491F4F" w:rsidRDefault="007230A0" w:rsidP="00606B13">
      <w:pPr>
        <w:spacing w:after="0" w:line="360" w:lineRule="auto"/>
        <w:rPr>
          <w:color w:val="auto"/>
        </w:rPr>
      </w:pPr>
    </w:p>
    <w:p w14:paraId="13954749" w14:textId="35D9473C" w:rsidR="007230A0" w:rsidRPr="00491F4F" w:rsidRDefault="00422CDE" w:rsidP="00606B13">
      <w:pPr>
        <w:spacing w:after="0" w:line="360" w:lineRule="auto"/>
        <w:rPr>
          <w:color w:val="auto"/>
        </w:rPr>
      </w:pPr>
      <w:bookmarkStart w:id="9" w:name="_heading=h.1fob9te" w:colFirst="0" w:colLast="0"/>
      <w:bookmarkEnd w:id="9"/>
      <w:r w:rsidRPr="00491F4F">
        <w:rPr>
          <w:color w:val="auto"/>
        </w:rPr>
        <w:lastRenderedPageBreak/>
        <w:t xml:space="preserve">El </w:t>
      </w:r>
      <w:r w:rsidR="00491F4F" w:rsidRPr="00491F4F">
        <w:rPr>
          <w:color w:val="auto"/>
        </w:rPr>
        <w:t xml:space="preserve">once de marzo de dos mil veinticinco, </w:t>
      </w:r>
      <w:r w:rsidRPr="00491F4F">
        <w:rPr>
          <w:color w:val="auto"/>
        </w:rPr>
        <w:t>el Sujeto Obligado notificó al Particular, mediante el Sistema de Acceso a la Información Mexiquense (SAIMEX), la respuesta a la solicit</w:t>
      </w:r>
      <w:r w:rsidR="00F02345" w:rsidRPr="00491F4F">
        <w:rPr>
          <w:color w:val="auto"/>
        </w:rPr>
        <w:t xml:space="preserve">ud de acceso a la información, </w:t>
      </w:r>
      <w:r w:rsidR="000C1EB5" w:rsidRPr="00491F4F">
        <w:rPr>
          <w:color w:val="auto"/>
        </w:rPr>
        <w:t>a través de la digitalización de los siguientes documentos:</w:t>
      </w:r>
    </w:p>
    <w:p w14:paraId="601F644A" w14:textId="77777777" w:rsidR="000C1EB5" w:rsidRPr="00FD7B59" w:rsidRDefault="000C1EB5" w:rsidP="00606B13">
      <w:pPr>
        <w:spacing w:after="0" w:line="360" w:lineRule="auto"/>
        <w:rPr>
          <w:color w:val="FF0000"/>
        </w:rPr>
      </w:pPr>
    </w:p>
    <w:p w14:paraId="2F5741BA" w14:textId="4F1AECA4" w:rsidR="000C1EB5" w:rsidRDefault="00606B13" w:rsidP="00606B13">
      <w:pPr>
        <w:spacing w:after="0" w:line="360" w:lineRule="auto"/>
        <w:rPr>
          <w:color w:val="auto"/>
        </w:rPr>
      </w:pPr>
      <w:r>
        <w:rPr>
          <w:color w:val="auto"/>
        </w:rPr>
        <w:t xml:space="preserve">i) </w:t>
      </w:r>
      <w:r w:rsidR="0085024E" w:rsidRPr="00606B13">
        <w:rPr>
          <w:color w:val="auto"/>
        </w:rPr>
        <w:t>Oficio</w:t>
      </w:r>
      <w:r w:rsidR="000C1EB5" w:rsidRPr="00606B13">
        <w:rPr>
          <w:color w:val="auto"/>
        </w:rPr>
        <w:t xml:space="preserve"> </w:t>
      </w:r>
      <w:r w:rsidR="0085024E" w:rsidRPr="00606B13">
        <w:rPr>
          <w:color w:val="auto"/>
        </w:rPr>
        <w:t xml:space="preserve">DA/338/2025 del diez de marzo de dos mil veinticinco, suscrito por </w:t>
      </w:r>
      <w:r w:rsidR="008303A9" w:rsidRPr="00606B13">
        <w:rPr>
          <w:color w:val="auto"/>
        </w:rPr>
        <w:t>la Directora de Administración, dirigido a la Coordinadora de Transparencia y Protección de Datos Personales Adscrita a la Dirección Jurídica del H. Ayuntamiento, por medio del cual se menciona lo siguiente:</w:t>
      </w:r>
    </w:p>
    <w:p w14:paraId="241DA148" w14:textId="77777777" w:rsidR="00606B13" w:rsidRPr="00606B13" w:rsidRDefault="00606B13" w:rsidP="00606B13">
      <w:pPr>
        <w:spacing w:after="0" w:line="360" w:lineRule="auto"/>
        <w:rPr>
          <w:color w:val="auto"/>
        </w:rPr>
      </w:pPr>
    </w:p>
    <w:p w14:paraId="1B9B04D7" w14:textId="6FA46506" w:rsidR="0060305A" w:rsidRDefault="0060305A" w:rsidP="00606B13">
      <w:pPr>
        <w:pStyle w:val="Prrafodelista"/>
        <w:spacing w:after="0" w:line="360" w:lineRule="auto"/>
        <w:ind w:left="567" w:right="567"/>
        <w:rPr>
          <w:i/>
          <w:color w:val="auto"/>
          <w:sz w:val="20"/>
          <w:szCs w:val="20"/>
        </w:rPr>
      </w:pPr>
      <w:r w:rsidRPr="0060305A">
        <w:rPr>
          <w:i/>
          <w:color w:val="auto"/>
          <w:sz w:val="20"/>
          <w:szCs w:val="20"/>
        </w:rPr>
        <w:t>“…Sirva el presente para enviarte un cordial saludo, y en atención a su oficio, DJ/CTDP/0065/2025, relacionado con la siguiente solicitud de información presentada vía SAIMEX:</w:t>
      </w:r>
    </w:p>
    <w:p w14:paraId="78C25322" w14:textId="77777777" w:rsidR="00606B13" w:rsidRPr="0060305A" w:rsidRDefault="00606B13" w:rsidP="00606B13">
      <w:pPr>
        <w:pStyle w:val="Prrafodelista"/>
        <w:spacing w:after="0" w:line="360" w:lineRule="auto"/>
        <w:ind w:left="567" w:right="567"/>
        <w:rPr>
          <w:i/>
          <w:color w:val="auto"/>
          <w:sz w:val="20"/>
          <w:szCs w:val="20"/>
        </w:rPr>
      </w:pPr>
    </w:p>
    <w:p w14:paraId="10C4991C" w14:textId="1EF2A841" w:rsidR="0060305A" w:rsidRDefault="0060305A" w:rsidP="00606B13">
      <w:pPr>
        <w:pStyle w:val="Prrafodelista"/>
        <w:spacing w:after="0" w:line="360" w:lineRule="auto"/>
        <w:ind w:left="567" w:right="567"/>
        <w:rPr>
          <w:i/>
          <w:color w:val="auto"/>
        </w:rPr>
      </w:pPr>
      <w:r w:rsidRPr="0060305A">
        <w:rPr>
          <w:i/>
          <w:noProof/>
          <w:color w:val="auto"/>
        </w:rPr>
        <w:drawing>
          <wp:inline distT="0" distB="0" distL="0" distR="0" wp14:anchorId="5E2D9A0E" wp14:editId="4F844FB5">
            <wp:extent cx="4838700" cy="5366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4815" cy="538409"/>
                    </a:xfrm>
                    <a:prstGeom prst="rect">
                      <a:avLst/>
                    </a:prstGeom>
                  </pic:spPr>
                </pic:pic>
              </a:graphicData>
            </a:graphic>
          </wp:inline>
        </w:drawing>
      </w:r>
    </w:p>
    <w:p w14:paraId="54D71FA4" w14:textId="77777777" w:rsidR="00606B13" w:rsidRDefault="00606B13" w:rsidP="00606B13">
      <w:pPr>
        <w:pStyle w:val="Prrafodelista"/>
        <w:spacing w:after="0" w:line="360" w:lineRule="auto"/>
        <w:ind w:left="567" w:right="567"/>
        <w:rPr>
          <w:i/>
          <w:color w:val="auto"/>
        </w:rPr>
      </w:pPr>
    </w:p>
    <w:p w14:paraId="09FE95D6" w14:textId="15E46817" w:rsidR="0060305A" w:rsidRDefault="00FF6B14" w:rsidP="00606B13">
      <w:pPr>
        <w:pStyle w:val="Prrafodelista"/>
        <w:spacing w:after="0" w:line="360" w:lineRule="auto"/>
        <w:ind w:left="567" w:right="567"/>
        <w:rPr>
          <w:i/>
          <w:color w:val="auto"/>
          <w:sz w:val="20"/>
          <w:szCs w:val="20"/>
        </w:rPr>
      </w:pPr>
      <w:r>
        <w:rPr>
          <w:i/>
          <w:color w:val="auto"/>
          <w:sz w:val="20"/>
          <w:szCs w:val="20"/>
        </w:rPr>
        <w:t>En este sentido hago de su conocimiento que la información que se solicita es la siguiente:</w:t>
      </w:r>
    </w:p>
    <w:p w14:paraId="3E58398B" w14:textId="77777777" w:rsidR="00606B13" w:rsidRDefault="00606B13" w:rsidP="00606B13">
      <w:pPr>
        <w:pStyle w:val="Prrafodelista"/>
        <w:spacing w:after="0" w:line="360" w:lineRule="auto"/>
        <w:ind w:left="567" w:right="567"/>
        <w:rPr>
          <w:i/>
          <w:color w:val="auto"/>
          <w:sz w:val="20"/>
          <w:szCs w:val="20"/>
        </w:rPr>
      </w:pPr>
    </w:p>
    <w:tbl>
      <w:tblPr>
        <w:tblStyle w:val="Tabladecuadrcula5oscura-nfasis5"/>
        <w:tblW w:w="0" w:type="auto"/>
        <w:tblInd w:w="1129" w:type="dxa"/>
        <w:tblLook w:val="04A0" w:firstRow="1" w:lastRow="0" w:firstColumn="1" w:lastColumn="0" w:noHBand="0" w:noVBand="1"/>
      </w:tblPr>
      <w:tblGrid>
        <w:gridCol w:w="1985"/>
        <w:gridCol w:w="2974"/>
        <w:gridCol w:w="1845"/>
      </w:tblGrid>
      <w:tr w:rsidR="00FF6B14" w14:paraId="6AA48572" w14:textId="77777777" w:rsidTr="00606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C929994" w14:textId="73EF82DE" w:rsidR="00FF6B14" w:rsidRPr="00606B13" w:rsidRDefault="00FF6B14" w:rsidP="00606B13">
            <w:pPr>
              <w:pStyle w:val="Prrafodelista"/>
              <w:spacing w:line="360" w:lineRule="auto"/>
              <w:ind w:left="0"/>
              <w:jc w:val="center"/>
              <w:rPr>
                <w:b w:val="0"/>
                <w:i/>
                <w:color w:val="FFFFFF" w:themeColor="background1"/>
                <w:sz w:val="20"/>
                <w:szCs w:val="20"/>
              </w:rPr>
            </w:pPr>
            <w:r w:rsidRPr="00606B13">
              <w:rPr>
                <w:b w:val="0"/>
                <w:i/>
                <w:color w:val="FFFFFF" w:themeColor="background1"/>
                <w:sz w:val="20"/>
                <w:szCs w:val="20"/>
              </w:rPr>
              <w:t>AREA</w:t>
            </w:r>
          </w:p>
        </w:tc>
        <w:tc>
          <w:tcPr>
            <w:tcW w:w="2974" w:type="dxa"/>
          </w:tcPr>
          <w:p w14:paraId="3F1A7FE8" w14:textId="307D7567" w:rsidR="00FF6B14" w:rsidRPr="00606B13" w:rsidRDefault="00FF6B14" w:rsidP="00606B13">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i/>
                <w:color w:val="FFFFFF" w:themeColor="background1"/>
                <w:sz w:val="20"/>
                <w:szCs w:val="20"/>
              </w:rPr>
            </w:pPr>
            <w:r w:rsidRPr="00606B13">
              <w:rPr>
                <w:b w:val="0"/>
                <w:i/>
                <w:color w:val="FFFFFF" w:themeColor="background1"/>
                <w:sz w:val="20"/>
                <w:szCs w:val="20"/>
              </w:rPr>
              <w:t>NOMBRE COMPLETO</w:t>
            </w:r>
          </w:p>
        </w:tc>
        <w:tc>
          <w:tcPr>
            <w:tcW w:w="1845" w:type="dxa"/>
          </w:tcPr>
          <w:p w14:paraId="76A9C982" w14:textId="21D2AFA6" w:rsidR="00FF6B14" w:rsidRPr="00606B13" w:rsidRDefault="00FF6B14" w:rsidP="00606B13">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b w:val="0"/>
                <w:i/>
                <w:color w:val="FFFFFF" w:themeColor="background1"/>
                <w:sz w:val="20"/>
                <w:szCs w:val="20"/>
              </w:rPr>
            </w:pPr>
            <w:r w:rsidRPr="00606B13">
              <w:rPr>
                <w:b w:val="0"/>
                <w:i/>
                <w:color w:val="FFFFFF" w:themeColor="background1"/>
                <w:sz w:val="20"/>
                <w:szCs w:val="20"/>
              </w:rPr>
              <w:t>SUELDO NETO QUINCENAL</w:t>
            </w:r>
          </w:p>
        </w:tc>
      </w:tr>
      <w:tr w:rsidR="00FF6B14" w14:paraId="37BE68A2"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44A0651E" w14:textId="4418BCE4" w:rsidR="00FF6B14"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58540FA8" w14:textId="0D2D6CEB" w:rsidR="00FF6B14" w:rsidRPr="00606B13" w:rsidRDefault="001C6052"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PEREZ ESQUIVEL CELIA</w:t>
            </w:r>
          </w:p>
        </w:tc>
        <w:tc>
          <w:tcPr>
            <w:tcW w:w="1845" w:type="dxa"/>
            <w:shd w:val="clear" w:color="auto" w:fill="DEEAF6" w:themeFill="accent5" w:themeFillTint="33"/>
          </w:tcPr>
          <w:p w14:paraId="2BE97F1E" w14:textId="22780086" w:rsidR="00FF6B14" w:rsidRPr="00606B13" w:rsidRDefault="001C6052"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$3,665.24</w:t>
            </w:r>
          </w:p>
        </w:tc>
      </w:tr>
      <w:tr w:rsidR="00FF6B14" w14:paraId="3A89D7E8"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EC0D450" w14:textId="0376B456" w:rsidR="00FF6B14"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669DC326" w14:textId="5B60D4B5" w:rsidR="00FF6B14" w:rsidRPr="00606B13" w:rsidRDefault="00322EFE"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PEÑA PARRA ARACELI</w:t>
            </w:r>
          </w:p>
        </w:tc>
        <w:tc>
          <w:tcPr>
            <w:tcW w:w="1845" w:type="dxa"/>
          </w:tcPr>
          <w:p w14:paraId="4D546A96" w14:textId="5FCE7EB3" w:rsidR="00FF6B14" w:rsidRPr="00606B13" w:rsidRDefault="00322EFE"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$3,665.24</w:t>
            </w:r>
          </w:p>
        </w:tc>
      </w:tr>
      <w:tr w:rsidR="00FF6B14" w14:paraId="586A27D7"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552CA9D5" w14:textId="7686BBAC" w:rsidR="00FF6B14"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2D7C4651" w14:textId="6A552BD8" w:rsidR="00FF6B14" w:rsidRPr="00606B13" w:rsidRDefault="00322EFE"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TORRES GONZALEZ MARIA VICTORIA</w:t>
            </w:r>
          </w:p>
        </w:tc>
        <w:tc>
          <w:tcPr>
            <w:tcW w:w="1845" w:type="dxa"/>
            <w:shd w:val="clear" w:color="auto" w:fill="DEEAF6" w:themeFill="accent5" w:themeFillTint="33"/>
          </w:tcPr>
          <w:p w14:paraId="13A26785" w14:textId="0E2353D6" w:rsidR="00FF6B14" w:rsidRPr="00606B13" w:rsidRDefault="00322EFE"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$3,665.24</w:t>
            </w:r>
          </w:p>
        </w:tc>
      </w:tr>
      <w:tr w:rsidR="00FF6B14" w14:paraId="59C3E160"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B874ABA" w14:textId="179DBC5D" w:rsidR="00FF6B14"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104AC9CB" w14:textId="2DFB30FA" w:rsidR="00FF6B14" w:rsidRPr="00606B13" w:rsidRDefault="00361EED"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RAMIREZ JOSE FRANCISCO</w:t>
            </w:r>
          </w:p>
        </w:tc>
        <w:tc>
          <w:tcPr>
            <w:tcW w:w="1845" w:type="dxa"/>
          </w:tcPr>
          <w:p w14:paraId="202C2CEA" w14:textId="5AC253F8" w:rsidR="00FF6B14" w:rsidRPr="00606B13" w:rsidRDefault="00361EED"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$4, 547.71</w:t>
            </w:r>
          </w:p>
        </w:tc>
      </w:tr>
      <w:tr w:rsidR="00B85F67" w14:paraId="76E7AAFE"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4AAA0DF2" w14:textId="35B54E6A"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8E5D03B" w14:textId="67EBBA33" w:rsidR="00B85F67" w:rsidRPr="00606B13" w:rsidRDefault="00941B2B"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GARCIA GARCIA CRUZ</w:t>
            </w:r>
          </w:p>
        </w:tc>
        <w:tc>
          <w:tcPr>
            <w:tcW w:w="1845" w:type="dxa"/>
            <w:shd w:val="clear" w:color="auto" w:fill="DEEAF6" w:themeFill="accent5" w:themeFillTint="33"/>
          </w:tcPr>
          <w:p w14:paraId="2372670A" w14:textId="08AF6C3D" w:rsidR="00B85F67" w:rsidRPr="00606B13" w:rsidRDefault="00941B2B" w:rsidP="00606B13">
            <w:pPr>
              <w:pStyle w:val="Prrafodelista"/>
              <w:spacing w:line="360" w:lineRule="auto"/>
              <w:ind w:hanging="72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$4,199.88</w:t>
            </w:r>
          </w:p>
        </w:tc>
      </w:tr>
      <w:tr w:rsidR="00B85F67" w14:paraId="26272ECF"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097D39A" w14:textId="078E1160"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4B9D8234" w14:textId="255A2C9D" w:rsidR="00B85F67" w:rsidRPr="00606B13" w:rsidRDefault="00941B2B"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HERRERA MARIA AMPARO</w:t>
            </w:r>
          </w:p>
        </w:tc>
        <w:tc>
          <w:tcPr>
            <w:tcW w:w="1845" w:type="dxa"/>
          </w:tcPr>
          <w:p w14:paraId="7498D4C3" w14:textId="0C84EAD1" w:rsidR="00B85F67" w:rsidRPr="00606B13" w:rsidRDefault="00941B2B"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$3,665.24</w:t>
            </w:r>
          </w:p>
        </w:tc>
      </w:tr>
      <w:tr w:rsidR="00B85F67" w14:paraId="56B909C5"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483B7951" w14:textId="703D53AF" w:rsidR="00B85F67" w:rsidRPr="00606B13" w:rsidRDefault="00B85F67" w:rsidP="00606B13">
            <w:pPr>
              <w:pStyle w:val="Prrafodelista"/>
              <w:spacing w:line="360" w:lineRule="auto"/>
              <w:ind w:left="0"/>
              <w:rPr>
                <w:i/>
                <w:color w:val="auto"/>
                <w:sz w:val="20"/>
                <w:szCs w:val="20"/>
              </w:rPr>
            </w:pPr>
            <w:r w:rsidRPr="00606B13">
              <w:rPr>
                <w:i/>
                <w:color w:val="auto"/>
                <w:sz w:val="20"/>
                <w:szCs w:val="20"/>
              </w:rPr>
              <w:lastRenderedPageBreak/>
              <w:t>CONFIANZA</w:t>
            </w:r>
          </w:p>
        </w:tc>
        <w:tc>
          <w:tcPr>
            <w:tcW w:w="2974" w:type="dxa"/>
          </w:tcPr>
          <w:p w14:paraId="2CA9E228" w14:textId="1EC6FCFD" w:rsidR="00B85F67" w:rsidRPr="00606B13" w:rsidRDefault="00E948A9"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CRUZ GOMEZ EDGAR</w:t>
            </w:r>
          </w:p>
        </w:tc>
        <w:tc>
          <w:tcPr>
            <w:tcW w:w="1845" w:type="dxa"/>
            <w:shd w:val="clear" w:color="auto" w:fill="DEEAF6" w:themeFill="accent5" w:themeFillTint="33"/>
          </w:tcPr>
          <w:p w14:paraId="0C55E82F" w14:textId="1A606A4F" w:rsidR="00B85F67" w:rsidRPr="00606B13" w:rsidRDefault="00E948A9"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$7,617.09</w:t>
            </w:r>
          </w:p>
        </w:tc>
      </w:tr>
      <w:tr w:rsidR="00B85F67" w14:paraId="151A39AF"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F2ED29A" w14:textId="7BC0492C"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42525515" w14:textId="2BF68FEE" w:rsidR="00B85F67" w:rsidRPr="00606B13" w:rsidRDefault="00406966"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RUVALCABA PEÑA GABRIELA</w:t>
            </w:r>
          </w:p>
        </w:tc>
        <w:tc>
          <w:tcPr>
            <w:tcW w:w="1845" w:type="dxa"/>
          </w:tcPr>
          <w:p w14:paraId="6B96D946" w14:textId="1F15325C" w:rsidR="00B85F67" w:rsidRPr="00606B13" w:rsidRDefault="00406966"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$3,665.24</w:t>
            </w:r>
          </w:p>
        </w:tc>
      </w:tr>
      <w:tr w:rsidR="00B85F67" w14:paraId="4A5E839C"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EB16D7D" w14:textId="71476DA6"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67C213DF" w14:textId="6AB7934C" w:rsidR="00B85F67" w:rsidRPr="00606B13" w:rsidRDefault="00606970"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LEZAMA SOLEDAD BLANCA ESTELA</w:t>
            </w:r>
          </w:p>
        </w:tc>
        <w:tc>
          <w:tcPr>
            <w:tcW w:w="1845" w:type="dxa"/>
            <w:shd w:val="clear" w:color="auto" w:fill="DEEAF6" w:themeFill="accent5" w:themeFillTint="33"/>
          </w:tcPr>
          <w:p w14:paraId="1B814C72" w14:textId="069B3ACC" w:rsidR="00B85F67" w:rsidRPr="00606B13" w:rsidRDefault="00606970"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$3,665.24</w:t>
            </w:r>
          </w:p>
        </w:tc>
      </w:tr>
      <w:tr w:rsidR="00B85F67" w14:paraId="41EBC2A8"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5E155620" w14:textId="5C466653"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395F3B8" w14:textId="0F841CAD" w:rsidR="00B85F67" w:rsidRPr="00606B13" w:rsidRDefault="00322C7B"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CRUZ BERNAL NORMA PATRICIA</w:t>
            </w:r>
          </w:p>
        </w:tc>
        <w:tc>
          <w:tcPr>
            <w:tcW w:w="1845" w:type="dxa"/>
          </w:tcPr>
          <w:p w14:paraId="5AB3E1D6" w14:textId="3F7157AD" w:rsidR="00B85F67" w:rsidRPr="00606B13" w:rsidRDefault="00322C7B"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$4,366.49</w:t>
            </w:r>
          </w:p>
        </w:tc>
      </w:tr>
      <w:tr w:rsidR="00B85F67" w14:paraId="2C1A0DDF"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A51A7C1" w14:textId="13D06315"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499D6663" w14:textId="6CA4F2BF" w:rsidR="00B85F67" w:rsidRPr="00606B13" w:rsidRDefault="00A41E16"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JUAREZ PEREZ MARTHA ELENA</w:t>
            </w:r>
          </w:p>
        </w:tc>
        <w:tc>
          <w:tcPr>
            <w:tcW w:w="1845" w:type="dxa"/>
            <w:shd w:val="clear" w:color="auto" w:fill="DEEAF6" w:themeFill="accent5" w:themeFillTint="33"/>
          </w:tcPr>
          <w:p w14:paraId="366DC48C" w14:textId="753AA733" w:rsidR="00B85F67" w:rsidRPr="00606B13" w:rsidRDefault="00A41E16"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$3,665.24</w:t>
            </w:r>
          </w:p>
        </w:tc>
      </w:tr>
      <w:tr w:rsidR="00B85F67" w14:paraId="2A4A3F4E"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C553A0A" w14:textId="3C75E9CE"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0CA05333" w14:textId="65297FC1" w:rsidR="00B85F67" w:rsidRPr="00606B13" w:rsidRDefault="00A41E16"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 xml:space="preserve">ARENAS RESENDIZ BLANCA </w:t>
            </w:r>
          </w:p>
        </w:tc>
        <w:tc>
          <w:tcPr>
            <w:tcW w:w="1845" w:type="dxa"/>
          </w:tcPr>
          <w:p w14:paraId="7DA47C87" w14:textId="0416FA31" w:rsidR="00B85F67" w:rsidRPr="00606B13" w:rsidRDefault="00A41E16"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$3,665.24</w:t>
            </w:r>
          </w:p>
        </w:tc>
      </w:tr>
      <w:tr w:rsidR="00B85F67" w14:paraId="37A870A9"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DB5F539" w14:textId="299F16E9"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088D51C5" w14:textId="3868876F" w:rsidR="00B85F67" w:rsidRPr="00606B13" w:rsidRDefault="00645A6B"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BARRAGAN LONGORIA DALIA GEORGINA</w:t>
            </w:r>
          </w:p>
        </w:tc>
        <w:tc>
          <w:tcPr>
            <w:tcW w:w="1845" w:type="dxa"/>
            <w:shd w:val="clear" w:color="auto" w:fill="DEEAF6" w:themeFill="accent5" w:themeFillTint="33"/>
          </w:tcPr>
          <w:p w14:paraId="30869FAD" w14:textId="1D208E0F" w:rsidR="00B85F67" w:rsidRPr="00606B13" w:rsidRDefault="00645A6B"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$3,665.24</w:t>
            </w:r>
          </w:p>
        </w:tc>
      </w:tr>
      <w:tr w:rsidR="00B85F67" w14:paraId="06CD2C9B"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48798A24" w14:textId="573EBFDC"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9B56230" w14:textId="3FB095FA" w:rsidR="00B85F67" w:rsidRPr="00606B13" w:rsidRDefault="0006564A"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ARENAS RESENDIZ ALEJANDRA</w:t>
            </w:r>
          </w:p>
        </w:tc>
        <w:tc>
          <w:tcPr>
            <w:tcW w:w="1845" w:type="dxa"/>
          </w:tcPr>
          <w:p w14:paraId="3E84C6D8" w14:textId="2E3F679F" w:rsidR="00B85F67" w:rsidRPr="00606B13" w:rsidRDefault="0006564A"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 986.68</w:t>
            </w:r>
          </w:p>
        </w:tc>
      </w:tr>
      <w:tr w:rsidR="00B85F67" w14:paraId="273B706E"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E610931" w14:textId="1D53453F"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2BAA6449" w14:textId="0128D624" w:rsidR="00B85F67" w:rsidRPr="00606B13" w:rsidRDefault="009D3E8D"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GODINEZ RIVERA LIZBETH</w:t>
            </w:r>
          </w:p>
        </w:tc>
        <w:tc>
          <w:tcPr>
            <w:tcW w:w="1845" w:type="dxa"/>
            <w:shd w:val="clear" w:color="auto" w:fill="DEEAF6" w:themeFill="accent5" w:themeFillTint="33"/>
          </w:tcPr>
          <w:p w14:paraId="42D602EF" w14:textId="2DB6DF96" w:rsidR="00B85F67" w:rsidRPr="00606B13" w:rsidRDefault="009D3E8D"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$4,09892</w:t>
            </w:r>
          </w:p>
        </w:tc>
      </w:tr>
      <w:tr w:rsidR="00B85F67" w14:paraId="7D7FD225"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835F86B" w14:textId="1E945210" w:rsidR="00B85F67" w:rsidRPr="00606B13" w:rsidRDefault="00B85F67"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498806B3" w14:textId="592B933B" w:rsidR="00B85F67" w:rsidRPr="00606B13" w:rsidRDefault="002955A8"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ROSALES ESCAMILLA ARTURO</w:t>
            </w:r>
          </w:p>
        </w:tc>
        <w:tc>
          <w:tcPr>
            <w:tcW w:w="1845" w:type="dxa"/>
          </w:tcPr>
          <w:p w14:paraId="0275D52D" w14:textId="3802646A" w:rsidR="00B85F67" w:rsidRPr="00606B13" w:rsidRDefault="002955A8"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$7,617.09</w:t>
            </w:r>
          </w:p>
        </w:tc>
      </w:tr>
      <w:tr w:rsidR="00700EC5" w14:paraId="310DCBF9"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B4A047A" w14:textId="458DD635"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019A7139" w14:textId="4D6D693D" w:rsidR="00700EC5" w:rsidRPr="00606B13" w:rsidRDefault="008561C8"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MEDINA HERNANDEZ JORGE ALBERTO</w:t>
            </w:r>
          </w:p>
        </w:tc>
        <w:tc>
          <w:tcPr>
            <w:tcW w:w="1845" w:type="dxa"/>
            <w:shd w:val="clear" w:color="auto" w:fill="DEEAF6" w:themeFill="accent5" w:themeFillTint="33"/>
          </w:tcPr>
          <w:p w14:paraId="1CF65454" w14:textId="7D07A785" w:rsidR="00700EC5" w:rsidRPr="00606B13" w:rsidRDefault="008561C8"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$7,617.09</w:t>
            </w:r>
          </w:p>
        </w:tc>
      </w:tr>
      <w:tr w:rsidR="00700EC5" w14:paraId="353DDBB6"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50877D29" w14:textId="6D5F875E"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8D97AC3" w14:textId="136992ED" w:rsidR="00700EC5" w:rsidRPr="00606B13" w:rsidRDefault="00EA46A7"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PEREZ MARTINEZ LUIS ALBERTO</w:t>
            </w:r>
          </w:p>
        </w:tc>
        <w:tc>
          <w:tcPr>
            <w:tcW w:w="1845" w:type="dxa"/>
          </w:tcPr>
          <w:p w14:paraId="4A47881F" w14:textId="1AA7372D" w:rsidR="00700EC5" w:rsidRPr="00606B13" w:rsidRDefault="00EA46A7"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$4,873.08</w:t>
            </w:r>
          </w:p>
        </w:tc>
      </w:tr>
      <w:tr w:rsidR="00700EC5" w14:paraId="664FC5FC"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09990D6" w14:textId="04D9125E"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4E56465F" w14:textId="4399F98E" w:rsidR="00700EC5" w:rsidRPr="00606B13" w:rsidRDefault="00EA46A7"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TAPIA CASTILLO JUAN CARLOS</w:t>
            </w:r>
          </w:p>
        </w:tc>
        <w:tc>
          <w:tcPr>
            <w:tcW w:w="1845" w:type="dxa"/>
            <w:shd w:val="clear" w:color="auto" w:fill="DEEAF6" w:themeFill="accent5" w:themeFillTint="33"/>
          </w:tcPr>
          <w:p w14:paraId="5ED68240" w14:textId="17BE8AA5" w:rsidR="00700EC5" w:rsidRPr="00606B13" w:rsidRDefault="00EA46A7"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$4</w:t>
            </w:r>
            <w:r w:rsidR="000C3F71" w:rsidRPr="00606B13">
              <w:rPr>
                <w:i/>
                <w:color w:val="auto"/>
                <w:sz w:val="20"/>
                <w:szCs w:val="20"/>
              </w:rPr>
              <w:t>,</w:t>
            </w:r>
            <w:r w:rsidRPr="00606B13">
              <w:rPr>
                <w:i/>
                <w:color w:val="auto"/>
                <w:sz w:val="20"/>
                <w:szCs w:val="20"/>
              </w:rPr>
              <w:t>193.24</w:t>
            </w:r>
          </w:p>
        </w:tc>
      </w:tr>
      <w:tr w:rsidR="00700EC5" w14:paraId="51C0CEB0"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72342F3" w14:textId="16A2654F"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3ECC10B6" w14:textId="421CE59B" w:rsidR="00700EC5" w:rsidRPr="00606B13" w:rsidRDefault="009A3DF6"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GONZALEZ GOMEZ MARIA GUADALUPE</w:t>
            </w:r>
          </w:p>
        </w:tc>
        <w:tc>
          <w:tcPr>
            <w:tcW w:w="1845" w:type="dxa"/>
          </w:tcPr>
          <w:p w14:paraId="35A9E4F1" w14:textId="6C468731" w:rsidR="00700EC5" w:rsidRPr="00606B13" w:rsidRDefault="009A3DF6"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$3,665.24</w:t>
            </w:r>
          </w:p>
        </w:tc>
      </w:tr>
      <w:tr w:rsidR="00700EC5" w14:paraId="30D74899"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2B77B73" w14:textId="6F155446"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24079A5C" w14:textId="22B7B338" w:rsidR="00700EC5" w:rsidRPr="00606B13" w:rsidRDefault="00FB431E"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ESCORCIA HERNANDEZ GABRIELA VALENTINA</w:t>
            </w:r>
          </w:p>
        </w:tc>
        <w:tc>
          <w:tcPr>
            <w:tcW w:w="1845" w:type="dxa"/>
            <w:shd w:val="clear" w:color="auto" w:fill="DEEAF6" w:themeFill="accent5" w:themeFillTint="33"/>
          </w:tcPr>
          <w:p w14:paraId="52B97C02" w14:textId="1581A490" w:rsidR="00700EC5" w:rsidRPr="00606B13" w:rsidRDefault="00FB431E"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$3,725.97</w:t>
            </w:r>
          </w:p>
        </w:tc>
      </w:tr>
      <w:tr w:rsidR="00700EC5" w14:paraId="79B2A9C4"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64B4448F" w14:textId="07228CFE" w:rsidR="00700EC5" w:rsidRPr="00606B13" w:rsidRDefault="00700EC5" w:rsidP="00606B13">
            <w:pPr>
              <w:pStyle w:val="Prrafodelista"/>
              <w:spacing w:line="360" w:lineRule="auto"/>
              <w:ind w:left="0"/>
              <w:rPr>
                <w:i/>
                <w:color w:val="auto"/>
                <w:sz w:val="20"/>
                <w:szCs w:val="20"/>
              </w:rPr>
            </w:pPr>
            <w:r w:rsidRPr="00606B13">
              <w:rPr>
                <w:i/>
                <w:color w:val="auto"/>
                <w:sz w:val="20"/>
                <w:szCs w:val="20"/>
              </w:rPr>
              <w:lastRenderedPageBreak/>
              <w:t>CONFIANZA</w:t>
            </w:r>
          </w:p>
        </w:tc>
        <w:tc>
          <w:tcPr>
            <w:tcW w:w="2974" w:type="dxa"/>
          </w:tcPr>
          <w:p w14:paraId="72B717BC" w14:textId="02C357D3" w:rsidR="00700EC5" w:rsidRPr="00606B13" w:rsidRDefault="00937478"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ALVARADO BECERRA MONICA BEATRIZ</w:t>
            </w:r>
          </w:p>
        </w:tc>
        <w:tc>
          <w:tcPr>
            <w:tcW w:w="1845" w:type="dxa"/>
          </w:tcPr>
          <w:p w14:paraId="751675D0" w14:textId="35E5F1FB" w:rsidR="00700EC5" w:rsidRPr="00606B13" w:rsidRDefault="00937478"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$7,617.09</w:t>
            </w:r>
          </w:p>
        </w:tc>
      </w:tr>
      <w:tr w:rsidR="00700EC5" w14:paraId="47F0D39F"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1A74A0D" w14:textId="538791D0"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29D089C6" w14:textId="47C2B817" w:rsidR="00700EC5" w:rsidRPr="00606B13" w:rsidRDefault="00F96BC8"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SALAZAR TREJO JESSICA</w:t>
            </w:r>
          </w:p>
        </w:tc>
        <w:tc>
          <w:tcPr>
            <w:tcW w:w="1845" w:type="dxa"/>
            <w:shd w:val="clear" w:color="auto" w:fill="DEEAF6" w:themeFill="accent5" w:themeFillTint="33"/>
          </w:tcPr>
          <w:p w14:paraId="40423B7C" w14:textId="625F1A89" w:rsidR="00700EC5" w:rsidRPr="00606B13" w:rsidRDefault="00F96BC8"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$26,585.25</w:t>
            </w:r>
          </w:p>
        </w:tc>
      </w:tr>
      <w:tr w:rsidR="00700EC5" w14:paraId="3647E390"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F0C8879" w14:textId="12F1B27B"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0EDC45FA" w14:textId="4131FB46" w:rsidR="00700EC5" w:rsidRPr="00606B13" w:rsidRDefault="00D716A7"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AGUILAR IBARRA MIGUEL ANGEL</w:t>
            </w:r>
          </w:p>
        </w:tc>
        <w:tc>
          <w:tcPr>
            <w:tcW w:w="1845" w:type="dxa"/>
          </w:tcPr>
          <w:p w14:paraId="33754E41" w14:textId="2092B507" w:rsidR="00700EC5" w:rsidRPr="00606B13" w:rsidRDefault="00056183"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$21,193.00</w:t>
            </w:r>
          </w:p>
        </w:tc>
      </w:tr>
      <w:tr w:rsidR="00700EC5" w14:paraId="20A92171"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F2AA991" w14:textId="5D58CAF6"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62B7E3A2" w14:textId="531E8054" w:rsidR="00700EC5" w:rsidRPr="00606B13" w:rsidRDefault="00E00569"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 xml:space="preserve">CAMPOS ORDAZ ARTURO </w:t>
            </w:r>
          </w:p>
        </w:tc>
        <w:tc>
          <w:tcPr>
            <w:tcW w:w="1845" w:type="dxa"/>
            <w:shd w:val="clear" w:color="auto" w:fill="DEEAF6" w:themeFill="accent5" w:themeFillTint="33"/>
          </w:tcPr>
          <w:p w14:paraId="43A4B463" w14:textId="5D9B6DE7" w:rsidR="00700EC5" w:rsidRPr="00606B13" w:rsidRDefault="003A6BD6"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$21,193.00</w:t>
            </w:r>
          </w:p>
        </w:tc>
      </w:tr>
      <w:tr w:rsidR="00700EC5" w14:paraId="5F259895"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86E7909" w14:textId="326F14A3"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01262F28" w14:textId="64AE1F72" w:rsidR="00700EC5" w:rsidRPr="00606B13" w:rsidRDefault="003E42C3"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 xml:space="preserve">SANCHEZ ROSAS PLACIDO </w:t>
            </w:r>
          </w:p>
        </w:tc>
        <w:tc>
          <w:tcPr>
            <w:tcW w:w="1845" w:type="dxa"/>
          </w:tcPr>
          <w:p w14:paraId="30EBBFB0" w14:textId="5A94F565" w:rsidR="00700EC5" w:rsidRPr="00606B13" w:rsidRDefault="003E42C3"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$12,187.01</w:t>
            </w:r>
          </w:p>
        </w:tc>
      </w:tr>
      <w:tr w:rsidR="00700EC5" w14:paraId="4337B54B"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46D23AE" w14:textId="7B6145C6"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09FE9584" w14:textId="44555DE7" w:rsidR="00700EC5" w:rsidRPr="00606B13" w:rsidRDefault="0090259A"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GONZALEZ JUAREZ FRANCISCO</w:t>
            </w:r>
          </w:p>
        </w:tc>
        <w:tc>
          <w:tcPr>
            <w:tcW w:w="1845" w:type="dxa"/>
            <w:shd w:val="clear" w:color="auto" w:fill="DEEAF6" w:themeFill="accent5" w:themeFillTint="33"/>
          </w:tcPr>
          <w:p w14:paraId="06BAB17D" w14:textId="11DA9A8C" w:rsidR="00700EC5" w:rsidRPr="00606B13" w:rsidRDefault="0090259A"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$12,182.02</w:t>
            </w:r>
          </w:p>
        </w:tc>
      </w:tr>
      <w:tr w:rsidR="00700EC5" w14:paraId="0F9A32DF"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5C02FF8D" w14:textId="5DBEC4FF"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A129A63" w14:textId="1C853207" w:rsidR="00700EC5" w:rsidRPr="00606B13" w:rsidRDefault="000C1870"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GARCIA SERRANO YESENIA</w:t>
            </w:r>
          </w:p>
        </w:tc>
        <w:tc>
          <w:tcPr>
            <w:tcW w:w="1845" w:type="dxa"/>
          </w:tcPr>
          <w:p w14:paraId="36B9C3D2" w14:textId="33412E87" w:rsidR="00700EC5" w:rsidRPr="00606B13" w:rsidRDefault="000C1870"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$14,164.06</w:t>
            </w:r>
          </w:p>
        </w:tc>
      </w:tr>
      <w:tr w:rsidR="00700EC5" w14:paraId="2BBC8C1E"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0E09879D" w14:textId="7A986571"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1EA43E65" w14:textId="4EC5A191" w:rsidR="00700EC5" w:rsidRPr="00606B13" w:rsidRDefault="0052457E"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LEAL CRUZ INOCENCIO</w:t>
            </w:r>
          </w:p>
        </w:tc>
        <w:tc>
          <w:tcPr>
            <w:tcW w:w="1845" w:type="dxa"/>
            <w:shd w:val="clear" w:color="auto" w:fill="DEEAF6" w:themeFill="accent5" w:themeFillTint="33"/>
          </w:tcPr>
          <w:p w14:paraId="1DFA708D" w14:textId="11C80D84" w:rsidR="00700EC5" w:rsidRPr="00606B13" w:rsidRDefault="0052457E"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$5,076.97</w:t>
            </w:r>
          </w:p>
        </w:tc>
      </w:tr>
      <w:tr w:rsidR="00700EC5" w14:paraId="44B1A268"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6B3F35D" w14:textId="43789517"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08C2DF4" w14:textId="37C09C0C" w:rsidR="00700EC5" w:rsidRPr="00606B13" w:rsidRDefault="0065117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CAMACHO FARIAS GUILLERMO JONATHAN</w:t>
            </w:r>
          </w:p>
        </w:tc>
        <w:tc>
          <w:tcPr>
            <w:tcW w:w="1845" w:type="dxa"/>
          </w:tcPr>
          <w:p w14:paraId="4CCBE233" w14:textId="544AD071" w:rsidR="00700EC5" w:rsidRPr="00606B13" w:rsidRDefault="0065117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$4,000.03</w:t>
            </w:r>
          </w:p>
        </w:tc>
      </w:tr>
      <w:tr w:rsidR="00700EC5" w14:paraId="585C0A2E"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C9320C2" w14:textId="03FC62B5"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235C7B62" w14:textId="324D9031" w:rsidR="00700EC5" w:rsidRPr="00606B13" w:rsidRDefault="00B72672"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SANCHEZ VERDE JAZMINE BERENICE</w:t>
            </w:r>
          </w:p>
        </w:tc>
        <w:tc>
          <w:tcPr>
            <w:tcW w:w="1845" w:type="dxa"/>
            <w:shd w:val="clear" w:color="auto" w:fill="DEEAF6" w:themeFill="accent5" w:themeFillTint="33"/>
          </w:tcPr>
          <w:p w14:paraId="2DF62E54" w14:textId="4A746572" w:rsidR="00700EC5" w:rsidRPr="00606B13" w:rsidRDefault="00B72672"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$7,517.09</w:t>
            </w:r>
          </w:p>
        </w:tc>
      </w:tr>
      <w:tr w:rsidR="00700EC5" w14:paraId="0ACF6CCA"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BA1E940" w14:textId="404D2D64"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2D7E066E" w14:textId="786C10E5" w:rsidR="00700EC5" w:rsidRPr="00606B13" w:rsidRDefault="0057195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BLANCO MARROQUIN KARINA</w:t>
            </w:r>
          </w:p>
        </w:tc>
        <w:tc>
          <w:tcPr>
            <w:tcW w:w="1845" w:type="dxa"/>
          </w:tcPr>
          <w:p w14:paraId="56C97D0E" w14:textId="7A90955C" w:rsidR="00700EC5" w:rsidRPr="00606B13" w:rsidRDefault="0057195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$7,617.10</w:t>
            </w:r>
          </w:p>
        </w:tc>
      </w:tr>
      <w:tr w:rsidR="00700EC5" w14:paraId="1E97D6B3"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61180035" w14:textId="6BD33C81"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0CCE95C" w14:textId="17B702DD" w:rsidR="00700EC5" w:rsidRPr="00606B13" w:rsidRDefault="00170CA5"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GARNICA HERNANDEZ MIRIAM</w:t>
            </w:r>
          </w:p>
        </w:tc>
        <w:tc>
          <w:tcPr>
            <w:tcW w:w="1845" w:type="dxa"/>
            <w:shd w:val="clear" w:color="auto" w:fill="DEEAF6" w:themeFill="accent5" w:themeFillTint="33"/>
          </w:tcPr>
          <w:p w14:paraId="00217526" w14:textId="2CC8B131" w:rsidR="00700EC5" w:rsidRPr="00606B13" w:rsidRDefault="00170CA5"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$7,617.10</w:t>
            </w:r>
          </w:p>
        </w:tc>
      </w:tr>
      <w:tr w:rsidR="00700EC5" w14:paraId="386BF758"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71EB5BC" w14:textId="21C4FF46"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302ED00E" w14:textId="42E30E92" w:rsidR="00700EC5" w:rsidRPr="00606B13" w:rsidRDefault="002948A9"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CAMPOS ORDAZ OSWALDO DE JESUS</w:t>
            </w:r>
          </w:p>
        </w:tc>
        <w:tc>
          <w:tcPr>
            <w:tcW w:w="1845" w:type="dxa"/>
          </w:tcPr>
          <w:p w14:paraId="0EF06C00" w14:textId="1AD2AA7C" w:rsidR="00700EC5" w:rsidRPr="00606B13" w:rsidRDefault="002948A9"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$7,617.10</w:t>
            </w:r>
          </w:p>
        </w:tc>
      </w:tr>
      <w:tr w:rsidR="00700EC5" w14:paraId="5A224535"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2053D0B" w14:textId="1D81F52D"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4E03B220" w14:textId="4F45B30A" w:rsidR="00700EC5" w:rsidRPr="00606B13" w:rsidRDefault="008554FF"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MEDINA GUADARRAMA MARIA DE LUZ</w:t>
            </w:r>
          </w:p>
        </w:tc>
        <w:tc>
          <w:tcPr>
            <w:tcW w:w="1845" w:type="dxa"/>
            <w:shd w:val="clear" w:color="auto" w:fill="DEEAF6" w:themeFill="accent5" w:themeFillTint="33"/>
          </w:tcPr>
          <w:p w14:paraId="7ED55B73" w14:textId="6489EFBB" w:rsidR="00700EC5" w:rsidRPr="00606B13" w:rsidRDefault="008554FF"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$4,281.29</w:t>
            </w:r>
          </w:p>
        </w:tc>
      </w:tr>
      <w:tr w:rsidR="00700EC5" w14:paraId="741AD4D5"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6F9C1B59" w14:textId="1DA78389"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52D21619" w14:textId="2EB11C99" w:rsidR="00700EC5" w:rsidRPr="00606B13" w:rsidRDefault="00612F91"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GOMEZ LEON RAMIRO</w:t>
            </w:r>
          </w:p>
        </w:tc>
        <w:tc>
          <w:tcPr>
            <w:tcW w:w="1845" w:type="dxa"/>
          </w:tcPr>
          <w:p w14:paraId="60A6A528" w14:textId="277B6E72" w:rsidR="00700EC5" w:rsidRPr="00606B13" w:rsidRDefault="00612F91"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$7,617.10</w:t>
            </w:r>
          </w:p>
        </w:tc>
      </w:tr>
      <w:tr w:rsidR="00700EC5" w14:paraId="1DD2093C"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58FF0F9A" w14:textId="17D6B92A" w:rsidR="00700EC5" w:rsidRPr="00606B13" w:rsidRDefault="00700EC5"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4C0672EB" w14:textId="277D24A2" w:rsidR="00700EC5" w:rsidRPr="00606B13" w:rsidRDefault="00612F91"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RUIZ FLORES SILVIA MAURICIA</w:t>
            </w:r>
          </w:p>
        </w:tc>
        <w:tc>
          <w:tcPr>
            <w:tcW w:w="1845" w:type="dxa"/>
            <w:shd w:val="clear" w:color="auto" w:fill="DEEAF6" w:themeFill="accent5" w:themeFillTint="33"/>
          </w:tcPr>
          <w:p w14:paraId="2E737165" w14:textId="0405028E" w:rsidR="00700EC5" w:rsidRPr="00606B13" w:rsidRDefault="00612F91"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$7,099.98</w:t>
            </w:r>
          </w:p>
        </w:tc>
      </w:tr>
      <w:tr w:rsidR="00BD12C1" w14:paraId="11EC8D7D"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ECEDEA2" w14:textId="3BD0B65A" w:rsidR="00BD12C1" w:rsidRPr="00606B13" w:rsidRDefault="00BD12C1"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013FC0C7" w14:textId="4A0CA632" w:rsidR="00BD12C1" w:rsidRPr="00606B13" w:rsidRDefault="008B68AF"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HIDALGO SORIA ITALIA JUNUEN</w:t>
            </w:r>
          </w:p>
        </w:tc>
        <w:tc>
          <w:tcPr>
            <w:tcW w:w="1845" w:type="dxa"/>
          </w:tcPr>
          <w:p w14:paraId="05D33031" w14:textId="5E58FF2C" w:rsidR="00BD12C1" w:rsidRPr="00606B13" w:rsidRDefault="008B68AF"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$7,617.10</w:t>
            </w:r>
          </w:p>
        </w:tc>
      </w:tr>
      <w:tr w:rsidR="00BD12C1" w14:paraId="4A30DD58"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FFD6407" w14:textId="50F06BFE" w:rsidR="00BD12C1" w:rsidRPr="00606B13" w:rsidRDefault="00BD12C1" w:rsidP="00606B13">
            <w:pPr>
              <w:pStyle w:val="Prrafodelista"/>
              <w:spacing w:line="360" w:lineRule="auto"/>
              <w:ind w:left="0"/>
              <w:rPr>
                <w:i/>
                <w:color w:val="auto"/>
                <w:sz w:val="20"/>
                <w:szCs w:val="20"/>
              </w:rPr>
            </w:pPr>
            <w:r w:rsidRPr="00606B13">
              <w:rPr>
                <w:i/>
                <w:color w:val="auto"/>
                <w:sz w:val="20"/>
                <w:szCs w:val="20"/>
              </w:rPr>
              <w:lastRenderedPageBreak/>
              <w:t>CONFIANZA</w:t>
            </w:r>
          </w:p>
        </w:tc>
        <w:tc>
          <w:tcPr>
            <w:tcW w:w="2974" w:type="dxa"/>
          </w:tcPr>
          <w:p w14:paraId="76F3312A" w14:textId="0349D01F" w:rsidR="00BD12C1" w:rsidRPr="00606B13" w:rsidRDefault="002B5B4E"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LASTRA RUIZ DAYANA</w:t>
            </w:r>
          </w:p>
        </w:tc>
        <w:tc>
          <w:tcPr>
            <w:tcW w:w="1845" w:type="dxa"/>
            <w:shd w:val="clear" w:color="auto" w:fill="DEEAF6" w:themeFill="accent5" w:themeFillTint="33"/>
          </w:tcPr>
          <w:p w14:paraId="6AB2032E" w14:textId="040DDA39" w:rsidR="00BD12C1" w:rsidRPr="00606B13" w:rsidRDefault="002B5B4E"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$9,999.97</w:t>
            </w:r>
          </w:p>
        </w:tc>
      </w:tr>
      <w:tr w:rsidR="00BD12C1" w14:paraId="5BB674F9"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995E030" w14:textId="326BCC30" w:rsidR="00BD12C1" w:rsidRPr="00606B13" w:rsidRDefault="00BD12C1"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45C662CF" w14:textId="26CF8E79" w:rsidR="00BD12C1" w:rsidRPr="00606B13" w:rsidRDefault="00741B02"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RODRIGUEZ PEREGRINO ANA LAURA</w:t>
            </w:r>
          </w:p>
        </w:tc>
        <w:tc>
          <w:tcPr>
            <w:tcW w:w="1845" w:type="dxa"/>
          </w:tcPr>
          <w:p w14:paraId="66C98314" w14:textId="39DD8CF0" w:rsidR="00BD12C1" w:rsidRPr="00606B13" w:rsidRDefault="00741B02"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$6,576.49</w:t>
            </w:r>
          </w:p>
        </w:tc>
      </w:tr>
      <w:tr w:rsidR="00BD12C1" w14:paraId="107ECAE0"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F1777BB" w14:textId="6C8509E7" w:rsidR="00BD12C1" w:rsidRPr="00606B13" w:rsidRDefault="00BD12C1"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32590738" w14:textId="02D8BE95" w:rsidR="00BD12C1" w:rsidRPr="00606B13" w:rsidRDefault="00B274B8"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QUIJANO HERNANDEZ LUIS CARLOS</w:t>
            </w:r>
          </w:p>
        </w:tc>
        <w:tc>
          <w:tcPr>
            <w:tcW w:w="1845" w:type="dxa"/>
            <w:shd w:val="clear" w:color="auto" w:fill="DEEAF6" w:themeFill="accent5" w:themeFillTint="33"/>
          </w:tcPr>
          <w:p w14:paraId="1C76B15C" w14:textId="75BF6B18" w:rsidR="00BD12C1" w:rsidRPr="00606B13" w:rsidRDefault="00B274B8"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$5,063.42</w:t>
            </w:r>
          </w:p>
        </w:tc>
      </w:tr>
      <w:tr w:rsidR="00BD12C1" w14:paraId="7AB22E02"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1035D03" w14:textId="00BDA2D2" w:rsidR="00BD12C1" w:rsidRPr="00606B13" w:rsidRDefault="00BD12C1"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6914007F" w14:textId="041DA88C" w:rsidR="00BD12C1" w:rsidRPr="00606B13" w:rsidRDefault="00CD17EE"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DOMINGUEZ GONZALEZ BRAYAN AGUSTIN</w:t>
            </w:r>
          </w:p>
        </w:tc>
        <w:tc>
          <w:tcPr>
            <w:tcW w:w="1845" w:type="dxa"/>
          </w:tcPr>
          <w:p w14:paraId="3F64021F" w14:textId="01FADB95" w:rsidR="00BD12C1" w:rsidRPr="00606B13" w:rsidRDefault="00CD17EE"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$4,061.39</w:t>
            </w:r>
          </w:p>
        </w:tc>
      </w:tr>
      <w:tr w:rsidR="00BD12C1" w14:paraId="4CEA6FCF"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89EB419" w14:textId="061C0060" w:rsidR="00BD12C1" w:rsidRPr="00606B13" w:rsidRDefault="00BD12C1"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6B6FDC53" w14:textId="754FDA66" w:rsidR="00BD12C1" w:rsidRPr="00606B13" w:rsidRDefault="00352025"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CORTES GRIJALVA MARIANA ISABEL</w:t>
            </w:r>
          </w:p>
        </w:tc>
        <w:tc>
          <w:tcPr>
            <w:tcW w:w="1845" w:type="dxa"/>
            <w:shd w:val="clear" w:color="auto" w:fill="DEEAF6" w:themeFill="accent5" w:themeFillTint="33"/>
          </w:tcPr>
          <w:p w14:paraId="3D6453AA" w14:textId="73C11614" w:rsidR="00BD12C1" w:rsidRPr="00606B13" w:rsidRDefault="00352025"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$7,617.10</w:t>
            </w:r>
          </w:p>
        </w:tc>
      </w:tr>
      <w:tr w:rsidR="00BD12C1" w14:paraId="19B03C6B"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003CCF7A" w14:textId="7B470B2F" w:rsidR="00BD12C1" w:rsidRPr="00606B13" w:rsidRDefault="00BD12C1"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37F02E1F" w14:textId="26ED6539" w:rsidR="00BD12C1" w:rsidRPr="00606B13" w:rsidRDefault="004F647A"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SERRANO GASPAR IDANIA</w:t>
            </w:r>
          </w:p>
        </w:tc>
        <w:tc>
          <w:tcPr>
            <w:tcW w:w="1845" w:type="dxa"/>
          </w:tcPr>
          <w:p w14:paraId="14263AF3" w14:textId="7A5AAC86" w:rsidR="00BD12C1" w:rsidRPr="00606B13" w:rsidRDefault="004F647A"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$7,617.10</w:t>
            </w:r>
          </w:p>
        </w:tc>
      </w:tr>
      <w:tr w:rsidR="00BD12C1" w14:paraId="2AF9CF3E"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4D301FA0" w14:textId="6F850B22" w:rsidR="00BD12C1" w:rsidRPr="00606B13" w:rsidRDefault="00BD12C1"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4A3A11DE" w14:textId="0698FDBB" w:rsidR="00BD12C1" w:rsidRPr="00606B13" w:rsidRDefault="00E0281F"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ACEVEDO CONTRERAS NAYELI MONICA</w:t>
            </w:r>
          </w:p>
        </w:tc>
        <w:tc>
          <w:tcPr>
            <w:tcW w:w="1845" w:type="dxa"/>
            <w:shd w:val="clear" w:color="auto" w:fill="DEEAF6" w:themeFill="accent5" w:themeFillTint="33"/>
          </w:tcPr>
          <w:p w14:paraId="30CC5C33" w14:textId="3BF0B2CC" w:rsidR="00BD12C1" w:rsidRPr="00606B13" w:rsidRDefault="00E0281F"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$3,725.97</w:t>
            </w:r>
          </w:p>
        </w:tc>
      </w:tr>
      <w:tr w:rsidR="00BD12C1" w14:paraId="1898E308"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EF7EBDD" w14:textId="4FEDEDDD" w:rsidR="00BD12C1" w:rsidRPr="00606B13" w:rsidRDefault="00BD12C1"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82059E5" w14:textId="01D33CEE" w:rsidR="00BD12C1" w:rsidRPr="00606B13" w:rsidRDefault="00601FC4"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HERNANDEZ REYES NANCY</w:t>
            </w:r>
          </w:p>
        </w:tc>
        <w:tc>
          <w:tcPr>
            <w:tcW w:w="1845" w:type="dxa"/>
          </w:tcPr>
          <w:p w14:paraId="0C259384" w14:textId="6FD77D9A" w:rsidR="00BD12C1" w:rsidRPr="00606B13" w:rsidRDefault="00601FC4"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$3,800.02</w:t>
            </w:r>
          </w:p>
        </w:tc>
      </w:tr>
      <w:tr w:rsidR="00BD12C1" w14:paraId="39D819D1"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42062774" w14:textId="75CB24D4" w:rsidR="00BD12C1" w:rsidRPr="00606B13" w:rsidRDefault="00BD12C1"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01247419" w14:textId="60DD0E88" w:rsidR="00BD12C1" w:rsidRPr="00606B13" w:rsidRDefault="002801DB"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SANCHEZ PADILLA CECILIA</w:t>
            </w:r>
          </w:p>
        </w:tc>
        <w:tc>
          <w:tcPr>
            <w:tcW w:w="1845" w:type="dxa"/>
            <w:shd w:val="clear" w:color="auto" w:fill="DEEAF6" w:themeFill="accent5" w:themeFillTint="33"/>
          </w:tcPr>
          <w:p w14:paraId="6E868639" w14:textId="37808677" w:rsidR="00BD12C1" w:rsidRPr="00606B13" w:rsidRDefault="002801DB"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$7,802.32</w:t>
            </w:r>
          </w:p>
        </w:tc>
      </w:tr>
      <w:tr w:rsidR="009859B2" w14:paraId="1BFE167E"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63A5F5D1" w14:textId="75E04B9B" w:rsidR="009859B2" w:rsidRPr="00606B13" w:rsidRDefault="009859B2"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0D43ED2" w14:textId="4EAD21E0" w:rsidR="009859B2" w:rsidRPr="00606B13" w:rsidRDefault="00D4311A"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 xml:space="preserve">RANGEL MERCADO MONICA CECILIA </w:t>
            </w:r>
          </w:p>
        </w:tc>
        <w:tc>
          <w:tcPr>
            <w:tcW w:w="1845" w:type="dxa"/>
          </w:tcPr>
          <w:p w14:paraId="197AEDB6" w14:textId="0A488B13" w:rsidR="009859B2" w:rsidRPr="00606B13" w:rsidRDefault="00D4311A"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$6,199.98</w:t>
            </w:r>
          </w:p>
        </w:tc>
      </w:tr>
      <w:tr w:rsidR="009859B2" w14:paraId="5AF14157"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57C4A7D1" w14:textId="38C16AFA" w:rsidR="009859B2" w:rsidRPr="00606B13" w:rsidRDefault="009859B2"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2E66D7BE" w14:textId="3BBC21BD" w:rsidR="009859B2" w:rsidRPr="00606B13" w:rsidRDefault="007D74D8"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MOLINA HINOJOSA VIRIDIANA</w:t>
            </w:r>
          </w:p>
        </w:tc>
        <w:tc>
          <w:tcPr>
            <w:tcW w:w="1845" w:type="dxa"/>
            <w:shd w:val="clear" w:color="auto" w:fill="DEEAF6" w:themeFill="accent5" w:themeFillTint="33"/>
          </w:tcPr>
          <w:p w14:paraId="3A6F4D32" w14:textId="050FBB38" w:rsidR="009859B2" w:rsidRPr="00606B13" w:rsidRDefault="007D74D8"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$3,800.02</w:t>
            </w:r>
          </w:p>
        </w:tc>
      </w:tr>
      <w:tr w:rsidR="009859B2" w14:paraId="6EFBF59E"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AD3DE13" w14:textId="6F31C16C" w:rsidR="009859B2" w:rsidRPr="00606B13" w:rsidRDefault="009859B2"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6CFB640E" w14:textId="3441BA6A" w:rsidR="009859B2" w:rsidRPr="00606B13" w:rsidRDefault="00803612"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BARCENAS LOPEZ WENDY SELENA</w:t>
            </w:r>
          </w:p>
        </w:tc>
        <w:tc>
          <w:tcPr>
            <w:tcW w:w="1845" w:type="dxa"/>
          </w:tcPr>
          <w:p w14:paraId="033A4F2C" w14:textId="76603966" w:rsidR="009859B2" w:rsidRPr="00606B13" w:rsidRDefault="00803612"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$5,000.02</w:t>
            </w:r>
          </w:p>
        </w:tc>
      </w:tr>
      <w:tr w:rsidR="009859B2" w14:paraId="6591FEA7"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617C95E" w14:textId="62D64CCF" w:rsidR="009859B2" w:rsidRPr="00606B13" w:rsidRDefault="009859B2"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7994D6CA" w14:textId="0F852151" w:rsidR="009859B2" w:rsidRPr="00606B13" w:rsidRDefault="00803612"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BADILLO CORONA ANGELICA JANETH</w:t>
            </w:r>
          </w:p>
        </w:tc>
        <w:tc>
          <w:tcPr>
            <w:tcW w:w="1845" w:type="dxa"/>
            <w:shd w:val="clear" w:color="auto" w:fill="DEEAF6" w:themeFill="accent5" w:themeFillTint="33"/>
          </w:tcPr>
          <w:p w14:paraId="5E00F3B3" w14:textId="3C09FF21" w:rsidR="009859B2" w:rsidRPr="00606B13" w:rsidRDefault="00803612"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$7,602.32</w:t>
            </w:r>
          </w:p>
        </w:tc>
      </w:tr>
      <w:tr w:rsidR="009859B2" w14:paraId="29CD2C29"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2F294249" w14:textId="524D95B6" w:rsidR="009859B2" w:rsidRPr="00606B13" w:rsidRDefault="009859B2"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5CE0AF14" w14:textId="10EC555B" w:rsidR="009859B2" w:rsidRPr="00606B13" w:rsidRDefault="0007617B"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LOPEZ CARMONA KATIA KARIME</w:t>
            </w:r>
          </w:p>
        </w:tc>
        <w:tc>
          <w:tcPr>
            <w:tcW w:w="1845" w:type="dxa"/>
          </w:tcPr>
          <w:p w14:paraId="32A973D3" w14:textId="4B0C93EB" w:rsidR="009859B2" w:rsidRPr="00606B13" w:rsidRDefault="0007617B"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$7,617.09</w:t>
            </w:r>
          </w:p>
        </w:tc>
      </w:tr>
      <w:tr w:rsidR="009859B2" w14:paraId="7757731D"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6BEB43D9" w14:textId="05755245" w:rsidR="009859B2" w:rsidRPr="00606B13" w:rsidRDefault="009859B2" w:rsidP="00606B13">
            <w:pPr>
              <w:pStyle w:val="Prrafodelista"/>
              <w:spacing w:line="360" w:lineRule="auto"/>
              <w:ind w:left="0"/>
              <w:rPr>
                <w:i/>
                <w:color w:val="auto"/>
                <w:sz w:val="20"/>
                <w:szCs w:val="20"/>
              </w:rPr>
            </w:pPr>
            <w:r w:rsidRPr="00606B13">
              <w:rPr>
                <w:i/>
                <w:color w:val="auto"/>
                <w:sz w:val="20"/>
                <w:szCs w:val="20"/>
              </w:rPr>
              <w:t>CONFIANZA</w:t>
            </w:r>
          </w:p>
        </w:tc>
        <w:tc>
          <w:tcPr>
            <w:tcW w:w="2974" w:type="dxa"/>
          </w:tcPr>
          <w:p w14:paraId="3B96CCC0" w14:textId="1F1A7F8C" w:rsidR="009859B2" w:rsidRPr="00606B13" w:rsidRDefault="00031C51"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SOTO CRUZ PATRICIA</w:t>
            </w:r>
          </w:p>
        </w:tc>
        <w:tc>
          <w:tcPr>
            <w:tcW w:w="1845" w:type="dxa"/>
            <w:shd w:val="clear" w:color="auto" w:fill="DEEAF6" w:themeFill="accent5" w:themeFillTint="33"/>
          </w:tcPr>
          <w:p w14:paraId="2339B167" w14:textId="44AE4CDF" w:rsidR="009859B2" w:rsidRPr="00606B13" w:rsidRDefault="00031C51"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$3,726.03</w:t>
            </w:r>
          </w:p>
        </w:tc>
      </w:tr>
      <w:tr w:rsidR="00713655" w14:paraId="37F7563F"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E9C07CF" w14:textId="2CC50005" w:rsidR="00713655"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42E49CFD" w14:textId="2D01C0D6" w:rsidR="00713655" w:rsidRPr="00606B13" w:rsidRDefault="007F6B89"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OSORNIO TORRES MARIA GUADALUPE</w:t>
            </w:r>
          </w:p>
        </w:tc>
        <w:tc>
          <w:tcPr>
            <w:tcW w:w="1845" w:type="dxa"/>
          </w:tcPr>
          <w:p w14:paraId="57677B70" w14:textId="3023298A" w:rsidR="00713655" w:rsidRPr="00606B13" w:rsidRDefault="007F6B89"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$5,011.56</w:t>
            </w:r>
          </w:p>
        </w:tc>
      </w:tr>
      <w:tr w:rsidR="00713655" w14:paraId="238A6C51"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FC2CD15" w14:textId="5587B3B2" w:rsidR="00713655" w:rsidRPr="00606B13" w:rsidRDefault="001B20CC" w:rsidP="00606B13">
            <w:pPr>
              <w:pStyle w:val="Prrafodelista"/>
              <w:spacing w:line="360" w:lineRule="auto"/>
              <w:ind w:left="0"/>
              <w:rPr>
                <w:i/>
                <w:color w:val="auto"/>
                <w:sz w:val="20"/>
                <w:szCs w:val="20"/>
              </w:rPr>
            </w:pPr>
            <w:r w:rsidRPr="00606B13">
              <w:rPr>
                <w:i/>
                <w:color w:val="auto"/>
                <w:sz w:val="20"/>
                <w:szCs w:val="20"/>
              </w:rPr>
              <w:lastRenderedPageBreak/>
              <w:t>SINDICATO</w:t>
            </w:r>
          </w:p>
        </w:tc>
        <w:tc>
          <w:tcPr>
            <w:tcW w:w="2974" w:type="dxa"/>
          </w:tcPr>
          <w:p w14:paraId="6F42AE6A" w14:textId="1CB2739E" w:rsidR="00713655" w:rsidRPr="00606B13" w:rsidRDefault="009615F7"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MARTINEZ HERNANDEZ VICTOR MANUEL</w:t>
            </w:r>
          </w:p>
        </w:tc>
        <w:tc>
          <w:tcPr>
            <w:tcW w:w="1845" w:type="dxa"/>
            <w:shd w:val="clear" w:color="auto" w:fill="DEEAF6" w:themeFill="accent5" w:themeFillTint="33"/>
          </w:tcPr>
          <w:p w14:paraId="6C2A0839" w14:textId="300D4676" w:rsidR="00713655" w:rsidRPr="00606B13" w:rsidRDefault="009615F7"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$3,25.12</w:t>
            </w:r>
          </w:p>
        </w:tc>
      </w:tr>
      <w:tr w:rsidR="00713655" w14:paraId="382EFEFE"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0D315DAD" w14:textId="40DF6C2C" w:rsidR="00713655"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39E37E9B" w14:textId="3F26DC96" w:rsidR="00713655" w:rsidRPr="00606B13" w:rsidRDefault="006F40D7"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ANGELES ARRIAGA ASUNCION VENTURA</w:t>
            </w:r>
          </w:p>
        </w:tc>
        <w:tc>
          <w:tcPr>
            <w:tcW w:w="1845" w:type="dxa"/>
          </w:tcPr>
          <w:p w14:paraId="677CC218" w14:textId="6B0C4BE1" w:rsidR="00713655" w:rsidRPr="00606B13" w:rsidRDefault="006F40D7"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$3,700.42</w:t>
            </w:r>
          </w:p>
        </w:tc>
      </w:tr>
      <w:tr w:rsidR="00713655" w14:paraId="35653088"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00FF4303" w14:textId="7F1AD32C" w:rsidR="00713655"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5BBA82CF" w14:textId="33F596BE" w:rsidR="00713655" w:rsidRPr="00606B13" w:rsidRDefault="00646015"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HUERTA VALDIVIESO CARMEN JUDITH</w:t>
            </w:r>
          </w:p>
        </w:tc>
        <w:tc>
          <w:tcPr>
            <w:tcW w:w="1845" w:type="dxa"/>
            <w:shd w:val="clear" w:color="auto" w:fill="DEEAF6" w:themeFill="accent5" w:themeFillTint="33"/>
          </w:tcPr>
          <w:p w14:paraId="1D392C4C" w14:textId="2FAB7FFA" w:rsidR="00713655" w:rsidRPr="00606B13" w:rsidRDefault="00646015"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$4,153.55</w:t>
            </w:r>
          </w:p>
        </w:tc>
      </w:tr>
      <w:tr w:rsidR="001B20CC" w14:paraId="272CCE23"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6F360F0" w14:textId="06016A92"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71DABC1D" w14:textId="6492DE63" w:rsidR="001B20CC" w:rsidRPr="00606B13" w:rsidRDefault="00B054F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CRUZ VEGA MARINA EVA</w:t>
            </w:r>
          </w:p>
        </w:tc>
        <w:tc>
          <w:tcPr>
            <w:tcW w:w="1845" w:type="dxa"/>
          </w:tcPr>
          <w:p w14:paraId="6F6F9826" w14:textId="10493F5B" w:rsidR="001B20CC" w:rsidRPr="00606B13" w:rsidRDefault="00B054F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$3,916.84</w:t>
            </w:r>
          </w:p>
        </w:tc>
      </w:tr>
      <w:tr w:rsidR="001B20CC" w14:paraId="706D0063"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CD5E6C4" w14:textId="7F620940"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5502AF24" w14:textId="674507E6" w:rsidR="001B20CC" w:rsidRPr="00606B13" w:rsidRDefault="007219B6"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SIERRA GAYTAN JUSTINA</w:t>
            </w:r>
          </w:p>
        </w:tc>
        <w:tc>
          <w:tcPr>
            <w:tcW w:w="1845" w:type="dxa"/>
            <w:shd w:val="clear" w:color="auto" w:fill="DEEAF6" w:themeFill="accent5" w:themeFillTint="33"/>
          </w:tcPr>
          <w:p w14:paraId="6305CBEC" w14:textId="5A4D0A1F" w:rsidR="001B20CC" w:rsidRPr="00606B13" w:rsidRDefault="007219B6"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$3,235.79</w:t>
            </w:r>
          </w:p>
        </w:tc>
      </w:tr>
      <w:tr w:rsidR="001B20CC" w14:paraId="63DA9E00"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D25D07A" w14:textId="6F09CE83"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6EBBBA79" w14:textId="6C070A93" w:rsidR="001B20CC" w:rsidRPr="00606B13" w:rsidRDefault="004731F8"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MARTINEZ JUANCHE MARCO ANTONIO</w:t>
            </w:r>
          </w:p>
        </w:tc>
        <w:tc>
          <w:tcPr>
            <w:tcW w:w="1845" w:type="dxa"/>
          </w:tcPr>
          <w:p w14:paraId="32EDB236" w14:textId="2D381BE4" w:rsidR="001B20CC" w:rsidRPr="00606B13" w:rsidRDefault="004731F8"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$6,308.10</w:t>
            </w:r>
          </w:p>
        </w:tc>
      </w:tr>
      <w:tr w:rsidR="001B20CC" w14:paraId="0F14B908"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52D59EB9" w14:textId="664477F1"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68371345" w14:textId="3DDDAAF1" w:rsidR="001B20CC" w:rsidRPr="00606B13" w:rsidRDefault="000E136D"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GUERRERO FRAGOSO MANUEL</w:t>
            </w:r>
          </w:p>
        </w:tc>
        <w:tc>
          <w:tcPr>
            <w:tcW w:w="1845" w:type="dxa"/>
            <w:shd w:val="clear" w:color="auto" w:fill="DEEAF6" w:themeFill="accent5" w:themeFillTint="33"/>
          </w:tcPr>
          <w:p w14:paraId="23EB25C5" w14:textId="75AF6E08" w:rsidR="001B20CC" w:rsidRPr="00606B13" w:rsidRDefault="000E136D"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$9,882.25</w:t>
            </w:r>
          </w:p>
        </w:tc>
      </w:tr>
      <w:tr w:rsidR="001B20CC" w14:paraId="48E0FE7B"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E034C4B" w14:textId="611F4D1E"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1F92A05B" w14:textId="225F2626" w:rsidR="001B20CC" w:rsidRPr="00606B13" w:rsidRDefault="006F5BB4"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HERNANDEZ MORALES MAGDALENO</w:t>
            </w:r>
          </w:p>
        </w:tc>
        <w:tc>
          <w:tcPr>
            <w:tcW w:w="1845" w:type="dxa"/>
          </w:tcPr>
          <w:p w14:paraId="571E84FF" w14:textId="708A9929" w:rsidR="001B20CC" w:rsidRPr="00606B13" w:rsidRDefault="006F5BB4"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$3,406.22</w:t>
            </w:r>
          </w:p>
        </w:tc>
      </w:tr>
      <w:tr w:rsidR="001B20CC" w14:paraId="10E2B64A"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3430BE78" w14:textId="08DE6E4A"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4D07CEEB" w14:textId="69291D80" w:rsidR="001B20CC" w:rsidRPr="00606B13" w:rsidRDefault="000473C5"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CERVANTES ALMAZAN BLANCA</w:t>
            </w:r>
          </w:p>
        </w:tc>
        <w:tc>
          <w:tcPr>
            <w:tcW w:w="1845" w:type="dxa"/>
            <w:shd w:val="clear" w:color="auto" w:fill="DEEAF6" w:themeFill="accent5" w:themeFillTint="33"/>
          </w:tcPr>
          <w:p w14:paraId="3F99F898" w14:textId="329D0AE4" w:rsidR="001B20CC" w:rsidRPr="00606B13" w:rsidRDefault="000473C5"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$3,825.34</w:t>
            </w:r>
          </w:p>
        </w:tc>
      </w:tr>
      <w:tr w:rsidR="001B20CC" w14:paraId="7B92F5B1"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591E0609" w14:textId="5839C00F"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6FDA5D36" w14:textId="7C9025D7" w:rsidR="001B20CC" w:rsidRPr="00606B13" w:rsidRDefault="00D6269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RODRIGUEZ CANO MA DOLORES</w:t>
            </w:r>
          </w:p>
        </w:tc>
        <w:tc>
          <w:tcPr>
            <w:tcW w:w="1845" w:type="dxa"/>
          </w:tcPr>
          <w:p w14:paraId="2736C792" w14:textId="1015F424" w:rsidR="001B20CC" w:rsidRPr="00606B13" w:rsidRDefault="00D6269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$3,948.41</w:t>
            </w:r>
          </w:p>
        </w:tc>
      </w:tr>
      <w:tr w:rsidR="001B20CC" w14:paraId="1A574564"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641FE380" w14:textId="3A89DB9D"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3667A434" w14:textId="0E12990E" w:rsidR="001B20CC" w:rsidRPr="00606B13" w:rsidRDefault="00F10359"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BARAJAS GONZALEZ MARIA NANCY</w:t>
            </w:r>
          </w:p>
        </w:tc>
        <w:tc>
          <w:tcPr>
            <w:tcW w:w="1845" w:type="dxa"/>
            <w:shd w:val="clear" w:color="auto" w:fill="DEEAF6" w:themeFill="accent5" w:themeFillTint="33"/>
          </w:tcPr>
          <w:p w14:paraId="41133EA6" w14:textId="5A81AB1A" w:rsidR="001B20CC" w:rsidRPr="00606B13" w:rsidRDefault="00F10359"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$11,857.87</w:t>
            </w:r>
          </w:p>
        </w:tc>
      </w:tr>
      <w:tr w:rsidR="001B20CC" w14:paraId="1FE32865"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45210A29" w14:textId="093D707D"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1F8FA648" w14:textId="7D228C1F" w:rsidR="001B20CC" w:rsidRPr="00606B13" w:rsidRDefault="00B86114"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CRUZ PEREZ SABINA</w:t>
            </w:r>
          </w:p>
        </w:tc>
        <w:tc>
          <w:tcPr>
            <w:tcW w:w="1845" w:type="dxa"/>
          </w:tcPr>
          <w:p w14:paraId="64EAD466" w14:textId="07310A0E" w:rsidR="001B20CC" w:rsidRPr="00606B13" w:rsidRDefault="00B86114"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$3,298.27</w:t>
            </w:r>
          </w:p>
        </w:tc>
      </w:tr>
      <w:tr w:rsidR="001B20CC" w14:paraId="101E4A3C"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057CB194" w14:textId="15110F4E"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1BB53CDB" w14:textId="7FE211B1" w:rsidR="001B20CC" w:rsidRPr="00606B13" w:rsidRDefault="00B86114"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SORIA ORNALES MARIA MAGDALENA</w:t>
            </w:r>
          </w:p>
        </w:tc>
        <w:tc>
          <w:tcPr>
            <w:tcW w:w="1845" w:type="dxa"/>
            <w:shd w:val="clear" w:color="auto" w:fill="DEEAF6" w:themeFill="accent5" w:themeFillTint="33"/>
          </w:tcPr>
          <w:p w14:paraId="12EC58FB" w14:textId="4090A753" w:rsidR="001B20CC" w:rsidRPr="00606B13" w:rsidRDefault="00B86114"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$6,422.85</w:t>
            </w:r>
          </w:p>
        </w:tc>
      </w:tr>
      <w:tr w:rsidR="001B20CC" w14:paraId="79341F7F"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52D90C2B" w14:textId="4A84D709"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6BB4B47F" w14:textId="298B9E17" w:rsidR="001B20CC" w:rsidRPr="00606B13" w:rsidRDefault="00412BE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MORALES REYES MARIA FELIX</w:t>
            </w:r>
          </w:p>
        </w:tc>
        <w:tc>
          <w:tcPr>
            <w:tcW w:w="1845" w:type="dxa"/>
          </w:tcPr>
          <w:p w14:paraId="0E7D550A" w14:textId="4AC6492C" w:rsidR="001B20CC" w:rsidRPr="00606B13" w:rsidRDefault="00412BE5"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$4,535.78</w:t>
            </w:r>
          </w:p>
        </w:tc>
      </w:tr>
      <w:tr w:rsidR="001B20CC" w14:paraId="03F90F67"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7E6DADCB" w14:textId="653A5AD8"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50B14DDD" w14:textId="0756C4A2" w:rsidR="001B20CC" w:rsidRPr="00606B13" w:rsidRDefault="003C7486"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GOMEZ FARIAS JUANA</w:t>
            </w:r>
          </w:p>
        </w:tc>
        <w:tc>
          <w:tcPr>
            <w:tcW w:w="1845" w:type="dxa"/>
            <w:shd w:val="clear" w:color="auto" w:fill="DEEAF6" w:themeFill="accent5" w:themeFillTint="33"/>
          </w:tcPr>
          <w:p w14:paraId="3D0500B6" w14:textId="44A0696A" w:rsidR="001B20CC" w:rsidRPr="00606B13" w:rsidRDefault="003C7486"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$3,235.13</w:t>
            </w:r>
          </w:p>
        </w:tc>
      </w:tr>
      <w:tr w:rsidR="001B20CC" w14:paraId="75AD240E"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B7973BD" w14:textId="2CA34306"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1D59CEB6" w14:textId="3B6BF7D9" w:rsidR="001B20CC" w:rsidRPr="00606B13" w:rsidRDefault="004C0A94"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BARBOSA AMEZCUA JOSE LUIS</w:t>
            </w:r>
          </w:p>
        </w:tc>
        <w:tc>
          <w:tcPr>
            <w:tcW w:w="1845" w:type="dxa"/>
          </w:tcPr>
          <w:p w14:paraId="195BE6AC" w14:textId="0886A9C4" w:rsidR="001B20CC" w:rsidRPr="00606B13" w:rsidRDefault="004C0A94"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$3,491.48</w:t>
            </w:r>
          </w:p>
        </w:tc>
      </w:tr>
      <w:tr w:rsidR="00FC3CAA" w14:paraId="5F4A3B18"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4EE85989" w14:textId="0E4F033E" w:rsidR="001B20CC" w:rsidRPr="00606B13" w:rsidRDefault="001B20CC" w:rsidP="00606B13">
            <w:pPr>
              <w:pStyle w:val="Prrafodelista"/>
              <w:spacing w:line="360" w:lineRule="auto"/>
              <w:ind w:left="0"/>
              <w:rPr>
                <w:i/>
                <w:color w:val="auto"/>
                <w:sz w:val="20"/>
                <w:szCs w:val="20"/>
              </w:rPr>
            </w:pPr>
            <w:r w:rsidRPr="00606B13">
              <w:rPr>
                <w:i/>
                <w:color w:val="auto"/>
                <w:sz w:val="20"/>
                <w:szCs w:val="20"/>
              </w:rPr>
              <w:lastRenderedPageBreak/>
              <w:t>S</w:t>
            </w:r>
            <w:r w:rsidRPr="00606B13">
              <w:rPr>
                <w:i/>
                <w:color w:val="auto"/>
                <w:sz w:val="20"/>
                <w:szCs w:val="20"/>
                <w:shd w:val="clear" w:color="auto" w:fill="DEEAF6" w:themeFill="accent5" w:themeFillTint="33"/>
              </w:rPr>
              <w:t>INDICATO</w:t>
            </w:r>
          </w:p>
        </w:tc>
        <w:tc>
          <w:tcPr>
            <w:tcW w:w="2974" w:type="dxa"/>
          </w:tcPr>
          <w:p w14:paraId="42BFB988" w14:textId="72E932D5" w:rsidR="001B20CC" w:rsidRPr="00606B13" w:rsidRDefault="00335B29"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ESPINOZA SANTIAGO JUAN JOSE</w:t>
            </w:r>
          </w:p>
        </w:tc>
        <w:tc>
          <w:tcPr>
            <w:tcW w:w="1845" w:type="dxa"/>
            <w:shd w:val="clear" w:color="auto" w:fill="DEEAF6" w:themeFill="accent5" w:themeFillTint="33"/>
          </w:tcPr>
          <w:p w14:paraId="503D6B4D" w14:textId="558313EC" w:rsidR="001B20CC" w:rsidRPr="00606B13" w:rsidRDefault="00335B29"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$3,126.41</w:t>
            </w:r>
          </w:p>
        </w:tc>
      </w:tr>
      <w:tr w:rsidR="001B20CC" w14:paraId="28B73C7C"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6328E424" w14:textId="083C0EA2"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32C516F7" w14:textId="41722057" w:rsidR="001B20CC" w:rsidRPr="00606B13" w:rsidRDefault="00D9667D"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MELENDEZ GOMEZ MARCO ANTONIO</w:t>
            </w:r>
          </w:p>
        </w:tc>
        <w:tc>
          <w:tcPr>
            <w:tcW w:w="1845" w:type="dxa"/>
          </w:tcPr>
          <w:p w14:paraId="4E0ECC0F" w14:textId="0E4584BA" w:rsidR="001B20CC" w:rsidRPr="00606B13" w:rsidRDefault="00D9667D"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$4,233.77</w:t>
            </w:r>
          </w:p>
        </w:tc>
      </w:tr>
      <w:tr w:rsidR="001B20CC" w14:paraId="20D6C57D" w14:textId="77777777" w:rsidTr="0060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1EB96287" w14:textId="030A1DAB"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4905A31E" w14:textId="48FC64E9" w:rsidR="001B20CC" w:rsidRPr="00606B13" w:rsidRDefault="00C45B72"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JUAREZ SANCHEZ FRANCISCO JAVIER</w:t>
            </w:r>
          </w:p>
        </w:tc>
        <w:tc>
          <w:tcPr>
            <w:tcW w:w="1845" w:type="dxa"/>
            <w:shd w:val="clear" w:color="auto" w:fill="DEEAF6" w:themeFill="accent5" w:themeFillTint="33"/>
          </w:tcPr>
          <w:p w14:paraId="784F9A13" w14:textId="691D4B69" w:rsidR="001B20CC" w:rsidRPr="00606B13" w:rsidRDefault="00C45B72" w:rsidP="00606B13">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i/>
                <w:color w:val="auto"/>
                <w:sz w:val="20"/>
                <w:szCs w:val="20"/>
              </w:rPr>
            </w:pPr>
            <w:r w:rsidRPr="00606B13">
              <w:rPr>
                <w:i/>
                <w:color w:val="auto"/>
                <w:sz w:val="20"/>
                <w:szCs w:val="20"/>
              </w:rPr>
              <w:t>$3,193.36</w:t>
            </w:r>
          </w:p>
        </w:tc>
      </w:tr>
      <w:tr w:rsidR="001B20CC" w14:paraId="76FF1D15" w14:textId="77777777" w:rsidTr="00606B1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5" w:themeFillTint="33"/>
          </w:tcPr>
          <w:p w14:paraId="625AFEDA" w14:textId="0870DC00" w:rsidR="001B20CC" w:rsidRPr="00606B13" w:rsidRDefault="001B20CC" w:rsidP="00606B13">
            <w:pPr>
              <w:pStyle w:val="Prrafodelista"/>
              <w:spacing w:line="360" w:lineRule="auto"/>
              <w:ind w:left="0"/>
              <w:rPr>
                <w:i/>
                <w:color w:val="auto"/>
                <w:sz w:val="20"/>
                <w:szCs w:val="20"/>
              </w:rPr>
            </w:pPr>
            <w:r w:rsidRPr="00606B13">
              <w:rPr>
                <w:i/>
                <w:color w:val="auto"/>
                <w:sz w:val="20"/>
                <w:szCs w:val="20"/>
              </w:rPr>
              <w:t>SINDICATO</w:t>
            </w:r>
          </w:p>
        </w:tc>
        <w:tc>
          <w:tcPr>
            <w:tcW w:w="2974" w:type="dxa"/>
          </w:tcPr>
          <w:p w14:paraId="57EFD11A" w14:textId="53F1DC0F" w:rsidR="001B20CC" w:rsidRPr="00606B13" w:rsidRDefault="009E5DE0"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CASTRO CORPUS BEATRIZ</w:t>
            </w:r>
          </w:p>
        </w:tc>
        <w:tc>
          <w:tcPr>
            <w:tcW w:w="1845" w:type="dxa"/>
          </w:tcPr>
          <w:p w14:paraId="2635BF78" w14:textId="670BDC0A" w:rsidR="001B20CC" w:rsidRPr="00606B13" w:rsidRDefault="009E5DE0" w:rsidP="00606B13">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i/>
                <w:color w:val="auto"/>
                <w:sz w:val="20"/>
                <w:szCs w:val="20"/>
              </w:rPr>
            </w:pPr>
            <w:r w:rsidRPr="00606B13">
              <w:rPr>
                <w:i/>
                <w:color w:val="auto"/>
                <w:sz w:val="20"/>
                <w:szCs w:val="20"/>
              </w:rPr>
              <w:t>$5,629.86</w:t>
            </w:r>
          </w:p>
        </w:tc>
      </w:tr>
    </w:tbl>
    <w:p w14:paraId="76A54CCF" w14:textId="77777777" w:rsidR="00FF6B14" w:rsidRDefault="00FF6B14" w:rsidP="00606B13">
      <w:pPr>
        <w:pStyle w:val="Prrafodelista"/>
        <w:spacing w:after="0" w:line="360" w:lineRule="auto"/>
        <w:ind w:left="1080"/>
        <w:rPr>
          <w:i/>
          <w:color w:val="auto"/>
          <w:sz w:val="20"/>
          <w:szCs w:val="20"/>
        </w:rPr>
      </w:pPr>
    </w:p>
    <w:p w14:paraId="640CD1EF" w14:textId="11AACD81" w:rsidR="00AB6A25" w:rsidRPr="00FF6B14" w:rsidRDefault="00AB6A25" w:rsidP="00606B13">
      <w:pPr>
        <w:pStyle w:val="Prrafodelista"/>
        <w:spacing w:after="0" w:line="360" w:lineRule="auto"/>
        <w:ind w:left="1080"/>
        <w:rPr>
          <w:i/>
          <w:color w:val="auto"/>
          <w:sz w:val="20"/>
          <w:szCs w:val="20"/>
        </w:rPr>
      </w:pPr>
      <w:r>
        <w:rPr>
          <w:i/>
          <w:color w:val="auto"/>
          <w:sz w:val="20"/>
          <w:szCs w:val="20"/>
        </w:rPr>
        <w:t>A su vez solicito su apoyo a fin de que la información en mención sea revisada y valorada por personal a su digno cargo…”</w:t>
      </w:r>
    </w:p>
    <w:p w14:paraId="5D86B425" w14:textId="77777777" w:rsidR="009D5D1E" w:rsidRPr="00FD7B59" w:rsidRDefault="009D5D1E" w:rsidP="00606B13">
      <w:pPr>
        <w:spacing w:after="0" w:line="360" w:lineRule="auto"/>
        <w:rPr>
          <w:color w:val="FF0000"/>
        </w:rPr>
      </w:pPr>
    </w:p>
    <w:p w14:paraId="0FAC075F" w14:textId="652CF9C0" w:rsidR="009D5D1E" w:rsidRPr="00606B13" w:rsidRDefault="00606B13" w:rsidP="00606B13">
      <w:pPr>
        <w:spacing w:after="0" w:line="360" w:lineRule="auto"/>
        <w:rPr>
          <w:color w:val="auto"/>
        </w:rPr>
      </w:pPr>
      <w:r>
        <w:rPr>
          <w:color w:val="auto"/>
        </w:rPr>
        <w:t xml:space="preserve">ii) </w:t>
      </w:r>
      <w:r w:rsidR="005D60B8" w:rsidRPr="00606B13">
        <w:rPr>
          <w:color w:val="auto"/>
        </w:rPr>
        <w:t xml:space="preserve">Escrito de fecha once de marzo de dos mil veinticinco, suscrito por la Coordinadora de Transparencia y Protección de Datos Personales Adscrita a la Dirección Jurídica del H. Ayuntamiento de Coacalco de Berriozábal, dirigido al Solicitante, por medio del cual se menciona lo siguiente: </w:t>
      </w:r>
    </w:p>
    <w:p w14:paraId="2627EF3C" w14:textId="77777777" w:rsidR="00F01E67" w:rsidRPr="005A132F" w:rsidRDefault="00F01E67" w:rsidP="00606B13">
      <w:pPr>
        <w:pStyle w:val="Prrafodelista"/>
        <w:spacing w:after="0" w:line="360" w:lineRule="auto"/>
        <w:ind w:left="1080"/>
        <w:rPr>
          <w:color w:val="auto"/>
        </w:rPr>
      </w:pPr>
    </w:p>
    <w:p w14:paraId="77BD967A" w14:textId="0FA58FED" w:rsidR="007230A0" w:rsidRPr="00C36DE5" w:rsidRDefault="006C4BD6" w:rsidP="00606B13">
      <w:pPr>
        <w:spacing w:after="0" w:line="360" w:lineRule="auto"/>
        <w:ind w:left="567" w:right="567"/>
        <w:rPr>
          <w:i/>
          <w:color w:val="auto"/>
          <w:sz w:val="20"/>
          <w:szCs w:val="20"/>
        </w:rPr>
      </w:pPr>
      <w:r w:rsidRPr="00C36DE5">
        <w:rPr>
          <w:i/>
          <w:color w:val="auto"/>
          <w:sz w:val="20"/>
          <w:szCs w:val="20"/>
        </w:rPr>
        <w:t>“…</w:t>
      </w:r>
      <w:r w:rsidR="00F01E67" w:rsidRPr="00C36DE5">
        <w:rPr>
          <w:i/>
          <w:color w:val="auto"/>
          <w:sz w:val="20"/>
          <w:szCs w:val="20"/>
        </w:rPr>
        <w:t>En ese orden de ideas y atención a las atribuciones conferidas en el Bando Municipal de Coacalco de Berriozábal, su solicitud fue turnada a la siguiente área:</w:t>
      </w:r>
    </w:p>
    <w:p w14:paraId="115B30CF" w14:textId="77777777" w:rsidR="00F01E67" w:rsidRPr="00C36DE5" w:rsidRDefault="00F01E67" w:rsidP="00606B13">
      <w:pPr>
        <w:spacing w:after="0" w:line="360" w:lineRule="auto"/>
        <w:ind w:left="567" w:right="567"/>
        <w:rPr>
          <w:i/>
          <w:color w:val="auto"/>
          <w:sz w:val="20"/>
          <w:szCs w:val="20"/>
        </w:rPr>
      </w:pPr>
    </w:p>
    <w:p w14:paraId="6405F6F7" w14:textId="2F571CC7" w:rsidR="00F01E67" w:rsidRPr="00C36DE5" w:rsidRDefault="00F01E67" w:rsidP="00606B13">
      <w:pPr>
        <w:pStyle w:val="Prrafodelista"/>
        <w:numPr>
          <w:ilvl w:val="0"/>
          <w:numId w:val="17"/>
        </w:numPr>
        <w:spacing w:after="0" w:line="360" w:lineRule="auto"/>
        <w:ind w:left="993" w:right="567"/>
        <w:rPr>
          <w:i/>
          <w:color w:val="auto"/>
          <w:sz w:val="20"/>
          <w:szCs w:val="20"/>
        </w:rPr>
      </w:pPr>
      <w:r w:rsidRPr="00C36DE5">
        <w:rPr>
          <w:i/>
          <w:color w:val="auto"/>
          <w:sz w:val="20"/>
          <w:szCs w:val="20"/>
        </w:rPr>
        <w:t>DIRECCIÓN DE ADMINISTRACIÓN.</w:t>
      </w:r>
    </w:p>
    <w:p w14:paraId="726C1CFC" w14:textId="0DF2AEEA" w:rsidR="00F01E67" w:rsidRPr="00C36DE5" w:rsidRDefault="00F01E67" w:rsidP="00606B13">
      <w:pPr>
        <w:pStyle w:val="Prrafodelista"/>
        <w:spacing w:after="0" w:line="360" w:lineRule="auto"/>
        <w:ind w:left="567" w:right="567"/>
        <w:rPr>
          <w:i/>
          <w:color w:val="auto"/>
          <w:sz w:val="20"/>
          <w:szCs w:val="20"/>
        </w:rPr>
      </w:pPr>
    </w:p>
    <w:p w14:paraId="3BF7C806" w14:textId="438146F1" w:rsidR="00F01E67" w:rsidRPr="00C36DE5" w:rsidRDefault="00F01E67" w:rsidP="00606B13">
      <w:pPr>
        <w:pStyle w:val="Prrafodelista"/>
        <w:spacing w:after="0" w:line="360" w:lineRule="auto"/>
        <w:ind w:left="567" w:right="567"/>
        <w:rPr>
          <w:b/>
          <w:i/>
          <w:color w:val="auto"/>
          <w:sz w:val="20"/>
          <w:szCs w:val="20"/>
        </w:rPr>
      </w:pPr>
      <w:r w:rsidRPr="00C36DE5">
        <w:rPr>
          <w:b/>
          <w:i/>
          <w:color w:val="auto"/>
          <w:sz w:val="20"/>
          <w:szCs w:val="20"/>
        </w:rPr>
        <w:t>RESPUESTA AL SERVIDOR PÚBLICO HABILITADO</w:t>
      </w:r>
    </w:p>
    <w:p w14:paraId="322D0F17" w14:textId="69E08A3F" w:rsidR="00F01E67" w:rsidRDefault="00F01E67" w:rsidP="00606B13">
      <w:pPr>
        <w:pStyle w:val="Prrafodelista"/>
        <w:numPr>
          <w:ilvl w:val="0"/>
          <w:numId w:val="18"/>
        </w:numPr>
        <w:spacing w:after="0" w:line="360" w:lineRule="auto"/>
        <w:ind w:left="993" w:right="567"/>
        <w:rPr>
          <w:i/>
          <w:color w:val="auto"/>
          <w:sz w:val="20"/>
          <w:szCs w:val="20"/>
        </w:rPr>
      </w:pPr>
      <w:r w:rsidRPr="00C36DE5">
        <w:rPr>
          <w:i/>
          <w:color w:val="auto"/>
          <w:sz w:val="20"/>
          <w:szCs w:val="20"/>
        </w:rPr>
        <w:t xml:space="preserve">La servidora pública habilitada de la Dirección de Administración remite su respuesta por medio del oficio DA/338/2025. </w:t>
      </w:r>
    </w:p>
    <w:p w14:paraId="74B38DC9" w14:textId="1439B120" w:rsidR="00C63985" w:rsidRDefault="00C36DE5" w:rsidP="00606B13">
      <w:pPr>
        <w:spacing w:after="0" w:line="360" w:lineRule="auto"/>
        <w:ind w:left="567" w:right="567"/>
        <w:rPr>
          <w:i/>
          <w:color w:val="auto"/>
          <w:sz w:val="20"/>
          <w:szCs w:val="20"/>
        </w:rPr>
      </w:pPr>
      <w:r>
        <w:rPr>
          <w:i/>
          <w:color w:val="auto"/>
          <w:sz w:val="20"/>
          <w:szCs w:val="20"/>
        </w:rPr>
        <w:t>…”</w:t>
      </w:r>
    </w:p>
    <w:p w14:paraId="1490B313" w14:textId="77777777" w:rsidR="00606B13" w:rsidRPr="006B793E" w:rsidRDefault="00606B13" w:rsidP="00606B13">
      <w:pPr>
        <w:spacing w:after="0" w:line="360" w:lineRule="auto"/>
        <w:ind w:left="567" w:right="567"/>
        <w:rPr>
          <w:i/>
          <w:color w:val="auto"/>
          <w:sz w:val="20"/>
          <w:szCs w:val="20"/>
        </w:rPr>
      </w:pPr>
    </w:p>
    <w:p w14:paraId="3F42CC25" w14:textId="77777777" w:rsidR="007230A0" w:rsidRPr="005232C4" w:rsidRDefault="00422CDE" w:rsidP="00606B13">
      <w:pPr>
        <w:pStyle w:val="Ttulo1"/>
        <w:keepNext w:val="0"/>
        <w:keepLines w:val="0"/>
        <w:spacing w:before="0" w:after="0" w:line="360" w:lineRule="auto"/>
        <w:rPr>
          <w:sz w:val="22"/>
          <w:szCs w:val="22"/>
        </w:rPr>
      </w:pPr>
      <w:bookmarkStart w:id="10" w:name="_Toc194413666"/>
      <w:bookmarkStart w:id="11" w:name="_Toc195200977"/>
      <w:r w:rsidRPr="005232C4">
        <w:rPr>
          <w:sz w:val="22"/>
          <w:szCs w:val="22"/>
        </w:rPr>
        <w:t>III. Interposición del Recurso de Revisión</w:t>
      </w:r>
      <w:bookmarkEnd w:id="10"/>
      <w:bookmarkEnd w:id="11"/>
    </w:p>
    <w:p w14:paraId="009E6ACE" w14:textId="77777777" w:rsidR="007230A0" w:rsidRPr="006B793E" w:rsidRDefault="007230A0" w:rsidP="00606B13">
      <w:pPr>
        <w:spacing w:after="0" w:line="360" w:lineRule="auto"/>
        <w:rPr>
          <w:color w:val="auto"/>
        </w:rPr>
      </w:pPr>
    </w:p>
    <w:p w14:paraId="58741FA0" w14:textId="338AE0F0" w:rsidR="007230A0" w:rsidRPr="006B793E" w:rsidRDefault="00C63985" w:rsidP="00606B13">
      <w:pPr>
        <w:spacing w:after="0" w:line="360" w:lineRule="auto"/>
        <w:rPr>
          <w:color w:val="auto"/>
        </w:rPr>
      </w:pPr>
      <w:r w:rsidRPr="006B793E">
        <w:rPr>
          <w:color w:val="auto"/>
        </w:rPr>
        <w:lastRenderedPageBreak/>
        <w:t xml:space="preserve">El </w:t>
      </w:r>
      <w:r w:rsidR="006B793E" w:rsidRPr="006B793E">
        <w:rPr>
          <w:color w:val="auto"/>
        </w:rPr>
        <w:t xml:space="preserve">once de marzo de dos mil veinticinco, </w:t>
      </w:r>
      <w:r w:rsidR="00422CDE" w:rsidRPr="006B793E">
        <w:rPr>
          <w:color w:val="auto"/>
        </w:rPr>
        <w:t>se recibió en este Instituto, a través del Sistema de Acceso a la Información Mexiquense (SAIMEX), el Recurso de Revisión interpuesto por la persona Recurrente, en contra de la respuesta del Sujeto Obligado,</w:t>
      </w:r>
      <w:r w:rsidR="00422CDE" w:rsidRPr="006B793E">
        <w:rPr>
          <w:b/>
          <w:color w:val="auto"/>
        </w:rPr>
        <w:t xml:space="preserve"> </w:t>
      </w:r>
      <w:r w:rsidR="00422CDE" w:rsidRPr="006B793E">
        <w:rPr>
          <w:color w:val="auto"/>
        </w:rPr>
        <w:t>en los siguientes términos:</w:t>
      </w:r>
    </w:p>
    <w:p w14:paraId="79EE1F34" w14:textId="77777777" w:rsidR="007230A0" w:rsidRPr="00FD7B59" w:rsidRDefault="007230A0" w:rsidP="00606B13">
      <w:pPr>
        <w:spacing w:after="0" w:line="360" w:lineRule="auto"/>
        <w:rPr>
          <w:color w:val="FF0000"/>
        </w:rPr>
      </w:pPr>
    </w:p>
    <w:p w14:paraId="31FB3C12" w14:textId="77777777" w:rsidR="007230A0" w:rsidRPr="00AA0298" w:rsidRDefault="00422CDE" w:rsidP="00606B13">
      <w:pPr>
        <w:spacing w:after="0" w:line="360" w:lineRule="auto"/>
        <w:ind w:left="567" w:right="567"/>
        <w:rPr>
          <w:b/>
          <w:i/>
          <w:color w:val="auto"/>
          <w:sz w:val="20"/>
          <w:szCs w:val="20"/>
        </w:rPr>
      </w:pPr>
      <w:r w:rsidRPr="00AA0298">
        <w:rPr>
          <w:b/>
          <w:i/>
          <w:color w:val="auto"/>
          <w:sz w:val="20"/>
          <w:szCs w:val="20"/>
        </w:rPr>
        <w:t>ACTO IMPUGNADO</w:t>
      </w:r>
    </w:p>
    <w:p w14:paraId="2826A812" w14:textId="77777777" w:rsidR="00AA0298" w:rsidRPr="00AA0298" w:rsidRDefault="00AA0298" w:rsidP="00606B13">
      <w:pPr>
        <w:spacing w:after="0" w:line="360" w:lineRule="auto"/>
        <w:ind w:left="567" w:right="567"/>
        <w:rPr>
          <w:i/>
          <w:color w:val="auto"/>
          <w:sz w:val="20"/>
          <w:szCs w:val="20"/>
        </w:rPr>
      </w:pPr>
      <w:r w:rsidRPr="00AA0298">
        <w:rPr>
          <w:i/>
          <w:color w:val="auto"/>
          <w:sz w:val="20"/>
          <w:szCs w:val="20"/>
        </w:rPr>
        <w:t>no esta completa la información” (Sic)</w:t>
      </w:r>
    </w:p>
    <w:p w14:paraId="395152DB" w14:textId="77777777" w:rsidR="007230A0" w:rsidRPr="00AA0298" w:rsidRDefault="007230A0" w:rsidP="00606B13">
      <w:pPr>
        <w:spacing w:after="0" w:line="360" w:lineRule="auto"/>
        <w:ind w:left="567" w:right="567"/>
        <w:rPr>
          <w:i/>
          <w:color w:val="auto"/>
          <w:sz w:val="20"/>
          <w:szCs w:val="20"/>
        </w:rPr>
      </w:pPr>
    </w:p>
    <w:p w14:paraId="7FE46309" w14:textId="77777777" w:rsidR="007230A0" w:rsidRPr="00AA0298" w:rsidRDefault="00422CDE" w:rsidP="00606B13">
      <w:pPr>
        <w:spacing w:after="0" w:line="360" w:lineRule="auto"/>
        <w:ind w:left="567" w:right="567"/>
        <w:rPr>
          <w:b/>
          <w:i/>
          <w:color w:val="auto"/>
          <w:sz w:val="20"/>
          <w:szCs w:val="20"/>
        </w:rPr>
      </w:pPr>
      <w:r w:rsidRPr="00AA0298">
        <w:rPr>
          <w:b/>
          <w:i/>
          <w:color w:val="auto"/>
          <w:sz w:val="20"/>
          <w:szCs w:val="20"/>
        </w:rPr>
        <w:t>RAZONES O MOTIVOS DE LA INCONFORMIDAD</w:t>
      </w:r>
    </w:p>
    <w:p w14:paraId="6E0A732F" w14:textId="49A2BE8E" w:rsidR="00AA0298" w:rsidRDefault="00AA0298" w:rsidP="00606B13">
      <w:pPr>
        <w:spacing w:after="0" w:line="360" w:lineRule="auto"/>
        <w:ind w:left="567" w:right="567"/>
        <w:rPr>
          <w:i/>
          <w:color w:val="auto"/>
          <w:sz w:val="20"/>
          <w:szCs w:val="20"/>
        </w:rPr>
      </w:pPr>
      <w:r w:rsidRPr="00AA0298">
        <w:rPr>
          <w:i/>
          <w:color w:val="auto"/>
          <w:sz w:val="20"/>
          <w:szCs w:val="20"/>
        </w:rPr>
        <w:t>no est</w:t>
      </w:r>
      <w:r w:rsidR="0086076C">
        <w:rPr>
          <w:i/>
          <w:color w:val="auto"/>
          <w:sz w:val="20"/>
          <w:szCs w:val="20"/>
        </w:rPr>
        <w:t>a completa la información” (Sic)</w:t>
      </w:r>
    </w:p>
    <w:p w14:paraId="0D8C3E85" w14:textId="77777777" w:rsidR="00606B13" w:rsidRDefault="00606B13" w:rsidP="00606B13">
      <w:pPr>
        <w:spacing w:after="0" w:line="360" w:lineRule="auto"/>
        <w:ind w:left="567" w:right="567"/>
        <w:rPr>
          <w:i/>
          <w:color w:val="auto"/>
          <w:sz w:val="20"/>
          <w:szCs w:val="20"/>
        </w:rPr>
      </w:pPr>
    </w:p>
    <w:p w14:paraId="7B2F5D66" w14:textId="28AC1439" w:rsidR="007230A0" w:rsidRDefault="00422CDE" w:rsidP="00606B13">
      <w:pPr>
        <w:pStyle w:val="Ttulo1"/>
        <w:keepNext w:val="0"/>
        <w:keepLines w:val="0"/>
        <w:spacing w:before="0" w:after="0" w:line="360" w:lineRule="auto"/>
        <w:rPr>
          <w:color w:val="auto"/>
          <w:sz w:val="22"/>
          <w:szCs w:val="22"/>
        </w:rPr>
      </w:pPr>
      <w:bookmarkStart w:id="12" w:name="_Toc194413667"/>
      <w:bookmarkStart w:id="13" w:name="_Toc195200978"/>
      <w:r w:rsidRPr="0086076C">
        <w:rPr>
          <w:color w:val="auto"/>
          <w:sz w:val="22"/>
          <w:szCs w:val="22"/>
        </w:rPr>
        <w:t>IV. Trámite del Recurso de Revisión ante este Instituto</w:t>
      </w:r>
      <w:bookmarkEnd w:id="12"/>
      <w:bookmarkEnd w:id="13"/>
    </w:p>
    <w:p w14:paraId="0B04B894" w14:textId="77777777" w:rsidR="00606B13" w:rsidRPr="00606B13" w:rsidRDefault="00606B13" w:rsidP="00606B13"/>
    <w:p w14:paraId="3BDB0AD4" w14:textId="3E31B0AB" w:rsidR="007230A0" w:rsidRDefault="00422CDE" w:rsidP="00606B13">
      <w:pPr>
        <w:pStyle w:val="Ttulo2"/>
        <w:keepNext w:val="0"/>
        <w:keepLines w:val="0"/>
        <w:spacing w:before="0" w:after="0" w:line="360" w:lineRule="auto"/>
        <w:rPr>
          <w:b w:val="0"/>
          <w:sz w:val="22"/>
          <w:szCs w:val="22"/>
        </w:rPr>
      </w:pPr>
      <w:bookmarkStart w:id="14" w:name="_Toc194413668"/>
      <w:bookmarkStart w:id="15" w:name="_Toc195200867"/>
      <w:bookmarkStart w:id="16" w:name="_Toc195200925"/>
      <w:bookmarkStart w:id="17" w:name="_Toc195200979"/>
      <w:r w:rsidRPr="00383ED8">
        <w:rPr>
          <w:sz w:val="22"/>
          <w:szCs w:val="22"/>
        </w:rPr>
        <w:t xml:space="preserve">a) Turno del Medio de Impugnación. </w:t>
      </w:r>
      <w:r w:rsidR="005827DC" w:rsidRPr="00383ED8">
        <w:rPr>
          <w:b w:val="0"/>
          <w:sz w:val="22"/>
          <w:szCs w:val="22"/>
        </w:rPr>
        <w:t xml:space="preserve">El </w:t>
      </w:r>
      <w:r w:rsidR="00C858BB" w:rsidRPr="00383ED8">
        <w:rPr>
          <w:b w:val="0"/>
          <w:sz w:val="22"/>
          <w:szCs w:val="22"/>
        </w:rPr>
        <w:t xml:space="preserve">once de marzo de dos mil veinticinco, </w:t>
      </w:r>
      <w:r w:rsidRPr="00383ED8">
        <w:rPr>
          <w:b w:val="0"/>
          <w:sz w:val="22"/>
          <w:szCs w:val="22"/>
        </w:rPr>
        <w:t xml:space="preserve">el Sistema de Acceso a la Información Mexiquense (SAIMEX), asignó el número de expediente </w:t>
      </w:r>
      <w:r w:rsidR="00C858BB" w:rsidRPr="00383ED8">
        <w:rPr>
          <w:b w:val="0"/>
          <w:sz w:val="22"/>
          <w:szCs w:val="22"/>
        </w:rPr>
        <w:t>02791/INFOEM/IP/RR/2025</w:t>
      </w:r>
      <w:r w:rsidRPr="00383ED8">
        <w:rPr>
          <w:b w:val="0"/>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bookmarkEnd w:id="14"/>
      <w:bookmarkEnd w:id="15"/>
      <w:bookmarkEnd w:id="16"/>
      <w:bookmarkEnd w:id="17"/>
    </w:p>
    <w:p w14:paraId="5C2043CA" w14:textId="77777777" w:rsidR="00606B13" w:rsidRPr="00606B13" w:rsidRDefault="00606B13" w:rsidP="00606B13"/>
    <w:p w14:paraId="43709789" w14:textId="66F9CC43" w:rsidR="007230A0" w:rsidRDefault="00422CDE" w:rsidP="00606B13">
      <w:pPr>
        <w:pStyle w:val="Ttulo2"/>
        <w:keepNext w:val="0"/>
        <w:keepLines w:val="0"/>
        <w:spacing w:before="0" w:after="0" w:line="360" w:lineRule="auto"/>
        <w:rPr>
          <w:color w:val="auto"/>
        </w:rPr>
      </w:pPr>
      <w:bookmarkStart w:id="18" w:name="_Toc194413669"/>
      <w:bookmarkStart w:id="19" w:name="_Toc195200868"/>
      <w:bookmarkStart w:id="20" w:name="_Toc195200926"/>
      <w:bookmarkStart w:id="21" w:name="_Toc195200980"/>
      <w:r w:rsidRPr="00383ED8">
        <w:rPr>
          <w:sz w:val="22"/>
          <w:szCs w:val="22"/>
        </w:rPr>
        <w:t xml:space="preserve">b) Admisión del Recurso de Revisión. </w:t>
      </w:r>
      <w:r w:rsidRPr="00383ED8">
        <w:rPr>
          <w:b w:val="0"/>
          <w:sz w:val="22"/>
          <w:szCs w:val="22"/>
        </w:rPr>
        <w:t xml:space="preserve">El </w:t>
      </w:r>
      <w:r w:rsidR="00C858BB" w:rsidRPr="00383ED8">
        <w:rPr>
          <w:b w:val="0"/>
          <w:sz w:val="22"/>
          <w:szCs w:val="22"/>
        </w:rPr>
        <w:t xml:space="preserve">catorce de marzo de dos mil veinticinco, </w:t>
      </w:r>
      <w:r w:rsidRPr="00383ED8">
        <w:rPr>
          <w:b w:val="0"/>
          <w:sz w:val="22"/>
          <w:szCs w:val="22"/>
        </w:rPr>
        <w:t xml:space="preserve">se acordó la admisión del Recurso de Revisión interpuesto por la persona Recurrente en contra del Sujeto Obligado, en términos del artículo 185, fracciones I y II de la Ley de Transparencia y Acceso a la Información Pública del Estado de México y Municipios, el cual fue </w:t>
      </w:r>
      <w:r w:rsidR="005827DC" w:rsidRPr="00383ED8">
        <w:rPr>
          <w:b w:val="0"/>
          <w:sz w:val="22"/>
          <w:szCs w:val="22"/>
        </w:rPr>
        <w:t>notificado a las partes el</w:t>
      </w:r>
      <w:r w:rsidR="00C858BB" w:rsidRPr="00383ED8">
        <w:rPr>
          <w:b w:val="0"/>
          <w:sz w:val="22"/>
          <w:szCs w:val="22"/>
        </w:rPr>
        <w:t xml:space="preserve"> mismo día</w:t>
      </w:r>
      <w:r w:rsidRPr="00383ED8">
        <w:rPr>
          <w:b w:val="0"/>
          <w:sz w:val="22"/>
          <w:szCs w:val="22"/>
        </w:rPr>
        <w:t>, a través del Sistema de Acceso a la Información Mexiquense (SAIMEX), en el que se les otorgó un plazo de siete días hábiles posteriores a la misma, para que manifestaran lo que a su derecho conviniera y formularan alegatos.</w:t>
      </w:r>
      <w:bookmarkEnd w:id="18"/>
      <w:bookmarkEnd w:id="19"/>
      <w:bookmarkEnd w:id="20"/>
      <w:bookmarkEnd w:id="21"/>
      <w:r w:rsidRPr="00383ED8">
        <w:rPr>
          <w:sz w:val="22"/>
          <w:szCs w:val="22"/>
        </w:rPr>
        <w:t xml:space="preserve"> </w:t>
      </w:r>
      <w:r w:rsidR="00383ED8">
        <w:rPr>
          <w:color w:val="auto"/>
        </w:rPr>
        <w:tab/>
      </w:r>
    </w:p>
    <w:p w14:paraId="6D452F77" w14:textId="77777777" w:rsidR="00606B13" w:rsidRPr="00606B13" w:rsidRDefault="00606B13" w:rsidP="00606B13"/>
    <w:p w14:paraId="517236FD" w14:textId="77777777" w:rsidR="007230A0" w:rsidRPr="00C858BB" w:rsidRDefault="00422CDE" w:rsidP="00606B13">
      <w:pPr>
        <w:pStyle w:val="Ttulo2"/>
        <w:keepNext w:val="0"/>
        <w:keepLines w:val="0"/>
        <w:spacing w:before="0" w:after="0" w:line="360" w:lineRule="auto"/>
      </w:pPr>
      <w:bookmarkStart w:id="22" w:name="_Toc194413670"/>
      <w:bookmarkStart w:id="23" w:name="_Toc195200869"/>
      <w:bookmarkStart w:id="24" w:name="_Toc195200927"/>
      <w:bookmarkStart w:id="25" w:name="_Toc195200981"/>
      <w:r w:rsidRPr="00383ED8">
        <w:rPr>
          <w:sz w:val="22"/>
          <w:szCs w:val="22"/>
        </w:rPr>
        <w:lastRenderedPageBreak/>
        <w:t xml:space="preserve">c) Informe Justificado o manifestaciones. </w:t>
      </w:r>
      <w:r w:rsidRPr="00383ED8">
        <w:rPr>
          <w:b w:val="0"/>
          <w:sz w:val="22"/>
          <w:szCs w:val="22"/>
        </w:rPr>
        <w:t>Las partes fueron omisas en emitir manifestaciones o alegatos.</w:t>
      </w:r>
      <w:bookmarkEnd w:id="22"/>
      <w:bookmarkEnd w:id="23"/>
      <w:bookmarkEnd w:id="24"/>
      <w:bookmarkEnd w:id="25"/>
    </w:p>
    <w:p w14:paraId="25B4680C" w14:textId="77777777" w:rsidR="007230A0" w:rsidRPr="00FD7B59" w:rsidRDefault="007230A0" w:rsidP="00606B13">
      <w:pPr>
        <w:spacing w:after="0" w:line="360" w:lineRule="auto"/>
        <w:rPr>
          <w:color w:val="FF0000"/>
        </w:rPr>
      </w:pPr>
    </w:p>
    <w:p w14:paraId="15084990" w14:textId="3CB418FF" w:rsidR="007230A0" w:rsidRPr="00270143" w:rsidRDefault="00270143" w:rsidP="00606B13">
      <w:pPr>
        <w:pStyle w:val="Ttulo2"/>
        <w:keepNext w:val="0"/>
        <w:keepLines w:val="0"/>
        <w:spacing w:before="0" w:after="0" w:line="360" w:lineRule="auto"/>
      </w:pPr>
      <w:bookmarkStart w:id="26" w:name="_Toc194413671"/>
      <w:bookmarkStart w:id="27" w:name="_Toc195200870"/>
      <w:bookmarkStart w:id="28" w:name="_Toc195200928"/>
      <w:bookmarkStart w:id="29" w:name="_Toc195200982"/>
      <w:r w:rsidRPr="002756A3">
        <w:rPr>
          <w:sz w:val="22"/>
          <w:szCs w:val="22"/>
        </w:rPr>
        <w:t>d</w:t>
      </w:r>
      <w:r w:rsidR="00422CDE" w:rsidRPr="002756A3">
        <w:rPr>
          <w:sz w:val="22"/>
          <w:szCs w:val="22"/>
        </w:rPr>
        <w:t>) Cierre de instrucción.</w:t>
      </w:r>
      <w:r w:rsidR="00422CDE" w:rsidRPr="00383ED8">
        <w:rPr>
          <w:b w:val="0"/>
          <w:sz w:val="22"/>
          <w:szCs w:val="22"/>
        </w:rPr>
        <w:t xml:space="preserve"> El</w:t>
      </w:r>
      <w:r w:rsidR="00C858BB" w:rsidRPr="00383ED8">
        <w:rPr>
          <w:b w:val="0"/>
          <w:sz w:val="22"/>
          <w:szCs w:val="22"/>
        </w:rPr>
        <w:t xml:space="preserve"> primero de abril de dos mil veinticuatro</w:t>
      </w:r>
      <w:r w:rsidR="00422CDE" w:rsidRPr="00383ED8">
        <w:rPr>
          <w:b w:val="0"/>
          <w:sz w:val="22"/>
          <w:szCs w:val="22"/>
        </w:rPr>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w:t>
      </w:r>
      <w:bookmarkEnd w:id="26"/>
      <w:bookmarkEnd w:id="27"/>
      <w:bookmarkEnd w:id="28"/>
      <w:bookmarkEnd w:id="29"/>
      <w:r w:rsidR="00422CDE" w:rsidRPr="00383ED8">
        <w:rPr>
          <w:b w:val="0"/>
          <w:sz w:val="22"/>
          <w:szCs w:val="22"/>
        </w:rPr>
        <w:t xml:space="preserve"> </w:t>
      </w:r>
    </w:p>
    <w:p w14:paraId="79FACB70" w14:textId="77777777" w:rsidR="007230A0" w:rsidRPr="00270143" w:rsidRDefault="007230A0" w:rsidP="00606B13">
      <w:pPr>
        <w:spacing w:after="0" w:line="360" w:lineRule="auto"/>
        <w:rPr>
          <w:color w:val="auto"/>
        </w:rPr>
      </w:pPr>
    </w:p>
    <w:p w14:paraId="40B30772" w14:textId="4C78B70D" w:rsidR="007230A0" w:rsidRDefault="00422CDE" w:rsidP="00606B13">
      <w:pPr>
        <w:spacing w:after="0" w:line="360" w:lineRule="auto"/>
        <w:rPr>
          <w:color w:val="auto"/>
        </w:rPr>
      </w:pPr>
      <w:r w:rsidRPr="00270143">
        <w:rPr>
          <w:color w:val="auto"/>
        </w:rPr>
        <w:t>En razón de que fue debidamente sustanciado e integrado el expediente electrónico y no existe diligencia pendiente de desahogo, se emite la resolución que conforme a Derecho proceda, de acuerdo a los siguientes:</w:t>
      </w:r>
    </w:p>
    <w:p w14:paraId="46805412" w14:textId="77777777" w:rsidR="00606B13" w:rsidRPr="009E7BE3" w:rsidRDefault="00606B13" w:rsidP="00606B13">
      <w:pPr>
        <w:spacing w:after="0" w:line="360" w:lineRule="auto"/>
        <w:rPr>
          <w:color w:val="auto"/>
        </w:rPr>
      </w:pPr>
    </w:p>
    <w:p w14:paraId="156BA0F9" w14:textId="1C2514F4" w:rsidR="007230A0" w:rsidRDefault="00D91296" w:rsidP="00606B13">
      <w:pPr>
        <w:pStyle w:val="Ttulo1"/>
        <w:keepNext w:val="0"/>
        <w:keepLines w:val="0"/>
        <w:spacing w:before="0" w:after="0" w:line="360" w:lineRule="auto"/>
        <w:jc w:val="center"/>
        <w:rPr>
          <w:color w:val="auto"/>
          <w:sz w:val="22"/>
          <w:szCs w:val="22"/>
        </w:rPr>
      </w:pPr>
      <w:bookmarkStart w:id="30" w:name="_Toc194413672"/>
      <w:bookmarkStart w:id="31" w:name="_Toc195200983"/>
      <w:r w:rsidRPr="009E7BE3">
        <w:rPr>
          <w:color w:val="auto"/>
          <w:sz w:val="22"/>
          <w:szCs w:val="22"/>
        </w:rPr>
        <w:t>C O N S I D E R A N D O S</w:t>
      </w:r>
      <w:bookmarkEnd w:id="30"/>
      <w:bookmarkEnd w:id="31"/>
    </w:p>
    <w:p w14:paraId="75938D3E" w14:textId="77777777" w:rsidR="00606B13" w:rsidRPr="00606B13" w:rsidRDefault="00606B13" w:rsidP="00606B13"/>
    <w:p w14:paraId="5D0B2FB2" w14:textId="72618241" w:rsidR="007230A0" w:rsidRPr="009E7BE3" w:rsidRDefault="00422CDE" w:rsidP="00606B13">
      <w:pPr>
        <w:pStyle w:val="Ttulo1"/>
        <w:keepNext w:val="0"/>
        <w:keepLines w:val="0"/>
        <w:spacing w:before="0" w:after="0" w:line="360" w:lineRule="auto"/>
        <w:rPr>
          <w:color w:val="auto"/>
          <w:sz w:val="22"/>
          <w:szCs w:val="22"/>
        </w:rPr>
      </w:pPr>
      <w:bookmarkStart w:id="32" w:name="_Toc194413673"/>
      <w:bookmarkStart w:id="33" w:name="_Toc195200984"/>
      <w:r w:rsidRPr="009E7BE3">
        <w:rPr>
          <w:color w:val="auto"/>
          <w:sz w:val="22"/>
          <w:szCs w:val="22"/>
        </w:rPr>
        <w:t xml:space="preserve">PRIMERO. </w:t>
      </w:r>
      <w:r w:rsidR="00D91296" w:rsidRPr="009E7BE3">
        <w:rPr>
          <w:color w:val="auto"/>
          <w:sz w:val="22"/>
          <w:szCs w:val="22"/>
        </w:rPr>
        <w:t>Competencia</w:t>
      </w:r>
      <w:bookmarkEnd w:id="32"/>
      <w:bookmarkEnd w:id="33"/>
    </w:p>
    <w:p w14:paraId="1131A532" w14:textId="77777777" w:rsidR="007230A0" w:rsidRPr="00270143" w:rsidRDefault="007230A0" w:rsidP="00606B13">
      <w:pPr>
        <w:spacing w:after="0" w:line="360" w:lineRule="auto"/>
        <w:rPr>
          <w:b/>
          <w:color w:val="auto"/>
        </w:rPr>
      </w:pPr>
    </w:p>
    <w:p w14:paraId="3341D71B" w14:textId="673ECB56" w:rsidR="007230A0" w:rsidRDefault="00422CDE" w:rsidP="00606B13">
      <w:pPr>
        <w:spacing w:after="0" w:line="360" w:lineRule="auto"/>
        <w:rPr>
          <w:color w:val="auto"/>
        </w:rPr>
      </w:pPr>
      <w:bookmarkStart w:id="34" w:name="_heading=h.3znysh7" w:colFirst="0" w:colLast="0"/>
      <w:bookmarkEnd w:id="34"/>
      <w:r w:rsidRPr="00270143">
        <w:rPr>
          <w:color w:val="auto"/>
        </w:rPr>
        <w:t xml:space="preserve">El Instituto de Transparencia, Acceso a la Información Pública y Protección de Datos Personales del Estado de México y Municipios, es competente para conocer y resolver el presente recurso de revisión interpuesto por la persona recurrente, conforme </w:t>
      </w:r>
      <w:r w:rsidR="00270143">
        <w:rPr>
          <w:color w:val="auto"/>
        </w:rPr>
        <w:t xml:space="preserve">a lo dispuesto en los artículos; </w:t>
      </w:r>
      <w:r w:rsidRPr="00270143">
        <w:rPr>
          <w:color w:val="auto"/>
        </w:rPr>
        <w:t xml:space="preserve">5°, párrafos trigésimo </w:t>
      </w:r>
      <w:r w:rsidR="00606B13">
        <w:rPr>
          <w:color w:val="auto"/>
        </w:rPr>
        <w:t>séptimo</w:t>
      </w:r>
      <w:r w:rsidRPr="00270143">
        <w:rPr>
          <w:color w:val="auto"/>
        </w:rPr>
        <w:t xml:space="preserve">, trigésimo </w:t>
      </w:r>
      <w:r w:rsidR="00606B13">
        <w:rPr>
          <w:color w:val="auto"/>
        </w:rPr>
        <w:t>octavo</w:t>
      </w:r>
      <w:r w:rsidRPr="00270143">
        <w:rPr>
          <w:color w:val="auto"/>
        </w:rPr>
        <w:t xml:space="preserve"> y trigésimo </w:t>
      </w:r>
      <w:r w:rsidR="00606B13">
        <w:rPr>
          <w:color w:val="auto"/>
        </w:rPr>
        <w:t>noveno</w:t>
      </w:r>
      <w:r w:rsidRPr="00270143">
        <w:rPr>
          <w:color w:val="auto"/>
        </w:rPr>
        <w:t xml:space="preserve">,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270143">
        <w:rPr>
          <w:color w:val="auto"/>
        </w:rPr>
        <w:lastRenderedPageBreak/>
        <w:t>Transparencia, Acceso a la Información Pública y Protección de Datos Personales del Estado de México y Municipios.</w:t>
      </w:r>
    </w:p>
    <w:p w14:paraId="287B6E18" w14:textId="77777777" w:rsidR="00606B13" w:rsidRPr="00C064FF" w:rsidRDefault="00606B13" w:rsidP="00606B13">
      <w:pPr>
        <w:spacing w:after="0" w:line="360" w:lineRule="auto"/>
        <w:rPr>
          <w:color w:val="auto"/>
        </w:rPr>
      </w:pPr>
    </w:p>
    <w:p w14:paraId="7FE5E2BF" w14:textId="3C18215C" w:rsidR="007230A0" w:rsidRPr="00C064FF" w:rsidRDefault="00422CDE" w:rsidP="00606B13">
      <w:pPr>
        <w:pStyle w:val="Ttulo1"/>
        <w:keepNext w:val="0"/>
        <w:keepLines w:val="0"/>
        <w:spacing w:before="0" w:after="0" w:line="360" w:lineRule="auto"/>
        <w:rPr>
          <w:color w:val="auto"/>
          <w:sz w:val="22"/>
          <w:szCs w:val="22"/>
        </w:rPr>
      </w:pPr>
      <w:bookmarkStart w:id="35" w:name="_Toc194413674"/>
      <w:bookmarkStart w:id="36" w:name="_Toc195200985"/>
      <w:r w:rsidRPr="00C064FF">
        <w:rPr>
          <w:color w:val="auto"/>
          <w:sz w:val="22"/>
          <w:szCs w:val="22"/>
        </w:rPr>
        <w:t>SEGUNDO. Causales de</w:t>
      </w:r>
      <w:r w:rsidR="00D91296" w:rsidRPr="00C064FF">
        <w:rPr>
          <w:color w:val="auto"/>
          <w:sz w:val="22"/>
          <w:szCs w:val="22"/>
        </w:rPr>
        <w:t xml:space="preserve"> improcedencia y sobreseimiento</w:t>
      </w:r>
      <w:bookmarkEnd w:id="35"/>
      <w:bookmarkEnd w:id="36"/>
    </w:p>
    <w:p w14:paraId="3138C594" w14:textId="77777777" w:rsidR="007230A0" w:rsidRPr="001E63AC" w:rsidRDefault="007230A0" w:rsidP="00606B13">
      <w:pPr>
        <w:spacing w:after="0" w:line="360" w:lineRule="auto"/>
        <w:rPr>
          <w:color w:val="auto"/>
        </w:rPr>
      </w:pPr>
    </w:p>
    <w:p w14:paraId="6A0092E8" w14:textId="77777777" w:rsidR="007230A0" w:rsidRPr="001E63AC" w:rsidRDefault="00422CDE" w:rsidP="00606B13">
      <w:pPr>
        <w:spacing w:after="0" w:line="360" w:lineRule="auto"/>
        <w:rPr>
          <w:color w:val="auto"/>
        </w:rPr>
      </w:pPr>
      <w:r w:rsidRPr="001E63AC">
        <w:rPr>
          <w:color w:val="auto"/>
        </w:rPr>
        <w:t xml:space="preserve">De las constancias que forma parte del Recurso de Revisión que se analiza, se advierte que previo al estudio del fondo de la </w:t>
      </w:r>
      <w:r w:rsidRPr="001E63AC">
        <w:rPr>
          <w:i/>
          <w:color w:val="auto"/>
        </w:rPr>
        <w:t>litis</w:t>
      </w:r>
      <w:r w:rsidRPr="001E63AC">
        <w:rPr>
          <w:color w:val="auto"/>
        </w:rPr>
        <w:t>, es necesario estudiar las causales de improcedencia y sobreseimiento que se adviertan, para determinar lo que en Derecho proceda.</w:t>
      </w:r>
    </w:p>
    <w:p w14:paraId="3310CDCF" w14:textId="77777777" w:rsidR="007230A0" w:rsidRPr="00FD7B59" w:rsidRDefault="007230A0" w:rsidP="00606B13">
      <w:pPr>
        <w:spacing w:after="0" w:line="360" w:lineRule="auto"/>
        <w:rPr>
          <w:color w:val="FF0000"/>
        </w:rPr>
      </w:pPr>
    </w:p>
    <w:p w14:paraId="26B45DE2" w14:textId="77777777" w:rsidR="007230A0" w:rsidRPr="00C36071" w:rsidRDefault="00422CDE" w:rsidP="00606B13">
      <w:pPr>
        <w:spacing w:after="0" w:line="360" w:lineRule="auto"/>
        <w:rPr>
          <w:b/>
          <w:color w:val="auto"/>
        </w:rPr>
      </w:pPr>
      <w:r w:rsidRPr="00C36071">
        <w:rPr>
          <w:b/>
          <w:color w:val="auto"/>
        </w:rPr>
        <w:t>Causales de improcedencia</w:t>
      </w:r>
    </w:p>
    <w:p w14:paraId="70827F37" w14:textId="77777777" w:rsidR="007230A0" w:rsidRPr="00C36071" w:rsidRDefault="007230A0" w:rsidP="00606B13">
      <w:pPr>
        <w:spacing w:after="0" w:line="360" w:lineRule="auto"/>
        <w:rPr>
          <w:color w:val="auto"/>
        </w:rPr>
      </w:pPr>
    </w:p>
    <w:p w14:paraId="59575232" w14:textId="77777777" w:rsidR="007230A0" w:rsidRPr="00C36071" w:rsidRDefault="00422CDE" w:rsidP="00606B13">
      <w:pPr>
        <w:spacing w:after="0" w:line="360" w:lineRule="auto"/>
        <w:rPr>
          <w:color w:val="auto"/>
        </w:rPr>
      </w:pPr>
      <w:r w:rsidRPr="00C36071">
        <w:rPr>
          <w:color w:val="auto"/>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5F933B1" w14:textId="77777777" w:rsidR="007230A0" w:rsidRPr="00C36071" w:rsidRDefault="007230A0" w:rsidP="00606B13">
      <w:pPr>
        <w:spacing w:after="0" w:line="360" w:lineRule="auto"/>
        <w:rPr>
          <w:color w:val="auto"/>
        </w:rPr>
      </w:pPr>
    </w:p>
    <w:p w14:paraId="4440B384" w14:textId="77777777" w:rsidR="007230A0" w:rsidRPr="00C36071" w:rsidRDefault="00422CDE" w:rsidP="00606B13">
      <w:pPr>
        <w:spacing w:after="0" w:line="360" w:lineRule="auto"/>
        <w:rPr>
          <w:color w:val="auto"/>
        </w:rPr>
      </w:pPr>
      <w:r w:rsidRPr="00C36071">
        <w:rPr>
          <w:color w:val="auto"/>
        </w:rPr>
        <w:t>En el presente caso, </w:t>
      </w:r>
      <w:r w:rsidRPr="00C36071">
        <w:rPr>
          <w:b/>
          <w:color w:val="auto"/>
        </w:rPr>
        <w:t>no se actualiza ninguna de las causales de improcedencia</w:t>
      </w:r>
      <w:r w:rsidRPr="00C36071">
        <w:rPr>
          <w:color w:val="auto"/>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1339ADC" w14:textId="77777777" w:rsidR="007230A0" w:rsidRPr="00C36071" w:rsidRDefault="007230A0" w:rsidP="00606B13">
      <w:pPr>
        <w:spacing w:after="0" w:line="360" w:lineRule="auto"/>
        <w:rPr>
          <w:color w:val="auto"/>
        </w:rPr>
      </w:pPr>
    </w:p>
    <w:p w14:paraId="33C89D79" w14:textId="47F0E9DA" w:rsidR="007230A0" w:rsidRPr="00C36071" w:rsidRDefault="00422CDE" w:rsidP="00606B13">
      <w:pPr>
        <w:spacing w:after="0" w:line="360" w:lineRule="auto"/>
        <w:rPr>
          <w:color w:val="auto"/>
        </w:rPr>
      </w:pPr>
      <w:r w:rsidRPr="00C36071">
        <w:rPr>
          <w:color w:val="auto"/>
        </w:rPr>
        <w:lastRenderedPageBreak/>
        <w:t xml:space="preserve">Asimismo, se actualiza la causal de procedencia del Recurso de Revisión señalada en el artículo 179, fracción V, de la Ley en cita, pues la persona Recurrente se inconformó con la entrega de información </w:t>
      </w:r>
      <w:r w:rsidR="001E63AC" w:rsidRPr="00C36071">
        <w:rPr>
          <w:color w:val="auto"/>
        </w:rPr>
        <w:t>incompleta.</w:t>
      </w:r>
    </w:p>
    <w:p w14:paraId="324E0399" w14:textId="77777777" w:rsidR="007230A0" w:rsidRPr="00FD7B59" w:rsidRDefault="007230A0" w:rsidP="00606B13">
      <w:pPr>
        <w:spacing w:after="0" w:line="360" w:lineRule="auto"/>
        <w:rPr>
          <w:color w:val="FF0000"/>
        </w:rPr>
      </w:pPr>
    </w:p>
    <w:p w14:paraId="75ECE559" w14:textId="04F1CB47" w:rsidR="007230A0" w:rsidRPr="00C36071" w:rsidRDefault="00D91296" w:rsidP="00606B13">
      <w:pPr>
        <w:spacing w:after="0" w:line="360" w:lineRule="auto"/>
        <w:rPr>
          <w:b/>
          <w:color w:val="auto"/>
        </w:rPr>
      </w:pPr>
      <w:r w:rsidRPr="00C36071">
        <w:rPr>
          <w:b/>
          <w:color w:val="auto"/>
        </w:rPr>
        <w:t>Causales de sobreseimiento</w:t>
      </w:r>
    </w:p>
    <w:p w14:paraId="1C278AF2" w14:textId="77777777" w:rsidR="007230A0" w:rsidRPr="00C36071" w:rsidRDefault="007230A0" w:rsidP="00606B13">
      <w:pPr>
        <w:spacing w:after="0" w:line="360" w:lineRule="auto"/>
        <w:rPr>
          <w:color w:val="auto"/>
        </w:rPr>
      </w:pPr>
    </w:p>
    <w:p w14:paraId="340A2EAC" w14:textId="77777777" w:rsidR="007230A0" w:rsidRPr="00C36071" w:rsidRDefault="00422CDE" w:rsidP="00606B13">
      <w:pPr>
        <w:spacing w:after="0" w:line="360" w:lineRule="auto"/>
        <w:rPr>
          <w:color w:val="auto"/>
        </w:rPr>
      </w:pPr>
      <w:r w:rsidRPr="00C36071">
        <w:rPr>
          <w:color w:val="auto"/>
        </w:rPr>
        <w:t xml:space="preserve">Por ser de previo y especial pronunciamiento, este Instituto analiza si se actualiza alguna causal de sobreseimiento. </w:t>
      </w:r>
    </w:p>
    <w:p w14:paraId="05AD3E46" w14:textId="77777777" w:rsidR="007230A0" w:rsidRPr="00C36071" w:rsidRDefault="007230A0" w:rsidP="00606B13">
      <w:pPr>
        <w:spacing w:after="0" w:line="360" w:lineRule="auto"/>
        <w:rPr>
          <w:color w:val="auto"/>
        </w:rPr>
      </w:pPr>
    </w:p>
    <w:p w14:paraId="623AC956" w14:textId="77777777" w:rsidR="007230A0" w:rsidRPr="00C36071" w:rsidRDefault="00422CDE" w:rsidP="00606B13">
      <w:pPr>
        <w:spacing w:after="0" w:line="360" w:lineRule="auto"/>
        <w:rPr>
          <w:color w:val="auto"/>
        </w:rPr>
      </w:pPr>
      <w:r w:rsidRPr="00C36071">
        <w:rPr>
          <w:color w:val="auto"/>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044AD425" w14:textId="77777777" w:rsidR="007230A0" w:rsidRPr="00C36071" w:rsidRDefault="007230A0" w:rsidP="00606B13">
      <w:pPr>
        <w:spacing w:after="0" w:line="360" w:lineRule="auto"/>
        <w:rPr>
          <w:color w:val="auto"/>
        </w:rPr>
      </w:pPr>
    </w:p>
    <w:p w14:paraId="6CC52002" w14:textId="2FDC9A58" w:rsidR="007230A0" w:rsidRDefault="00422CDE" w:rsidP="00606B13">
      <w:pPr>
        <w:spacing w:after="0" w:line="360" w:lineRule="auto"/>
        <w:rPr>
          <w:color w:val="auto"/>
        </w:rPr>
      </w:pPr>
      <w:r w:rsidRPr="00C36071">
        <w:rPr>
          <w:color w:val="auto"/>
        </w:rPr>
        <w:t xml:space="preserve">Por tales motivos, se considera procedente entrar al fondo del presente asunto. </w:t>
      </w:r>
    </w:p>
    <w:p w14:paraId="28C4C2D6" w14:textId="77777777" w:rsidR="00606B13" w:rsidRPr="000327E8" w:rsidRDefault="00606B13" w:rsidP="00606B13">
      <w:pPr>
        <w:spacing w:after="0" w:line="360" w:lineRule="auto"/>
        <w:rPr>
          <w:color w:val="auto"/>
        </w:rPr>
      </w:pPr>
    </w:p>
    <w:p w14:paraId="6169EEE0" w14:textId="3E7CB013" w:rsidR="007230A0" w:rsidRPr="000327E8" w:rsidRDefault="00422CDE" w:rsidP="00606B13">
      <w:pPr>
        <w:pStyle w:val="Ttulo1"/>
        <w:keepNext w:val="0"/>
        <w:keepLines w:val="0"/>
        <w:spacing w:before="0" w:after="0" w:line="360" w:lineRule="auto"/>
        <w:rPr>
          <w:sz w:val="22"/>
          <w:szCs w:val="22"/>
        </w:rPr>
      </w:pPr>
      <w:bookmarkStart w:id="37" w:name="_Toc194413675"/>
      <w:bookmarkStart w:id="38" w:name="_Toc195200986"/>
      <w:r w:rsidRPr="000327E8">
        <w:rPr>
          <w:sz w:val="22"/>
          <w:szCs w:val="22"/>
        </w:rPr>
        <w:t>TERCERO. De</w:t>
      </w:r>
      <w:r w:rsidR="00D91296" w:rsidRPr="000327E8">
        <w:rPr>
          <w:sz w:val="22"/>
          <w:szCs w:val="22"/>
        </w:rPr>
        <w:t>terminación de la Controversia</w:t>
      </w:r>
      <w:bookmarkEnd w:id="37"/>
      <w:bookmarkEnd w:id="38"/>
    </w:p>
    <w:p w14:paraId="37FDF4D9" w14:textId="77777777" w:rsidR="007230A0" w:rsidRPr="00FD7B59" w:rsidRDefault="007230A0" w:rsidP="00606B13">
      <w:pPr>
        <w:spacing w:after="0" w:line="360" w:lineRule="auto"/>
        <w:rPr>
          <w:b/>
          <w:color w:val="FF0000"/>
        </w:rPr>
      </w:pPr>
    </w:p>
    <w:p w14:paraId="0D471215" w14:textId="3A489523" w:rsidR="00C36071" w:rsidRDefault="00422CDE" w:rsidP="00606B13">
      <w:pPr>
        <w:spacing w:after="0" w:line="360" w:lineRule="auto"/>
        <w:rPr>
          <w:color w:val="auto"/>
        </w:rPr>
      </w:pPr>
      <w:r w:rsidRPr="00C36071">
        <w:rPr>
          <w:color w:val="auto"/>
        </w:rPr>
        <w:t>Con el objetivo de ilustrar la controversia planteada, resulta conveniente precisar, que una vez realizado el estudio de las constancias que integran el expediente en el que se actúa, se desprende que el Particular requirió,</w:t>
      </w:r>
      <w:r w:rsidR="00C36071">
        <w:rPr>
          <w:color w:val="auto"/>
        </w:rPr>
        <w:t xml:space="preserve"> el nombre y sueldo</w:t>
      </w:r>
      <w:r w:rsidR="00B65F95">
        <w:rPr>
          <w:color w:val="auto"/>
        </w:rPr>
        <w:t xml:space="preserve"> del personal adscrito a la Dirección de Administración.</w:t>
      </w:r>
    </w:p>
    <w:p w14:paraId="47D45269" w14:textId="77777777" w:rsidR="007230A0" w:rsidRPr="00FD7B59" w:rsidRDefault="007230A0" w:rsidP="00606B13">
      <w:pPr>
        <w:spacing w:after="0" w:line="360" w:lineRule="auto"/>
        <w:rPr>
          <w:color w:val="FF0000"/>
        </w:rPr>
      </w:pPr>
    </w:p>
    <w:p w14:paraId="77319D29" w14:textId="79F18260" w:rsidR="007230A0" w:rsidRPr="006753E8" w:rsidRDefault="00422CDE" w:rsidP="00606B13">
      <w:pPr>
        <w:spacing w:after="0" w:line="360" w:lineRule="auto"/>
        <w:rPr>
          <w:color w:val="auto"/>
        </w:rPr>
      </w:pPr>
      <w:r w:rsidRPr="006753E8">
        <w:rPr>
          <w:color w:val="auto"/>
        </w:rPr>
        <w:lastRenderedPageBreak/>
        <w:t xml:space="preserve">En respuesta, el Sujeto Obligado, a través de la </w:t>
      </w:r>
      <w:r w:rsidR="006753E8" w:rsidRPr="006753E8">
        <w:rPr>
          <w:color w:val="auto"/>
        </w:rPr>
        <w:t>Dirección de Administración remitió una relación de setenta y nueve servidores públicos adscritos a la misma,  en la que consta, su área, nombre completo y sueldo quincenal; a</w:t>
      </w:r>
      <w:r w:rsidRPr="006753E8">
        <w:rPr>
          <w:color w:val="auto"/>
        </w:rPr>
        <w:t xml:space="preserve">nte dicha circunstancia, el Particular se inconformó de </w:t>
      </w:r>
      <w:r w:rsidR="006753E8" w:rsidRPr="006753E8">
        <w:rPr>
          <w:color w:val="auto"/>
        </w:rPr>
        <w:t>la entrega de información incompleta</w:t>
      </w:r>
      <w:r w:rsidRPr="006753E8">
        <w:rPr>
          <w:color w:val="auto"/>
        </w:rPr>
        <w:t>, lo cual actualiza la causal de proced</w:t>
      </w:r>
      <w:r w:rsidR="006753E8" w:rsidRPr="006753E8">
        <w:rPr>
          <w:color w:val="auto"/>
        </w:rPr>
        <w:t>encia prevista en la fracción V</w:t>
      </w:r>
      <w:r w:rsidRPr="006753E8">
        <w:rPr>
          <w:color w:val="auto"/>
        </w:rPr>
        <w:t>, del artículo 179 de la Ley de Transparencia y Acceso a la Información Pública del Estado de México y Municipios. Así, las cosas, una vez admitido y notificado el Recurso de Revisión a las partes, estas fueron omisas en emitir manifestaciones o alegatos.</w:t>
      </w:r>
    </w:p>
    <w:p w14:paraId="6CDBFA04" w14:textId="77777777" w:rsidR="00B0446A" w:rsidRPr="00FD7B59" w:rsidRDefault="00B0446A" w:rsidP="00606B13">
      <w:pPr>
        <w:spacing w:after="0" w:line="360" w:lineRule="auto"/>
        <w:rPr>
          <w:color w:val="FF0000"/>
        </w:rPr>
      </w:pPr>
    </w:p>
    <w:p w14:paraId="2334FD43" w14:textId="38EA5022" w:rsidR="007230A0" w:rsidRDefault="00422CDE" w:rsidP="00606B13">
      <w:pPr>
        <w:tabs>
          <w:tab w:val="left" w:pos="4962"/>
        </w:tabs>
        <w:spacing w:after="0" w:line="360" w:lineRule="auto"/>
        <w:rPr>
          <w:color w:val="auto"/>
        </w:rPr>
      </w:pPr>
      <w:r w:rsidRPr="006753E8">
        <w:rPr>
          <w:color w:val="auto"/>
        </w:rPr>
        <w:t>Lo anterior, se desprende de las documentales que obran en el expediente de referencia, materia de la presente resolución, consistente en: la solicitud de acceso a la información y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588F3101" w14:textId="34EF3CEF" w:rsidR="00606B13" w:rsidRPr="006753E8" w:rsidRDefault="00606B13" w:rsidP="00606B13">
      <w:pPr>
        <w:tabs>
          <w:tab w:val="left" w:pos="4962"/>
        </w:tabs>
        <w:spacing w:after="0" w:line="360" w:lineRule="auto"/>
        <w:rPr>
          <w:color w:val="auto"/>
        </w:rPr>
      </w:pPr>
    </w:p>
    <w:p w14:paraId="42E4AF48" w14:textId="2ECC4AFA" w:rsidR="007230A0" w:rsidRPr="00B56461" w:rsidRDefault="00422CDE" w:rsidP="00606B13">
      <w:pPr>
        <w:pStyle w:val="Ttulo1"/>
        <w:keepNext w:val="0"/>
        <w:keepLines w:val="0"/>
        <w:spacing w:before="0" w:after="0" w:line="360" w:lineRule="auto"/>
        <w:rPr>
          <w:sz w:val="22"/>
          <w:szCs w:val="22"/>
        </w:rPr>
      </w:pPr>
      <w:bookmarkStart w:id="39" w:name="_Toc194413676"/>
      <w:bookmarkStart w:id="40" w:name="_Toc195200987"/>
      <w:r w:rsidRPr="00B56461">
        <w:rPr>
          <w:sz w:val="22"/>
          <w:szCs w:val="22"/>
        </w:rPr>
        <w:t xml:space="preserve">CUARTO. Marco normativo aplicable en materia de transparencia y </w:t>
      </w:r>
      <w:r w:rsidR="00D91296" w:rsidRPr="00B56461">
        <w:rPr>
          <w:sz w:val="22"/>
          <w:szCs w:val="22"/>
        </w:rPr>
        <w:t>acceso a la información pública</w:t>
      </w:r>
      <w:bookmarkEnd w:id="39"/>
      <w:bookmarkEnd w:id="40"/>
    </w:p>
    <w:p w14:paraId="2884E4B7" w14:textId="77777777" w:rsidR="00C36071" w:rsidRPr="00FD7B59" w:rsidRDefault="00C36071" w:rsidP="00606B13">
      <w:pPr>
        <w:spacing w:after="0" w:line="360" w:lineRule="auto"/>
        <w:rPr>
          <w:b/>
          <w:color w:val="FF0000"/>
        </w:rPr>
      </w:pPr>
    </w:p>
    <w:p w14:paraId="315B2304"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r w:rsidRPr="00C36071">
        <w:rPr>
          <w:rFonts w:eastAsia="Times New Roman" w:cs="Tahoma"/>
          <w:bCs/>
          <w:iCs/>
          <w:color w:val="auto"/>
          <w:lang w:val="es-ES"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05B2859"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p>
    <w:p w14:paraId="14279449"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r w:rsidRPr="00C36071">
        <w:rPr>
          <w:rFonts w:eastAsia="Times New Roman" w:cs="Tahoma"/>
          <w:bCs/>
          <w:iCs/>
          <w:color w:val="auto"/>
          <w:lang w:val="es-ES" w:eastAsia="es-ES"/>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D705F9A"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p>
    <w:p w14:paraId="6B1081CA"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r w:rsidRPr="00C36071">
        <w:rPr>
          <w:rFonts w:eastAsia="Times New Roman" w:cs="Tahoma"/>
          <w:bCs/>
          <w:iCs/>
          <w:color w:val="auto"/>
          <w:lang w:val="es-ES" w:eastAsia="es-ES"/>
        </w:rPr>
        <w:t>Por su parte, la Ley de Transparencia y Acceso a la Información Pública del Estado de México y Municipios (Reglamentaria del artículo 5° de la Constitución Local), establece lo siguiente:</w:t>
      </w:r>
    </w:p>
    <w:p w14:paraId="73502355"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p>
    <w:p w14:paraId="646864F2"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r w:rsidRPr="00C36071">
        <w:rPr>
          <w:rFonts w:eastAsia="Times New Roman" w:cs="Tahoma"/>
          <w:bCs/>
          <w:iCs/>
          <w:color w:val="auto"/>
          <w:lang w:val="es-ES" w:eastAsia="es-ES"/>
        </w:rPr>
        <w:t>El artículo 12, que, quienes generen, recopilen, administren, manejen, procesen, archiven o conserven información pública serán responsables de la misma.</w:t>
      </w:r>
    </w:p>
    <w:p w14:paraId="13F57581"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p>
    <w:p w14:paraId="4AA98452"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r w:rsidRPr="00C36071">
        <w:rPr>
          <w:rFonts w:eastAsia="Times New Roman" w:cs="Tahoma"/>
          <w:bCs/>
          <w:iCs/>
          <w:color w:val="auto"/>
          <w:lang w:val="es-ES"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44608F1" w14:textId="77777777" w:rsidR="00C36071" w:rsidRPr="00C36071" w:rsidRDefault="00C36071" w:rsidP="00606B13">
      <w:pPr>
        <w:autoSpaceDE w:val="0"/>
        <w:autoSpaceDN w:val="0"/>
        <w:adjustRightInd w:val="0"/>
        <w:spacing w:after="0" w:line="360" w:lineRule="auto"/>
        <w:rPr>
          <w:rFonts w:eastAsia="Times New Roman" w:cs="Tahoma"/>
          <w:bCs/>
          <w:iCs/>
          <w:color w:val="auto"/>
          <w:lang w:val="es-ES" w:eastAsia="es-ES"/>
        </w:rPr>
      </w:pPr>
    </w:p>
    <w:p w14:paraId="4B5E500D" w14:textId="35C3B3F7" w:rsidR="007230A0" w:rsidRDefault="00C36071" w:rsidP="00606B13">
      <w:pPr>
        <w:autoSpaceDE w:val="0"/>
        <w:autoSpaceDN w:val="0"/>
        <w:adjustRightInd w:val="0"/>
        <w:spacing w:after="0" w:line="360" w:lineRule="auto"/>
        <w:rPr>
          <w:rFonts w:eastAsia="Times New Roman" w:cs="Tahoma"/>
          <w:bCs/>
          <w:iCs/>
          <w:color w:val="auto"/>
          <w:lang w:val="es-ES" w:eastAsia="es-ES"/>
        </w:rPr>
      </w:pPr>
      <w:r w:rsidRPr="00C36071">
        <w:rPr>
          <w:rFonts w:eastAsia="Times New Roman" w:cs="Tahoma"/>
          <w:bCs/>
          <w:iCs/>
          <w:color w:val="auto"/>
          <w:lang w:val="es-ES"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w:t>
      </w:r>
      <w:r w:rsidR="00AF3C6B">
        <w:rPr>
          <w:rFonts w:eastAsia="Times New Roman" w:cs="Tahoma"/>
          <w:bCs/>
          <w:iCs/>
          <w:color w:val="auto"/>
          <w:lang w:val="es-ES" w:eastAsia="es-ES"/>
        </w:rPr>
        <w:t>ue motivaron tal circunstancia.</w:t>
      </w:r>
    </w:p>
    <w:p w14:paraId="263B5743" w14:textId="77777777" w:rsidR="00606B13" w:rsidRPr="00AF3C6B" w:rsidRDefault="00606B13" w:rsidP="00606B13">
      <w:pPr>
        <w:autoSpaceDE w:val="0"/>
        <w:autoSpaceDN w:val="0"/>
        <w:adjustRightInd w:val="0"/>
        <w:spacing w:after="0" w:line="360" w:lineRule="auto"/>
        <w:rPr>
          <w:rFonts w:eastAsia="Times New Roman" w:cs="Tahoma"/>
          <w:bCs/>
          <w:iCs/>
          <w:color w:val="auto"/>
          <w:lang w:val="es-ES" w:eastAsia="es-ES"/>
        </w:rPr>
      </w:pPr>
    </w:p>
    <w:p w14:paraId="7C31EFD1" w14:textId="3A191D4B" w:rsidR="007230A0" w:rsidRPr="00AF3C6B" w:rsidRDefault="00D91296" w:rsidP="00606B13">
      <w:pPr>
        <w:pStyle w:val="Ttulo1"/>
        <w:keepNext w:val="0"/>
        <w:keepLines w:val="0"/>
        <w:spacing w:before="0" w:after="0" w:line="360" w:lineRule="auto"/>
        <w:rPr>
          <w:color w:val="auto"/>
          <w:sz w:val="22"/>
          <w:szCs w:val="22"/>
        </w:rPr>
      </w:pPr>
      <w:bookmarkStart w:id="41" w:name="_Toc194413677"/>
      <w:bookmarkStart w:id="42" w:name="_Toc195200988"/>
      <w:r w:rsidRPr="00AF3C6B">
        <w:rPr>
          <w:color w:val="auto"/>
          <w:sz w:val="22"/>
          <w:szCs w:val="22"/>
        </w:rPr>
        <w:t>QUINTO. Estudio de Fondo</w:t>
      </w:r>
      <w:bookmarkEnd w:id="41"/>
      <w:bookmarkEnd w:id="42"/>
    </w:p>
    <w:p w14:paraId="22CA10C0" w14:textId="77777777" w:rsidR="007230A0" w:rsidRPr="00FD7B59" w:rsidRDefault="007230A0" w:rsidP="00606B13">
      <w:pPr>
        <w:spacing w:after="0" w:line="360" w:lineRule="auto"/>
        <w:rPr>
          <w:b/>
          <w:color w:val="FF0000"/>
        </w:rPr>
      </w:pPr>
    </w:p>
    <w:p w14:paraId="3CF157EA" w14:textId="394B47F1" w:rsidR="007230A0" w:rsidRPr="004A02B2" w:rsidRDefault="00422CDE" w:rsidP="00606B13">
      <w:pPr>
        <w:widowControl w:val="0"/>
        <w:spacing w:after="0" w:line="360" w:lineRule="auto"/>
        <w:rPr>
          <w:color w:val="auto"/>
        </w:rPr>
      </w:pPr>
      <w:r w:rsidRPr="004A02B2">
        <w:rPr>
          <w:color w:val="auto"/>
        </w:rPr>
        <w:t xml:space="preserve">Expuestas las posturas de las partes, se procede al análisis del agravio hecho valer por la persona Recurrente, concerniente a la entrega de información </w:t>
      </w:r>
      <w:r w:rsidR="004A02B2" w:rsidRPr="004A02B2">
        <w:rPr>
          <w:color w:val="auto"/>
        </w:rPr>
        <w:t>incompleta</w:t>
      </w:r>
      <w:r w:rsidRPr="004A02B2">
        <w:rPr>
          <w:color w:val="auto"/>
        </w:rPr>
        <w:t xml:space="preserve">, para lo cual, en principio es necesario contextualizar la solicitud de información. </w:t>
      </w:r>
    </w:p>
    <w:p w14:paraId="4A434312" w14:textId="77777777" w:rsidR="00BD5629" w:rsidRPr="00FD7B59" w:rsidRDefault="00BD5629" w:rsidP="00606B13">
      <w:pPr>
        <w:widowControl w:val="0"/>
        <w:spacing w:after="0" w:line="360" w:lineRule="auto"/>
        <w:rPr>
          <w:b/>
          <w:color w:val="FF0000"/>
        </w:rPr>
      </w:pPr>
    </w:p>
    <w:p w14:paraId="1813BDE6" w14:textId="1D73FFA5" w:rsidR="004A02B2" w:rsidRDefault="004A02B2" w:rsidP="00606B13">
      <w:pPr>
        <w:widowControl w:val="0"/>
        <w:spacing w:after="0" w:line="360" w:lineRule="auto"/>
        <w:rPr>
          <w:b/>
          <w:color w:val="FF0000"/>
        </w:rPr>
      </w:pPr>
      <w:r>
        <w:t>En tal sentido, el artículo 147 de la Constitución Política del Estado Libre y Soberano de México, establece que los trabajadores al Servicio del Estado, recibirán una remuneración adecuada e irrenunciable por el desempeño de su empleo, cargo o comisión, que será determinada en el presupuesto de egresos que corresponda.</w:t>
      </w:r>
    </w:p>
    <w:p w14:paraId="4868CFC2" w14:textId="77777777" w:rsidR="004A02B2" w:rsidRDefault="004A02B2" w:rsidP="00606B13">
      <w:pPr>
        <w:widowControl w:val="0"/>
        <w:spacing w:after="0" w:line="360" w:lineRule="auto"/>
        <w:rPr>
          <w:b/>
          <w:color w:val="FF0000"/>
        </w:rPr>
      </w:pPr>
    </w:p>
    <w:p w14:paraId="3B7D2914" w14:textId="77777777" w:rsidR="008B1B53" w:rsidRDefault="008B1B53" w:rsidP="008B1B53">
      <w:pPr>
        <w:spacing w:after="0" w:line="360" w:lineRule="auto"/>
        <w:ind w:right="-28"/>
        <w:contextualSpacing/>
        <w:rPr>
          <w:rFonts w:eastAsia="Calibri" w:cs="Tahoma"/>
          <w:bCs/>
          <w:lang w:val="es-ES"/>
        </w:rPr>
      </w:pPr>
      <w:r>
        <w:rPr>
          <w:rFonts w:eastAsia="Calibri" w:cs="Tahoma"/>
          <w:bCs/>
          <w:lang w:val="es-ES"/>
        </w:rPr>
        <w:lastRenderedPageBreak/>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60F75B63" w14:textId="77777777" w:rsidR="004A02B2" w:rsidRPr="008B1B53" w:rsidRDefault="004A02B2" w:rsidP="00606B13">
      <w:pPr>
        <w:widowControl w:val="0"/>
        <w:spacing w:after="0" w:line="360" w:lineRule="auto"/>
        <w:rPr>
          <w:b/>
          <w:color w:val="FF0000"/>
          <w:lang w:val="es-ES"/>
        </w:rPr>
      </w:pPr>
    </w:p>
    <w:p w14:paraId="2E6FD535" w14:textId="739E2018" w:rsidR="004A02B2" w:rsidRPr="00514CCB" w:rsidRDefault="008B1B53" w:rsidP="00606B13">
      <w:pPr>
        <w:widowControl w:val="0"/>
        <w:spacing w:after="0" w:line="360" w:lineRule="auto"/>
        <w:rPr>
          <w:color w:val="auto"/>
        </w:rPr>
      </w:pPr>
      <w:r>
        <w:rPr>
          <w:color w:val="auto"/>
        </w:rPr>
        <w:t>Además</w:t>
      </w:r>
      <w:r w:rsidR="00514CCB" w:rsidRPr="00514CCB">
        <w:rPr>
          <w:color w:val="auto"/>
        </w:rPr>
        <w:t>,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59BC02FA" w14:textId="10340389" w:rsidR="00514CCB" w:rsidRDefault="00514CCB" w:rsidP="00606B13">
      <w:pPr>
        <w:widowControl w:val="0"/>
        <w:spacing w:after="0" w:line="360" w:lineRule="auto"/>
        <w:rPr>
          <w:b/>
          <w:color w:val="auto"/>
        </w:rPr>
      </w:pPr>
    </w:p>
    <w:p w14:paraId="6F326C71" w14:textId="77777777" w:rsidR="008B1B53" w:rsidRDefault="008B1B53" w:rsidP="008B1B53">
      <w:pPr>
        <w:spacing w:after="0" w:line="360" w:lineRule="auto"/>
        <w:ind w:right="-28"/>
        <w:contextualSpacing/>
        <w:rPr>
          <w:rFonts w:eastAsia="Calibri" w:cs="Tahoma"/>
          <w:bCs/>
          <w:lang w:val="es-ES"/>
        </w:rPr>
      </w:pPr>
      <w:r>
        <w:rPr>
          <w:bCs/>
          <w:color w:val="auto"/>
        </w:rPr>
        <w:t xml:space="preserve">En ese contexto, </w:t>
      </w:r>
      <w:r>
        <w:rPr>
          <w:rFonts w:eastAsia="Calibri" w:cs="Tahoma"/>
          <w:bCs/>
          <w:lang w:val="es-ES"/>
        </w:rPr>
        <w:t xml:space="preserve">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vigentes a la fecha de la solicitud, precisan que los Sujetos Obligados deben de publicar de todos los servidores públicos de base, de confianza, integrantes, miembros de la institución y toda personal que desempeñe un empleo, cargo o comisión o realice actos de autoridad, </w:t>
      </w:r>
      <w:r>
        <w:rPr>
          <w:rFonts w:eastAsia="Calibri" w:cs="Tahoma"/>
          <w:b/>
          <w:lang w:val="es-ES"/>
        </w:rPr>
        <w:t>la remuneración bruta y neta</w:t>
      </w:r>
      <w:r>
        <w:rPr>
          <w:rFonts w:eastAsia="Calibri" w:cs="Tahoma"/>
          <w:bCs/>
          <w:lang w:val="es-ES"/>
        </w:rPr>
        <w:t>, así como, todas las percepciones en efectivo o en especie, que incluya sueldos, prestaciones, gratificaciones, primas, comisiones, dietas, bonos, estímulos, apoyos económicos, ingresos de sistemas de compensación, entre otros, que incluya la periodicidad de la remuneración.</w:t>
      </w:r>
    </w:p>
    <w:p w14:paraId="4BAB4630" w14:textId="7C7713B9" w:rsidR="008B1B53" w:rsidRPr="008B1B53" w:rsidRDefault="008B1B53" w:rsidP="00606B13">
      <w:pPr>
        <w:widowControl w:val="0"/>
        <w:spacing w:after="0" w:line="360" w:lineRule="auto"/>
        <w:rPr>
          <w:bCs/>
          <w:color w:val="auto"/>
          <w:lang w:val="es-ES"/>
        </w:rPr>
      </w:pPr>
    </w:p>
    <w:p w14:paraId="36785C36" w14:textId="47276B08" w:rsidR="00514CCB" w:rsidRPr="002F0DA9" w:rsidRDefault="00514CCB" w:rsidP="00606B13">
      <w:pPr>
        <w:widowControl w:val="0"/>
        <w:spacing w:after="0" w:line="360" w:lineRule="auto"/>
        <w:rPr>
          <w:color w:val="auto"/>
        </w:rPr>
      </w:pPr>
      <w:r w:rsidRPr="002F0DA9">
        <w:rPr>
          <w:color w:val="auto"/>
        </w:rPr>
        <w:t xml:space="preserve">Ahora bien, respecto a los servidores públicos solicitados, el </w:t>
      </w:r>
      <w:r w:rsidR="005904C8" w:rsidRPr="002F0DA9">
        <w:rPr>
          <w:color w:val="auto"/>
        </w:rPr>
        <w:t xml:space="preserve">artículo 40 del Bando Municipal del Ayuntamiento del año dos mil veinticinco, señala que la Administración Pública Municipal está integrada por el Presidente Municipal, las Dependencias, Organismos </w:t>
      </w:r>
      <w:r w:rsidR="005904C8" w:rsidRPr="002F0DA9">
        <w:rPr>
          <w:color w:val="auto"/>
        </w:rPr>
        <w:lastRenderedPageBreak/>
        <w:t>Públicos Desconcentrados, Organismos Públicos Descentralizados, un Órgano Autónomo y Direcciones, dentro de las cuales se encuentra la Dirección de Administración.</w:t>
      </w:r>
    </w:p>
    <w:p w14:paraId="4A4FC93A" w14:textId="77777777" w:rsidR="002F0DA9" w:rsidRPr="00514CCB" w:rsidRDefault="002F0DA9" w:rsidP="00606B13">
      <w:pPr>
        <w:widowControl w:val="0"/>
        <w:spacing w:after="0" w:line="360" w:lineRule="auto"/>
        <w:rPr>
          <w:color w:val="FF0000"/>
        </w:rPr>
      </w:pPr>
    </w:p>
    <w:p w14:paraId="68C93ABE" w14:textId="2E15752B" w:rsidR="004A02B2" w:rsidRDefault="002F0DA9" w:rsidP="00606B13">
      <w:pPr>
        <w:widowControl w:val="0"/>
        <w:spacing w:after="0" w:line="360" w:lineRule="auto"/>
      </w:pPr>
      <w:r>
        <w:t xml:space="preserve">Conforme a lo anterior, se logra vislumbrar que la pretensión del ahora Recurrente es obtener el nombre y el sueldo bruto y neto mensual vigente de los servidores públicos </w:t>
      </w:r>
      <w:r w:rsidR="008B1B53">
        <w:t xml:space="preserve">en funciones al cinco de marzo de dos mil veinticinco, </w:t>
      </w:r>
      <w:r>
        <w:t>adscritos a la Dirección de Administración.</w:t>
      </w:r>
    </w:p>
    <w:p w14:paraId="323FA6B1" w14:textId="77777777" w:rsidR="002F0DA9" w:rsidRDefault="002F0DA9" w:rsidP="00606B13">
      <w:pPr>
        <w:widowControl w:val="0"/>
        <w:spacing w:after="0" w:line="360" w:lineRule="auto"/>
      </w:pPr>
    </w:p>
    <w:p w14:paraId="4EEA9749" w14:textId="2F441DE7" w:rsidR="002F0DA9" w:rsidRDefault="002F0DA9" w:rsidP="00606B13">
      <w:pPr>
        <w:widowControl w:val="0"/>
        <w:spacing w:after="0" w:line="360" w:lineRule="auto"/>
      </w:pPr>
      <w:r>
        <w:t>Establecido lo anterior, es de hacer mención que de las constancias que obran en el expediente se advierte que el Sujeto Obligado turno el requerimiento de información a la Dirección de Administración, por lo que, es necesario hacer referencia, al procedimiento de búsqueda que deben de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633BE448" w14:textId="77777777" w:rsidR="002F0DA9" w:rsidRDefault="002F0DA9" w:rsidP="00606B13">
      <w:pPr>
        <w:widowControl w:val="0"/>
        <w:spacing w:after="0" w:line="360" w:lineRule="auto"/>
      </w:pPr>
    </w:p>
    <w:p w14:paraId="731ED926" w14:textId="162F8CA1" w:rsidR="00E61397" w:rsidRPr="008B1B53" w:rsidRDefault="00E61397" w:rsidP="00606B13">
      <w:pPr>
        <w:widowControl w:val="0"/>
        <w:spacing w:after="0" w:line="360" w:lineRule="auto"/>
      </w:pPr>
      <w:r>
        <w:t xml:space="preserve">Así, a efecto de verificar que el Sujeto Obligado cumplió con dicho procedimiento, es necesario traer a colación el artículo 58 del Bando en comento, el cual refiere que la Dirección de Administración se encarga de planear, establecer y difundir entre las Dependencias de la Administración Pública Municipal, las políticas y procedimientos necesarios para el control eficiente de los recursos materiales, tecnológicos, de servicios generales y capital humano que se proporcionan a las Dependencias y Unidades Administrativas en todas sus modalidades; seleccionará, contratará y asignará al personal que las áreas requieran, facilitará los programas y cursos correspondientes para la certificación, profesionalización y capacitación de los servidores públicos para el debido cumplimiento de sus funciones y </w:t>
      </w:r>
      <w:r>
        <w:lastRenderedPageBreak/>
        <w:t>atribuciones, y satisfacer las sociedades generales que constituyen el objeto de los servicios y funciones públicas.</w:t>
      </w:r>
      <w:r w:rsidR="008B1B53">
        <w:t xml:space="preserve"> Además</w:t>
      </w:r>
      <w:r w:rsidR="00924A0D" w:rsidRPr="0045411D">
        <w:rPr>
          <w:color w:val="auto"/>
        </w:rPr>
        <w:t xml:space="preserve">, el </w:t>
      </w:r>
      <w:r w:rsidR="008B1B53">
        <w:rPr>
          <w:color w:val="auto"/>
        </w:rPr>
        <w:t>a</w:t>
      </w:r>
      <w:r w:rsidR="00924A0D" w:rsidRPr="0045411D">
        <w:rPr>
          <w:color w:val="auto"/>
        </w:rPr>
        <w:t>rtículo 52</w:t>
      </w:r>
      <w:r w:rsidR="008B1B53">
        <w:rPr>
          <w:color w:val="auto"/>
        </w:rPr>
        <w:t>,</w:t>
      </w:r>
      <w:r w:rsidR="00924A0D" w:rsidRPr="0045411D">
        <w:rPr>
          <w:color w:val="auto"/>
        </w:rPr>
        <w:t xml:space="preserve"> fracción </w:t>
      </w:r>
      <w:r w:rsidR="0045411D" w:rsidRPr="0045411D">
        <w:rPr>
          <w:color w:val="auto"/>
        </w:rPr>
        <w:t>XIV</w:t>
      </w:r>
      <w:r w:rsidR="008B1B53">
        <w:rPr>
          <w:color w:val="auto"/>
        </w:rPr>
        <w:t>,</w:t>
      </w:r>
      <w:r w:rsidR="0045411D" w:rsidRPr="0045411D">
        <w:rPr>
          <w:color w:val="auto"/>
        </w:rPr>
        <w:t xml:space="preserve"> del Reglamento</w:t>
      </w:r>
      <w:r w:rsidR="0045411D">
        <w:rPr>
          <w:color w:val="auto"/>
        </w:rPr>
        <w:t xml:space="preserve"> Interno de la Administración Pública</w:t>
      </w:r>
      <w:r w:rsidR="008B1B53">
        <w:rPr>
          <w:color w:val="auto"/>
        </w:rPr>
        <w:t xml:space="preserve">, </w:t>
      </w:r>
      <w:r w:rsidR="0045411D" w:rsidRPr="0045411D">
        <w:rPr>
          <w:color w:val="auto"/>
        </w:rPr>
        <w:t xml:space="preserve">establece que </w:t>
      </w:r>
      <w:r w:rsidR="008B1B53">
        <w:rPr>
          <w:color w:val="auto"/>
        </w:rPr>
        <w:t>dicha área se</w:t>
      </w:r>
      <w:r w:rsidR="0045411D" w:rsidRPr="0045411D">
        <w:rPr>
          <w:color w:val="auto"/>
        </w:rPr>
        <w:t xml:space="preserve"> encarga de la elaboración, pago de nómina y timbrado de la misma</w:t>
      </w:r>
      <w:r w:rsidR="0045411D">
        <w:rPr>
          <w:color w:val="auto"/>
        </w:rPr>
        <w:t>.</w:t>
      </w:r>
    </w:p>
    <w:p w14:paraId="095ED002" w14:textId="77777777" w:rsidR="00A4239F" w:rsidRDefault="00A4239F" w:rsidP="00606B13">
      <w:pPr>
        <w:widowControl w:val="0"/>
        <w:spacing w:after="0" w:line="360" w:lineRule="auto"/>
        <w:rPr>
          <w:color w:val="auto"/>
        </w:rPr>
      </w:pPr>
    </w:p>
    <w:p w14:paraId="155E8DBC" w14:textId="14C0D683" w:rsidR="00A4239F" w:rsidRDefault="00A4239F" w:rsidP="00606B13">
      <w:pPr>
        <w:widowControl w:val="0"/>
        <w:spacing w:after="0" w:line="360" w:lineRule="auto"/>
        <w:rPr>
          <w:color w:val="auto"/>
        </w:rPr>
      </w:pPr>
      <w:r>
        <w:rPr>
          <w:color w:val="auto"/>
        </w:rPr>
        <w:t xml:space="preserve">Por otra parte el artículo </w:t>
      </w:r>
      <w:r w:rsidR="009941E6">
        <w:rPr>
          <w:color w:val="auto"/>
        </w:rPr>
        <w:t>47</w:t>
      </w:r>
      <w:r>
        <w:rPr>
          <w:color w:val="auto"/>
        </w:rPr>
        <w:t xml:space="preserve"> fracción XVII del Reglamento en cinta, establece que la Tesorería Municipal entre otras cosas se encarga de autorizar la programación de los pagos, previa evaluación de los pasivos a cubrirse a los diversos proveedores y prestadores de servicios. </w:t>
      </w:r>
    </w:p>
    <w:p w14:paraId="5C8D3C58" w14:textId="77777777" w:rsidR="00AB68CA" w:rsidRDefault="00AB68CA" w:rsidP="00606B13">
      <w:pPr>
        <w:widowControl w:val="0"/>
        <w:spacing w:after="0" w:line="360" w:lineRule="auto"/>
        <w:rPr>
          <w:color w:val="auto"/>
        </w:rPr>
      </w:pPr>
    </w:p>
    <w:p w14:paraId="3150E9F7" w14:textId="381F18AB" w:rsidR="00AB68CA" w:rsidRPr="0045411D" w:rsidRDefault="00AB68CA" w:rsidP="00606B13">
      <w:pPr>
        <w:widowControl w:val="0"/>
        <w:spacing w:after="0" w:line="360" w:lineRule="auto"/>
        <w:rPr>
          <w:color w:val="auto"/>
        </w:rPr>
      </w:pPr>
      <w:r>
        <w:rPr>
          <w:color w:val="auto"/>
        </w:rPr>
        <w:t>De lo anteriormente establecido se logra vislumbrar que el Sujeto Obligado</w:t>
      </w:r>
      <w:r w:rsidR="002D0E64">
        <w:rPr>
          <w:color w:val="auto"/>
        </w:rPr>
        <w:t xml:space="preserve"> cuenta con </w:t>
      </w:r>
      <w:r w:rsidR="002D0E64">
        <w:t>una Tesorería Municipal (que ve cuestiones relacionadas con las erogaciones realizadas por el Ayuntamiento, entre las cuales se encuentra la autorización y programación del pago de nómina) y la Dirección de Administración (</w:t>
      </w:r>
      <w:r w:rsidR="0028661C">
        <w:t xml:space="preserve">encargada de regular </w:t>
      </w:r>
      <w:r w:rsidR="002D0E64">
        <w:t>y administra</w:t>
      </w:r>
      <w:r w:rsidR="0028661C">
        <w:t>r</w:t>
      </w:r>
      <w:r w:rsidR="002D0E64">
        <w:t xml:space="preserve"> las relaciones laborales</w:t>
      </w:r>
      <w:r w:rsidR="0028661C">
        <w:t xml:space="preserve">, así como </w:t>
      </w:r>
      <w:r w:rsidR="002D0E64">
        <w:t xml:space="preserve"> de elaborar, pagar y timbrar la nómina)</w:t>
      </w:r>
      <w:r w:rsidR="0028661C">
        <w:t>.</w:t>
      </w:r>
    </w:p>
    <w:p w14:paraId="4C74ECAB" w14:textId="77777777" w:rsidR="000F78BA" w:rsidRDefault="000F78BA" w:rsidP="00606B13">
      <w:pPr>
        <w:widowControl w:val="0"/>
        <w:spacing w:after="0" w:line="360" w:lineRule="auto"/>
        <w:rPr>
          <w:b/>
          <w:color w:val="FF0000"/>
        </w:rPr>
      </w:pPr>
    </w:p>
    <w:p w14:paraId="3CA8282D" w14:textId="3731987C" w:rsidR="000F78BA" w:rsidRDefault="000F78BA" w:rsidP="00606B13">
      <w:pPr>
        <w:widowControl w:val="0"/>
        <w:spacing w:after="0" w:line="360" w:lineRule="auto"/>
        <w:rPr>
          <w:color w:val="auto"/>
        </w:rPr>
      </w:pPr>
      <w:r w:rsidRPr="0028661C">
        <w:rPr>
          <w:color w:val="auto"/>
        </w:rPr>
        <w:t xml:space="preserve">De tales circunstancias, se logra colegir que el Sujeto Obligado </w:t>
      </w:r>
      <w:r w:rsidR="007B7E57" w:rsidRPr="0028661C">
        <w:rPr>
          <w:color w:val="auto"/>
        </w:rPr>
        <w:t xml:space="preserve">no </w:t>
      </w:r>
      <w:r w:rsidRPr="0028661C">
        <w:rPr>
          <w:color w:val="auto"/>
        </w:rPr>
        <w:t xml:space="preserve">cumplió con el procedimiento de búsqueda a establecido en el artículo 162 de la Ley de Transparencia y Acceso a la Información Pública del Estado de México y Municipios, </w:t>
      </w:r>
      <w:r w:rsidR="007B7E57" w:rsidRPr="0028661C">
        <w:rPr>
          <w:color w:val="auto"/>
        </w:rPr>
        <w:t xml:space="preserve">pues si </w:t>
      </w:r>
      <w:r w:rsidR="007B7E57" w:rsidRPr="0028661C">
        <w:t>bien turnó la solicitud a la Dirección de Administración, omitió turnar el requerimiento a la Tesorería Municipal.</w:t>
      </w:r>
    </w:p>
    <w:p w14:paraId="293A7F23" w14:textId="77777777" w:rsidR="00AF6052" w:rsidRDefault="00AF6052" w:rsidP="00606B13">
      <w:pPr>
        <w:widowControl w:val="0"/>
        <w:spacing w:after="0" w:line="360" w:lineRule="auto"/>
        <w:rPr>
          <w:color w:val="auto"/>
        </w:rPr>
      </w:pPr>
    </w:p>
    <w:p w14:paraId="442C3808" w14:textId="05A6FA4E" w:rsidR="00AF6052" w:rsidRPr="007B7E57" w:rsidRDefault="007B7E57" w:rsidP="00606B13">
      <w:pPr>
        <w:widowControl w:val="0"/>
        <w:spacing w:after="0" w:line="360" w:lineRule="auto"/>
      </w:pPr>
      <w:r>
        <w:t xml:space="preserve">Sin menoscabar lo anterior, se procede analizar la respuesta entregada por </w:t>
      </w:r>
      <w:r w:rsidR="00AF6052">
        <w:rPr>
          <w:color w:val="auto"/>
        </w:rPr>
        <w:t>la Dirección de Administración</w:t>
      </w:r>
      <w:r>
        <w:rPr>
          <w:color w:val="auto"/>
        </w:rPr>
        <w:t>, la cual</w:t>
      </w:r>
      <w:r w:rsidR="00AF6052">
        <w:rPr>
          <w:color w:val="auto"/>
        </w:rPr>
        <w:t xml:space="preserve"> remitió una relación de setenta y nueve servidores públicos a</w:t>
      </w:r>
      <w:r>
        <w:rPr>
          <w:color w:val="auto"/>
        </w:rPr>
        <w:t>dscritos a la misma, en la que</w:t>
      </w:r>
      <w:r w:rsidR="00AF6052">
        <w:rPr>
          <w:color w:val="auto"/>
        </w:rPr>
        <w:t xml:space="preserve"> consta el área, nombre completo y sueldo</w:t>
      </w:r>
      <w:r w:rsidR="008B1B53">
        <w:rPr>
          <w:color w:val="auto"/>
        </w:rPr>
        <w:t xml:space="preserve"> neto</w:t>
      </w:r>
      <w:r w:rsidR="00AF6052">
        <w:rPr>
          <w:color w:val="auto"/>
        </w:rPr>
        <w:t xml:space="preserve"> quincenal de cada uno, tal como se muestra a continuación:</w:t>
      </w:r>
    </w:p>
    <w:p w14:paraId="4F0275C3" w14:textId="77777777" w:rsidR="00005A76" w:rsidRDefault="00005A76" w:rsidP="00606B13">
      <w:pPr>
        <w:widowControl w:val="0"/>
        <w:spacing w:after="0" w:line="360" w:lineRule="auto"/>
        <w:rPr>
          <w:color w:val="auto"/>
        </w:rPr>
      </w:pPr>
    </w:p>
    <w:p w14:paraId="4B5870DB" w14:textId="21A26C7B" w:rsidR="00AF6052" w:rsidRDefault="00005A76" w:rsidP="00606B13">
      <w:pPr>
        <w:widowControl w:val="0"/>
        <w:spacing w:after="0" w:line="360" w:lineRule="auto"/>
        <w:jc w:val="center"/>
        <w:rPr>
          <w:color w:val="auto"/>
        </w:rPr>
      </w:pPr>
      <w:r w:rsidRPr="00005A76">
        <w:rPr>
          <w:noProof/>
          <w:color w:val="auto"/>
        </w:rPr>
        <w:lastRenderedPageBreak/>
        <w:drawing>
          <wp:inline distT="0" distB="0" distL="0" distR="0" wp14:anchorId="6F285F5B" wp14:editId="2A7B2805">
            <wp:extent cx="3314700" cy="24408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52" t="1520"/>
                    <a:stretch/>
                  </pic:blipFill>
                  <pic:spPr bwMode="auto">
                    <a:xfrm>
                      <a:off x="0" y="0"/>
                      <a:ext cx="3327337" cy="2450130"/>
                    </a:xfrm>
                    <a:prstGeom prst="rect">
                      <a:avLst/>
                    </a:prstGeom>
                    <a:ln>
                      <a:noFill/>
                    </a:ln>
                    <a:extLst>
                      <a:ext uri="{53640926-AAD7-44D8-BBD7-CCE9431645EC}">
                        <a14:shadowObscured xmlns:a14="http://schemas.microsoft.com/office/drawing/2010/main"/>
                      </a:ext>
                    </a:extLst>
                  </pic:spPr>
                </pic:pic>
              </a:graphicData>
            </a:graphic>
          </wp:inline>
        </w:drawing>
      </w:r>
    </w:p>
    <w:p w14:paraId="70B600E0" w14:textId="77777777" w:rsidR="00005A76" w:rsidRDefault="00005A76" w:rsidP="00606B13">
      <w:pPr>
        <w:widowControl w:val="0"/>
        <w:spacing w:after="0" w:line="360" w:lineRule="auto"/>
        <w:rPr>
          <w:color w:val="auto"/>
        </w:rPr>
      </w:pPr>
    </w:p>
    <w:p w14:paraId="06FD7D63" w14:textId="1B2A78E0" w:rsidR="008B1B53" w:rsidRDefault="008B1B53" w:rsidP="00606B13">
      <w:pPr>
        <w:widowControl w:val="0"/>
        <w:spacing w:after="0" w:line="360" w:lineRule="auto"/>
        <w:rPr>
          <w:color w:val="auto"/>
        </w:rPr>
      </w:pPr>
      <w:r>
        <w:rPr>
          <w:color w:val="auto"/>
        </w:rPr>
        <w:t>Ahora bien, este Instituto revisó la página oficial del Sujeto Obligado y su Portal de Información Pública de Oficio Mexiquense 4.0 y no localizó algún otro servidor público distinto</w:t>
      </w:r>
      <w:r w:rsidR="00251B07">
        <w:rPr>
          <w:color w:val="auto"/>
        </w:rPr>
        <w:t xml:space="preserve"> a los proporcionados, que forme parte del área peticionada; por lo que, se logra vislumbrar que desde respuesta el Ayuntamiento proporcionó parte de la información requerida al entregar el nombre de todos los trabajadores gubernamentales en funciones a la fecha de la solicitud, que se encontraban adscritos a la Dirección de Administración.</w:t>
      </w:r>
    </w:p>
    <w:p w14:paraId="6F5A4F81" w14:textId="77777777" w:rsidR="008B1B53" w:rsidRDefault="008B1B53" w:rsidP="00606B13">
      <w:pPr>
        <w:widowControl w:val="0"/>
        <w:spacing w:after="0" w:line="360" w:lineRule="auto"/>
        <w:rPr>
          <w:color w:val="auto"/>
        </w:rPr>
      </w:pPr>
    </w:p>
    <w:p w14:paraId="2F594A1C" w14:textId="2419EB15" w:rsidR="00251B07" w:rsidRDefault="00251B07" w:rsidP="00251B07">
      <w:pPr>
        <w:spacing w:line="360" w:lineRule="auto"/>
        <w:contextualSpacing/>
        <w:rPr>
          <w:color w:val="000000"/>
        </w:rPr>
      </w:pPr>
      <w:r>
        <w:rPr>
          <w:color w:val="000000"/>
        </w:rPr>
        <w:t>Ahora bien, respecto al salario, dicha unidad administrativa señaló el sueldo neto quincenal de los servidores públicos, que si bien, se encuentra relacionado con lo solicitado, este no se puede validar, pues no atiende el pedimiento de información, pues como se refirió en el presente caso, se solicitó la información mensual, y omitió entregar el monto bruto.</w:t>
      </w:r>
    </w:p>
    <w:p w14:paraId="70E84D33" w14:textId="77777777" w:rsidR="00251B07" w:rsidRDefault="00251B07" w:rsidP="00606B13">
      <w:pPr>
        <w:widowControl w:val="0"/>
        <w:spacing w:after="0" w:line="360" w:lineRule="auto"/>
        <w:rPr>
          <w:color w:val="auto"/>
        </w:rPr>
      </w:pPr>
    </w:p>
    <w:p w14:paraId="0372C6C1" w14:textId="06EF00B8" w:rsidR="00BA5FA9" w:rsidRDefault="00251B07" w:rsidP="00251B07">
      <w:pPr>
        <w:widowControl w:val="0"/>
        <w:spacing w:after="0" w:line="360" w:lineRule="auto"/>
        <w:rPr>
          <w:b/>
          <w:bCs/>
          <w:color w:val="auto"/>
        </w:rPr>
      </w:pPr>
      <w:r>
        <w:rPr>
          <w:color w:val="auto"/>
        </w:rPr>
        <w:t>Así, se colige</w:t>
      </w:r>
      <w:r w:rsidR="00543011">
        <w:rPr>
          <w:color w:val="auto"/>
        </w:rPr>
        <w:t xml:space="preserve"> que si bien, </w:t>
      </w:r>
      <w:r>
        <w:rPr>
          <w:color w:val="auto"/>
        </w:rPr>
        <w:t xml:space="preserve">en respuesta se proporcionó parte de la información solicitada, esta se encuentra incompleta pues omitió entregar el sueldo neto mensual bruto y neto de los servidores públicos mencionados, lo cual da como resultado que el agravio sea </w:t>
      </w:r>
      <w:r>
        <w:rPr>
          <w:b/>
          <w:bCs/>
          <w:color w:val="auto"/>
        </w:rPr>
        <w:t>FUNDADO.</w:t>
      </w:r>
    </w:p>
    <w:p w14:paraId="57F38764" w14:textId="77777777" w:rsidR="00251B07" w:rsidRPr="00251B07" w:rsidRDefault="00251B07" w:rsidP="00251B07">
      <w:pPr>
        <w:widowControl w:val="0"/>
        <w:spacing w:after="0" w:line="360" w:lineRule="auto"/>
        <w:rPr>
          <w:b/>
          <w:bCs/>
        </w:rPr>
      </w:pPr>
    </w:p>
    <w:p w14:paraId="2F1C2FC2" w14:textId="77777777" w:rsidR="00BA5FA9" w:rsidRDefault="00BA5FA9" w:rsidP="00606B13">
      <w:pPr>
        <w:widowControl w:val="0"/>
        <w:spacing w:after="0" w:line="360" w:lineRule="auto"/>
      </w:pPr>
    </w:p>
    <w:p w14:paraId="6760FC04" w14:textId="54B3D1FE" w:rsidR="00BA5FA9" w:rsidRDefault="00251B07" w:rsidP="00606B13">
      <w:pPr>
        <w:widowControl w:val="0"/>
        <w:spacing w:after="0" w:line="360" w:lineRule="auto"/>
      </w:pPr>
      <w:r>
        <w:lastRenderedPageBreak/>
        <w:t>De tal suerte,</w:t>
      </w:r>
      <w:r w:rsidR="00A4239F" w:rsidRPr="0028661C">
        <w:t xml:space="preserve"> para atender el requerimiento de información, deberá realizar una búsqueda exhaustiva y razonable, en los archivos de la Tesorería Municipal y la Dirección de Administración, a efecto de que proporcione los documentos donde conste el sueldo mensual vigente de los servidores públicos </w:t>
      </w:r>
      <w:r>
        <w:t>referidos en respuesta</w:t>
      </w:r>
      <w:r w:rsidR="00A4239F" w:rsidRPr="0028661C">
        <w:t>; dicha situación, toma sustento en el artículo 12 de la Ley de Transparencia y Acceso a la Información Pública del Estado de México y Municipios, que establece que los sujetos obligados sólo están constreñidos a</w:t>
      </w:r>
    </w:p>
    <w:p w14:paraId="41065EDC" w14:textId="4B485E43" w:rsidR="00543011" w:rsidRDefault="00543011" w:rsidP="00606B13">
      <w:pPr>
        <w:widowControl w:val="0"/>
        <w:spacing w:after="0" w:line="360" w:lineRule="auto"/>
        <w:rPr>
          <w:color w:val="auto"/>
        </w:rPr>
      </w:pPr>
    </w:p>
    <w:p w14:paraId="406DEA75" w14:textId="0C76D13E" w:rsidR="0028661C" w:rsidRDefault="0028661C" w:rsidP="00606B13">
      <w:pPr>
        <w:widowControl w:val="0"/>
        <w:spacing w:after="0" w:line="360" w:lineRule="auto"/>
        <w:rPr>
          <w:color w:val="auto"/>
        </w:rPr>
      </w:pPr>
      <w:r>
        <w:t xml:space="preserve">De esta manera, el derecho de acceso a la información pública se satisface en aquellos casos en que se entregue el soporte documental en el que conste la información solicitada, sin necesidad de elaborar documentos </w:t>
      </w:r>
      <w:r w:rsidRPr="0028661C">
        <w:rPr>
          <w:i/>
        </w:rPr>
        <w:t>ad hoc</w:t>
      </w:r>
      <w:r>
        <w:t>; lo cual, de conformidad con en el artículo 160 de la Ley de Transparencia y Acceso a la Información Pública del Estado de México y Municipios, el cual refiere que los sujetos obligados deberán entregar la información que obre en sus archivos.</w:t>
      </w:r>
    </w:p>
    <w:p w14:paraId="53C860D2" w14:textId="77777777" w:rsidR="0028661C" w:rsidRPr="000F78BA" w:rsidRDefault="0028661C" w:rsidP="00606B13">
      <w:pPr>
        <w:widowControl w:val="0"/>
        <w:spacing w:after="0" w:line="360" w:lineRule="auto"/>
        <w:rPr>
          <w:color w:val="auto"/>
        </w:rPr>
      </w:pPr>
    </w:p>
    <w:p w14:paraId="12170372" w14:textId="0684D7F1" w:rsidR="001B149A" w:rsidRDefault="001B149A" w:rsidP="00606B13">
      <w:pPr>
        <w:widowControl w:val="0"/>
        <w:spacing w:after="0" w:line="360" w:lineRule="auto"/>
        <w:rPr>
          <w:b/>
          <w:color w:val="FF0000"/>
        </w:rPr>
      </w:pPr>
      <w: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que den cuenta de lo requerido, concerniente al sueldo bruto y neto mensual vigente.</w:t>
      </w:r>
    </w:p>
    <w:p w14:paraId="17EBEAC2" w14:textId="77777777" w:rsidR="001B149A" w:rsidRDefault="001B149A" w:rsidP="00606B13">
      <w:pPr>
        <w:widowControl w:val="0"/>
        <w:spacing w:after="0" w:line="360" w:lineRule="auto"/>
        <w:rPr>
          <w:b/>
          <w:color w:val="FF0000"/>
        </w:rPr>
      </w:pPr>
    </w:p>
    <w:p w14:paraId="5099CCBF" w14:textId="2BDC8734" w:rsidR="001B149A" w:rsidRDefault="001B149A" w:rsidP="00251B07">
      <w:pPr>
        <w:spacing w:after="0" w:line="360" w:lineRule="auto"/>
      </w:pPr>
      <w:r>
        <w:t>Finalmente, no pasa desapercibido para este Instituto, que los documentos podrían contener datos o información clasificada</w:t>
      </w:r>
      <w:r w:rsidR="00251B07">
        <w:t>, como pudiera ser la Clave Única de Registro de Población y el Registro Federal de Contribuyentes</w:t>
      </w:r>
      <w:r>
        <w:t xml:space="preserve">, por lo que, deberá elaborar las versiones públicas respectivas;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w:t>
      </w:r>
      <w:r>
        <w:lastRenderedPageBreak/>
        <w:t>versión Pública en la que se testen las partes o secciones clasificadas, indicando su contenido de manera genérica y fundando y motivando su clasificación.</w:t>
      </w:r>
    </w:p>
    <w:p w14:paraId="39C455FA" w14:textId="77777777" w:rsidR="001B149A" w:rsidRDefault="001B149A" w:rsidP="00606B13">
      <w:pPr>
        <w:widowControl w:val="0"/>
        <w:spacing w:after="0" w:line="360" w:lineRule="auto"/>
        <w:rPr>
          <w:b/>
          <w:color w:val="FF0000"/>
        </w:rPr>
      </w:pPr>
    </w:p>
    <w:p w14:paraId="1A3FEB1A" w14:textId="4ABAD798" w:rsidR="00E32B90" w:rsidRDefault="001B149A" w:rsidP="00606B13">
      <w:pPr>
        <w:widowControl w:val="0"/>
        <w:spacing w:after="0" w:line="360" w:lineRule="auto"/>
      </w:pPr>
      <w: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w:t>
      </w:r>
      <w:r w:rsidR="00002774">
        <w:t>o y motivando la clasificación.</w:t>
      </w:r>
    </w:p>
    <w:p w14:paraId="76DAB841" w14:textId="77777777" w:rsidR="00251B07" w:rsidRDefault="00251B07" w:rsidP="00606B13">
      <w:pPr>
        <w:widowControl w:val="0"/>
        <w:spacing w:after="0" w:line="360" w:lineRule="auto"/>
      </w:pPr>
    </w:p>
    <w:p w14:paraId="24A6B2F8" w14:textId="4C169ADD" w:rsidR="001B149A" w:rsidRPr="00002774" w:rsidRDefault="00E32B90" w:rsidP="00606B13">
      <w:pPr>
        <w:pStyle w:val="Ttulo1"/>
        <w:keepNext w:val="0"/>
        <w:keepLines w:val="0"/>
        <w:spacing w:before="0" w:after="0" w:line="360" w:lineRule="auto"/>
        <w:rPr>
          <w:sz w:val="22"/>
          <w:szCs w:val="22"/>
        </w:rPr>
      </w:pPr>
      <w:bookmarkStart w:id="43" w:name="_Toc194413678"/>
      <w:bookmarkStart w:id="44" w:name="_Toc195200989"/>
      <w:r w:rsidRPr="00002774">
        <w:rPr>
          <w:sz w:val="22"/>
          <w:szCs w:val="22"/>
        </w:rPr>
        <w:t>SEXTO. Decisión</w:t>
      </w:r>
      <w:bookmarkEnd w:id="43"/>
      <w:bookmarkEnd w:id="44"/>
    </w:p>
    <w:p w14:paraId="564BAC5B" w14:textId="77777777" w:rsidR="00E32B90" w:rsidRDefault="00E32B90" w:rsidP="00606B13">
      <w:pPr>
        <w:spacing w:after="0" w:line="360" w:lineRule="auto"/>
        <w:contextualSpacing/>
        <w:rPr>
          <w:rFonts w:eastAsia="Calibri" w:cs="Tahoma"/>
          <w:color w:val="000000"/>
          <w:lang w:eastAsia="en-US"/>
        </w:rPr>
      </w:pPr>
    </w:p>
    <w:p w14:paraId="2A2E8907" w14:textId="73B64471" w:rsidR="00E32B90" w:rsidRPr="00E32B90" w:rsidRDefault="00E32B90" w:rsidP="00606B13">
      <w:pPr>
        <w:spacing w:after="0" w:line="360" w:lineRule="auto"/>
        <w:contextualSpacing/>
        <w:rPr>
          <w:rFonts w:eastAsia="Calibri" w:cs="Tahoma"/>
          <w:color w:val="000000"/>
          <w:lang w:eastAsia="en-US"/>
        </w:rPr>
      </w:pPr>
      <w:r w:rsidRPr="00E32B90">
        <w:rPr>
          <w:rFonts w:eastAsia="Calibri" w:cs="Tahoma"/>
          <w:color w:val="000000"/>
          <w:lang w:eastAsia="en-US"/>
        </w:rPr>
        <w:t xml:space="preserve">De acuerdo con lo expuesto y, con fundamento en el artículo 186, fracción III, de la Ley de Transparencia y Acceso a la Información Pública del Estado de México y Municipios, este Instituto considera procedente </w:t>
      </w:r>
      <w:r w:rsidRPr="00E32B90">
        <w:rPr>
          <w:rFonts w:eastAsia="Calibri" w:cs="Tahoma"/>
          <w:b/>
          <w:color w:val="000000"/>
          <w:lang w:eastAsia="en-US"/>
        </w:rPr>
        <w:t xml:space="preserve">MODIFICAR </w:t>
      </w:r>
      <w:r w:rsidRPr="00E32B90">
        <w:rPr>
          <w:rFonts w:eastAsia="Calibri" w:cs="Tahoma"/>
          <w:color w:val="000000"/>
          <w:lang w:eastAsia="en-US"/>
        </w:rPr>
        <w:t xml:space="preserve">la respuesta del Ayuntamiento </w:t>
      </w:r>
      <w:r>
        <w:rPr>
          <w:rFonts w:eastAsia="Calibri" w:cs="Tahoma"/>
          <w:color w:val="000000"/>
          <w:lang w:eastAsia="en-US"/>
        </w:rPr>
        <w:t xml:space="preserve">de Coacalco de Berriozábal, </w:t>
      </w:r>
      <w:r>
        <w:t xml:space="preserve">a efecto de que </w:t>
      </w:r>
      <w:r w:rsidR="00251B07">
        <w:t>entregue la información faltante.</w:t>
      </w:r>
    </w:p>
    <w:p w14:paraId="2F59FC3D" w14:textId="77777777" w:rsidR="00E32B90" w:rsidRPr="00E32B90" w:rsidRDefault="00E32B90" w:rsidP="00606B13">
      <w:pPr>
        <w:widowControl w:val="0"/>
        <w:spacing w:after="0" w:line="360" w:lineRule="auto"/>
        <w:rPr>
          <w:b/>
          <w:color w:val="FF0000"/>
        </w:rPr>
      </w:pPr>
    </w:p>
    <w:p w14:paraId="640949C7" w14:textId="0E3FBE92" w:rsidR="004D196B" w:rsidRPr="004D196B" w:rsidRDefault="004D196B" w:rsidP="00606B13">
      <w:pPr>
        <w:widowControl w:val="0"/>
        <w:spacing w:after="0" w:line="360" w:lineRule="auto"/>
        <w:rPr>
          <w:b/>
          <w:color w:val="FF0000"/>
        </w:rPr>
      </w:pPr>
      <w:r w:rsidRPr="004D196B">
        <w:rPr>
          <w:b/>
        </w:rPr>
        <w:t>Términos de la Resolución para conocimiento del Particular</w:t>
      </w:r>
    </w:p>
    <w:p w14:paraId="1B115C64" w14:textId="77777777" w:rsidR="004D196B" w:rsidRDefault="004D196B" w:rsidP="00606B13">
      <w:pPr>
        <w:widowControl w:val="0"/>
        <w:spacing w:after="0" w:line="360" w:lineRule="auto"/>
      </w:pPr>
    </w:p>
    <w:p w14:paraId="7466C5D8" w14:textId="77777777" w:rsidR="00251B07" w:rsidRDefault="004D196B" w:rsidP="00606B13">
      <w:pPr>
        <w:widowControl w:val="0"/>
        <w:spacing w:after="0" w:line="360" w:lineRule="auto"/>
      </w:pPr>
      <w:r>
        <w:t xml:space="preserve">Se le hace del conocimiento al Particular, que, en el presente caso, se le concede la razón, pues el Sujeto Obligado no le remitió toda la información </w:t>
      </w:r>
      <w:r w:rsidR="00251B07">
        <w:t>completa</w:t>
      </w:r>
      <w:r>
        <w:t xml:space="preserve">, por lo que deberá </w:t>
      </w:r>
      <w:r w:rsidR="00251B07">
        <w:t>proporcionarle el sueldo mensual bruto y neto vigente de los servidores públicos señalados en respuesta</w:t>
      </w:r>
      <w:r>
        <w:t xml:space="preserve">. </w:t>
      </w:r>
    </w:p>
    <w:p w14:paraId="7161DD26" w14:textId="77777777" w:rsidR="00251B07" w:rsidRDefault="00251B07" w:rsidP="00606B13">
      <w:pPr>
        <w:widowControl w:val="0"/>
        <w:spacing w:after="0" w:line="360" w:lineRule="auto"/>
      </w:pPr>
    </w:p>
    <w:p w14:paraId="04123356" w14:textId="25C0D2C0" w:rsidR="004D196B" w:rsidRDefault="004D196B" w:rsidP="00606B13">
      <w:pPr>
        <w:widowControl w:val="0"/>
        <w:spacing w:after="0" w:line="360" w:lineRule="auto"/>
      </w:pPr>
      <w:r>
        <w:t>Finalmente, se le informa que la labor de este Instituto de Transparencia, Acceso a la Información Pública y Protección de Datos Personales del Estado de México y Municipios, es apoyar a la población a acceder a la información pública, así como, garantizar la protección de los datos personales.</w:t>
      </w:r>
    </w:p>
    <w:p w14:paraId="6475CCB1" w14:textId="77777777" w:rsidR="004D196B" w:rsidRDefault="004D196B" w:rsidP="00606B13">
      <w:pPr>
        <w:widowControl w:val="0"/>
        <w:spacing w:after="0" w:line="360" w:lineRule="auto"/>
      </w:pPr>
    </w:p>
    <w:p w14:paraId="4D08C362" w14:textId="454AA71A" w:rsidR="005A3623" w:rsidRDefault="00E30A70" w:rsidP="00606B13">
      <w:pPr>
        <w:spacing w:after="0" w:line="360" w:lineRule="auto"/>
        <w:rPr>
          <w:rFonts w:eastAsia="Calibri" w:cs="Tahoma"/>
          <w:bCs/>
          <w:color w:val="auto"/>
          <w:lang w:eastAsia="en-US"/>
        </w:rPr>
      </w:pPr>
      <w:r w:rsidRPr="004D196B">
        <w:rPr>
          <w:rFonts w:eastAsiaTheme="minorHAnsi" w:cstheme="minorBidi"/>
          <w:color w:val="auto"/>
          <w:lang w:eastAsia="en-US"/>
        </w:rPr>
        <w:lastRenderedPageBreak/>
        <w:t>Por</w:t>
      </w:r>
      <w:r w:rsidRPr="004D196B">
        <w:rPr>
          <w:rFonts w:eastAsia="Calibri" w:cs="Tahoma"/>
          <w:bCs/>
          <w:color w:val="auto"/>
          <w:lang w:eastAsia="en-US"/>
        </w:rPr>
        <w:t xml:space="preserve"> lo expuesto y fundado, este Pleno:</w:t>
      </w:r>
    </w:p>
    <w:p w14:paraId="5E29C595" w14:textId="77777777" w:rsidR="00251B07" w:rsidRPr="00F56FAF" w:rsidRDefault="00251B07" w:rsidP="00606B13">
      <w:pPr>
        <w:spacing w:after="0" w:line="360" w:lineRule="auto"/>
        <w:rPr>
          <w:rFonts w:eastAsia="Calibri" w:cs="Tahoma"/>
          <w:bCs/>
          <w:color w:val="auto"/>
          <w:lang w:eastAsia="en-US"/>
        </w:rPr>
      </w:pPr>
    </w:p>
    <w:p w14:paraId="68045B21" w14:textId="77777777" w:rsidR="00E30A70" w:rsidRPr="00F56FAF" w:rsidRDefault="00E30A70" w:rsidP="00606B13">
      <w:pPr>
        <w:pStyle w:val="Ttulo1"/>
        <w:keepNext w:val="0"/>
        <w:keepLines w:val="0"/>
        <w:spacing w:before="0" w:after="0" w:line="360" w:lineRule="auto"/>
        <w:jc w:val="center"/>
        <w:rPr>
          <w:sz w:val="22"/>
          <w:szCs w:val="22"/>
          <w:lang w:eastAsia="en-US"/>
        </w:rPr>
      </w:pPr>
      <w:bookmarkStart w:id="45" w:name="_Toc194413679"/>
      <w:bookmarkStart w:id="46" w:name="_Toc195200990"/>
      <w:r w:rsidRPr="00F56FAF">
        <w:rPr>
          <w:sz w:val="22"/>
          <w:szCs w:val="22"/>
          <w:lang w:eastAsia="en-US"/>
        </w:rPr>
        <w:t>R E S U E L V E</w:t>
      </w:r>
      <w:bookmarkEnd w:id="45"/>
      <w:bookmarkEnd w:id="46"/>
    </w:p>
    <w:p w14:paraId="419D6FE3" w14:textId="77777777" w:rsidR="000C5EFD" w:rsidRPr="00FD7B59" w:rsidRDefault="000C5EFD" w:rsidP="00606B13">
      <w:pPr>
        <w:spacing w:after="0" w:line="360" w:lineRule="auto"/>
        <w:jc w:val="center"/>
        <w:rPr>
          <w:rFonts w:eastAsia="Calibri" w:cs="Tahoma"/>
          <w:b/>
          <w:bCs/>
          <w:iCs/>
          <w:color w:val="FF0000"/>
          <w:lang w:eastAsia="en-US"/>
        </w:rPr>
      </w:pPr>
    </w:p>
    <w:p w14:paraId="56F2F492" w14:textId="7152725F" w:rsidR="000C5EFD" w:rsidRPr="000C5EFD" w:rsidRDefault="000C5EFD" w:rsidP="00606B13">
      <w:pPr>
        <w:spacing w:after="0" w:line="360" w:lineRule="auto"/>
        <w:contextualSpacing/>
        <w:rPr>
          <w:rFonts w:eastAsia="Calibri" w:cs="Tahoma"/>
          <w:bCs/>
          <w:color w:val="000000"/>
          <w:lang w:eastAsia="en-US"/>
        </w:rPr>
      </w:pPr>
      <w:r w:rsidRPr="000C5EFD">
        <w:rPr>
          <w:rFonts w:eastAsia="Calibri" w:cs="Tahoma"/>
          <w:b/>
          <w:bCs/>
          <w:iCs/>
          <w:color w:val="auto"/>
          <w:lang w:eastAsia="en-US"/>
        </w:rPr>
        <w:t xml:space="preserve">PRIMERO. </w:t>
      </w:r>
      <w:r w:rsidRPr="000C5EFD">
        <w:rPr>
          <w:rFonts w:eastAsia="Calibri" w:cs="Tahoma"/>
          <w:bCs/>
          <w:color w:val="000000"/>
          <w:lang w:eastAsia="en-US"/>
        </w:rPr>
        <w:t xml:space="preserve">Se </w:t>
      </w:r>
      <w:r w:rsidRPr="000C5EFD">
        <w:rPr>
          <w:rFonts w:eastAsia="Calibri" w:cs="Tahoma"/>
          <w:b/>
          <w:bCs/>
          <w:color w:val="000000"/>
          <w:lang w:eastAsia="en-US"/>
        </w:rPr>
        <w:t xml:space="preserve">MODIFICA </w:t>
      </w:r>
      <w:r w:rsidRPr="000C5EFD">
        <w:rPr>
          <w:rFonts w:eastAsia="Calibri" w:cs="Tahoma"/>
          <w:bCs/>
          <w:color w:val="000000"/>
          <w:lang w:eastAsia="en-US"/>
        </w:rPr>
        <w:t xml:space="preserve">la respuesta entregada por el Ayuntamiento de </w:t>
      </w:r>
      <w:r>
        <w:rPr>
          <w:rFonts w:eastAsia="Calibri" w:cs="Tahoma"/>
          <w:bCs/>
          <w:color w:val="000000"/>
          <w:lang w:eastAsia="en-US"/>
        </w:rPr>
        <w:t xml:space="preserve">Coacalco de Berriozábal, a la solicitud de información </w:t>
      </w:r>
      <w:r w:rsidRPr="00FD7B59">
        <w:rPr>
          <w:color w:val="auto"/>
        </w:rPr>
        <w:t>00026/COACALCO/IP/2025</w:t>
      </w:r>
      <w:r w:rsidRPr="000C5EFD">
        <w:rPr>
          <w:rFonts w:eastAsia="Calibri" w:cs="Tahoma"/>
          <w:bCs/>
          <w:color w:val="000000"/>
          <w:lang w:eastAsia="en-US"/>
        </w:rPr>
        <w:t xml:space="preserve">, </w:t>
      </w:r>
      <w:r w:rsidRPr="000C5EFD">
        <w:rPr>
          <w:rFonts w:eastAsia="Calibri" w:cs="Times New Roman"/>
          <w:bCs/>
          <w:color w:val="000000"/>
          <w:lang w:eastAsia="en-US"/>
        </w:rPr>
        <w:t>por</w:t>
      </w:r>
      <w:r w:rsidRPr="000C5EFD">
        <w:rPr>
          <w:rFonts w:eastAsia="Calibri" w:cs="Times New Roman"/>
          <w:color w:val="000000"/>
          <w:lang w:eastAsia="en-US"/>
        </w:rPr>
        <w:t xml:space="preserve"> resultar parcialmente </w:t>
      </w:r>
      <w:r w:rsidRPr="000C5EFD">
        <w:rPr>
          <w:rFonts w:eastAsia="Calibri" w:cs="Times New Roman"/>
          <w:b/>
          <w:color w:val="000000"/>
          <w:lang w:eastAsia="en-US"/>
        </w:rPr>
        <w:t>FUNDADAS</w:t>
      </w:r>
      <w:r w:rsidRPr="000C5EFD">
        <w:rPr>
          <w:rFonts w:eastAsia="Calibri" w:cs="Tahoma"/>
          <w:color w:val="000000"/>
          <w:lang w:eastAsia="en-US"/>
        </w:rPr>
        <w:t xml:space="preserve"> las razones o motivos de inconformidad hechos valer por la Particular, en</w:t>
      </w:r>
      <w:r w:rsidRPr="000C5EFD">
        <w:rPr>
          <w:rFonts w:eastAsia="Calibri" w:cs="Tahoma"/>
          <w:bCs/>
          <w:color w:val="000000"/>
          <w:lang w:eastAsia="en-US"/>
        </w:rPr>
        <w:t xml:space="preserve"> términos de los considerandos </w:t>
      </w:r>
      <w:r w:rsidRPr="000C5EFD">
        <w:rPr>
          <w:rFonts w:eastAsia="Calibri" w:cs="Tahoma"/>
          <w:color w:val="000000"/>
          <w:lang w:eastAsia="en-US"/>
        </w:rPr>
        <w:t>QUINTO y SEXTO</w:t>
      </w:r>
      <w:r w:rsidRPr="000C5EFD">
        <w:rPr>
          <w:rFonts w:eastAsia="Calibri" w:cs="Tahoma"/>
          <w:bCs/>
          <w:color w:val="000000"/>
          <w:lang w:eastAsia="en-US"/>
        </w:rPr>
        <w:t xml:space="preserve"> de la presente Resolución.</w:t>
      </w:r>
    </w:p>
    <w:p w14:paraId="0A28E3AC" w14:textId="77777777" w:rsidR="00E30A70" w:rsidRDefault="00E30A70" w:rsidP="00606B13">
      <w:pPr>
        <w:spacing w:after="0" w:line="360" w:lineRule="auto"/>
        <w:rPr>
          <w:rFonts w:eastAsia="Calibri" w:cs="Tahoma"/>
          <w:b/>
          <w:bCs/>
          <w:iCs/>
          <w:color w:val="FF0000"/>
          <w:lang w:eastAsia="en-US"/>
        </w:rPr>
      </w:pPr>
    </w:p>
    <w:p w14:paraId="20F6099F" w14:textId="038DC1E5" w:rsidR="00001EBB" w:rsidRDefault="00001EBB" w:rsidP="00606B13">
      <w:pPr>
        <w:spacing w:after="0" w:line="360" w:lineRule="auto"/>
        <w:rPr>
          <w:rFonts w:eastAsia="Times New Roman" w:cs="Times New Roman"/>
          <w:color w:val="auto"/>
          <w:lang w:eastAsia="es-ES"/>
        </w:rPr>
      </w:pPr>
      <w:r w:rsidRPr="00001EBB">
        <w:rPr>
          <w:rFonts w:eastAsia="Calibri" w:cs="Tahoma"/>
          <w:b/>
          <w:bCs/>
          <w:iCs/>
          <w:color w:val="auto"/>
          <w:lang w:eastAsia="en-US"/>
        </w:rPr>
        <w:t xml:space="preserve">SEGUNDO. </w:t>
      </w:r>
      <w:r w:rsidRPr="00001EBB">
        <w:rPr>
          <w:rFonts w:eastAsia="Calibri" w:cs="Tahoma"/>
          <w:bCs/>
          <w:iCs/>
          <w:color w:val="auto"/>
          <w:lang w:eastAsia="en-US"/>
        </w:rPr>
        <w:t xml:space="preserve">Se </w:t>
      </w:r>
      <w:r w:rsidRPr="00001EBB">
        <w:rPr>
          <w:rFonts w:eastAsia="Calibri" w:cs="Tahoma"/>
          <w:b/>
          <w:bCs/>
          <w:iCs/>
          <w:color w:val="auto"/>
          <w:lang w:eastAsia="en-US"/>
        </w:rPr>
        <w:t xml:space="preserve">ORDENA </w:t>
      </w:r>
      <w:r w:rsidRPr="00001EBB">
        <w:rPr>
          <w:rFonts w:eastAsia="Calibri" w:cs="Tahoma"/>
          <w:bCs/>
          <w:iCs/>
          <w:color w:val="auto"/>
          <w:lang w:eastAsia="en-US"/>
        </w:rPr>
        <w:t xml:space="preserve">al Ente Recurrido, </w:t>
      </w:r>
      <w:r w:rsidRPr="00001EBB">
        <w:rPr>
          <w:rFonts w:eastAsia="Times New Roman" w:cs="Times New Roman"/>
          <w:color w:val="auto"/>
          <w:lang w:eastAsia="es-ES"/>
        </w:rPr>
        <w:t>a efecto de que previa búsqueda exhaustiva y razonable en todas las unidades administrativas competente</w:t>
      </w:r>
      <w:r>
        <w:rPr>
          <w:rFonts w:eastAsia="Times New Roman" w:cs="Times New Roman"/>
          <w:color w:val="auto"/>
          <w:lang w:eastAsia="es-ES"/>
        </w:rPr>
        <w:t>s, entregue a través del Sistema de Acceso a la Información Mexiquense (SAIMEX), en su caso, en versión pública, los documentos donde conste lo siguiente:</w:t>
      </w:r>
    </w:p>
    <w:p w14:paraId="0D73EACD" w14:textId="77777777" w:rsidR="002438E6" w:rsidRDefault="002438E6" w:rsidP="00606B13">
      <w:pPr>
        <w:spacing w:after="0" w:line="360" w:lineRule="auto"/>
        <w:rPr>
          <w:rFonts w:eastAsia="Times New Roman" w:cs="Times New Roman"/>
          <w:color w:val="auto"/>
          <w:lang w:eastAsia="es-ES"/>
        </w:rPr>
      </w:pPr>
    </w:p>
    <w:p w14:paraId="330366D5" w14:textId="7924F589" w:rsidR="002438E6" w:rsidRDefault="002438E6" w:rsidP="00606B13">
      <w:pPr>
        <w:pStyle w:val="Prrafodelista"/>
        <w:numPr>
          <w:ilvl w:val="0"/>
          <w:numId w:val="17"/>
        </w:numPr>
        <w:spacing w:after="0" w:line="360" w:lineRule="auto"/>
        <w:ind w:left="567" w:hanging="141"/>
        <w:rPr>
          <w:rFonts w:eastAsia="Times New Roman" w:cs="Times New Roman"/>
          <w:color w:val="auto"/>
          <w:lang w:eastAsia="es-ES"/>
        </w:rPr>
      </w:pPr>
      <w:r w:rsidRPr="002438E6">
        <w:rPr>
          <w:rFonts w:eastAsia="Times New Roman" w:cs="Times New Roman"/>
          <w:color w:val="auto"/>
          <w:lang w:eastAsia="es-ES"/>
        </w:rPr>
        <w:t>El sueldo bruto y neto mensual vigente al cinco de marzo de dos mil veinticinco, de los servidores públicos señalados en respuesta.</w:t>
      </w:r>
    </w:p>
    <w:p w14:paraId="3C1DC05C" w14:textId="77777777" w:rsidR="00FD28DF" w:rsidRDefault="00FD28DF" w:rsidP="00606B13">
      <w:pPr>
        <w:spacing w:after="0" w:line="360" w:lineRule="auto"/>
        <w:rPr>
          <w:rFonts w:eastAsia="Times New Roman" w:cs="Times New Roman"/>
          <w:color w:val="auto"/>
          <w:lang w:eastAsia="es-ES"/>
        </w:rPr>
      </w:pPr>
    </w:p>
    <w:p w14:paraId="04822EC4" w14:textId="3E8977B1" w:rsidR="00FD28DF" w:rsidRPr="00FD28DF" w:rsidRDefault="00FD28DF" w:rsidP="00606B13">
      <w:pPr>
        <w:spacing w:after="0" w:line="360" w:lineRule="auto"/>
        <w:rPr>
          <w:rFonts w:eastAsia="Times New Roman" w:cs="Times New Roman"/>
          <w:color w:val="auto"/>
          <w:lang w:eastAsia="es-ES"/>
        </w:rPr>
      </w:pPr>
      <w: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3617B06D" w14:textId="77777777" w:rsidR="00E30A70" w:rsidRPr="00FD7B59" w:rsidRDefault="00E30A70" w:rsidP="00606B13">
      <w:pPr>
        <w:spacing w:after="0" w:line="360" w:lineRule="auto"/>
        <w:rPr>
          <w:rFonts w:eastAsia="Calibri" w:cs="Tahoma"/>
          <w:b/>
          <w:bCs/>
          <w:iCs/>
          <w:color w:val="FF0000"/>
          <w:lang w:eastAsia="en-US"/>
        </w:rPr>
      </w:pPr>
    </w:p>
    <w:p w14:paraId="7A99FDB0" w14:textId="77777777" w:rsidR="007230A0" w:rsidRPr="00FD7B59" w:rsidRDefault="007230A0" w:rsidP="00606B13">
      <w:pPr>
        <w:spacing w:after="0" w:line="360" w:lineRule="auto"/>
        <w:rPr>
          <w:color w:val="FF0000"/>
        </w:rPr>
      </w:pPr>
    </w:p>
    <w:p w14:paraId="00A6434D" w14:textId="77777777" w:rsidR="007230A0" w:rsidRPr="00FD7B59" w:rsidRDefault="007230A0" w:rsidP="00606B13">
      <w:pPr>
        <w:tabs>
          <w:tab w:val="left" w:pos="993"/>
        </w:tabs>
        <w:spacing w:after="0" w:line="360" w:lineRule="auto"/>
        <w:ind w:right="-28"/>
        <w:rPr>
          <w:color w:val="FF0000"/>
        </w:rPr>
      </w:pPr>
    </w:p>
    <w:p w14:paraId="057085EB" w14:textId="77777777" w:rsidR="007230A0" w:rsidRPr="00FD7B59" w:rsidRDefault="007230A0" w:rsidP="00606B13">
      <w:pPr>
        <w:widowControl w:val="0"/>
        <w:spacing w:after="0" w:line="360" w:lineRule="auto"/>
        <w:rPr>
          <w:color w:val="FF0000"/>
        </w:rPr>
      </w:pPr>
    </w:p>
    <w:p w14:paraId="205BAB50" w14:textId="77777777" w:rsidR="00FD28DF" w:rsidRPr="00FD28DF" w:rsidRDefault="00FD28DF" w:rsidP="00606B13">
      <w:pPr>
        <w:spacing w:after="0" w:line="360" w:lineRule="auto"/>
        <w:ind w:right="-28"/>
        <w:contextualSpacing/>
        <w:rPr>
          <w:b/>
          <w:color w:val="auto"/>
          <w:lang w:eastAsia="en-US"/>
        </w:rPr>
      </w:pPr>
      <w:r w:rsidRPr="00FD28DF">
        <w:rPr>
          <w:rFonts w:eastAsia="Times New Roman" w:cs="Tahoma"/>
          <w:b/>
          <w:bCs/>
          <w:iCs/>
          <w:color w:val="auto"/>
          <w:lang w:val="es-ES" w:eastAsia="es-ES"/>
        </w:rPr>
        <w:lastRenderedPageBreak/>
        <w:t>TERCERO</w:t>
      </w:r>
      <w:r w:rsidRPr="00FD28DF">
        <w:rPr>
          <w:rFonts w:eastAsia="Times New Roman" w:cs="Tahoma"/>
          <w:b/>
          <w:bCs/>
          <w:iCs/>
          <w:color w:val="auto"/>
          <w:lang w:eastAsia="es-ES"/>
        </w:rPr>
        <w:t xml:space="preserve">. </w:t>
      </w:r>
      <w:r w:rsidRPr="00FD28DF">
        <w:rPr>
          <w:b/>
          <w:color w:val="auto"/>
          <w:lang w:eastAsia="en-US"/>
        </w:rPr>
        <w:t xml:space="preserve">NOTIFÍQUESE POR SAIMEX </w:t>
      </w:r>
      <w:r w:rsidRPr="00FD28DF">
        <w:rPr>
          <w:color w:val="auto"/>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77C7D72E" w14:textId="77777777" w:rsidR="00FD28DF" w:rsidRPr="00FD28DF" w:rsidRDefault="00FD28DF" w:rsidP="00606B13">
      <w:pPr>
        <w:spacing w:after="0" w:line="360" w:lineRule="auto"/>
        <w:ind w:right="-28"/>
        <w:contextualSpacing/>
        <w:rPr>
          <w:color w:val="000000"/>
          <w:lang w:eastAsia="en-US"/>
        </w:rPr>
      </w:pPr>
    </w:p>
    <w:p w14:paraId="4896E59D" w14:textId="52ED157D" w:rsidR="00FD28DF" w:rsidRPr="00FD28DF" w:rsidRDefault="00FD28DF" w:rsidP="00606B13">
      <w:pPr>
        <w:spacing w:after="0" w:line="360" w:lineRule="auto"/>
        <w:contextualSpacing/>
        <w:rPr>
          <w:color w:val="000000"/>
          <w:lang w:eastAsia="en-US"/>
        </w:rPr>
      </w:pPr>
      <w:r w:rsidRPr="00FD28DF">
        <w:rPr>
          <w:color w:val="000000"/>
          <w:lang w:eastAsia="en-US"/>
        </w:rPr>
        <w:t xml:space="preserve">De conformidad con el artículo 198 de la </w:t>
      </w:r>
      <w:r w:rsidRPr="00FD28DF">
        <w:rPr>
          <w:color w:val="auto"/>
          <w:lang w:eastAsia="en-US"/>
        </w:rPr>
        <w:t xml:space="preserve">Ley </w:t>
      </w:r>
      <w:r w:rsidR="00251B07">
        <w:rPr>
          <w:color w:val="auto"/>
          <w:lang w:eastAsia="en-US"/>
        </w:rPr>
        <w:t>de la materia</w:t>
      </w:r>
      <w:r w:rsidRPr="00FD28DF">
        <w:rPr>
          <w:color w:val="000000"/>
          <w:lang w:eastAsia="en-US"/>
        </w:rPr>
        <w:t>, de considerarlo procedente, el Sujeto Obligado de manera fundada y motivada, podrá solicitar una ampliación de plazo para el cumplimiento de la presente resolución.</w:t>
      </w:r>
    </w:p>
    <w:p w14:paraId="5FF39312" w14:textId="77777777" w:rsidR="00FD28DF" w:rsidRPr="00FD28DF" w:rsidRDefault="00FD28DF" w:rsidP="00606B13">
      <w:pPr>
        <w:spacing w:after="0" w:line="360" w:lineRule="auto"/>
        <w:ind w:right="-28"/>
        <w:contextualSpacing/>
        <w:rPr>
          <w:b/>
          <w:color w:val="auto"/>
          <w:lang w:val="es-ES_tradnl" w:eastAsia="en-US"/>
        </w:rPr>
      </w:pPr>
    </w:p>
    <w:p w14:paraId="1E5E0DFB" w14:textId="77777777" w:rsidR="00FD28DF" w:rsidRPr="00FD28DF" w:rsidRDefault="00FD28DF" w:rsidP="00606B13">
      <w:pPr>
        <w:spacing w:after="0" w:line="360" w:lineRule="auto"/>
        <w:contextualSpacing/>
        <w:rPr>
          <w:color w:val="auto"/>
          <w:lang w:eastAsia="en-US"/>
        </w:rPr>
      </w:pPr>
      <w:r w:rsidRPr="00FD28DF">
        <w:rPr>
          <w:b/>
          <w:color w:val="auto"/>
          <w:lang w:eastAsia="en-US"/>
        </w:rPr>
        <w:t>CUARTO. NOTIFÍQUESE POR SAIMEX</w:t>
      </w:r>
      <w:r w:rsidRPr="00FD28DF">
        <w:rPr>
          <w:color w:val="auto"/>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94B1401" w14:textId="77777777" w:rsidR="00FD28DF" w:rsidRPr="00FD28DF" w:rsidRDefault="00FD28DF" w:rsidP="00606B13">
      <w:pPr>
        <w:spacing w:after="0" w:line="360" w:lineRule="auto"/>
        <w:ind w:right="-28"/>
        <w:contextualSpacing/>
        <w:rPr>
          <w:color w:val="000000"/>
          <w:lang w:eastAsia="en-US"/>
        </w:rPr>
      </w:pPr>
    </w:p>
    <w:p w14:paraId="704B1837" w14:textId="5A5BB4B3" w:rsidR="00FD28DF" w:rsidRPr="00FD28DF" w:rsidRDefault="00FD28DF" w:rsidP="00606B13">
      <w:pPr>
        <w:spacing w:after="0" w:line="360" w:lineRule="auto"/>
        <w:contextualSpacing/>
        <w:rPr>
          <w:rFonts w:eastAsia="Times New Roman" w:cs="Times New Roman"/>
          <w:color w:val="auto"/>
          <w:lang w:eastAsia="es-ES"/>
        </w:rPr>
      </w:pPr>
      <w:r w:rsidRPr="00FD28DF">
        <w:rPr>
          <w:rFonts w:eastAsia="Calibri" w:cs="Times New Roman"/>
          <w:color w:val="auto"/>
          <w:lang w:eastAsia="es-ES"/>
        </w:rPr>
        <w:t xml:space="preserve">ASÍ LO RESUELVE, POR </w:t>
      </w:r>
      <w:r w:rsidRPr="00FD28DF">
        <w:rPr>
          <w:rFonts w:eastAsia="Calibri" w:cs="Times New Roman"/>
          <w:b/>
          <w:bCs/>
          <w:color w:val="auto"/>
          <w:lang w:eastAsia="es-ES"/>
        </w:rPr>
        <w:t>UNANIMIDAD</w:t>
      </w:r>
      <w:r w:rsidRPr="00FD28DF">
        <w:rPr>
          <w:rFonts w:eastAsia="Calibri" w:cs="Times New Roman"/>
          <w:color w:val="auto"/>
          <w:lang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Pr>
          <w:rFonts w:eastAsia="Calibri" w:cs="Times New Roman"/>
          <w:color w:val="auto"/>
          <w:lang w:eastAsia="es-ES"/>
        </w:rPr>
        <w:t>DÉCIMA TERCERA</w:t>
      </w:r>
      <w:r w:rsidRPr="00FD28DF">
        <w:rPr>
          <w:rFonts w:eastAsia="Calibri" w:cs="Times New Roman"/>
          <w:color w:val="auto"/>
          <w:lang w:eastAsia="es-ES"/>
        </w:rPr>
        <w:t xml:space="preserve"> SESIÓN ORDINARIA, CELEBRADA EL </w:t>
      </w:r>
      <w:r>
        <w:rPr>
          <w:rFonts w:eastAsia="Calibri" w:cs="Times New Roman"/>
          <w:color w:val="auto"/>
          <w:lang w:eastAsia="es-ES"/>
        </w:rPr>
        <w:t xml:space="preserve">NUEVE </w:t>
      </w:r>
      <w:r w:rsidRPr="00FD28DF">
        <w:rPr>
          <w:rFonts w:eastAsia="Calibri" w:cs="Times New Roman"/>
          <w:color w:val="auto"/>
          <w:lang w:eastAsia="es-ES"/>
        </w:rPr>
        <w:t>DE ABRIL DE DOS MIL VEINTICINCO, ANTE EL SECRETARIO TÉCNICO DEL PLENO, ALEXIS TAPIA RAMÍREZ.</w:t>
      </w:r>
    </w:p>
    <w:p w14:paraId="0BECFC7B" w14:textId="77777777" w:rsidR="00FD28DF" w:rsidRPr="00FD28DF" w:rsidRDefault="00FD28DF" w:rsidP="00606B13">
      <w:pPr>
        <w:spacing w:after="0" w:line="360" w:lineRule="auto"/>
        <w:ind w:right="-28"/>
        <w:contextualSpacing/>
        <w:rPr>
          <w:rFonts w:eastAsia="Batang" w:cs="Tahoma"/>
          <w:bCs/>
          <w:color w:val="auto"/>
          <w:lang w:eastAsia="es-ES"/>
        </w:rPr>
      </w:pPr>
    </w:p>
    <w:p w14:paraId="1D9EAFF6" w14:textId="77777777" w:rsidR="00FD28DF" w:rsidRPr="00FD28DF" w:rsidRDefault="00FD28DF" w:rsidP="00606B13">
      <w:pPr>
        <w:spacing w:after="0" w:line="360" w:lineRule="auto"/>
        <w:contextualSpacing/>
        <w:jc w:val="left"/>
        <w:rPr>
          <w:rFonts w:eastAsia="Times New Roman" w:cs="Times New Roman"/>
          <w:color w:val="auto"/>
          <w:sz w:val="20"/>
          <w:szCs w:val="20"/>
          <w:lang w:eastAsia="es-ES"/>
        </w:rPr>
      </w:pPr>
    </w:p>
    <w:p w14:paraId="48CE2A8A" w14:textId="77777777" w:rsidR="007230A0" w:rsidRPr="00FD7B59" w:rsidRDefault="007230A0" w:rsidP="00606B13">
      <w:pPr>
        <w:widowControl w:val="0"/>
        <w:spacing w:after="0" w:line="360" w:lineRule="auto"/>
        <w:rPr>
          <w:color w:val="FF0000"/>
        </w:rPr>
      </w:pPr>
    </w:p>
    <w:p w14:paraId="2842CEE0" w14:textId="77777777" w:rsidR="007230A0" w:rsidRPr="00FD7B59" w:rsidRDefault="007230A0" w:rsidP="00606B13">
      <w:pPr>
        <w:widowControl w:val="0"/>
        <w:spacing w:after="0" w:line="360" w:lineRule="auto"/>
        <w:rPr>
          <w:color w:val="FF0000"/>
        </w:rPr>
      </w:pPr>
    </w:p>
    <w:p w14:paraId="260740B1" w14:textId="77777777" w:rsidR="007230A0" w:rsidRPr="00FD7B59" w:rsidRDefault="007230A0" w:rsidP="00606B13">
      <w:pPr>
        <w:widowControl w:val="0"/>
        <w:spacing w:after="0" w:line="360" w:lineRule="auto"/>
        <w:rPr>
          <w:color w:val="FF0000"/>
        </w:rPr>
      </w:pPr>
    </w:p>
    <w:p w14:paraId="7F498D8E" w14:textId="77777777" w:rsidR="007230A0" w:rsidRPr="00FD7B59" w:rsidRDefault="007230A0" w:rsidP="00606B13">
      <w:pPr>
        <w:widowControl w:val="0"/>
        <w:spacing w:after="0" w:line="360" w:lineRule="auto"/>
        <w:rPr>
          <w:color w:val="FF0000"/>
        </w:rPr>
      </w:pPr>
    </w:p>
    <w:p w14:paraId="43C876D3" w14:textId="77777777" w:rsidR="007230A0" w:rsidRPr="00FD7B59" w:rsidRDefault="007230A0" w:rsidP="00606B13">
      <w:pPr>
        <w:spacing w:after="0" w:line="360" w:lineRule="auto"/>
        <w:rPr>
          <w:color w:val="FF0000"/>
        </w:rPr>
      </w:pPr>
    </w:p>
    <w:p w14:paraId="7C834867" w14:textId="77777777" w:rsidR="007230A0" w:rsidRPr="00FD7B59" w:rsidRDefault="007230A0" w:rsidP="00606B13">
      <w:pPr>
        <w:widowControl w:val="0"/>
        <w:spacing w:after="0" w:line="360" w:lineRule="auto"/>
        <w:rPr>
          <w:color w:val="FF0000"/>
        </w:rPr>
      </w:pPr>
    </w:p>
    <w:p w14:paraId="537D89C2" w14:textId="77777777" w:rsidR="007230A0" w:rsidRPr="00FD7B59" w:rsidRDefault="007230A0" w:rsidP="00606B13">
      <w:pPr>
        <w:spacing w:after="0" w:line="360" w:lineRule="auto"/>
        <w:rPr>
          <w:color w:val="FF0000"/>
        </w:rPr>
      </w:pPr>
    </w:p>
    <w:p w14:paraId="121AB883" w14:textId="77777777" w:rsidR="007230A0" w:rsidRPr="00FD7B59" w:rsidRDefault="007230A0" w:rsidP="00606B13">
      <w:pPr>
        <w:spacing w:after="0" w:line="360" w:lineRule="auto"/>
        <w:rPr>
          <w:color w:val="FF0000"/>
        </w:rPr>
      </w:pPr>
    </w:p>
    <w:p w14:paraId="262535AF" w14:textId="77777777" w:rsidR="007230A0" w:rsidRPr="00FD7B59" w:rsidRDefault="007230A0" w:rsidP="00606B13">
      <w:pPr>
        <w:spacing w:after="0" w:line="360" w:lineRule="auto"/>
        <w:rPr>
          <w:color w:val="FF0000"/>
        </w:rPr>
      </w:pPr>
    </w:p>
    <w:p w14:paraId="7C8947F9" w14:textId="77777777" w:rsidR="007230A0" w:rsidRPr="00FD7B59" w:rsidRDefault="007230A0" w:rsidP="00606B13">
      <w:pPr>
        <w:spacing w:after="0" w:line="360" w:lineRule="auto"/>
        <w:rPr>
          <w:color w:val="FF0000"/>
        </w:rPr>
      </w:pPr>
    </w:p>
    <w:p w14:paraId="399B0DA6" w14:textId="77777777" w:rsidR="007230A0" w:rsidRPr="00FD7B59" w:rsidRDefault="007230A0" w:rsidP="00606B13">
      <w:pPr>
        <w:pBdr>
          <w:top w:val="nil"/>
          <w:left w:val="nil"/>
          <w:bottom w:val="nil"/>
          <w:right w:val="nil"/>
          <w:between w:val="nil"/>
        </w:pBdr>
        <w:spacing w:after="0" w:line="360" w:lineRule="auto"/>
        <w:rPr>
          <w:color w:val="FF0000"/>
        </w:rPr>
      </w:pPr>
    </w:p>
    <w:p w14:paraId="0C676C41" w14:textId="77777777" w:rsidR="007230A0" w:rsidRPr="00FD7B59" w:rsidRDefault="007230A0" w:rsidP="00606B13">
      <w:pPr>
        <w:pBdr>
          <w:top w:val="nil"/>
          <w:left w:val="nil"/>
          <w:bottom w:val="nil"/>
          <w:right w:val="nil"/>
          <w:between w:val="nil"/>
        </w:pBdr>
        <w:spacing w:after="0" w:line="360" w:lineRule="auto"/>
        <w:rPr>
          <w:color w:val="FF0000"/>
        </w:rPr>
      </w:pPr>
    </w:p>
    <w:p w14:paraId="76B0B002" w14:textId="77777777" w:rsidR="007230A0" w:rsidRPr="00FD7B59" w:rsidRDefault="007230A0" w:rsidP="00606B13">
      <w:pPr>
        <w:widowControl w:val="0"/>
        <w:spacing w:after="0" w:line="360" w:lineRule="auto"/>
        <w:rPr>
          <w:color w:val="FF0000"/>
        </w:rPr>
      </w:pPr>
    </w:p>
    <w:p w14:paraId="735D37FB" w14:textId="77777777" w:rsidR="007230A0" w:rsidRPr="00FD7B59" w:rsidRDefault="007230A0" w:rsidP="00606B13">
      <w:pPr>
        <w:widowControl w:val="0"/>
        <w:spacing w:after="0" w:line="360" w:lineRule="auto"/>
        <w:rPr>
          <w:color w:val="FF0000"/>
        </w:rPr>
      </w:pPr>
    </w:p>
    <w:p w14:paraId="70859897" w14:textId="77777777" w:rsidR="00D91296" w:rsidRPr="00FD7B59" w:rsidRDefault="00D91296" w:rsidP="00606B13">
      <w:pPr>
        <w:widowControl w:val="0"/>
        <w:spacing w:after="0" w:line="360" w:lineRule="auto"/>
        <w:rPr>
          <w:color w:val="FF0000"/>
        </w:rPr>
      </w:pPr>
    </w:p>
    <w:p w14:paraId="503BCA99" w14:textId="77777777" w:rsidR="00D91296" w:rsidRDefault="00D91296" w:rsidP="00606B13">
      <w:pPr>
        <w:widowControl w:val="0"/>
        <w:spacing w:after="0" w:line="360" w:lineRule="auto"/>
        <w:rPr>
          <w:color w:val="FF0000"/>
        </w:rPr>
      </w:pPr>
    </w:p>
    <w:p w14:paraId="62E3AEA2" w14:textId="77777777" w:rsidR="006A6903" w:rsidRDefault="006A6903" w:rsidP="00606B13">
      <w:pPr>
        <w:widowControl w:val="0"/>
        <w:spacing w:after="0" w:line="360" w:lineRule="auto"/>
        <w:rPr>
          <w:color w:val="FF0000"/>
        </w:rPr>
      </w:pPr>
    </w:p>
    <w:p w14:paraId="53AF5843" w14:textId="77777777" w:rsidR="006A6903" w:rsidRDefault="006A6903" w:rsidP="00606B13">
      <w:pPr>
        <w:widowControl w:val="0"/>
        <w:spacing w:after="0" w:line="360" w:lineRule="auto"/>
        <w:rPr>
          <w:color w:val="FF0000"/>
        </w:rPr>
      </w:pPr>
    </w:p>
    <w:p w14:paraId="08D9F343" w14:textId="77777777" w:rsidR="006A6903" w:rsidRDefault="006A6903" w:rsidP="00606B13">
      <w:pPr>
        <w:widowControl w:val="0"/>
        <w:spacing w:after="0" w:line="360" w:lineRule="auto"/>
        <w:rPr>
          <w:color w:val="FF0000"/>
        </w:rPr>
      </w:pPr>
    </w:p>
    <w:p w14:paraId="2C55FA8D" w14:textId="77777777" w:rsidR="006A6903" w:rsidRDefault="006A6903" w:rsidP="00606B13">
      <w:pPr>
        <w:widowControl w:val="0"/>
        <w:spacing w:after="0" w:line="360" w:lineRule="auto"/>
        <w:rPr>
          <w:color w:val="FF0000"/>
        </w:rPr>
      </w:pPr>
    </w:p>
    <w:p w14:paraId="7979C950" w14:textId="77777777" w:rsidR="006A6903" w:rsidRPr="00FD7B59" w:rsidRDefault="006A6903" w:rsidP="00606B13">
      <w:pPr>
        <w:widowControl w:val="0"/>
        <w:spacing w:after="0" w:line="360" w:lineRule="auto"/>
        <w:rPr>
          <w:color w:val="FF0000"/>
        </w:rPr>
      </w:pPr>
    </w:p>
    <w:p w14:paraId="20D81F3C" w14:textId="77777777" w:rsidR="00D91296" w:rsidRPr="00FD7B59" w:rsidRDefault="00D91296" w:rsidP="00606B13">
      <w:pPr>
        <w:widowControl w:val="0"/>
        <w:spacing w:after="0" w:line="360" w:lineRule="auto"/>
        <w:rPr>
          <w:color w:val="FF0000"/>
        </w:rPr>
      </w:pPr>
    </w:p>
    <w:p w14:paraId="635FF8A0" w14:textId="77777777" w:rsidR="007230A0" w:rsidRPr="00FD7B59" w:rsidRDefault="007230A0" w:rsidP="00606B13">
      <w:pPr>
        <w:widowControl w:val="0"/>
        <w:spacing w:after="0" w:line="360" w:lineRule="auto"/>
        <w:rPr>
          <w:color w:val="FF0000"/>
        </w:rPr>
      </w:pPr>
    </w:p>
    <w:p w14:paraId="73D202BD" w14:textId="77777777" w:rsidR="007230A0" w:rsidRPr="00FD7B59" w:rsidRDefault="007230A0" w:rsidP="00606B13">
      <w:pPr>
        <w:spacing w:after="0" w:line="360" w:lineRule="auto"/>
        <w:ind w:right="-93"/>
        <w:rPr>
          <w:color w:val="FF0000"/>
        </w:rPr>
      </w:pPr>
    </w:p>
    <w:p w14:paraId="5AC00D16" w14:textId="77777777" w:rsidR="007230A0" w:rsidRPr="00FD7B59" w:rsidRDefault="007230A0" w:rsidP="00606B13">
      <w:pPr>
        <w:spacing w:after="0" w:line="360" w:lineRule="auto"/>
        <w:rPr>
          <w:color w:val="FF0000"/>
        </w:rPr>
      </w:pPr>
    </w:p>
    <w:sectPr w:rsidR="007230A0" w:rsidRPr="00FD7B59">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57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58E7F" w14:textId="77777777" w:rsidR="00ED7457" w:rsidRDefault="00ED7457">
      <w:pPr>
        <w:spacing w:after="0" w:line="240" w:lineRule="auto"/>
      </w:pPr>
      <w:r>
        <w:separator/>
      </w:r>
    </w:p>
  </w:endnote>
  <w:endnote w:type="continuationSeparator" w:id="0">
    <w:p w14:paraId="196F5E23" w14:textId="77777777" w:rsidR="00ED7457" w:rsidRDefault="00ED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CCD4" w14:textId="77777777" w:rsidR="009F2768" w:rsidRDefault="009F276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01CF8">
      <w:rPr>
        <w:b/>
        <w:noProof/>
        <w:color w:val="000000"/>
        <w:sz w:val="24"/>
        <w:szCs w:val="24"/>
      </w:rPr>
      <w:t>22</w:t>
    </w:r>
    <w:r>
      <w:rPr>
        <w:b/>
        <w:color w:val="000000"/>
        <w:sz w:val="24"/>
        <w:szCs w:val="24"/>
      </w:rPr>
      <w:fldChar w:fldCharType="end"/>
    </w:r>
  </w:p>
  <w:p w14:paraId="62B5D17B" w14:textId="77777777" w:rsidR="009F2768" w:rsidRDefault="009F276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BCAC" w14:textId="77777777" w:rsidR="009F2768" w:rsidRDefault="009F276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02D6C">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02D6C">
      <w:rPr>
        <w:b/>
        <w:noProof/>
        <w:color w:val="000000"/>
        <w:sz w:val="24"/>
        <w:szCs w:val="24"/>
      </w:rPr>
      <w:t>22</w:t>
    </w:r>
    <w:r>
      <w:rPr>
        <w:b/>
        <w:color w:val="000000"/>
        <w:sz w:val="24"/>
        <w:szCs w:val="24"/>
      </w:rPr>
      <w:fldChar w:fldCharType="end"/>
    </w:r>
  </w:p>
  <w:p w14:paraId="56830101" w14:textId="77777777" w:rsidR="009F2768" w:rsidRDefault="009F276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4E19" w14:textId="77777777" w:rsidR="009F2768" w:rsidRDefault="009F276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02D6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02D6C">
      <w:rPr>
        <w:b/>
        <w:noProof/>
        <w:color w:val="000000"/>
        <w:sz w:val="24"/>
        <w:szCs w:val="24"/>
      </w:rPr>
      <w:t>22</w:t>
    </w:r>
    <w:r>
      <w:rPr>
        <w:b/>
        <w:color w:val="000000"/>
        <w:sz w:val="24"/>
        <w:szCs w:val="24"/>
      </w:rPr>
      <w:fldChar w:fldCharType="end"/>
    </w:r>
  </w:p>
  <w:p w14:paraId="1FC8DAD8" w14:textId="77777777" w:rsidR="009F2768" w:rsidRDefault="009F276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61F38" w14:textId="77777777" w:rsidR="00ED7457" w:rsidRDefault="00ED7457">
      <w:pPr>
        <w:spacing w:after="0" w:line="240" w:lineRule="auto"/>
      </w:pPr>
      <w:r>
        <w:separator/>
      </w:r>
    </w:p>
  </w:footnote>
  <w:footnote w:type="continuationSeparator" w:id="0">
    <w:p w14:paraId="32592999" w14:textId="77777777" w:rsidR="00ED7457" w:rsidRDefault="00ED7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78FF" w14:textId="77777777" w:rsidR="009F2768" w:rsidRDefault="009F2768">
    <w:pPr>
      <w:widowControl w:val="0"/>
      <w:pBdr>
        <w:top w:val="nil"/>
        <w:left w:val="nil"/>
        <w:bottom w:val="nil"/>
        <w:right w:val="nil"/>
        <w:between w:val="nil"/>
      </w:pBdr>
      <w:spacing w:after="0" w:line="276" w:lineRule="auto"/>
      <w:jc w:val="left"/>
    </w:pPr>
  </w:p>
  <w:tbl>
    <w:tblPr>
      <w:tblStyle w:val="a"/>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9F2768" w14:paraId="28D95669" w14:textId="77777777">
      <w:trPr>
        <w:trHeight w:val="132"/>
      </w:trPr>
      <w:tc>
        <w:tcPr>
          <w:tcW w:w="2691" w:type="dxa"/>
        </w:tcPr>
        <w:p w14:paraId="4D149DB0" w14:textId="77777777" w:rsidR="009F2768" w:rsidRDefault="009F2768">
          <w:pPr>
            <w:tabs>
              <w:tab w:val="right" w:pos="8838"/>
            </w:tabs>
            <w:ind w:right="-105"/>
            <w:rPr>
              <w:b/>
            </w:rPr>
          </w:pPr>
          <w:r>
            <w:rPr>
              <w:b/>
            </w:rPr>
            <w:t>Recurso de Revisión:</w:t>
          </w:r>
        </w:p>
      </w:tc>
      <w:tc>
        <w:tcPr>
          <w:tcW w:w="3405" w:type="dxa"/>
        </w:tcPr>
        <w:p w14:paraId="2AF2349E" w14:textId="77777777" w:rsidR="009F2768" w:rsidRDefault="009F2768">
          <w:pPr>
            <w:tabs>
              <w:tab w:val="right" w:pos="8838"/>
            </w:tabs>
            <w:ind w:left="-28" w:right="-32"/>
          </w:pPr>
          <w:r>
            <w:t>03846/INFOEM/IP/RR/2020</w:t>
          </w:r>
        </w:p>
      </w:tc>
    </w:tr>
    <w:tr w:rsidR="009F2768" w14:paraId="289BE36D" w14:textId="77777777">
      <w:trPr>
        <w:trHeight w:val="261"/>
      </w:trPr>
      <w:tc>
        <w:tcPr>
          <w:tcW w:w="2691" w:type="dxa"/>
        </w:tcPr>
        <w:p w14:paraId="34D4B8C9" w14:textId="77777777" w:rsidR="009F2768" w:rsidRDefault="009F2768">
          <w:pPr>
            <w:tabs>
              <w:tab w:val="right" w:pos="8838"/>
            </w:tabs>
            <w:ind w:right="-105"/>
            <w:rPr>
              <w:b/>
            </w:rPr>
          </w:pPr>
          <w:r>
            <w:rPr>
              <w:b/>
            </w:rPr>
            <w:t>Sujeto Obligado:</w:t>
          </w:r>
        </w:p>
      </w:tc>
      <w:tc>
        <w:tcPr>
          <w:tcW w:w="3405" w:type="dxa"/>
        </w:tcPr>
        <w:p w14:paraId="5FC1CB2A" w14:textId="77777777" w:rsidR="009F2768" w:rsidRDefault="009F2768">
          <w:pPr>
            <w:tabs>
              <w:tab w:val="right" w:pos="8838"/>
            </w:tabs>
            <w:ind w:right="-32"/>
          </w:pPr>
          <w:r>
            <w:t>Ayuntamiento de Valle de Chalco Solidaridad</w:t>
          </w:r>
        </w:p>
      </w:tc>
    </w:tr>
    <w:tr w:rsidR="009F2768" w14:paraId="7A586643" w14:textId="77777777">
      <w:trPr>
        <w:trHeight w:val="261"/>
      </w:trPr>
      <w:tc>
        <w:tcPr>
          <w:tcW w:w="2691" w:type="dxa"/>
        </w:tcPr>
        <w:p w14:paraId="7F7085EA" w14:textId="77777777" w:rsidR="009F2768" w:rsidRDefault="009F2768">
          <w:pPr>
            <w:tabs>
              <w:tab w:val="right" w:pos="8838"/>
            </w:tabs>
            <w:ind w:right="-105"/>
            <w:rPr>
              <w:b/>
            </w:rPr>
          </w:pPr>
          <w:r>
            <w:rPr>
              <w:b/>
            </w:rPr>
            <w:t>Comisionado Ponente:</w:t>
          </w:r>
        </w:p>
      </w:tc>
      <w:tc>
        <w:tcPr>
          <w:tcW w:w="3405" w:type="dxa"/>
        </w:tcPr>
        <w:p w14:paraId="1ACE607D" w14:textId="77777777" w:rsidR="009F2768" w:rsidRDefault="009F2768">
          <w:pPr>
            <w:tabs>
              <w:tab w:val="right" w:pos="8838"/>
            </w:tabs>
            <w:ind w:right="-32"/>
            <w:rPr>
              <w:b/>
            </w:rPr>
          </w:pPr>
          <w:r>
            <w:t>Luis Gustavo Parra Noriega</w:t>
          </w:r>
        </w:p>
      </w:tc>
    </w:tr>
  </w:tbl>
  <w:p w14:paraId="2C5803CA" w14:textId="77777777" w:rsidR="009F2768" w:rsidRDefault="00ED7457">
    <w:pPr>
      <w:pBdr>
        <w:top w:val="nil"/>
        <w:left w:val="nil"/>
        <w:bottom w:val="nil"/>
        <w:right w:val="nil"/>
        <w:between w:val="nil"/>
      </w:pBdr>
      <w:tabs>
        <w:tab w:val="center" w:pos="4419"/>
        <w:tab w:val="right" w:pos="8838"/>
      </w:tabs>
      <w:spacing w:after="0" w:line="240" w:lineRule="auto"/>
      <w:rPr>
        <w:color w:val="000000"/>
      </w:rPr>
    </w:pPr>
    <w:r>
      <w:rPr>
        <w:color w:val="000000"/>
      </w:rPr>
      <w:pict w14:anchorId="78624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9D09" w14:textId="77777777" w:rsidR="009F2768" w:rsidRDefault="009F2768">
    <w:pPr>
      <w:widowControl w:val="0"/>
      <w:pBdr>
        <w:top w:val="nil"/>
        <w:left w:val="nil"/>
        <w:bottom w:val="nil"/>
        <w:right w:val="nil"/>
        <w:between w:val="nil"/>
      </w:pBdr>
      <w:spacing w:after="0" w:line="276" w:lineRule="auto"/>
      <w:jc w:val="left"/>
      <w:rPr>
        <w:color w:val="000000"/>
      </w:rPr>
    </w:pPr>
  </w:p>
  <w:tbl>
    <w:tblPr>
      <w:tblStyle w:val="a0"/>
      <w:tblW w:w="6804"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401"/>
      <w:gridCol w:w="4403"/>
    </w:tblGrid>
    <w:tr w:rsidR="009F2768" w14:paraId="4D060B57" w14:textId="77777777">
      <w:trPr>
        <w:trHeight w:val="138"/>
      </w:trPr>
      <w:tc>
        <w:tcPr>
          <w:tcW w:w="2401" w:type="dxa"/>
          <w:vAlign w:val="center"/>
        </w:tcPr>
        <w:p w14:paraId="109D59EF" w14:textId="77777777" w:rsidR="009F2768" w:rsidRDefault="009F2768">
          <w:pPr>
            <w:tabs>
              <w:tab w:val="right" w:pos="8838"/>
            </w:tabs>
            <w:ind w:right="-105"/>
            <w:jc w:val="left"/>
            <w:rPr>
              <w:b/>
            </w:rPr>
          </w:pPr>
          <w:r>
            <w:rPr>
              <w:b/>
            </w:rPr>
            <w:t>Recurso de Revisión:</w:t>
          </w:r>
        </w:p>
      </w:tc>
      <w:tc>
        <w:tcPr>
          <w:tcW w:w="4403" w:type="dxa"/>
        </w:tcPr>
        <w:p w14:paraId="7F8FDC5E" w14:textId="7968E35F" w:rsidR="009F2768" w:rsidRDefault="009F2768">
          <w:pPr>
            <w:tabs>
              <w:tab w:val="right" w:pos="8838"/>
            </w:tabs>
            <w:ind w:right="-32"/>
          </w:pPr>
          <w:r w:rsidRPr="00FD7B59">
            <w:t>02791/INFOEM/IP/RR/2025</w:t>
          </w:r>
        </w:p>
      </w:tc>
    </w:tr>
    <w:tr w:rsidR="009F2768" w14:paraId="2B5B99BB" w14:textId="77777777">
      <w:trPr>
        <w:trHeight w:val="273"/>
      </w:trPr>
      <w:tc>
        <w:tcPr>
          <w:tcW w:w="2401" w:type="dxa"/>
        </w:tcPr>
        <w:p w14:paraId="7BEDF8EB" w14:textId="77777777" w:rsidR="009F2768" w:rsidRDefault="009F2768">
          <w:pPr>
            <w:tabs>
              <w:tab w:val="right" w:pos="8838"/>
            </w:tabs>
            <w:ind w:right="-105"/>
            <w:rPr>
              <w:b/>
            </w:rPr>
          </w:pPr>
          <w:r>
            <w:rPr>
              <w:b/>
            </w:rPr>
            <w:t>Sujeto Obligado:</w:t>
          </w:r>
        </w:p>
      </w:tc>
      <w:tc>
        <w:tcPr>
          <w:tcW w:w="4403" w:type="dxa"/>
        </w:tcPr>
        <w:p w14:paraId="73735A49" w14:textId="62F5B03F" w:rsidR="009F2768" w:rsidRDefault="009F2768">
          <w:pPr>
            <w:tabs>
              <w:tab w:val="right" w:pos="8838"/>
            </w:tabs>
            <w:ind w:left="-28" w:right="741"/>
          </w:pPr>
          <w:r w:rsidRPr="00FD7B59">
            <w:t>Ayuntamiento de Coacalco de Berriozábal</w:t>
          </w:r>
        </w:p>
      </w:tc>
    </w:tr>
    <w:tr w:rsidR="009F2768" w14:paraId="7313C2EB" w14:textId="77777777">
      <w:trPr>
        <w:trHeight w:val="273"/>
      </w:trPr>
      <w:tc>
        <w:tcPr>
          <w:tcW w:w="2401" w:type="dxa"/>
        </w:tcPr>
        <w:p w14:paraId="74257478" w14:textId="77777777" w:rsidR="009F2768" w:rsidRDefault="009F2768">
          <w:pPr>
            <w:tabs>
              <w:tab w:val="right" w:pos="8838"/>
            </w:tabs>
            <w:ind w:right="-105"/>
            <w:rPr>
              <w:b/>
            </w:rPr>
          </w:pPr>
          <w:r>
            <w:rPr>
              <w:b/>
            </w:rPr>
            <w:t>Comisionado Ponente:</w:t>
          </w:r>
        </w:p>
      </w:tc>
      <w:tc>
        <w:tcPr>
          <w:tcW w:w="4403" w:type="dxa"/>
        </w:tcPr>
        <w:p w14:paraId="5BF2221E" w14:textId="77777777" w:rsidR="009F2768" w:rsidRDefault="009F2768">
          <w:pPr>
            <w:tabs>
              <w:tab w:val="right" w:pos="8838"/>
            </w:tabs>
            <w:ind w:left="-28" w:right="-32"/>
            <w:rPr>
              <w:b/>
            </w:rPr>
          </w:pPr>
          <w:r>
            <w:t>Luis Gustavo Parra Noriega</w:t>
          </w:r>
        </w:p>
      </w:tc>
    </w:tr>
  </w:tbl>
  <w:p w14:paraId="5829B265" w14:textId="77777777" w:rsidR="009F2768" w:rsidRDefault="00ED7457">
    <w:pPr>
      <w:pBdr>
        <w:top w:val="nil"/>
        <w:left w:val="nil"/>
        <w:bottom w:val="nil"/>
        <w:right w:val="nil"/>
        <w:between w:val="nil"/>
      </w:pBdr>
      <w:tabs>
        <w:tab w:val="center" w:pos="4419"/>
        <w:tab w:val="right" w:pos="8838"/>
      </w:tabs>
      <w:spacing w:after="0" w:line="240" w:lineRule="auto"/>
      <w:rPr>
        <w:color w:val="000000"/>
      </w:rPr>
    </w:pPr>
    <w:r>
      <w:rPr>
        <w:color w:val="000000"/>
      </w:rPr>
      <w:pict w14:anchorId="6EA1B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84.6pt;margin-top:-122.95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8ADD" w14:textId="77777777" w:rsidR="009F2768" w:rsidRDefault="009F2768">
    <w:pPr>
      <w:widowControl w:val="0"/>
      <w:pBdr>
        <w:top w:val="nil"/>
        <w:left w:val="nil"/>
        <w:bottom w:val="nil"/>
        <w:right w:val="nil"/>
        <w:between w:val="nil"/>
      </w:pBdr>
      <w:spacing w:after="0" w:line="276" w:lineRule="auto"/>
      <w:jc w:val="left"/>
      <w:rPr>
        <w:color w:val="000000"/>
      </w:rPr>
    </w:pPr>
  </w:p>
  <w:tbl>
    <w:tblPr>
      <w:tblStyle w:val="a1"/>
      <w:tblW w:w="6950" w:type="dxa"/>
      <w:tblInd w:w="2694" w:type="dxa"/>
      <w:tblBorders>
        <w:top w:val="nil"/>
        <w:left w:val="nil"/>
        <w:bottom w:val="nil"/>
        <w:right w:val="nil"/>
        <w:insideH w:val="nil"/>
        <w:insideV w:val="nil"/>
      </w:tblBorders>
      <w:tblLayout w:type="fixed"/>
      <w:tblLook w:val="0400" w:firstRow="0" w:lastRow="0" w:firstColumn="0" w:lastColumn="0" w:noHBand="0" w:noVBand="1"/>
    </w:tblPr>
    <w:tblGrid>
      <w:gridCol w:w="2410"/>
      <w:gridCol w:w="4111"/>
      <w:gridCol w:w="429"/>
    </w:tblGrid>
    <w:tr w:rsidR="009F2768" w14:paraId="4A0E3DEA" w14:textId="77777777">
      <w:trPr>
        <w:trHeight w:val="132"/>
      </w:trPr>
      <w:tc>
        <w:tcPr>
          <w:tcW w:w="2410" w:type="dxa"/>
        </w:tcPr>
        <w:p w14:paraId="0A0C2943" w14:textId="77777777" w:rsidR="009F2768" w:rsidRDefault="009F2768">
          <w:pPr>
            <w:tabs>
              <w:tab w:val="right" w:pos="8838"/>
            </w:tabs>
            <w:ind w:right="-105"/>
            <w:rPr>
              <w:b/>
            </w:rPr>
          </w:pPr>
          <w:r>
            <w:rPr>
              <w:b/>
            </w:rPr>
            <w:t>Recurso de Revisión:</w:t>
          </w:r>
        </w:p>
      </w:tc>
      <w:tc>
        <w:tcPr>
          <w:tcW w:w="4540" w:type="dxa"/>
          <w:gridSpan w:val="2"/>
        </w:tcPr>
        <w:p w14:paraId="0F97B52D" w14:textId="69A7ADE7" w:rsidR="009F2768" w:rsidRDefault="009F2768" w:rsidP="00FD7B59">
          <w:pPr>
            <w:ind w:right="36"/>
          </w:pPr>
          <w:r w:rsidRPr="00FD7B59">
            <w:t>02791/INFOEM/IP/RR/2025</w:t>
          </w:r>
        </w:p>
      </w:tc>
    </w:tr>
    <w:tr w:rsidR="009F2768" w14:paraId="10306FBC" w14:textId="77777777">
      <w:trPr>
        <w:trHeight w:val="132"/>
      </w:trPr>
      <w:tc>
        <w:tcPr>
          <w:tcW w:w="2410" w:type="dxa"/>
        </w:tcPr>
        <w:p w14:paraId="1F6A0730" w14:textId="77777777" w:rsidR="009F2768" w:rsidRDefault="009F2768">
          <w:pPr>
            <w:tabs>
              <w:tab w:val="left" w:pos="1875"/>
            </w:tabs>
            <w:ind w:right="-105"/>
            <w:rPr>
              <w:b/>
            </w:rPr>
          </w:pPr>
          <w:r>
            <w:rPr>
              <w:b/>
            </w:rPr>
            <w:t>Recurrente:</w:t>
          </w:r>
          <w:r>
            <w:rPr>
              <w:b/>
            </w:rPr>
            <w:tab/>
          </w:r>
        </w:p>
      </w:tc>
      <w:tc>
        <w:tcPr>
          <w:tcW w:w="4540" w:type="dxa"/>
          <w:gridSpan w:val="2"/>
        </w:tcPr>
        <w:p w14:paraId="41A2735C" w14:textId="4ADCDAEE" w:rsidR="009F2768" w:rsidRDefault="00A02D6C" w:rsidP="00FD7B59">
          <w:pPr>
            <w:ind w:right="36"/>
          </w:pPr>
          <w:r w:rsidRPr="00A02D6C">
            <w:rPr>
              <w:highlight w:val="black"/>
            </w:rPr>
            <w:t>XXX</w:t>
          </w:r>
          <w:r>
            <w:rPr>
              <w:highlight w:val="black"/>
            </w:rPr>
            <w:t>X</w:t>
          </w:r>
          <w:r w:rsidRPr="00A02D6C">
            <w:rPr>
              <w:highlight w:val="black"/>
            </w:rPr>
            <w:t>XX</w:t>
          </w:r>
        </w:p>
      </w:tc>
    </w:tr>
    <w:tr w:rsidR="009F2768" w14:paraId="241F85B6" w14:textId="77777777">
      <w:trPr>
        <w:gridAfter w:val="1"/>
        <w:wAfter w:w="429" w:type="dxa"/>
        <w:trHeight w:val="261"/>
      </w:trPr>
      <w:tc>
        <w:tcPr>
          <w:tcW w:w="2410" w:type="dxa"/>
        </w:tcPr>
        <w:p w14:paraId="2D3B3493" w14:textId="77777777" w:rsidR="009F2768" w:rsidRDefault="009F2768">
          <w:pPr>
            <w:tabs>
              <w:tab w:val="right" w:pos="8838"/>
            </w:tabs>
            <w:ind w:right="-105"/>
            <w:rPr>
              <w:b/>
            </w:rPr>
          </w:pPr>
          <w:r>
            <w:rPr>
              <w:b/>
            </w:rPr>
            <w:t>Sujeto Obligado:</w:t>
          </w:r>
        </w:p>
      </w:tc>
      <w:tc>
        <w:tcPr>
          <w:tcW w:w="4111" w:type="dxa"/>
        </w:tcPr>
        <w:p w14:paraId="535CA47F" w14:textId="3A6B6D32" w:rsidR="009F2768" w:rsidRDefault="009F2768">
          <w:pPr>
            <w:ind w:right="36"/>
          </w:pPr>
          <w:r w:rsidRPr="00FD7B59">
            <w:t>Ayuntamiento de Coacalco de Berriozábal</w:t>
          </w:r>
        </w:p>
      </w:tc>
    </w:tr>
    <w:tr w:rsidR="009F2768" w14:paraId="489DA410" w14:textId="77777777">
      <w:trPr>
        <w:trHeight w:val="261"/>
      </w:trPr>
      <w:tc>
        <w:tcPr>
          <w:tcW w:w="2410" w:type="dxa"/>
        </w:tcPr>
        <w:p w14:paraId="68596E55" w14:textId="77777777" w:rsidR="009F2768" w:rsidRDefault="009F2768">
          <w:pPr>
            <w:tabs>
              <w:tab w:val="right" w:pos="8838"/>
            </w:tabs>
            <w:ind w:right="-105"/>
            <w:rPr>
              <w:b/>
            </w:rPr>
          </w:pPr>
          <w:r>
            <w:rPr>
              <w:b/>
            </w:rPr>
            <w:t>Comisionado Ponente:</w:t>
          </w:r>
        </w:p>
      </w:tc>
      <w:tc>
        <w:tcPr>
          <w:tcW w:w="4540" w:type="dxa"/>
          <w:gridSpan w:val="2"/>
        </w:tcPr>
        <w:p w14:paraId="49EA9D34" w14:textId="77777777" w:rsidR="009F2768" w:rsidRDefault="009F2768">
          <w:pPr>
            <w:tabs>
              <w:tab w:val="right" w:pos="8838"/>
            </w:tabs>
            <w:ind w:right="-32"/>
            <w:rPr>
              <w:b/>
            </w:rPr>
          </w:pPr>
          <w:r>
            <w:t>Luis Gustavo Parra Noriega</w:t>
          </w:r>
        </w:p>
      </w:tc>
    </w:tr>
  </w:tbl>
  <w:p w14:paraId="62ABE149" w14:textId="77777777" w:rsidR="009F2768" w:rsidRDefault="00ED7457">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4D76D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5.15pt;margin-top:-124.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92E"/>
    <w:multiLevelType w:val="hybridMultilevel"/>
    <w:tmpl w:val="9A4E3B3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4A412F"/>
    <w:multiLevelType w:val="multilevel"/>
    <w:tmpl w:val="ED36F9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1A102B"/>
    <w:multiLevelType w:val="multilevel"/>
    <w:tmpl w:val="0CB6E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A222B"/>
    <w:multiLevelType w:val="hybridMultilevel"/>
    <w:tmpl w:val="3F6EACD2"/>
    <w:lvl w:ilvl="0" w:tplc="3B06C382">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8477E1"/>
    <w:multiLevelType w:val="hybridMultilevel"/>
    <w:tmpl w:val="9446BD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9246CF"/>
    <w:multiLevelType w:val="hybridMultilevel"/>
    <w:tmpl w:val="68EA3B2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76A1671"/>
    <w:multiLevelType w:val="multilevel"/>
    <w:tmpl w:val="54A6BD9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384C02A0"/>
    <w:multiLevelType w:val="multilevel"/>
    <w:tmpl w:val="E2A0C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BA5AA6"/>
    <w:multiLevelType w:val="hybridMultilevel"/>
    <w:tmpl w:val="A6EC5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F64C0A"/>
    <w:multiLevelType w:val="hybridMultilevel"/>
    <w:tmpl w:val="5470BB58"/>
    <w:lvl w:ilvl="0" w:tplc="60C4A220">
      <w:start w:val="2"/>
      <w:numFmt w:val="bullet"/>
      <w:lvlText w:val="-"/>
      <w:lvlJc w:val="left"/>
      <w:pPr>
        <w:ind w:left="1440" w:hanging="360"/>
      </w:pPr>
      <w:rPr>
        <w:rFonts w:ascii="Palatino Linotype" w:eastAsia="Palatino Linotype" w:hAnsi="Palatino Linotype" w:cs="Palatino Linotype"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14B6686"/>
    <w:multiLevelType w:val="hybridMultilevel"/>
    <w:tmpl w:val="F7760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362EF1"/>
    <w:multiLevelType w:val="multilevel"/>
    <w:tmpl w:val="24369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BB230C"/>
    <w:multiLevelType w:val="multilevel"/>
    <w:tmpl w:val="5DB091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A21684"/>
    <w:multiLevelType w:val="hybridMultilevel"/>
    <w:tmpl w:val="113CA546"/>
    <w:lvl w:ilvl="0" w:tplc="F58A55C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106E8C"/>
    <w:multiLevelType w:val="hybridMultilevel"/>
    <w:tmpl w:val="22DC9EB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5" w15:restartNumberingAfterBreak="0">
    <w:nsid w:val="65F00100"/>
    <w:multiLevelType w:val="multilevel"/>
    <w:tmpl w:val="1D7A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36C50A3"/>
    <w:multiLevelType w:val="multilevel"/>
    <w:tmpl w:val="9830064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4C1980"/>
    <w:multiLevelType w:val="multilevel"/>
    <w:tmpl w:val="033A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2"/>
  </w:num>
  <w:num w:numId="4">
    <w:abstractNumId w:val="15"/>
  </w:num>
  <w:num w:numId="5">
    <w:abstractNumId w:val="7"/>
  </w:num>
  <w:num w:numId="6">
    <w:abstractNumId w:val="11"/>
  </w:num>
  <w:num w:numId="7">
    <w:abstractNumId w:val="17"/>
  </w:num>
  <w:num w:numId="8">
    <w:abstractNumId w:val="6"/>
  </w:num>
  <w:num w:numId="9">
    <w:abstractNumId w:val="1"/>
  </w:num>
  <w:num w:numId="10">
    <w:abstractNumId w:val="5"/>
  </w:num>
  <w:num w:numId="11">
    <w:abstractNumId w:val="10"/>
  </w:num>
  <w:num w:numId="12">
    <w:abstractNumId w:val="13"/>
  </w:num>
  <w:num w:numId="13">
    <w:abstractNumId w:val="0"/>
  </w:num>
  <w:num w:numId="14">
    <w:abstractNumId w:val="4"/>
  </w:num>
  <w:num w:numId="15">
    <w:abstractNumId w:val="3"/>
  </w:num>
  <w:num w:numId="16">
    <w:abstractNumId w:val="8"/>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A0"/>
    <w:rsid w:val="000000D0"/>
    <w:rsid w:val="00001CF8"/>
    <w:rsid w:val="00001EBB"/>
    <w:rsid w:val="00002774"/>
    <w:rsid w:val="000028D5"/>
    <w:rsid w:val="00005A76"/>
    <w:rsid w:val="00006B30"/>
    <w:rsid w:val="00031C51"/>
    <w:rsid w:val="000327E8"/>
    <w:rsid w:val="00034CD7"/>
    <w:rsid w:val="00042021"/>
    <w:rsid w:val="000473C5"/>
    <w:rsid w:val="00056183"/>
    <w:rsid w:val="0006564A"/>
    <w:rsid w:val="0007617B"/>
    <w:rsid w:val="00077225"/>
    <w:rsid w:val="000B1E15"/>
    <w:rsid w:val="000C1870"/>
    <w:rsid w:val="000C1EB5"/>
    <w:rsid w:val="000C3F71"/>
    <w:rsid w:val="000C4985"/>
    <w:rsid w:val="000C5EFD"/>
    <w:rsid w:val="000E136D"/>
    <w:rsid w:val="000E3A65"/>
    <w:rsid w:val="000F3C13"/>
    <w:rsid w:val="000F5C63"/>
    <w:rsid w:val="000F78BA"/>
    <w:rsid w:val="001115A2"/>
    <w:rsid w:val="00170CA5"/>
    <w:rsid w:val="001727ED"/>
    <w:rsid w:val="001B08D2"/>
    <w:rsid w:val="001B149A"/>
    <w:rsid w:val="001B20CC"/>
    <w:rsid w:val="001B6015"/>
    <w:rsid w:val="001C6052"/>
    <w:rsid w:val="001E63AC"/>
    <w:rsid w:val="0023467F"/>
    <w:rsid w:val="002438E6"/>
    <w:rsid w:val="00251B07"/>
    <w:rsid w:val="00256BB0"/>
    <w:rsid w:val="002608AE"/>
    <w:rsid w:val="00262188"/>
    <w:rsid w:val="00270143"/>
    <w:rsid w:val="002756A3"/>
    <w:rsid w:val="002801DB"/>
    <w:rsid w:val="0028661C"/>
    <w:rsid w:val="00292CA7"/>
    <w:rsid w:val="002948A9"/>
    <w:rsid w:val="002955A8"/>
    <w:rsid w:val="002B5B4E"/>
    <w:rsid w:val="002D0E64"/>
    <w:rsid w:val="002F0DA9"/>
    <w:rsid w:val="002F7982"/>
    <w:rsid w:val="00322C7B"/>
    <w:rsid w:val="00322EFE"/>
    <w:rsid w:val="00335B29"/>
    <w:rsid w:val="0034691C"/>
    <w:rsid w:val="00352025"/>
    <w:rsid w:val="00361EED"/>
    <w:rsid w:val="0037233E"/>
    <w:rsid w:val="00383ED8"/>
    <w:rsid w:val="003856AB"/>
    <w:rsid w:val="00392127"/>
    <w:rsid w:val="003A2ED1"/>
    <w:rsid w:val="003A65D2"/>
    <w:rsid w:val="003A6BD6"/>
    <w:rsid w:val="003B2D3F"/>
    <w:rsid w:val="003B6E60"/>
    <w:rsid w:val="003C7486"/>
    <w:rsid w:val="003E42C3"/>
    <w:rsid w:val="00406966"/>
    <w:rsid w:val="00412BE5"/>
    <w:rsid w:val="00420E7F"/>
    <w:rsid w:val="00422CDE"/>
    <w:rsid w:val="004362B2"/>
    <w:rsid w:val="0045411D"/>
    <w:rsid w:val="004731F8"/>
    <w:rsid w:val="00477580"/>
    <w:rsid w:val="00491F4F"/>
    <w:rsid w:val="004A02B2"/>
    <w:rsid w:val="004A19D7"/>
    <w:rsid w:val="004A698C"/>
    <w:rsid w:val="004C0A94"/>
    <w:rsid w:val="004D196B"/>
    <w:rsid w:val="004F0506"/>
    <w:rsid w:val="004F647A"/>
    <w:rsid w:val="00502544"/>
    <w:rsid w:val="00514CCB"/>
    <w:rsid w:val="005232C4"/>
    <w:rsid w:val="0052457E"/>
    <w:rsid w:val="00536A4E"/>
    <w:rsid w:val="00543011"/>
    <w:rsid w:val="005448F7"/>
    <w:rsid w:val="00567EF9"/>
    <w:rsid w:val="00571955"/>
    <w:rsid w:val="005827DC"/>
    <w:rsid w:val="00587070"/>
    <w:rsid w:val="005904C8"/>
    <w:rsid w:val="005A0C3A"/>
    <w:rsid w:val="005A132F"/>
    <w:rsid w:val="005A3623"/>
    <w:rsid w:val="005D60B8"/>
    <w:rsid w:val="00600B14"/>
    <w:rsid w:val="00601FC4"/>
    <w:rsid w:val="0060305A"/>
    <w:rsid w:val="00606970"/>
    <w:rsid w:val="00606B13"/>
    <w:rsid w:val="00612F91"/>
    <w:rsid w:val="00632B6E"/>
    <w:rsid w:val="00645A6B"/>
    <w:rsid w:val="00646015"/>
    <w:rsid w:val="00651175"/>
    <w:rsid w:val="006577FD"/>
    <w:rsid w:val="006753E8"/>
    <w:rsid w:val="00677B0D"/>
    <w:rsid w:val="00684D23"/>
    <w:rsid w:val="006A6903"/>
    <w:rsid w:val="006B793E"/>
    <w:rsid w:val="006C4BD6"/>
    <w:rsid w:val="006D44C1"/>
    <w:rsid w:val="006F28F0"/>
    <w:rsid w:val="006F40D7"/>
    <w:rsid w:val="006F5BB4"/>
    <w:rsid w:val="00700EC5"/>
    <w:rsid w:val="00713655"/>
    <w:rsid w:val="00716B55"/>
    <w:rsid w:val="007219B6"/>
    <w:rsid w:val="007230A0"/>
    <w:rsid w:val="007314CD"/>
    <w:rsid w:val="00741B02"/>
    <w:rsid w:val="00763618"/>
    <w:rsid w:val="007646EE"/>
    <w:rsid w:val="007B7E57"/>
    <w:rsid w:val="007D64BE"/>
    <w:rsid w:val="007D74D8"/>
    <w:rsid w:val="007F6B89"/>
    <w:rsid w:val="00803612"/>
    <w:rsid w:val="008303A9"/>
    <w:rsid w:val="00842E81"/>
    <w:rsid w:val="0085024E"/>
    <w:rsid w:val="008554FF"/>
    <w:rsid w:val="008561C8"/>
    <w:rsid w:val="0086076C"/>
    <w:rsid w:val="00862396"/>
    <w:rsid w:val="008B0002"/>
    <w:rsid w:val="008B1B53"/>
    <w:rsid w:val="008B68AF"/>
    <w:rsid w:val="008C01FF"/>
    <w:rsid w:val="008E3F11"/>
    <w:rsid w:val="0090259A"/>
    <w:rsid w:val="00904C25"/>
    <w:rsid w:val="00924A0D"/>
    <w:rsid w:val="00924F6F"/>
    <w:rsid w:val="00937478"/>
    <w:rsid w:val="00941B2B"/>
    <w:rsid w:val="009615F7"/>
    <w:rsid w:val="009859B2"/>
    <w:rsid w:val="009941E6"/>
    <w:rsid w:val="009A0B15"/>
    <w:rsid w:val="009A3DF6"/>
    <w:rsid w:val="009A4B32"/>
    <w:rsid w:val="009D3E8D"/>
    <w:rsid w:val="009D3E99"/>
    <w:rsid w:val="009D5D1E"/>
    <w:rsid w:val="009D70F7"/>
    <w:rsid w:val="009E5DE0"/>
    <w:rsid w:val="009E7BE3"/>
    <w:rsid w:val="009F2768"/>
    <w:rsid w:val="00A02D6C"/>
    <w:rsid w:val="00A06481"/>
    <w:rsid w:val="00A32C77"/>
    <w:rsid w:val="00A40CFE"/>
    <w:rsid w:val="00A41E16"/>
    <w:rsid w:val="00A4239F"/>
    <w:rsid w:val="00A56E04"/>
    <w:rsid w:val="00A66EED"/>
    <w:rsid w:val="00A806CF"/>
    <w:rsid w:val="00AA0298"/>
    <w:rsid w:val="00AB3976"/>
    <w:rsid w:val="00AB68CA"/>
    <w:rsid w:val="00AB6A25"/>
    <w:rsid w:val="00AC4040"/>
    <w:rsid w:val="00AF3C6B"/>
    <w:rsid w:val="00AF6052"/>
    <w:rsid w:val="00B0446A"/>
    <w:rsid w:val="00B054F5"/>
    <w:rsid w:val="00B274B8"/>
    <w:rsid w:val="00B309E1"/>
    <w:rsid w:val="00B56461"/>
    <w:rsid w:val="00B65F95"/>
    <w:rsid w:val="00B72672"/>
    <w:rsid w:val="00B85F67"/>
    <w:rsid w:val="00B86114"/>
    <w:rsid w:val="00B93EA6"/>
    <w:rsid w:val="00B961E5"/>
    <w:rsid w:val="00BA5B31"/>
    <w:rsid w:val="00BA5FA9"/>
    <w:rsid w:val="00BB6B80"/>
    <w:rsid w:val="00BC04E7"/>
    <w:rsid w:val="00BD12C1"/>
    <w:rsid w:val="00BD5629"/>
    <w:rsid w:val="00C064FF"/>
    <w:rsid w:val="00C17658"/>
    <w:rsid w:val="00C3121E"/>
    <w:rsid w:val="00C36071"/>
    <w:rsid w:val="00C36DE5"/>
    <w:rsid w:val="00C40529"/>
    <w:rsid w:val="00C45B72"/>
    <w:rsid w:val="00C63985"/>
    <w:rsid w:val="00C858BB"/>
    <w:rsid w:val="00C876A7"/>
    <w:rsid w:val="00C95F06"/>
    <w:rsid w:val="00CA11B8"/>
    <w:rsid w:val="00CA2E5E"/>
    <w:rsid w:val="00CC70CD"/>
    <w:rsid w:val="00CD05B1"/>
    <w:rsid w:val="00CD17EE"/>
    <w:rsid w:val="00CD250A"/>
    <w:rsid w:val="00D16661"/>
    <w:rsid w:val="00D237B9"/>
    <w:rsid w:val="00D33AEF"/>
    <w:rsid w:val="00D4311A"/>
    <w:rsid w:val="00D508DC"/>
    <w:rsid w:val="00D62695"/>
    <w:rsid w:val="00D716A7"/>
    <w:rsid w:val="00D91296"/>
    <w:rsid w:val="00D9667D"/>
    <w:rsid w:val="00DC7EDD"/>
    <w:rsid w:val="00DD03EC"/>
    <w:rsid w:val="00DD32AD"/>
    <w:rsid w:val="00DE4E99"/>
    <w:rsid w:val="00E00569"/>
    <w:rsid w:val="00E0281F"/>
    <w:rsid w:val="00E30A70"/>
    <w:rsid w:val="00E32B90"/>
    <w:rsid w:val="00E61397"/>
    <w:rsid w:val="00E948A9"/>
    <w:rsid w:val="00EA1592"/>
    <w:rsid w:val="00EA2185"/>
    <w:rsid w:val="00EA46A7"/>
    <w:rsid w:val="00ED7457"/>
    <w:rsid w:val="00EE04CB"/>
    <w:rsid w:val="00F01E67"/>
    <w:rsid w:val="00F02345"/>
    <w:rsid w:val="00F10359"/>
    <w:rsid w:val="00F206BB"/>
    <w:rsid w:val="00F26C97"/>
    <w:rsid w:val="00F56FAF"/>
    <w:rsid w:val="00F6136E"/>
    <w:rsid w:val="00F66FF7"/>
    <w:rsid w:val="00F91D29"/>
    <w:rsid w:val="00F96BC8"/>
    <w:rsid w:val="00FA0ECD"/>
    <w:rsid w:val="00FB1339"/>
    <w:rsid w:val="00FB431E"/>
    <w:rsid w:val="00FC3CAA"/>
    <w:rsid w:val="00FD28DF"/>
    <w:rsid w:val="00FD39F0"/>
    <w:rsid w:val="00FD7B59"/>
    <w:rsid w:val="00FE7B29"/>
    <w:rsid w:val="00FF6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614A9D"/>
  <w15:docId w15:val="{B55841D0-0FD0-4558-A255-1B094832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FE"/>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591706"/>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styleId="Tabladecuadrcula5oscura-nfasis5">
    <w:name w:val="Grid Table 5 Dark Accent 5"/>
    <w:basedOn w:val="Tablanormal"/>
    <w:uiPriority w:val="50"/>
    <w:rsid w:val="00FF6B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DC1">
    <w:name w:val="toc 1"/>
    <w:basedOn w:val="Normal"/>
    <w:next w:val="Normal"/>
    <w:autoRedefine/>
    <w:uiPriority w:val="39"/>
    <w:unhideWhenUsed/>
    <w:rsid w:val="0037233E"/>
    <w:pPr>
      <w:spacing w:after="100"/>
    </w:pPr>
  </w:style>
  <w:style w:type="paragraph" w:styleId="TDC2">
    <w:name w:val="toc 2"/>
    <w:basedOn w:val="Normal"/>
    <w:next w:val="Normal"/>
    <w:autoRedefine/>
    <w:uiPriority w:val="39"/>
    <w:unhideWhenUsed/>
    <w:rsid w:val="0037233E"/>
    <w:pPr>
      <w:spacing w:after="100"/>
      <w:ind w:left="220"/>
    </w:pPr>
  </w:style>
  <w:style w:type="paragraph" w:styleId="TtulodeTDC">
    <w:name w:val="TOC Heading"/>
    <w:basedOn w:val="Ttulo1"/>
    <w:next w:val="Normal"/>
    <w:uiPriority w:val="39"/>
    <w:unhideWhenUsed/>
    <w:qFormat/>
    <w:rsid w:val="00262188"/>
    <w:pPr>
      <w:spacing w:before="240" w:after="0"/>
      <w:jc w:val="left"/>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1413">
      <w:bodyDiv w:val="1"/>
      <w:marLeft w:val="0"/>
      <w:marRight w:val="0"/>
      <w:marTop w:val="0"/>
      <w:marBottom w:val="0"/>
      <w:divBdr>
        <w:top w:val="none" w:sz="0" w:space="0" w:color="auto"/>
        <w:left w:val="none" w:sz="0" w:space="0" w:color="auto"/>
        <w:bottom w:val="none" w:sz="0" w:space="0" w:color="auto"/>
        <w:right w:val="none" w:sz="0" w:space="0" w:color="auto"/>
      </w:divBdr>
    </w:div>
    <w:div w:id="511456502">
      <w:bodyDiv w:val="1"/>
      <w:marLeft w:val="0"/>
      <w:marRight w:val="0"/>
      <w:marTop w:val="0"/>
      <w:marBottom w:val="0"/>
      <w:divBdr>
        <w:top w:val="none" w:sz="0" w:space="0" w:color="auto"/>
        <w:left w:val="none" w:sz="0" w:space="0" w:color="auto"/>
        <w:bottom w:val="none" w:sz="0" w:space="0" w:color="auto"/>
        <w:right w:val="none" w:sz="0" w:space="0" w:color="auto"/>
      </w:divBdr>
    </w:div>
    <w:div w:id="991525967">
      <w:bodyDiv w:val="1"/>
      <w:marLeft w:val="0"/>
      <w:marRight w:val="0"/>
      <w:marTop w:val="0"/>
      <w:marBottom w:val="0"/>
      <w:divBdr>
        <w:top w:val="none" w:sz="0" w:space="0" w:color="auto"/>
        <w:left w:val="none" w:sz="0" w:space="0" w:color="auto"/>
        <w:bottom w:val="none" w:sz="0" w:space="0" w:color="auto"/>
        <w:right w:val="none" w:sz="0" w:space="0" w:color="auto"/>
      </w:divBdr>
    </w:div>
    <w:div w:id="1256128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mMOTMVONGWsKMQMX9eoJ81jQ==">CgMxLjAyCGguZ2pkZ3hzMgloLjMwajB6bGwyCWguMWZvYjl0ZTIJaC4zem55c2g3OAByITFkLVpxZEkyWkFGSjNwMlNJdmNYWFNNUWxzV0tIaHJlSQ==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F4C971-7B74-4611-AB05-65F12845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4584</Words>
  <Characters>25212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PEÑA VARA</dc:creator>
  <cp:lastModifiedBy>INFOEM500</cp:lastModifiedBy>
  <cp:revision>4</cp:revision>
  <cp:lastPrinted>2025-04-11T18:30:00Z</cp:lastPrinted>
  <dcterms:created xsi:type="dcterms:W3CDTF">2025-04-11T18:30:00Z</dcterms:created>
  <dcterms:modified xsi:type="dcterms:W3CDTF">2025-06-02T17:22:00Z</dcterms:modified>
</cp:coreProperties>
</file>