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FF57C" w14:textId="77777777" w:rsidR="00A77DD6" w:rsidRPr="000939A5" w:rsidRDefault="002C5650">
      <w:pPr>
        <w:spacing w:after="0" w:line="360" w:lineRule="auto"/>
        <w:ind w:right="49"/>
        <w:jc w:val="both"/>
        <w:rPr>
          <w:rFonts w:ascii="Palatino Linotype" w:eastAsia="Palatino Linotype" w:hAnsi="Palatino Linotype" w:cs="Palatino Linotype"/>
        </w:rPr>
      </w:pPr>
      <w:r w:rsidRPr="000939A5">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seis de febrero de dos mil veinticinco. </w:t>
      </w:r>
    </w:p>
    <w:p w14:paraId="40B97FEC" w14:textId="77777777" w:rsidR="00A77DD6" w:rsidRPr="000939A5" w:rsidRDefault="00A77DD6">
      <w:pPr>
        <w:spacing w:after="0" w:line="360" w:lineRule="auto"/>
        <w:ind w:right="49"/>
        <w:jc w:val="center"/>
        <w:rPr>
          <w:rFonts w:ascii="Palatino Linotype" w:eastAsia="Palatino Linotype" w:hAnsi="Palatino Linotype" w:cs="Palatino Linotype"/>
        </w:rPr>
      </w:pPr>
    </w:p>
    <w:p w14:paraId="276D4D76" w14:textId="602483ED" w:rsidR="00A77DD6" w:rsidRPr="000939A5" w:rsidRDefault="002C5650">
      <w:pPr>
        <w:spacing w:after="0" w:line="360" w:lineRule="auto"/>
        <w:ind w:right="49"/>
        <w:jc w:val="both"/>
        <w:rPr>
          <w:rFonts w:ascii="Palatino Linotype" w:eastAsia="Palatino Linotype" w:hAnsi="Palatino Linotype" w:cs="Palatino Linotype"/>
        </w:rPr>
      </w:pPr>
      <w:r w:rsidRPr="000939A5">
        <w:rPr>
          <w:rFonts w:ascii="Palatino Linotype" w:eastAsia="Palatino Linotype" w:hAnsi="Palatino Linotype" w:cs="Palatino Linotype"/>
        </w:rPr>
        <w:t xml:space="preserve">Visto el expediente relativo al recurso de revisión </w:t>
      </w:r>
      <w:r w:rsidRPr="000939A5">
        <w:rPr>
          <w:rFonts w:ascii="Palatino Linotype" w:eastAsia="Palatino Linotype" w:hAnsi="Palatino Linotype" w:cs="Palatino Linotype"/>
          <w:b/>
        </w:rPr>
        <w:t>00029/INFOEM/IP/RR/2025</w:t>
      </w:r>
      <w:r w:rsidRPr="000939A5">
        <w:rPr>
          <w:rFonts w:ascii="Palatino Linotype" w:eastAsia="Palatino Linotype" w:hAnsi="Palatino Linotype" w:cs="Palatino Linotype"/>
        </w:rPr>
        <w:t xml:space="preserve">, interpuesto por </w:t>
      </w:r>
      <w:r w:rsidR="00FB5725">
        <w:rPr>
          <w:rFonts w:ascii="Palatino Linotype" w:eastAsia="Palatino Linotype" w:hAnsi="Palatino Linotype" w:cs="Palatino Linotype"/>
          <w:b/>
          <w:color w:val="000000"/>
        </w:rPr>
        <w:t>XXXXXXXXX XXXXXXXXXXXX</w:t>
      </w:r>
      <w:r w:rsidRPr="000939A5">
        <w:rPr>
          <w:rFonts w:ascii="Palatino Linotype" w:eastAsia="Palatino Linotype" w:hAnsi="Palatino Linotype" w:cs="Palatino Linotype"/>
        </w:rPr>
        <w:t xml:space="preserve">, al cual en lo sucesivo se le denominará la parte </w:t>
      </w:r>
      <w:r w:rsidRPr="000939A5">
        <w:rPr>
          <w:rFonts w:ascii="Palatino Linotype" w:eastAsia="Palatino Linotype" w:hAnsi="Palatino Linotype" w:cs="Palatino Linotype"/>
          <w:b/>
        </w:rPr>
        <w:t>Recurrente</w:t>
      </w:r>
      <w:r w:rsidRPr="000939A5">
        <w:rPr>
          <w:rFonts w:ascii="Palatino Linotype" w:eastAsia="Palatino Linotype" w:hAnsi="Palatino Linotype" w:cs="Palatino Linotype"/>
        </w:rPr>
        <w:t xml:space="preserve">, en contra de la respuesta a su solicitud de información identificada con número de folio </w:t>
      </w:r>
      <w:r w:rsidRPr="000939A5">
        <w:rPr>
          <w:rFonts w:ascii="Palatino Linotype" w:eastAsia="Palatino Linotype" w:hAnsi="Palatino Linotype" w:cs="Palatino Linotype"/>
          <w:b/>
        </w:rPr>
        <w:t xml:space="preserve">00562/PLEGISLA/IP/2024 </w:t>
      </w:r>
      <w:r w:rsidRPr="000939A5">
        <w:rPr>
          <w:rFonts w:ascii="Palatino Linotype" w:eastAsia="Palatino Linotype" w:hAnsi="Palatino Linotype" w:cs="Palatino Linotype"/>
        </w:rPr>
        <w:t xml:space="preserve">proporcionada por parte del </w:t>
      </w:r>
      <w:r w:rsidRPr="000939A5">
        <w:rPr>
          <w:rFonts w:ascii="Palatino Linotype" w:eastAsia="Palatino Linotype" w:hAnsi="Palatino Linotype" w:cs="Palatino Linotype"/>
          <w:b/>
        </w:rPr>
        <w:t>Poder Legislativo</w:t>
      </w:r>
      <w:r w:rsidRPr="000939A5">
        <w:rPr>
          <w:rFonts w:ascii="Palatino Linotype" w:eastAsia="Palatino Linotype" w:hAnsi="Palatino Linotype" w:cs="Palatino Linotype"/>
        </w:rPr>
        <w:t xml:space="preserve">, en lo sucesivo el </w:t>
      </w:r>
      <w:r w:rsidRPr="000939A5">
        <w:rPr>
          <w:rFonts w:ascii="Palatino Linotype" w:eastAsia="Palatino Linotype" w:hAnsi="Palatino Linotype" w:cs="Palatino Linotype"/>
          <w:b/>
        </w:rPr>
        <w:t>Sujeto Obligado</w:t>
      </w:r>
      <w:r w:rsidRPr="000939A5">
        <w:rPr>
          <w:rFonts w:ascii="Palatino Linotype" w:eastAsia="Palatino Linotype" w:hAnsi="Palatino Linotype" w:cs="Palatino Linotype"/>
        </w:rPr>
        <w:t>; se procede a dictar la presente resolución, con base en los siguientes:</w:t>
      </w:r>
    </w:p>
    <w:p w14:paraId="274181B5" w14:textId="77777777" w:rsidR="00A77DD6" w:rsidRPr="000939A5" w:rsidRDefault="00A77DD6">
      <w:pPr>
        <w:spacing w:after="0" w:line="360" w:lineRule="auto"/>
        <w:ind w:right="49"/>
        <w:jc w:val="both"/>
        <w:rPr>
          <w:rFonts w:ascii="Palatino Linotype" w:eastAsia="Palatino Linotype" w:hAnsi="Palatino Linotype" w:cs="Palatino Linotype"/>
        </w:rPr>
      </w:pPr>
    </w:p>
    <w:p w14:paraId="1719CE6E" w14:textId="77777777" w:rsidR="00A77DD6" w:rsidRPr="000939A5" w:rsidRDefault="002C5650">
      <w:pPr>
        <w:spacing w:after="0" w:line="360" w:lineRule="auto"/>
        <w:ind w:right="49"/>
        <w:jc w:val="center"/>
        <w:rPr>
          <w:rFonts w:ascii="Palatino Linotype" w:eastAsia="Palatino Linotype" w:hAnsi="Palatino Linotype" w:cs="Palatino Linotype"/>
          <w:b/>
        </w:rPr>
      </w:pPr>
      <w:r w:rsidRPr="000939A5">
        <w:rPr>
          <w:rFonts w:ascii="Palatino Linotype" w:eastAsia="Palatino Linotype" w:hAnsi="Palatino Linotype" w:cs="Palatino Linotype"/>
          <w:b/>
        </w:rPr>
        <w:t>I.</w:t>
      </w:r>
      <w:r w:rsidRPr="000939A5">
        <w:rPr>
          <w:rFonts w:ascii="Palatino Linotype" w:eastAsia="Palatino Linotype" w:hAnsi="Palatino Linotype" w:cs="Palatino Linotype"/>
          <w:b/>
        </w:rPr>
        <w:tab/>
        <w:t>A N T E C E D E N T E S</w:t>
      </w:r>
    </w:p>
    <w:p w14:paraId="541104FC" w14:textId="77777777" w:rsidR="00A77DD6" w:rsidRPr="000939A5" w:rsidRDefault="00A77DD6">
      <w:pPr>
        <w:spacing w:after="0" w:line="360" w:lineRule="auto"/>
        <w:ind w:right="49"/>
        <w:jc w:val="both"/>
        <w:rPr>
          <w:rFonts w:ascii="Palatino Linotype" w:eastAsia="Palatino Linotype" w:hAnsi="Palatino Linotype" w:cs="Palatino Linotype"/>
        </w:rPr>
      </w:pPr>
    </w:p>
    <w:p w14:paraId="2BF92C23" w14:textId="77777777" w:rsidR="00A77DD6" w:rsidRPr="000939A5" w:rsidRDefault="002C5650">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0939A5">
        <w:rPr>
          <w:rFonts w:ascii="Palatino Linotype" w:eastAsia="Palatino Linotype" w:hAnsi="Palatino Linotype" w:cs="Palatino Linotype"/>
          <w:b/>
        </w:rPr>
        <w:t>Solicitud de acceso a la información.</w:t>
      </w:r>
      <w:r w:rsidRPr="000939A5">
        <w:rPr>
          <w:rFonts w:ascii="Palatino Linotype" w:eastAsia="Palatino Linotype" w:hAnsi="Palatino Linotype" w:cs="Palatino Linotype"/>
        </w:rPr>
        <w:t xml:space="preserve"> Con fecha </w:t>
      </w:r>
      <w:r w:rsidRPr="000939A5">
        <w:rPr>
          <w:rFonts w:ascii="Palatino Linotype" w:eastAsia="Palatino Linotype" w:hAnsi="Palatino Linotype" w:cs="Palatino Linotype"/>
          <w:b/>
        </w:rPr>
        <w:t>veintidós de noviembre de dos mil veinticinco</w:t>
      </w:r>
      <w:r w:rsidRPr="000939A5">
        <w:rPr>
          <w:rFonts w:ascii="Palatino Linotype" w:eastAsia="Palatino Linotype" w:hAnsi="Palatino Linotype" w:cs="Palatino Linotype"/>
        </w:rPr>
        <w:t xml:space="preserve">, la parte </w:t>
      </w:r>
      <w:r w:rsidRPr="000939A5">
        <w:rPr>
          <w:rFonts w:ascii="Palatino Linotype" w:eastAsia="Palatino Linotype" w:hAnsi="Palatino Linotype" w:cs="Palatino Linotype"/>
          <w:b/>
        </w:rPr>
        <w:t>Recurrente</w:t>
      </w:r>
      <w:r w:rsidRPr="000939A5">
        <w:rPr>
          <w:rFonts w:ascii="Palatino Linotype" w:eastAsia="Palatino Linotype" w:hAnsi="Palatino Linotype" w:cs="Palatino Linotype"/>
        </w:rPr>
        <w:t xml:space="preserve"> formuló solicitud de acceso a información pública al</w:t>
      </w:r>
      <w:r w:rsidRPr="000939A5">
        <w:rPr>
          <w:rFonts w:ascii="Palatino Linotype" w:eastAsia="Palatino Linotype" w:hAnsi="Palatino Linotype" w:cs="Palatino Linotype"/>
          <w:b/>
        </w:rPr>
        <w:t xml:space="preserve"> Sujeto Obligado</w:t>
      </w:r>
      <w:r w:rsidRPr="000939A5">
        <w:rPr>
          <w:rFonts w:ascii="Palatino Linotype" w:eastAsia="Palatino Linotype" w:hAnsi="Palatino Linotype" w:cs="Palatino Linotype"/>
        </w:rPr>
        <w:t xml:space="preserve"> a través del Sistema de Acceso a la Información Mexiquense, en adelante SAIMEX, en la que requirió lo siguiente: </w:t>
      </w:r>
    </w:p>
    <w:p w14:paraId="111F0678" w14:textId="77777777" w:rsidR="00A77DD6" w:rsidRPr="000939A5" w:rsidRDefault="00A77DD6">
      <w:pPr>
        <w:tabs>
          <w:tab w:val="left" w:pos="1530"/>
        </w:tabs>
        <w:spacing w:after="0" w:line="360" w:lineRule="auto"/>
        <w:ind w:right="49"/>
        <w:jc w:val="both"/>
        <w:rPr>
          <w:rFonts w:ascii="Palatino Linotype" w:eastAsia="Palatino Linotype" w:hAnsi="Palatino Linotype" w:cs="Palatino Linotype"/>
        </w:rPr>
      </w:pPr>
    </w:p>
    <w:p w14:paraId="6E47F592" w14:textId="77777777" w:rsidR="00A77DD6" w:rsidRPr="000939A5" w:rsidRDefault="002C5650">
      <w:pPr>
        <w:spacing w:after="0"/>
        <w:ind w:left="851" w:right="843"/>
        <w:jc w:val="both"/>
        <w:rPr>
          <w:rFonts w:ascii="Palatino Linotype" w:eastAsia="Palatino Linotype" w:hAnsi="Palatino Linotype" w:cs="Palatino Linotype"/>
          <w:i/>
        </w:rPr>
      </w:pPr>
      <w:bookmarkStart w:id="0" w:name="_heading=h.30j0zll" w:colFirst="0" w:colLast="0"/>
      <w:bookmarkEnd w:id="0"/>
      <w:r w:rsidRPr="000939A5">
        <w:rPr>
          <w:rFonts w:ascii="Palatino Linotype" w:eastAsia="Palatino Linotype" w:hAnsi="Palatino Linotype" w:cs="Palatino Linotype"/>
          <w:i/>
        </w:rPr>
        <w:t xml:space="preserve">“Solicito recibos de </w:t>
      </w:r>
      <w:proofErr w:type="spellStart"/>
      <w:r w:rsidRPr="000939A5">
        <w:rPr>
          <w:rFonts w:ascii="Palatino Linotype" w:eastAsia="Palatino Linotype" w:hAnsi="Palatino Linotype" w:cs="Palatino Linotype"/>
          <w:i/>
        </w:rPr>
        <w:t>nomina</w:t>
      </w:r>
      <w:proofErr w:type="spellEnd"/>
      <w:r w:rsidRPr="000939A5">
        <w:rPr>
          <w:rFonts w:ascii="Palatino Linotype" w:eastAsia="Palatino Linotype" w:hAnsi="Palatino Linotype" w:cs="Palatino Linotype"/>
          <w:i/>
        </w:rPr>
        <w:t xml:space="preserve"> del personal que trabaja para la diputada Sofia </w:t>
      </w:r>
      <w:proofErr w:type="spellStart"/>
      <w:r w:rsidRPr="000939A5">
        <w:rPr>
          <w:rFonts w:ascii="Palatino Linotype" w:eastAsia="Palatino Linotype" w:hAnsi="Palatino Linotype" w:cs="Palatino Linotype"/>
          <w:i/>
        </w:rPr>
        <w:t>Martinez</w:t>
      </w:r>
      <w:proofErr w:type="spellEnd"/>
      <w:r w:rsidRPr="000939A5">
        <w:rPr>
          <w:rFonts w:ascii="Palatino Linotype" w:eastAsia="Palatino Linotype" w:hAnsi="Palatino Linotype" w:cs="Palatino Linotype"/>
          <w:i/>
        </w:rPr>
        <w:t xml:space="preserve"> Molina de la </w:t>
      </w:r>
      <w:proofErr w:type="spellStart"/>
      <w:r w:rsidRPr="000939A5">
        <w:rPr>
          <w:rFonts w:ascii="Palatino Linotype" w:eastAsia="Palatino Linotype" w:hAnsi="Palatino Linotype" w:cs="Palatino Linotype"/>
          <w:i/>
        </w:rPr>
        <w:t>coaliciòn</w:t>
      </w:r>
      <w:proofErr w:type="spellEnd"/>
      <w:r w:rsidRPr="000939A5">
        <w:rPr>
          <w:rFonts w:ascii="Palatino Linotype" w:eastAsia="Palatino Linotype" w:hAnsi="Palatino Linotype" w:cs="Palatino Linotype"/>
          <w:i/>
        </w:rPr>
        <w:t xml:space="preserve"> PT-MORENA-PVEM.”</w:t>
      </w:r>
    </w:p>
    <w:p w14:paraId="59A4C2EC" w14:textId="77777777" w:rsidR="00A77DD6" w:rsidRPr="000939A5" w:rsidRDefault="00A77DD6">
      <w:pPr>
        <w:spacing w:after="0" w:line="360" w:lineRule="auto"/>
        <w:ind w:right="49"/>
        <w:jc w:val="both"/>
        <w:rPr>
          <w:rFonts w:ascii="Palatino Linotype" w:eastAsia="Palatino Linotype" w:hAnsi="Palatino Linotype" w:cs="Palatino Linotype"/>
          <w:i/>
        </w:rPr>
      </w:pPr>
    </w:p>
    <w:p w14:paraId="20D6AC55" w14:textId="77777777" w:rsidR="00A77DD6" w:rsidRPr="000939A5" w:rsidRDefault="002C5650">
      <w:pPr>
        <w:spacing w:after="0" w:line="360" w:lineRule="auto"/>
        <w:ind w:right="49"/>
        <w:jc w:val="both"/>
        <w:rPr>
          <w:rFonts w:ascii="Palatino Linotype" w:eastAsia="Palatino Linotype" w:hAnsi="Palatino Linotype" w:cs="Palatino Linotype"/>
        </w:rPr>
      </w:pPr>
      <w:r w:rsidRPr="000939A5">
        <w:rPr>
          <w:rFonts w:ascii="Palatino Linotype" w:eastAsia="Palatino Linotype" w:hAnsi="Palatino Linotype" w:cs="Palatino Linotype"/>
          <w:b/>
        </w:rPr>
        <w:t>Modalidad elegida para la entrega de la información:</w:t>
      </w:r>
      <w:r w:rsidRPr="000939A5">
        <w:rPr>
          <w:rFonts w:ascii="Palatino Linotype" w:eastAsia="Palatino Linotype" w:hAnsi="Palatino Linotype" w:cs="Palatino Linotype"/>
        </w:rPr>
        <w:t xml:space="preserve"> a través del Sistema de Acceso a la Información Mexiquense (SAIMEX). </w:t>
      </w:r>
    </w:p>
    <w:p w14:paraId="669DEF20" w14:textId="77777777" w:rsidR="00A77DD6" w:rsidRPr="000939A5" w:rsidRDefault="00A77DD6">
      <w:pPr>
        <w:pBdr>
          <w:top w:val="nil"/>
          <w:left w:val="nil"/>
          <w:bottom w:val="nil"/>
          <w:right w:val="nil"/>
          <w:between w:val="nil"/>
        </w:pBdr>
        <w:tabs>
          <w:tab w:val="left" w:pos="993"/>
        </w:tabs>
        <w:spacing w:after="0" w:line="360" w:lineRule="auto"/>
        <w:ind w:right="560"/>
        <w:jc w:val="both"/>
        <w:rPr>
          <w:rFonts w:ascii="Palatino Linotype" w:eastAsia="Palatino Linotype" w:hAnsi="Palatino Linotype" w:cs="Palatino Linotype"/>
        </w:rPr>
      </w:pPr>
    </w:p>
    <w:p w14:paraId="53EB8BF2" w14:textId="77777777" w:rsidR="00A77DD6" w:rsidRPr="000939A5" w:rsidRDefault="002C5650">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0939A5">
        <w:rPr>
          <w:rFonts w:ascii="Palatino Linotype" w:eastAsia="Palatino Linotype" w:hAnsi="Palatino Linotype" w:cs="Palatino Linotype"/>
          <w:b/>
        </w:rPr>
        <w:lastRenderedPageBreak/>
        <w:t xml:space="preserve">Respuesta. </w:t>
      </w:r>
      <w:r w:rsidRPr="000939A5">
        <w:rPr>
          <w:rFonts w:ascii="Palatino Linotype" w:eastAsia="Palatino Linotype" w:hAnsi="Palatino Linotype" w:cs="Palatino Linotype"/>
        </w:rPr>
        <w:t xml:space="preserve">En fecha </w:t>
      </w:r>
      <w:r w:rsidRPr="000939A5">
        <w:rPr>
          <w:rFonts w:ascii="Palatino Linotype" w:eastAsia="Palatino Linotype" w:hAnsi="Palatino Linotype" w:cs="Palatino Linotype"/>
          <w:b/>
        </w:rPr>
        <w:t>diez de diciembre de dos mil veinticuatro</w:t>
      </w:r>
      <w:r w:rsidRPr="000939A5">
        <w:rPr>
          <w:rFonts w:ascii="Palatino Linotype" w:eastAsia="Palatino Linotype" w:hAnsi="Palatino Linotype" w:cs="Palatino Linotype"/>
        </w:rPr>
        <w:t xml:space="preserve">, el </w:t>
      </w:r>
      <w:r w:rsidRPr="000939A5">
        <w:rPr>
          <w:rFonts w:ascii="Palatino Linotype" w:eastAsia="Palatino Linotype" w:hAnsi="Palatino Linotype" w:cs="Palatino Linotype"/>
          <w:b/>
        </w:rPr>
        <w:t xml:space="preserve">Sujeto Obligado </w:t>
      </w:r>
      <w:r w:rsidRPr="000939A5">
        <w:rPr>
          <w:rFonts w:ascii="Palatino Linotype" w:eastAsia="Palatino Linotype" w:hAnsi="Palatino Linotype" w:cs="Palatino Linotype"/>
        </w:rPr>
        <w:t xml:space="preserve">proporcionó respuesta a la solicitud de información, al tenor de lo siguiente: </w:t>
      </w:r>
    </w:p>
    <w:p w14:paraId="0E649D48" w14:textId="77777777" w:rsidR="00A77DD6" w:rsidRPr="000939A5" w:rsidRDefault="00A77DD6">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44F288E1" w14:textId="77777777" w:rsidR="00A77DD6" w:rsidRPr="000939A5" w:rsidRDefault="002C5650">
      <w:pPr>
        <w:pBdr>
          <w:top w:val="nil"/>
          <w:left w:val="nil"/>
          <w:bottom w:val="nil"/>
          <w:right w:val="nil"/>
          <w:between w:val="nil"/>
        </w:pBdr>
        <w:spacing w:after="0"/>
        <w:ind w:left="851" w:right="843"/>
        <w:jc w:val="both"/>
        <w:rPr>
          <w:rFonts w:ascii="Palatino Linotype" w:eastAsia="Palatino Linotype" w:hAnsi="Palatino Linotype" w:cs="Palatino Linotype"/>
          <w:i/>
        </w:rPr>
      </w:pPr>
      <w:r w:rsidRPr="000939A5">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77A02A5" w14:textId="77777777" w:rsidR="00A77DD6" w:rsidRPr="000939A5" w:rsidRDefault="002C5650">
      <w:pPr>
        <w:pBdr>
          <w:top w:val="nil"/>
          <w:left w:val="nil"/>
          <w:bottom w:val="nil"/>
          <w:right w:val="nil"/>
          <w:between w:val="nil"/>
        </w:pBdr>
        <w:spacing w:after="0"/>
        <w:ind w:left="851" w:right="843"/>
        <w:jc w:val="both"/>
        <w:rPr>
          <w:rFonts w:ascii="Palatino Linotype" w:eastAsia="Palatino Linotype" w:hAnsi="Palatino Linotype" w:cs="Palatino Linotype"/>
          <w:i/>
        </w:rPr>
      </w:pPr>
      <w:r w:rsidRPr="000939A5">
        <w:rPr>
          <w:rFonts w:ascii="Palatino Linotype" w:eastAsia="Palatino Linotype" w:hAnsi="Palatino Linotype" w:cs="Palatino Linotype"/>
          <w:i/>
        </w:rPr>
        <w:t>Derivado de la búsqueda exhaustiva y razonable realizada en los archivos que obran en esta dependencia, se remite versión pública de los recibos de nómina de las personas servidoras públicas asignadas a la diputada Sofía Martínez Molina, correspondientes a la primera quincena de noviembre 2024.</w:t>
      </w:r>
    </w:p>
    <w:p w14:paraId="0EC444CB" w14:textId="77777777" w:rsidR="00A77DD6" w:rsidRPr="000939A5" w:rsidRDefault="002C5650">
      <w:pPr>
        <w:pBdr>
          <w:top w:val="nil"/>
          <w:left w:val="nil"/>
          <w:bottom w:val="nil"/>
          <w:right w:val="nil"/>
          <w:between w:val="nil"/>
        </w:pBdr>
        <w:spacing w:after="0"/>
        <w:ind w:left="851" w:right="843"/>
        <w:jc w:val="both"/>
        <w:rPr>
          <w:rFonts w:ascii="Palatino Linotype" w:eastAsia="Palatino Linotype" w:hAnsi="Palatino Linotype" w:cs="Palatino Linotype"/>
          <w:i/>
        </w:rPr>
      </w:pPr>
      <w:r w:rsidRPr="000939A5">
        <w:rPr>
          <w:rFonts w:ascii="Palatino Linotype" w:eastAsia="Palatino Linotype" w:hAnsi="Palatino Linotype" w:cs="Palatino Linotype"/>
          <w:i/>
        </w:rPr>
        <w:t>ATENTAMENTE</w:t>
      </w:r>
    </w:p>
    <w:p w14:paraId="1A8FD2DA" w14:textId="77777777" w:rsidR="00A77DD6" w:rsidRPr="000939A5" w:rsidRDefault="002C5650">
      <w:pPr>
        <w:pBdr>
          <w:top w:val="nil"/>
          <w:left w:val="nil"/>
          <w:bottom w:val="nil"/>
          <w:right w:val="nil"/>
          <w:between w:val="nil"/>
        </w:pBdr>
        <w:spacing w:after="0"/>
        <w:ind w:left="851" w:right="843"/>
        <w:jc w:val="both"/>
        <w:rPr>
          <w:rFonts w:ascii="Palatino Linotype" w:eastAsia="Palatino Linotype" w:hAnsi="Palatino Linotype" w:cs="Palatino Linotype"/>
          <w:i/>
        </w:rPr>
      </w:pPr>
      <w:r w:rsidRPr="000939A5">
        <w:rPr>
          <w:rFonts w:ascii="Palatino Linotype" w:eastAsia="Palatino Linotype" w:hAnsi="Palatino Linotype" w:cs="Palatino Linotype"/>
          <w:i/>
        </w:rPr>
        <w:t>Jesús Felipe Borja Coronel”</w:t>
      </w:r>
    </w:p>
    <w:p w14:paraId="1A98A407" w14:textId="77777777" w:rsidR="00A77DD6" w:rsidRPr="000939A5" w:rsidRDefault="00A77DD6">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6CD9682C" w14:textId="77777777" w:rsidR="00A77DD6" w:rsidRPr="000939A5" w:rsidRDefault="002C565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0939A5">
        <w:rPr>
          <w:rFonts w:ascii="Palatino Linotype" w:eastAsia="Palatino Linotype" w:hAnsi="Palatino Linotype" w:cs="Palatino Linotype"/>
        </w:rPr>
        <w:t>Asimismo, adjuntó los documentos que se describen a continuación:</w:t>
      </w:r>
    </w:p>
    <w:p w14:paraId="6B7E52B3" w14:textId="77777777" w:rsidR="00A77DD6" w:rsidRPr="000939A5" w:rsidRDefault="00A77DD6">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68377A76" w14:textId="77777777" w:rsidR="00A77DD6" w:rsidRPr="000939A5" w:rsidRDefault="002C5650">
      <w:pPr>
        <w:numPr>
          <w:ilvl w:val="0"/>
          <w:numId w:val="2"/>
        </w:numPr>
        <w:pBdr>
          <w:top w:val="nil"/>
          <w:left w:val="nil"/>
          <w:bottom w:val="nil"/>
          <w:right w:val="nil"/>
          <w:between w:val="nil"/>
        </w:pBdr>
        <w:spacing w:after="0" w:line="360" w:lineRule="auto"/>
        <w:ind w:left="851" w:right="843"/>
        <w:jc w:val="both"/>
        <w:rPr>
          <w:rFonts w:ascii="Palatino Linotype" w:eastAsia="Palatino Linotype" w:hAnsi="Palatino Linotype" w:cs="Palatino Linotype"/>
        </w:rPr>
      </w:pPr>
      <w:r w:rsidRPr="000939A5">
        <w:rPr>
          <w:rFonts w:ascii="Palatino Linotype" w:eastAsia="Palatino Linotype" w:hAnsi="Palatino Linotype" w:cs="Palatino Linotype"/>
          <w:b/>
          <w:i/>
        </w:rPr>
        <w:t>Oficio 0562.pdf:</w:t>
      </w:r>
      <w:r w:rsidRPr="000939A5">
        <w:rPr>
          <w:rFonts w:ascii="Palatino Linotype" w:eastAsia="Palatino Linotype" w:hAnsi="Palatino Linotype" w:cs="Palatino Linotype"/>
        </w:rPr>
        <w:t xml:space="preserve"> Oficio de fecha diez de diciembre de dos mil veinticuatro, signado por la Secretaría de Administración y Finanzas, mediante el cual informa que derivado de la búsqueda exhaustiva y razonable realizada en los archivos que obran en esa dependencia, remite versión pública de los recibos de nómina de las personas servidoras públicas asignadas a la Diputada Sofía Martínez Molina, correspondientes a la primera quincena de noviembre dos mil veinticuatro. </w:t>
      </w:r>
    </w:p>
    <w:p w14:paraId="3361EE30" w14:textId="77777777" w:rsidR="00A77DD6" w:rsidRPr="000939A5" w:rsidRDefault="002C5650">
      <w:pPr>
        <w:numPr>
          <w:ilvl w:val="0"/>
          <w:numId w:val="2"/>
        </w:numPr>
        <w:pBdr>
          <w:top w:val="nil"/>
          <w:left w:val="nil"/>
          <w:bottom w:val="nil"/>
          <w:right w:val="nil"/>
          <w:between w:val="nil"/>
        </w:pBdr>
        <w:spacing w:after="0" w:line="360" w:lineRule="auto"/>
        <w:ind w:left="851" w:right="843"/>
        <w:jc w:val="both"/>
        <w:rPr>
          <w:rFonts w:ascii="Palatino Linotype" w:eastAsia="Palatino Linotype" w:hAnsi="Palatino Linotype" w:cs="Palatino Linotype"/>
        </w:rPr>
      </w:pPr>
      <w:r w:rsidRPr="000939A5">
        <w:rPr>
          <w:rFonts w:ascii="Palatino Linotype" w:eastAsia="Palatino Linotype" w:hAnsi="Palatino Linotype" w:cs="Palatino Linotype"/>
          <w:b/>
          <w:i/>
        </w:rPr>
        <w:t>Leyenda Confidencial - 0562.pdf</w:t>
      </w:r>
      <w:r w:rsidRPr="000939A5">
        <w:rPr>
          <w:rFonts w:ascii="Palatino Linotype" w:eastAsia="Palatino Linotype" w:hAnsi="Palatino Linotype" w:cs="Palatino Linotype"/>
        </w:rPr>
        <w:t xml:space="preserve">: Contiene el cuadro de clasificación de la información como confidencial. </w:t>
      </w:r>
    </w:p>
    <w:p w14:paraId="4EFB81CD" w14:textId="77777777" w:rsidR="00A77DD6" w:rsidRPr="000939A5" w:rsidRDefault="002C5650">
      <w:pPr>
        <w:numPr>
          <w:ilvl w:val="0"/>
          <w:numId w:val="2"/>
        </w:numPr>
        <w:pBdr>
          <w:top w:val="nil"/>
          <w:left w:val="nil"/>
          <w:bottom w:val="nil"/>
          <w:right w:val="nil"/>
          <w:between w:val="nil"/>
        </w:pBdr>
        <w:spacing w:after="0" w:line="360" w:lineRule="auto"/>
        <w:ind w:left="851" w:right="843"/>
        <w:jc w:val="both"/>
        <w:rPr>
          <w:rFonts w:ascii="Palatino Linotype" w:eastAsia="Palatino Linotype" w:hAnsi="Palatino Linotype" w:cs="Palatino Linotype"/>
        </w:rPr>
      </w:pPr>
      <w:r w:rsidRPr="000939A5">
        <w:rPr>
          <w:rFonts w:ascii="Palatino Linotype" w:eastAsia="Palatino Linotype" w:hAnsi="Palatino Linotype" w:cs="Palatino Linotype"/>
          <w:b/>
          <w:i/>
        </w:rPr>
        <w:t>Acuerdo PLEGISLA-LXII-CT-39ªext-2024-CUARTO.pdf</w:t>
      </w:r>
      <w:r w:rsidRPr="000939A5">
        <w:rPr>
          <w:rFonts w:ascii="Palatino Linotype" w:eastAsia="Palatino Linotype" w:hAnsi="Palatino Linotype" w:cs="Palatino Linotype"/>
        </w:rPr>
        <w:t xml:space="preserve">: Acuerdo PLEGISLA/LXII/CT/39ªext/2024/CUARTO de la Trigésima Novena Sesión Extraordinaria del Comité de Transparencia del Poder Legislativo del Estado </w:t>
      </w:r>
      <w:r w:rsidRPr="000939A5">
        <w:rPr>
          <w:rFonts w:ascii="Palatino Linotype" w:eastAsia="Palatino Linotype" w:hAnsi="Palatino Linotype" w:cs="Palatino Linotype"/>
        </w:rPr>
        <w:lastRenderedPageBreak/>
        <w:t xml:space="preserve">de México, celebrada el seis de diciembre de dos mil veinticuatro, en el que se confirma por unanimidad la clasificación parcial como información confidencial de los datos personales contenidos en los comprobantes de pago de las personas servidoras públicas adscritas a la Diputada Sofía Martínez Molina, correspondientes a la primera quincena de noviembre de dos mil veinticuatro, con la finalidad de dar atención a la solicitud de acceso a la información 00562/PLEGISLA/IP/2024. </w:t>
      </w:r>
    </w:p>
    <w:p w14:paraId="21AF7190" w14:textId="77777777" w:rsidR="00A77DD6" w:rsidRPr="000939A5" w:rsidRDefault="002C5650">
      <w:pPr>
        <w:numPr>
          <w:ilvl w:val="0"/>
          <w:numId w:val="2"/>
        </w:numPr>
        <w:pBdr>
          <w:top w:val="nil"/>
          <w:left w:val="nil"/>
          <w:bottom w:val="nil"/>
          <w:right w:val="nil"/>
          <w:between w:val="nil"/>
        </w:pBdr>
        <w:spacing w:after="0" w:line="360" w:lineRule="auto"/>
        <w:ind w:left="851" w:right="843"/>
        <w:jc w:val="both"/>
        <w:rPr>
          <w:rFonts w:ascii="Palatino Linotype" w:eastAsia="Palatino Linotype" w:hAnsi="Palatino Linotype" w:cs="Palatino Linotype"/>
        </w:rPr>
      </w:pPr>
      <w:r w:rsidRPr="000939A5">
        <w:rPr>
          <w:rFonts w:ascii="Palatino Linotype" w:eastAsia="Palatino Linotype" w:hAnsi="Palatino Linotype" w:cs="Palatino Linotype"/>
          <w:b/>
          <w:i/>
        </w:rPr>
        <w:t>Respuesta 562-SAF.pdf</w:t>
      </w:r>
      <w:r w:rsidRPr="000939A5">
        <w:rPr>
          <w:rFonts w:ascii="Palatino Linotype" w:eastAsia="Palatino Linotype" w:hAnsi="Palatino Linotype" w:cs="Palatino Linotype"/>
        </w:rPr>
        <w:t xml:space="preserve">: Oficio número 00562/PLEGISLA/IP/2024 de fecha diez de diciembre de dos mil veinticuatro, signado por el Titular de la Unidad, mediante el cual informa la entrega de la respuesta proporcionada por la servidora pública habilitada de la Secretaría de Administración y Finanzas. </w:t>
      </w:r>
    </w:p>
    <w:p w14:paraId="62A45DDA" w14:textId="77777777" w:rsidR="00A77DD6" w:rsidRPr="000939A5" w:rsidRDefault="002C5650">
      <w:pPr>
        <w:numPr>
          <w:ilvl w:val="0"/>
          <w:numId w:val="2"/>
        </w:numPr>
        <w:pBdr>
          <w:top w:val="nil"/>
          <w:left w:val="nil"/>
          <w:bottom w:val="nil"/>
          <w:right w:val="nil"/>
          <w:between w:val="nil"/>
        </w:pBdr>
        <w:spacing w:after="0" w:line="360" w:lineRule="auto"/>
        <w:ind w:left="851" w:right="843"/>
        <w:jc w:val="both"/>
        <w:rPr>
          <w:rFonts w:ascii="Palatino Linotype" w:eastAsia="Palatino Linotype" w:hAnsi="Palatino Linotype" w:cs="Palatino Linotype"/>
        </w:rPr>
      </w:pPr>
      <w:r w:rsidRPr="000939A5">
        <w:rPr>
          <w:rFonts w:ascii="Palatino Linotype" w:eastAsia="Palatino Linotype" w:hAnsi="Palatino Linotype" w:cs="Palatino Linotype"/>
          <w:b/>
          <w:i/>
        </w:rPr>
        <w:t>Anexo 0562.zip</w:t>
      </w:r>
      <w:r w:rsidRPr="000939A5">
        <w:rPr>
          <w:rFonts w:ascii="Palatino Linotype" w:eastAsia="Palatino Linotype" w:hAnsi="Palatino Linotype" w:cs="Palatino Linotype"/>
        </w:rPr>
        <w:t xml:space="preserve">: Carpeta comprimida que contiene tres archivos en formato PNG, de los que se advierte el recibo de nómina de tres servidores públicos. </w:t>
      </w:r>
    </w:p>
    <w:p w14:paraId="56B16B68" w14:textId="77777777" w:rsidR="00A77DD6" w:rsidRPr="000939A5" w:rsidRDefault="00A77DD6">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6F724E3E" w14:textId="77777777" w:rsidR="00A77DD6" w:rsidRPr="000939A5" w:rsidRDefault="002C5650">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0939A5">
        <w:rPr>
          <w:rFonts w:ascii="Palatino Linotype" w:eastAsia="Palatino Linotype" w:hAnsi="Palatino Linotype" w:cs="Palatino Linotype"/>
          <w:b/>
        </w:rPr>
        <w:t xml:space="preserve">Recurso de Revisión. </w:t>
      </w:r>
      <w:r w:rsidRPr="000939A5">
        <w:rPr>
          <w:rFonts w:ascii="Palatino Linotype" w:eastAsia="Palatino Linotype" w:hAnsi="Palatino Linotype" w:cs="Palatino Linotype"/>
        </w:rPr>
        <w:t xml:space="preserve">En fecha </w:t>
      </w:r>
      <w:r w:rsidRPr="000939A5">
        <w:rPr>
          <w:rFonts w:ascii="Palatino Linotype" w:eastAsia="Palatino Linotype" w:hAnsi="Palatino Linotype" w:cs="Palatino Linotype"/>
          <w:b/>
        </w:rPr>
        <w:t xml:space="preserve">trece de enero de dos mil veinticinco, </w:t>
      </w:r>
      <w:r w:rsidRPr="000939A5">
        <w:rPr>
          <w:rFonts w:ascii="Palatino Linotype" w:eastAsia="Palatino Linotype" w:hAnsi="Palatino Linotype" w:cs="Palatino Linotype"/>
        </w:rPr>
        <w:t xml:space="preserve">la persona Solicitante interpuso Recurso de Revisión a través del </w:t>
      </w:r>
      <w:r w:rsidRPr="000939A5">
        <w:rPr>
          <w:rFonts w:ascii="Palatino Linotype" w:eastAsia="Palatino Linotype" w:hAnsi="Palatino Linotype" w:cs="Palatino Linotype"/>
          <w:b/>
        </w:rPr>
        <w:t>SAIMEX</w:t>
      </w:r>
      <w:r w:rsidRPr="000939A5">
        <w:rPr>
          <w:rFonts w:ascii="Palatino Linotype" w:eastAsia="Palatino Linotype" w:hAnsi="Palatino Linotype" w:cs="Palatino Linotype"/>
        </w:rPr>
        <w:t>, a través del cual expresó lo siguiente:</w:t>
      </w:r>
    </w:p>
    <w:p w14:paraId="0F309C15" w14:textId="77777777" w:rsidR="00A77DD6" w:rsidRPr="000939A5" w:rsidRDefault="00A77DD6">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56E09956" w14:textId="77777777" w:rsidR="00A77DD6" w:rsidRPr="000939A5" w:rsidRDefault="002C5650">
      <w:pPr>
        <w:pBdr>
          <w:top w:val="nil"/>
          <w:left w:val="nil"/>
          <w:bottom w:val="nil"/>
          <w:right w:val="nil"/>
          <w:between w:val="nil"/>
        </w:pBdr>
        <w:tabs>
          <w:tab w:val="left" w:pos="1276"/>
        </w:tabs>
        <w:spacing w:after="0"/>
        <w:ind w:left="851" w:right="843"/>
        <w:jc w:val="both"/>
        <w:rPr>
          <w:rFonts w:ascii="Palatino Linotype" w:eastAsia="Palatino Linotype" w:hAnsi="Palatino Linotype" w:cs="Palatino Linotype"/>
          <w:b/>
          <w:i/>
        </w:rPr>
      </w:pPr>
      <w:r w:rsidRPr="000939A5">
        <w:rPr>
          <w:rFonts w:ascii="Palatino Linotype" w:eastAsia="Palatino Linotype" w:hAnsi="Palatino Linotype" w:cs="Palatino Linotype"/>
          <w:b/>
        </w:rPr>
        <w:t>Acto impugnado</w:t>
      </w:r>
      <w:r w:rsidRPr="000939A5">
        <w:rPr>
          <w:rFonts w:ascii="Palatino Linotype" w:eastAsia="Palatino Linotype" w:hAnsi="Palatino Linotype" w:cs="Palatino Linotype"/>
          <w:b/>
          <w:i/>
        </w:rPr>
        <w:t xml:space="preserve">. </w:t>
      </w:r>
    </w:p>
    <w:p w14:paraId="01674B91" w14:textId="77777777" w:rsidR="00A77DD6" w:rsidRPr="000939A5" w:rsidRDefault="002C5650">
      <w:pPr>
        <w:pBdr>
          <w:top w:val="nil"/>
          <w:left w:val="nil"/>
          <w:bottom w:val="nil"/>
          <w:right w:val="nil"/>
          <w:between w:val="nil"/>
        </w:pBdr>
        <w:tabs>
          <w:tab w:val="left" w:pos="1276"/>
        </w:tabs>
        <w:spacing w:after="0"/>
        <w:ind w:left="851" w:right="843"/>
        <w:jc w:val="both"/>
        <w:rPr>
          <w:rFonts w:ascii="Palatino Linotype" w:eastAsia="Palatino Linotype" w:hAnsi="Palatino Linotype" w:cs="Palatino Linotype"/>
          <w:b/>
        </w:rPr>
      </w:pPr>
      <w:r w:rsidRPr="000939A5">
        <w:rPr>
          <w:rFonts w:ascii="Palatino Linotype" w:eastAsia="Palatino Linotype" w:hAnsi="Palatino Linotype" w:cs="Palatino Linotype"/>
          <w:i/>
        </w:rPr>
        <w:t xml:space="preserve">“Solicito detalle del concepto CLAVE 01 y CLAVE 017 de la </w:t>
      </w:r>
      <w:proofErr w:type="spellStart"/>
      <w:r w:rsidRPr="000939A5">
        <w:rPr>
          <w:rFonts w:ascii="Palatino Linotype" w:eastAsia="Palatino Linotype" w:hAnsi="Palatino Linotype" w:cs="Palatino Linotype"/>
          <w:i/>
        </w:rPr>
        <w:t>nomina</w:t>
      </w:r>
      <w:proofErr w:type="spellEnd"/>
      <w:r w:rsidRPr="000939A5">
        <w:rPr>
          <w:rFonts w:ascii="Palatino Linotype" w:eastAsia="Palatino Linotype" w:hAnsi="Palatino Linotype" w:cs="Palatino Linotype"/>
          <w:i/>
        </w:rPr>
        <w:t xml:space="preserve"> de </w:t>
      </w:r>
      <w:proofErr w:type="spellStart"/>
      <w:r w:rsidRPr="000939A5">
        <w:rPr>
          <w:rFonts w:ascii="Palatino Linotype" w:eastAsia="Palatino Linotype" w:hAnsi="Palatino Linotype" w:cs="Palatino Linotype"/>
          <w:i/>
        </w:rPr>
        <w:t>Victor</w:t>
      </w:r>
      <w:proofErr w:type="spellEnd"/>
      <w:r w:rsidRPr="000939A5">
        <w:rPr>
          <w:rFonts w:ascii="Palatino Linotype" w:eastAsia="Palatino Linotype" w:hAnsi="Palatino Linotype" w:cs="Palatino Linotype"/>
          <w:i/>
        </w:rPr>
        <w:t xml:space="preserve"> Hugo Montiel Chavero”.</w:t>
      </w:r>
    </w:p>
    <w:p w14:paraId="72CAAC8D" w14:textId="77777777" w:rsidR="00A77DD6" w:rsidRPr="000939A5" w:rsidRDefault="00A77DD6">
      <w:pPr>
        <w:pBdr>
          <w:top w:val="nil"/>
          <w:left w:val="nil"/>
          <w:bottom w:val="nil"/>
          <w:right w:val="nil"/>
          <w:between w:val="nil"/>
        </w:pBdr>
        <w:tabs>
          <w:tab w:val="left" w:pos="1276"/>
        </w:tabs>
        <w:spacing w:after="0"/>
        <w:ind w:left="851" w:right="843"/>
        <w:jc w:val="both"/>
        <w:rPr>
          <w:rFonts w:ascii="Palatino Linotype" w:eastAsia="Palatino Linotype" w:hAnsi="Palatino Linotype" w:cs="Palatino Linotype"/>
          <w:b/>
        </w:rPr>
      </w:pPr>
    </w:p>
    <w:p w14:paraId="644A83E0" w14:textId="77777777" w:rsidR="00A77DD6" w:rsidRPr="000939A5" w:rsidRDefault="002C5650">
      <w:pPr>
        <w:pBdr>
          <w:top w:val="nil"/>
          <w:left w:val="nil"/>
          <w:bottom w:val="nil"/>
          <w:right w:val="nil"/>
          <w:between w:val="nil"/>
        </w:pBdr>
        <w:tabs>
          <w:tab w:val="left" w:pos="1276"/>
        </w:tabs>
        <w:spacing w:after="0"/>
        <w:ind w:left="851" w:right="843"/>
        <w:jc w:val="both"/>
        <w:rPr>
          <w:rFonts w:ascii="Palatino Linotype" w:eastAsia="Palatino Linotype" w:hAnsi="Palatino Linotype" w:cs="Palatino Linotype"/>
          <w:b/>
        </w:rPr>
      </w:pPr>
      <w:r w:rsidRPr="000939A5">
        <w:rPr>
          <w:rFonts w:ascii="Palatino Linotype" w:eastAsia="Palatino Linotype" w:hAnsi="Palatino Linotype" w:cs="Palatino Linotype"/>
          <w:b/>
        </w:rPr>
        <w:t xml:space="preserve">Razones o motivos de la inconformidad: </w:t>
      </w:r>
    </w:p>
    <w:p w14:paraId="19B207E9" w14:textId="77777777" w:rsidR="00A77DD6" w:rsidRPr="000939A5" w:rsidRDefault="002C5650">
      <w:pPr>
        <w:pBdr>
          <w:top w:val="nil"/>
          <w:left w:val="nil"/>
          <w:bottom w:val="nil"/>
          <w:right w:val="nil"/>
          <w:between w:val="nil"/>
        </w:pBdr>
        <w:tabs>
          <w:tab w:val="left" w:pos="1276"/>
        </w:tabs>
        <w:spacing w:after="0"/>
        <w:ind w:left="851" w:right="843"/>
        <w:jc w:val="both"/>
        <w:rPr>
          <w:rFonts w:ascii="Palatino Linotype" w:eastAsia="Palatino Linotype" w:hAnsi="Palatino Linotype" w:cs="Palatino Linotype"/>
          <w:i/>
        </w:rPr>
      </w:pPr>
      <w:r w:rsidRPr="000939A5">
        <w:rPr>
          <w:rFonts w:ascii="Palatino Linotype" w:eastAsia="Palatino Linotype" w:hAnsi="Palatino Linotype" w:cs="Palatino Linotype"/>
          <w:i/>
        </w:rPr>
        <w:t xml:space="preserve">“Solicito detalle del concepto CLAVE 01 y CLAVE 017 de la </w:t>
      </w:r>
      <w:proofErr w:type="spellStart"/>
      <w:r w:rsidRPr="000939A5">
        <w:rPr>
          <w:rFonts w:ascii="Palatino Linotype" w:eastAsia="Palatino Linotype" w:hAnsi="Palatino Linotype" w:cs="Palatino Linotype"/>
          <w:i/>
        </w:rPr>
        <w:t>nomina</w:t>
      </w:r>
      <w:proofErr w:type="spellEnd"/>
      <w:r w:rsidRPr="000939A5">
        <w:rPr>
          <w:rFonts w:ascii="Palatino Linotype" w:eastAsia="Palatino Linotype" w:hAnsi="Palatino Linotype" w:cs="Palatino Linotype"/>
          <w:i/>
        </w:rPr>
        <w:t xml:space="preserve"> de </w:t>
      </w:r>
      <w:proofErr w:type="spellStart"/>
      <w:r w:rsidRPr="000939A5">
        <w:rPr>
          <w:rFonts w:ascii="Palatino Linotype" w:eastAsia="Palatino Linotype" w:hAnsi="Palatino Linotype" w:cs="Palatino Linotype"/>
          <w:i/>
        </w:rPr>
        <w:t>Victor</w:t>
      </w:r>
      <w:proofErr w:type="spellEnd"/>
      <w:r w:rsidRPr="000939A5">
        <w:rPr>
          <w:rFonts w:ascii="Palatino Linotype" w:eastAsia="Palatino Linotype" w:hAnsi="Palatino Linotype" w:cs="Palatino Linotype"/>
          <w:i/>
        </w:rPr>
        <w:t xml:space="preserve"> Hugo Montiel Chavero”.</w:t>
      </w:r>
    </w:p>
    <w:p w14:paraId="5DE63FD2" w14:textId="77777777" w:rsidR="00A77DD6" w:rsidRPr="000939A5" w:rsidRDefault="00A77DD6">
      <w:pPr>
        <w:pBdr>
          <w:top w:val="nil"/>
          <w:left w:val="nil"/>
          <w:bottom w:val="nil"/>
          <w:right w:val="nil"/>
          <w:between w:val="nil"/>
        </w:pBdr>
        <w:tabs>
          <w:tab w:val="left" w:pos="1276"/>
        </w:tabs>
        <w:spacing w:after="0" w:line="360" w:lineRule="auto"/>
        <w:ind w:right="701"/>
        <w:jc w:val="both"/>
        <w:rPr>
          <w:rFonts w:ascii="Palatino Linotype" w:eastAsia="Palatino Linotype" w:hAnsi="Palatino Linotype" w:cs="Palatino Linotype"/>
        </w:rPr>
      </w:pPr>
    </w:p>
    <w:p w14:paraId="652B54BF" w14:textId="77777777" w:rsidR="00A77DD6" w:rsidRPr="000939A5" w:rsidRDefault="002C5650">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0939A5">
        <w:rPr>
          <w:rFonts w:ascii="Palatino Linotype" w:eastAsia="Palatino Linotype" w:hAnsi="Palatino Linotype" w:cs="Palatino Linotype"/>
          <w:b/>
        </w:rPr>
        <w:lastRenderedPageBreak/>
        <w:t>Turno.</w:t>
      </w:r>
      <w:r w:rsidRPr="000939A5">
        <w:rPr>
          <w:rFonts w:ascii="Palatino Linotype" w:eastAsia="Palatino Linotype" w:hAnsi="Palatino Linotype" w:cs="Palatino Linotype"/>
        </w:rPr>
        <w:t xml:space="preserve"> De conformidad con el artículo 185, fracción I de la Ley de Transparencia y Acceso a la Información Pública del Estado de México y Municipios, el recurso de revisión número </w:t>
      </w:r>
      <w:r w:rsidRPr="000939A5">
        <w:rPr>
          <w:rFonts w:ascii="Palatino Linotype" w:eastAsia="Palatino Linotype" w:hAnsi="Palatino Linotype" w:cs="Palatino Linotype"/>
          <w:b/>
        </w:rPr>
        <w:t>00029/INFOEM/IP/RR/2025</w:t>
      </w:r>
      <w:r w:rsidRPr="000939A5">
        <w:rPr>
          <w:rFonts w:ascii="Palatino Linotype" w:eastAsia="Palatino Linotype" w:hAnsi="Palatino Linotype" w:cs="Palatino Linotype"/>
        </w:rPr>
        <w:t>, se turnó por el sistema electrónico del Instituto de Transparencia, Acceso a la Información Pública y Protección de Datos Personales del Estado de México y Municipios, a la Comisionada Guadalupe Ramírez Peña para su análisis, estudio, elaboración del proyecto y presentación ante el Pleno de este Instituto.</w:t>
      </w:r>
    </w:p>
    <w:p w14:paraId="4A5F0E16" w14:textId="77777777" w:rsidR="00A77DD6" w:rsidRPr="000939A5" w:rsidRDefault="00A77DD6">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BAC2EA5" w14:textId="77777777" w:rsidR="00A77DD6" w:rsidRPr="000939A5" w:rsidRDefault="002C5650">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0939A5">
        <w:rPr>
          <w:rFonts w:ascii="Palatino Linotype" w:eastAsia="Palatino Linotype" w:hAnsi="Palatino Linotype" w:cs="Palatino Linotype"/>
          <w:b/>
        </w:rPr>
        <w:t>Admisión del recurso de revisión</w:t>
      </w:r>
      <w:r w:rsidRPr="000939A5">
        <w:rPr>
          <w:rFonts w:ascii="Palatino Linotype" w:eastAsia="Palatino Linotype" w:hAnsi="Palatino Linotype" w:cs="Palatino Linotype"/>
        </w:rPr>
        <w:t xml:space="preserve">: En fecha </w:t>
      </w:r>
      <w:r w:rsidRPr="000939A5">
        <w:rPr>
          <w:rFonts w:ascii="Palatino Linotype" w:eastAsia="Palatino Linotype" w:hAnsi="Palatino Linotype" w:cs="Palatino Linotype"/>
          <w:b/>
        </w:rPr>
        <w:t>dieciséis de enero de dos mil veinticinco</w:t>
      </w:r>
      <w:r w:rsidRPr="000939A5">
        <w:rPr>
          <w:rFonts w:ascii="Palatino Linotype" w:eastAsia="Palatino Linotype" w:hAnsi="Palatino Linotype" w:cs="Palatino Linotype"/>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 </w:t>
      </w:r>
    </w:p>
    <w:p w14:paraId="578642D0" w14:textId="77777777" w:rsidR="00A77DD6" w:rsidRPr="000939A5" w:rsidRDefault="00A77DD6">
      <w:pPr>
        <w:pBdr>
          <w:top w:val="nil"/>
          <w:left w:val="nil"/>
          <w:bottom w:val="nil"/>
          <w:right w:val="nil"/>
          <w:between w:val="nil"/>
        </w:pBdr>
        <w:ind w:left="720"/>
        <w:rPr>
          <w:rFonts w:ascii="Palatino Linotype" w:eastAsia="Palatino Linotype" w:hAnsi="Palatino Linotype" w:cs="Palatino Linotype"/>
        </w:rPr>
      </w:pPr>
    </w:p>
    <w:p w14:paraId="54BDFB5B" w14:textId="77777777" w:rsidR="00A77DD6" w:rsidRPr="000939A5" w:rsidRDefault="002C5650">
      <w:pPr>
        <w:numPr>
          <w:ilvl w:val="0"/>
          <w:numId w:val="1"/>
        </w:numPr>
        <w:pBdr>
          <w:top w:val="nil"/>
          <w:left w:val="nil"/>
          <w:bottom w:val="nil"/>
          <w:right w:val="nil"/>
          <w:between w:val="nil"/>
        </w:pBdr>
        <w:spacing w:after="240" w:line="360" w:lineRule="auto"/>
        <w:ind w:left="0" w:right="49" w:firstLine="0"/>
        <w:jc w:val="both"/>
        <w:rPr>
          <w:rFonts w:ascii="Palatino Linotype" w:eastAsia="Palatino Linotype" w:hAnsi="Palatino Linotype" w:cs="Palatino Linotype"/>
          <w:i/>
        </w:rPr>
      </w:pPr>
      <w:r w:rsidRPr="000939A5">
        <w:rPr>
          <w:rFonts w:ascii="Palatino Linotype" w:eastAsia="Palatino Linotype" w:hAnsi="Palatino Linotype" w:cs="Palatino Linotype"/>
          <w:b/>
        </w:rPr>
        <w:t xml:space="preserve">Manifestaciones. </w:t>
      </w:r>
      <w:r w:rsidRPr="000939A5">
        <w:rPr>
          <w:rFonts w:ascii="Palatino Linotype" w:eastAsia="Palatino Linotype" w:hAnsi="Palatino Linotype" w:cs="Palatino Linotype"/>
        </w:rPr>
        <w:t xml:space="preserve">En fecha </w:t>
      </w:r>
      <w:r w:rsidRPr="000939A5">
        <w:rPr>
          <w:rFonts w:ascii="Palatino Linotype" w:eastAsia="Palatino Linotype" w:hAnsi="Palatino Linotype" w:cs="Palatino Linotype"/>
          <w:b/>
        </w:rPr>
        <w:t xml:space="preserve">dieciséis de enero de dos mil veinticinco, </w:t>
      </w:r>
      <w:r w:rsidRPr="000939A5">
        <w:rPr>
          <w:rFonts w:ascii="Palatino Linotype" w:eastAsia="Palatino Linotype" w:hAnsi="Palatino Linotype" w:cs="Palatino Linotype"/>
        </w:rPr>
        <w:t xml:space="preserve">el </w:t>
      </w:r>
      <w:r w:rsidRPr="000939A5">
        <w:rPr>
          <w:rFonts w:ascii="Palatino Linotype" w:eastAsia="Palatino Linotype" w:hAnsi="Palatino Linotype" w:cs="Palatino Linotype"/>
          <w:b/>
        </w:rPr>
        <w:t xml:space="preserve">Sujeto Obligado </w:t>
      </w:r>
      <w:r w:rsidRPr="000939A5">
        <w:rPr>
          <w:rFonts w:ascii="Palatino Linotype" w:eastAsia="Palatino Linotype" w:hAnsi="Palatino Linotype" w:cs="Palatino Linotype"/>
        </w:rPr>
        <w:t xml:space="preserve">remitió, a través del SAIMEX, los siguientes archivos electrónicos: </w:t>
      </w:r>
    </w:p>
    <w:p w14:paraId="1760AB14" w14:textId="77777777" w:rsidR="00A77DD6" w:rsidRPr="000939A5" w:rsidRDefault="002C5650">
      <w:pPr>
        <w:numPr>
          <w:ilvl w:val="0"/>
          <w:numId w:val="4"/>
        </w:numPr>
        <w:pBdr>
          <w:top w:val="nil"/>
          <w:left w:val="nil"/>
          <w:bottom w:val="nil"/>
          <w:right w:val="nil"/>
          <w:between w:val="nil"/>
        </w:pBdr>
        <w:spacing w:after="0" w:line="360" w:lineRule="auto"/>
        <w:ind w:left="851" w:right="843"/>
        <w:jc w:val="both"/>
        <w:rPr>
          <w:rFonts w:ascii="Palatino Linotype" w:eastAsia="Palatino Linotype" w:hAnsi="Palatino Linotype" w:cs="Palatino Linotype"/>
        </w:rPr>
      </w:pPr>
      <w:r w:rsidRPr="000939A5">
        <w:rPr>
          <w:rFonts w:ascii="Palatino Linotype" w:eastAsia="Palatino Linotype" w:hAnsi="Palatino Linotype" w:cs="Palatino Linotype"/>
          <w:b/>
          <w:i/>
        </w:rPr>
        <w:t>Consideraciones SAF-RR. 029-2025-Sol.562-2024.pdf</w:t>
      </w:r>
      <w:r w:rsidRPr="000939A5">
        <w:rPr>
          <w:rFonts w:ascii="Palatino Linotype" w:eastAsia="Palatino Linotype" w:hAnsi="Palatino Linotype" w:cs="Palatino Linotype"/>
        </w:rPr>
        <w:t xml:space="preserve">: Oficio número 41001/003/2025 de fecha diez de enero de dos mil veinticinco, signado por la Secretaría de Administración y Finanzas, mediante el cual informó los conceptos requeridos: </w:t>
      </w:r>
    </w:p>
    <w:p w14:paraId="728FC9A5" w14:textId="77777777" w:rsidR="00A77DD6" w:rsidRPr="000939A5" w:rsidRDefault="002C5650">
      <w:pPr>
        <w:pBdr>
          <w:top w:val="nil"/>
          <w:left w:val="nil"/>
          <w:bottom w:val="nil"/>
          <w:right w:val="nil"/>
          <w:between w:val="nil"/>
        </w:pBdr>
        <w:spacing w:after="0" w:line="360" w:lineRule="auto"/>
        <w:ind w:left="851" w:right="843"/>
        <w:jc w:val="center"/>
        <w:rPr>
          <w:rFonts w:ascii="Palatino Linotype" w:eastAsia="Palatino Linotype" w:hAnsi="Palatino Linotype" w:cs="Palatino Linotype"/>
        </w:rPr>
      </w:pPr>
      <w:r w:rsidRPr="000939A5">
        <w:rPr>
          <w:rFonts w:ascii="Palatino Linotype" w:eastAsia="Palatino Linotype" w:hAnsi="Palatino Linotype" w:cs="Palatino Linotype"/>
          <w:noProof/>
          <w:lang w:eastAsia="es-MX"/>
        </w:rPr>
        <w:drawing>
          <wp:inline distT="0" distB="0" distL="0" distR="0" wp14:anchorId="51B8B88D" wp14:editId="368CEB6A">
            <wp:extent cx="2333951" cy="590632"/>
            <wp:effectExtent l="0" t="0" r="0" b="0"/>
            <wp:docPr id="1940962777" name="image2.pn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magen que contiene Texto&#10;&#10;Descripción generada automáticamente"/>
                    <pic:cNvPicPr preferRelativeResize="0"/>
                  </pic:nvPicPr>
                  <pic:blipFill>
                    <a:blip r:embed="rId8"/>
                    <a:srcRect/>
                    <a:stretch>
                      <a:fillRect/>
                    </a:stretch>
                  </pic:blipFill>
                  <pic:spPr>
                    <a:xfrm>
                      <a:off x="0" y="0"/>
                      <a:ext cx="2333951" cy="590632"/>
                    </a:xfrm>
                    <a:prstGeom prst="rect">
                      <a:avLst/>
                    </a:prstGeom>
                    <a:ln/>
                  </pic:spPr>
                </pic:pic>
              </a:graphicData>
            </a:graphic>
          </wp:inline>
        </w:drawing>
      </w:r>
    </w:p>
    <w:p w14:paraId="1137C5AA" w14:textId="77777777" w:rsidR="00A77DD6" w:rsidRPr="000939A5" w:rsidRDefault="002C5650">
      <w:pPr>
        <w:numPr>
          <w:ilvl w:val="0"/>
          <w:numId w:val="4"/>
        </w:numPr>
        <w:pBdr>
          <w:top w:val="nil"/>
          <w:left w:val="nil"/>
          <w:bottom w:val="nil"/>
          <w:right w:val="nil"/>
          <w:between w:val="nil"/>
        </w:pBdr>
        <w:spacing w:after="0" w:line="360" w:lineRule="auto"/>
        <w:ind w:left="851" w:right="843"/>
        <w:jc w:val="both"/>
        <w:rPr>
          <w:rFonts w:ascii="Palatino Linotype" w:eastAsia="Palatino Linotype" w:hAnsi="Palatino Linotype" w:cs="Palatino Linotype"/>
        </w:rPr>
      </w:pPr>
      <w:r w:rsidRPr="000939A5">
        <w:rPr>
          <w:rFonts w:ascii="Palatino Linotype" w:eastAsia="Palatino Linotype" w:hAnsi="Palatino Linotype" w:cs="Palatino Linotype"/>
          <w:b/>
          <w:i/>
        </w:rPr>
        <w:t>Informe justificado RR. 00029-2025 (sol. 0562-2024).</w:t>
      </w:r>
      <w:proofErr w:type="spellStart"/>
      <w:r w:rsidRPr="000939A5">
        <w:rPr>
          <w:rFonts w:ascii="Palatino Linotype" w:eastAsia="Palatino Linotype" w:hAnsi="Palatino Linotype" w:cs="Palatino Linotype"/>
          <w:b/>
          <w:i/>
        </w:rPr>
        <w:t>pdf</w:t>
      </w:r>
      <w:proofErr w:type="spellEnd"/>
      <w:r w:rsidRPr="000939A5">
        <w:rPr>
          <w:rFonts w:ascii="Palatino Linotype" w:eastAsia="Palatino Linotype" w:hAnsi="Palatino Linotype" w:cs="Palatino Linotype"/>
        </w:rPr>
        <w:t xml:space="preserve">: Oficio número UIPL/0041/2025 de fecha dieciséis de enero de dos mil veinticinco, signado por el Titular de Unidad de Información, mediante el cual ratificó su respuesta inicial proporcionada en todos y cada uno de sus términos; aunado </w:t>
      </w:r>
      <w:r w:rsidRPr="000939A5">
        <w:rPr>
          <w:rFonts w:ascii="Palatino Linotype" w:eastAsia="Palatino Linotype" w:hAnsi="Palatino Linotype" w:cs="Palatino Linotype"/>
        </w:rPr>
        <w:lastRenderedPageBreak/>
        <w:t xml:space="preserve">a ello, hizo del conocimiento las manifestaciones realizadas por la Secretaría de Administración y Finanzas, en el que manifiesta que los rubros solicitados por parte del ahora </w:t>
      </w:r>
      <w:r w:rsidRPr="000939A5">
        <w:rPr>
          <w:rFonts w:ascii="Palatino Linotype" w:eastAsia="Palatino Linotype" w:hAnsi="Palatino Linotype" w:cs="Palatino Linotype"/>
          <w:b/>
        </w:rPr>
        <w:t>Recurrente</w:t>
      </w:r>
      <w:r w:rsidRPr="000939A5">
        <w:rPr>
          <w:rFonts w:ascii="Palatino Linotype" w:eastAsia="Palatino Linotype" w:hAnsi="Palatino Linotype" w:cs="Palatino Linotype"/>
        </w:rPr>
        <w:t xml:space="preserve"> se componen de la siguiente manera: </w:t>
      </w:r>
    </w:p>
    <w:p w14:paraId="23A6D504" w14:textId="77777777" w:rsidR="00A77DD6" w:rsidRPr="000939A5" w:rsidRDefault="002C5650">
      <w:pPr>
        <w:pBdr>
          <w:top w:val="nil"/>
          <w:left w:val="nil"/>
          <w:bottom w:val="nil"/>
          <w:right w:val="nil"/>
          <w:between w:val="nil"/>
        </w:pBdr>
        <w:spacing w:after="0" w:line="360" w:lineRule="auto"/>
        <w:ind w:left="851" w:right="843"/>
        <w:jc w:val="center"/>
        <w:rPr>
          <w:rFonts w:ascii="Palatino Linotype" w:eastAsia="Palatino Linotype" w:hAnsi="Palatino Linotype" w:cs="Palatino Linotype"/>
        </w:rPr>
      </w:pPr>
      <w:r w:rsidRPr="000939A5">
        <w:rPr>
          <w:rFonts w:ascii="Palatino Linotype" w:eastAsia="Palatino Linotype" w:hAnsi="Palatino Linotype" w:cs="Palatino Linotype"/>
          <w:noProof/>
          <w:lang w:eastAsia="es-MX"/>
        </w:rPr>
        <w:drawing>
          <wp:inline distT="0" distB="0" distL="0" distR="0" wp14:anchorId="57301474" wp14:editId="6A8D82E6">
            <wp:extent cx="2333951" cy="590632"/>
            <wp:effectExtent l="0" t="0" r="0" b="0"/>
            <wp:docPr id="1940962779" name="image2.pn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magen que contiene Texto&#10;&#10;Descripción generada automáticamente"/>
                    <pic:cNvPicPr preferRelativeResize="0"/>
                  </pic:nvPicPr>
                  <pic:blipFill>
                    <a:blip r:embed="rId8"/>
                    <a:srcRect/>
                    <a:stretch>
                      <a:fillRect/>
                    </a:stretch>
                  </pic:blipFill>
                  <pic:spPr>
                    <a:xfrm>
                      <a:off x="0" y="0"/>
                      <a:ext cx="2333951" cy="590632"/>
                    </a:xfrm>
                    <a:prstGeom prst="rect">
                      <a:avLst/>
                    </a:prstGeom>
                    <a:ln/>
                  </pic:spPr>
                </pic:pic>
              </a:graphicData>
            </a:graphic>
          </wp:inline>
        </w:drawing>
      </w:r>
    </w:p>
    <w:p w14:paraId="5246AE27" w14:textId="77777777" w:rsidR="00A77DD6" w:rsidRPr="000939A5" w:rsidRDefault="002C5650">
      <w:pPr>
        <w:pBdr>
          <w:top w:val="nil"/>
          <w:left w:val="nil"/>
          <w:bottom w:val="nil"/>
          <w:right w:val="nil"/>
          <w:between w:val="nil"/>
        </w:pBdr>
        <w:spacing w:after="240" w:line="360" w:lineRule="auto"/>
        <w:ind w:right="49"/>
        <w:jc w:val="both"/>
        <w:rPr>
          <w:rFonts w:ascii="Palatino Linotype" w:eastAsia="Palatino Linotype" w:hAnsi="Palatino Linotype" w:cs="Palatino Linotype"/>
        </w:rPr>
      </w:pPr>
      <w:r w:rsidRPr="000939A5">
        <w:rPr>
          <w:rFonts w:ascii="Palatino Linotype" w:eastAsia="Palatino Linotype" w:hAnsi="Palatino Linotype" w:cs="Palatino Linotype"/>
        </w:rPr>
        <w:t xml:space="preserve">De las constancias que obran en el expediente electrónico del </w:t>
      </w:r>
      <w:r w:rsidRPr="000939A5">
        <w:rPr>
          <w:rFonts w:ascii="Palatino Linotype" w:eastAsia="Palatino Linotype" w:hAnsi="Palatino Linotype" w:cs="Palatino Linotype"/>
          <w:b/>
        </w:rPr>
        <w:t>SAIMEX</w:t>
      </w:r>
      <w:r w:rsidRPr="000939A5">
        <w:rPr>
          <w:rFonts w:ascii="Palatino Linotype" w:eastAsia="Palatino Linotype" w:hAnsi="Palatino Linotype" w:cs="Palatino Linotype"/>
        </w:rPr>
        <w:t xml:space="preserve"> se desprende que el </w:t>
      </w:r>
      <w:r w:rsidRPr="000939A5">
        <w:rPr>
          <w:rFonts w:ascii="Palatino Linotype" w:eastAsia="Palatino Linotype" w:hAnsi="Palatino Linotype" w:cs="Palatino Linotype"/>
          <w:b/>
        </w:rPr>
        <w:t>Recurrente</w:t>
      </w:r>
      <w:r w:rsidRPr="000939A5">
        <w:rPr>
          <w:rFonts w:ascii="Palatino Linotype" w:eastAsia="Palatino Linotype" w:hAnsi="Palatino Linotype" w:cs="Palatino Linotype"/>
        </w:rPr>
        <w:t xml:space="preserve"> fue omiso en presentar sus alegatos o manifestación alguna.</w:t>
      </w:r>
    </w:p>
    <w:p w14:paraId="7C93F4BE" w14:textId="77777777" w:rsidR="00A77DD6" w:rsidRPr="000939A5" w:rsidRDefault="002C5650">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0939A5">
        <w:rPr>
          <w:rFonts w:ascii="Palatino Linotype" w:eastAsia="Palatino Linotype" w:hAnsi="Palatino Linotype" w:cs="Palatino Linotype"/>
          <w:b/>
        </w:rPr>
        <w:t>Cierre de instrucción</w:t>
      </w:r>
      <w:r w:rsidRPr="000939A5">
        <w:rPr>
          <w:rFonts w:ascii="Palatino Linotype" w:eastAsia="Palatino Linotype" w:hAnsi="Palatino Linotype" w:cs="Palatino Linotype"/>
        </w:rPr>
        <w:t xml:space="preserve">. En fecha </w:t>
      </w:r>
      <w:r w:rsidRPr="000939A5">
        <w:rPr>
          <w:rFonts w:ascii="Palatino Linotype" w:eastAsia="Palatino Linotype" w:hAnsi="Palatino Linotype" w:cs="Palatino Linotype"/>
          <w:b/>
        </w:rPr>
        <w:t>treinta y uno de enero de dos mil veinticinco</w:t>
      </w:r>
      <w:r w:rsidRPr="000939A5">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5321106A" w14:textId="77777777" w:rsidR="00A77DD6" w:rsidRPr="000939A5" w:rsidRDefault="00A77DD6">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67F81DC" w14:textId="77777777" w:rsidR="00A77DD6" w:rsidRPr="000939A5" w:rsidRDefault="002C5650">
      <w:pPr>
        <w:spacing w:after="0" w:line="360" w:lineRule="auto"/>
        <w:ind w:right="49"/>
        <w:jc w:val="both"/>
        <w:rPr>
          <w:rFonts w:ascii="Palatino Linotype" w:eastAsia="Palatino Linotype" w:hAnsi="Palatino Linotype" w:cs="Palatino Linotype"/>
        </w:rPr>
      </w:pPr>
      <w:r w:rsidRPr="000939A5">
        <w:rPr>
          <w:rFonts w:ascii="Palatino Linotype" w:eastAsia="Palatino Linotype" w:hAnsi="Palatino Linotype" w:cs="Palatino Linotype"/>
        </w:rPr>
        <w:t xml:space="preserve">Debido a que fue debidamente sustanciado el expediente electrónico y no existe diligencia pendiente de desahogo, se emite la Resolución que conforme a Derecho proceda, de acuerdo con los siguientes: </w:t>
      </w:r>
    </w:p>
    <w:p w14:paraId="54A5961C" w14:textId="77777777" w:rsidR="00A77DD6" w:rsidRPr="000939A5" w:rsidRDefault="00A77DD6">
      <w:pPr>
        <w:spacing w:after="0" w:line="360" w:lineRule="auto"/>
        <w:ind w:right="49"/>
        <w:jc w:val="both"/>
        <w:rPr>
          <w:rFonts w:ascii="Palatino Linotype" w:eastAsia="Palatino Linotype" w:hAnsi="Palatino Linotype" w:cs="Palatino Linotype"/>
        </w:rPr>
      </w:pPr>
    </w:p>
    <w:p w14:paraId="6F7C8B0F" w14:textId="77777777" w:rsidR="00A77DD6" w:rsidRPr="000939A5" w:rsidRDefault="002C5650">
      <w:pPr>
        <w:spacing w:after="0" w:line="360" w:lineRule="auto"/>
        <w:ind w:right="49"/>
        <w:jc w:val="center"/>
        <w:rPr>
          <w:rFonts w:ascii="Palatino Linotype" w:eastAsia="Palatino Linotype" w:hAnsi="Palatino Linotype" w:cs="Palatino Linotype"/>
          <w:b/>
        </w:rPr>
      </w:pPr>
      <w:r w:rsidRPr="000939A5">
        <w:rPr>
          <w:rFonts w:ascii="Palatino Linotype" w:eastAsia="Palatino Linotype" w:hAnsi="Palatino Linotype" w:cs="Palatino Linotype"/>
          <w:b/>
        </w:rPr>
        <w:t>II.</w:t>
      </w:r>
      <w:r w:rsidRPr="000939A5">
        <w:rPr>
          <w:rFonts w:ascii="Palatino Linotype" w:eastAsia="Palatino Linotype" w:hAnsi="Palatino Linotype" w:cs="Palatino Linotype"/>
          <w:b/>
        </w:rPr>
        <w:tab/>
        <w:t>C O N S I D E R A N D O:</w:t>
      </w:r>
    </w:p>
    <w:p w14:paraId="17EFA4F4" w14:textId="77777777" w:rsidR="00A77DD6" w:rsidRPr="000939A5" w:rsidRDefault="00A77DD6">
      <w:pPr>
        <w:spacing w:after="0" w:line="360" w:lineRule="auto"/>
        <w:ind w:right="49"/>
        <w:jc w:val="both"/>
        <w:rPr>
          <w:rFonts w:ascii="Palatino Linotype" w:eastAsia="Palatino Linotype" w:hAnsi="Palatino Linotype" w:cs="Palatino Linotype"/>
        </w:rPr>
      </w:pPr>
    </w:p>
    <w:p w14:paraId="5F97EAB2" w14:textId="77777777" w:rsidR="00A77DD6" w:rsidRPr="000939A5" w:rsidRDefault="002C5650">
      <w:pPr>
        <w:spacing w:after="0" w:line="360" w:lineRule="auto"/>
        <w:jc w:val="both"/>
        <w:rPr>
          <w:rFonts w:ascii="Palatino Linotype" w:eastAsia="Palatino Linotype" w:hAnsi="Palatino Linotype" w:cs="Palatino Linotype"/>
        </w:rPr>
      </w:pPr>
      <w:r w:rsidRPr="000939A5">
        <w:rPr>
          <w:rFonts w:ascii="Palatino Linotype" w:eastAsia="Palatino Linotype" w:hAnsi="Palatino Linotype" w:cs="Palatino Linotype"/>
          <w:b/>
        </w:rPr>
        <w:t xml:space="preserve">Primero. Competencia. </w:t>
      </w:r>
      <w:r w:rsidRPr="000939A5">
        <w:rPr>
          <w:rFonts w:ascii="Palatino Linotype" w:eastAsia="Palatino Linotype" w:hAnsi="Palatino Linotype" w:cs="Palatino Linotype"/>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w:t>
      </w:r>
      <w:r w:rsidRPr="000939A5">
        <w:rPr>
          <w:rFonts w:ascii="Palatino Linotype" w:eastAsia="Palatino Linotype" w:hAnsi="Palatino Linotype" w:cs="Palatino Linotype"/>
        </w:rPr>
        <w:lastRenderedPageBreak/>
        <w:t>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6213A87F" w14:textId="77777777" w:rsidR="00A77DD6" w:rsidRPr="000939A5" w:rsidRDefault="00A77DD6">
      <w:pPr>
        <w:spacing w:after="0" w:line="360" w:lineRule="auto"/>
        <w:ind w:right="49"/>
        <w:jc w:val="both"/>
        <w:rPr>
          <w:rFonts w:ascii="Palatino Linotype" w:eastAsia="Palatino Linotype" w:hAnsi="Palatino Linotype" w:cs="Palatino Linotype"/>
        </w:rPr>
      </w:pPr>
    </w:p>
    <w:p w14:paraId="2733F751" w14:textId="77777777" w:rsidR="00A77DD6" w:rsidRPr="000939A5" w:rsidRDefault="002C5650">
      <w:pPr>
        <w:spacing w:after="0" w:line="360" w:lineRule="auto"/>
        <w:ind w:right="49"/>
        <w:jc w:val="both"/>
        <w:rPr>
          <w:rFonts w:ascii="Palatino Linotype" w:eastAsia="Palatino Linotype" w:hAnsi="Palatino Linotype" w:cs="Palatino Linotype"/>
        </w:rPr>
      </w:pPr>
      <w:r w:rsidRPr="000939A5">
        <w:rPr>
          <w:rFonts w:ascii="Palatino Linotype" w:eastAsia="Palatino Linotype" w:hAnsi="Palatino Linotype" w:cs="Palatino Linotype"/>
          <w:b/>
        </w:rPr>
        <w:t>Segundo. Oportunidad y Procedibilidad del Recurso de Revisión.</w:t>
      </w:r>
      <w:r w:rsidRPr="000939A5">
        <w:rPr>
          <w:rFonts w:ascii="Palatino Linotype" w:eastAsia="Palatino Linotype" w:hAnsi="Palatino Linotype" w:cs="Palatino Linotype"/>
        </w:rPr>
        <w:t xml:space="preserve"> Previo al estudio del fondo del asunto, se procede a analizar los requisitos de oportunidad y procedibilidad que deben reunir el recurso de revisión interpuesto, previstos en los artículos 178 y 180 de la Ley de Transparencia y Acceso a la Información Pública del Estado de México y Municipios. </w:t>
      </w:r>
    </w:p>
    <w:p w14:paraId="0FA3967A" w14:textId="77777777" w:rsidR="00A77DD6" w:rsidRPr="000939A5" w:rsidRDefault="00A77DD6">
      <w:pPr>
        <w:spacing w:after="0" w:line="360" w:lineRule="auto"/>
        <w:ind w:right="49"/>
        <w:jc w:val="both"/>
        <w:rPr>
          <w:rFonts w:ascii="Palatino Linotype" w:eastAsia="Palatino Linotype" w:hAnsi="Palatino Linotype" w:cs="Palatino Linotype"/>
        </w:rPr>
      </w:pPr>
    </w:p>
    <w:p w14:paraId="11D074B4" w14:textId="77777777" w:rsidR="00A77DD6" w:rsidRPr="000939A5" w:rsidRDefault="002C5650">
      <w:pPr>
        <w:spacing w:after="0" w:line="360" w:lineRule="auto"/>
        <w:ind w:right="49"/>
        <w:jc w:val="both"/>
        <w:rPr>
          <w:rFonts w:ascii="Palatino Linotype" w:eastAsia="Palatino Linotype" w:hAnsi="Palatino Linotype" w:cs="Palatino Linotype"/>
        </w:rPr>
      </w:pPr>
      <w:r w:rsidRPr="000939A5">
        <w:rPr>
          <w:rFonts w:ascii="Palatino Linotype" w:eastAsia="Palatino Linotype" w:hAnsi="Palatino Linotype" w:cs="Palatino Linotype"/>
        </w:rPr>
        <w:t xml:space="preserve">El recurso de revisión fue interpuesto dentro del plazo de quince días hábiles previstos en el artículo 178 de la Ley de Transparencia y Acceso a la Información Pública del Estado de México y Municipios, toda vez que el </w:t>
      </w:r>
      <w:r w:rsidRPr="000939A5">
        <w:rPr>
          <w:rFonts w:ascii="Palatino Linotype" w:eastAsia="Palatino Linotype" w:hAnsi="Palatino Linotype" w:cs="Palatino Linotype"/>
          <w:b/>
        </w:rPr>
        <w:t>Sujeto Obligado</w:t>
      </w:r>
      <w:r w:rsidRPr="000939A5">
        <w:rPr>
          <w:rFonts w:ascii="Palatino Linotype" w:eastAsia="Palatino Linotype" w:hAnsi="Palatino Linotype" w:cs="Palatino Linotype"/>
        </w:rPr>
        <w:t xml:space="preserve"> remitió la respuesta a la solicitud de información el </w:t>
      </w:r>
      <w:r w:rsidRPr="000939A5">
        <w:rPr>
          <w:rFonts w:ascii="Palatino Linotype" w:eastAsia="Palatino Linotype" w:hAnsi="Palatino Linotype" w:cs="Palatino Linotype"/>
          <w:b/>
        </w:rPr>
        <w:t>diez de diciembre de dos mil veinticuatro</w:t>
      </w:r>
      <w:r w:rsidRPr="000939A5">
        <w:rPr>
          <w:rFonts w:ascii="Palatino Linotype" w:eastAsia="Palatino Linotype" w:hAnsi="Palatino Linotype" w:cs="Palatino Linotype"/>
        </w:rPr>
        <w:t xml:space="preserve">, mientras que el recurso de revisión interpuesto por la parte </w:t>
      </w:r>
      <w:r w:rsidRPr="000939A5">
        <w:rPr>
          <w:rFonts w:ascii="Palatino Linotype" w:eastAsia="Palatino Linotype" w:hAnsi="Palatino Linotype" w:cs="Palatino Linotype"/>
          <w:b/>
        </w:rPr>
        <w:t xml:space="preserve">Recurrente </w:t>
      </w:r>
      <w:r w:rsidRPr="000939A5">
        <w:rPr>
          <w:rFonts w:ascii="Palatino Linotype" w:eastAsia="Palatino Linotype" w:hAnsi="Palatino Linotype" w:cs="Palatino Linotype"/>
        </w:rPr>
        <w:t xml:space="preserve">se tuvo por presentado el </w:t>
      </w:r>
      <w:r w:rsidRPr="000939A5">
        <w:rPr>
          <w:rFonts w:ascii="Palatino Linotype" w:eastAsia="Palatino Linotype" w:hAnsi="Palatino Linotype" w:cs="Palatino Linotype"/>
          <w:b/>
        </w:rPr>
        <w:t>trece de enero de dos mil veinticinco,</w:t>
      </w:r>
      <w:r w:rsidRPr="000939A5">
        <w:rPr>
          <w:rFonts w:ascii="Palatino Linotype" w:eastAsia="Palatino Linotype" w:hAnsi="Palatino Linotype" w:cs="Palatino Linotype"/>
        </w:rPr>
        <w:t xml:space="preserve"> esto es al noveno día hábil en que se tuvo conocimiento de la respuesta.</w:t>
      </w:r>
    </w:p>
    <w:p w14:paraId="0519E194" w14:textId="77777777" w:rsidR="00A77DD6" w:rsidRPr="000939A5" w:rsidRDefault="00A77DD6">
      <w:pPr>
        <w:spacing w:after="0" w:line="360" w:lineRule="auto"/>
        <w:ind w:right="49"/>
        <w:jc w:val="both"/>
        <w:rPr>
          <w:rFonts w:ascii="Palatino Linotype" w:eastAsia="Palatino Linotype" w:hAnsi="Palatino Linotype" w:cs="Palatino Linotype"/>
        </w:rPr>
      </w:pPr>
    </w:p>
    <w:p w14:paraId="4CEFA97B" w14:textId="77777777" w:rsidR="00A77DD6" w:rsidRPr="000939A5" w:rsidRDefault="002C5650">
      <w:pPr>
        <w:spacing w:after="0" w:line="360" w:lineRule="auto"/>
        <w:jc w:val="both"/>
        <w:rPr>
          <w:rFonts w:ascii="Palatino Linotype" w:eastAsia="Palatino Linotype" w:hAnsi="Palatino Linotype" w:cs="Palatino Linotype"/>
        </w:rPr>
      </w:pPr>
      <w:r w:rsidRPr="000939A5">
        <w:rPr>
          <w:rFonts w:ascii="Palatino Linotype" w:eastAsia="Palatino Linotype" w:hAnsi="Palatino Linotype" w:cs="Palatino Linotype"/>
        </w:rPr>
        <w:t>Es de suma importancia mencionar que, si bien, la parte no proporcionó un nombre o seudónimo para ser identificado como se advierte en el detalle de seguimiento del Sistema de Acceso a la Información Mexiquense,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2145AECC" w14:textId="77777777" w:rsidR="00A77DD6" w:rsidRPr="000939A5" w:rsidRDefault="00A77DD6">
      <w:pPr>
        <w:spacing w:after="0" w:line="360" w:lineRule="auto"/>
        <w:jc w:val="both"/>
        <w:rPr>
          <w:rFonts w:ascii="Palatino Linotype" w:eastAsia="Palatino Linotype" w:hAnsi="Palatino Linotype" w:cs="Palatino Linotype"/>
        </w:rPr>
      </w:pPr>
    </w:p>
    <w:p w14:paraId="094F9D28" w14:textId="77777777" w:rsidR="00A77DD6" w:rsidRPr="000939A5" w:rsidRDefault="002C5650">
      <w:pPr>
        <w:spacing w:after="0"/>
        <w:ind w:left="851" w:right="843"/>
        <w:jc w:val="both"/>
        <w:rPr>
          <w:rFonts w:ascii="Palatino Linotype" w:eastAsia="Palatino Linotype" w:hAnsi="Palatino Linotype" w:cs="Palatino Linotype"/>
          <w:i/>
        </w:rPr>
      </w:pPr>
      <w:r w:rsidRPr="000939A5">
        <w:rPr>
          <w:rFonts w:ascii="Palatino Linotype" w:eastAsia="Palatino Linotype" w:hAnsi="Palatino Linotype" w:cs="Palatino Linotype"/>
          <w:i/>
        </w:rPr>
        <w:t xml:space="preserve">"Las solicitudes anónimas, con nombre incompleto o </w:t>
      </w:r>
      <w:r w:rsidRPr="000939A5">
        <w:rPr>
          <w:rFonts w:ascii="Palatino Linotype" w:eastAsia="Palatino Linotype" w:hAnsi="Palatino Linotype" w:cs="Palatino Linotype"/>
          <w:b/>
          <w:i/>
        </w:rPr>
        <w:t>seudónimo</w:t>
      </w:r>
      <w:r w:rsidRPr="000939A5">
        <w:rPr>
          <w:rFonts w:ascii="Palatino Linotype" w:eastAsia="Palatino Linotype" w:hAnsi="Palatino Linotype" w:cs="Palatino Linotype"/>
          <w:i/>
        </w:rPr>
        <w:t xml:space="preserve"> serán procedentes para su trámite por parte del sujeto obligado ante quien se presente. No podrá requerirse información adicional con motivo del nombre proporcionado por el solicitante."</w:t>
      </w:r>
    </w:p>
    <w:p w14:paraId="4E4CC13A" w14:textId="77777777" w:rsidR="00A77DD6" w:rsidRPr="000939A5" w:rsidRDefault="00A77DD6">
      <w:pPr>
        <w:spacing w:after="0" w:line="360" w:lineRule="auto"/>
        <w:ind w:right="49"/>
        <w:jc w:val="both"/>
        <w:rPr>
          <w:rFonts w:ascii="Palatino Linotype" w:eastAsia="Palatino Linotype" w:hAnsi="Palatino Linotype" w:cs="Palatino Linotype"/>
        </w:rPr>
      </w:pPr>
    </w:p>
    <w:p w14:paraId="719DA2A9" w14:textId="77777777" w:rsidR="00A77DD6" w:rsidRPr="000939A5" w:rsidRDefault="002C5650">
      <w:pPr>
        <w:spacing w:after="0" w:line="360" w:lineRule="auto"/>
        <w:ind w:right="49"/>
        <w:jc w:val="both"/>
        <w:rPr>
          <w:rFonts w:ascii="Palatino Linotype" w:eastAsia="Palatino Linotype" w:hAnsi="Palatino Linotype" w:cs="Palatino Linotype"/>
        </w:rPr>
      </w:pPr>
      <w:r w:rsidRPr="000939A5">
        <w:rPr>
          <w:rFonts w:ascii="Palatino Linotype" w:eastAsia="Palatino Linotype" w:hAnsi="Palatino Linotype" w:cs="Palatino Linotype"/>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w:t>
      </w:r>
      <w:r w:rsidRPr="000939A5">
        <w:rPr>
          <w:rFonts w:ascii="Palatino Linotype" w:eastAsia="Palatino Linotype" w:hAnsi="Palatino Linotype" w:cs="Palatino Linotype"/>
          <w:b/>
        </w:rPr>
        <w:t>SAIMEX</w:t>
      </w:r>
      <w:r w:rsidRPr="000939A5">
        <w:rPr>
          <w:rFonts w:ascii="Palatino Linotype" w:eastAsia="Palatino Linotype" w:hAnsi="Palatino Linotype" w:cs="Palatino Linotype"/>
        </w:rPr>
        <w:t xml:space="preserve">.  </w:t>
      </w:r>
    </w:p>
    <w:p w14:paraId="4776305E" w14:textId="77777777" w:rsidR="00A77DD6" w:rsidRPr="000939A5" w:rsidRDefault="00A77DD6">
      <w:pPr>
        <w:spacing w:after="0" w:line="360" w:lineRule="auto"/>
        <w:ind w:right="49"/>
        <w:jc w:val="both"/>
        <w:rPr>
          <w:rFonts w:ascii="Palatino Linotype" w:eastAsia="Palatino Linotype" w:hAnsi="Palatino Linotype" w:cs="Palatino Linotype"/>
        </w:rPr>
      </w:pPr>
    </w:p>
    <w:p w14:paraId="1C2A7379" w14:textId="77777777" w:rsidR="00A77DD6" w:rsidRPr="000939A5" w:rsidRDefault="002C5650">
      <w:pPr>
        <w:spacing w:after="0" w:line="360" w:lineRule="auto"/>
        <w:ind w:right="49"/>
        <w:jc w:val="both"/>
        <w:rPr>
          <w:rFonts w:ascii="Palatino Linotype" w:eastAsia="Palatino Linotype" w:hAnsi="Palatino Linotype" w:cs="Palatino Linotype"/>
        </w:rPr>
      </w:pPr>
      <w:r w:rsidRPr="000939A5">
        <w:rPr>
          <w:rFonts w:ascii="Palatino Linotype" w:eastAsia="Palatino Linotype" w:hAnsi="Palatino Linotype" w:cs="Palatino Linotype"/>
        </w:rPr>
        <w:t>Finalmente, resulta procedente la interposición del recurso de revisión al rubro anotado, toda vez que se actualiza la hipótesis de procedencia prevista en el artículo 179, fracción V de la Ley de la materia, que a la letra dice:</w:t>
      </w:r>
    </w:p>
    <w:p w14:paraId="239C9CF6" w14:textId="77777777" w:rsidR="00A77DD6" w:rsidRPr="000939A5" w:rsidRDefault="00A77DD6">
      <w:pPr>
        <w:spacing w:after="0"/>
        <w:ind w:left="851" w:right="843"/>
        <w:jc w:val="both"/>
        <w:rPr>
          <w:rFonts w:ascii="Palatino Linotype" w:eastAsia="Palatino Linotype" w:hAnsi="Palatino Linotype" w:cs="Palatino Linotype"/>
          <w:i/>
        </w:rPr>
      </w:pPr>
    </w:p>
    <w:p w14:paraId="4A3E3F17" w14:textId="77777777" w:rsidR="00A77DD6" w:rsidRPr="000939A5" w:rsidRDefault="002C5650">
      <w:pPr>
        <w:spacing w:after="0"/>
        <w:ind w:left="851" w:right="843"/>
        <w:jc w:val="both"/>
        <w:rPr>
          <w:rFonts w:ascii="Palatino Linotype" w:eastAsia="Palatino Linotype" w:hAnsi="Palatino Linotype" w:cs="Palatino Linotype"/>
          <w:i/>
        </w:rPr>
      </w:pPr>
      <w:r w:rsidRPr="000939A5">
        <w:rPr>
          <w:rFonts w:ascii="Palatino Linotype" w:eastAsia="Palatino Linotype" w:hAnsi="Palatino Linotype" w:cs="Palatino Linotype"/>
          <w:i/>
        </w:rPr>
        <w:t>“</w:t>
      </w:r>
      <w:r w:rsidRPr="000939A5">
        <w:rPr>
          <w:rFonts w:ascii="Palatino Linotype" w:eastAsia="Palatino Linotype" w:hAnsi="Palatino Linotype" w:cs="Palatino Linotype"/>
          <w:b/>
          <w:i/>
        </w:rPr>
        <w:t>Artículo 179.</w:t>
      </w:r>
      <w:r w:rsidRPr="000939A5">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51073843" w14:textId="77777777" w:rsidR="00A77DD6" w:rsidRPr="000939A5" w:rsidRDefault="002C5650">
      <w:pPr>
        <w:spacing w:after="0"/>
        <w:ind w:left="851" w:right="843"/>
        <w:jc w:val="both"/>
        <w:rPr>
          <w:rFonts w:ascii="Palatino Linotype" w:eastAsia="Palatino Linotype" w:hAnsi="Palatino Linotype" w:cs="Palatino Linotype"/>
          <w:i/>
        </w:rPr>
      </w:pPr>
      <w:r w:rsidRPr="000939A5">
        <w:rPr>
          <w:rFonts w:ascii="Palatino Linotype" w:eastAsia="Palatino Linotype" w:hAnsi="Palatino Linotype" w:cs="Palatino Linotype"/>
          <w:i/>
        </w:rPr>
        <w:t>…</w:t>
      </w:r>
    </w:p>
    <w:p w14:paraId="1D063331" w14:textId="77777777" w:rsidR="00A77DD6" w:rsidRPr="000939A5" w:rsidRDefault="002C5650">
      <w:pPr>
        <w:spacing w:after="0"/>
        <w:ind w:left="851" w:right="843"/>
        <w:jc w:val="both"/>
        <w:rPr>
          <w:rFonts w:ascii="Palatino Linotype" w:eastAsia="Palatino Linotype" w:hAnsi="Palatino Linotype" w:cs="Palatino Linotype"/>
          <w:i/>
        </w:rPr>
      </w:pPr>
      <w:r w:rsidRPr="000939A5">
        <w:rPr>
          <w:rFonts w:ascii="Palatino Linotype" w:eastAsia="Palatino Linotype" w:hAnsi="Palatino Linotype" w:cs="Palatino Linotype"/>
          <w:i/>
        </w:rPr>
        <w:t>V. La entrega de información incompleta;</w:t>
      </w:r>
    </w:p>
    <w:p w14:paraId="11E691E8" w14:textId="77777777" w:rsidR="00A77DD6" w:rsidRPr="000939A5" w:rsidRDefault="002C5650">
      <w:pPr>
        <w:spacing w:after="0"/>
        <w:ind w:left="851" w:right="843"/>
        <w:jc w:val="both"/>
        <w:rPr>
          <w:rFonts w:ascii="Palatino Linotype" w:eastAsia="Palatino Linotype" w:hAnsi="Palatino Linotype" w:cs="Palatino Linotype"/>
          <w:i/>
        </w:rPr>
      </w:pPr>
      <w:r w:rsidRPr="000939A5">
        <w:rPr>
          <w:rFonts w:ascii="Palatino Linotype" w:eastAsia="Palatino Linotype" w:hAnsi="Palatino Linotype" w:cs="Palatino Linotype"/>
          <w:i/>
        </w:rPr>
        <w:t>…”</w:t>
      </w:r>
    </w:p>
    <w:p w14:paraId="5578201C" w14:textId="77777777" w:rsidR="00A77DD6" w:rsidRPr="000939A5" w:rsidRDefault="00A77DD6">
      <w:pPr>
        <w:spacing w:after="0" w:line="360" w:lineRule="auto"/>
        <w:ind w:left="567" w:right="560"/>
        <w:jc w:val="both"/>
        <w:rPr>
          <w:rFonts w:ascii="Palatino Linotype" w:eastAsia="Palatino Linotype" w:hAnsi="Palatino Linotype" w:cs="Palatino Linotype"/>
          <w:i/>
        </w:rPr>
      </w:pPr>
    </w:p>
    <w:p w14:paraId="7C74C02A" w14:textId="77777777" w:rsidR="00A77DD6" w:rsidRPr="000939A5" w:rsidRDefault="002C5650">
      <w:pPr>
        <w:spacing w:after="0" w:line="360" w:lineRule="auto"/>
        <w:ind w:right="49"/>
        <w:jc w:val="both"/>
        <w:rPr>
          <w:rFonts w:ascii="Palatino Linotype" w:eastAsia="Palatino Linotype" w:hAnsi="Palatino Linotype" w:cs="Palatino Linotype"/>
          <w:b/>
        </w:rPr>
      </w:pPr>
      <w:r w:rsidRPr="000939A5">
        <w:rPr>
          <w:rFonts w:ascii="Palatino Linotype" w:eastAsia="Palatino Linotype" w:hAnsi="Palatino Linotype" w:cs="Palatino Linotype"/>
          <w:b/>
        </w:rPr>
        <w:t xml:space="preserve">Tercero. Análisis de las causales de improcedencia y sobreseimiento del recurso de revisión. </w:t>
      </w:r>
      <w:r w:rsidRPr="000939A5">
        <w:rPr>
          <w:rFonts w:ascii="Palatino Linotype" w:eastAsia="Palatino Linotype" w:hAnsi="Palatino Linotype" w:cs="Palatino Linotype"/>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25FCFDFA" w14:textId="77777777" w:rsidR="00A77DD6" w:rsidRPr="000939A5" w:rsidRDefault="002C5650">
      <w:pPr>
        <w:spacing w:before="240" w:line="360" w:lineRule="auto"/>
        <w:jc w:val="both"/>
        <w:rPr>
          <w:rFonts w:ascii="Palatino Linotype" w:eastAsia="Palatino Linotype" w:hAnsi="Palatino Linotype" w:cs="Palatino Linotype"/>
        </w:rPr>
      </w:pPr>
      <w:r w:rsidRPr="000939A5">
        <w:rPr>
          <w:rFonts w:ascii="Palatino Linotype" w:eastAsia="Palatino Linotype" w:hAnsi="Palatino Linotype" w:cs="Palatino Linotype"/>
        </w:rPr>
        <w:t xml:space="preserve">Siendo una facultad legal entrar al estudio de las causas de improcedencia que hagan valer las partes o que se adviertan de oficio por este Instituto; presupuestos procesales de inicio o </w:t>
      </w:r>
      <w:r w:rsidRPr="000939A5">
        <w:rPr>
          <w:rFonts w:ascii="Palatino Linotype" w:eastAsia="Palatino Linotype" w:hAnsi="Palatino Linotype" w:cs="Palatino Linotype"/>
        </w:rPr>
        <w:lastRenderedPageBreak/>
        <w:t>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75A816E4" w14:textId="77777777" w:rsidR="00A77DD6" w:rsidRPr="000939A5" w:rsidRDefault="002C5650">
      <w:pPr>
        <w:spacing w:line="360" w:lineRule="auto"/>
        <w:ind w:right="51"/>
        <w:jc w:val="both"/>
        <w:rPr>
          <w:rFonts w:ascii="Palatino Linotype" w:eastAsia="Palatino Linotype" w:hAnsi="Palatino Linotype" w:cs="Palatino Linotype"/>
        </w:rPr>
      </w:pPr>
      <w:r w:rsidRPr="000939A5">
        <w:rPr>
          <w:rFonts w:ascii="Palatino Linotype" w:eastAsia="Palatino Linotype" w:hAnsi="Palatino Linotype" w:cs="Palatino Linotype"/>
        </w:rPr>
        <w:t>De manera preliminar en el caso concreto conviene analizar si se actualiza alguna de las causales de sobreseimiento del recurso de revisión.</w:t>
      </w:r>
    </w:p>
    <w:p w14:paraId="4C831613" w14:textId="77777777" w:rsidR="00A77DD6" w:rsidRPr="000939A5" w:rsidRDefault="002C5650">
      <w:pPr>
        <w:spacing w:before="240" w:after="240" w:line="360" w:lineRule="auto"/>
        <w:jc w:val="both"/>
        <w:rPr>
          <w:rFonts w:ascii="Palatino Linotype" w:eastAsia="Palatino Linotype" w:hAnsi="Palatino Linotype" w:cs="Palatino Linotype"/>
        </w:rPr>
      </w:pPr>
      <w:r w:rsidRPr="000939A5">
        <w:rPr>
          <w:rFonts w:ascii="Palatino Linotype" w:eastAsia="Palatino Linotype" w:hAnsi="Palatino Linotype" w:cs="Palatino Linotype"/>
        </w:rPr>
        <w:t>Ahora bien, del análisis de la solicitud de información pública que motivó el recurso de revisión que ahora se resuelve, se advierte que el particular requirió al Poder Legislativo, lo siguiente</w:t>
      </w:r>
    </w:p>
    <w:p w14:paraId="5BF2AA72" w14:textId="77777777" w:rsidR="00A77DD6" w:rsidRPr="000939A5" w:rsidRDefault="002C5650">
      <w:pPr>
        <w:numPr>
          <w:ilvl w:val="0"/>
          <w:numId w:val="3"/>
        </w:numPr>
        <w:pBdr>
          <w:top w:val="nil"/>
          <w:left w:val="nil"/>
          <w:bottom w:val="nil"/>
          <w:right w:val="nil"/>
          <w:between w:val="nil"/>
        </w:pBdr>
        <w:tabs>
          <w:tab w:val="left" w:pos="993"/>
        </w:tabs>
        <w:spacing w:after="0" w:line="360" w:lineRule="auto"/>
        <w:ind w:left="993" w:right="843"/>
        <w:jc w:val="both"/>
        <w:rPr>
          <w:rFonts w:ascii="Palatino Linotype" w:eastAsia="Palatino Linotype" w:hAnsi="Palatino Linotype" w:cs="Palatino Linotype"/>
        </w:rPr>
      </w:pPr>
      <w:r w:rsidRPr="000939A5">
        <w:rPr>
          <w:rFonts w:ascii="Palatino Linotype" w:eastAsia="Palatino Linotype" w:hAnsi="Palatino Linotype" w:cs="Palatino Linotype"/>
          <w:b/>
        </w:rPr>
        <w:t>Recibos de nómina del personal que trabaja para la diputada Sofía Martínez Molina de la coalición PT-MORENA-PVEM</w:t>
      </w:r>
      <w:r w:rsidRPr="000939A5">
        <w:rPr>
          <w:rFonts w:ascii="Palatino Linotype" w:eastAsia="Palatino Linotype" w:hAnsi="Palatino Linotype" w:cs="Palatino Linotype"/>
        </w:rPr>
        <w:t>.</w:t>
      </w:r>
    </w:p>
    <w:p w14:paraId="0781C590" w14:textId="77777777" w:rsidR="00A77DD6" w:rsidRPr="000939A5" w:rsidRDefault="00A77DD6">
      <w:pPr>
        <w:pBdr>
          <w:top w:val="nil"/>
          <w:left w:val="nil"/>
          <w:bottom w:val="nil"/>
          <w:right w:val="nil"/>
          <w:between w:val="nil"/>
        </w:pBdr>
        <w:tabs>
          <w:tab w:val="left" w:pos="993"/>
        </w:tabs>
        <w:spacing w:after="0" w:line="360" w:lineRule="auto"/>
        <w:ind w:left="993" w:right="843"/>
        <w:jc w:val="both"/>
        <w:rPr>
          <w:rFonts w:ascii="Palatino Linotype" w:eastAsia="Palatino Linotype" w:hAnsi="Palatino Linotype" w:cs="Palatino Linotype"/>
        </w:rPr>
      </w:pPr>
    </w:p>
    <w:p w14:paraId="1884D93E" w14:textId="77777777" w:rsidR="00A77DD6" w:rsidRPr="000939A5" w:rsidRDefault="002C5650">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rPr>
      </w:pPr>
      <w:r w:rsidRPr="000939A5">
        <w:rPr>
          <w:rFonts w:ascii="Palatino Linotype" w:eastAsia="Palatino Linotype" w:hAnsi="Palatino Linotype" w:cs="Palatino Linotype"/>
        </w:rPr>
        <w:t xml:space="preserve">En respuesta, el </w:t>
      </w:r>
      <w:r w:rsidRPr="000939A5">
        <w:rPr>
          <w:rFonts w:ascii="Palatino Linotype" w:eastAsia="Palatino Linotype" w:hAnsi="Palatino Linotype" w:cs="Palatino Linotype"/>
          <w:b/>
        </w:rPr>
        <w:t>Sujeto Obligado</w:t>
      </w:r>
      <w:r w:rsidRPr="000939A5">
        <w:rPr>
          <w:rFonts w:ascii="Palatino Linotype" w:eastAsia="Palatino Linotype" w:hAnsi="Palatino Linotype" w:cs="Palatino Linotype"/>
        </w:rPr>
        <w:t>, a través de la Secretaría de Administración y Finanzas, informó que derivado de la búsqueda exhaustiva y razonable en sus archivos, remite versión pública de los recibos de nómina de las personas servidoras públicas asignadas a la Diputada Sofía Martínez Molina, correspondientes a la primera quincena de noviembre dos mil veinticuatro.</w:t>
      </w:r>
    </w:p>
    <w:p w14:paraId="3B8ECE47" w14:textId="77777777" w:rsidR="00A77DD6" w:rsidRPr="000939A5" w:rsidRDefault="00A77DD6">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rPr>
      </w:pPr>
    </w:p>
    <w:p w14:paraId="708C60D1" w14:textId="77777777" w:rsidR="00A77DD6" w:rsidRPr="000939A5" w:rsidRDefault="002C5650">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rPr>
      </w:pPr>
      <w:r w:rsidRPr="000939A5">
        <w:rPr>
          <w:rFonts w:ascii="Palatino Linotype" w:eastAsia="Palatino Linotype" w:hAnsi="Palatino Linotype" w:cs="Palatino Linotype"/>
        </w:rPr>
        <w:t xml:space="preserve">Derivado de lo anterior, la parte </w:t>
      </w:r>
      <w:r w:rsidRPr="000939A5">
        <w:rPr>
          <w:rFonts w:ascii="Palatino Linotype" w:eastAsia="Palatino Linotype" w:hAnsi="Palatino Linotype" w:cs="Palatino Linotype"/>
          <w:b/>
        </w:rPr>
        <w:t>Recurrente</w:t>
      </w:r>
      <w:r w:rsidRPr="000939A5">
        <w:rPr>
          <w:rFonts w:ascii="Palatino Linotype" w:eastAsia="Palatino Linotype" w:hAnsi="Palatino Linotype" w:cs="Palatino Linotype"/>
        </w:rPr>
        <w:t xml:space="preserve"> interpuso el recurso de revisión mediante el cual solicitó el detalle del concepto 01 y 017 de la nómina de uno de los servidores públicos referidos en respuesta. </w:t>
      </w:r>
    </w:p>
    <w:p w14:paraId="546B28C3" w14:textId="77777777" w:rsidR="00A77DD6" w:rsidRPr="000939A5" w:rsidRDefault="00A77DD6">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rPr>
      </w:pPr>
    </w:p>
    <w:p w14:paraId="2E079DFA" w14:textId="77777777" w:rsidR="00A77DD6" w:rsidRPr="000939A5" w:rsidRDefault="002C5650">
      <w:pPr>
        <w:spacing w:after="0" w:line="360" w:lineRule="auto"/>
        <w:jc w:val="both"/>
        <w:rPr>
          <w:rFonts w:ascii="Palatino Linotype" w:eastAsia="Palatino Linotype" w:hAnsi="Palatino Linotype" w:cs="Palatino Linotype"/>
        </w:rPr>
      </w:pPr>
      <w:r w:rsidRPr="000939A5">
        <w:rPr>
          <w:rFonts w:ascii="Palatino Linotype" w:eastAsia="Palatino Linotype" w:hAnsi="Palatino Linotype" w:cs="Palatino Linotype"/>
        </w:rPr>
        <w:t xml:space="preserve">Es así que, el </w:t>
      </w:r>
      <w:r w:rsidRPr="000939A5">
        <w:rPr>
          <w:rFonts w:ascii="Palatino Linotype" w:eastAsia="Palatino Linotype" w:hAnsi="Palatino Linotype" w:cs="Palatino Linotype"/>
          <w:b/>
        </w:rPr>
        <w:t>Recurrente</w:t>
      </w:r>
      <w:r w:rsidRPr="000939A5">
        <w:rPr>
          <w:rFonts w:ascii="Palatino Linotype" w:eastAsia="Palatino Linotype" w:hAnsi="Palatino Linotype" w:cs="Palatino Linotype"/>
        </w:rPr>
        <w:t xml:space="preserve"> no realizó manifestaciones, alegatos o pruebas que a su derecho convinieran y por su parte el </w:t>
      </w:r>
      <w:r w:rsidRPr="000939A5">
        <w:rPr>
          <w:rFonts w:ascii="Palatino Linotype" w:eastAsia="Palatino Linotype" w:hAnsi="Palatino Linotype" w:cs="Palatino Linotype"/>
          <w:b/>
        </w:rPr>
        <w:t>Sujeto Obligado</w:t>
      </w:r>
      <w:r w:rsidRPr="000939A5">
        <w:rPr>
          <w:rFonts w:ascii="Palatino Linotype" w:eastAsia="Palatino Linotype" w:hAnsi="Palatino Linotype" w:cs="Palatino Linotype"/>
        </w:rPr>
        <w:t xml:space="preserve">, en Informe Justificado informó que los rubros solicitados por parte del ahora </w:t>
      </w:r>
      <w:r w:rsidRPr="000939A5">
        <w:rPr>
          <w:rFonts w:ascii="Palatino Linotype" w:eastAsia="Palatino Linotype" w:hAnsi="Palatino Linotype" w:cs="Palatino Linotype"/>
          <w:b/>
        </w:rPr>
        <w:t>Recurrente,</w:t>
      </w:r>
      <w:r w:rsidRPr="000939A5">
        <w:rPr>
          <w:rFonts w:ascii="Palatino Linotype" w:eastAsia="Palatino Linotype" w:hAnsi="Palatino Linotype" w:cs="Palatino Linotype"/>
        </w:rPr>
        <w:t xml:space="preserve"> se componen de la siguiente manera: </w:t>
      </w:r>
    </w:p>
    <w:p w14:paraId="75445131" w14:textId="77777777" w:rsidR="00A77DD6" w:rsidRPr="000939A5" w:rsidRDefault="002C5650">
      <w:pPr>
        <w:pBdr>
          <w:top w:val="nil"/>
          <w:left w:val="nil"/>
          <w:bottom w:val="nil"/>
          <w:right w:val="nil"/>
          <w:between w:val="nil"/>
        </w:pBdr>
        <w:spacing w:after="240" w:line="360" w:lineRule="auto"/>
        <w:ind w:left="720" w:right="49"/>
        <w:jc w:val="center"/>
        <w:rPr>
          <w:rFonts w:ascii="Palatino Linotype" w:eastAsia="Palatino Linotype" w:hAnsi="Palatino Linotype" w:cs="Palatino Linotype"/>
        </w:rPr>
      </w:pPr>
      <w:r w:rsidRPr="000939A5">
        <w:rPr>
          <w:rFonts w:ascii="Palatino Linotype" w:eastAsia="Palatino Linotype" w:hAnsi="Palatino Linotype" w:cs="Palatino Linotype"/>
          <w:noProof/>
          <w:lang w:eastAsia="es-MX"/>
        </w:rPr>
        <w:drawing>
          <wp:inline distT="0" distB="0" distL="0" distR="0" wp14:anchorId="51E3ACD0" wp14:editId="266979B0">
            <wp:extent cx="2333951" cy="590632"/>
            <wp:effectExtent l="0" t="0" r="0" b="0"/>
            <wp:docPr id="1940962778" name="image2.pn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magen que contiene Texto&#10;&#10;Descripción generada automáticamente"/>
                    <pic:cNvPicPr preferRelativeResize="0"/>
                  </pic:nvPicPr>
                  <pic:blipFill>
                    <a:blip r:embed="rId8"/>
                    <a:srcRect/>
                    <a:stretch>
                      <a:fillRect/>
                    </a:stretch>
                  </pic:blipFill>
                  <pic:spPr>
                    <a:xfrm>
                      <a:off x="0" y="0"/>
                      <a:ext cx="2333951" cy="590632"/>
                    </a:xfrm>
                    <a:prstGeom prst="rect">
                      <a:avLst/>
                    </a:prstGeom>
                    <a:ln/>
                  </pic:spPr>
                </pic:pic>
              </a:graphicData>
            </a:graphic>
          </wp:inline>
        </w:drawing>
      </w:r>
    </w:p>
    <w:p w14:paraId="58EBA8AE" w14:textId="77777777" w:rsidR="00A77DD6" w:rsidRPr="000939A5" w:rsidRDefault="002C565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0939A5">
        <w:rPr>
          <w:rFonts w:ascii="Palatino Linotype" w:eastAsia="Palatino Linotype" w:hAnsi="Palatino Linotype" w:cs="Palatino Linotype"/>
        </w:rPr>
        <w:t xml:space="preserve">Dicho esto, en principio es necesario mencionar que, la parte </w:t>
      </w:r>
      <w:r w:rsidRPr="000939A5">
        <w:rPr>
          <w:rFonts w:ascii="Palatino Linotype" w:eastAsia="Palatino Linotype" w:hAnsi="Palatino Linotype" w:cs="Palatino Linotype"/>
          <w:b/>
        </w:rPr>
        <w:t xml:space="preserve">Recurrente </w:t>
      </w:r>
      <w:r w:rsidRPr="000939A5">
        <w:rPr>
          <w:rFonts w:ascii="Palatino Linotype" w:eastAsia="Palatino Linotype" w:hAnsi="Palatino Linotype" w:cs="Palatino Linotype"/>
        </w:rPr>
        <w:t xml:space="preserve">no se inconforma de los recibos de nómina que le fueron entregados en respuesta, por lo que deben declararse consentidos, toda vez que, al no haber realizado manifestaciones de inconformidad al respecto, no pueden producirse efectos jurídicos tendientes a revocar, confirmar o modificar el acto reclamado, ya que, en el caso concreto se infiere que la información proporcionada por el </w:t>
      </w:r>
      <w:r w:rsidRPr="000939A5">
        <w:rPr>
          <w:rFonts w:ascii="Palatino Linotype" w:eastAsia="Palatino Linotype" w:hAnsi="Palatino Linotype" w:cs="Palatino Linotype"/>
          <w:b/>
        </w:rPr>
        <w:t>Sujeto Obligado</w:t>
      </w:r>
      <w:r w:rsidRPr="000939A5">
        <w:rPr>
          <w:rFonts w:ascii="Palatino Linotype" w:eastAsia="Palatino Linotype" w:hAnsi="Palatino Linotype" w:cs="Palatino Linotype"/>
        </w:rPr>
        <w:t>, satisface la solicitud presentada.</w:t>
      </w:r>
    </w:p>
    <w:p w14:paraId="63B2F9FE" w14:textId="77777777" w:rsidR="00A77DD6" w:rsidRPr="000939A5" w:rsidRDefault="00A77DD6">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642D7CDB" w14:textId="77777777" w:rsidR="00A77DD6" w:rsidRPr="000939A5" w:rsidRDefault="002C565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0939A5">
        <w:rPr>
          <w:rFonts w:ascii="Palatino Linotype" w:eastAsia="Palatino Linotype" w:hAnsi="Palatino Linotype" w:cs="Palatino Linotype"/>
        </w:rPr>
        <w:t xml:space="preserve">Lo anterior es así, debido a que cuando un </w:t>
      </w:r>
      <w:r w:rsidRPr="000939A5">
        <w:rPr>
          <w:rFonts w:ascii="Palatino Linotype" w:eastAsia="Palatino Linotype" w:hAnsi="Palatino Linotype" w:cs="Palatino Linotype"/>
          <w:b/>
        </w:rPr>
        <w:t>Recurrente</w:t>
      </w:r>
      <w:r w:rsidRPr="000939A5">
        <w:rPr>
          <w:rFonts w:ascii="Palatino Linotype" w:eastAsia="Palatino Linotype" w:hAnsi="Palatino Linotype" w:cs="Palatino Linotype"/>
        </w:rPr>
        <w:t xml:space="preserve"> impugna la respuesta del </w:t>
      </w:r>
      <w:r w:rsidRPr="000939A5">
        <w:rPr>
          <w:rFonts w:ascii="Palatino Linotype" w:eastAsia="Palatino Linotype" w:hAnsi="Palatino Linotype" w:cs="Palatino Linotype"/>
          <w:b/>
        </w:rPr>
        <w:t>Sujeto Obligado</w:t>
      </w:r>
      <w:r w:rsidRPr="000939A5">
        <w:rPr>
          <w:rFonts w:ascii="Palatino Linotype" w:eastAsia="Palatino Linotype" w:hAnsi="Palatino Linotype" w:cs="Palatino Linotype"/>
        </w:rPr>
        <w:t xml:space="preserve">, y este no expresa Razón o Motivo de Inconformidad en contra de todos los rubros solicitados, dichos rubros deben declararse atendidos, pues se entiende que </w:t>
      </w:r>
      <w:r w:rsidRPr="000939A5">
        <w:rPr>
          <w:rFonts w:ascii="Palatino Linotype" w:eastAsia="Palatino Linotype" w:hAnsi="Palatino Linotype" w:cs="Palatino Linotype"/>
          <w:b/>
        </w:rPr>
        <w:t>la parte Recurrente</w:t>
      </w:r>
      <w:r w:rsidRPr="000939A5">
        <w:rPr>
          <w:rFonts w:ascii="Palatino Linotype" w:eastAsia="Palatino Linotype" w:hAnsi="Palatino Linotype" w:cs="Palatino Linotype"/>
        </w:rPr>
        <w:t xml:space="preserve"> está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401BD9DD" w14:textId="77777777" w:rsidR="00A77DD6" w:rsidRPr="000939A5" w:rsidRDefault="002C5650">
      <w:pPr>
        <w:pBdr>
          <w:top w:val="nil"/>
          <w:left w:val="nil"/>
          <w:bottom w:val="nil"/>
          <w:right w:val="nil"/>
          <w:between w:val="nil"/>
        </w:pBdr>
        <w:spacing w:after="0"/>
        <w:ind w:left="851" w:right="843"/>
        <w:jc w:val="both"/>
        <w:rPr>
          <w:rFonts w:ascii="Palatino Linotype" w:eastAsia="Palatino Linotype" w:hAnsi="Palatino Linotype" w:cs="Palatino Linotype"/>
          <w:i/>
        </w:rPr>
      </w:pPr>
      <w:r w:rsidRPr="000939A5">
        <w:rPr>
          <w:rFonts w:ascii="Palatino Linotype" w:eastAsia="Palatino Linotype" w:hAnsi="Palatino Linotype" w:cs="Palatino Linotype"/>
          <w:i/>
        </w:rPr>
        <w:t>“</w:t>
      </w:r>
      <w:r w:rsidRPr="000939A5">
        <w:rPr>
          <w:rFonts w:ascii="Palatino Linotype" w:eastAsia="Palatino Linotype" w:hAnsi="Palatino Linotype" w:cs="Palatino Linotype"/>
          <w:b/>
          <w:i/>
        </w:rPr>
        <w:t xml:space="preserve">REVISIÓN EN AMPARO. LOS RESOLUTIVOS NO COMBATIDOS DEBEN DECLARARSE FIRMES. </w:t>
      </w:r>
      <w:r w:rsidRPr="000939A5">
        <w:rPr>
          <w:rFonts w:ascii="Palatino Linotype" w:eastAsia="Palatino Linotype" w:hAnsi="Palatino Linotype" w:cs="Palatino Linotype"/>
          <w:i/>
        </w:rPr>
        <w:t xml:space="preserve">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w:t>
      </w:r>
      <w:r w:rsidRPr="000939A5">
        <w:rPr>
          <w:rFonts w:ascii="Palatino Linotype" w:eastAsia="Palatino Linotype" w:hAnsi="Palatino Linotype" w:cs="Palatino Linotype"/>
          <w:i/>
        </w:rPr>
        <w:lastRenderedPageBreak/>
        <w:t>los cuales no se formuló agravio y dicha declaración de firmeza debe reflejarse en la parte considerativa y en los resolutivos debe confirmarse la sentencia recurrida en la parte correspondiente.”</w:t>
      </w:r>
    </w:p>
    <w:p w14:paraId="0781DA3E" w14:textId="77777777" w:rsidR="00A77DD6" w:rsidRPr="000939A5" w:rsidRDefault="00A77DD6">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1B9E1FAB" w14:textId="77777777" w:rsidR="00A77DD6" w:rsidRPr="000939A5" w:rsidRDefault="002C565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0939A5">
        <w:rPr>
          <w:rFonts w:ascii="Palatino Linotype" w:eastAsia="Palatino Linotype" w:hAnsi="Palatino Linotype" w:cs="Palatino Linotype"/>
        </w:rPr>
        <w:t>Consecuentemente, se reitera que la parte de la solicitud que no fue impugnada debe declararse consentida por la parte</w:t>
      </w:r>
      <w:r w:rsidRPr="000939A5">
        <w:rPr>
          <w:rFonts w:ascii="Palatino Linotype" w:eastAsia="Palatino Linotype" w:hAnsi="Palatino Linotype" w:cs="Palatino Linotype"/>
          <w:b/>
        </w:rPr>
        <w:t xml:space="preserve"> Recurrente</w:t>
      </w:r>
      <w:r w:rsidRPr="000939A5">
        <w:rPr>
          <w:rFonts w:ascii="Palatino Linotype" w:eastAsia="Palatino Linotype" w:hAnsi="Palatino Linotype" w:cs="Palatino Linotype"/>
        </w:rPr>
        <w:t xml:space="preserve">, en razón de que no se realizaron manifestaciones de inconformidad, por lo que no pueden producirse efectos jurídicos tendentes a revocar, confirmar o modificar el acto reclamado ya que se infiere un consentimiento de </w:t>
      </w:r>
      <w:r w:rsidRPr="000939A5">
        <w:rPr>
          <w:rFonts w:ascii="Palatino Linotype" w:eastAsia="Palatino Linotype" w:hAnsi="Palatino Linotype" w:cs="Palatino Linotype"/>
          <w:b/>
        </w:rPr>
        <w:t>la parte Recurrente</w:t>
      </w:r>
      <w:r w:rsidRPr="000939A5">
        <w:rPr>
          <w:rFonts w:ascii="Palatino Linotype" w:eastAsia="Palatino Linotype" w:hAnsi="Palatino Linotype" w:cs="Palatino Linotype"/>
        </w:rPr>
        <w:t xml:space="preserve"> ante la falta de impugnación eficaz. </w:t>
      </w:r>
    </w:p>
    <w:p w14:paraId="1C319DDE" w14:textId="77777777" w:rsidR="00A77DD6" w:rsidRPr="000939A5" w:rsidRDefault="00A77DD6">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68210B6" w14:textId="77777777" w:rsidR="00A77DD6" w:rsidRPr="000939A5" w:rsidRDefault="002C565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0939A5">
        <w:rPr>
          <w:rFonts w:ascii="Palatino Linotype" w:eastAsia="Palatino Linotype" w:hAnsi="Palatino Linotype" w:cs="Palatino Linotype"/>
        </w:rPr>
        <w:t>Sirve de sustento a lo anterior por analogía la tesis jurisprudencial número VI.3o.C. J/60, publicada en el Semanario Judicial de la Federación y su Gaceta bajo el número de registro 176,608 que a la letra dice:</w:t>
      </w:r>
    </w:p>
    <w:p w14:paraId="36C7DF66" w14:textId="77777777" w:rsidR="00A77DD6" w:rsidRPr="000939A5" w:rsidRDefault="002C5650">
      <w:pPr>
        <w:pBdr>
          <w:top w:val="nil"/>
          <w:left w:val="nil"/>
          <w:bottom w:val="nil"/>
          <w:right w:val="nil"/>
          <w:between w:val="nil"/>
        </w:pBdr>
        <w:spacing w:after="0"/>
        <w:ind w:left="851" w:right="843"/>
        <w:jc w:val="both"/>
        <w:rPr>
          <w:rFonts w:ascii="Palatino Linotype" w:eastAsia="Palatino Linotype" w:hAnsi="Palatino Linotype" w:cs="Palatino Linotype"/>
        </w:rPr>
      </w:pPr>
      <w:r w:rsidRPr="000939A5">
        <w:rPr>
          <w:rFonts w:ascii="Palatino Linotype" w:eastAsia="Palatino Linotype" w:hAnsi="Palatino Linotype" w:cs="Palatino Linotype"/>
          <w:i/>
        </w:rPr>
        <w:t>“</w:t>
      </w:r>
      <w:r w:rsidRPr="000939A5">
        <w:rPr>
          <w:rFonts w:ascii="Palatino Linotype" w:eastAsia="Palatino Linotype" w:hAnsi="Palatino Linotype" w:cs="Palatino Linotype"/>
          <w:b/>
          <w:i/>
        </w:rPr>
        <w:t xml:space="preserve">ACTOS CONSENTIDOS. SON LOS QUE NO SE IMPUGNAN MEDIANTE EL RECURSO IDÓNEO. </w:t>
      </w:r>
      <w:r w:rsidRPr="000939A5">
        <w:rPr>
          <w:rFonts w:ascii="Palatino Linotype" w:eastAsia="Palatino Linotype" w:hAnsi="Palatino Linotype" w:cs="Palatino Linotype"/>
          <w:i/>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2CD21842" w14:textId="77777777" w:rsidR="00A77DD6" w:rsidRPr="000939A5" w:rsidRDefault="00A77DD6">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12F96B67" w14:textId="77777777" w:rsidR="00A77DD6" w:rsidRPr="000939A5" w:rsidRDefault="002C565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0939A5">
        <w:rPr>
          <w:rFonts w:ascii="Palatino Linotype" w:eastAsia="Palatino Linotype" w:hAnsi="Palatino Linotype" w:cs="Palatino Linotype"/>
        </w:rPr>
        <w:t xml:space="preserve">Ahora bien, de la lectura realizada al Recurso de Revisión se advirtió que este versa en una </w:t>
      </w:r>
      <w:r w:rsidRPr="000939A5">
        <w:rPr>
          <w:rFonts w:ascii="Palatino Linotype" w:eastAsia="Palatino Linotype" w:hAnsi="Palatino Linotype" w:cs="Palatino Linotype"/>
          <w:b/>
        </w:rPr>
        <w:t>ampliación a su requerimiento inicial</w:t>
      </w:r>
      <w:r w:rsidRPr="000939A5">
        <w:rPr>
          <w:rFonts w:ascii="Palatino Linotype" w:eastAsia="Palatino Linotype" w:hAnsi="Palatino Linotype" w:cs="Palatino Linotype"/>
        </w:rPr>
        <w:t xml:space="preserve">, pues como se puede observar de la solicitud de información, sólo se obtiene que, la parte </w:t>
      </w:r>
      <w:r w:rsidRPr="000939A5">
        <w:rPr>
          <w:rFonts w:ascii="Palatino Linotype" w:eastAsia="Palatino Linotype" w:hAnsi="Palatino Linotype" w:cs="Palatino Linotype"/>
          <w:b/>
        </w:rPr>
        <w:t>Recurrente</w:t>
      </w:r>
      <w:r w:rsidRPr="000939A5">
        <w:rPr>
          <w:rFonts w:ascii="Palatino Linotype" w:eastAsia="Palatino Linotype" w:hAnsi="Palatino Linotype" w:cs="Palatino Linotype"/>
        </w:rPr>
        <w:t xml:space="preserve"> requirió puntualmente del </w:t>
      </w:r>
      <w:r w:rsidRPr="000939A5">
        <w:rPr>
          <w:rFonts w:ascii="Palatino Linotype" w:eastAsia="Palatino Linotype" w:hAnsi="Palatino Linotype" w:cs="Palatino Linotype"/>
          <w:b/>
        </w:rPr>
        <w:t>Sujeto Obligado</w:t>
      </w:r>
      <w:r w:rsidRPr="000939A5">
        <w:rPr>
          <w:rFonts w:ascii="Palatino Linotype" w:eastAsia="Palatino Linotype" w:hAnsi="Palatino Linotype" w:cs="Palatino Linotype"/>
        </w:rPr>
        <w:t xml:space="preserve"> los recibos de nómina del personal que trabaja para la diputada Sofía Martínez Molina de la coalición PT-MORENA-PVEM, no así, el concepto de la CLAVE 01 y CLAVE 017 de la nómina.  </w:t>
      </w:r>
    </w:p>
    <w:p w14:paraId="059A1694" w14:textId="77777777" w:rsidR="00A77DD6" w:rsidRPr="000939A5" w:rsidRDefault="00A77DD6">
      <w:pPr>
        <w:spacing w:after="0" w:line="360" w:lineRule="auto"/>
        <w:jc w:val="both"/>
        <w:rPr>
          <w:rFonts w:ascii="Palatino Linotype" w:eastAsia="Palatino Linotype" w:hAnsi="Palatino Linotype" w:cs="Palatino Linotype"/>
        </w:rPr>
      </w:pPr>
    </w:p>
    <w:p w14:paraId="0360DC2C" w14:textId="77777777" w:rsidR="00A77DD6" w:rsidRPr="000939A5" w:rsidRDefault="002C565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0939A5">
        <w:rPr>
          <w:rFonts w:ascii="Palatino Linotype" w:eastAsia="Palatino Linotype" w:hAnsi="Palatino Linotype" w:cs="Palatino Linotype"/>
        </w:rPr>
        <w:lastRenderedPageBreak/>
        <w:t xml:space="preserve">En ese sentido, debido a que, sus motivos de inconformidad versan sobre nuevos requerimientos de información y resultan una ampliación a su solicitud de información inicial, se determina que estos argumentos no son susceptibles de ser valorados en términos de la fracción VII, del artículo 191 de la Ley de Transparencia y Acceso a la Información Pública del Estado de México y Municipios, el cual señala la improcedencia cuando la parte </w:t>
      </w:r>
      <w:r w:rsidRPr="000939A5">
        <w:rPr>
          <w:rFonts w:ascii="Palatino Linotype" w:eastAsia="Palatino Linotype" w:hAnsi="Palatino Linotype" w:cs="Palatino Linotype"/>
          <w:b/>
        </w:rPr>
        <w:t>Recurrente</w:t>
      </w:r>
      <w:r w:rsidRPr="000939A5">
        <w:rPr>
          <w:rFonts w:ascii="Palatino Linotype" w:eastAsia="Palatino Linotype" w:hAnsi="Palatino Linotype" w:cs="Palatino Linotype"/>
        </w:rPr>
        <w:t xml:space="preserve"> amplíe su solicitud en el Recurso de Revisión, únicamente respecto de los nuevos contenidos.</w:t>
      </w:r>
    </w:p>
    <w:p w14:paraId="35EB4480" w14:textId="77777777" w:rsidR="00A77DD6" w:rsidRPr="000939A5" w:rsidRDefault="00A77DD6">
      <w:pPr>
        <w:spacing w:after="0" w:line="360" w:lineRule="auto"/>
        <w:ind w:right="99"/>
        <w:jc w:val="both"/>
        <w:rPr>
          <w:rFonts w:ascii="Palatino Linotype" w:eastAsia="Palatino Linotype" w:hAnsi="Palatino Linotype" w:cs="Palatino Linotype"/>
        </w:rPr>
      </w:pPr>
    </w:p>
    <w:p w14:paraId="1DAFA50A" w14:textId="77777777" w:rsidR="00A77DD6" w:rsidRPr="000939A5" w:rsidRDefault="002C5650">
      <w:pPr>
        <w:spacing w:after="0" w:line="360" w:lineRule="auto"/>
        <w:jc w:val="both"/>
        <w:rPr>
          <w:rFonts w:ascii="Palatino Linotype" w:eastAsia="Palatino Linotype" w:hAnsi="Palatino Linotype" w:cs="Palatino Linotype"/>
        </w:rPr>
      </w:pPr>
      <w:r w:rsidRPr="000939A5">
        <w:rPr>
          <w:rFonts w:ascii="Palatino Linotype" w:eastAsia="Palatino Linotype" w:hAnsi="Palatino Linotype" w:cs="Palatino Linotype"/>
        </w:rPr>
        <w:t>En este tenor, es posible determinar que para el caso que nos ocupa, la totalidad de los argumentos formulados como motivos o razones de inconformidad son una ampliación a la solicitud inicial y corresponden a nuevos requerimientos de información, que no se encuentran relacionados con lo solicitado en un primer momento.</w:t>
      </w:r>
    </w:p>
    <w:p w14:paraId="765B2F7F" w14:textId="77777777" w:rsidR="00A77DD6" w:rsidRPr="000939A5" w:rsidRDefault="00A77DD6">
      <w:pPr>
        <w:spacing w:after="0" w:line="360" w:lineRule="auto"/>
        <w:jc w:val="both"/>
        <w:rPr>
          <w:rFonts w:ascii="Palatino Linotype" w:eastAsia="Palatino Linotype" w:hAnsi="Palatino Linotype" w:cs="Palatino Linotype"/>
        </w:rPr>
      </w:pPr>
    </w:p>
    <w:p w14:paraId="233A0430" w14:textId="77777777" w:rsidR="00A77DD6" w:rsidRPr="000939A5" w:rsidRDefault="002C5650">
      <w:pPr>
        <w:spacing w:after="0" w:line="360" w:lineRule="auto"/>
        <w:jc w:val="both"/>
        <w:rPr>
          <w:rFonts w:ascii="Palatino Linotype" w:eastAsia="Palatino Linotype" w:hAnsi="Palatino Linotype" w:cs="Palatino Linotype"/>
        </w:rPr>
      </w:pPr>
      <w:r w:rsidRPr="000939A5">
        <w:rPr>
          <w:rFonts w:ascii="Palatino Linotype" w:eastAsia="Palatino Linotype" w:hAnsi="Palatino Linotype" w:cs="Palatino Linotype"/>
        </w:rPr>
        <w:t>En este orden de ideas, una vez formulada su solicitud inicial,</w:t>
      </w:r>
      <w:r w:rsidRPr="000939A5">
        <w:rPr>
          <w:rFonts w:ascii="Palatino Linotype" w:eastAsia="Palatino Linotype" w:hAnsi="Palatino Linotype" w:cs="Palatino Linotype"/>
          <w:i/>
        </w:rPr>
        <w:t xml:space="preserve"> </w:t>
      </w:r>
      <w:r w:rsidRPr="000939A5">
        <w:rPr>
          <w:rFonts w:ascii="Palatino Linotype" w:eastAsia="Palatino Linotype" w:hAnsi="Palatino Linotype" w:cs="Palatino Linotype"/>
        </w:rPr>
        <w:t>los particulares no pueden modificarla o ampliarla a través de posteriores promociones o en el momento de ingresar su recurso de revisión; por tanto, la materia de las solicitudes de información se circunscribe a que se permita el acceso a los documentos inicialmente solicitados y en su caso a los aclarados o corregidos.</w:t>
      </w:r>
    </w:p>
    <w:p w14:paraId="03BF7265" w14:textId="77777777" w:rsidR="00A77DD6" w:rsidRPr="000939A5" w:rsidRDefault="00A77DD6">
      <w:pPr>
        <w:spacing w:after="0" w:line="360" w:lineRule="auto"/>
        <w:jc w:val="both"/>
        <w:rPr>
          <w:rFonts w:ascii="Palatino Linotype" w:eastAsia="Palatino Linotype" w:hAnsi="Palatino Linotype" w:cs="Palatino Linotype"/>
        </w:rPr>
      </w:pPr>
    </w:p>
    <w:p w14:paraId="62942EB5" w14:textId="77777777" w:rsidR="00A77DD6" w:rsidRPr="000939A5" w:rsidRDefault="002C5650">
      <w:pPr>
        <w:spacing w:after="0" w:line="360" w:lineRule="auto"/>
        <w:jc w:val="both"/>
        <w:rPr>
          <w:rFonts w:ascii="Palatino Linotype" w:eastAsia="Palatino Linotype" w:hAnsi="Palatino Linotype" w:cs="Palatino Linotype"/>
        </w:rPr>
      </w:pPr>
      <w:r w:rsidRPr="000939A5">
        <w:rPr>
          <w:rFonts w:ascii="Palatino Linotype" w:eastAsia="Palatino Linotype" w:hAnsi="Palatino Linotype" w:cs="Palatino Linotype"/>
        </w:rPr>
        <w:t>Robustece lo anterior lo plasmado en el criterio orientador número 01/17 emitido por el Instituto Nacional de Transparencia, Acceso a la Información y Protección de Datos Personales, INAI, que lleva por rubro y texto lo que a continuación se transcribe:</w:t>
      </w:r>
    </w:p>
    <w:p w14:paraId="69D0C16C" w14:textId="77777777" w:rsidR="00A77DD6" w:rsidRPr="000939A5" w:rsidRDefault="00A77DD6">
      <w:pPr>
        <w:spacing w:after="0" w:line="360" w:lineRule="auto"/>
        <w:jc w:val="both"/>
        <w:rPr>
          <w:rFonts w:ascii="Palatino Linotype" w:eastAsia="Palatino Linotype" w:hAnsi="Palatino Linotype" w:cs="Palatino Linotype"/>
        </w:rPr>
      </w:pPr>
    </w:p>
    <w:p w14:paraId="08994D1D" w14:textId="77777777" w:rsidR="00A77DD6" w:rsidRPr="000939A5" w:rsidRDefault="002C5650">
      <w:pPr>
        <w:spacing w:after="0"/>
        <w:ind w:left="851" w:right="843"/>
        <w:jc w:val="both"/>
        <w:rPr>
          <w:rFonts w:ascii="Palatino Linotype" w:eastAsia="Palatino Linotype" w:hAnsi="Palatino Linotype" w:cs="Palatino Linotype"/>
        </w:rPr>
      </w:pPr>
      <w:r w:rsidRPr="000939A5">
        <w:rPr>
          <w:rFonts w:ascii="Palatino Linotype" w:eastAsia="Palatino Linotype" w:hAnsi="Palatino Linotype" w:cs="Palatino Linotype"/>
          <w:i/>
        </w:rPr>
        <w:t>“</w:t>
      </w:r>
      <w:r w:rsidRPr="000939A5">
        <w:rPr>
          <w:rFonts w:ascii="Palatino Linotype" w:eastAsia="Palatino Linotype" w:hAnsi="Palatino Linotype" w:cs="Palatino Linotype"/>
          <w:b/>
          <w:i/>
        </w:rPr>
        <w:t xml:space="preserve">Es improcedente ampliar las solicitudes de acceso a información, a través de la interposición del recurso de revisión. </w:t>
      </w:r>
      <w:r w:rsidRPr="000939A5">
        <w:rPr>
          <w:rFonts w:ascii="Palatino Linotype" w:eastAsia="Palatino Linotype" w:hAnsi="Palatino Linotype" w:cs="Palatino Linotype"/>
          <w:i/>
        </w:rPr>
        <w:t xml:space="preserve">En términos de los artículos 155, fracción VII de la Ley General de Transparencia y Acceso a la Información Pública, y 161, fracción VII de la Ley Federal de Transparencia y Acceso a la Información </w:t>
      </w:r>
      <w:r w:rsidRPr="000939A5">
        <w:rPr>
          <w:rFonts w:ascii="Palatino Linotype" w:eastAsia="Palatino Linotype" w:hAnsi="Palatino Linotype" w:cs="Palatino Linotype"/>
          <w:i/>
        </w:rPr>
        <w:lastRenderedPageBreak/>
        <w:t>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r w:rsidRPr="000939A5">
        <w:rPr>
          <w:rFonts w:ascii="Palatino Linotype" w:eastAsia="Palatino Linotype" w:hAnsi="Palatino Linotype" w:cs="Palatino Linotype"/>
          <w:b/>
          <w:i/>
        </w:rPr>
        <w:t>.</w:t>
      </w:r>
      <w:r w:rsidRPr="000939A5">
        <w:rPr>
          <w:rFonts w:ascii="Palatino Linotype" w:eastAsia="Palatino Linotype" w:hAnsi="Palatino Linotype" w:cs="Palatino Linotype"/>
          <w:i/>
        </w:rPr>
        <w:t>”</w:t>
      </w:r>
    </w:p>
    <w:p w14:paraId="7C301531" w14:textId="77777777" w:rsidR="00A77DD6" w:rsidRPr="000939A5" w:rsidRDefault="00A77DD6">
      <w:pPr>
        <w:spacing w:after="0" w:line="360" w:lineRule="auto"/>
        <w:jc w:val="both"/>
        <w:rPr>
          <w:rFonts w:ascii="Palatino Linotype" w:eastAsia="Palatino Linotype" w:hAnsi="Palatino Linotype" w:cs="Palatino Linotype"/>
        </w:rPr>
      </w:pPr>
    </w:p>
    <w:p w14:paraId="5BA9F9D3" w14:textId="77777777" w:rsidR="00A77DD6" w:rsidRPr="000939A5" w:rsidRDefault="002C5650">
      <w:pPr>
        <w:spacing w:after="0" w:line="360" w:lineRule="auto"/>
        <w:ind w:right="96"/>
        <w:jc w:val="both"/>
        <w:rPr>
          <w:rFonts w:ascii="Palatino Linotype" w:eastAsia="Palatino Linotype" w:hAnsi="Palatino Linotype" w:cs="Palatino Linotype"/>
        </w:rPr>
      </w:pPr>
      <w:r w:rsidRPr="000939A5">
        <w:rPr>
          <w:rFonts w:ascii="Palatino Linotype" w:eastAsia="Palatino Linotype" w:hAnsi="Palatino Linotype" w:cs="Palatino Linotype"/>
        </w:rPr>
        <w:t>Por ello, en virtud de los argumentos expuestos con anterioridad así como del análisis realizado a las constancias que obran en el expediente electrónico del SAIMEX, se determina sobreseer el presente recurso de revisión por actualizarse la causal de sobreseimiento prevista en la fracción IV del artículo 192 de la Ley de Transparencia y Acceso a la Información Pública del Estado de México y Municipios en su correlación con la causal de improcedencia contemplada en VII del artículo 191 del ordenamiento legal en cita, los que se transcriben a las fracciones a continuación, para un mejor entendimiento:</w:t>
      </w:r>
    </w:p>
    <w:p w14:paraId="22E20BC4" w14:textId="77777777" w:rsidR="00A77DD6" w:rsidRPr="000939A5" w:rsidRDefault="00A77DD6">
      <w:pPr>
        <w:spacing w:after="0" w:line="360" w:lineRule="auto"/>
        <w:ind w:right="96"/>
        <w:jc w:val="both"/>
        <w:rPr>
          <w:rFonts w:ascii="Palatino Linotype" w:eastAsia="Palatino Linotype" w:hAnsi="Palatino Linotype" w:cs="Palatino Linotype"/>
        </w:rPr>
      </w:pPr>
    </w:p>
    <w:p w14:paraId="54EA1832" w14:textId="77777777" w:rsidR="00A77DD6" w:rsidRPr="000939A5" w:rsidRDefault="002C5650">
      <w:pPr>
        <w:tabs>
          <w:tab w:val="left" w:pos="7938"/>
        </w:tabs>
        <w:spacing w:after="0"/>
        <w:ind w:left="851" w:right="843"/>
        <w:jc w:val="both"/>
        <w:rPr>
          <w:rFonts w:ascii="Palatino Linotype" w:eastAsia="Palatino Linotype" w:hAnsi="Palatino Linotype" w:cs="Palatino Linotype"/>
          <w:i/>
        </w:rPr>
      </w:pPr>
      <w:r w:rsidRPr="000939A5">
        <w:rPr>
          <w:rFonts w:ascii="Palatino Linotype" w:eastAsia="Palatino Linotype" w:hAnsi="Palatino Linotype" w:cs="Palatino Linotype"/>
          <w:i/>
        </w:rPr>
        <w:t>“</w:t>
      </w:r>
      <w:r w:rsidRPr="000939A5">
        <w:rPr>
          <w:rFonts w:ascii="Palatino Linotype" w:eastAsia="Palatino Linotype" w:hAnsi="Palatino Linotype" w:cs="Palatino Linotype"/>
          <w:b/>
          <w:i/>
        </w:rPr>
        <w:t>Artículo 191</w:t>
      </w:r>
      <w:r w:rsidRPr="000939A5">
        <w:rPr>
          <w:rFonts w:ascii="Palatino Linotype" w:eastAsia="Palatino Linotype" w:hAnsi="Palatino Linotype" w:cs="Palatino Linotype"/>
          <w:i/>
        </w:rPr>
        <w:t xml:space="preserve">. </w:t>
      </w:r>
      <w:r w:rsidRPr="000939A5">
        <w:rPr>
          <w:rFonts w:ascii="Palatino Linotype" w:eastAsia="Palatino Linotype" w:hAnsi="Palatino Linotype" w:cs="Palatino Linotype"/>
          <w:b/>
          <w:i/>
        </w:rPr>
        <w:t>El recurso</w:t>
      </w:r>
      <w:r w:rsidRPr="000939A5">
        <w:rPr>
          <w:rFonts w:ascii="Palatino Linotype" w:eastAsia="Palatino Linotype" w:hAnsi="Palatino Linotype" w:cs="Palatino Linotype"/>
          <w:i/>
        </w:rPr>
        <w:t xml:space="preserve"> </w:t>
      </w:r>
      <w:r w:rsidRPr="000939A5">
        <w:rPr>
          <w:rFonts w:ascii="Palatino Linotype" w:eastAsia="Palatino Linotype" w:hAnsi="Palatino Linotype" w:cs="Palatino Linotype"/>
          <w:b/>
          <w:i/>
        </w:rPr>
        <w:t xml:space="preserve">será </w:t>
      </w:r>
      <w:r w:rsidRPr="000939A5">
        <w:rPr>
          <w:rFonts w:ascii="Palatino Linotype" w:eastAsia="Palatino Linotype" w:hAnsi="Palatino Linotype" w:cs="Palatino Linotype"/>
          <w:i/>
        </w:rPr>
        <w:t xml:space="preserve">desechado por </w:t>
      </w:r>
      <w:r w:rsidRPr="000939A5">
        <w:rPr>
          <w:rFonts w:ascii="Palatino Linotype" w:eastAsia="Palatino Linotype" w:hAnsi="Palatino Linotype" w:cs="Palatino Linotype"/>
          <w:b/>
          <w:i/>
        </w:rPr>
        <w:t>improcedente cuando</w:t>
      </w:r>
      <w:r w:rsidRPr="000939A5">
        <w:rPr>
          <w:rFonts w:ascii="Palatino Linotype" w:eastAsia="Palatino Linotype" w:hAnsi="Palatino Linotype" w:cs="Palatino Linotype"/>
          <w:i/>
        </w:rPr>
        <w:t>:</w:t>
      </w:r>
    </w:p>
    <w:p w14:paraId="33AF26A2" w14:textId="77777777" w:rsidR="00A77DD6" w:rsidRPr="000939A5" w:rsidRDefault="002C5650">
      <w:pPr>
        <w:tabs>
          <w:tab w:val="left" w:pos="7938"/>
        </w:tabs>
        <w:spacing w:after="0"/>
        <w:ind w:left="851" w:right="843"/>
        <w:jc w:val="both"/>
        <w:rPr>
          <w:rFonts w:ascii="Palatino Linotype" w:eastAsia="Palatino Linotype" w:hAnsi="Palatino Linotype" w:cs="Palatino Linotype"/>
          <w:i/>
        </w:rPr>
      </w:pPr>
      <w:r w:rsidRPr="000939A5">
        <w:rPr>
          <w:rFonts w:ascii="Palatino Linotype" w:eastAsia="Palatino Linotype" w:hAnsi="Palatino Linotype" w:cs="Palatino Linotype"/>
          <w:i/>
        </w:rPr>
        <w:t>…</w:t>
      </w:r>
    </w:p>
    <w:p w14:paraId="6169E0FA" w14:textId="77777777" w:rsidR="00A77DD6" w:rsidRPr="000939A5" w:rsidRDefault="002C5650">
      <w:pPr>
        <w:tabs>
          <w:tab w:val="left" w:pos="7938"/>
        </w:tabs>
        <w:spacing w:after="0"/>
        <w:ind w:left="851" w:right="843"/>
        <w:jc w:val="both"/>
        <w:rPr>
          <w:rFonts w:ascii="Palatino Linotype" w:eastAsia="Palatino Linotype" w:hAnsi="Palatino Linotype" w:cs="Palatino Linotype"/>
          <w:b/>
          <w:i/>
        </w:rPr>
      </w:pPr>
      <w:r w:rsidRPr="000939A5">
        <w:rPr>
          <w:rFonts w:ascii="Palatino Linotype" w:eastAsia="Palatino Linotype" w:hAnsi="Palatino Linotype" w:cs="Palatino Linotype"/>
          <w:b/>
          <w:i/>
        </w:rPr>
        <w:t>VII. El recurrente amplíe su solicitud en el recurso de revisión, únicamente respecto de los nuevos contenidos.</w:t>
      </w:r>
    </w:p>
    <w:p w14:paraId="35E8C5A4" w14:textId="77777777" w:rsidR="00A77DD6" w:rsidRPr="000939A5" w:rsidRDefault="00A77DD6">
      <w:pPr>
        <w:tabs>
          <w:tab w:val="left" w:pos="7938"/>
        </w:tabs>
        <w:spacing w:after="0"/>
        <w:ind w:left="851" w:right="843"/>
        <w:jc w:val="both"/>
        <w:rPr>
          <w:rFonts w:ascii="Palatino Linotype" w:eastAsia="Palatino Linotype" w:hAnsi="Palatino Linotype" w:cs="Palatino Linotype"/>
          <w:b/>
          <w:i/>
        </w:rPr>
      </w:pPr>
    </w:p>
    <w:p w14:paraId="3DF2F0DB" w14:textId="77777777" w:rsidR="00A77DD6" w:rsidRPr="000939A5" w:rsidRDefault="002C5650">
      <w:pPr>
        <w:tabs>
          <w:tab w:val="left" w:pos="7938"/>
        </w:tabs>
        <w:spacing w:after="0"/>
        <w:ind w:left="851" w:right="843"/>
        <w:jc w:val="both"/>
        <w:rPr>
          <w:rFonts w:ascii="Palatino Linotype" w:eastAsia="Palatino Linotype" w:hAnsi="Palatino Linotype" w:cs="Palatino Linotype"/>
          <w:i/>
        </w:rPr>
      </w:pPr>
      <w:r w:rsidRPr="000939A5">
        <w:rPr>
          <w:rFonts w:ascii="Palatino Linotype" w:eastAsia="Palatino Linotype" w:hAnsi="Palatino Linotype" w:cs="Palatino Linotype"/>
          <w:b/>
          <w:i/>
        </w:rPr>
        <w:t>Artículo 192.</w:t>
      </w:r>
      <w:r w:rsidRPr="000939A5">
        <w:rPr>
          <w:rFonts w:ascii="Palatino Linotype" w:eastAsia="Palatino Linotype" w:hAnsi="Palatino Linotype" w:cs="Palatino Linotype"/>
          <w:i/>
        </w:rPr>
        <w:t xml:space="preserve"> El recurso será sobreseído, en todo o en parte, cuando una vez admitido, se actualicen alguno de los siguientes supuestos:</w:t>
      </w:r>
    </w:p>
    <w:p w14:paraId="2C0ED7F4" w14:textId="77777777" w:rsidR="00A77DD6" w:rsidRPr="000939A5" w:rsidRDefault="002C5650">
      <w:pPr>
        <w:tabs>
          <w:tab w:val="left" w:pos="7938"/>
        </w:tabs>
        <w:spacing w:after="0"/>
        <w:ind w:left="851" w:right="843"/>
        <w:jc w:val="both"/>
        <w:rPr>
          <w:rFonts w:ascii="Palatino Linotype" w:eastAsia="Palatino Linotype" w:hAnsi="Palatino Linotype" w:cs="Palatino Linotype"/>
          <w:i/>
        </w:rPr>
      </w:pPr>
      <w:r w:rsidRPr="000939A5">
        <w:rPr>
          <w:rFonts w:ascii="Palatino Linotype" w:eastAsia="Palatino Linotype" w:hAnsi="Palatino Linotype" w:cs="Palatino Linotype"/>
          <w:i/>
        </w:rPr>
        <w:t>…</w:t>
      </w:r>
    </w:p>
    <w:p w14:paraId="507F6FAD" w14:textId="77777777" w:rsidR="00A77DD6" w:rsidRPr="000939A5" w:rsidRDefault="002C5650">
      <w:pPr>
        <w:tabs>
          <w:tab w:val="left" w:pos="7938"/>
        </w:tabs>
        <w:spacing w:after="0"/>
        <w:ind w:left="851" w:right="843"/>
        <w:jc w:val="both"/>
        <w:rPr>
          <w:rFonts w:ascii="Palatino Linotype" w:eastAsia="Palatino Linotype" w:hAnsi="Palatino Linotype" w:cs="Palatino Linotype"/>
          <w:i/>
        </w:rPr>
      </w:pPr>
      <w:r w:rsidRPr="000939A5">
        <w:rPr>
          <w:rFonts w:ascii="Palatino Linotype" w:eastAsia="Palatino Linotype" w:hAnsi="Palatino Linotype" w:cs="Palatino Linotype"/>
          <w:b/>
          <w:i/>
        </w:rPr>
        <w:t>IV</w:t>
      </w:r>
      <w:r w:rsidRPr="000939A5">
        <w:rPr>
          <w:rFonts w:ascii="Palatino Linotype" w:eastAsia="Palatino Linotype" w:hAnsi="Palatino Linotype" w:cs="Palatino Linotype"/>
          <w:i/>
        </w:rPr>
        <w:t xml:space="preserve">. Admitido el recurso de revisión, </w:t>
      </w:r>
      <w:r w:rsidRPr="000939A5">
        <w:rPr>
          <w:rFonts w:ascii="Palatino Linotype" w:eastAsia="Palatino Linotype" w:hAnsi="Palatino Linotype" w:cs="Palatino Linotype"/>
          <w:b/>
          <w:i/>
        </w:rPr>
        <w:t>aparezca alguna causal de improcedencia</w:t>
      </w:r>
      <w:r w:rsidRPr="000939A5">
        <w:rPr>
          <w:rFonts w:ascii="Palatino Linotype" w:eastAsia="Palatino Linotype" w:hAnsi="Palatino Linotype" w:cs="Palatino Linotype"/>
          <w:i/>
        </w:rPr>
        <w:t xml:space="preserve"> en los términos de la presente Ley. “</w:t>
      </w:r>
    </w:p>
    <w:p w14:paraId="43EC16FD" w14:textId="77777777" w:rsidR="00A77DD6" w:rsidRPr="000939A5" w:rsidRDefault="00A77DD6">
      <w:pPr>
        <w:tabs>
          <w:tab w:val="left" w:pos="7938"/>
        </w:tabs>
        <w:spacing w:after="0" w:line="360" w:lineRule="auto"/>
        <w:ind w:left="567" w:right="902"/>
        <w:jc w:val="both"/>
        <w:rPr>
          <w:rFonts w:ascii="Palatino Linotype" w:eastAsia="Palatino Linotype" w:hAnsi="Palatino Linotype" w:cs="Palatino Linotype"/>
          <w:i/>
        </w:rPr>
      </w:pPr>
    </w:p>
    <w:p w14:paraId="533ACB44" w14:textId="77777777" w:rsidR="00A77DD6" w:rsidRPr="000939A5" w:rsidRDefault="002C5650">
      <w:pPr>
        <w:spacing w:after="0" w:line="360" w:lineRule="auto"/>
        <w:jc w:val="both"/>
        <w:rPr>
          <w:rFonts w:ascii="Palatino Linotype" w:eastAsia="Palatino Linotype" w:hAnsi="Palatino Linotype" w:cs="Palatino Linotype"/>
        </w:rPr>
      </w:pPr>
      <w:r w:rsidRPr="000939A5">
        <w:rPr>
          <w:rFonts w:ascii="Palatino Linotype" w:eastAsia="Palatino Linotype" w:hAnsi="Palatino Linotype" w:cs="Palatino Linotype"/>
        </w:rPr>
        <w:t xml:space="preserve">Siendo el </w:t>
      </w:r>
      <w:r w:rsidRPr="000939A5">
        <w:rPr>
          <w:rFonts w:ascii="Palatino Linotype" w:eastAsia="Palatino Linotype" w:hAnsi="Palatino Linotype" w:cs="Palatino Linotype"/>
          <w:b/>
          <w:i/>
        </w:rPr>
        <w:t>sobreseimiento</w:t>
      </w:r>
      <w:r w:rsidRPr="000939A5">
        <w:rPr>
          <w:rFonts w:ascii="Palatino Linotype" w:eastAsia="Palatino Linotype" w:hAnsi="Palatino Linotype" w:cs="Palatino Linotype"/>
          <w:b/>
        </w:rPr>
        <w:t xml:space="preserve"> </w:t>
      </w:r>
      <w:r w:rsidRPr="000939A5">
        <w:rPr>
          <w:rFonts w:ascii="Palatino Linotype" w:eastAsia="Palatino Linotype" w:hAnsi="Palatino Linotype" w:cs="Palatino Linotype"/>
        </w:rPr>
        <w:t xml:space="preserve">un acto que da por terminado el procedimiento administrativo de impugnación sin resolver el fondo de la cuestión planteada, por presentarse causas que impiden a la autoridad referirse a lo sustancial de lo planteado por el recurrente, los efectos del sobreseimiento consisten en dar por concluido el recurso administrativo sin entrar al </w:t>
      </w:r>
      <w:r w:rsidRPr="000939A5">
        <w:rPr>
          <w:rFonts w:ascii="Palatino Linotype" w:eastAsia="Palatino Linotype" w:hAnsi="Palatino Linotype" w:cs="Palatino Linotype"/>
        </w:rPr>
        <w:lastRenderedPageBreak/>
        <w:t>estudio de fondo del asunto de que se trate; lo anterior con apoyo en el criterio del Poder Judicial de la Federación con rubro:</w:t>
      </w:r>
    </w:p>
    <w:p w14:paraId="1194C400" w14:textId="77777777" w:rsidR="00A77DD6" w:rsidRPr="000939A5" w:rsidRDefault="00A77DD6">
      <w:pPr>
        <w:spacing w:after="0" w:line="360" w:lineRule="auto"/>
        <w:jc w:val="both"/>
        <w:rPr>
          <w:rFonts w:ascii="Palatino Linotype" w:eastAsia="Palatino Linotype" w:hAnsi="Palatino Linotype" w:cs="Palatino Linotype"/>
        </w:rPr>
      </w:pPr>
    </w:p>
    <w:p w14:paraId="132FF4BE" w14:textId="77777777" w:rsidR="00A77DD6" w:rsidRPr="000939A5" w:rsidRDefault="002C5650">
      <w:pPr>
        <w:spacing w:after="0"/>
        <w:ind w:left="851" w:right="902"/>
        <w:jc w:val="both"/>
        <w:rPr>
          <w:rFonts w:ascii="Palatino Linotype" w:eastAsia="Palatino Linotype" w:hAnsi="Palatino Linotype" w:cs="Palatino Linotype"/>
          <w:b/>
          <w:i/>
        </w:rPr>
      </w:pPr>
      <w:r w:rsidRPr="000939A5">
        <w:rPr>
          <w:rFonts w:ascii="Palatino Linotype" w:eastAsia="Palatino Linotype" w:hAnsi="Palatino Linotype" w:cs="Palatino Linotype"/>
          <w:i/>
        </w:rPr>
        <w:t>“</w:t>
      </w:r>
      <w:r w:rsidRPr="000939A5">
        <w:rPr>
          <w:rFonts w:ascii="Palatino Linotype" w:eastAsia="Palatino Linotype" w:hAnsi="Palatino Linotype" w:cs="Palatino Linotype"/>
          <w:b/>
          <w:i/>
        </w:rPr>
        <w:t xml:space="preserve">SOBRESEIMIENTO, NO PERMITE ENTRAR AL ESTUDIO DE LAS CUESTIONES DE FONDO. </w:t>
      </w:r>
      <w:r w:rsidRPr="000939A5">
        <w:rPr>
          <w:rFonts w:ascii="Palatino Linotype" w:eastAsia="Palatino Linotype" w:hAnsi="Palatino Linotype" w:cs="Palatino Linotype"/>
          <w:i/>
        </w:rPr>
        <w:t xml:space="preserve">No causa agravio la sentencia que no se ocupa de los razonamientos tendientes a demostrar la inconstitucionalidad de los actos reclamados de las autoridades responsables, que constituyen el problema de fondo, si se decreta el sobreseimiento del juicio.” </w:t>
      </w:r>
    </w:p>
    <w:p w14:paraId="31CCCE1A" w14:textId="77777777" w:rsidR="00A77DD6" w:rsidRPr="000939A5" w:rsidRDefault="00A77DD6">
      <w:pPr>
        <w:spacing w:after="0" w:line="360" w:lineRule="auto"/>
        <w:jc w:val="both"/>
        <w:rPr>
          <w:rFonts w:ascii="Palatino Linotype" w:eastAsia="Palatino Linotype" w:hAnsi="Palatino Linotype" w:cs="Palatino Linotype"/>
        </w:rPr>
      </w:pPr>
    </w:p>
    <w:p w14:paraId="190B9450" w14:textId="77777777" w:rsidR="00A77DD6" w:rsidRPr="000939A5" w:rsidRDefault="002C5650">
      <w:pPr>
        <w:spacing w:after="0" w:line="360" w:lineRule="auto"/>
        <w:jc w:val="both"/>
        <w:rPr>
          <w:rFonts w:ascii="Palatino Linotype" w:eastAsia="Palatino Linotype" w:hAnsi="Palatino Linotype" w:cs="Palatino Linotype"/>
        </w:rPr>
      </w:pPr>
      <w:r w:rsidRPr="000939A5">
        <w:rPr>
          <w:rFonts w:ascii="Palatino Linotype" w:eastAsia="Palatino Linotype" w:hAnsi="Palatino Linotype" w:cs="Palatino Linotype"/>
        </w:rPr>
        <w:t>Cabe destacar que la decisión de este Organismo Colegiado de sobreseer el recurso de revisión no implica una limitación o negación a la justicia, según lo ha establecido el Poder Judicial Federal, en el criterio que es aplicable por analogía, con rubro:</w:t>
      </w:r>
    </w:p>
    <w:p w14:paraId="6C4584DF" w14:textId="77777777" w:rsidR="00A77DD6" w:rsidRPr="000939A5" w:rsidRDefault="00A77DD6">
      <w:pPr>
        <w:spacing w:after="0" w:line="360" w:lineRule="auto"/>
        <w:jc w:val="both"/>
        <w:rPr>
          <w:rFonts w:ascii="Palatino Linotype" w:eastAsia="Palatino Linotype" w:hAnsi="Palatino Linotype" w:cs="Palatino Linotype"/>
        </w:rPr>
      </w:pPr>
    </w:p>
    <w:p w14:paraId="4207479D" w14:textId="77777777" w:rsidR="00A77DD6" w:rsidRPr="000939A5" w:rsidRDefault="002C5650">
      <w:pPr>
        <w:spacing w:after="0"/>
        <w:ind w:left="851" w:right="843"/>
        <w:jc w:val="both"/>
        <w:rPr>
          <w:rFonts w:ascii="Palatino Linotype" w:eastAsia="Palatino Linotype" w:hAnsi="Palatino Linotype" w:cs="Palatino Linotype"/>
          <w:b/>
          <w:i/>
        </w:rPr>
      </w:pPr>
      <w:r w:rsidRPr="000939A5">
        <w:rPr>
          <w:rFonts w:ascii="Palatino Linotype" w:eastAsia="Palatino Linotype" w:hAnsi="Palatino Linotype" w:cs="Palatino Linotype"/>
          <w:b/>
          <w:i/>
        </w:rPr>
        <w:t xml:space="preserve">“DESECHAMIENTO O SOBRESEIMIENTO EN EL JUICIO DE AMPARO. NO IMPLICA DENEGACIÓN DE JUSTICIA NI GENERA INSEGURIDAD JURÍDICA” </w:t>
      </w:r>
      <w:r w:rsidRPr="000939A5">
        <w:rPr>
          <w:rFonts w:ascii="Palatino Linotype" w:eastAsia="Palatino Linotype" w:hAnsi="Palatino Linotype" w:cs="Palatino Linotype"/>
          <w:i/>
        </w:rPr>
        <w:t xml:space="preserve">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w:t>
      </w:r>
    </w:p>
    <w:p w14:paraId="2C531B64" w14:textId="77777777" w:rsidR="00A77DD6" w:rsidRPr="000939A5" w:rsidRDefault="00A77DD6">
      <w:pPr>
        <w:spacing w:after="0" w:line="360" w:lineRule="auto"/>
        <w:jc w:val="both"/>
        <w:rPr>
          <w:rFonts w:ascii="Palatino Linotype" w:eastAsia="Palatino Linotype" w:hAnsi="Palatino Linotype" w:cs="Palatino Linotype"/>
        </w:rPr>
      </w:pPr>
    </w:p>
    <w:p w14:paraId="0B4E9E81" w14:textId="77777777" w:rsidR="00A77DD6" w:rsidRPr="000939A5" w:rsidRDefault="002C5650">
      <w:pPr>
        <w:spacing w:after="240" w:line="360" w:lineRule="auto"/>
        <w:ind w:right="49"/>
        <w:jc w:val="both"/>
        <w:rPr>
          <w:rFonts w:ascii="Palatino Linotype" w:eastAsia="Palatino Linotype" w:hAnsi="Palatino Linotype" w:cs="Palatino Linotype"/>
        </w:rPr>
      </w:pPr>
      <w:r w:rsidRPr="000939A5">
        <w:rPr>
          <w:rFonts w:ascii="Palatino Linotype" w:eastAsia="Palatino Linotype" w:hAnsi="Palatino Linotype" w:cs="Palatino Linotype"/>
        </w:rPr>
        <w:lastRenderedPageBreak/>
        <w:t xml:space="preserve">Finalmente, no pasa desapercibido para este Organismo Garante que, aun y cuando la parte </w:t>
      </w:r>
      <w:r w:rsidRPr="000939A5">
        <w:rPr>
          <w:rFonts w:ascii="Palatino Linotype" w:eastAsia="Palatino Linotype" w:hAnsi="Palatino Linotype" w:cs="Palatino Linotype"/>
          <w:b/>
        </w:rPr>
        <w:t xml:space="preserve">Recurrente </w:t>
      </w:r>
      <w:r w:rsidRPr="000939A5">
        <w:rPr>
          <w:rFonts w:ascii="Palatino Linotype" w:eastAsia="Palatino Linotype" w:hAnsi="Palatino Linotype" w:cs="Palatino Linotype"/>
        </w:rPr>
        <w:t xml:space="preserve">amplió su solicitud de información con la interposición del recurso de revisión, el </w:t>
      </w:r>
      <w:r w:rsidRPr="000939A5">
        <w:rPr>
          <w:rFonts w:ascii="Palatino Linotype" w:eastAsia="Palatino Linotype" w:hAnsi="Palatino Linotype" w:cs="Palatino Linotype"/>
          <w:b/>
        </w:rPr>
        <w:t>Sujeto Obligado</w:t>
      </w:r>
      <w:r w:rsidRPr="000939A5">
        <w:rPr>
          <w:rFonts w:ascii="Palatino Linotype" w:eastAsia="Palatino Linotype" w:hAnsi="Palatino Linotype" w:cs="Palatino Linotype"/>
        </w:rPr>
        <w:t xml:space="preserve"> a través de la Secretaría de Administración y Finanzas y en aras de dar por atendido el derecho de acceso a la información de la parte </w:t>
      </w:r>
      <w:r w:rsidRPr="000939A5">
        <w:rPr>
          <w:rFonts w:ascii="Palatino Linotype" w:eastAsia="Palatino Linotype" w:hAnsi="Palatino Linotype" w:cs="Palatino Linotype"/>
          <w:b/>
        </w:rPr>
        <w:t>Recurrente</w:t>
      </w:r>
      <w:r w:rsidRPr="000939A5">
        <w:rPr>
          <w:rFonts w:ascii="Palatino Linotype" w:eastAsia="Palatino Linotype" w:hAnsi="Palatino Linotype" w:cs="Palatino Linotype"/>
        </w:rPr>
        <w:t xml:space="preserve">, y sin estar obligado a ello, hizo entrega de los rubros solicitados, compuestos de la siguiente manera: </w:t>
      </w:r>
    </w:p>
    <w:p w14:paraId="62235FCD" w14:textId="77777777" w:rsidR="00A77DD6" w:rsidRPr="000939A5" w:rsidRDefault="002C5650">
      <w:pPr>
        <w:pBdr>
          <w:top w:val="nil"/>
          <w:left w:val="nil"/>
          <w:bottom w:val="nil"/>
          <w:right w:val="nil"/>
          <w:between w:val="nil"/>
        </w:pBdr>
        <w:spacing w:after="240" w:line="360" w:lineRule="auto"/>
        <w:ind w:left="720" w:right="49"/>
        <w:jc w:val="center"/>
        <w:rPr>
          <w:rFonts w:ascii="Palatino Linotype" w:eastAsia="Palatino Linotype" w:hAnsi="Palatino Linotype" w:cs="Palatino Linotype"/>
        </w:rPr>
      </w:pPr>
      <w:r w:rsidRPr="000939A5">
        <w:rPr>
          <w:rFonts w:ascii="Palatino Linotype" w:eastAsia="Palatino Linotype" w:hAnsi="Palatino Linotype" w:cs="Palatino Linotype"/>
          <w:noProof/>
          <w:lang w:eastAsia="es-MX"/>
        </w:rPr>
        <w:drawing>
          <wp:inline distT="0" distB="0" distL="0" distR="0" wp14:anchorId="376E0B69" wp14:editId="13B89702">
            <wp:extent cx="2333951" cy="590632"/>
            <wp:effectExtent l="0" t="0" r="0" b="0"/>
            <wp:docPr id="1940962780" name="image2.pn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magen que contiene Texto&#10;&#10;Descripción generada automáticamente"/>
                    <pic:cNvPicPr preferRelativeResize="0"/>
                  </pic:nvPicPr>
                  <pic:blipFill>
                    <a:blip r:embed="rId8"/>
                    <a:srcRect/>
                    <a:stretch>
                      <a:fillRect/>
                    </a:stretch>
                  </pic:blipFill>
                  <pic:spPr>
                    <a:xfrm>
                      <a:off x="0" y="0"/>
                      <a:ext cx="2333951" cy="590632"/>
                    </a:xfrm>
                    <a:prstGeom prst="rect">
                      <a:avLst/>
                    </a:prstGeom>
                    <a:ln/>
                  </pic:spPr>
                </pic:pic>
              </a:graphicData>
            </a:graphic>
          </wp:inline>
        </w:drawing>
      </w:r>
    </w:p>
    <w:p w14:paraId="021F2A5F" w14:textId="77777777" w:rsidR="00A77DD6" w:rsidRPr="000939A5" w:rsidRDefault="002C5650">
      <w:pPr>
        <w:spacing w:before="240" w:after="240" w:line="360" w:lineRule="auto"/>
        <w:jc w:val="both"/>
        <w:rPr>
          <w:rFonts w:ascii="Palatino Linotype" w:eastAsia="Palatino Linotype" w:hAnsi="Palatino Linotype" w:cs="Palatino Linotype"/>
        </w:rPr>
      </w:pPr>
      <w:r w:rsidRPr="000939A5">
        <w:rPr>
          <w:rFonts w:ascii="Palatino Linotype" w:eastAsia="Palatino Linotype" w:hAnsi="Palatino Linotype" w:cs="Palatino Linotype"/>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00A92B66" w14:textId="77777777" w:rsidR="00A77DD6" w:rsidRPr="000939A5" w:rsidRDefault="002C5650">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bookmarkStart w:id="1" w:name="_heading=h.lnxbz9" w:colFirst="0" w:colLast="0"/>
      <w:bookmarkEnd w:id="1"/>
      <w:r w:rsidRPr="000939A5">
        <w:rPr>
          <w:rFonts w:ascii="Palatino Linotype" w:eastAsia="Palatino Linotype" w:hAnsi="Palatino Linotype" w:cs="Palatino Linotype"/>
          <w:b/>
        </w:rPr>
        <w:t>III. R E S U E L V E</w:t>
      </w:r>
    </w:p>
    <w:p w14:paraId="74F293F6" w14:textId="77777777" w:rsidR="00A77DD6" w:rsidRPr="000939A5" w:rsidRDefault="002C5650">
      <w:pPr>
        <w:spacing w:before="160" w:line="360" w:lineRule="auto"/>
        <w:jc w:val="both"/>
        <w:rPr>
          <w:rFonts w:ascii="Palatino Linotype" w:eastAsia="Palatino Linotype" w:hAnsi="Palatino Linotype" w:cs="Palatino Linotype"/>
        </w:rPr>
      </w:pPr>
      <w:r w:rsidRPr="000939A5">
        <w:rPr>
          <w:rFonts w:ascii="Palatino Linotype" w:eastAsia="Palatino Linotype" w:hAnsi="Palatino Linotype" w:cs="Palatino Linotype"/>
          <w:b/>
        </w:rPr>
        <w:t xml:space="preserve">Primero. </w:t>
      </w:r>
      <w:r w:rsidRPr="000939A5">
        <w:rPr>
          <w:rFonts w:ascii="Palatino Linotype" w:eastAsia="Palatino Linotype" w:hAnsi="Palatino Linotype" w:cs="Palatino Linotype"/>
        </w:rPr>
        <w:t>Se</w:t>
      </w:r>
      <w:r w:rsidRPr="000939A5">
        <w:rPr>
          <w:rFonts w:ascii="Palatino Linotype" w:eastAsia="Palatino Linotype" w:hAnsi="Palatino Linotype" w:cs="Palatino Linotype"/>
          <w:b/>
        </w:rPr>
        <w:t xml:space="preserve"> Sobresee </w:t>
      </w:r>
      <w:r w:rsidRPr="000939A5">
        <w:rPr>
          <w:rFonts w:ascii="Palatino Linotype" w:eastAsia="Palatino Linotype" w:hAnsi="Palatino Linotype" w:cs="Palatino Linotype"/>
        </w:rPr>
        <w:t xml:space="preserve">el recurso de revisión número </w:t>
      </w:r>
      <w:r w:rsidRPr="000939A5">
        <w:rPr>
          <w:rFonts w:ascii="Palatino Linotype" w:eastAsia="Palatino Linotype" w:hAnsi="Palatino Linotype" w:cs="Palatino Linotype"/>
          <w:b/>
        </w:rPr>
        <w:t xml:space="preserve">00029/INFOEM/IP/RR/2025, </w:t>
      </w:r>
      <w:r w:rsidRPr="000939A5">
        <w:rPr>
          <w:rFonts w:ascii="Palatino Linotype" w:eastAsia="Palatino Linotype" w:hAnsi="Palatino Linotype" w:cs="Palatino Linotype"/>
        </w:rPr>
        <w:t xml:space="preserve">por actualizarse la causal de improcedencia prevista en la fracción IV del artículo 192, en relación con la fracción VII del artículo 191, ambos de la Ley de Transparencia vigente en la entidad, en términos del Considerando </w:t>
      </w:r>
      <w:r w:rsidRPr="000939A5">
        <w:rPr>
          <w:rFonts w:ascii="Palatino Linotype" w:eastAsia="Palatino Linotype" w:hAnsi="Palatino Linotype" w:cs="Palatino Linotype"/>
          <w:b/>
        </w:rPr>
        <w:t>TERCERO</w:t>
      </w:r>
      <w:r w:rsidRPr="000939A5">
        <w:rPr>
          <w:rFonts w:ascii="Palatino Linotype" w:eastAsia="Palatino Linotype" w:hAnsi="Palatino Linotype" w:cs="Palatino Linotype"/>
        </w:rPr>
        <w:t xml:space="preserve"> de la presente resolución.</w:t>
      </w:r>
    </w:p>
    <w:p w14:paraId="19234624" w14:textId="77777777" w:rsidR="00A77DD6" w:rsidRPr="000939A5" w:rsidRDefault="002C5650">
      <w:pPr>
        <w:spacing w:before="240" w:after="240" w:line="360" w:lineRule="auto"/>
        <w:jc w:val="both"/>
        <w:rPr>
          <w:rFonts w:ascii="Palatino Linotype" w:eastAsia="Palatino Linotype" w:hAnsi="Palatino Linotype" w:cs="Palatino Linotype"/>
        </w:rPr>
      </w:pPr>
      <w:r w:rsidRPr="000939A5">
        <w:rPr>
          <w:rFonts w:ascii="Palatino Linotype" w:eastAsia="Palatino Linotype" w:hAnsi="Palatino Linotype" w:cs="Palatino Linotype"/>
          <w:b/>
        </w:rPr>
        <w:t xml:space="preserve">Segundo. Notifíquese, </w:t>
      </w:r>
      <w:r w:rsidRPr="000939A5">
        <w:rPr>
          <w:rFonts w:ascii="Palatino Linotype" w:eastAsia="Palatino Linotype" w:hAnsi="Palatino Linotype" w:cs="Palatino Linotype"/>
        </w:rPr>
        <w:t>vía</w:t>
      </w:r>
      <w:r w:rsidRPr="000939A5">
        <w:rPr>
          <w:rFonts w:ascii="Palatino Linotype" w:eastAsia="Palatino Linotype" w:hAnsi="Palatino Linotype" w:cs="Palatino Linotype"/>
          <w:b/>
        </w:rPr>
        <w:t xml:space="preserve"> SAIMEX</w:t>
      </w:r>
      <w:r w:rsidRPr="000939A5">
        <w:rPr>
          <w:rFonts w:ascii="Palatino Linotype" w:eastAsia="Palatino Linotype" w:hAnsi="Palatino Linotype" w:cs="Palatino Linotype"/>
          <w:b/>
          <w:i/>
        </w:rPr>
        <w:t xml:space="preserve">, </w:t>
      </w:r>
      <w:r w:rsidRPr="000939A5">
        <w:rPr>
          <w:rFonts w:ascii="Palatino Linotype" w:eastAsia="Palatino Linotype" w:hAnsi="Palatino Linotype" w:cs="Palatino Linotype"/>
        </w:rPr>
        <w:t xml:space="preserve">al Titular de la Unidad de Transparencia del </w:t>
      </w:r>
      <w:r w:rsidRPr="000939A5">
        <w:rPr>
          <w:rFonts w:ascii="Palatino Linotype" w:eastAsia="Palatino Linotype" w:hAnsi="Palatino Linotype" w:cs="Palatino Linotype"/>
          <w:b/>
        </w:rPr>
        <w:t>Sujeto Obligado</w:t>
      </w:r>
      <w:r w:rsidRPr="000939A5">
        <w:rPr>
          <w:rFonts w:ascii="Palatino Linotype" w:eastAsia="Palatino Linotype" w:hAnsi="Palatino Linotype" w:cs="Palatino Linotype"/>
        </w:rPr>
        <w:t xml:space="preserve"> la presente resolución, para su conocimiento, lo anterior en términos del artículo 189 de la Ley de Transparencia y Acceso a la Información Pública del Estado de México y Municipios. </w:t>
      </w:r>
    </w:p>
    <w:p w14:paraId="79468A99" w14:textId="77777777" w:rsidR="00A77DD6" w:rsidRPr="000939A5" w:rsidRDefault="002C5650">
      <w:pPr>
        <w:spacing w:before="240" w:after="240" w:line="360" w:lineRule="auto"/>
        <w:jc w:val="both"/>
        <w:rPr>
          <w:rFonts w:ascii="Palatino Linotype" w:eastAsia="Palatino Linotype" w:hAnsi="Palatino Linotype" w:cs="Palatino Linotype"/>
        </w:rPr>
      </w:pPr>
      <w:bookmarkStart w:id="2" w:name="_heading=h.26in1rg" w:colFirst="0" w:colLast="0"/>
      <w:bookmarkEnd w:id="2"/>
      <w:r w:rsidRPr="000939A5">
        <w:rPr>
          <w:rFonts w:ascii="Palatino Linotype" w:eastAsia="Palatino Linotype" w:hAnsi="Palatino Linotype" w:cs="Palatino Linotype"/>
          <w:b/>
        </w:rPr>
        <w:lastRenderedPageBreak/>
        <w:t xml:space="preserve">Tercero. Notifíquese, </w:t>
      </w:r>
      <w:r w:rsidRPr="000939A5">
        <w:rPr>
          <w:rFonts w:ascii="Palatino Linotype" w:eastAsia="Palatino Linotype" w:hAnsi="Palatino Linotype" w:cs="Palatino Linotype"/>
        </w:rPr>
        <w:t>vía</w:t>
      </w:r>
      <w:r w:rsidRPr="000939A5">
        <w:rPr>
          <w:rFonts w:ascii="Palatino Linotype" w:eastAsia="Palatino Linotype" w:hAnsi="Palatino Linotype" w:cs="Palatino Linotype"/>
          <w:b/>
        </w:rPr>
        <w:t xml:space="preserve"> SAIMEX</w:t>
      </w:r>
      <w:r w:rsidRPr="000939A5">
        <w:rPr>
          <w:rFonts w:ascii="Palatino Linotype" w:eastAsia="Palatino Linotype" w:hAnsi="Palatino Linotype" w:cs="Palatino Linotype"/>
        </w:rPr>
        <w:t xml:space="preserve">, la presente resolución al </w:t>
      </w:r>
      <w:r w:rsidRPr="000939A5">
        <w:rPr>
          <w:rFonts w:ascii="Palatino Linotype" w:eastAsia="Palatino Linotype" w:hAnsi="Palatino Linotype" w:cs="Palatino Linotype"/>
          <w:b/>
        </w:rPr>
        <w:t>Recurrente</w:t>
      </w:r>
      <w:r w:rsidRPr="000939A5">
        <w:rPr>
          <w:rFonts w:ascii="Palatino Linotype" w:eastAsia="Palatino Linotype" w:hAnsi="Palatino Linotype" w:cs="Palatino Linotype"/>
        </w:rPr>
        <w:t>, y hágase del conocimiento que en caso de que considere que la presente resolución le causa algún perjuicio, podrá promover el Juicio de Amparo en los términos de las leyes aplicables, de acuerdo con lo estipulado por el artículo 196 de la Ley de Transparencia y Acceso a la Información Pública del Estado de México y Municipios.</w:t>
      </w:r>
    </w:p>
    <w:p w14:paraId="22400047" w14:textId="77777777" w:rsidR="00A77DD6" w:rsidRPr="00FC3FCB" w:rsidRDefault="002C5650">
      <w:pPr>
        <w:spacing w:after="0" w:line="360" w:lineRule="auto"/>
        <w:ind w:right="49"/>
        <w:jc w:val="both"/>
        <w:rPr>
          <w:rFonts w:ascii="Palatino Linotype" w:eastAsia="Palatino Linotype" w:hAnsi="Palatino Linotype" w:cs="Palatino Linotype"/>
        </w:rPr>
        <w:sectPr w:rsidR="00A77DD6" w:rsidRPr="00FC3FCB">
          <w:headerReference w:type="default" r:id="rId9"/>
          <w:footerReference w:type="default" r:id="rId10"/>
          <w:headerReference w:type="first" r:id="rId11"/>
          <w:footerReference w:type="first" r:id="rId12"/>
          <w:pgSz w:w="12240" w:h="15840"/>
          <w:pgMar w:top="2041" w:right="1474" w:bottom="1701" w:left="1701" w:header="709" w:footer="709" w:gutter="0"/>
          <w:pgNumType w:start="1"/>
          <w:cols w:space="720"/>
          <w:titlePg/>
        </w:sectPr>
      </w:pPr>
      <w:r w:rsidRPr="000939A5">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CUARTA SESIÓN ORDINARIA CELEBRADA EL SEIS DE FEBRERO DE DOS MIL VEINTICINCO, ANTE EL SECRETARIO TÉCNICO DEL PLENO ALEXIS TAPIA RAMÍREZ.</w:t>
      </w:r>
      <w:r w:rsidRPr="00FC3FCB">
        <w:rPr>
          <w:rFonts w:ascii="Palatino Linotype" w:eastAsia="Palatino Linotype" w:hAnsi="Palatino Linotype" w:cs="Palatino Linotype"/>
        </w:rPr>
        <w:t xml:space="preserve"> </w:t>
      </w:r>
    </w:p>
    <w:p w14:paraId="0C575E77" w14:textId="77777777" w:rsidR="00A77DD6" w:rsidRPr="00FC3FCB" w:rsidRDefault="00A77DD6">
      <w:pPr>
        <w:spacing w:after="0" w:line="360" w:lineRule="auto"/>
        <w:ind w:right="49"/>
        <w:jc w:val="both"/>
        <w:rPr>
          <w:rFonts w:ascii="Palatino Linotype" w:eastAsia="Palatino Linotype" w:hAnsi="Palatino Linotype" w:cs="Palatino Linotype"/>
        </w:rPr>
      </w:pPr>
    </w:p>
    <w:p w14:paraId="0ECFB754" w14:textId="77777777" w:rsidR="00A77DD6" w:rsidRPr="00FC3FCB" w:rsidRDefault="00A77DD6">
      <w:pPr>
        <w:spacing w:after="0" w:line="360" w:lineRule="auto"/>
        <w:ind w:right="49"/>
        <w:jc w:val="both"/>
        <w:rPr>
          <w:rFonts w:ascii="Palatino Linotype" w:eastAsia="Palatino Linotype" w:hAnsi="Palatino Linotype" w:cs="Palatino Linotype"/>
        </w:rPr>
      </w:pPr>
    </w:p>
    <w:sectPr w:rsidR="00A77DD6" w:rsidRPr="00FC3FCB">
      <w:headerReference w:type="first" r:id="rId13"/>
      <w:footerReference w:type="first" r:id="rId14"/>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800C7" w14:textId="77777777" w:rsidR="001A532C" w:rsidRDefault="001A532C">
      <w:pPr>
        <w:spacing w:after="0" w:line="240" w:lineRule="auto"/>
      </w:pPr>
      <w:r>
        <w:separator/>
      </w:r>
    </w:p>
  </w:endnote>
  <w:endnote w:type="continuationSeparator" w:id="0">
    <w:p w14:paraId="32B846E0" w14:textId="77777777" w:rsidR="001A532C" w:rsidRDefault="001A5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36E39" w14:textId="77777777" w:rsidR="00A77DD6" w:rsidRDefault="002C5650">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939A5">
      <w:rPr>
        <w:b/>
        <w:noProof/>
        <w:color w:val="000000"/>
        <w:sz w:val="24"/>
        <w:szCs w:val="24"/>
      </w:rPr>
      <w:t>14</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939A5">
      <w:rPr>
        <w:b/>
        <w:noProof/>
        <w:color w:val="000000"/>
        <w:sz w:val="24"/>
        <w:szCs w:val="24"/>
      </w:rPr>
      <w:t>16</w:t>
    </w:r>
    <w:r>
      <w:rPr>
        <w:b/>
        <w:color w:val="000000"/>
        <w:sz w:val="24"/>
        <w:szCs w:val="24"/>
      </w:rPr>
      <w:fldChar w:fldCharType="end"/>
    </w:r>
  </w:p>
  <w:p w14:paraId="4C282798" w14:textId="77777777" w:rsidR="00A77DD6" w:rsidRDefault="00A77DD6">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1B363" w14:textId="77777777" w:rsidR="00A77DD6" w:rsidRDefault="002C5650">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t>1</w:t>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939A5">
      <w:rPr>
        <w:b/>
        <w:noProof/>
        <w:color w:val="000000"/>
        <w:sz w:val="24"/>
        <w:szCs w:val="24"/>
      </w:rPr>
      <w:t>16</w:t>
    </w:r>
    <w:r>
      <w:rPr>
        <w:b/>
        <w:color w:val="000000"/>
        <w:sz w:val="24"/>
        <w:szCs w:val="24"/>
      </w:rPr>
      <w:fldChar w:fldCharType="end"/>
    </w:r>
  </w:p>
  <w:p w14:paraId="2CFBA01A" w14:textId="77777777" w:rsidR="00A77DD6" w:rsidRDefault="00A77DD6">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E4911" w14:textId="77777777" w:rsidR="00A77DD6" w:rsidRDefault="002C5650">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t>1</w:t>
    </w:r>
    <w:r w:rsidR="00FC3FCB">
      <w:rPr>
        <w:b/>
        <w:color w:val="000000"/>
        <w:sz w:val="24"/>
        <w:szCs w:val="24"/>
      </w:rPr>
      <w:t>6</w:t>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939A5">
      <w:rPr>
        <w:b/>
        <w:noProof/>
        <w:color w:val="000000"/>
        <w:sz w:val="24"/>
        <w:szCs w:val="24"/>
      </w:rPr>
      <w:t>16</w:t>
    </w:r>
    <w:r>
      <w:rPr>
        <w:b/>
        <w:color w:val="000000"/>
        <w:sz w:val="24"/>
        <w:szCs w:val="24"/>
      </w:rPr>
      <w:fldChar w:fldCharType="end"/>
    </w:r>
  </w:p>
  <w:p w14:paraId="0865D391" w14:textId="77777777" w:rsidR="00A77DD6" w:rsidRDefault="00A77DD6">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5F5BA" w14:textId="77777777" w:rsidR="001A532C" w:rsidRDefault="001A532C">
      <w:pPr>
        <w:spacing w:after="0" w:line="240" w:lineRule="auto"/>
      </w:pPr>
      <w:r>
        <w:separator/>
      </w:r>
    </w:p>
  </w:footnote>
  <w:footnote w:type="continuationSeparator" w:id="0">
    <w:p w14:paraId="61ED79FF" w14:textId="77777777" w:rsidR="001A532C" w:rsidRDefault="001A5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394C2" w14:textId="77777777" w:rsidR="00A77DD6" w:rsidRDefault="002C5650">
    <w:pPr>
      <w:widowControl w:val="0"/>
      <w:pBdr>
        <w:top w:val="nil"/>
        <w:left w:val="nil"/>
        <w:bottom w:val="nil"/>
        <w:right w:val="nil"/>
        <w:between w:val="nil"/>
      </w:pBdr>
      <w:spacing w:after="0"/>
      <w:rPr>
        <w:color w:val="000000"/>
      </w:rPr>
    </w:pPr>
    <w:r>
      <w:rPr>
        <w:noProof/>
        <w:lang w:eastAsia="es-MX"/>
      </w:rPr>
      <w:drawing>
        <wp:anchor distT="0" distB="0" distL="0" distR="0" simplePos="0" relativeHeight="251658240" behindDoc="1" locked="0" layoutInCell="1" hidden="0" allowOverlap="1" wp14:anchorId="7BC3E336" wp14:editId="24F07678">
          <wp:simplePos x="0" y="0"/>
          <wp:positionH relativeFrom="column">
            <wp:posOffset>-727074</wp:posOffset>
          </wp:positionH>
          <wp:positionV relativeFrom="paragraph">
            <wp:posOffset>-335914</wp:posOffset>
          </wp:positionV>
          <wp:extent cx="7809876" cy="10165823"/>
          <wp:effectExtent l="0" t="0" r="0" b="0"/>
          <wp:wrapNone/>
          <wp:docPr id="194096277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
      <w:tblW w:w="5603" w:type="dxa"/>
      <w:tblInd w:w="3611" w:type="dxa"/>
      <w:tblLayout w:type="fixed"/>
      <w:tblLook w:val="0400" w:firstRow="0" w:lastRow="0" w:firstColumn="0" w:lastColumn="0" w:noHBand="0" w:noVBand="1"/>
    </w:tblPr>
    <w:tblGrid>
      <w:gridCol w:w="2551"/>
      <w:gridCol w:w="3052"/>
    </w:tblGrid>
    <w:tr w:rsidR="00A77DD6" w14:paraId="6307B047" w14:textId="77777777">
      <w:tc>
        <w:tcPr>
          <w:tcW w:w="2551" w:type="dxa"/>
          <w:vAlign w:val="center"/>
        </w:tcPr>
        <w:p w14:paraId="6B6ED4BA" w14:textId="77777777" w:rsidR="00A77DD6" w:rsidRDefault="002C565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15E3E653" w14:textId="77777777" w:rsidR="00A77DD6" w:rsidRDefault="002C565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00029/INFOEM/IP/RR/2025</w:t>
          </w:r>
        </w:p>
      </w:tc>
    </w:tr>
    <w:tr w:rsidR="00A77DD6" w14:paraId="3764F580" w14:textId="77777777">
      <w:trPr>
        <w:trHeight w:val="217"/>
      </w:trPr>
      <w:tc>
        <w:tcPr>
          <w:tcW w:w="2551" w:type="dxa"/>
          <w:vAlign w:val="center"/>
        </w:tcPr>
        <w:p w14:paraId="3902817D" w14:textId="77777777" w:rsidR="00A77DD6" w:rsidRDefault="002C565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302E6F41" w14:textId="77777777" w:rsidR="00A77DD6" w:rsidRDefault="00A77DD6">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006ED819" w14:textId="77777777" w:rsidR="00A77DD6" w:rsidRDefault="002C5650">
          <w:pPr>
            <w:pBdr>
              <w:top w:val="nil"/>
              <w:left w:val="nil"/>
              <w:bottom w:val="nil"/>
              <w:right w:val="nil"/>
              <w:between w:val="nil"/>
            </w:pBdr>
            <w:tabs>
              <w:tab w:val="center" w:pos="4419"/>
              <w:tab w:val="right" w:pos="8838"/>
            </w:tabs>
            <w:spacing w:after="0" w:line="240" w:lineRule="auto"/>
            <w:ind w:right="16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Poder Legislativo</w:t>
          </w:r>
        </w:p>
      </w:tc>
    </w:tr>
    <w:tr w:rsidR="00A77DD6" w14:paraId="2D801236" w14:textId="77777777">
      <w:tc>
        <w:tcPr>
          <w:tcW w:w="2551" w:type="dxa"/>
          <w:vAlign w:val="center"/>
        </w:tcPr>
        <w:p w14:paraId="372AEEBE" w14:textId="77777777" w:rsidR="00A77DD6" w:rsidRDefault="002C565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0515B9A8" w14:textId="77777777" w:rsidR="00A77DD6" w:rsidRDefault="002C565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25477397" w14:textId="77777777" w:rsidR="00A77DD6" w:rsidRDefault="00A77DD6">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7BB25" w14:textId="77777777" w:rsidR="00A77DD6" w:rsidRDefault="002C5650">
    <w:pPr>
      <w:widowControl w:val="0"/>
      <w:pBdr>
        <w:top w:val="nil"/>
        <w:left w:val="nil"/>
        <w:bottom w:val="nil"/>
        <w:right w:val="nil"/>
        <w:between w:val="nil"/>
      </w:pBdr>
      <w:spacing w:after="0"/>
      <w:rPr>
        <w:rFonts w:ascii="Palatino Linotype" w:eastAsia="Palatino Linotype" w:hAnsi="Palatino Linotype" w:cs="Palatino Linotype"/>
        <w:sz w:val="24"/>
        <w:szCs w:val="24"/>
      </w:rPr>
    </w:pPr>
    <w:r>
      <w:rPr>
        <w:noProof/>
        <w:lang w:eastAsia="es-MX"/>
      </w:rPr>
      <w:drawing>
        <wp:anchor distT="0" distB="0" distL="0" distR="0" simplePos="0" relativeHeight="251659264" behindDoc="1" locked="0" layoutInCell="1" hidden="0" allowOverlap="1" wp14:anchorId="37FDAA24" wp14:editId="19750B09">
          <wp:simplePos x="0" y="0"/>
          <wp:positionH relativeFrom="column">
            <wp:posOffset>-725804</wp:posOffset>
          </wp:positionH>
          <wp:positionV relativeFrom="paragraph">
            <wp:posOffset>-29844</wp:posOffset>
          </wp:positionV>
          <wp:extent cx="7809865" cy="10165715"/>
          <wp:effectExtent l="0" t="0" r="0" b="0"/>
          <wp:wrapNone/>
          <wp:docPr id="19409627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0"/>
      <w:tblW w:w="5603" w:type="dxa"/>
      <w:tblInd w:w="3611" w:type="dxa"/>
      <w:tblLayout w:type="fixed"/>
      <w:tblLook w:val="0400" w:firstRow="0" w:lastRow="0" w:firstColumn="0" w:lastColumn="0" w:noHBand="0" w:noVBand="1"/>
    </w:tblPr>
    <w:tblGrid>
      <w:gridCol w:w="2551"/>
      <w:gridCol w:w="3052"/>
    </w:tblGrid>
    <w:tr w:rsidR="00A77DD6" w14:paraId="48BCE03C" w14:textId="77777777">
      <w:tc>
        <w:tcPr>
          <w:tcW w:w="2551" w:type="dxa"/>
          <w:vAlign w:val="center"/>
        </w:tcPr>
        <w:p w14:paraId="48635674" w14:textId="77777777" w:rsidR="00A77DD6" w:rsidRDefault="002C565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25F87C14" w14:textId="77777777" w:rsidR="00A77DD6" w:rsidRDefault="002C565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00029/INFOEM/IP/RR/2025</w:t>
          </w:r>
        </w:p>
      </w:tc>
    </w:tr>
    <w:tr w:rsidR="00A77DD6" w14:paraId="17BB6FF3" w14:textId="77777777">
      <w:tc>
        <w:tcPr>
          <w:tcW w:w="2551" w:type="dxa"/>
          <w:vAlign w:val="center"/>
        </w:tcPr>
        <w:p w14:paraId="10F336E4" w14:textId="77777777" w:rsidR="00A77DD6" w:rsidRDefault="002C565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5D8D7B2E" w14:textId="11DEF214" w:rsidR="00A77DD6" w:rsidRDefault="00FB5725">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XXXXXXXXX XXXXXXXXXXXX</w:t>
          </w:r>
        </w:p>
      </w:tc>
    </w:tr>
    <w:tr w:rsidR="00A77DD6" w14:paraId="6DA7659E" w14:textId="77777777">
      <w:trPr>
        <w:trHeight w:val="152"/>
      </w:trPr>
      <w:tc>
        <w:tcPr>
          <w:tcW w:w="2551" w:type="dxa"/>
          <w:vAlign w:val="center"/>
        </w:tcPr>
        <w:p w14:paraId="0CC287C2" w14:textId="77777777" w:rsidR="00A77DD6" w:rsidRDefault="002C5650">
          <w:pP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1DDEE616" w14:textId="77777777" w:rsidR="00A77DD6" w:rsidRDefault="00A77DD6">
          <w:pP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0B2D8DD9" w14:textId="77777777" w:rsidR="00A77DD6" w:rsidRDefault="002C5650">
          <w:pPr>
            <w:pBdr>
              <w:top w:val="nil"/>
              <w:left w:val="nil"/>
              <w:bottom w:val="nil"/>
              <w:right w:val="nil"/>
              <w:between w:val="nil"/>
            </w:pBdr>
            <w:tabs>
              <w:tab w:val="center" w:pos="4419"/>
              <w:tab w:val="right" w:pos="8838"/>
            </w:tabs>
            <w:spacing w:after="0" w:line="240" w:lineRule="auto"/>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Poder Legislativo</w:t>
          </w:r>
        </w:p>
      </w:tc>
    </w:tr>
    <w:tr w:rsidR="00A77DD6" w14:paraId="609A0A40" w14:textId="77777777">
      <w:tc>
        <w:tcPr>
          <w:tcW w:w="2551" w:type="dxa"/>
          <w:vAlign w:val="center"/>
        </w:tcPr>
        <w:p w14:paraId="49F2498C" w14:textId="77777777" w:rsidR="00A77DD6" w:rsidRDefault="002C565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6EFC501B" w14:textId="77777777" w:rsidR="00A77DD6" w:rsidRDefault="002C565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10882F91" w14:textId="77777777" w:rsidR="00A77DD6" w:rsidRDefault="002C5650">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7D5BE" w14:textId="77777777" w:rsidR="00A77DD6" w:rsidRDefault="00A77DD6">
    <w:pPr>
      <w:widowControl w:val="0"/>
      <w:pBdr>
        <w:top w:val="nil"/>
        <w:left w:val="nil"/>
        <w:bottom w:val="nil"/>
        <w:right w:val="nil"/>
        <w:between w:val="nil"/>
      </w:pBdr>
      <w:spacing w:after="0"/>
      <w:rPr>
        <w:rFonts w:ascii="Palatino Linotype" w:eastAsia="Palatino Linotype" w:hAnsi="Palatino Linotype" w:cs="Palatino Linotype"/>
        <w:sz w:val="24"/>
        <w:szCs w:val="24"/>
      </w:rPr>
    </w:pPr>
  </w:p>
  <w:p w14:paraId="4A5FD02F" w14:textId="77777777" w:rsidR="00A77DD6" w:rsidRDefault="002C5650">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C3098"/>
    <w:multiLevelType w:val="multilevel"/>
    <w:tmpl w:val="E612FA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A954B42"/>
    <w:multiLevelType w:val="multilevel"/>
    <w:tmpl w:val="C04E29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65B27A4"/>
    <w:multiLevelType w:val="multilevel"/>
    <w:tmpl w:val="D96E0E4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7A946447"/>
    <w:multiLevelType w:val="multilevel"/>
    <w:tmpl w:val="8312B4EA"/>
    <w:lvl w:ilvl="0">
      <w:start w:val="1"/>
      <w:numFmt w:val="decimal"/>
      <w:lvlText w:val="%1."/>
      <w:lvlJc w:val="left"/>
      <w:pPr>
        <w:ind w:left="206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DD6"/>
    <w:rsid w:val="000939A5"/>
    <w:rsid w:val="001A532C"/>
    <w:rsid w:val="002C5650"/>
    <w:rsid w:val="00A77DD6"/>
    <w:rsid w:val="00FB5725"/>
    <w:rsid w:val="00FC3F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69BA1"/>
  <w15:docId w15:val="{E584B0DC-1A15-41C7-8CFC-5351CEF5E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49F"/>
    <w:rPr>
      <w:rFonts w:eastAsia="Times New Roman" w:cs="Times New Roman"/>
      <w:lang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basedOn w:val="Fuentedeprrafopredeter"/>
    <w:uiPriority w:val="99"/>
    <w:unhideWhenUsed/>
    <w:rsid w:val="00CD74AE"/>
    <w:rPr>
      <w:color w:val="0563C1" w:themeColor="hyperlink"/>
      <w:u w:val="single"/>
    </w:rPr>
  </w:style>
  <w:style w:type="table" w:styleId="Tablaconcuadrcula">
    <w:name w:val="Table Grid"/>
    <w:basedOn w:val="Tablanormal"/>
    <w:uiPriority w:val="3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hAnsi="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leNormal1"/>
    <w:tblPr>
      <w:tblStyleRowBandSize w:val="1"/>
      <w:tblStyleColBandSize w:val="1"/>
      <w:tblCellMar>
        <w:top w:w="15" w:type="dxa"/>
        <w:left w:w="15" w:type="dxa"/>
        <w:bottom w:w="15" w:type="dxa"/>
        <w:right w:w="15" w:type="dxa"/>
      </w:tblCellMar>
    </w:tblPr>
  </w:style>
  <w:style w:type="table" w:customStyle="1" w:styleId="5">
    <w:name w:val="5"/>
    <w:basedOn w:val="TableNormal1"/>
    <w:tblPr>
      <w:tblStyleRowBandSize w:val="1"/>
      <w:tblStyleColBandSize w:val="1"/>
      <w:tblCellMar>
        <w:left w:w="115" w:type="dxa"/>
        <w:right w:w="115" w:type="dxa"/>
      </w:tblCellMar>
    </w:tblPr>
  </w:style>
  <w:style w:type="table" w:customStyle="1" w:styleId="4">
    <w:name w:val="4"/>
    <w:basedOn w:val="TableNormal1"/>
    <w:tblPr>
      <w:tblStyleRowBandSize w:val="1"/>
      <w:tblStyleColBandSize w:val="1"/>
      <w:tblCellMar>
        <w:left w:w="115" w:type="dxa"/>
        <w:right w:w="115" w:type="dxa"/>
      </w:tblCellMar>
    </w:tblPr>
  </w:style>
  <w:style w:type="table" w:customStyle="1" w:styleId="3">
    <w:name w:val="3"/>
    <w:basedOn w:val="TableNormal1"/>
    <w:tblPr>
      <w:tblStyleRowBandSize w:val="1"/>
      <w:tblStyleColBandSize w:val="1"/>
      <w:tblCellMar>
        <w:top w:w="15" w:type="dxa"/>
        <w:left w:w="115" w:type="dxa"/>
        <w:bottom w:w="15" w:type="dxa"/>
        <w:right w:w="115" w:type="dxa"/>
      </w:tblCellMar>
    </w:tblPr>
  </w:style>
  <w:style w:type="table" w:customStyle="1" w:styleId="2">
    <w:name w:val="2"/>
    <w:basedOn w:val="TableNormal1"/>
    <w:tblPr>
      <w:tblStyleRowBandSize w:val="1"/>
      <w:tblStyleColBandSize w:val="1"/>
      <w:tblCellMar>
        <w:top w:w="15" w:type="dxa"/>
        <w:left w:w="115" w:type="dxa"/>
        <w:bottom w:w="15" w:type="dxa"/>
        <w:right w:w="115" w:type="dxa"/>
      </w:tblCellMar>
    </w:tblPr>
  </w:style>
  <w:style w:type="table" w:customStyle="1" w:styleId="1">
    <w:name w:val="1"/>
    <w:basedOn w:val="TableNormal1"/>
    <w:tblPr>
      <w:tblStyleRowBandSize w:val="1"/>
      <w:tblStyleColBandSize w:val="1"/>
      <w:tblCellMar>
        <w:top w:w="15" w:type="dxa"/>
        <w:left w:w="115" w:type="dxa"/>
        <w:bottom w:w="15" w:type="dxa"/>
        <w:right w:w="115" w:type="dxa"/>
      </w:tblCellMar>
    </w:tblPr>
  </w:style>
  <w:style w:type="character" w:customStyle="1" w:styleId="Mencinsinresolver1">
    <w:name w:val="Mención sin resolver1"/>
    <w:basedOn w:val="Fuentedeprrafopredeter"/>
    <w:uiPriority w:val="99"/>
    <w:semiHidden/>
    <w:unhideWhenUsed/>
    <w:rsid w:val="00B63FC6"/>
    <w:rPr>
      <w:color w:val="605E5C"/>
      <w:shd w:val="clear" w:color="auto" w:fill="E1DFDD"/>
    </w:rPr>
  </w:style>
  <w:style w:type="character" w:customStyle="1" w:styleId="Mencinsinresolver2">
    <w:name w:val="Mención sin resolver2"/>
    <w:basedOn w:val="Fuentedeprrafopredeter"/>
    <w:uiPriority w:val="99"/>
    <w:semiHidden/>
    <w:unhideWhenUsed/>
    <w:rsid w:val="00AC79ED"/>
    <w:rPr>
      <w:color w:val="605E5C"/>
      <w:shd w:val="clear" w:color="auto" w:fill="E1DFDD"/>
    </w:rPr>
  </w:style>
  <w:style w:type="paragraph" w:customStyle="1" w:styleId="Default">
    <w:name w:val="Default"/>
    <w:rsid w:val="00A27592"/>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2F3C2D"/>
  </w:style>
  <w:style w:type="paragraph" w:styleId="Sinespaciado">
    <w:name w:val="No Spacing"/>
    <w:aliases w:val="Francesa,INAI"/>
    <w:link w:val="SinespaciadoCar"/>
    <w:uiPriority w:val="1"/>
    <w:qFormat/>
    <w:rsid w:val="00F01E4E"/>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aliases w:val="Francesa Car,INAI Car"/>
    <w:link w:val="Sinespaciado"/>
    <w:uiPriority w:val="1"/>
    <w:locked/>
    <w:rsid w:val="00F01E4E"/>
    <w:rPr>
      <w:rFonts w:ascii="Times New Roman" w:eastAsia="Times New Roman" w:hAnsi="Times New Roman" w:cs="Times New Roman"/>
      <w:sz w:val="24"/>
      <w:szCs w:val="24"/>
      <w:lang w:val="es-ES" w:eastAsia="es-ES"/>
    </w:rPr>
  </w:style>
  <w:style w:type="table" w:customStyle="1" w:styleId="a">
    <w:basedOn w:val="TableNormal0"/>
    <w:tblPr>
      <w:tblStyleRowBandSize w:val="1"/>
      <w:tblStyleColBandSize w:val="1"/>
      <w:tblCellMar>
        <w:top w:w="15" w:type="dxa"/>
        <w:left w:w="115" w:type="dxa"/>
        <w:bottom w:w="15" w:type="dxa"/>
        <w:right w:w="115" w:type="dxa"/>
      </w:tblCellMar>
    </w:tblPr>
  </w:style>
  <w:style w:type="table" w:customStyle="1" w:styleId="a0">
    <w:basedOn w:val="TableNormal0"/>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t0iJ5J3tLPPz1nCrgqazIhELIw==">CgMxLjAyCWguMzBqMHpsbDIIaC5sbnhiejkyCWguMjZpbjFyZzgAciExaXpubU1MbXN3anNGeEQzQjBibzVBbV9UMGlOclVDbkQ=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3710</Words>
  <Characters>20407</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Maricela Villagómez Martínez</cp:lastModifiedBy>
  <cp:revision>2</cp:revision>
  <cp:lastPrinted>2025-02-07T20:49:00Z</cp:lastPrinted>
  <dcterms:created xsi:type="dcterms:W3CDTF">2025-02-24T17:04:00Z</dcterms:created>
  <dcterms:modified xsi:type="dcterms:W3CDTF">2025-02-24T17:04:00Z</dcterms:modified>
</cp:coreProperties>
</file>