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618" w:rsidRDefault="00EA3618">
      <w:pPr>
        <w:widowControl w:val="0"/>
        <w:pBdr>
          <w:top w:val="nil"/>
          <w:left w:val="nil"/>
          <w:bottom w:val="nil"/>
          <w:right w:val="nil"/>
          <w:between w:val="nil"/>
        </w:pBdr>
        <w:spacing w:after="0" w:line="276" w:lineRule="auto"/>
      </w:pPr>
    </w:p>
    <w:p w:rsidR="00EA3618" w:rsidRPr="00DA544A" w:rsidRDefault="00157A3D">
      <w:pPr>
        <w:tabs>
          <w:tab w:val="left" w:pos="3465"/>
        </w:tabs>
        <w:spacing w:after="0" w:line="360" w:lineRule="auto"/>
        <w:ind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 fecha doce (12) de</w:t>
      </w:r>
      <w:r w:rsidR="008729FF" w:rsidRPr="00DA544A">
        <w:rPr>
          <w:rFonts w:ascii="Palatino Linotype" w:eastAsia="Palatino Linotype" w:hAnsi="Palatino Linotype" w:cs="Palatino Linotype"/>
          <w:sz w:val="24"/>
          <w:szCs w:val="24"/>
        </w:rPr>
        <w:t xml:space="preserve"> febrero de dos mil veinticinco</w:t>
      </w:r>
      <w:r w:rsidRPr="00DA544A">
        <w:rPr>
          <w:rFonts w:ascii="Palatino Linotype" w:eastAsia="Palatino Linotype" w:hAnsi="Palatino Linotype" w:cs="Palatino Linotype"/>
          <w:sz w:val="24"/>
          <w:szCs w:val="24"/>
        </w:rPr>
        <w:t>.</w:t>
      </w:r>
    </w:p>
    <w:p w:rsidR="00EA3618" w:rsidRPr="00DA544A" w:rsidRDefault="00EA3618">
      <w:pPr>
        <w:tabs>
          <w:tab w:val="left" w:pos="3969"/>
        </w:tabs>
        <w:spacing w:after="0" w:line="360" w:lineRule="auto"/>
        <w:ind w:right="-787"/>
        <w:jc w:val="both"/>
        <w:rPr>
          <w:rFonts w:ascii="Palatino Linotype" w:eastAsia="Palatino Linotype" w:hAnsi="Palatino Linotype" w:cs="Palatino Linotype"/>
          <w:b/>
          <w:sz w:val="24"/>
          <w:szCs w:val="24"/>
        </w:rPr>
      </w:pPr>
    </w:p>
    <w:p w:rsidR="00EA3618" w:rsidRPr="00DA544A" w:rsidRDefault="00157A3D">
      <w:pPr>
        <w:tabs>
          <w:tab w:val="left" w:pos="3969"/>
        </w:tabs>
        <w:spacing w:after="0" w:line="360" w:lineRule="auto"/>
        <w:ind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b/>
          <w:sz w:val="24"/>
          <w:szCs w:val="24"/>
        </w:rPr>
        <w:t>VISTO</w:t>
      </w:r>
      <w:r w:rsidRPr="00DA544A">
        <w:rPr>
          <w:rFonts w:ascii="Palatino Linotype" w:eastAsia="Palatino Linotype" w:hAnsi="Palatino Linotype" w:cs="Palatino Linotype"/>
          <w:sz w:val="24"/>
          <w:szCs w:val="24"/>
        </w:rPr>
        <w:t xml:space="preserve"> el expediente electrónico formado con motivo del recurso de revisión </w:t>
      </w:r>
      <w:r w:rsidRPr="00DA544A">
        <w:rPr>
          <w:rFonts w:ascii="Palatino Linotype" w:eastAsia="Palatino Linotype" w:hAnsi="Palatino Linotype" w:cs="Palatino Linotype"/>
          <w:b/>
          <w:sz w:val="24"/>
          <w:szCs w:val="24"/>
        </w:rPr>
        <w:t>01363/INFOEM/IP/RR/2024</w:t>
      </w:r>
      <w:r w:rsidRPr="00DA544A">
        <w:rPr>
          <w:rFonts w:ascii="Palatino Linotype" w:eastAsia="Palatino Linotype" w:hAnsi="Palatino Linotype" w:cs="Palatino Linotype"/>
          <w:sz w:val="24"/>
          <w:szCs w:val="24"/>
        </w:rPr>
        <w:t>,</w:t>
      </w:r>
      <w:r w:rsidRPr="00DA544A">
        <w:rPr>
          <w:rFonts w:ascii="Palatino Linotype" w:eastAsia="Palatino Linotype" w:hAnsi="Palatino Linotype" w:cs="Palatino Linotype"/>
          <w:b/>
          <w:sz w:val="24"/>
          <w:szCs w:val="24"/>
        </w:rPr>
        <w:t xml:space="preserve"> </w:t>
      </w:r>
      <w:r w:rsidRPr="00DA544A">
        <w:rPr>
          <w:rFonts w:ascii="Palatino Linotype" w:eastAsia="Palatino Linotype" w:hAnsi="Palatino Linotype" w:cs="Palatino Linotype"/>
          <w:sz w:val="24"/>
          <w:szCs w:val="24"/>
        </w:rPr>
        <w:t xml:space="preserve">promovido por </w:t>
      </w:r>
      <w:r w:rsidRPr="00DA544A">
        <w:rPr>
          <w:rFonts w:ascii="Palatino Linotype" w:eastAsia="Palatino Linotype" w:hAnsi="Palatino Linotype" w:cs="Palatino Linotype"/>
          <w:b/>
          <w:sz w:val="24"/>
          <w:szCs w:val="24"/>
        </w:rPr>
        <w:t>una persona que no proporcionó datos para ser reconocido</w:t>
      </w:r>
      <w:r w:rsidRPr="00DA544A">
        <w:rPr>
          <w:rFonts w:ascii="Palatino Linotype" w:eastAsia="Palatino Linotype" w:hAnsi="Palatino Linotype" w:cs="Palatino Linotype"/>
          <w:sz w:val="24"/>
          <w:szCs w:val="24"/>
        </w:rPr>
        <w:t xml:space="preserve">, a quien en lo sucesivo se le identificará como </w:t>
      </w:r>
      <w:r w:rsidRPr="00DA544A">
        <w:rPr>
          <w:rFonts w:ascii="Palatino Linotype" w:eastAsia="Palatino Linotype" w:hAnsi="Palatino Linotype" w:cs="Palatino Linotype"/>
          <w:b/>
          <w:sz w:val="24"/>
          <w:szCs w:val="24"/>
        </w:rPr>
        <w:t>EL RECURRENTE</w:t>
      </w:r>
      <w:r w:rsidRPr="00DA544A">
        <w:rPr>
          <w:rFonts w:ascii="Palatino Linotype" w:eastAsia="Palatino Linotype" w:hAnsi="Palatino Linotype" w:cs="Palatino Linotype"/>
          <w:sz w:val="24"/>
          <w:szCs w:val="24"/>
        </w:rPr>
        <w:t xml:space="preserve">, en contra de la respuesta del </w:t>
      </w:r>
      <w:r w:rsidRPr="00DA544A">
        <w:rPr>
          <w:rFonts w:ascii="Palatino Linotype" w:eastAsia="Palatino Linotype" w:hAnsi="Palatino Linotype" w:cs="Palatino Linotype"/>
          <w:b/>
          <w:sz w:val="24"/>
          <w:szCs w:val="24"/>
        </w:rPr>
        <w:t xml:space="preserve">Organismo Agua y Saneamiento de Toluca, </w:t>
      </w:r>
      <w:r w:rsidRPr="00DA544A">
        <w:rPr>
          <w:rFonts w:ascii="Palatino Linotype" w:eastAsia="Palatino Linotype" w:hAnsi="Palatino Linotype" w:cs="Palatino Linotype"/>
          <w:sz w:val="24"/>
          <w:szCs w:val="24"/>
        </w:rPr>
        <w:t>en lo sucesivo el</w:t>
      </w:r>
      <w:r w:rsidRPr="00DA544A">
        <w:rPr>
          <w:rFonts w:ascii="Palatino Linotype" w:eastAsia="Palatino Linotype" w:hAnsi="Palatino Linotype" w:cs="Palatino Linotype"/>
          <w:b/>
          <w:sz w:val="24"/>
          <w:szCs w:val="24"/>
        </w:rPr>
        <w:t xml:space="preserve"> SUJETO OBLIGADO</w:t>
      </w:r>
      <w:r w:rsidRPr="00DA544A">
        <w:rPr>
          <w:rFonts w:ascii="Palatino Linotype" w:eastAsia="Palatino Linotype" w:hAnsi="Palatino Linotype" w:cs="Palatino Linotype"/>
          <w:sz w:val="24"/>
          <w:szCs w:val="24"/>
        </w:rPr>
        <w:t>, se procede a dictar la presente Resolución, con base en los siguientes:</w:t>
      </w:r>
    </w:p>
    <w:p w:rsidR="00EA3618" w:rsidRPr="00DA544A" w:rsidRDefault="00EA3618">
      <w:pPr>
        <w:spacing w:after="0" w:line="360" w:lineRule="auto"/>
        <w:ind w:right="-787"/>
        <w:jc w:val="both"/>
        <w:rPr>
          <w:rFonts w:ascii="Palatino Linotype" w:eastAsia="Palatino Linotype" w:hAnsi="Palatino Linotype" w:cs="Palatino Linotype"/>
          <w:b/>
          <w:sz w:val="24"/>
          <w:szCs w:val="24"/>
        </w:rPr>
      </w:pPr>
    </w:p>
    <w:p w:rsidR="00EA3618" w:rsidRPr="00DA544A" w:rsidRDefault="00157A3D">
      <w:pPr>
        <w:pStyle w:val="Ttulo1"/>
        <w:spacing w:before="0" w:line="360" w:lineRule="auto"/>
        <w:ind w:right="-787"/>
        <w:jc w:val="center"/>
        <w:rPr>
          <w:rFonts w:ascii="Palatino Linotype" w:eastAsia="Palatino Linotype" w:hAnsi="Palatino Linotype" w:cs="Palatino Linotype"/>
          <w:b/>
          <w:color w:val="000000"/>
          <w:sz w:val="24"/>
          <w:szCs w:val="24"/>
        </w:rPr>
      </w:pPr>
      <w:bookmarkStart w:id="0" w:name="_heading=h.gjdgxs" w:colFirst="0" w:colLast="0"/>
      <w:bookmarkEnd w:id="0"/>
      <w:r w:rsidRPr="00DA544A">
        <w:rPr>
          <w:rFonts w:ascii="Palatino Linotype" w:eastAsia="Palatino Linotype" w:hAnsi="Palatino Linotype" w:cs="Palatino Linotype"/>
          <w:b/>
          <w:color w:val="000000"/>
          <w:sz w:val="24"/>
          <w:szCs w:val="24"/>
        </w:rPr>
        <w:t>ANTECEDENTES</w:t>
      </w:r>
    </w:p>
    <w:p w:rsidR="00EA3618" w:rsidRPr="00DA544A" w:rsidRDefault="00EA3618">
      <w:pPr>
        <w:spacing w:after="0" w:line="360" w:lineRule="auto"/>
        <w:ind w:right="-787"/>
        <w:rPr>
          <w:rFonts w:ascii="Palatino Linotype" w:eastAsia="Palatino Linotype" w:hAnsi="Palatino Linotype" w:cs="Palatino Linotype"/>
          <w:sz w:val="24"/>
          <w:szCs w:val="24"/>
        </w:rPr>
      </w:pPr>
    </w:p>
    <w:p w:rsidR="00EA3618" w:rsidRPr="00DA544A" w:rsidRDefault="00157A3D">
      <w:pPr>
        <w:numPr>
          <w:ilvl w:val="0"/>
          <w:numId w:val="4"/>
        </w:numPr>
        <w:pBdr>
          <w:top w:val="nil"/>
          <w:left w:val="nil"/>
          <w:bottom w:val="nil"/>
          <w:right w:val="nil"/>
          <w:between w:val="nil"/>
        </w:pBdr>
        <w:spacing w:after="0" w:line="360" w:lineRule="auto"/>
        <w:ind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u w:val="single"/>
        </w:rPr>
        <w:t>Solicitud de acceso a la información pública.</w:t>
      </w: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 xml:space="preserve">El día </w:t>
      </w:r>
      <w:r w:rsidRPr="00DA544A">
        <w:rPr>
          <w:rFonts w:ascii="Palatino Linotype" w:eastAsia="Palatino Linotype" w:hAnsi="Palatino Linotype" w:cs="Palatino Linotype"/>
          <w:b/>
          <w:color w:val="000000"/>
          <w:sz w:val="24"/>
          <w:szCs w:val="24"/>
        </w:rPr>
        <w:t xml:space="preserve">veintidós de febrero de dos mil veinticuatro, </w:t>
      </w:r>
      <w:r w:rsidRPr="00DA544A">
        <w:rPr>
          <w:rFonts w:ascii="Palatino Linotype" w:eastAsia="Palatino Linotype" w:hAnsi="Palatino Linotype" w:cs="Palatino Linotype"/>
          <w:color w:val="000000"/>
          <w:sz w:val="24"/>
          <w:szCs w:val="24"/>
        </w:rPr>
        <w:t xml:space="preserve">se presentó ante el </w:t>
      </w:r>
      <w:r w:rsidRPr="00DA544A">
        <w:rPr>
          <w:rFonts w:ascii="Palatino Linotype" w:eastAsia="Palatino Linotype" w:hAnsi="Palatino Linotype" w:cs="Palatino Linotype"/>
          <w:b/>
          <w:color w:val="000000"/>
          <w:sz w:val="24"/>
          <w:szCs w:val="24"/>
        </w:rPr>
        <w:t>SUJETO OBLIGADO</w:t>
      </w:r>
      <w:r w:rsidRPr="00DA544A">
        <w:rPr>
          <w:rFonts w:ascii="Palatino Linotype" w:eastAsia="Palatino Linotype" w:hAnsi="Palatino Linotype" w:cs="Palatino Linotype"/>
          <w:color w:val="000000"/>
          <w:sz w:val="24"/>
          <w:szCs w:val="24"/>
        </w:rPr>
        <w:t xml:space="preserve"> vía SAIMEX, la solicitud de información pública registrada con el número</w:t>
      </w:r>
      <w:r w:rsidR="008729FF" w:rsidRPr="00DA544A">
        <w:rPr>
          <w:rFonts w:ascii="Palatino Linotype" w:eastAsia="Palatino Linotype" w:hAnsi="Palatino Linotype" w:cs="Palatino Linotype"/>
          <w:b/>
          <w:color w:val="000000"/>
          <w:sz w:val="24"/>
          <w:szCs w:val="24"/>
        </w:rPr>
        <w:t xml:space="preserve"> 00027</w:t>
      </w:r>
      <w:r w:rsidRPr="00DA544A">
        <w:rPr>
          <w:rFonts w:ascii="Palatino Linotype" w:eastAsia="Palatino Linotype" w:hAnsi="Palatino Linotype" w:cs="Palatino Linotype"/>
          <w:b/>
          <w:color w:val="000000"/>
          <w:sz w:val="24"/>
          <w:szCs w:val="24"/>
        </w:rPr>
        <w:t xml:space="preserve">/OASTOL/IP/2024; </w:t>
      </w:r>
      <w:r w:rsidRPr="00DA544A">
        <w:rPr>
          <w:rFonts w:ascii="Palatino Linotype" w:eastAsia="Palatino Linotype" w:hAnsi="Palatino Linotype" w:cs="Palatino Linotype"/>
          <w:color w:val="000000"/>
          <w:sz w:val="24"/>
          <w:szCs w:val="24"/>
        </w:rPr>
        <w:t>mediante la cual se solicitó la siguiente información:</w:t>
      </w:r>
    </w:p>
    <w:p w:rsidR="00EA3618" w:rsidRPr="00DA544A" w:rsidRDefault="00EA3618">
      <w:pPr>
        <w:pBdr>
          <w:top w:val="nil"/>
          <w:left w:val="nil"/>
          <w:bottom w:val="nil"/>
          <w:right w:val="nil"/>
          <w:between w:val="nil"/>
        </w:pBdr>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pBdr>
          <w:top w:val="nil"/>
          <w:left w:val="nil"/>
          <w:bottom w:val="nil"/>
          <w:right w:val="nil"/>
          <w:between w:val="nil"/>
        </w:pBdr>
        <w:spacing w:after="0" w:line="360" w:lineRule="auto"/>
        <w:ind w:left="426" w:right="-787"/>
        <w:jc w:val="both"/>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i/>
          <w:color w:val="000000"/>
          <w:sz w:val="24"/>
          <w:szCs w:val="24"/>
        </w:rPr>
        <w:t xml:space="preserve">“De los pozos de agua que </w:t>
      </w:r>
      <w:proofErr w:type="spellStart"/>
      <w:r w:rsidRPr="00DA544A">
        <w:rPr>
          <w:rFonts w:ascii="Palatino Linotype" w:eastAsia="Palatino Linotype" w:hAnsi="Palatino Linotype" w:cs="Palatino Linotype"/>
          <w:i/>
          <w:color w:val="000000"/>
          <w:sz w:val="24"/>
          <w:szCs w:val="24"/>
        </w:rPr>
        <w:t>esta</w:t>
      </w:r>
      <w:proofErr w:type="spellEnd"/>
      <w:r w:rsidRPr="00DA544A">
        <w:rPr>
          <w:rFonts w:ascii="Palatino Linotype" w:eastAsia="Palatino Linotype" w:hAnsi="Palatino Linotype" w:cs="Palatino Linotype"/>
          <w:i/>
          <w:color w:val="000000"/>
          <w:sz w:val="24"/>
          <w:szCs w:val="24"/>
        </w:rPr>
        <w:t xml:space="preserve"> inaugurando por el presidente cuantos y donde </w:t>
      </w:r>
      <w:proofErr w:type="spellStart"/>
      <w:r w:rsidRPr="00DA544A">
        <w:rPr>
          <w:rFonts w:ascii="Palatino Linotype" w:eastAsia="Palatino Linotype" w:hAnsi="Palatino Linotype" w:cs="Palatino Linotype"/>
          <w:i/>
          <w:color w:val="000000"/>
          <w:sz w:val="24"/>
          <w:szCs w:val="24"/>
        </w:rPr>
        <w:t>estan</w:t>
      </w:r>
      <w:proofErr w:type="spellEnd"/>
      <w:r w:rsidRPr="00DA544A">
        <w:rPr>
          <w:rFonts w:ascii="Palatino Linotype" w:eastAsia="Palatino Linotype" w:hAnsi="Palatino Linotype" w:cs="Palatino Linotype"/>
          <w:i/>
          <w:color w:val="000000"/>
          <w:sz w:val="24"/>
          <w:szCs w:val="24"/>
        </w:rPr>
        <w:t xml:space="preserve"> ubicados</w:t>
      </w:r>
      <w:proofErr w:type="gramStart"/>
      <w:r w:rsidRPr="00DA544A">
        <w:rPr>
          <w:rFonts w:ascii="Palatino Linotype" w:eastAsia="Palatino Linotype" w:hAnsi="Palatino Linotype" w:cs="Palatino Linotype"/>
          <w:i/>
          <w:color w:val="000000"/>
          <w:sz w:val="24"/>
          <w:szCs w:val="24"/>
        </w:rPr>
        <w:t>?</w:t>
      </w:r>
      <w:proofErr w:type="gramEnd"/>
      <w:r w:rsidRPr="00DA544A">
        <w:rPr>
          <w:rFonts w:ascii="Palatino Linotype" w:eastAsia="Palatino Linotype" w:hAnsi="Palatino Linotype" w:cs="Palatino Linotype"/>
          <w:i/>
          <w:color w:val="000000"/>
          <w:sz w:val="24"/>
          <w:szCs w:val="24"/>
        </w:rPr>
        <w:t xml:space="preserve"> cuanto se </w:t>
      </w:r>
      <w:proofErr w:type="spellStart"/>
      <w:r w:rsidRPr="00DA544A">
        <w:rPr>
          <w:rFonts w:ascii="Palatino Linotype" w:eastAsia="Palatino Linotype" w:hAnsi="Palatino Linotype" w:cs="Palatino Linotype"/>
          <w:i/>
          <w:color w:val="000000"/>
          <w:sz w:val="24"/>
          <w:szCs w:val="24"/>
        </w:rPr>
        <w:t>invirtido</w:t>
      </w:r>
      <w:proofErr w:type="spellEnd"/>
      <w:r w:rsidRPr="00DA544A">
        <w:rPr>
          <w:rFonts w:ascii="Palatino Linotype" w:eastAsia="Palatino Linotype" w:hAnsi="Palatino Linotype" w:cs="Palatino Linotype"/>
          <w:i/>
          <w:color w:val="000000"/>
          <w:sz w:val="24"/>
          <w:szCs w:val="24"/>
        </w:rPr>
        <w:t xml:space="preserve">? a cuantas personas beneficia? cuando </w:t>
      </w:r>
      <w:proofErr w:type="spellStart"/>
      <w:r w:rsidRPr="00DA544A">
        <w:rPr>
          <w:rFonts w:ascii="Palatino Linotype" w:eastAsia="Palatino Linotype" w:hAnsi="Palatino Linotype" w:cs="Palatino Linotype"/>
          <w:i/>
          <w:color w:val="000000"/>
          <w:sz w:val="24"/>
          <w:szCs w:val="24"/>
        </w:rPr>
        <w:t>incio</w:t>
      </w:r>
      <w:proofErr w:type="spellEnd"/>
      <w:r w:rsidRPr="00DA544A">
        <w:rPr>
          <w:rFonts w:ascii="Palatino Linotype" w:eastAsia="Palatino Linotype" w:hAnsi="Palatino Linotype" w:cs="Palatino Linotype"/>
          <w:i/>
          <w:color w:val="000000"/>
          <w:sz w:val="24"/>
          <w:szCs w:val="24"/>
        </w:rPr>
        <w:t xml:space="preserve"> la obra y cuando </w:t>
      </w:r>
      <w:proofErr w:type="spellStart"/>
      <w:r w:rsidRPr="00DA544A">
        <w:rPr>
          <w:rFonts w:ascii="Palatino Linotype" w:eastAsia="Palatino Linotype" w:hAnsi="Palatino Linotype" w:cs="Palatino Linotype"/>
          <w:i/>
          <w:color w:val="000000"/>
          <w:sz w:val="24"/>
          <w:szCs w:val="24"/>
        </w:rPr>
        <w:t>conluyo</w:t>
      </w:r>
      <w:proofErr w:type="spellEnd"/>
      <w:r w:rsidRPr="00DA544A">
        <w:rPr>
          <w:rFonts w:ascii="Palatino Linotype" w:eastAsia="Palatino Linotype" w:hAnsi="Palatino Linotype" w:cs="Palatino Linotype"/>
          <w:i/>
          <w:color w:val="000000"/>
          <w:sz w:val="24"/>
          <w:szCs w:val="24"/>
        </w:rPr>
        <w:t xml:space="preserve">, la documentación o ficha de la obra y del </w:t>
      </w:r>
      <w:proofErr w:type="spellStart"/>
      <w:r w:rsidRPr="00DA544A">
        <w:rPr>
          <w:rFonts w:ascii="Palatino Linotype" w:eastAsia="Palatino Linotype" w:hAnsi="Palatino Linotype" w:cs="Palatino Linotype"/>
          <w:i/>
          <w:color w:val="000000"/>
          <w:sz w:val="24"/>
          <w:szCs w:val="24"/>
        </w:rPr>
        <w:t>presupueto</w:t>
      </w:r>
      <w:proofErr w:type="spellEnd"/>
      <w:r w:rsidRPr="00DA544A">
        <w:rPr>
          <w:rFonts w:ascii="Palatino Linotype" w:eastAsia="Palatino Linotype" w:hAnsi="Palatino Linotype" w:cs="Palatino Linotype"/>
          <w:i/>
          <w:color w:val="000000"/>
          <w:sz w:val="24"/>
          <w:szCs w:val="24"/>
        </w:rPr>
        <w:t xml:space="preserve">.” </w:t>
      </w:r>
      <w:r w:rsidRPr="00DA544A">
        <w:rPr>
          <w:rFonts w:ascii="Palatino Linotype" w:eastAsia="Palatino Linotype" w:hAnsi="Palatino Linotype" w:cs="Palatino Linotype"/>
          <w:color w:val="000000"/>
          <w:sz w:val="24"/>
          <w:szCs w:val="24"/>
        </w:rPr>
        <w:t>(Sic)</w:t>
      </w:r>
    </w:p>
    <w:p w:rsidR="00EA3618" w:rsidRPr="00DA544A" w:rsidRDefault="00EA3618">
      <w:pPr>
        <w:pBdr>
          <w:top w:val="nil"/>
          <w:left w:val="nil"/>
          <w:bottom w:val="nil"/>
          <w:right w:val="nil"/>
          <w:between w:val="nil"/>
        </w:pBdr>
        <w:spacing w:after="0" w:line="360" w:lineRule="auto"/>
        <w:ind w:left="851" w:right="-787"/>
        <w:jc w:val="both"/>
        <w:rPr>
          <w:rFonts w:ascii="Palatino Linotype" w:eastAsia="Palatino Linotype" w:hAnsi="Palatino Linotype" w:cs="Palatino Linotype"/>
          <w:color w:val="000000"/>
          <w:sz w:val="24"/>
          <w:szCs w:val="24"/>
        </w:rPr>
      </w:pPr>
    </w:p>
    <w:p w:rsidR="00EA3618" w:rsidRPr="00DA544A" w:rsidRDefault="00157A3D">
      <w:pPr>
        <w:numPr>
          <w:ilvl w:val="0"/>
          <w:numId w:val="6"/>
        </w:numPr>
        <w:pBdr>
          <w:top w:val="nil"/>
          <w:left w:val="nil"/>
          <w:bottom w:val="nil"/>
          <w:right w:val="nil"/>
          <w:between w:val="nil"/>
        </w:pBdr>
        <w:spacing w:after="0" w:line="360" w:lineRule="auto"/>
        <w:ind w:left="851" w:right="-787"/>
        <w:jc w:val="both"/>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 xml:space="preserve">Se eligió como modalidad de entrega de la información: A través del </w:t>
      </w:r>
      <w:r w:rsidRPr="00DA544A">
        <w:rPr>
          <w:rFonts w:ascii="Palatino Linotype" w:eastAsia="Palatino Linotype" w:hAnsi="Palatino Linotype" w:cs="Palatino Linotype"/>
          <w:b/>
          <w:color w:val="000000"/>
          <w:sz w:val="24"/>
          <w:szCs w:val="24"/>
        </w:rPr>
        <w:t>SAIMEX.</w:t>
      </w:r>
    </w:p>
    <w:p w:rsidR="00EA3618" w:rsidRPr="00DA544A" w:rsidRDefault="00EA3618">
      <w:pPr>
        <w:pBdr>
          <w:top w:val="nil"/>
          <w:left w:val="nil"/>
          <w:bottom w:val="nil"/>
          <w:right w:val="nil"/>
          <w:between w:val="nil"/>
        </w:pBdr>
        <w:spacing w:after="0" w:line="360" w:lineRule="auto"/>
        <w:ind w:left="851" w:right="-787"/>
        <w:jc w:val="both"/>
        <w:rPr>
          <w:rFonts w:ascii="Palatino Linotype" w:eastAsia="Palatino Linotype" w:hAnsi="Palatino Linotype" w:cs="Palatino Linotype"/>
          <w:color w:val="000000"/>
          <w:sz w:val="24"/>
          <w:szCs w:val="24"/>
        </w:rPr>
      </w:pP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i/>
          <w:color w:val="000000"/>
        </w:rPr>
      </w:pPr>
      <w:r w:rsidRPr="00DA544A">
        <w:rPr>
          <w:rFonts w:ascii="Palatino Linotype" w:eastAsia="Palatino Linotype" w:hAnsi="Palatino Linotype" w:cs="Palatino Linotype"/>
          <w:color w:val="000000"/>
          <w:sz w:val="24"/>
          <w:szCs w:val="24"/>
        </w:rPr>
        <w:lastRenderedPageBreak/>
        <w:t xml:space="preserve">En fecha siete de marzo dos mil veinticuatro el </w:t>
      </w:r>
      <w:r w:rsidRPr="00DA544A">
        <w:rPr>
          <w:rFonts w:ascii="Palatino Linotype" w:eastAsia="Palatino Linotype" w:hAnsi="Palatino Linotype" w:cs="Palatino Linotype"/>
          <w:b/>
          <w:color w:val="000000"/>
          <w:sz w:val="24"/>
          <w:szCs w:val="24"/>
        </w:rPr>
        <w:t>SUJETO OBLIGADO</w:t>
      </w:r>
      <w:r w:rsidRPr="00DA544A">
        <w:rPr>
          <w:rFonts w:ascii="Palatino Linotype" w:eastAsia="Palatino Linotype" w:hAnsi="Palatino Linotype" w:cs="Palatino Linotype"/>
          <w:color w:val="000000"/>
          <w:sz w:val="24"/>
          <w:szCs w:val="24"/>
        </w:rPr>
        <w:t xml:space="preserve"> dio respuesta a la </w:t>
      </w:r>
      <w:r w:rsidRPr="00DA544A">
        <w:rPr>
          <w:rFonts w:ascii="Palatino Linotype" w:eastAsia="Palatino Linotype" w:hAnsi="Palatino Linotype" w:cs="Palatino Linotype"/>
          <w:b/>
          <w:color w:val="000000"/>
          <w:sz w:val="24"/>
          <w:szCs w:val="24"/>
        </w:rPr>
        <w:t>solicitud</w:t>
      </w:r>
      <w:r w:rsidRPr="00DA544A">
        <w:rPr>
          <w:rFonts w:ascii="Palatino Linotype" w:eastAsia="Palatino Linotype" w:hAnsi="Palatino Linotype" w:cs="Palatino Linotype"/>
          <w:color w:val="000000"/>
          <w:sz w:val="24"/>
          <w:szCs w:val="24"/>
        </w:rPr>
        <w:t xml:space="preserve"> formulada por el hoy </w:t>
      </w:r>
      <w:r w:rsidRPr="00DA544A">
        <w:rPr>
          <w:rFonts w:ascii="Palatino Linotype" w:eastAsia="Palatino Linotype" w:hAnsi="Palatino Linotype" w:cs="Palatino Linotype"/>
          <w:b/>
          <w:color w:val="000000"/>
          <w:sz w:val="24"/>
          <w:szCs w:val="24"/>
        </w:rPr>
        <w:t xml:space="preserve">RECURRENTE, </w:t>
      </w:r>
      <w:r w:rsidRPr="00DA544A">
        <w:rPr>
          <w:rFonts w:ascii="Palatino Linotype" w:eastAsia="Palatino Linotype" w:hAnsi="Palatino Linotype" w:cs="Palatino Linotype"/>
          <w:color w:val="000000"/>
          <w:sz w:val="24"/>
          <w:szCs w:val="24"/>
        </w:rPr>
        <w:t xml:space="preserve">remitiendo al sistema un archivo en formato PDF denominado </w:t>
      </w:r>
      <w:r w:rsidRPr="00DA544A">
        <w:rPr>
          <w:rFonts w:ascii="Palatino Linotype" w:eastAsia="Palatino Linotype" w:hAnsi="Palatino Linotype" w:cs="Palatino Linotype"/>
          <w:b/>
          <w:i/>
          <w:color w:val="000000"/>
          <w:sz w:val="24"/>
          <w:szCs w:val="24"/>
        </w:rPr>
        <w:t xml:space="preserve">11000.568.2024.pdf </w:t>
      </w:r>
      <w:r w:rsidRPr="00DA544A">
        <w:rPr>
          <w:rFonts w:ascii="Palatino Linotype" w:eastAsia="Palatino Linotype" w:hAnsi="Palatino Linotype" w:cs="Palatino Linotype"/>
          <w:color w:val="000000"/>
          <w:sz w:val="24"/>
          <w:szCs w:val="24"/>
        </w:rPr>
        <w:t>y</w:t>
      </w:r>
      <w:r w:rsidRPr="00DA544A">
        <w:rPr>
          <w:rFonts w:ascii="Palatino Linotype" w:eastAsia="Palatino Linotype" w:hAnsi="Palatino Linotype" w:cs="Palatino Linotype"/>
          <w:b/>
          <w:i/>
          <w:color w:val="000000"/>
          <w:sz w:val="24"/>
          <w:szCs w:val="24"/>
        </w:rPr>
        <w:t xml:space="preserve"> ANEXO 00027 2024.pdf</w:t>
      </w:r>
      <w:r w:rsidRPr="00DA544A">
        <w:rPr>
          <w:rFonts w:ascii="Palatino Linotype" w:eastAsia="Palatino Linotype" w:hAnsi="Palatino Linotype" w:cs="Palatino Linotype"/>
          <w:color w:val="000000"/>
          <w:sz w:val="24"/>
          <w:szCs w:val="24"/>
        </w:rPr>
        <w:t xml:space="preserve">, cuyo contenido general es el siguiente: </w:t>
      </w:r>
    </w:p>
    <w:p w:rsidR="00EA3618" w:rsidRPr="00DA544A" w:rsidRDefault="00EA3618">
      <w:pPr>
        <w:pBdr>
          <w:top w:val="nil"/>
          <w:left w:val="nil"/>
          <w:bottom w:val="nil"/>
          <w:right w:val="nil"/>
          <w:between w:val="nil"/>
        </w:pBdr>
        <w:spacing w:after="0" w:line="360" w:lineRule="auto"/>
        <w:ind w:right="-787"/>
        <w:jc w:val="both"/>
        <w:rPr>
          <w:rFonts w:ascii="Palatino Linotype" w:eastAsia="Palatino Linotype" w:hAnsi="Palatino Linotype" w:cs="Palatino Linotype"/>
          <w:i/>
          <w:color w:val="000000"/>
          <w:sz w:val="24"/>
          <w:szCs w:val="24"/>
        </w:rPr>
      </w:pPr>
    </w:p>
    <w:p w:rsidR="00EA3618" w:rsidRPr="00DA544A" w:rsidRDefault="00157A3D">
      <w:pPr>
        <w:numPr>
          <w:ilvl w:val="0"/>
          <w:numId w:val="6"/>
        </w:numPr>
        <w:pBdr>
          <w:top w:val="nil"/>
          <w:left w:val="nil"/>
          <w:bottom w:val="nil"/>
          <w:right w:val="nil"/>
          <w:between w:val="nil"/>
        </w:pBdr>
        <w:spacing w:after="0" w:line="360" w:lineRule="auto"/>
        <w:ind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 xml:space="preserve">11000.568.2024.pdf, </w:t>
      </w:r>
      <w:r w:rsidRPr="00DA544A">
        <w:rPr>
          <w:rFonts w:ascii="Palatino Linotype" w:eastAsia="Palatino Linotype" w:hAnsi="Palatino Linotype" w:cs="Palatino Linotype"/>
          <w:color w:val="000000"/>
          <w:sz w:val="24"/>
          <w:szCs w:val="24"/>
        </w:rPr>
        <w:t>que corresponde a un oficio signado por el Director de Operación y Planeación, mediante el cual informa al Jefe del Departamento de Transparencia y Oficialía de Partes, que se anexa la información en formato PDF a través de medio magnético (disco compacto).</w:t>
      </w:r>
    </w:p>
    <w:p w:rsidR="00EA3618" w:rsidRPr="00DA544A" w:rsidRDefault="00EA3618">
      <w:pPr>
        <w:pBdr>
          <w:top w:val="nil"/>
          <w:left w:val="nil"/>
          <w:bottom w:val="nil"/>
          <w:right w:val="nil"/>
          <w:between w:val="nil"/>
        </w:pBdr>
        <w:spacing w:after="0" w:line="360" w:lineRule="auto"/>
        <w:ind w:left="1724" w:right="-787"/>
        <w:jc w:val="both"/>
        <w:rPr>
          <w:rFonts w:ascii="Palatino Linotype" w:eastAsia="Palatino Linotype" w:hAnsi="Palatino Linotype" w:cs="Palatino Linotype"/>
          <w:b/>
          <w:color w:val="000000"/>
          <w:sz w:val="24"/>
          <w:szCs w:val="24"/>
        </w:rPr>
      </w:pPr>
    </w:p>
    <w:p w:rsidR="00EA3618" w:rsidRPr="00DA544A" w:rsidRDefault="00157A3D">
      <w:pPr>
        <w:numPr>
          <w:ilvl w:val="0"/>
          <w:numId w:val="6"/>
        </w:numPr>
        <w:pBdr>
          <w:top w:val="nil"/>
          <w:left w:val="nil"/>
          <w:bottom w:val="nil"/>
          <w:right w:val="nil"/>
          <w:between w:val="nil"/>
        </w:pBdr>
        <w:spacing w:after="0" w:line="360" w:lineRule="auto"/>
        <w:ind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 xml:space="preserve">ANEXO 00027 2024.pdf, </w:t>
      </w:r>
      <w:r w:rsidRPr="00DA544A">
        <w:rPr>
          <w:rFonts w:ascii="Palatino Linotype" w:eastAsia="Palatino Linotype" w:hAnsi="Palatino Linotype" w:cs="Palatino Linotype"/>
          <w:color w:val="000000"/>
          <w:sz w:val="24"/>
          <w:szCs w:val="24"/>
        </w:rPr>
        <w:t>que corresponde a una nota informativa, en la que se manifiesta que respecto de lo solicitado se han sido ejecutadas y proyectadas por el H. Ayuntamiento de Toluca, asimismo se informa que el Organismo Público Descentralizado, por servicio de carácter municipal, denominado Agua y Saneamiento de Toluca, se encuentra licitando los siguientes procedimientos (se adjunta tabla con nombre de la obra y fecha de inicio); asimismo se notifica que en cuanto se cuente con la información referente a las obras antes mencionadas, se actualizará de conformidad con lo establecido en la Ley de Transparencia y Acceso a la Información Pública del Estado de México y Municipios.</w:t>
      </w:r>
    </w:p>
    <w:p w:rsidR="00EA3618" w:rsidRPr="00DA544A" w:rsidRDefault="00EA3618">
      <w:pPr>
        <w:pBdr>
          <w:top w:val="nil"/>
          <w:left w:val="nil"/>
          <w:bottom w:val="nil"/>
          <w:right w:val="nil"/>
          <w:between w:val="nil"/>
        </w:pBdr>
        <w:spacing w:after="0" w:line="360" w:lineRule="auto"/>
        <w:ind w:left="567" w:right="-787"/>
        <w:jc w:val="both"/>
        <w:rPr>
          <w:rFonts w:ascii="Palatino Linotype" w:eastAsia="Palatino Linotype" w:hAnsi="Palatino Linotype" w:cs="Palatino Linotype"/>
          <w:b/>
          <w:color w:val="000000"/>
          <w:sz w:val="24"/>
          <w:szCs w:val="24"/>
        </w:rPr>
      </w:pPr>
    </w:p>
    <w:p w:rsidR="00EA3618" w:rsidRPr="00DA544A" w:rsidRDefault="00157A3D">
      <w:pPr>
        <w:numPr>
          <w:ilvl w:val="0"/>
          <w:numId w:val="5"/>
        </w:num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b/>
          <w:color w:val="000000"/>
          <w:sz w:val="24"/>
          <w:szCs w:val="24"/>
          <w:u w:val="single"/>
        </w:rPr>
        <w:t>Recurso de Revisión (razones o motivos de inconformidad)</w:t>
      </w:r>
    </w:p>
    <w:p w:rsidR="00EA3618" w:rsidRPr="00DA544A" w:rsidRDefault="00157A3D">
      <w:pPr>
        <w:numPr>
          <w:ilvl w:val="0"/>
          <w:numId w:val="1"/>
        </w:numPr>
        <w:pBdr>
          <w:top w:val="nil"/>
          <w:left w:val="nil"/>
          <w:bottom w:val="nil"/>
          <w:right w:val="nil"/>
          <w:between w:val="nil"/>
        </w:pBdr>
        <w:tabs>
          <w:tab w:val="left" w:pos="0"/>
        </w:tabs>
        <w:spacing w:after="0" w:line="360" w:lineRule="auto"/>
        <w:ind w:left="0" w:right="-787" w:firstLine="0"/>
        <w:jc w:val="both"/>
        <w:rPr>
          <w:rFonts w:ascii="Palatino Linotype" w:eastAsia="Palatino Linotype" w:hAnsi="Palatino Linotype" w:cs="Palatino Linotype"/>
          <w:i/>
          <w:color w:val="000000"/>
        </w:rPr>
      </w:pPr>
      <w:r w:rsidRPr="00DA544A">
        <w:rPr>
          <w:rFonts w:ascii="Palatino Linotype" w:eastAsia="Palatino Linotype" w:hAnsi="Palatino Linotype" w:cs="Palatino Linotype"/>
          <w:color w:val="000000"/>
          <w:sz w:val="24"/>
          <w:szCs w:val="24"/>
        </w:rPr>
        <w:t xml:space="preserve">Inconforme con lo anterior, en fecha once de marzo de dos mil veinticuatro el ahora </w:t>
      </w:r>
      <w:r w:rsidRPr="00DA544A">
        <w:rPr>
          <w:rFonts w:ascii="Palatino Linotype" w:eastAsia="Palatino Linotype" w:hAnsi="Palatino Linotype" w:cs="Palatino Linotype"/>
          <w:b/>
          <w:color w:val="000000"/>
          <w:sz w:val="24"/>
          <w:szCs w:val="24"/>
        </w:rPr>
        <w:t xml:space="preserve">RECURRENTE, </w:t>
      </w:r>
      <w:r w:rsidRPr="00DA544A">
        <w:rPr>
          <w:rFonts w:ascii="Palatino Linotype" w:eastAsia="Palatino Linotype" w:hAnsi="Palatino Linotype" w:cs="Palatino Linotype"/>
          <w:color w:val="000000"/>
          <w:sz w:val="24"/>
          <w:szCs w:val="24"/>
        </w:rPr>
        <w:t>interpuso el recurso de revisión en los siguientes términos:</w:t>
      </w:r>
    </w:p>
    <w:p w:rsidR="00EA3618" w:rsidRPr="00DA544A" w:rsidRDefault="00EA3618">
      <w:pPr>
        <w:pBdr>
          <w:top w:val="nil"/>
          <w:left w:val="nil"/>
          <w:bottom w:val="nil"/>
          <w:right w:val="nil"/>
          <w:between w:val="nil"/>
        </w:pBdr>
        <w:tabs>
          <w:tab w:val="left" w:pos="0"/>
        </w:tabs>
        <w:spacing w:after="0" w:line="360" w:lineRule="auto"/>
        <w:ind w:right="-787"/>
        <w:jc w:val="both"/>
        <w:rPr>
          <w:rFonts w:ascii="Palatino Linotype" w:eastAsia="Palatino Linotype" w:hAnsi="Palatino Linotype" w:cs="Palatino Linotype"/>
          <w:i/>
          <w:color w:val="000000"/>
          <w:sz w:val="24"/>
          <w:szCs w:val="24"/>
        </w:rPr>
      </w:pPr>
    </w:p>
    <w:p w:rsidR="00EA3618" w:rsidRPr="00DA544A" w:rsidRDefault="00157A3D">
      <w:pPr>
        <w:numPr>
          <w:ilvl w:val="0"/>
          <w:numId w:val="6"/>
        </w:numPr>
        <w:pBdr>
          <w:top w:val="nil"/>
          <w:left w:val="nil"/>
          <w:bottom w:val="nil"/>
          <w:right w:val="nil"/>
          <w:between w:val="nil"/>
        </w:pBdr>
        <w:spacing w:after="0" w:line="360" w:lineRule="auto"/>
        <w:ind w:left="1134" w:right="-787"/>
        <w:jc w:val="both"/>
        <w:rPr>
          <w:rFonts w:ascii="Palatino Linotype" w:eastAsia="Palatino Linotype" w:hAnsi="Palatino Linotype" w:cs="Palatino Linotype"/>
          <w:i/>
          <w:color w:val="000000"/>
          <w:sz w:val="24"/>
          <w:szCs w:val="24"/>
        </w:rPr>
      </w:pPr>
      <w:bookmarkStart w:id="1" w:name="_heading=h.30j0zll" w:colFirst="0" w:colLast="0"/>
      <w:bookmarkEnd w:id="1"/>
      <w:r w:rsidRPr="00DA544A">
        <w:rPr>
          <w:rFonts w:ascii="Palatino Linotype" w:eastAsia="Palatino Linotype" w:hAnsi="Palatino Linotype" w:cs="Palatino Linotype"/>
          <w:b/>
          <w:color w:val="000000"/>
          <w:sz w:val="24"/>
          <w:szCs w:val="24"/>
        </w:rPr>
        <w:t xml:space="preserve">Acto impugnado: </w:t>
      </w:r>
      <w:r w:rsidRPr="00DA544A">
        <w:rPr>
          <w:rFonts w:ascii="Palatino Linotype" w:eastAsia="Palatino Linotype" w:hAnsi="Palatino Linotype" w:cs="Palatino Linotype"/>
          <w:i/>
          <w:color w:val="000000"/>
          <w:sz w:val="24"/>
          <w:szCs w:val="24"/>
        </w:rPr>
        <w:t>“Negativa de la información que es de obligación”</w:t>
      </w:r>
    </w:p>
    <w:p w:rsidR="00EA3618" w:rsidRPr="00DA544A" w:rsidRDefault="00EA3618">
      <w:pPr>
        <w:pBdr>
          <w:top w:val="nil"/>
          <w:left w:val="nil"/>
          <w:bottom w:val="nil"/>
          <w:right w:val="nil"/>
          <w:between w:val="nil"/>
        </w:pBdr>
        <w:spacing w:after="0" w:line="360" w:lineRule="auto"/>
        <w:ind w:left="1134" w:right="-787"/>
        <w:jc w:val="both"/>
        <w:rPr>
          <w:rFonts w:ascii="Palatino Linotype" w:eastAsia="Palatino Linotype" w:hAnsi="Palatino Linotype" w:cs="Palatino Linotype"/>
          <w:i/>
          <w:color w:val="000000"/>
          <w:sz w:val="24"/>
          <w:szCs w:val="24"/>
        </w:rPr>
      </w:pPr>
    </w:p>
    <w:p w:rsidR="00EA3618" w:rsidRPr="00DA544A" w:rsidRDefault="00157A3D">
      <w:pPr>
        <w:numPr>
          <w:ilvl w:val="0"/>
          <w:numId w:val="6"/>
        </w:numPr>
        <w:pBdr>
          <w:top w:val="nil"/>
          <w:left w:val="nil"/>
          <w:bottom w:val="nil"/>
          <w:right w:val="nil"/>
          <w:between w:val="nil"/>
        </w:pBdr>
        <w:spacing w:after="0" w:line="360" w:lineRule="auto"/>
        <w:ind w:left="1134" w:right="-787"/>
        <w:jc w:val="both"/>
        <w:rPr>
          <w:rFonts w:ascii="Palatino Linotype" w:eastAsia="Palatino Linotype" w:hAnsi="Palatino Linotype" w:cs="Palatino Linotype"/>
          <w:i/>
          <w:color w:val="000000"/>
          <w:sz w:val="24"/>
          <w:szCs w:val="24"/>
        </w:rPr>
      </w:pPr>
      <w:bookmarkStart w:id="2" w:name="_heading=h.1fob9te" w:colFirst="0" w:colLast="0"/>
      <w:bookmarkEnd w:id="2"/>
      <w:r w:rsidRPr="00DA544A">
        <w:rPr>
          <w:rFonts w:ascii="Palatino Linotype" w:eastAsia="Palatino Linotype" w:hAnsi="Palatino Linotype" w:cs="Palatino Linotype"/>
          <w:b/>
          <w:color w:val="000000"/>
          <w:sz w:val="24"/>
          <w:szCs w:val="24"/>
        </w:rPr>
        <w:t xml:space="preserve">Razones o Motivos de inconformidad: </w:t>
      </w:r>
      <w:r w:rsidRPr="00DA544A">
        <w:rPr>
          <w:rFonts w:ascii="Palatino Linotype" w:eastAsia="Palatino Linotype" w:hAnsi="Palatino Linotype" w:cs="Palatino Linotype"/>
          <w:i/>
          <w:color w:val="000000"/>
          <w:sz w:val="24"/>
          <w:szCs w:val="24"/>
        </w:rPr>
        <w:t>“Negativa de la información que es de obligación”</w:t>
      </w:r>
    </w:p>
    <w:p w:rsidR="00EA3618" w:rsidRPr="00DA544A" w:rsidRDefault="00EA3618">
      <w:pPr>
        <w:pBdr>
          <w:top w:val="nil"/>
          <w:left w:val="nil"/>
          <w:bottom w:val="nil"/>
          <w:right w:val="nil"/>
          <w:between w:val="nil"/>
        </w:pBdr>
        <w:spacing w:after="0" w:line="360" w:lineRule="auto"/>
        <w:ind w:left="720" w:right="-787"/>
        <w:jc w:val="both"/>
        <w:rPr>
          <w:rFonts w:ascii="Palatino Linotype" w:eastAsia="Palatino Linotype" w:hAnsi="Palatino Linotype" w:cs="Palatino Linotype"/>
          <w:i/>
          <w:color w:val="000000"/>
          <w:sz w:val="24"/>
          <w:szCs w:val="24"/>
        </w:rPr>
      </w:pPr>
    </w:p>
    <w:p w:rsidR="00EA3618" w:rsidRPr="00DA544A" w:rsidRDefault="00157A3D">
      <w:pPr>
        <w:numPr>
          <w:ilvl w:val="0"/>
          <w:numId w:val="5"/>
        </w:numPr>
        <w:pBdr>
          <w:top w:val="nil"/>
          <w:left w:val="nil"/>
          <w:bottom w:val="nil"/>
          <w:right w:val="nil"/>
          <w:between w:val="nil"/>
        </w:pBdr>
        <w:tabs>
          <w:tab w:val="left" w:pos="0"/>
        </w:tabs>
        <w:spacing w:after="0" w:line="360" w:lineRule="auto"/>
        <w:ind w:left="709"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b/>
          <w:color w:val="000000"/>
          <w:sz w:val="24"/>
          <w:szCs w:val="24"/>
          <w:u w:val="single"/>
        </w:rPr>
        <w:t>Manifestaciones, alegatos y respuesta complementaría.</w:t>
      </w: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i/>
          <w:color w:val="000000"/>
        </w:rPr>
      </w:pPr>
      <w:r w:rsidRPr="00DA544A">
        <w:rPr>
          <w:rFonts w:ascii="Palatino Linotype" w:eastAsia="Palatino Linotype" w:hAnsi="Palatino Linotype" w:cs="Palatino Linotype"/>
          <w:color w:val="000000"/>
          <w:sz w:val="24"/>
          <w:szCs w:val="24"/>
        </w:rPr>
        <w:t xml:space="preserve">La Comisionada Ponente con fundamento en lo dispuesto por el artículo 185 fracción II de la ley de la materia, a través del acuerdo de admisión de fecha trece de marzo de dos mil veinticuatro, puso a disposición de las partes el expediente electrónico vía </w:t>
      </w:r>
      <w:r w:rsidRPr="00DA544A">
        <w:rPr>
          <w:rFonts w:ascii="Palatino Linotype" w:eastAsia="Palatino Linotype" w:hAnsi="Palatino Linotype" w:cs="Palatino Linotype"/>
          <w:b/>
          <w:color w:val="000000"/>
          <w:sz w:val="24"/>
          <w:szCs w:val="24"/>
        </w:rPr>
        <w:t xml:space="preserve">SAIMEX </w:t>
      </w:r>
      <w:r w:rsidRPr="00DA544A">
        <w:rPr>
          <w:rFonts w:ascii="Palatino Linotype" w:eastAsia="Palatino Linotype" w:hAnsi="Palatino Linotype" w:cs="Palatino Linotype"/>
          <w:color w:val="000000"/>
          <w:sz w:val="24"/>
          <w:szCs w:val="24"/>
        </w:rPr>
        <w:t xml:space="preserve">a efecto de que en un plazo máximo de siete días </w:t>
      </w:r>
      <w:r w:rsidRPr="00DA544A">
        <w:rPr>
          <w:rFonts w:ascii="Palatino Linotype" w:eastAsia="Palatino Linotype" w:hAnsi="Palatino Linotype" w:cs="Palatino Linotype"/>
          <w:sz w:val="24"/>
          <w:szCs w:val="24"/>
        </w:rPr>
        <w:t>manifestara</w:t>
      </w:r>
      <w:r w:rsidRPr="00DA544A">
        <w:rPr>
          <w:rFonts w:ascii="Palatino Linotype" w:eastAsia="Palatino Linotype" w:hAnsi="Palatino Linotype" w:cs="Palatino Linotype"/>
          <w:color w:val="000000"/>
          <w:sz w:val="24"/>
          <w:szCs w:val="24"/>
        </w:rPr>
        <w:t xml:space="preserve"> lo que a su derecho conviniera, </w:t>
      </w:r>
      <w:r w:rsidRPr="00DA544A">
        <w:rPr>
          <w:rFonts w:ascii="Palatino Linotype" w:eastAsia="Palatino Linotype" w:hAnsi="Palatino Linotype" w:cs="Palatino Linotype"/>
          <w:sz w:val="24"/>
          <w:szCs w:val="24"/>
        </w:rPr>
        <w:t>ofreciera</w:t>
      </w:r>
      <w:r w:rsidRPr="00DA544A">
        <w:rPr>
          <w:rFonts w:ascii="Palatino Linotype" w:eastAsia="Palatino Linotype" w:hAnsi="Palatino Linotype" w:cs="Palatino Linotype"/>
          <w:color w:val="000000"/>
          <w:sz w:val="24"/>
          <w:szCs w:val="24"/>
        </w:rPr>
        <w:t xml:space="preserve"> pruebas y alegatos según corresponda a los casos concretos, y el </w:t>
      </w:r>
      <w:r w:rsidRPr="00DA544A">
        <w:rPr>
          <w:rFonts w:ascii="Palatino Linotype" w:eastAsia="Palatino Linotype" w:hAnsi="Palatino Linotype" w:cs="Palatino Linotype"/>
          <w:b/>
          <w:color w:val="000000"/>
          <w:sz w:val="24"/>
          <w:szCs w:val="24"/>
        </w:rPr>
        <w:t>SUJETO OBLIGADO</w:t>
      </w:r>
      <w:r w:rsidRPr="00DA544A">
        <w:rPr>
          <w:rFonts w:ascii="Palatino Linotype" w:eastAsia="Palatino Linotype" w:hAnsi="Palatino Linotype" w:cs="Palatino Linotype"/>
          <w:color w:val="000000"/>
          <w:sz w:val="24"/>
          <w:szCs w:val="24"/>
        </w:rPr>
        <w:t xml:space="preserve"> presentará el Informe Justificado procedente.</w:t>
      </w:r>
    </w:p>
    <w:p w:rsidR="00EA3618" w:rsidRPr="00DA544A" w:rsidRDefault="00EA3618">
      <w:pPr>
        <w:pBdr>
          <w:top w:val="nil"/>
          <w:left w:val="nil"/>
          <w:bottom w:val="nil"/>
          <w:right w:val="nil"/>
          <w:between w:val="nil"/>
        </w:pBdr>
        <w:spacing w:after="0" w:line="360" w:lineRule="auto"/>
        <w:ind w:right="-787"/>
        <w:jc w:val="both"/>
        <w:rPr>
          <w:rFonts w:ascii="Palatino Linotype" w:eastAsia="Palatino Linotype" w:hAnsi="Palatino Linotype" w:cs="Palatino Linotype"/>
          <w:i/>
          <w:color w:val="000000"/>
          <w:sz w:val="24"/>
          <w:szCs w:val="24"/>
        </w:rPr>
      </w:pP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i/>
          <w:color w:val="000000"/>
        </w:rPr>
      </w:pPr>
      <w:r w:rsidRPr="00DA544A">
        <w:rPr>
          <w:rFonts w:ascii="Palatino Linotype" w:eastAsia="Palatino Linotype" w:hAnsi="Palatino Linotype" w:cs="Palatino Linotype"/>
          <w:color w:val="000000"/>
          <w:sz w:val="24"/>
          <w:szCs w:val="24"/>
        </w:rPr>
        <w:t xml:space="preserve">No obstante el </w:t>
      </w:r>
      <w:r w:rsidRPr="00DA544A">
        <w:rPr>
          <w:rFonts w:ascii="Palatino Linotype" w:eastAsia="Palatino Linotype" w:hAnsi="Palatino Linotype" w:cs="Palatino Linotype"/>
          <w:b/>
          <w:color w:val="000000"/>
          <w:sz w:val="24"/>
          <w:szCs w:val="24"/>
        </w:rPr>
        <w:t>SUJETO OBLIGADO</w:t>
      </w:r>
      <w:r w:rsidRPr="00DA544A">
        <w:rPr>
          <w:rFonts w:ascii="Palatino Linotype" w:eastAsia="Palatino Linotype" w:hAnsi="Palatino Linotype" w:cs="Palatino Linotype"/>
          <w:color w:val="000000"/>
          <w:sz w:val="24"/>
          <w:szCs w:val="24"/>
        </w:rPr>
        <w:t xml:space="preserve"> fue omiso en realizar el informe justificado correspondiente. Por su parte, el hoy </w:t>
      </w:r>
      <w:r w:rsidRPr="00DA544A">
        <w:rPr>
          <w:rFonts w:ascii="Palatino Linotype" w:eastAsia="Palatino Linotype" w:hAnsi="Palatino Linotype" w:cs="Palatino Linotype"/>
          <w:b/>
          <w:color w:val="000000"/>
          <w:sz w:val="24"/>
          <w:szCs w:val="24"/>
        </w:rPr>
        <w:t>RECURRENTE</w:t>
      </w:r>
      <w:r w:rsidRPr="00DA544A">
        <w:rPr>
          <w:rFonts w:ascii="Palatino Linotype" w:eastAsia="Palatino Linotype" w:hAnsi="Palatino Linotype" w:cs="Palatino Linotype"/>
          <w:color w:val="000000"/>
          <w:sz w:val="24"/>
          <w:szCs w:val="24"/>
        </w:rPr>
        <w:t xml:space="preserve"> dejó de realizar manifestaciones que a su derecho conviniera y asistiera.</w:t>
      </w:r>
    </w:p>
    <w:p w:rsidR="00EA3618" w:rsidRPr="00DA544A" w:rsidRDefault="00EA3618">
      <w:pPr>
        <w:pBdr>
          <w:top w:val="nil"/>
          <w:left w:val="nil"/>
          <w:bottom w:val="nil"/>
          <w:right w:val="nil"/>
          <w:between w:val="nil"/>
        </w:pBdr>
        <w:spacing w:after="0" w:line="360" w:lineRule="auto"/>
        <w:ind w:left="360" w:right="-787"/>
        <w:jc w:val="both"/>
        <w:rPr>
          <w:rFonts w:ascii="Palatino Linotype" w:eastAsia="Palatino Linotype" w:hAnsi="Palatino Linotype" w:cs="Palatino Linotype"/>
          <w:sz w:val="24"/>
          <w:szCs w:val="24"/>
        </w:rPr>
      </w:pP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b/>
          <w:color w:val="000000"/>
        </w:rPr>
      </w:pPr>
      <w:bookmarkStart w:id="3" w:name="_heading=h.3znysh7" w:colFirst="0" w:colLast="0"/>
      <w:bookmarkEnd w:id="3"/>
      <w:r w:rsidRPr="00DA544A">
        <w:rPr>
          <w:rFonts w:ascii="Palatino Linotype" w:eastAsia="Palatino Linotype" w:hAnsi="Palatino Linotype" w:cs="Palatino Linotype"/>
          <w:color w:val="000000"/>
          <w:sz w:val="24"/>
          <w:szCs w:val="24"/>
        </w:rPr>
        <w:t>En fecha once de junio de dos mil veinticuatro de dos mil veinticuatro, se amplió el término para resolver, seguidamente, mediante acuerdo de fecha cinco de febrero del año en curso, se  decretó el cierre de instrucción</w:t>
      </w:r>
      <w:r w:rsidRPr="00DA544A">
        <w:rPr>
          <w:rFonts w:ascii="Palatino Linotype" w:eastAsia="Palatino Linotype" w:hAnsi="Palatino Linotype" w:cs="Palatino Linotype"/>
          <w:sz w:val="24"/>
          <w:szCs w:val="24"/>
        </w:rPr>
        <w:t>.</w:t>
      </w:r>
    </w:p>
    <w:p w:rsidR="00EA3618" w:rsidRPr="00DA544A" w:rsidRDefault="00EA3618">
      <w:pPr>
        <w:pBdr>
          <w:top w:val="nil"/>
          <w:left w:val="nil"/>
          <w:bottom w:val="nil"/>
          <w:right w:val="nil"/>
          <w:between w:val="nil"/>
        </w:pBdr>
        <w:spacing w:after="0" w:line="360" w:lineRule="auto"/>
        <w:ind w:right="-787"/>
        <w:jc w:val="both"/>
        <w:rPr>
          <w:rFonts w:ascii="Palatino Linotype" w:eastAsia="Palatino Linotype" w:hAnsi="Palatino Linotype" w:cs="Palatino Linotype"/>
          <w:sz w:val="24"/>
          <w:szCs w:val="24"/>
        </w:rPr>
      </w:pPr>
      <w:bookmarkStart w:id="4" w:name="_heading=h.xmfzqnxg5r5x" w:colFirst="0" w:colLast="0"/>
      <w:bookmarkEnd w:id="4"/>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Este organismo garante no pasa por alto justificar, que la dilación en la resolución del presente asunto encuentra justificación en el alto número de recursos de revisión recibidos </w:t>
      </w:r>
      <w:r w:rsidRPr="00DA544A">
        <w:rPr>
          <w:rFonts w:ascii="Palatino Linotype" w:eastAsia="Palatino Linotype" w:hAnsi="Palatino Linotype" w:cs="Palatino Linotype"/>
          <w:sz w:val="24"/>
          <w:szCs w:val="24"/>
        </w:rPr>
        <w:lastRenderedPageBreak/>
        <w:t>se ha incrementado el número de medios de impugnación que deben resolverse por este Instituto, circunstancia atípica que ha rebasado las capacidades técnicas y humanas del personal encargado de la proyección de las resoluciones a dichos medios de impugnación.</w:t>
      </w:r>
    </w:p>
    <w:p w:rsidR="00EA3618" w:rsidRPr="00DA544A" w:rsidRDefault="00EA3618">
      <w:pPr>
        <w:spacing w:after="0" w:line="360" w:lineRule="auto"/>
        <w:ind w:left="360" w:right="-787"/>
        <w:jc w:val="both"/>
        <w:rPr>
          <w:rFonts w:ascii="Palatino Linotype" w:eastAsia="Palatino Linotype" w:hAnsi="Palatino Linotype" w:cs="Palatino Linotype"/>
          <w:b/>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EA3618" w:rsidRPr="00DA544A" w:rsidRDefault="00EA3618">
      <w:pPr>
        <w:spacing w:after="0" w:line="360" w:lineRule="auto"/>
        <w:ind w:left="360" w:right="-787"/>
        <w:jc w:val="both"/>
        <w:rPr>
          <w:rFonts w:ascii="Palatino Linotype" w:eastAsia="Palatino Linotype" w:hAnsi="Palatino Linotype" w:cs="Palatino Linotype"/>
          <w:b/>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A3618" w:rsidRPr="00DA544A" w:rsidRDefault="00EA3618">
      <w:pPr>
        <w:spacing w:after="0" w:line="360" w:lineRule="auto"/>
        <w:ind w:left="360" w:right="-787"/>
        <w:jc w:val="both"/>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A3618" w:rsidRPr="00DA544A" w:rsidRDefault="00EA3618">
      <w:pPr>
        <w:spacing w:after="0" w:line="360" w:lineRule="auto"/>
        <w:ind w:left="360" w:right="-787"/>
        <w:jc w:val="both"/>
        <w:rPr>
          <w:rFonts w:ascii="Palatino Linotype" w:eastAsia="Palatino Linotype" w:hAnsi="Palatino Linotype" w:cs="Palatino Linotype"/>
          <w:b/>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 dicha dilación atendiendo a los siguientes criterios:   </w:t>
      </w:r>
    </w:p>
    <w:p w:rsidR="00EA3618" w:rsidRPr="00DA544A" w:rsidRDefault="00EA3618">
      <w:pPr>
        <w:spacing w:after="0" w:line="360" w:lineRule="auto"/>
        <w:ind w:left="360" w:right="-787"/>
        <w:jc w:val="both"/>
        <w:rPr>
          <w:rFonts w:ascii="Palatino Linotype" w:eastAsia="Palatino Linotype" w:hAnsi="Palatino Linotype" w:cs="Palatino Linotype"/>
          <w:b/>
          <w:sz w:val="24"/>
          <w:szCs w:val="24"/>
        </w:rPr>
      </w:pPr>
    </w:p>
    <w:p w:rsidR="00EA3618" w:rsidRPr="00DA544A" w:rsidRDefault="00157A3D">
      <w:pPr>
        <w:spacing w:after="0" w:line="360" w:lineRule="auto"/>
        <w:ind w:left="851"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EA3618" w:rsidRPr="00DA544A" w:rsidRDefault="00EA3618">
      <w:pPr>
        <w:spacing w:after="0" w:line="360" w:lineRule="auto"/>
        <w:ind w:left="851" w:right="-787"/>
        <w:jc w:val="both"/>
        <w:rPr>
          <w:rFonts w:ascii="Palatino Linotype" w:eastAsia="Palatino Linotype" w:hAnsi="Palatino Linotype" w:cs="Palatino Linotype"/>
          <w:sz w:val="24"/>
          <w:szCs w:val="24"/>
        </w:rPr>
      </w:pPr>
    </w:p>
    <w:p w:rsidR="00EA3618" w:rsidRPr="00DA544A" w:rsidRDefault="00157A3D">
      <w:pPr>
        <w:spacing w:after="0" w:line="360" w:lineRule="auto"/>
        <w:ind w:left="851"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t>Actividad Procesal del interesado. Acciones u omisiones del interesado.</w:t>
      </w:r>
    </w:p>
    <w:p w:rsidR="00EA3618" w:rsidRPr="00DA544A" w:rsidRDefault="00EA3618">
      <w:pPr>
        <w:spacing w:after="0" w:line="360" w:lineRule="auto"/>
        <w:ind w:left="851" w:right="-787"/>
        <w:jc w:val="both"/>
        <w:rPr>
          <w:rFonts w:ascii="Palatino Linotype" w:eastAsia="Palatino Linotype" w:hAnsi="Palatino Linotype" w:cs="Palatino Linotype"/>
          <w:sz w:val="24"/>
          <w:szCs w:val="24"/>
        </w:rPr>
      </w:pPr>
    </w:p>
    <w:p w:rsidR="00EA3618" w:rsidRPr="00DA544A" w:rsidRDefault="00157A3D">
      <w:pPr>
        <w:spacing w:after="0" w:line="360" w:lineRule="auto"/>
        <w:ind w:left="851"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EA3618" w:rsidRPr="00DA544A" w:rsidRDefault="00EA3618">
      <w:pPr>
        <w:spacing w:after="0" w:line="360" w:lineRule="auto"/>
        <w:ind w:left="851" w:right="-787"/>
        <w:jc w:val="both"/>
        <w:rPr>
          <w:rFonts w:ascii="Palatino Linotype" w:eastAsia="Palatino Linotype" w:hAnsi="Palatino Linotype" w:cs="Palatino Linotype"/>
          <w:sz w:val="24"/>
          <w:szCs w:val="24"/>
        </w:rPr>
      </w:pPr>
    </w:p>
    <w:p w:rsidR="00EA3618" w:rsidRPr="00DA544A" w:rsidRDefault="00157A3D">
      <w:pPr>
        <w:spacing w:after="0" w:line="360" w:lineRule="auto"/>
        <w:ind w:left="851"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EA3618" w:rsidRPr="00DA544A" w:rsidRDefault="00EA3618">
      <w:pPr>
        <w:spacing w:after="0" w:line="360" w:lineRule="auto"/>
        <w:ind w:right="-787"/>
        <w:jc w:val="both"/>
        <w:rPr>
          <w:rFonts w:ascii="Palatino Linotype" w:eastAsia="Palatino Linotype" w:hAnsi="Palatino Linotype" w:cs="Palatino Linotype"/>
          <w:b/>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A3618" w:rsidRPr="00DA544A" w:rsidRDefault="00EA3618">
      <w:pPr>
        <w:spacing w:after="0" w:line="360" w:lineRule="auto"/>
        <w:ind w:left="360" w:right="-787"/>
        <w:jc w:val="both"/>
        <w:rPr>
          <w:rFonts w:ascii="Palatino Linotype" w:eastAsia="Palatino Linotype" w:hAnsi="Palatino Linotype" w:cs="Palatino Linotype"/>
          <w:b/>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Argumento que encuentra sustento en la jurisprudencia P</w:t>
      </w:r>
      <w:proofErr w:type="gramStart"/>
      <w:r w:rsidRPr="00DA544A">
        <w:rPr>
          <w:rFonts w:ascii="Palatino Linotype" w:eastAsia="Palatino Linotype" w:hAnsi="Palatino Linotype" w:cs="Palatino Linotype"/>
          <w:sz w:val="24"/>
          <w:szCs w:val="24"/>
        </w:rPr>
        <w:t>./</w:t>
      </w:r>
      <w:proofErr w:type="gramEnd"/>
      <w:r w:rsidRPr="00DA544A">
        <w:rPr>
          <w:rFonts w:ascii="Palatino Linotype" w:eastAsia="Palatino Linotype" w:hAnsi="Palatino Linotype" w:cs="Palatino Linotype"/>
          <w:sz w:val="24"/>
          <w:szCs w:val="24"/>
        </w:rPr>
        <w:t xml:space="preserve">J. 32/92 emitida por el Pleno de la Suprema Corte de Justicia de la Nación del rubro </w:t>
      </w:r>
      <w:r w:rsidRPr="00DA544A">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DA544A">
        <w:rPr>
          <w:rFonts w:ascii="Palatino Linotype" w:eastAsia="Palatino Linotype" w:hAnsi="Palatino Linotype" w:cs="Palatino Linotype"/>
          <w:sz w:val="24"/>
          <w:szCs w:val="24"/>
        </w:rPr>
        <w:t>, visible en la Gaceta del Semanario Judicial de la Federación con el registro digital 205635.</w:t>
      </w:r>
    </w:p>
    <w:p w:rsidR="00EA3618" w:rsidRPr="00DA544A" w:rsidRDefault="00EA3618">
      <w:pPr>
        <w:spacing w:after="0" w:line="360" w:lineRule="auto"/>
        <w:ind w:left="360" w:right="-787"/>
        <w:jc w:val="both"/>
        <w:rPr>
          <w:rFonts w:ascii="Palatino Linotype" w:eastAsia="Palatino Linotype" w:hAnsi="Palatino Linotype" w:cs="Palatino Linotype"/>
          <w:b/>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A3618" w:rsidRPr="00DA544A" w:rsidRDefault="00EA3618">
      <w:pPr>
        <w:spacing w:after="0" w:line="360" w:lineRule="auto"/>
        <w:ind w:left="360" w:right="-787"/>
        <w:jc w:val="both"/>
        <w:rPr>
          <w:rFonts w:ascii="Palatino Linotype" w:eastAsia="Palatino Linotype" w:hAnsi="Palatino Linotype" w:cs="Palatino Linotype"/>
          <w:b/>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EA3618" w:rsidRPr="00DA544A" w:rsidRDefault="00EA3618">
      <w:pPr>
        <w:spacing w:after="0" w:line="360" w:lineRule="auto"/>
        <w:ind w:left="360" w:right="-787"/>
        <w:jc w:val="both"/>
        <w:rPr>
          <w:rFonts w:ascii="Palatino Linotype" w:eastAsia="Palatino Linotype" w:hAnsi="Palatino Linotype" w:cs="Palatino Linotype"/>
          <w:b/>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EA3618" w:rsidRPr="00DA544A" w:rsidRDefault="00EA3618">
      <w:pPr>
        <w:spacing w:after="0" w:line="360" w:lineRule="auto"/>
        <w:ind w:left="360" w:right="-787"/>
        <w:jc w:val="both"/>
        <w:rPr>
          <w:rFonts w:ascii="Palatino Linotype" w:eastAsia="Palatino Linotype" w:hAnsi="Palatino Linotype" w:cs="Palatino Linotype"/>
          <w:sz w:val="24"/>
          <w:szCs w:val="24"/>
        </w:rPr>
      </w:pPr>
    </w:p>
    <w:p w:rsidR="00EA3618" w:rsidRPr="00DA544A" w:rsidRDefault="00157A3D">
      <w:pPr>
        <w:spacing w:after="0" w:line="360" w:lineRule="auto"/>
        <w:ind w:left="851"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i/>
          <w:sz w:val="24"/>
          <w:szCs w:val="24"/>
        </w:rPr>
        <w:t>“PLAZO RAZONABLE PARA RESOLVER. DIMENSIÓN Y EFECTOS DE ESTE CONCEPTO CUANDO SE ADUCE EXCESIVA CARGA DE TRABAJO.”</w:t>
      </w:r>
      <w:r w:rsidRPr="00DA544A">
        <w:rPr>
          <w:rFonts w:ascii="Palatino Linotype" w:eastAsia="Palatino Linotype" w:hAnsi="Palatino Linotype" w:cs="Palatino Linotype"/>
          <w:sz w:val="24"/>
          <w:szCs w:val="24"/>
        </w:rPr>
        <w:t xml:space="preserve"> consultable en el Seminario Judicial de la Federación y su gaceta, con el registro digital 2002351.</w:t>
      </w:r>
    </w:p>
    <w:p w:rsidR="00EA3618" w:rsidRPr="00DA544A" w:rsidRDefault="00EA3618">
      <w:pPr>
        <w:spacing w:after="0" w:line="360" w:lineRule="auto"/>
        <w:ind w:left="851" w:right="-787"/>
        <w:jc w:val="both"/>
        <w:rPr>
          <w:rFonts w:ascii="Palatino Linotype" w:eastAsia="Palatino Linotype" w:hAnsi="Palatino Linotype" w:cs="Palatino Linotype"/>
          <w:b/>
          <w:sz w:val="24"/>
          <w:szCs w:val="24"/>
        </w:rPr>
      </w:pPr>
    </w:p>
    <w:p w:rsidR="00EA3618" w:rsidRPr="00DA544A" w:rsidRDefault="00157A3D">
      <w:pPr>
        <w:spacing w:after="0" w:line="360" w:lineRule="auto"/>
        <w:ind w:left="851"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DA544A">
        <w:rPr>
          <w:rFonts w:ascii="Palatino Linotype" w:eastAsia="Palatino Linotype" w:hAnsi="Palatino Linotype" w:cs="Palatino Linotype"/>
          <w:sz w:val="24"/>
          <w:szCs w:val="24"/>
        </w:rPr>
        <w:t>, visible en el Seminario Judicial de la Federación y su gaceta, con el registro digital 2002350.</w:t>
      </w:r>
    </w:p>
    <w:p w:rsidR="00EA3618" w:rsidRPr="00DA544A" w:rsidRDefault="00EA3618">
      <w:pPr>
        <w:spacing w:after="0" w:line="360" w:lineRule="auto"/>
        <w:ind w:left="360" w:right="-787"/>
        <w:jc w:val="both"/>
        <w:rPr>
          <w:rFonts w:ascii="Palatino Linotype" w:eastAsia="Palatino Linotype" w:hAnsi="Palatino Linotype" w:cs="Palatino Linotype"/>
          <w:b/>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Por ello, este Organismo Garante comprometido con la tutela de los derechos humanos confiados, señala que este exceso de plazo legal para resolver el presente asunto, resulta de carácter excepcional. </w:t>
      </w:r>
    </w:p>
    <w:p w:rsidR="00EA3618" w:rsidRPr="00DA544A" w:rsidRDefault="00EA3618">
      <w:pPr>
        <w:pBdr>
          <w:top w:val="nil"/>
          <w:left w:val="nil"/>
          <w:bottom w:val="nil"/>
          <w:right w:val="nil"/>
          <w:between w:val="nil"/>
        </w:pBdr>
        <w:spacing w:after="0" w:line="360" w:lineRule="auto"/>
        <w:ind w:right="-787"/>
        <w:jc w:val="both"/>
        <w:rPr>
          <w:rFonts w:ascii="Palatino Linotype" w:eastAsia="Palatino Linotype" w:hAnsi="Palatino Linotype" w:cs="Palatino Linotype"/>
          <w:sz w:val="24"/>
          <w:szCs w:val="24"/>
        </w:rPr>
      </w:pPr>
      <w:bookmarkStart w:id="5" w:name="_heading=h.2kgs5n8m87j3" w:colFirst="0" w:colLast="0"/>
      <w:bookmarkEnd w:id="5"/>
    </w:p>
    <w:p w:rsidR="00EA3618" w:rsidRPr="00DA544A" w:rsidRDefault="00EA3618">
      <w:pPr>
        <w:pBdr>
          <w:top w:val="nil"/>
          <w:left w:val="nil"/>
          <w:bottom w:val="nil"/>
          <w:right w:val="nil"/>
          <w:between w:val="nil"/>
        </w:pBdr>
        <w:spacing w:after="0" w:line="360" w:lineRule="auto"/>
        <w:ind w:right="-787"/>
        <w:jc w:val="both"/>
        <w:rPr>
          <w:rFonts w:ascii="Palatino Linotype" w:eastAsia="Palatino Linotype" w:hAnsi="Palatino Linotype" w:cs="Palatino Linotype"/>
          <w:sz w:val="24"/>
          <w:szCs w:val="24"/>
        </w:rPr>
      </w:pPr>
      <w:bookmarkStart w:id="6" w:name="_heading=h.xevp2h6fgooe" w:colFirst="0" w:colLast="0"/>
      <w:bookmarkEnd w:id="6"/>
    </w:p>
    <w:p w:rsidR="00EA3618" w:rsidRPr="00DA544A" w:rsidRDefault="00157A3D">
      <w:pPr>
        <w:pBdr>
          <w:top w:val="nil"/>
          <w:left w:val="nil"/>
          <w:bottom w:val="nil"/>
          <w:right w:val="nil"/>
          <w:between w:val="nil"/>
        </w:pBdr>
        <w:spacing w:after="0" w:line="360" w:lineRule="auto"/>
        <w:ind w:right="-787"/>
        <w:jc w:val="center"/>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C O N S I D E R A C I O N E S</w:t>
      </w:r>
    </w:p>
    <w:p w:rsidR="00EA3618" w:rsidRPr="00DA544A" w:rsidRDefault="00EA3618">
      <w:pPr>
        <w:pBdr>
          <w:top w:val="nil"/>
          <w:left w:val="nil"/>
          <w:bottom w:val="nil"/>
          <w:right w:val="nil"/>
          <w:between w:val="nil"/>
        </w:pBdr>
        <w:spacing w:after="0" w:line="360" w:lineRule="auto"/>
        <w:ind w:right="-787"/>
        <w:jc w:val="center"/>
        <w:rPr>
          <w:rFonts w:ascii="Palatino Linotype" w:eastAsia="Palatino Linotype" w:hAnsi="Palatino Linotype" w:cs="Palatino Linotype"/>
          <w:b/>
          <w:color w:val="000000"/>
          <w:sz w:val="24"/>
          <w:szCs w:val="24"/>
        </w:rPr>
      </w:pPr>
    </w:p>
    <w:p w:rsidR="00EA3618" w:rsidRPr="00DA544A" w:rsidRDefault="00157A3D">
      <w:pPr>
        <w:pStyle w:val="Ttulo2"/>
        <w:spacing w:before="0" w:line="360" w:lineRule="auto"/>
        <w:ind w:right="-787"/>
        <w:jc w:val="both"/>
        <w:rPr>
          <w:rFonts w:ascii="Palatino Linotype" w:eastAsia="Palatino Linotype" w:hAnsi="Palatino Linotype" w:cs="Palatino Linotype"/>
          <w:b/>
          <w:color w:val="000000"/>
          <w:sz w:val="24"/>
          <w:szCs w:val="24"/>
        </w:rPr>
      </w:pPr>
      <w:bookmarkStart w:id="7" w:name="_heading=h.2et92p0" w:colFirst="0" w:colLast="0"/>
      <w:bookmarkEnd w:id="7"/>
      <w:r w:rsidRPr="00DA544A">
        <w:rPr>
          <w:rFonts w:ascii="Palatino Linotype" w:eastAsia="Palatino Linotype" w:hAnsi="Palatino Linotype" w:cs="Palatino Linotype"/>
          <w:b/>
          <w:color w:val="000000"/>
          <w:sz w:val="24"/>
          <w:szCs w:val="24"/>
        </w:rPr>
        <w:t>PRIMERO. Competencia</w:t>
      </w: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EA3618" w:rsidRPr="00DA544A" w:rsidRDefault="00EA3618">
      <w:pPr>
        <w:pBdr>
          <w:top w:val="nil"/>
          <w:left w:val="nil"/>
          <w:bottom w:val="nil"/>
          <w:right w:val="nil"/>
          <w:between w:val="nil"/>
        </w:pBdr>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pStyle w:val="Ttulo2"/>
        <w:spacing w:before="0" w:line="360" w:lineRule="auto"/>
        <w:ind w:right="-787"/>
        <w:jc w:val="both"/>
        <w:rPr>
          <w:rFonts w:ascii="Palatino Linotype" w:eastAsia="Palatino Linotype" w:hAnsi="Palatino Linotype" w:cs="Palatino Linotype"/>
          <w:b/>
          <w:color w:val="000000"/>
          <w:sz w:val="24"/>
          <w:szCs w:val="24"/>
        </w:rPr>
      </w:pPr>
      <w:bookmarkStart w:id="8" w:name="_heading=h.tyjcwt" w:colFirst="0" w:colLast="0"/>
      <w:bookmarkEnd w:id="8"/>
      <w:r w:rsidRPr="00DA544A">
        <w:rPr>
          <w:rFonts w:ascii="Palatino Linotype" w:eastAsia="Palatino Linotype" w:hAnsi="Palatino Linotype" w:cs="Palatino Linotype"/>
          <w:b/>
          <w:color w:val="000000"/>
          <w:sz w:val="24"/>
          <w:szCs w:val="24"/>
        </w:rPr>
        <w:lastRenderedPageBreak/>
        <w:t>SEGUNDO. Procedencia.</w:t>
      </w: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A3618" w:rsidRPr="00DA544A" w:rsidRDefault="00157A3D">
      <w:pPr>
        <w:spacing w:after="0" w:line="360" w:lineRule="auto"/>
        <w:ind w:left="567"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w:t>
      </w:r>
      <w:r w:rsidRPr="00DA544A">
        <w:rPr>
          <w:rFonts w:ascii="Palatino Linotype" w:eastAsia="Palatino Linotype" w:hAnsi="Palatino Linotype" w:cs="Palatino Linotype"/>
          <w:b/>
          <w:i/>
          <w:sz w:val="24"/>
          <w:szCs w:val="24"/>
        </w:rPr>
        <w:t>Las solicitudes anónimas</w:t>
      </w:r>
      <w:r w:rsidRPr="00DA544A">
        <w:rPr>
          <w:rFonts w:ascii="Palatino Linotype" w:eastAsia="Palatino Linotype" w:hAnsi="Palatino Linotype" w:cs="Palatino Linotype"/>
          <w:i/>
          <w:sz w:val="24"/>
          <w:szCs w:val="24"/>
        </w:rPr>
        <w:t xml:space="preserve">, con nombre incompleto o seudónimo </w:t>
      </w:r>
      <w:r w:rsidRPr="00DA544A">
        <w:rPr>
          <w:rFonts w:ascii="Palatino Linotype" w:eastAsia="Palatino Linotype" w:hAnsi="Palatino Linotype" w:cs="Palatino Linotype"/>
          <w:b/>
          <w:i/>
          <w:sz w:val="24"/>
          <w:szCs w:val="24"/>
        </w:rPr>
        <w:t>serán procedentes para su trámite por parte del sujeto obligado ante quien se presente</w:t>
      </w:r>
      <w:r w:rsidRPr="00DA544A">
        <w:rPr>
          <w:rFonts w:ascii="Palatino Linotype" w:eastAsia="Palatino Linotype" w:hAnsi="Palatino Linotype" w:cs="Palatino Linotype"/>
          <w:i/>
          <w:sz w:val="24"/>
          <w:szCs w:val="24"/>
        </w:rPr>
        <w:t>. No podrá requerirse información adicional con motivo del nombre proporcionado por el solicitante."</w:t>
      </w:r>
    </w:p>
    <w:p w:rsidR="00EA3618" w:rsidRPr="00DA544A" w:rsidRDefault="00EA3618">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Robusteciendo lo anterior se encuentra lo dispuesto en el artículo 6, Apartado A, fracciones III de la Constitución Política de los Estados Unidos Mexicanos que establece:</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pBdr>
          <w:top w:val="nil"/>
          <w:left w:val="nil"/>
          <w:bottom w:val="nil"/>
          <w:right w:val="nil"/>
          <w:between w:val="nil"/>
        </w:pBdr>
        <w:spacing w:after="0" w:line="360" w:lineRule="auto"/>
        <w:ind w:left="425"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i/>
          <w:color w:val="000000"/>
          <w:sz w:val="24"/>
          <w:szCs w:val="24"/>
        </w:rPr>
        <w:t>"</w:t>
      </w:r>
      <w:r w:rsidRPr="00DA544A">
        <w:rPr>
          <w:rFonts w:ascii="Palatino Linotype" w:eastAsia="Palatino Linotype" w:hAnsi="Palatino Linotype" w:cs="Palatino Linotype"/>
          <w:b/>
          <w:i/>
          <w:color w:val="000000"/>
          <w:sz w:val="24"/>
          <w:szCs w:val="24"/>
        </w:rPr>
        <w:t>Artículo 6.-</w:t>
      </w:r>
      <w:r w:rsidRPr="00DA544A">
        <w:rPr>
          <w:rFonts w:ascii="Palatino Linotype" w:eastAsia="Palatino Linotype" w:hAnsi="Palatino Linotype" w:cs="Palatino Linotype"/>
          <w:i/>
          <w:color w:val="000000"/>
          <w:sz w:val="24"/>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EA3618" w:rsidRPr="00DA544A" w:rsidRDefault="00157A3D">
      <w:pPr>
        <w:pBdr>
          <w:top w:val="nil"/>
          <w:left w:val="nil"/>
          <w:bottom w:val="nil"/>
          <w:right w:val="nil"/>
          <w:between w:val="nil"/>
        </w:pBdr>
        <w:spacing w:after="0" w:line="360" w:lineRule="auto"/>
        <w:ind w:left="425"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i/>
          <w:color w:val="000000"/>
          <w:sz w:val="24"/>
          <w:szCs w:val="24"/>
        </w:rPr>
        <w:lastRenderedPageBreak/>
        <w:t>Para efectos de lo dispuesto en el presente artículo se observará lo siguiente:</w:t>
      </w:r>
    </w:p>
    <w:p w:rsidR="00EA3618" w:rsidRPr="00DA544A" w:rsidRDefault="00157A3D">
      <w:pPr>
        <w:pBdr>
          <w:top w:val="nil"/>
          <w:left w:val="nil"/>
          <w:bottom w:val="nil"/>
          <w:right w:val="nil"/>
          <w:between w:val="nil"/>
        </w:pBdr>
        <w:spacing w:after="0" w:line="360" w:lineRule="auto"/>
        <w:ind w:left="425"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i/>
          <w:color w:val="000000"/>
          <w:sz w:val="24"/>
          <w:szCs w:val="24"/>
        </w:rPr>
        <w:t>A. Para el ejercicio del derecho de acceso a la información, la Federación, los Estados y el Distrito Federal, en el ámbito de sus respectivas competencias, se regirán por los siguientes principios y bases:</w:t>
      </w:r>
    </w:p>
    <w:p w:rsidR="00EA3618" w:rsidRPr="00DA544A" w:rsidRDefault="00157A3D">
      <w:pPr>
        <w:pBdr>
          <w:top w:val="nil"/>
          <w:left w:val="nil"/>
          <w:bottom w:val="nil"/>
          <w:right w:val="nil"/>
          <w:between w:val="nil"/>
        </w:pBdr>
        <w:spacing w:after="0" w:line="360" w:lineRule="auto"/>
        <w:ind w:left="425"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i/>
          <w:color w:val="000000"/>
          <w:sz w:val="24"/>
          <w:szCs w:val="24"/>
        </w:rPr>
        <w:t xml:space="preserve">III. Toda persona, sin necesidad de acreditar interés alguno o justificar su utilización, tendrá acceso gratuito a la información pública, a sus datos personales o a la rectificación de éstos.” </w:t>
      </w:r>
    </w:p>
    <w:p w:rsidR="00EA3618" w:rsidRPr="00DA544A" w:rsidRDefault="00EA3618">
      <w:pPr>
        <w:spacing w:after="0" w:line="360" w:lineRule="auto"/>
        <w:ind w:left="567" w:right="-787"/>
        <w:jc w:val="both"/>
        <w:rPr>
          <w:rFonts w:ascii="Palatino Linotype" w:eastAsia="Palatino Linotype" w:hAnsi="Palatino Linotype" w:cs="Palatino Linotype"/>
          <w:i/>
          <w:sz w:val="24"/>
          <w:szCs w:val="24"/>
        </w:rPr>
      </w:pP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Así como el artículo 5 fracción III, párrafo vigésimo noveno, trigésimo y trigésimo primero, de la Constitución Política del Estado Libre y Soberano de México, que determina lo siguiente:</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pBdr>
          <w:top w:val="nil"/>
          <w:left w:val="nil"/>
          <w:bottom w:val="nil"/>
          <w:right w:val="nil"/>
          <w:between w:val="nil"/>
        </w:pBdr>
        <w:spacing w:after="0" w:line="360" w:lineRule="auto"/>
        <w:ind w:left="425"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i/>
          <w:color w:val="000000"/>
          <w:sz w:val="24"/>
          <w:szCs w:val="24"/>
        </w:rPr>
        <w:t>"</w:t>
      </w:r>
      <w:r w:rsidRPr="00DA544A">
        <w:rPr>
          <w:rFonts w:ascii="Palatino Linotype" w:eastAsia="Palatino Linotype" w:hAnsi="Palatino Linotype" w:cs="Palatino Linotype"/>
          <w:b/>
          <w:i/>
          <w:color w:val="000000"/>
          <w:sz w:val="24"/>
          <w:szCs w:val="24"/>
        </w:rPr>
        <w:t>Artículo 5.-</w:t>
      </w:r>
      <w:r w:rsidRPr="00DA544A">
        <w:rPr>
          <w:rFonts w:ascii="Palatino Linotype" w:eastAsia="Palatino Linotype" w:hAnsi="Palatino Linotype" w:cs="Palatino Linotype"/>
          <w:i/>
          <w:color w:val="000000"/>
          <w:sz w:val="24"/>
          <w:szCs w:val="24"/>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EA3618" w:rsidRPr="00DA544A" w:rsidRDefault="00157A3D">
      <w:pPr>
        <w:spacing w:after="0" w:line="360" w:lineRule="auto"/>
        <w:ind w:left="1134"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w:t>
      </w:r>
    </w:p>
    <w:p w:rsidR="00EA3618" w:rsidRPr="00DA544A" w:rsidRDefault="00157A3D">
      <w:pPr>
        <w:pBdr>
          <w:top w:val="nil"/>
          <w:left w:val="nil"/>
          <w:bottom w:val="nil"/>
          <w:right w:val="nil"/>
          <w:between w:val="nil"/>
        </w:pBdr>
        <w:spacing w:after="0" w:line="360" w:lineRule="auto"/>
        <w:ind w:left="425"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i/>
          <w:color w:val="000000"/>
          <w:sz w:val="24"/>
          <w:szCs w:val="24"/>
        </w:rPr>
        <w:t>Toda persona en el Estado de México, tiene derecho al libre acceso a la información plural y oportuna, así como a buscar recibir y difundir información e ideas de toda índole por cualquier medio de expresión.</w:t>
      </w:r>
    </w:p>
    <w:p w:rsidR="00EA3618" w:rsidRPr="00DA544A" w:rsidRDefault="00157A3D">
      <w:pPr>
        <w:spacing w:after="0" w:line="360" w:lineRule="auto"/>
        <w:ind w:left="1134"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w:t>
      </w:r>
    </w:p>
    <w:p w:rsidR="00EA3618" w:rsidRPr="00DA544A" w:rsidRDefault="00157A3D">
      <w:pPr>
        <w:pBdr>
          <w:top w:val="nil"/>
          <w:left w:val="nil"/>
          <w:bottom w:val="nil"/>
          <w:right w:val="nil"/>
          <w:between w:val="nil"/>
        </w:pBdr>
        <w:spacing w:after="0" w:line="360" w:lineRule="auto"/>
        <w:ind w:left="425"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i/>
          <w:color w:val="000000"/>
          <w:sz w:val="24"/>
          <w:szCs w:val="24"/>
        </w:rPr>
        <w:t>El derecho a la información será garantizado por el Estado. La ley establecerá las previsiones que permitan asegurar la protección, el respeto y la difusión de este derecho.</w:t>
      </w:r>
    </w:p>
    <w:p w:rsidR="00EA3618" w:rsidRPr="00DA544A" w:rsidRDefault="00157A3D">
      <w:pPr>
        <w:pBdr>
          <w:top w:val="nil"/>
          <w:left w:val="nil"/>
          <w:bottom w:val="nil"/>
          <w:right w:val="nil"/>
          <w:between w:val="nil"/>
        </w:pBdr>
        <w:spacing w:after="0" w:line="360" w:lineRule="auto"/>
        <w:ind w:left="425"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i/>
          <w:color w:val="000000"/>
          <w:sz w:val="24"/>
          <w:szCs w:val="24"/>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A3618" w:rsidRPr="00DA544A" w:rsidRDefault="00157A3D">
      <w:pPr>
        <w:pBdr>
          <w:top w:val="nil"/>
          <w:left w:val="nil"/>
          <w:bottom w:val="nil"/>
          <w:right w:val="nil"/>
          <w:between w:val="nil"/>
        </w:pBdr>
        <w:spacing w:after="0" w:line="360" w:lineRule="auto"/>
        <w:ind w:left="425"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i/>
          <w:color w:val="000000"/>
          <w:sz w:val="24"/>
          <w:szCs w:val="24"/>
        </w:rPr>
        <w:t>III. Toda persona, sin necesidad de acreditar interés alguno o justificar su utilización, tendrá acceso gratuito a la información pública, a sus datos personales o a la rectificación de éstos;</w:t>
      </w:r>
    </w:p>
    <w:p w:rsidR="00EA3618" w:rsidRPr="00DA544A" w:rsidRDefault="00157A3D">
      <w:pPr>
        <w:spacing w:after="0" w:line="360" w:lineRule="auto"/>
        <w:ind w:left="1134"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w:t>
      </w:r>
    </w:p>
    <w:p w:rsidR="00EA3618" w:rsidRPr="00DA544A" w:rsidRDefault="00157A3D">
      <w:pPr>
        <w:pBdr>
          <w:top w:val="nil"/>
          <w:left w:val="nil"/>
          <w:bottom w:val="nil"/>
          <w:right w:val="nil"/>
          <w:between w:val="nil"/>
        </w:pBdr>
        <w:spacing w:after="0" w:line="360" w:lineRule="auto"/>
        <w:ind w:left="425"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i/>
          <w:color w:val="000000"/>
          <w:sz w:val="24"/>
          <w:szCs w:val="24"/>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w:t>
      </w:r>
    </w:p>
    <w:p w:rsidR="00EA3618" w:rsidRPr="00DA544A" w:rsidRDefault="00EA3618">
      <w:pPr>
        <w:spacing w:after="0" w:line="360" w:lineRule="auto"/>
        <w:ind w:left="426" w:right="-787"/>
        <w:jc w:val="both"/>
        <w:rPr>
          <w:rFonts w:ascii="Palatino Linotype" w:eastAsia="Palatino Linotype" w:hAnsi="Palatino Linotype" w:cs="Palatino Linotype"/>
          <w:i/>
          <w:sz w:val="24"/>
          <w:szCs w:val="24"/>
        </w:rPr>
      </w:pP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Por otra parte, del contenido del artículo 1 de la Constitución Política de los Estados Unidos mexicanos, se destaca lo siguiente:</w:t>
      </w:r>
    </w:p>
    <w:p w:rsidR="00EA3618" w:rsidRPr="00DA544A" w:rsidRDefault="00157A3D">
      <w:pPr>
        <w:pBdr>
          <w:top w:val="nil"/>
          <w:left w:val="nil"/>
          <w:bottom w:val="nil"/>
          <w:right w:val="nil"/>
          <w:between w:val="nil"/>
        </w:pBdr>
        <w:spacing w:after="0" w:line="360" w:lineRule="auto"/>
        <w:ind w:left="425"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i/>
          <w:color w:val="000000"/>
          <w:sz w:val="24"/>
          <w:szCs w:val="24"/>
        </w:rPr>
        <w:t>"</w:t>
      </w:r>
      <w:r w:rsidRPr="00DA544A">
        <w:rPr>
          <w:rFonts w:ascii="Palatino Linotype" w:eastAsia="Palatino Linotype" w:hAnsi="Palatino Linotype" w:cs="Palatino Linotype"/>
          <w:b/>
          <w:i/>
          <w:color w:val="000000"/>
          <w:sz w:val="24"/>
          <w:szCs w:val="24"/>
        </w:rPr>
        <w:t>Artículo 1</w:t>
      </w:r>
      <w:r w:rsidRPr="00DA544A">
        <w:rPr>
          <w:rFonts w:ascii="Palatino Linotype" w:eastAsia="Palatino Linotype" w:hAnsi="Palatino Linotype" w:cs="Palatino Linotype"/>
          <w:i/>
          <w:color w:val="000000"/>
          <w:sz w:val="24"/>
          <w:szCs w:val="24"/>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A3618" w:rsidRPr="00DA544A" w:rsidRDefault="00157A3D">
      <w:pPr>
        <w:pBdr>
          <w:top w:val="nil"/>
          <w:left w:val="nil"/>
          <w:bottom w:val="nil"/>
          <w:right w:val="nil"/>
          <w:between w:val="nil"/>
        </w:pBdr>
        <w:spacing w:after="0" w:line="360" w:lineRule="auto"/>
        <w:ind w:left="425"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i/>
          <w:color w:val="000000"/>
          <w:sz w:val="24"/>
          <w:szCs w:val="24"/>
        </w:rPr>
        <w:lastRenderedPageBreak/>
        <w:t>Las normas relativas a los derechos humanos se interpretarán de conformidad con esta Constitución y con los tratados internacionales de la materia favoreciendo en todo tiempo a las personas la protección más amplia.</w:t>
      </w:r>
    </w:p>
    <w:p w:rsidR="00EA3618" w:rsidRPr="00DA544A" w:rsidRDefault="00157A3D">
      <w:pPr>
        <w:pBdr>
          <w:top w:val="nil"/>
          <w:left w:val="nil"/>
          <w:bottom w:val="nil"/>
          <w:right w:val="nil"/>
          <w:between w:val="nil"/>
        </w:pBdr>
        <w:spacing w:after="0" w:line="360" w:lineRule="auto"/>
        <w:ind w:left="425"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i/>
          <w:color w:val="000000"/>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 xml:space="preserve">Esto es, que el derecho humano de acceso a la información pública, se aprecia que toda persona, sin necesidad de acreditar interés alguno o justificar su interposición, deberá tener acceso a la información pública, es decir, dicho </w:t>
      </w:r>
      <w:r w:rsidRPr="00DA544A">
        <w:rPr>
          <w:rFonts w:ascii="Palatino Linotype" w:eastAsia="Palatino Linotype" w:hAnsi="Palatino Linotype" w:cs="Palatino Linotype"/>
          <w:i/>
          <w:color w:val="000000"/>
          <w:sz w:val="24"/>
          <w:szCs w:val="24"/>
        </w:rPr>
        <w:t>derecho fundamental exime a quien lo ejerce</w:t>
      </w:r>
      <w:r w:rsidRPr="00DA544A">
        <w:rPr>
          <w:rFonts w:ascii="Palatino Linotype" w:eastAsia="Palatino Linotype" w:hAnsi="Palatino Linotype" w:cs="Palatino Linotype"/>
          <w:color w:val="000000"/>
          <w:sz w:val="24"/>
          <w:szCs w:val="24"/>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 xml:space="preserve">En consecuencia, dado lo expuesto y fundado con anterioridad, se estima que el requisito relativo al nombre del </w:t>
      </w:r>
      <w:r w:rsidRPr="00DA544A">
        <w:rPr>
          <w:rFonts w:ascii="Palatino Linotype" w:eastAsia="Palatino Linotype" w:hAnsi="Palatino Linotype" w:cs="Palatino Linotype"/>
          <w:b/>
          <w:color w:val="000000"/>
          <w:sz w:val="24"/>
          <w:szCs w:val="24"/>
        </w:rPr>
        <w:t>RECURRENTE</w:t>
      </w:r>
      <w:r w:rsidRPr="00DA544A">
        <w:rPr>
          <w:rFonts w:ascii="Palatino Linotype" w:eastAsia="Palatino Linotype" w:hAnsi="Palatino Linotype" w:cs="Palatino Linotype"/>
          <w:color w:val="000000"/>
          <w:sz w:val="24"/>
          <w:szCs w:val="24"/>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w:t>
      </w:r>
      <w:r w:rsidRPr="00DA544A">
        <w:rPr>
          <w:rFonts w:ascii="Palatino Linotype" w:eastAsia="Palatino Linotype" w:hAnsi="Palatino Linotype" w:cs="Palatino Linotype"/>
          <w:color w:val="000000"/>
          <w:sz w:val="24"/>
          <w:szCs w:val="24"/>
        </w:rPr>
        <w:lastRenderedPageBreak/>
        <w:t>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EA3618" w:rsidRPr="00DA544A" w:rsidRDefault="00EA3618">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EA3618" w:rsidRPr="00DA544A" w:rsidRDefault="00EA3618">
      <w:pPr>
        <w:pBdr>
          <w:top w:val="nil"/>
          <w:left w:val="nil"/>
          <w:bottom w:val="nil"/>
          <w:right w:val="nil"/>
          <w:between w:val="nil"/>
        </w:pBdr>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Finalmente, el escrito contiene las formalidades previstas por el artículo 180 último párrafo de la citada Ley de la materia, por lo que es procedente que este Instituto conozca y resuelva el presente Recurso.</w:t>
      </w:r>
    </w:p>
    <w:p w:rsidR="00EA3618" w:rsidRPr="00DA544A" w:rsidRDefault="00157A3D">
      <w:pPr>
        <w:pStyle w:val="Ttulo1"/>
        <w:spacing w:before="0" w:line="360" w:lineRule="auto"/>
        <w:ind w:right="-787"/>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TERCERA. Descripción de hechos y planteamiento de la controversia.</w:t>
      </w: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Se solicitó tener acceso, a la información que a continuación se desagrega:</w:t>
      </w:r>
    </w:p>
    <w:p w:rsidR="00EA3618" w:rsidRPr="00DA544A" w:rsidRDefault="00EA3618">
      <w:pPr>
        <w:pBdr>
          <w:top w:val="nil"/>
          <w:left w:val="nil"/>
          <w:bottom w:val="nil"/>
          <w:right w:val="nil"/>
          <w:between w:val="nil"/>
        </w:pBdr>
        <w:spacing w:after="0" w:line="360" w:lineRule="auto"/>
        <w:ind w:left="1134" w:right="-787"/>
        <w:jc w:val="both"/>
        <w:rPr>
          <w:rFonts w:ascii="Palatino Linotype" w:eastAsia="Palatino Linotype" w:hAnsi="Palatino Linotype" w:cs="Palatino Linotype"/>
          <w:b/>
          <w:color w:val="000000"/>
          <w:sz w:val="24"/>
          <w:szCs w:val="24"/>
        </w:rPr>
      </w:pPr>
    </w:p>
    <w:p w:rsidR="00EA3618" w:rsidRPr="00DA544A" w:rsidRDefault="00157A3D">
      <w:pPr>
        <w:pBdr>
          <w:top w:val="nil"/>
          <w:left w:val="nil"/>
          <w:bottom w:val="nil"/>
          <w:right w:val="nil"/>
          <w:between w:val="nil"/>
        </w:pBdr>
        <w:spacing w:after="0" w:line="360" w:lineRule="auto"/>
        <w:ind w:left="708"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De los pozos de agua inaugurados por el Presidente Municipal:</w:t>
      </w:r>
    </w:p>
    <w:p w:rsidR="00EA3618" w:rsidRPr="00DA544A" w:rsidRDefault="00157A3D">
      <w:pPr>
        <w:numPr>
          <w:ilvl w:val="0"/>
          <w:numId w:val="7"/>
        </w:numPr>
        <w:pBdr>
          <w:top w:val="nil"/>
          <w:left w:val="nil"/>
          <w:bottom w:val="nil"/>
          <w:right w:val="nil"/>
          <w:between w:val="nil"/>
        </w:pBdr>
        <w:spacing w:after="0" w:line="360" w:lineRule="auto"/>
        <w:ind w:left="1428"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Número de pozos</w:t>
      </w:r>
    </w:p>
    <w:p w:rsidR="00EA3618" w:rsidRPr="00DA544A" w:rsidRDefault="00157A3D">
      <w:pPr>
        <w:numPr>
          <w:ilvl w:val="0"/>
          <w:numId w:val="7"/>
        </w:numPr>
        <w:pBdr>
          <w:top w:val="nil"/>
          <w:left w:val="nil"/>
          <w:bottom w:val="nil"/>
          <w:right w:val="nil"/>
          <w:between w:val="nil"/>
        </w:pBdr>
        <w:spacing w:after="0" w:line="360" w:lineRule="auto"/>
        <w:ind w:left="1428"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Ubicación</w:t>
      </w:r>
    </w:p>
    <w:p w:rsidR="00EA3618" w:rsidRPr="00DA544A" w:rsidRDefault="00157A3D">
      <w:pPr>
        <w:numPr>
          <w:ilvl w:val="0"/>
          <w:numId w:val="7"/>
        </w:numPr>
        <w:pBdr>
          <w:top w:val="nil"/>
          <w:left w:val="nil"/>
          <w:bottom w:val="nil"/>
          <w:right w:val="nil"/>
          <w:between w:val="nil"/>
        </w:pBdr>
        <w:spacing w:after="0" w:line="360" w:lineRule="auto"/>
        <w:ind w:left="1428"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Montos de inversión</w:t>
      </w:r>
    </w:p>
    <w:p w:rsidR="00EA3618" w:rsidRPr="00DA544A" w:rsidRDefault="00157A3D">
      <w:pPr>
        <w:numPr>
          <w:ilvl w:val="0"/>
          <w:numId w:val="7"/>
        </w:numPr>
        <w:pBdr>
          <w:top w:val="nil"/>
          <w:left w:val="nil"/>
          <w:bottom w:val="nil"/>
          <w:right w:val="nil"/>
          <w:between w:val="nil"/>
        </w:pBdr>
        <w:spacing w:after="0" w:line="360" w:lineRule="auto"/>
        <w:ind w:left="1428"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Número de personas beneficiadas</w:t>
      </w:r>
    </w:p>
    <w:p w:rsidR="00EA3618" w:rsidRPr="00DA544A" w:rsidRDefault="00157A3D">
      <w:pPr>
        <w:numPr>
          <w:ilvl w:val="0"/>
          <w:numId w:val="7"/>
        </w:numPr>
        <w:pBdr>
          <w:top w:val="nil"/>
          <w:left w:val="nil"/>
          <w:bottom w:val="nil"/>
          <w:right w:val="nil"/>
          <w:between w:val="nil"/>
        </w:pBdr>
        <w:spacing w:after="0" w:line="360" w:lineRule="auto"/>
        <w:ind w:left="1428"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lastRenderedPageBreak/>
        <w:t>Fechas de inicio y conclusión de las obras</w:t>
      </w:r>
    </w:p>
    <w:p w:rsidR="00EA3618" w:rsidRPr="00DA544A" w:rsidRDefault="00157A3D">
      <w:pPr>
        <w:numPr>
          <w:ilvl w:val="0"/>
          <w:numId w:val="7"/>
        </w:numPr>
        <w:pBdr>
          <w:top w:val="nil"/>
          <w:left w:val="nil"/>
          <w:bottom w:val="nil"/>
          <w:right w:val="nil"/>
          <w:between w:val="nil"/>
        </w:pBdr>
        <w:spacing w:after="0" w:line="360" w:lineRule="auto"/>
        <w:ind w:left="1428"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La documentación o ficha de las obras y de los presupuestos</w:t>
      </w:r>
    </w:p>
    <w:p w:rsidR="00EA3618" w:rsidRPr="00DA544A" w:rsidRDefault="00EA3618">
      <w:pPr>
        <w:pBdr>
          <w:top w:val="nil"/>
          <w:left w:val="nil"/>
          <w:bottom w:val="nil"/>
          <w:right w:val="nil"/>
          <w:between w:val="nil"/>
        </w:pBdr>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En respuesta, el </w:t>
      </w:r>
      <w:r w:rsidRPr="00DA544A">
        <w:rPr>
          <w:rFonts w:ascii="Palatino Linotype" w:eastAsia="Palatino Linotype" w:hAnsi="Palatino Linotype" w:cs="Palatino Linotype"/>
          <w:b/>
          <w:sz w:val="24"/>
          <w:szCs w:val="24"/>
        </w:rPr>
        <w:t>SUJETO OBLIGADO</w:t>
      </w:r>
      <w:r w:rsidRPr="00DA544A">
        <w:rPr>
          <w:rFonts w:ascii="Palatino Linotype" w:eastAsia="Palatino Linotype" w:hAnsi="Palatino Linotype" w:cs="Palatino Linotype"/>
          <w:sz w:val="24"/>
          <w:szCs w:val="24"/>
        </w:rPr>
        <w:t xml:space="preserve"> remitió el oficio anteriormente descrito en el Párrafo 2, lo que motivó la inconformidad del solicitante, medularmente por la negativa a la entrega de la información.</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En dichas condiciones, la </w:t>
      </w:r>
      <w:r w:rsidRPr="00DA544A">
        <w:rPr>
          <w:rFonts w:ascii="Palatino Linotype" w:eastAsia="Palatino Linotype" w:hAnsi="Palatino Linotype" w:cs="Palatino Linotype"/>
          <w:i/>
          <w:sz w:val="24"/>
          <w:szCs w:val="24"/>
        </w:rPr>
        <w:t>Litis</w:t>
      </w:r>
      <w:r w:rsidRPr="00DA544A">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w:t>
      </w:r>
      <w:r w:rsidRPr="00DA544A">
        <w:rPr>
          <w:rFonts w:ascii="Palatino Linotype" w:eastAsia="Palatino Linotype" w:hAnsi="Palatino Linotype" w:cs="Palatino Linotype"/>
          <w:b/>
          <w:sz w:val="24"/>
          <w:szCs w:val="24"/>
        </w:rPr>
        <w:t xml:space="preserve">fracción I </w:t>
      </w:r>
      <w:r w:rsidRPr="00DA544A">
        <w:rPr>
          <w:rFonts w:ascii="Palatino Linotype" w:eastAsia="Palatino Linotype" w:hAnsi="Palatino Linotype" w:cs="Palatino Linotype"/>
          <w:sz w:val="24"/>
          <w:szCs w:val="24"/>
        </w:rPr>
        <w:t xml:space="preserve">de la </w:t>
      </w:r>
      <w:r w:rsidRPr="00DA544A">
        <w:rPr>
          <w:rFonts w:ascii="Palatino Linotype" w:eastAsia="Palatino Linotype" w:hAnsi="Palatino Linotype" w:cs="Palatino Linotype"/>
          <w:b/>
          <w:sz w:val="24"/>
          <w:szCs w:val="24"/>
        </w:rPr>
        <w:t>Ley de Transparencia y Acceso a la Información Pública del Estado de México y Municipios</w:t>
      </w:r>
      <w:r w:rsidRPr="00DA544A">
        <w:rPr>
          <w:rFonts w:ascii="Palatino Linotype" w:eastAsia="Palatino Linotype" w:hAnsi="Palatino Linotype" w:cs="Palatino Linotype"/>
          <w:sz w:val="24"/>
          <w:szCs w:val="24"/>
        </w:rPr>
        <w:t xml:space="preserve">; </w:t>
      </w:r>
      <w:r w:rsidRPr="00DA544A">
        <w:rPr>
          <w:rFonts w:ascii="Palatino Linotype" w:eastAsia="Palatino Linotype" w:hAnsi="Palatino Linotype" w:cs="Palatino Linotype"/>
          <w:color w:val="000000"/>
          <w:sz w:val="24"/>
          <w:szCs w:val="24"/>
        </w:rPr>
        <w:t xml:space="preserve">fracción que determina la hipótesis jurídica relativa a la </w:t>
      </w:r>
      <w:r w:rsidRPr="00DA544A">
        <w:rPr>
          <w:rFonts w:ascii="Palatino Linotype" w:eastAsia="Palatino Linotype" w:hAnsi="Palatino Linotype" w:cs="Palatino Linotype"/>
          <w:sz w:val="24"/>
          <w:szCs w:val="24"/>
        </w:rPr>
        <w:t>negativa a la entrega de la información</w:t>
      </w:r>
      <w:r w:rsidRPr="00DA544A">
        <w:rPr>
          <w:rFonts w:ascii="Palatino Linotype" w:eastAsia="Palatino Linotype" w:hAnsi="Palatino Linotype" w:cs="Palatino Linotype"/>
          <w:color w:val="000000"/>
          <w:sz w:val="24"/>
          <w:szCs w:val="24"/>
        </w:rPr>
        <w:t xml:space="preserve">; </w:t>
      </w:r>
      <w:r w:rsidRPr="00DA544A">
        <w:rPr>
          <w:rFonts w:ascii="Palatino Linotype" w:eastAsia="Palatino Linotype" w:hAnsi="Palatino Linotype" w:cs="Palatino Linotype"/>
          <w:sz w:val="24"/>
          <w:szCs w:val="24"/>
        </w:rPr>
        <w:t xml:space="preserve">contexto del cual se dolió </w:t>
      </w:r>
      <w:r w:rsidRPr="00DA544A">
        <w:rPr>
          <w:rFonts w:ascii="Palatino Linotype" w:eastAsia="Palatino Linotype" w:hAnsi="Palatino Linotype" w:cs="Palatino Linotype"/>
          <w:b/>
          <w:sz w:val="24"/>
          <w:szCs w:val="24"/>
        </w:rPr>
        <w:t xml:space="preserve">EL RECURRENTE </w:t>
      </w:r>
      <w:r w:rsidRPr="00DA544A">
        <w:rPr>
          <w:rFonts w:ascii="Palatino Linotype" w:eastAsia="Palatino Linotype" w:hAnsi="Palatino Linotype" w:cs="Palatino Linotype"/>
          <w:sz w:val="24"/>
          <w:szCs w:val="24"/>
        </w:rPr>
        <w:t>al momento de interponer su inconformidad.</w:t>
      </w:r>
      <w:r w:rsidRPr="00DA544A">
        <w:rPr>
          <w:rFonts w:ascii="Palatino Linotype" w:eastAsia="Palatino Linotype" w:hAnsi="Palatino Linotype" w:cs="Palatino Linotype"/>
          <w:color w:val="000000"/>
          <w:sz w:val="24"/>
          <w:szCs w:val="24"/>
        </w:rPr>
        <w:t xml:space="preserve"> De modo tal que el presente recurso de revisión se </w:t>
      </w:r>
      <w:r w:rsidRPr="00DA544A">
        <w:rPr>
          <w:rFonts w:ascii="Palatino Linotype" w:eastAsia="Palatino Linotype" w:hAnsi="Palatino Linotype" w:cs="Palatino Linotype"/>
          <w:sz w:val="24"/>
          <w:szCs w:val="24"/>
        </w:rPr>
        <w:t>abocará</w:t>
      </w:r>
      <w:r w:rsidRPr="00DA544A">
        <w:rPr>
          <w:rFonts w:ascii="Palatino Linotype" w:eastAsia="Palatino Linotype" w:hAnsi="Palatino Linotype" w:cs="Palatino Linotype"/>
          <w:color w:val="000000"/>
          <w:sz w:val="24"/>
          <w:szCs w:val="24"/>
        </w:rPr>
        <w:t xml:space="preserve"> en determinar si el </w:t>
      </w:r>
      <w:r w:rsidRPr="00DA544A">
        <w:rPr>
          <w:rFonts w:ascii="Palatino Linotype" w:eastAsia="Palatino Linotype" w:hAnsi="Palatino Linotype" w:cs="Palatino Linotype"/>
          <w:b/>
          <w:color w:val="000000"/>
          <w:sz w:val="24"/>
          <w:szCs w:val="24"/>
        </w:rPr>
        <w:t>SUJETO</w:t>
      </w:r>
      <w:r w:rsidRPr="00DA544A">
        <w:rPr>
          <w:rFonts w:ascii="Palatino Linotype" w:eastAsia="Palatino Linotype" w:hAnsi="Palatino Linotype" w:cs="Palatino Linotype"/>
          <w:color w:val="000000"/>
          <w:sz w:val="24"/>
          <w:szCs w:val="24"/>
        </w:rPr>
        <w:t xml:space="preserve"> </w:t>
      </w:r>
      <w:r w:rsidRPr="00DA544A">
        <w:rPr>
          <w:rFonts w:ascii="Palatino Linotype" w:eastAsia="Palatino Linotype" w:hAnsi="Palatino Linotype" w:cs="Palatino Linotype"/>
          <w:b/>
          <w:color w:val="000000"/>
          <w:sz w:val="24"/>
          <w:szCs w:val="24"/>
        </w:rPr>
        <w:t>OBLIGADO</w:t>
      </w:r>
      <w:r w:rsidRPr="00DA544A">
        <w:rPr>
          <w:rFonts w:ascii="Palatino Linotype" w:eastAsia="Palatino Linotype" w:hAnsi="Palatino Linotype" w:cs="Palatino Linotype"/>
          <w:color w:val="000000"/>
          <w:sz w:val="24"/>
          <w:szCs w:val="24"/>
        </w:rPr>
        <w:t xml:space="preserve"> con su respuesta ciertamente actualiza la causal de procedencia</w:t>
      </w:r>
      <w:r w:rsidRPr="00DA544A">
        <w:rPr>
          <w:rFonts w:ascii="Palatino Linotype" w:eastAsia="Palatino Linotype" w:hAnsi="Palatino Linotype" w:cs="Palatino Linotype"/>
          <w:b/>
          <w:color w:val="000000"/>
          <w:sz w:val="24"/>
          <w:szCs w:val="24"/>
        </w:rPr>
        <w:t xml:space="preserve"> </w:t>
      </w:r>
      <w:r w:rsidRPr="00DA544A">
        <w:rPr>
          <w:rFonts w:ascii="Palatino Linotype" w:eastAsia="Palatino Linotype" w:hAnsi="Palatino Linotype" w:cs="Palatino Linotype"/>
          <w:color w:val="000000"/>
          <w:sz w:val="24"/>
          <w:szCs w:val="24"/>
        </w:rPr>
        <w:t xml:space="preserve">antes señalada. </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pStyle w:val="Ttulo2"/>
        <w:spacing w:before="0" w:line="360" w:lineRule="auto"/>
        <w:ind w:right="-787"/>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CUARTA. Estudio de la controversia.</w:t>
      </w:r>
    </w:p>
    <w:p w:rsidR="00EA3618" w:rsidRPr="00DA544A" w:rsidRDefault="00EA3618">
      <w:pPr>
        <w:pBdr>
          <w:top w:val="nil"/>
          <w:left w:val="nil"/>
          <w:bottom w:val="nil"/>
          <w:right w:val="nil"/>
          <w:between w:val="nil"/>
        </w:pBdr>
        <w:spacing w:after="0" w:line="360" w:lineRule="auto"/>
        <w:ind w:left="720" w:right="-787"/>
        <w:jc w:val="both"/>
        <w:rPr>
          <w:rFonts w:ascii="Palatino Linotype" w:eastAsia="Palatino Linotype" w:hAnsi="Palatino Linotype" w:cs="Palatino Linotype"/>
          <w:b/>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Acotada la </w:t>
      </w:r>
      <w:r w:rsidRPr="00DA544A">
        <w:rPr>
          <w:rFonts w:ascii="Palatino Linotype" w:eastAsia="Palatino Linotype" w:hAnsi="Palatino Linotype" w:cs="Palatino Linotype"/>
          <w:i/>
          <w:sz w:val="24"/>
          <w:szCs w:val="24"/>
        </w:rPr>
        <w:t>Litis</w:t>
      </w:r>
      <w:r w:rsidRPr="00DA544A">
        <w:rPr>
          <w:rFonts w:ascii="Palatino Linotype" w:eastAsia="Palatino Linotype" w:hAnsi="Palatino Linotype" w:cs="Palatino Linotype"/>
          <w:sz w:val="24"/>
          <w:szCs w:val="24"/>
        </w:rPr>
        <w:t xml:space="preserve"> del asunto de mérito, es dable puntualizar inicialmente en términos </w:t>
      </w:r>
      <w:r w:rsidRPr="00DA544A">
        <w:rPr>
          <w:rFonts w:ascii="Palatino Linotype" w:eastAsia="Palatino Linotype" w:hAnsi="Palatino Linotype" w:cs="Palatino Linotype"/>
          <w:color w:val="000000"/>
          <w:sz w:val="24"/>
          <w:szCs w:val="24"/>
        </w:rPr>
        <w:t>generales</w:t>
      </w:r>
      <w:r w:rsidRPr="00DA544A">
        <w:rPr>
          <w:rFonts w:ascii="Palatino Linotype" w:eastAsia="Palatino Linotype" w:hAnsi="Palatino Linotype" w:cs="Palatino Linotype"/>
          <w:sz w:val="24"/>
          <w:szCs w:val="24"/>
        </w:rPr>
        <w:t xml:space="preserve">, que el </w:t>
      </w:r>
      <w:r w:rsidRPr="00DA544A">
        <w:rPr>
          <w:rFonts w:ascii="Palatino Linotype" w:eastAsia="Palatino Linotype" w:hAnsi="Palatino Linotype" w:cs="Palatino Linotype"/>
          <w:color w:val="000000"/>
          <w:sz w:val="24"/>
          <w:szCs w:val="24"/>
        </w:rPr>
        <w:t>Derecho</w:t>
      </w:r>
      <w:r w:rsidRPr="00DA544A">
        <w:rPr>
          <w:rFonts w:ascii="Palatino Linotype" w:eastAsia="Palatino Linotype" w:hAnsi="Palatino Linotype" w:cs="Palatino Linotype"/>
          <w:sz w:val="24"/>
          <w:szCs w:val="24"/>
        </w:rPr>
        <w:t xml:space="preserve">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w:t>
      </w:r>
      <w:r w:rsidRPr="00DA544A">
        <w:rPr>
          <w:rFonts w:ascii="Palatino Linotype" w:eastAsia="Palatino Linotype" w:hAnsi="Palatino Linotype" w:cs="Palatino Linotype"/>
          <w:sz w:val="24"/>
          <w:szCs w:val="24"/>
        </w:rPr>
        <w:lastRenderedPageBreak/>
        <w:t>que toda la información en posesión de cualquier autoridad es pública y sólo podrá ser reservada temporalmente por razones de interés público.</w:t>
      </w:r>
    </w:p>
    <w:p w:rsidR="00EA3618" w:rsidRPr="00DA544A" w:rsidRDefault="00EA3618">
      <w:pPr>
        <w:pBdr>
          <w:top w:val="nil"/>
          <w:left w:val="nil"/>
          <w:bottom w:val="nil"/>
          <w:right w:val="nil"/>
          <w:between w:val="nil"/>
        </w:pBdr>
        <w:tabs>
          <w:tab w:val="left" w:pos="426"/>
          <w:tab w:val="left" w:pos="567"/>
        </w:tabs>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EA3618" w:rsidRPr="00DA544A" w:rsidRDefault="00EA3618">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EA3618" w:rsidRPr="00DA544A" w:rsidRDefault="00EA3618">
      <w:pPr>
        <w:pBdr>
          <w:top w:val="nil"/>
          <w:left w:val="nil"/>
          <w:bottom w:val="nil"/>
          <w:right w:val="nil"/>
          <w:between w:val="nil"/>
        </w:pBdr>
        <w:spacing w:after="0" w:line="360" w:lineRule="auto"/>
        <w:ind w:left="720" w:right="-787"/>
        <w:jc w:val="both"/>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Finalmente, es relevante mencionar que el artículo 19 del ordenamiento local de la materia señala que se presume que la información debe existir si se refiere a las facultades, competencias y funciones que los ordenamientos jurídicos aplicables otorgan a los sujetos </w:t>
      </w:r>
      <w:r w:rsidRPr="00DA544A">
        <w:rPr>
          <w:rFonts w:ascii="Palatino Linotype" w:eastAsia="Palatino Linotype" w:hAnsi="Palatino Linotype" w:cs="Palatino Linotype"/>
          <w:sz w:val="24"/>
          <w:szCs w:val="24"/>
        </w:rPr>
        <w:lastRenderedPageBreak/>
        <w:t>obligados y en caso de que dichas facultades no se hayan ejercido, se deberá motivar la respuesta en función de las causas que motivaron tal circunstancia.</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2"/>
        </w:numPr>
        <w:pBdr>
          <w:top w:val="nil"/>
          <w:left w:val="nil"/>
          <w:bottom w:val="nil"/>
          <w:right w:val="nil"/>
          <w:between w:val="nil"/>
        </w:pBdr>
        <w:spacing w:after="0" w:line="360" w:lineRule="auto"/>
        <w:ind w:right="-787"/>
        <w:jc w:val="both"/>
        <w:rPr>
          <w:rFonts w:ascii="Palatino Linotype" w:eastAsia="Palatino Linotype" w:hAnsi="Palatino Linotype" w:cs="Palatino Linotype"/>
          <w:b/>
          <w:color w:val="000000"/>
        </w:rPr>
      </w:pPr>
      <w:r w:rsidRPr="00DA544A">
        <w:rPr>
          <w:rFonts w:ascii="Palatino Linotype" w:eastAsia="Palatino Linotype" w:hAnsi="Palatino Linotype" w:cs="Palatino Linotype"/>
          <w:b/>
          <w:color w:val="000000"/>
          <w:sz w:val="24"/>
          <w:szCs w:val="24"/>
        </w:rPr>
        <w:t>Estudio de fondo</w:t>
      </w: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color w:val="000000"/>
          <w:sz w:val="24"/>
          <w:szCs w:val="24"/>
        </w:rPr>
        <w:t xml:space="preserve">Acotada la </w:t>
      </w:r>
      <w:r w:rsidRPr="00DA544A">
        <w:rPr>
          <w:rFonts w:ascii="Palatino Linotype" w:eastAsia="Palatino Linotype" w:hAnsi="Palatino Linotype" w:cs="Palatino Linotype"/>
          <w:i/>
          <w:color w:val="000000"/>
          <w:sz w:val="24"/>
          <w:szCs w:val="24"/>
        </w:rPr>
        <w:t xml:space="preserve">Litis </w:t>
      </w:r>
      <w:r w:rsidRPr="00DA544A">
        <w:rPr>
          <w:rFonts w:ascii="Palatino Linotype" w:eastAsia="Palatino Linotype" w:hAnsi="Palatino Linotype" w:cs="Palatino Linotype"/>
          <w:sz w:val="24"/>
          <w:szCs w:val="24"/>
        </w:rPr>
        <w:t>sobre</w:t>
      </w:r>
      <w:r w:rsidRPr="00DA544A">
        <w:rPr>
          <w:rFonts w:ascii="Palatino Linotype" w:eastAsia="Palatino Linotype" w:hAnsi="Palatino Linotype" w:cs="Palatino Linotype"/>
          <w:color w:val="000000"/>
          <w:sz w:val="24"/>
          <w:szCs w:val="24"/>
        </w:rPr>
        <w:t xml:space="preserve"> la que se resuelve, se procede al análisis de los motivos de inconformidad expuestos por la parte recurrente y, que versaron básicamente en la negativa de entrega de la información solicitada.</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Al respecto, del análisis de la respuesta emitida se aprecia que es un contexto que resulta procedente; toda vez que de las constancias que obran en el expediente electrónico en que se actúa, si se remitió información al respecto, no obstante no corresponde con lo solicitado por las siguientes consideraciones.</w:t>
      </w:r>
    </w:p>
    <w:p w:rsidR="00EA3618" w:rsidRPr="00DA544A" w:rsidRDefault="00EA3618">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Del documento remitido se advierte que da observancia a tres rubros de los planteados inicialmente como lo es el número de pozos; toda vez que al remitir un listado con los nombres de los pozos y sus ubicaciones, naturalmente se deduce el número. </w:t>
      </w:r>
    </w:p>
    <w:p w:rsidR="00EA3618" w:rsidRPr="00DA544A" w:rsidRDefault="00EA3618">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Al respecto es de recordar que el acceso a la información pública es un derecho que se colma con la entrega del soporte documental donde conste o se advierta lo solicitado, sin la necesidad de resumirla, procesarla o entregarla conforme a los intereses particulares de los solicitantes, como se desprende del caso concreto, de modo tal que se tiene por atendido el rubro en comento.</w:t>
      </w:r>
    </w:p>
    <w:p w:rsidR="00EA3618" w:rsidRPr="00DA544A" w:rsidRDefault="00EA3618">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b/>
          <w:color w:val="000000"/>
        </w:rPr>
      </w:pPr>
      <w:r w:rsidRPr="00DA544A">
        <w:rPr>
          <w:rFonts w:ascii="Palatino Linotype" w:eastAsia="Palatino Linotype" w:hAnsi="Palatino Linotype" w:cs="Palatino Linotype"/>
          <w:sz w:val="24"/>
          <w:szCs w:val="24"/>
        </w:rPr>
        <w:lastRenderedPageBreak/>
        <w:t xml:space="preserve">Por otro lado, se informa de las ubicaciones y fechas de inicio de las obras. Solicitudes que naturalmente también podrían tener por colmado esos rubros, no pasando desapercibido al respecto, que de las respuestas emitidas por los sujetos obligados, este Órgano Garante carece de facultades para dudar de la veracidad de la respuesta emitida. Por lo anterior  resulta necesario puntualizar con claridad que éste Órgano Garante no está facultado para pronunciarse sobre la veracidad de la información que los Sujetos Obligados ponen a disposición de los solicitantes; situación que se aleja de las atribuciones de este Instituto </w:t>
      </w:r>
      <w:r w:rsidRPr="00DA544A">
        <w:rPr>
          <w:rFonts w:ascii="Palatino Linotype" w:eastAsia="Palatino Linotype" w:hAnsi="Palatino Linotype" w:cs="Palatino Linotype"/>
          <w:i/>
          <w:color w:val="000000"/>
          <w:sz w:val="24"/>
          <w:szCs w:val="24"/>
        </w:rPr>
        <w:t>máxime</w:t>
      </w:r>
      <w:r w:rsidRPr="00DA544A">
        <w:rPr>
          <w:rFonts w:ascii="Palatino Linotype" w:eastAsia="Palatino Linotype" w:hAnsi="Palatino Linotype" w:cs="Palatino Linotype"/>
          <w:color w:val="000000"/>
          <w:sz w:val="24"/>
          <w:szCs w:val="24"/>
        </w:rPr>
        <w:t xml:space="preserve"> que </w:t>
      </w:r>
      <w:r w:rsidRPr="00DA544A">
        <w:rPr>
          <w:rFonts w:ascii="Palatino Linotype" w:eastAsia="Palatino Linotype" w:hAnsi="Palatino Linotype" w:cs="Palatino Linotype"/>
          <w:b/>
          <w:color w:val="000000"/>
          <w:sz w:val="24"/>
          <w:szCs w:val="24"/>
          <w:u w:val="single"/>
        </w:rPr>
        <w:t>al momento que ponen a disposición ésta, la misma tiene el carácter oficial y se presume veraz, tan es así que la misma queda registrada en el Sistema de Acceso a la Información Mexiquense (SAIMEX).</w:t>
      </w:r>
    </w:p>
    <w:p w:rsidR="00EA3618" w:rsidRPr="00DA544A" w:rsidRDefault="00EA3618">
      <w:pPr>
        <w:spacing w:after="0" w:line="360" w:lineRule="auto"/>
        <w:ind w:right="-787"/>
        <w:jc w:val="both"/>
        <w:rPr>
          <w:rFonts w:ascii="Palatino Linotype" w:eastAsia="Palatino Linotype" w:hAnsi="Palatino Linotype" w:cs="Palatino Linotype"/>
          <w:b/>
          <w:color w:val="000000"/>
          <w:sz w:val="24"/>
          <w:szCs w:val="24"/>
        </w:rPr>
      </w:pPr>
    </w:p>
    <w:p w:rsidR="00EA3618" w:rsidRPr="00DA544A" w:rsidRDefault="00157A3D">
      <w:pPr>
        <w:numPr>
          <w:ilvl w:val="0"/>
          <w:numId w:val="1"/>
        </w:numPr>
        <w:pBdr>
          <w:top w:val="nil"/>
          <w:left w:val="nil"/>
          <w:bottom w:val="nil"/>
          <w:right w:val="nil"/>
          <w:between w:val="nil"/>
        </w:pBd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 xml:space="preserve">Así mismo, la </w:t>
      </w:r>
      <w:r w:rsidRPr="00DA544A">
        <w:rPr>
          <w:rFonts w:ascii="Palatino Linotype" w:eastAsia="Palatino Linotype" w:hAnsi="Palatino Linotype" w:cs="Palatino Linotype"/>
          <w:b/>
          <w:color w:val="000000"/>
          <w:sz w:val="24"/>
          <w:szCs w:val="24"/>
        </w:rPr>
        <w:t>Ley de Transparencia y Acceso a la Información Pública del Estado de México y Municipios</w:t>
      </w:r>
      <w:r w:rsidRPr="00DA544A">
        <w:rPr>
          <w:rFonts w:ascii="Palatino Linotype" w:eastAsia="Palatino Linotype" w:hAnsi="Palatino Linotype" w:cs="Palatino Linotype"/>
          <w:color w:val="000000"/>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EA3618" w:rsidRPr="00DA544A" w:rsidRDefault="00157A3D">
      <w:pPr>
        <w:pBdr>
          <w:top w:val="nil"/>
          <w:left w:val="nil"/>
          <w:bottom w:val="nil"/>
          <w:right w:val="nil"/>
          <w:between w:val="nil"/>
        </w:pBdr>
        <w:spacing w:after="0" w:line="360" w:lineRule="auto"/>
        <w:ind w:left="644" w:right="-787"/>
        <w:jc w:val="both"/>
        <w:rPr>
          <w:rFonts w:ascii="Palatino Linotype" w:eastAsia="Palatino Linotype" w:hAnsi="Palatino Linotype" w:cs="Palatino Linotype"/>
          <w:b/>
          <w:i/>
          <w:color w:val="000000"/>
          <w:sz w:val="24"/>
          <w:szCs w:val="24"/>
        </w:rPr>
      </w:pPr>
      <w:r w:rsidRPr="00DA544A">
        <w:rPr>
          <w:rFonts w:ascii="Palatino Linotype" w:eastAsia="Palatino Linotype" w:hAnsi="Palatino Linotype" w:cs="Palatino Linotype"/>
          <w:i/>
          <w:color w:val="000000"/>
          <w:sz w:val="24"/>
          <w:szCs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A544A">
        <w:rPr>
          <w:rFonts w:ascii="Palatino Linotype" w:eastAsia="Palatino Linotype" w:hAnsi="Palatino Linotype" w:cs="Palatino Linotype"/>
          <w:b/>
          <w:i/>
          <w:color w:val="000000"/>
          <w:sz w:val="24"/>
          <w:szCs w:val="24"/>
        </w:rPr>
        <w:t>Los Sujetos Obligados deben poner en práctica, políticas y programas de acceso a la información que se apeguen a criterios de publicidad, veracidad, oportunidad, precisión y suficiencia en beneficio de los solicitantes.</w:t>
      </w:r>
    </w:p>
    <w:p w:rsidR="00EA3618" w:rsidRPr="00DA544A" w:rsidRDefault="00EA3618">
      <w:pPr>
        <w:spacing w:after="0" w:line="360" w:lineRule="auto"/>
        <w:ind w:right="-787"/>
        <w:jc w:val="both"/>
        <w:rPr>
          <w:rFonts w:ascii="Palatino Linotype" w:eastAsia="Palatino Linotype" w:hAnsi="Palatino Linotype" w:cs="Palatino Linotype"/>
          <w:b/>
          <w:i/>
          <w:sz w:val="24"/>
          <w:szCs w:val="24"/>
        </w:rPr>
      </w:pPr>
    </w:p>
    <w:p w:rsidR="00EA3618" w:rsidRPr="00DA544A" w:rsidRDefault="00157A3D">
      <w:pPr>
        <w:numPr>
          <w:ilvl w:val="0"/>
          <w:numId w:val="1"/>
        </w:numPr>
        <w:pBdr>
          <w:top w:val="nil"/>
          <w:left w:val="nil"/>
          <w:bottom w:val="nil"/>
          <w:right w:val="nil"/>
          <w:between w:val="nil"/>
        </w:pBdr>
        <w:tabs>
          <w:tab w:val="left" w:pos="284"/>
        </w:tabs>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lastRenderedPageBreak/>
        <w:t xml:space="preserve">Numerales que compelen al </w:t>
      </w:r>
      <w:r w:rsidRPr="00DA544A">
        <w:rPr>
          <w:rFonts w:ascii="Palatino Linotype" w:eastAsia="Palatino Linotype" w:hAnsi="Palatino Linotype" w:cs="Palatino Linotype"/>
          <w:b/>
          <w:color w:val="000000"/>
          <w:sz w:val="24"/>
          <w:szCs w:val="24"/>
        </w:rPr>
        <w:t>SUJETO OBLIGADO</w:t>
      </w:r>
      <w:r w:rsidRPr="00DA544A">
        <w:rPr>
          <w:rFonts w:ascii="Palatino Linotype" w:eastAsia="Palatino Linotype" w:hAnsi="Palatino Linotype" w:cs="Palatino Linotype"/>
          <w:color w:val="000000"/>
          <w:sz w:val="24"/>
          <w:szCs w:val="24"/>
        </w:rPr>
        <w:t xml:space="preserve"> a apegarse en todo momento a los criterios ya expuestos, </w:t>
      </w:r>
      <w:r w:rsidRPr="00DA544A">
        <w:rPr>
          <w:rFonts w:ascii="Palatino Linotype" w:eastAsia="Palatino Linotype" w:hAnsi="Palatino Linotype" w:cs="Palatino Linotype"/>
          <w:sz w:val="24"/>
          <w:szCs w:val="24"/>
        </w:rPr>
        <w:t>impidiendo</w:t>
      </w:r>
      <w:r w:rsidRPr="00DA544A">
        <w:rPr>
          <w:rFonts w:ascii="Palatino Linotype" w:eastAsia="Palatino Linotype" w:hAnsi="Palatino Linotype" w:cs="Palatino Linotype"/>
          <w:color w:val="000000"/>
          <w:sz w:val="24"/>
          <w:szCs w:val="24"/>
        </w:rPr>
        <w:t xml:space="preserve">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w:t>
      </w:r>
    </w:p>
    <w:p w:rsidR="00EA3618" w:rsidRPr="00DA544A" w:rsidRDefault="00EA3618">
      <w:pPr>
        <w:pBdr>
          <w:top w:val="nil"/>
          <w:left w:val="nil"/>
          <w:bottom w:val="nil"/>
          <w:right w:val="nil"/>
          <w:between w:val="nil"/>
        </w:pBdr>
        <w:tabs>
          <w:tab w:val="left" w:pos="284"/>
        </w:tabs>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Empero, si bien es cierto no se puede dudar de la veracidad de lo entregado, no debe perderse de vista que la solicitud de información no contaba con temporalidad de la información que se pretende.</w:t>
      </w:r>
    </w:p>
    <w:p w:rsidR="00EA3618" w:rsidRPr="00DA544A" w:rsidRDefault="00EA3618">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Al respecto lo informado corresponde a fechas de los días veinticuatro de febrero, uno y nueve de marzo de dos mil veinticuatro, por lo que al haber sido ingresada la solicitud de mérito en fecha veintidós de febrero de dos mil veinticuatro, se advierte con claridad que todo lo informado corresponde a información futura lo cual no es permisible en el ejercicio del derecho de acceso a la información pública; ya que el derecho en cuestión se colma con la entrega de documentos que hayan sido generados, poseídos o administrados por los </w:t>
      </w:r>
      <w:r w:rsidRPr="00DA544A">
        <w:rPr>
          <w:rFonts w:ascii="Palatino Linotype" w:eastAsia="Palatino Linotype" w:hAnsi="Palatino Linotype" w:cs="Palatino Linotype"/>
          <w:b/>
          <w:sz w:val="24"/>
          <w:szCs w:val="24"/>
        </w:rPr>
        <w:t>SUJETOS OBLIGADOS</w:t>
      </w:r>
      <w:r w:rsidRPr="00DA544A">
        <w:rPr>
          <w:rFonts w:ascii="Palatino Linotype" w:eastAsia="Palatino Linotype" w:hAnsi="Palatino Linotype" w:cs="Palatino Linotype"/>
          <w:sz w:val="24"/>
          <w:szCs w:val="24"/>
        </w:rPr>
        <w:t xml:space="preserve"> en ejercicio de sus funciones de derecho público previo a la interposición de una solicitud de información.</w:t>
      </w:r>
    </w:p>
    <w:p w:rsidR="00EA3618" w:rsidRPr="00DA544A" w:rsidRDefault="00EA3618">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Así las cosas, se desestima la respuesta emitida por referirse a eventos, situaciones o información que aún no han ocurrido o no se ha concretado al momento de solicitar dicha información, por lo que a la fecha de la solicitud sólo pueden ser considerados planes, proyectos, decisiones, pronósticos o cualquier tipo de dato que esté relacionado con </w:t>
      </w:r>
      <w:r w:rsidRPr="00DA544A">
        <w:rPr>
          <w:rFonts w:ascii="Palatino Linotype" w:eastAsia="Palatino Linotype" w:hAnsi="Palatino Linotype" w:cs="Palatino Linotype"/>
          <w:sz w:val="24"/>
          <w:szCs w:val="24"/>
        </w:rPr>
        <w:lastRenderedPageBreak/>
        <w:t>acciones o eventos que se espera que sucedan en el futuro, de ahí que incluso el documento emitido culmine, señalando que en cuanto se cuente con la información referente a las obras antes mencionadas, se actualizará de conformidad con lo establecido en la Ley de Transparencia y Acceso a la Información Pública del Estado de México y Municipios.</w:t>
      </w:r>
    </w:p>
    <w:p w:rsidR="00EA3618" w:rsidRPr="00DA544A" w:rsidRDefault="00EA3618">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Ahora bien respecto del lapso temporal, el sujeto Obligado deberá realizar la búsqueda en sus archivos por el periodo correspondiente a un año, contado a partir de la fecha de presentación de la solicitud, es decir, del veintidós de febrero de dos mil veintitrés al veintidós de febrero de dos mil veinticuatro; de conformidad con lo establecido en el Criterio orientador 9/13 del Instituto Nacional de Transparencia, Acceso a la Información y Protección de Datos Personales, el cual se reproduce a continuación:  </w:t>
      </w:r>
    </w:p>
    <w:p w:rsidR="00EA3618" w:rsidRPr="00DA544A" w:rsidRDefault="00157A3D">
      <w:pPr>
        <w:spacing w:after="0" w:line="360" w:lineRule="auto"/>
        <w:ind w:left="567"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“Periodo de búsqueda de la información, cuando no se precisa en la solicitud de información.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En ese contexto, de una revisión a diversos Comunicados realizados por el Ayuntamiento de Toluca y notas periodísticas, no se localizó en estricto sentido en dicho lapso temporal inauguraciones de nuevos pozos, pero sí de otro tipo de obras como </w:t>
      </w:r>
      <w:r w:rsidRPr="00DA544A">
        <w:rPr>
          <w:rFonts w:ascii="Palatino Linotype" w:eastAsia="Palatino Linotype" w:hAnsi="Palatino Linotype" w:cs="Palatino Linotype"/>
          <w:sz w:val="24"/>
          <w:szCs w:val="24"/>
        </w:rPr>
        <w:lastRenderedPageBreak/>
        <w:t>rehabilitaciones y notas relacionadas a nuevos pozos de agua, como se observa de la siguiente nota periodística y Comunicado del Ayuntamiento respectivamente:</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spacing w:after="0" w:line="360" w:lineRule="auto"/>
        <w:ind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noProof/>
          <w:sz w:val="24"/>
          <w:szCs w:val="24"/>
        </w:rPr>
        <w:drawing>
          <wp:inline distT="0" distB="0" distL="0" distR="0">
            <wp:extent cx="5612130" cy="28448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2844800"/>
                    </a:xfrm>
                    <a:prstGeom prst="rect">
                      <a:avLst/>
                    </a:prstGeom>
                    <a:ln/>
                  </pic:spPr>
                </pic:pic>
              </a:graphicData>
            </a:graphic>
          </wp:inline>
        </w:drawing>
      </w:r>
    </w:p>
    <w:p w:rsidR="00EA3618" w:rsidRPr="00DA544A" w:rsidRDefault="00157A3D">
      <w:pPr>
        <w:spacing w:after="0" w:line="360" w:lineRule="auto"/>
        <w:ind w:right="-787"/>
        <w:jc w:val="center"/>
        <w:rPr>
          <w:rFonts w:ascii="Palatino Linotype" w:eastAsia="Palatino Linotype" w:hAnsi="Palatino Linotype" w:cs="Palatino Linotype"/>
          <w:b/>
          <w:sz w:val="24"/>
          <w:szCs w:val="24"/>
        </w:rPr>
      </w:pPr>
      <w:r w:rsidRPr="00DA544A">
        <w:rPr>
          <w:rFonts w:ascii="Palatino Linotype" w:eastAsia="Palatino Linotype" w:hAnsi="Palatino Linotype" w:cs="Palatino Linotype"/>
          <w:b/>
          <w:sz w:val="24"/>
          <w:szCs w:val="24"/>
        </w:rPr>
        <w:t>(…)</w:t>
      </w:r>
    </w:p>
    <w:p w:rsidR="00EA3618" w:rsidRPr="00DA544A" w:rsidRDefault="00EA3618">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EA3618" w:rsidRPr="00DA544A" w:rsidRDefault="00157A3D">
      <w:pPr>
        <w:spacing w:after="0" w:line="360" w:lineRule="auto"/>
        <w:ind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noProof/>
          <w:sz w:val="24"/>
          <w:szCs w:val="24"/>
        </w:rPr>
        <w:lastRenderedPageBreak/>
        <w:drawing>
          <wp:inline distT="0" distB="0" distL="0" distR="0">
            <wp:extent cx="5612130" cy="3830955"/>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2130" cy="3830955"/>
                    </a:xfrm>
                    <a:prstGeom prst="rect">
                      <a:avLst/>
                    </a:prstGeom>
                    <a:ln/>
                  </pic:spPr>
                </pic:pic>
              </a:graphicData>
            </a:graphic>
          </wp:inline>
        </w:drawing>
      </w:r>
    </w:p>
    <w:p w:rsidR="00EA3618" w:rsidRPr="00DA544A" w:rsidRDefault="00157A3D">
      <w:pPr>
        <w:spacing w:after="0" w:line="360" w:lineRule="auto"/>
        <w:ind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noProof/>
          <w:sz w:val="24"/>
          <w:szCs w:val="24"/>
        </w:rPr>
        <w:lastRenderedPageBreak/>
        <w:drawing>
          <wp:inline distT="0" distB="0" distL="0" distR="0">
            <wp:extent cx="5636260" cy="347345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36260" cy="3473450"/>
                    </a:xfrm>
                    <a:prstGeom prst="rect">
                      <a:avLst/>
                    </a:prstGeom>
                    <a:ln/>
                  </pic:spPr>
                </pic:pic>
              </a:graphicData>
            </a:graphic>
          </wp:inline>
        </w:drawing>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color w:val="000000"/>
          <w:sz w:val="24"/>
          <w:szCs w:val="24"/>
        </w:rPr>
        <w:t>Por tal motivo, se dará observancia a cualquier tipo de obra relacionado a pozos de agua y no solo a inauguraciones de nuevos pozos, a efecto de tutelar en su sentido más amplio el derecho de acceso a la información del solicitante en atención a la suplencia de la queja que debe regir el ejercicio de acceso a la información pública.</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En ese sentido </w:t>
      </w:r>
      <w:r w:rsidRPr="00DA544A">
        <w:rPr>
          <w:rFonts w:ascii="Palatino Linotype" w:eastAsia="Palatino Linotype" w:hAnsi="Palatino Linotype" w:cs="Palatino Linotype"/>
          <w:color w:val="000000"/>
          <w:sz w:val="24"/>
          <w:szCs w:val="24"/>
        </w:rPr>
        <w:t>tenemos</w:t>
      </w:r>
      <w:r w:rsidRPr="00DA544A">
        <w:rPr>
          <w:rFonts w:ascii="Palatino Linotype" w:eastAsia="Palatino Linotype" w:hAnsi="Palatino Linotype" w:cs="Palatino Linotype"/>
          <w:sz w:val="24"/>
          <w:szCs w:val="24"/>
        </w:rPr>
        <w:t xml:space="preserve"> que la suplencia de la queja únicamente tiene como finalidad el </w:t>
      </w:r>
      <w:r w:rsidRPr="00DA544A">
        <w:rPr>
          <w:rFonts w:ascii="Palatino Linotype" w:eastAsia="Palatino Linotype" w:hAnsi="Palatino Linotype" w:cs="Palatino Linotype"/>
          <w:color w:val="000000"/>
          <w:sz w:val="24"/>
          <w:szCs w:val="24"/>
        </w:rPr>
        <w:t>subsanar</w:t>
      </w:r>
      <w:r w:rsidRPr="00DA544A">
        <w:rPr>
          <w:rFonts w:ascii="Palatino Linotype" w:eastAsia="Palatino Linotype" w:hAnsi="Palatino Linotype" w:cs="Palatino Linotype"/>
          <w:sz w:val="24"/>
          <w:szCs w:val="24"/>
        </w:rPr>
        <w:t xml:space="preserve"> </w:t>
      </w:r>
      <w:r w:rsidRPr="00DA544A">
        <w:rPr>
          <w:rFonts w:ascii="Palatino Linotype" w:eastAsia="Palatino Linotype" w:hAnsi="Palatino Linotype" w:cs="Palatino Linotype"/>
          <w:color w:val="000000"/>
          <w:sz w:val="24"/>
          <w:szCs w:val="24"/>
        </w:rPr>
        <w:t>algunas</w:t>
      </w:r>
      <w:r w:rsidRPr="00DA544A">
        <w:rPr>
          <w:rFonts w:ascii="Palatino Linotype" w:eastAsia="Palatino Linotype" w:hAnsi="Palatino Linotype" w:cs="Palatino Linotype"/>
          <w:sz w:val="24"/>
          <w:szCs w:val="24"/>
        </w:rPr>
        <w:t xml:space="preserve"> lagunas que pudieran existir dentro del acto reclamado y no así la complementación, modificación o adición de lo requerido inicialmente.</w:t>
      </w:r>
    </w:p>
    <w:p w:rsidR="00EA3618" w:rsidRPr="00DA544A" w:rsidRDefault="00EA3618">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lastRenderedPageBreak/>
        <w:t>Es por ello que esta Ponencia considera que, si bien los particulares no son expertos, también lo es que se deben delimitar los alcances de la suplencia que se prevé en los ordinales 13 y 181 de la Ley de la materia, mismos que indican lo siguiente:</w:t>
      </w:r>
    </w:p>
    <w:p w:rsidR="00EA3618" w:rsidRPr="00DA544A" w:rsidRDefault="00EA3618">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EA3618" w:rsidRPr="00DA544A" w:rsidRDefault="00157A3D">
      <w:pPr>
        <w:widowControl w:val="0"/>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w:t>
      </w:r>
      <w:r w:rsidRPr="00DA544A">
        <w:rPr>
          <w:rFonts w:ascii="Palatino Linotype" w:eastAsia="Palatino Linotype" w:hAnsi="Palatino Linotype" w:cs="Palatino Linotype"/>
          <w:b/>
          <w:i/>
          <w:sz w:val="24"/>
          <w:szCs w:val="24"/>
        </w:rPr>
        <w:t>Artículo 13.</w:t>
      </w:r>
      <w:r w:rsidRPr="00DA544A">
        <w:rPr>
          <w:rFonts w:ascii="Palatino Linotype" w:eastAsia="Palatino Linotype" w:hAnsi="Palatino Linotype" w:cs="Palatino Linotype"/>
          <w:i/>
          <w:sz w:val="24"/>
          <w:szCs w:val="24"/>
        </w:rPr>
        <w:t xml:space="preserve"> El Instituto, en el ámbito de sus atribuciones, deberá suplir cualquier deficiencia para garantizar el ejercicio del derecho de acceso a la información.</w:t>
      </w:r>
    </w:p>
    <w:p w:rsidR="00EA3618" w:rsidRPr="00DA544A" w:rsidRDefault="00157A3D">
      <w:pPr>
        <w:widowControl w:val="0"/>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b/>
          <w:i/>
          <w:sz w:val="24"/>
          <w:szCs w:val="24"/>
        </w:rPr>
        <w:t>Artículo 181.</w:t>
      </w:r>
      <w:r w:rsidRPr="00DA544A">
        <w:rPr>
          <w:rFonts w:ascii="Palatino Linotype" w:eastAsia="Palatino Linotype" w:hAnsi="Palatino Linotype" w:cs="Palatino Linotype"/>
          <w:i/>
          <w:sz w:val="24"/>
          <w:szCs w:val="24"/>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La prevención tendrá el efecto de interrumpir el plazo que tiene el Instituto para resolver el recurso, por lo que comenzará a computarse a partir del día siguiente a su desahogo. No podrá prevenirse por el nombre que proporcione el solicitante. 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r w:rsidRPr="00DA544A">
        <w:rPr>
          <w:rFonts w:ascii="Palatino Linotype" w:eastAsia="Palatino Linotype" w:hAnsi="Palatino Linotype" w:cs="Palatino Linotype"/>
          <w:b/>
          <w:i/>
          <w:sz w:val="24"/>
          <w:szCs w:val="24"/>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DA544A">
        <w:rPr>
          <w:rFonts w:ascii="Palatino Linotype" w:eastAsia="Palatino Linotype" w:hAnsi="Palatino Linotype" w:cs="Palatino Linotype"/>
          <w:i/>
          <w:sz w:val="24"/>
          <w:szCs w:val="24"/>
        </w:rPr>
        <w:t>Para el caso de interposición del recurso de revisión a través de la Plataforma Nacional o la plataforma que para tales efectos habilite el Instituto, éste podrá solicitar al particular subsane las deficiencias por ese medio.</w:t>
      </w:r>
    </w:p>
    <w:p w:rsidR="00EA3618" w:rsidRPr="00DA544A" w:rsidRDefault="00157A3D">
      <w:pPr>
        <w:widowControl w:val="0"/>
        <w:spacing w:after="0" w:line="360" w:lineRule="auto"/>
        <w:ind w:left="851"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lastRenderedPageBreak/>
        <w:t>(Énfasis añadido)</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color w:val="222222"/>
        </w:rPr>
      </w:pPr>
      <w:r w:rsidRPr="00DA544A">
        <w:rPr>
          <w:rFonts w:ascii="Palatino Linotype" w:eastAsia="Palatino Linotype" w:hAnsi="Palatino Linotype" w:cs="Palatino Linotype"/>
          <w:color w:val="222222"/>
          <w:sz w:val="24"/>
          <w:szCs w:val="24"/>
        </w:rPr>
        <w:t>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DA544A">
        <w:rPr>
          <w:rFonts w:ascii="Palatino Linotype" w:eastAsia="Palatino Linotype" w:hAnsi="Palatino Linotype" w:cs="Palatino Linotype"/>
          <w:b/>
          <w:i/>
          <w:color w:val="222222"/>
          <w:sz w:val="24"/>
          <w:szCs w:val="24"/>
        </w:rPr>
        <w:t>“NOTAS PERIODISTICAS, EL CONOCIMIENTO QUE DE ELLAS SE OBTIENE NO CONSTITUYE ‘UN HECHO PUBLICO Y NOTORIO’”</w:t>
      </w:r>
      <w:r w:rsidRPr="00DA544A">
        <w:rPr>
          <w:rFonts w:ascii="Palatino Linotype" w:eastAsia="Palatino Linotype" w:hAnsi="Palatino Linotype" w:cs="Palatino Linotype"/>
          <w:color w:val="222222"/>
          <w:sz w:val="24"/>
          <w:szCs w:val="24"/>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forma parte de la cultura propia de un círculo social determinado, en el tiempo de su realización.</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Acotado lo anterior es necesario traer a contexto, el Manual para la Planeación, Programación y </w:t>
      </w:r>
      <w:proofErr w:type="spellStart"/>
      <w:r w:rsidRPr="00DA544A">
        <w:rPr>
          <w:rFonts w:ascii="Palatino Linotype" w:eastAsia="Palatino Linotype" w:hAnsi="Palatino Linotype" w:cs="Palatino Linotype"/>
          <w:sz w:val="24"/>
          <w:szCs w:val="24"/>
        </w:rPr>
        <w:t>Presupuestación</w:t>
      </w:r>
      <w:proofErr w:type="spellEnd"/>
      <w:r w:rsidRPr="00DA544A">
        <w:rPr>
          <w:rFonts w:ascii="Palatino Linotype" w:eastAsia="Palatino Linotype" w:hAnsi="Palatino Linotype" w:cs="Palatino Linotype"/>
          <w:sz w:val="24"/>
          <w:szCs w:val="24"/>
        </w:rPr>
        <w:t xml:space="preserve"> contempla entre sus formatos el denominado Programa Anual de Obra “</w:t>
      </w:r>
      <w:r w:rsidRPr="00DA544A">
        <w:rPr>
          <w:rFonts w:ascii="Palatino Linotype" w:eastAsia="Palatino Linotype" w:hAnsi="Palatino Linotype" w:cs="Palatino Linotype"/>
          <w:i/>
          <w:sz w:val="24"/>
          <w:szCs w:val="24"/>
        </w:rPr>
        <w:t xml:space="preserve">Formato </w:t>
      </w:r>
      <w:proofErr w:type="spellStart"/>
      <w:r w:rsidRPr="00DA544A">
        <w:rPr>
          <w:rFonts w:ascii="Palatino Linotype" w:eastAsia="Palatino Linotype" w:hAnsi="Palatino Linotype" w:cs="Palatino Linotype"/>
          <w:i/>
          <w:sz w:val="24"/>
          <w:szCs w:val="24"/>
        </w:rPr>
        <w:t>PbRM</w:t>
      </w:r>
      <w:proofErr w:type="spellEnd"/>
      <w:r w:rsidRPr="00DA544A">
        <w:rPr>
          <w:rFonts w:ascii="Palatino Linotype" w:eastAsia="Palatino Linotype" w:hAnsi="Palatino Linotype" w:cs="Palatino Linotype"/>
          <w:i/>
          <w:sz w:val="24"/>
          <w:szCs w:val="24"/>
        </w:rPr>
        <w:t xml:space="preserve"> 07a”,</w:t>
      </w:r>
      <w:r w:rsidRPr="00DA544A">
        <w:rPr>
          <w:rFonts w:ascii="Palatino Linotype" w:eastAsia="Palatino Linotype" w:hAnsi="Palatino Linotype" w:cs="Palatino Linotype"/>
          <w:sz w:val="24"/>
          <w:szCs w:val="24"/>
        </w:rPr>
        <w:t xml:space="preserve"> el cual contendrá los siguientes datos: </w:t>
      </w:r>
    </w:p>
    <w:p w:rsidR="00EA3618" w:rsidRPr="00DA544A" w:rsidRDefault="00157A3D">
      <w:pPr>
        <w:pBdr>
          <w:top w:val="nil"/>
          <w:left w:val="nil"/>
          <w:bottom w:val="nil"/>
          <w:right w:val="nil"/>
          <w:between w:val="nil"/>
        </w:pBdr>
        <w:tabs>
          <w:tab w:val="left" w:pos="2552"/>
        </w:tabs>
        <w:spacing w:after="0" w:line="360" w:lineRule="auto"/>
        <w:ind w:right="-787"/>
        <w:jc w:val="both"/>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noProof/>
          <w:color w:val="000000"/>
          <w:sz w:val="24"/>
          <w:szCs w:val="24"/>
        </w:rPr>
        <w:lastRenderedPageBreak/>
        <w:drawing>
          <wp:inline distT="0" distB="0" distL="0" distR="0">
            <wp:extent cx="5612130" cy="396748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3967480"/>
                    </a:xfrm>
                    <a:prstGeom prst="rect">
                      <a:avLst/>
                    </a:prstGeom>
                    <a:ln/>
                  </pic:spPr>
                </pic:pic>
              </a:graphicData>
            </a:graphic>
          </wp:inline>
        </w:drawing>
      </w:r>
    </w:p>
    <w:p w:rsidR="00EA3618" w:rsidRPr="00DA544A" w:rsidRDefault="00EA3618">
      <w:pPr>
        <w:pBdr>
          <w:top w:val="nil"/>
          <w:left w:val="nil"/>
          <w:bottom w:val="nil"/>
          <w:right w:val="nil"/>
          <w:between w:val="nil"/>
        </w:pBdr>
        <w:tabs>
          <w:tab w:val="left" w:pos="2552"/>
        </w:tabs>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Dicho esto, se tiene que los ayuntamientos tienen la obligación de contar con un programa en el que se precisen los datos sobre las obras que ejecutarán a lo largo del ejercicio fiscal, es decir, estos cuentan con facultades, competencias y atribuciones para generar, administrar y poseer la información solicitada. </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Ahora bien para efecto de realizar la nueva búsqueda exhaustiva y razonable de la información, es necesario citar los artículos 83, 83 y 84 del </w:t>
      </w:r>
      <w:r w:rsidRPr="00DA544A">
        <w:rPr>
          <w:rFonts w:ascii="Palatino Linotype" w:eastAsia="Palatino Linotype" w:hAnsi="Palatino Linotype" w:cs="Palatino Linotype"/>
          <w:b/>
          <w:sz w:val="24"/>
          <w:szCs w:val="24"/>
        </w:rPr>
        <w:t>Reglamento Interior del Organismo Agua y Saneamiento de Toluca</w:t>
      </w:r>
      <w:r w:rsidRPr="00DA544A">
        <w:rPr>
          <w:rFonts w:ascii="Palatino Linotype" w:eastAsia="Palatino Linotype" w:hAnsi="Palatino Linotype" w:cs="Palatino Linotype"/>
          <w:sz w:val="24"/>
          <w:szCs w:val="24"/>
        </w:rPr>
        <w:t xml:space="preserve">, los cuales establecen que, el Sujeto Obligado para el desempeño de sus funciones contará con diversas unidades administrativas, entre </w:t>
      </w:r>
      <w:r w:rsidRPr="00DA544A">
        <w:rPr>
          <w:rFonts w:ascii="Palatino Linotype" w:eastAsia="Palatino Linotype" w:hAnsi="Palatino Linotype" w:cs="Palatino Linotype"/>
          <w:sz w:val="24"/>
          <w:szCs w:val="24"/>
        </w:rPr>
        <w:lastRenderedPageBreak/>
        <w:t>las cuales se encuentra la Director de Operación y Planeación, el cual cuenta con las siguientes áreas para apoyo y atribuciones siguientes:</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spacing w:after="0" w:line="360" w:lineRule="auto"/>
        <w:ind w:left="851" w:right="-787"/>
        <w:jc w:val="center"/>
        <w:rPr>
          <w:rFonts w:ascii="Palatino Linotype" w:eastAsia="Palatino Linotype" w:hAnsi="Palatino Linotype" w:cs="Palatino Linotype"/>
          <w:b/>
          <w:i/>
          <w:sz w:val="24"/>
          <w:szCs w:val="24"/>
        </w:rPr>
      </w:pPr>
      <w:r w:rsidRPr="00DA544A">
        <w:rPr>
          <w:rFonts w:ascii="Palatino Linotype" w:eastAsia="Palatino Linotype" w:hAnsi="Palatino Linotype" w:cs="Palatino Linotype"/>
          <w:b/>
          <w:i/>
          <w:sz w:val="24"/>
          <w:szCs w:val="24"/>
        </w:rPr>
        <w:t>CAPÍTULO SEXTO</w:t>
      </w:r>
    </w:p>
    <w:p w:rsidR="00EA3618" w:rsidRPr="00DA544A" w:rsidRDefault="00157A3D">
      <w:pPr>
        <w:spacing w:after="0" w:line="360" w:lineRule="auto"/>
        <w:ind w:left="851" w:right="-787"/>
        <w:jc w:val="center"/>
        <w:rPr>
          <w:rFonts w:ascii="Palatino Linotype" w:eastAsia="Palatino Linotype" w:hAnsi="Palatino Linotype" w:cs="Palatino Linotype"/>
          <w:b/>
          <w:i/>
          <w:sz w:val="24"/>
          <w:szCs w:val="24"/>
        </w:rPr>
      </w:pPr>
      <w:r w:rsidRPr="00DA544A">
        <w:rPr>
          <w:rFonts w:ascii="Palatino Linotype" w:eastAsia="Palatino Linotype" w:hAnsi="Palatino Linotype" w:cs="Palatino Linotype"/>
          <w:b/>
          <w:i/>
          <w:sz w:val="24"/>
          <w:szCs w:val="24"/>
        </w:rPr>
        <w:t>DE LA DIRECCIÓN DE OPERACIÓN Y PLANEACIÓN</w:t>
      </w:r>
    </w:p>
    <w:p w:rsidR="00EA3618" w:rsidRPr="00DA544A" w:rsidRDefault="00EA3618">
      <w:pPr>
        <w:spacing w:after="0" w:line="360" w:lineRule="auto"/>
        <w:ind w:left="851" w:right="-787"/>
        <w:jc w:val="both"/>
        <w:rPr>
          <w:rFonts w:ascii="Palatino Linotype" w:eastAsia="Palatino Linotype" w:hAnsi="Palatino Linotype" w:cs="Palatino Linotype"/>
          <w:b/>
          <w:i/>
          <w:sz w:val="24"/>
          <w:szCs w:val="24"/>
        </w:rPr>
      </w:pP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b/>
          <w:i/>
          <w:sz w:val="24"/>
          <w:szCs w:val="24"/>
        </w:rPr>
        <w:t>Artículo 82.</w:t>
      </w:r>
      <w:r w:rsidRPr="00DA544A">
        <w:rPr>
          <w:rFonts w:ascii="Palatino Linotype" w:eastAsia="Palatino Linotype" w:hAnsi="Palatino Linotype" w:cs="Palatino Linotype"/>
          <w:i/>
          <w:sz w:val="24"/>
          <w:szCs w:val="24"/>
        </w:rPr>
        <w:t xml:space="preserve"> La Dirección de Operación y Planeación está adscrita a la Dirección General y es la responsable de dirigir la construcción, operación y mantenimiento de los sistemas de agua potable, drenaje y saneamiento, así como atender con oportunidad y eficiencia la demanda de dichos servicios, además de dirigir y coordinar la elaboración de planes, programas y proyectos necesarios para mantener y ampliar la cobertura de los servicios de agua potable, drenaje y saneamiento en el Municipio, en apego a la normatividad en la materia, motivando la sustentabilidad del acuífero y cuenca del Valle de Toluca.</w:t>
      </w:r>
    </w:p>
    <w:p w:rsidR="00EA3618" w:rsidRPr="00DA544A" w:rsidRDefault="00EA3618">
      <w:pPr>
        <w:spacing w:after="0" w:line="360" w:lineRule="auto"/>
        <w:ind w:left="851" w:right="-787"/>
        <w:jc w:val="both"/>
        <w:rPr>
          <w:rFonts w:ascii="Palatino Linotype" w:eastAsia="Palatino Linotype" w:hAnsi="Palatino Linotype" w:cs="Palatino Linotype"/>
          <w:i/>
          <w:sz w:val="24"/>
          <w:szCs w:val="24"/>
        </w:rPr>
      </w:pP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b/>
          <w:i/>
          <w:sz w:val="24"/>
          <w:szCs w:val="24"/>
        </w:rPr>
        <w:t xml:space="preserve">Artículo 83. </w:t>
      </w:r>
      <w:r w:rsidRPr="00DA544A">
        <w:rPr>
          <w:rFonts w:ascii="Palatino Linotype" w:eastAsia="Palatino Linotype" w:hAnsi="Palatino Linotype" w:cs="Palatino Linotype"/>
          <w:i/>
          <w:sz w:val="24"/>
          <w:szCs w:val="24"/>
        </w:rPr>
        <w:t>Para el estudio y despacho de los asuntos de su competencia, la Dirección de Operación y Planeación se auxiliará de las Unidades Administrativas siguientes:</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I. Subdirección Técnica:</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I.I. Departamento de Estudios, Planes y Proyectos;</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I.II. Unidad de Precios Unitarios y Supervisión,</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I.III. Departamento de Factibilidades,</w:t>
      </w:r>
    </w:p>
    <w:p w:rsidR="00EA3618" w:rsidRPr="00DA544A" w:rsidRDefault="00157A3D">
      <w:pPr>
        <w:spacing w:after="0" w:line="360" w:lineRule="auto"/>
        <w:ind w:left="851"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i/>
          <w:sz w:val="24"/>
          <w:szCs w:val="24"/>
        </w:rPr>
        <w:t>I.IV. Departamento de Agua Potable,</w:t>
      </w:r>
      <w:r w:rsidRPr="00DA544A">
        <w:rPr>
          <w:rFonts w:ascii="Palatino Linotype" w:eastAsia="Palatino Linotype" w:hAnsi="Palatino Linotype" w:cs="Palatino Linotype"/>
          <w:sz w:val="24"/>
          <w:szCs w:val="24"/>
        </w:rPr>
        <w:t xml:space="preserve"> </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I.V. Unidad de Electromecánico y Tanques, y</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I.VI. Unidad de Mantenimiento y Operación Eléctrica de Plantas de Tratamiento.</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II. Subdirección de Mantenimiento:</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lastRenderedPageBreak/>
        <w:t>II.I. Unidad de Mantenimiento de Líneas de Agua Potable;</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II.II. Unidad de Mantenimiento de Drenaje y Alcantarillado, y</w:t>
      </w:r>
    </w:p>
    <w:p w:rsidR="00EA3618" w:rsidRPr="00DA544A" w:rsidRDefault="00157A3D">
      <w:pPr>
        <w:spacing w:after="0" w:line="360" w:lineRule="auto"/>
        <w:ind w:left="851"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i/>
          <w:sz w:val="24"/>
          <w:szCs w:val="24"/>
        </w:rPr>
        <w:t>II.III Unidad de Obras por Administración.</w:t>
      </w:r>
      <w:r w:rsidRPr="00DA544A">
        <w:rPr>
          <w:rFonts w:ascii="Palatino Linotype" w:eastAsia="Palatino Linotype" w:hAnsi="Palatino Linotype" w:cs="Palatino Linotype"/>
          <w:sz w:val="24"/>
          <w:szCs w:val="24"/>
        </w:rPr>
        <w:t xml:space="preserve"> </w:t>
      </w:r>
    </w:p>
    <w:p w:rsidR="00EA3618" w:rsidRPr="00DA544A" w:rsidRDefault="00EA3618">
      <w:pPr>
        <w:spacing w:after="0" w:line="360" w:lineRule="auto"/>
        <w:ind w:left="851" w:right="-787"/>
        <w:jc w:val="both"/>
        <w:rPr>
          <w:rFonts w:ascii="Palatino Linotype" w:eastAsia="Palatino Linotype" w:hAnsi="Palatino Linotype" w:cs="Palatino Linotype"/>
          <w:sz w:val="24"/>
          <w:szCs w:val="24"/>
        </w:rPr>
      </w:pP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b/>
          <w:i/>
          <w:sz w:val="24"/>
          <w:szCs w:val="24"/>
        </w:rPr>
        <w:t>Artículo 84.</w:t>
      </w:r>
      <w:r w:rsidRPr="00DA544A">
        <w:rPr>
          <w:rFonts w:ascii="Palatino Linotype" w:eastAsia="Palatino Linotype" w:hAnsi="Palatino Linotype" w:cs="Palatino Linotype"/>
          <w:i/>
          <w:sz w:val="24"/>
          <w:szCs w:val="24"/>
        </w:rPr>
        <w:t xml:space="preserve"> Corresponde a la Dirección de Operación y Planeación el ejercicio de las atribuciones siguientes:</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I. Cumplir y hacer respetar las normas de seguridad hidráulica, en el proceso de construcción y operación de la obra hidráulica;</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II. Planear, ejecutar y evaluar las acciones relacionadas con la prestación de los servicios de agua potable, drenaje y saneamiento a través de la infraestructura hidráulica existente;</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III. Establecer directrices para la ejecución de construcción de obra y mantenimiento realizados por el Organismo de acuerdo a la Normatividad aplicable;</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IV. Coordinar la operación y mantenimiento de los sistemas de abastecimiento de agua potable, drenaje y saneamiento;</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V. Vigilar el cumplimiento de la normatividad con relación al suministro de agua potable, drenaje y saneamiento;</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VI. Promover, en coordinación con las instancias que determine el Director General, la ejecución de programas y proyectos en materia de infraestructura hidráulica;</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VII. Coordinar la asesoría técnica que en materia de agua potable, drenaje y saneamiento, en el ámbito de su competencia se proporcione;</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VIII. Habilitar a Servidores Públicos adscritos a la Dirección de Operación y Planeación como inspectores, verificadores, notificadores y ejecutores, a efecto de llevar a cabo las inspecciones, muestreos de agua, notificaciones y todo tipo de actos relacionados con sus atribuciones y de las Unidades Administrativas que de él dependen;</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lastRenderedPageBreak/>
        <w:t>IX. Coordinar con las demás Unidades Administrativas del Organismo, la elaboración de estudios para conocer y atender los requerimientos de infraestructura hidráulica del Municipio;</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 Certificar las copias de la información, documentación y otros sistemas del Organismo que operen y que obren en las Subdirecciones, Departamentos y Unidades Administrativas a su cargo;</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XI. Proponer al Director General, la suspensión, terminación anticipada, rescisión o modificación de los contratos de obra;</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XII. Solicitar a la Dirección Jurídica y de Fiscalización la elaboración de convenios modificatorios de contratos de obra;</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 xml:space="preserve">XIII. Coordinar la inspección, validación y opinión técnica de los servicios de agua potable y drenaje; </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XIV. Vigilar que se establezca el control de las descargas de aguas residuales no domésticas al drenaje; exigiendo el cumplimiento de los límites máximos permisibles que se establecen en la Norma Oficial Mexicana aplicable a través de un Registro de Descarga de Aguas Residuales;</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XV. Dictaminar la viabilidad de los permisos de descargas de aguas residuales y en su caso, condiciones particulares de descarga a los establecimientos comerciales, industriales, de servicios y demás instalaciones generadoras de descargas de aguas residuales no domésticas que descarguen al sistema de drenaje municipal;</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XVI. Modificar los alcances de las condiciones particulares de descargas de aguas residuales establecidas en los permisos otorgados, cuando se modifiquen las Normas Oficiales Mexicanas o se determine una contingencia ambiental que ponga en riesgo la salud de la población;</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lastRenderedPageBreak/>
        <w:t>XVII. Planear las estrategias y acciones para la ejecución del Programa Anual de Obras Hidráulicas;</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XVIII. Vigilar que el presupuesto de inversión en Obra Pública se ejerza de acuerdo con los programas autorizados y con la normatividad aplicable;</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XIX. Dirigir y coordinar la elaboración de planes y programas de infraestructura hidráulica y sanitaria para atender las demandas de la población a corto, mediano y largo plazo, que permitan cumplir con los objetivos del Organismo;</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 xml:space="preserve">XX. Dirigir y coordinar la elaboración de los proyectos ejecutivos para </w:t>
      </w:r>
      <w:proofErr w:type="spellStart"/>
      <w:r w:rsidRPr="00DA544A">
        <w:rPr>
          <w:rFonts w:ascii="Palatino Linotype" w:eastAsia="Palatino Linotype" w:hAnsi="Palatino Linotype" w:cs="Palatino Linotype"/>
          <w:i/>
          <w:sz w:val="24"/>
          <w:szCs w:val="24"/>
        </w:rPr>
        <w:t>eficientar</w:t>
      </w:r>
      <w:proofErr w:type="spellEnd"/>
      <w:r w:rsidRPr="00DA544A">
        <w:rPr>
          <w:rFonts w:ascii="Palatino Linotype" w:eastAsia="Palatino Linotype" w:hAnsi="Palatino Linotype" w:cs="Palatino Linotype"/>
          <w:i/>
          <w:sz w:val="24"/>
          <w:szCs w:val="24"/>
        </w:rPr>
        <w:t xml:space="preserve"> el suministro y distribución de agua potable, así como para el desalojo de aguas residuales y pluviales y para su tratamiento;</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XXI. Presentar al Director General el Programa General de Obras y Servicios Relacionados con las mismas para que se someta a consideración del Consejo Directivo;</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XXII. Elaborar y proponer al Director General la programación anual de licitaciones y contratación de obra y servicios relacionados con las mismas, en materia hidráulica, así como la relativa a la conservación y mantenimiento de la infraestructura hidráulica;</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XXIII. Promover la participación del Organismo en los programas municipales, estatales y federales, a efecto de contar con recursos de inversión para la ejecución de la Obra Pública en el ámbito hidráulico;</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XXIV. Proponer al Director General la celebración de convenios y acuerdos para la realización de obras hidráulicas y servicios relacionados con la misma;</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XXV. Proponer al Director General los lineamientos, normas técnicas, políticas, criterios y procedimientos de carácter técnico que permitan el mejoramiento de los servicios de agua potable, drenaje, tratamiento y su reutilización;</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lastRenderedPageBreak/>
        <w:t>XXVI. Proponer al Director General los dictámenes de factibilidad para la dotación de servicios de agua potable, drenaje y alcantarillado, previa verificación de los requisitos legales;</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XXVII. Registrar y controlar la emisión de los dictámenes de factibilidad de servicios de agua potable, drenaje y alcantarillado que se otorguen para conjuntos urbanos, subdivisiones y condominios;</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XXVIII. Autorizar los proyectos de agua potable, drenaje sanitario y pluvial para conjuntos urbanos, subdivisiones y condominios, derivados de las factibilidades de servicios de agua potable, drenaje y alcantarillado solicitadas, de conformidad con la normatividad aplicable;</w:t>
      </w:r>
      <w:r w:rsidRPr="00DA544A">
        <w:rPr>
          <w:rFonts w:ascii="Palatino Linotype" w:eastAsia="Palatino Linotype" w:hAnsi="Palatino Linotype" w:cs="Palatino Linotype"/>
          <w:sz w:val="24"/>
          <w:szCs w:val="24"/>
        </w:rPr>
        <w:t xml:space="preserve"> </w:t>
      </w:r>
      <w:r w:rsidRPr="00DA544A">
        <w:rPr>
          <w:rFonts w:ascii="Palatino Linotype" w:eastAsia="Palatino Linotype" w:hAnsi="Palatino Linotype" w:cs="Palatino Linotype"/>
          <w:i/>
          <w:sz w:val="24"/>
          <w:szCs w:val="24"/>
        </w:rPr>
        <w:t>XXIX. Dirigir y coordinar los balances hidráulicos del Municipio;</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XXX. Apoyar a las Unidades Administrativas en la atención de la problemática presentada respecto a la construcción y funcionamiento de la infraestructura hidráulica;</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XXXI. Dirigir y coordinar la integración y resguardo del Expediente Único de las Obras y Servicios Relacionados con las mismas;</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XXXII. Dirigir y coordinar las relaciones con los Organismos y Dependencias relacionadas con los programas de infraestructura hidráulica;</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XXXIII. Dirigir y coordinar la elaboración de los informes requeridos por las diferentes dependencias sobre los programas de infraestructura hidráulica;</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XXXIV. Solicitar la existencia de suficiencia presupuestal para iniciar el proceso de contratación de obras públicas y servicios relacionados con las mismas;</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XXXV. Llevar a cabo, dirigir y vigilar el desarrollo del proceso de adjudicación para la celebración de contratos de obras y servicios relacionados con las mismas, según la legislación aplicable;</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lastRenderedPageBreak/>
        <w:t>XXXVI. Fungir como la Unidad Ejecutora de Obra Pública o Servicios conforme las disposiciones legales aplicables en la materia o análoga;</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XXXVII. Sustanciar el proceso para la celebración de las sesiones del o los Comités de Obra Pública y Servicios Relacionados con las mismas, hasta la verificación del cumplimiento de los acuerdos adoptados por ese Órgano Auxiliar, dando cabal cumplimiento a la normatividad en la materia;</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XXXVIII. Gestionar en coordinación con la Dirección de Administración y Finanzas, y la Dirección Jurídica y de Fiscalización; la adquisición, uso y vigencia de concesiones y asignaciones de los Derechos de Aguas Nacionales y Estatales a favor del Organismo, y;</w:t>
      </w:r>
    </w:p>
    <w:p w:rsidR="00EA3618" w:rsidRPr="00DA544A" w:rsidRDefault="00157A3D">
      <w:pPr>
        <w:spacing w:after="0" w:line="360" w:lineRule="auto"/>
        <w:ind w:left="851"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XXXIX. Las demás que le confieran otras disposiciones legales aplicables o le sean encomendadas por el Director General.</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Así, se tiene que dicha Dirección es un área clave encargada de garantizar el correcto funcionamiento, mantenimiento y planificación de los sistemas de agua potable y saneamiento en el municipio de Toluca y de entre sus funciones al caso concreto destaca la de coordinar el mantenimiento preventivo y correctivo de pozos, plantas de tratamiento, redes de distribución y alcantarillado.</w:t>
      </w:r>
    </w:p>
    <w:p w:rsidR="00EA3618" w:rsidRPr="00DA544A" w:rsidRDefault="00EA3618">
      <w:pPr>
        <w:spacing w:after="0" w:line="360" w:lineRule="auto"/>
        <w:ind w:right="-787"/>
        <w:jc w:val="both"/>
        <w:rPr>
          <w:rFonts w:ascii="Palatino Linotype" w:eastAsia="Palatino Linotype" w:hAnsi="Palatino Linotype" w:cs="Palatino Linotype"/>
          <w:b/>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b/>
        </w:rPr>
      </w:pPr>
      <w:r w:rsidRPr="00DA544A">
        <w:rPr>
          <w:rFonts w:ascii="Palatino Linotype" w:eastAsia="Palatino Linotype" w:hAnsi="Palatino Linotype" w:cs="Palatino Linotype"/>
          <w:sz w:val="24"/>
          <w:szCs w:val="24"/>
        </w:rPr>
        <w:t>Si bien la respuesta inicial fue emitida por la Dirección de Operación, la cual está adscrita a la Dirección General y es la responsable de dirigir la construcción, operación y mantenimiento de los sistemas de agua potable, drenaje y saneamiento, como se desprende del citado artículo 84 antes transcrito, por lo que ciertamente es un área competente de dar atención a la solicitud de mérito; también lo es que no se realizó una correcta búsqueda de la información por las consideraciones ya vertidas.</w:t>
      </w:r>
    </w:p>
    <w:p w:rsidR="00EA3618" w:rsidRPr="00DA544A" w:rsidRDefault="00EA3618">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Luego entonces, se logra colegir que el Sujeto Obligado turno del requerimiento de información al área competente para conocer de lo solicitado pues es la encargada de planear, ejecutar y evaluar las acciones relacionadas con la prestación de los servicios de agua potable, drenaje y saneamiento a través de la infraestructura hidráulica existente; por lo que, el Sujeto Obligado cumplió el procedimiento de búsqueda previsto en el artículo 162 de la Ley de Transparencia y Acceso al a Información Pública del Estado de México y Municipios. </w:t>
      </w:r>
    </w:p>
    <w:p w:rsidR="00EA3618" w:rsidRPr="00DA544A" w:rsidRDefault="00EA3618">
      <w:pPr>
        <w:spacing w:after="0" w:line="360" w:lineRule="auto"/>
        <w:ind w:right="-787"/>
        <w:jc w:val="both"/>
        <w:rPr>
          <w:rFonts w:ascii="Palatino Linotype" w:eastAsia="Palatino Linotype" w:hAnsi="Palatino Linotype" w:cs="Palatino Linotype"/>
          <w:b/>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b/>
        </w:rPr>
      </w:pPr>
      <w:r w:rsidRPr="00DA544A">
        <w:rPr>
          <w:rFonts w:ascii="Palatino Linotype" w:eastAsia="Palatino Linotype" w:hAnsi="Palatino Linotype" w:cs="Palatino Linotype"/>
          <w:sz w:val="24"/>
          <w:szCs w:val="24"/>
        </w:rPr>
        <w:t xml:space="preserve">Por consiguiente deberá realizarse la nueva búsqueda exhaustiva y razonable de lo solicitado en todas las áreas competentes como la que de manera enunciativa más no limitativa ya se señaló, en virtud que 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w:t>
      </w:r>
      <w:r w:rsidRPr="00DA544A">
        <w:rPr>
          <w:rFonts w:ascii="Palatino Linotype" w:eastAsia="Palatino Linotype" w:hAnsi="Palatino Linotype" w:cs="Palatino Linotype"/>
          <w:b/>
          <w:sz w:val="24"/>
          <w:szCs w:val="24"/>
        </w:rPr>
        <w:t>turnar a todas las áreas competentes</w:t>
      </w:r>
      <w:r w:rsidRPr="00DA544A">
        <w:rPr>
          <w:rFonts w:ascii="Palatino Linotype" w:eastAsia="Palatino Linotype" w:hAnsi="Palatino Linotype" w:cs="Palatino Linotype"/>
          <w:sz w:val="24"/>
          <w:szCs w:val="24"/>
        </w:rPr>
        <w:t xml:space="preserve"> que cuenten con la información o deban tenerla de acuerdo a sus facultades, competencias y funciones, con el objeto de que realicen una búsqueda exhaustiva y razonable de la información solicitada, según se asienta en el artículo 162 de la ley citada.</w:t>
      </w:r>
    </w:p>
    <w:p w:rsidR="00EA3618" w:rsidRPr="00DA544A" w:rsidRDefault="00157A3D">
      <w:pPr>
        <w:spacing w:after="0" w:line="360" w:lineRule="auto"/>
        <w:ind w:left="567" w:right="-787"/>
        <w:jc w:val="both"/>
        <w:rPr>
          <w:rFonts w:ascii="Palatino Linotype" w:eastAsia="Palatino Linotype" w:hAnsi="Palatino Linotype" w:cs="Palatino Linotype"/>
          <w:i/>
          <w:sz w:val="24"/>
          <w:szCs w:val="24"/>
          <w:u w:val="single"/>
        </w:rPr>
      </w:pPr>
      <w:r w:rsidRPr="00DA544A">
        <w:rPr>
          <w:rFonts w:ascii="Palatino Linotype" w:eastAsia="Palatino Linotype" w:hAnsi="Palatino Linotype" w:cs="Palatino Linotype"/>
          <w:b/>
          <w:i/>
          <w:sz w:val="24"/>
          <w:szCs w:val="24"/>
        </w:rPr>
        <w:t>“Artículo 162.</w:t>
      </w:r>
      <w:r w:rsidRPr="00DA544A">
        <w:rPr>
          <w:rFonts w:ascii="Palatino Linotype" w:eastAsia="Palatino Linotype" w:hAnsi="Palatino Linotype" w:cs="Palatino Linotype"/>
          <w:i/>
          <w:sz w:val="24"/>
          <w:szCs w:val="24"/>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b/>
          <w:color w:val="000000"/>
        </w:rPr>
      </w:pPr>
      <w:r w:rsidRPr="00DA544A">
        <w:rPr>
          <w:rFonts w:ascii="Palatino Linotype" w:eastAsia="Palatino Linotype" w:hAnsi="Palatino Linotype" w:cs="Palatino Linotype"/>
          <w:sz w:val="24"/>
          <w:szCs w:val="24"/>
        </w:rPr>
        <w:lastRenderedPageBreak/>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w:t>
      </w:r>
    </w:p>
    <w:p w:rsidR="00EA3618" w:rsidRPr="00DA544A" w:rsidRDefault="00EA3618">
      <w:pPr>
        <w:spacing w:after="0" w:line="360" w:lineRule="auto"/>
        <w:ind w:right="-787"/>
        <w:jc w:val="both"/>
        <w:rPr>
          <w:rFonts w:ascii="Palatino Linotype" w:eastAsia="Palatino Linotype" w:hAnsi="Palatino Linotype" w:cs="Palatino Linotype"/>
          <w:b/>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Insistiendo en que derivado que la solicitud de información carece de lapso temporal del cual deba ser entregada la información del interés del particular. La nueva búsqueda exhaustiva y razonable deberá versar de un año inmediato anterior a la fecha de la interposición de la solicitud de información, en observancia  a lo dispuesto el Criterio 9/13 ya transcrito.</w:t>
      </w:r>
    </w:p>
    <w:p w:rsidR="00E272E8" w:rsidRPr="00DA544A" w:rsidRDefault="00E272E8" w:rsidP="00E272E8">
      <w:pPr>
        <w:pStyle w:val="Prrafodelista"/>
        <w:rPr>
          <w:rFonts w:ascii="Palatino Linotype" w:eastAsia="Palatino Linotype" w:hAnsi="Palatino Linotype" w:cs="Palatino Linotype"/>
        </w:rPr>
      </w:pPr>
    </w:p>
    <w:p w:rsidR="00E272E8" w:rsidRPr="00DA544A" w:rsidRDefault="00E272E8" w:rsidP="00E272E8">
      <w:pPr>
        <w:numPr>
          <w:ilvl w:val="0"/>
          <w:numId w:val="1"/>
        </w:numPr>
        <w:spacing w:after="0" w:line="360" w:lineRule="auto"/>
        <w:ind w:left="0" w:right="-787" w:firstLine="0"/>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t xml:space="preserve">Finalmente, es dable mencionar que el presente asunto versa sobre </w:t>
      </w:r>
      <w:r w:rsidRPr="00DA544A">
        <w:rPr>
          <w:rFonts w:ascii="Palatino Linotype" w:eastAsia="Palatino Linotype" w:hAnsi="Palatino Linotype" w:cs="Palatino Linotype"/>
          <w:b/>
          <w:sz w:val="24"/>
          <w:szCs w:val="24"/>
          <w:u w:val="single"/>
        </w:rPr>
        <w:t>inauguraciones</w:t>
      </w:r>
      <w:r w:rsidRPr="00DA544A">
        <w:rPr>
          <w:rFonts w:ascii="Palatino Linotype" w:eastAsia="Palatino Linotype" w:hAnsi="Palatino Linotype" w:cs="Palatino Linotype"/>
          <w:b/>
          <w:sz w:val="24"/>
          <w:szCs w:val="24"/>
        </w:rPr>
        <w:t>,</w:t>
      </w:r>
      <w:r w:rsidRPr="00DA544A">
        <w:rPr>
          <w:rFonts w:ascii="Palatino Linotype" w:eastAsia="Palatino Linotype" w:hAnsi="Palatino Linotype" w:cs="Palatino Linotype"/>
          <w:sz w:val="24"/>
          <w:szCs w:val="24"/>
        </w:rPr>
        <w:t xml:space="preserve"> mismas que la autoridad municipal lleva a cabo mediante ceremonias de inauguración </w:t>
      </w:r>
      <w:r w:rsidRPr="00DA544A">
        <w:rPr>
          <w:rFonts w:ascii="Palatino Linotype" w:eastAsia="Palatino Linotype" w:hAnsi="Palatino Linotype" w:cs="Palatino Linotype"/>
          <w:i/>
          <w:sz w:val="24"/>
          <w:szCs w:val="24"/>
        </w:rPr>
        <w:t>in situ</w:t>
      </w:r>
      <w:r w:rsidRPr="00DA544A">
        <w:rPr>
          <w:rFonts w:ascii="Palatino Linotype" w:eastAsia="Palatino Linotype" w:hAnsi="Palatino Linotype" w:cs="Palatino Linotype"/>
          <w:sz w:val="24"/>
          <w:szCs w:val="24"/>
        </w:rPr>
        <w:t xml:space="preserve"> que corresponden a eventos formales que marca el inicio oficial de una nueva institución, edificio, proyecto, período de gobierno o cualquier otro acontecimiento significativo</w:t>
      </w:r>
      <w:r w:rsidR="008C44A9" w:rsidRPr="00DA544A">
        <w:rPr>
          <w:rFonts w:ascii="Palatino Linotype" w:eastAsia="Palatino Linotype" w:hAnsi="Palatino Linotype" w:cs="Palatino Linotype"/>
          <w:sz w:val="24"/>
          <w:szCs w:val="24"/>
        </w:rPr>
        <w:t xml:space="preserve"> del Ayuntamiento o del Organismo;</w:t>
      </w:r>
      <w:r w:rsidRPr="00DA544A">
        <w:rPr>
          <w:rFonts w:ascii="Palatino Linotype" w:eastAsia="Palatino Linotype" w:hAnsi="Palatino Linotype" w:cs="Palatino Linotype"/>
          <w:sz w:val="24"/>
          <w:szCs w:val="24"/>
        </w:rPr>
        <w:t xml:space="preserve"> este tipo de ceremonias incluyen discursos, cortes de cinta, develaciones de placas, y otras actividades simbólicas que representan el comienzo de una nueva etapa, como se desprende de las capturas insertadas en el </w:t>
      </w:r>
      <w:r w:rsidR="004137F4" w:rsidRPr="00DA544A">
        <w:rPr>
          <w:rFonts w:ascii="Palatino Linotype" w:eastAsia="Palatino Linotype" w:hAnsi="Palatino Linotype" w:cs="Palatino Linotype"/>
          <w:sz w:val="24"/>
          <w:szCs w:val="24"/>
        </w:rPr>
        <w:t>presente Considerando</w:t>
      </w:r>
      <w:r w:rsidR="008C44A9" w:rsidRPr="00DA544A">
        <w:rPr>
          <w:rFonts w:ascii="Palatino Linotype" w:eastAsia="Palatino Linotype" w:hAnsi="Palatino Linotype" w:cs="Palatino Linotype"/>
          <w:sz w:val="24"/>
          <w:szCs w:val="24"/>
        </w:rPr>
        <w:t>,</w:t>
      </w:r>
      <w:r w:rsidRPr="00DA544A">
        <w:rPr>
          <w:rFonts w:ascii="Palatino Linotype" w:eastAsia="Palatino Linotype" w:hAnsi="Palatino Linotype" w:cs="Palatino Linotype"/>
          <w:sz w:val="24"/>
          <w:szCs w:val="24"/>
        </w:rPr>
        <w:t xml:space="preserve"> las cuales </w:t>
      </w:r>
      <w:r w:rsidR="008C44A9" w:rsidRPr="00DA544A">
        <w:rPr>
          <w:rFonts w:ascii="Palatino Linotype" w:eastAsia="Palatino Linotype" w:hAnsi="Palatino Linotype" w:cs="Palatino Linotype"/>
          <w:sz w:val="24"/>
          <w:szCs w:val="24"/>
        </w:rPr>
        <w:t>-</w:t>
      </w:r>
      <w:r w:rsidRPr="00DA544A">
        <w:rPr>
          <w:rFonts w:ascii="Palatino Linotype" w:eastAsia="Palatino Linotype" w:hAnsi="Palatino Linotype" w:cs="Palatino Linotype"/>
          <w:sz w:val="24"/>
          <w:szCs w:val="24"/>
        </w:rPr>
        <w:t>se insiste</w:t>
      </w:r>
      <w:r w:rsidR="008C44A9" w:rsidRPr="00DA544A">
        <w:rPr>
          <w:rFonts w:ascii="Palatino Linotype" w:eastAsia="Palatino Linotype" w:hAnsi="Palatino Linotype" w:cs="Palatino Linotype"/>
          <w:sz w:val="24"/>
          <w:szCs w:val="24"/>
        </w:rPr>
        <w:t>-</w:t>
      </w:r>
      <w:r w:rsidRPr="00DA544A">
        <w:rPr>
          <w:rFonts w:ascii="Palatino Linotype" w:eastAsia="Palatino Linotype" w:hAnsi="Palatino Linotype" w:cs="Palatino Linotype"/>
          <w:sz w:val="24"/>
          <w:szCs w:val="24"/>
        </w:rPr>
        <w:t xml:space="preserve"> son realizadas precisamente en la ubicación de los pozos</w:t>
      </w:r>
      <w:r w:rsidR="008C44A9" w:rsidRPr="00DA544A">
        <w:rPr>
          <w:rFonts w:ascii="Palatino Linotype" w:eastAsia="Palatino Linotype" w:hAnsi="Palatino Linotype" w:cs="Palatino Linotype"/>
          <w:sz w:val="24"/>
          <w:szCs w:val="24"/>
        </w:rPr>
        <w:t>, toda vez que es obvio que el objetivo una ceremonia formal, es informar además de la materialización de la obra, su ubicación para conocimiento de la población beneficiada (otro punto de lo solicitado).</w:t>
      </w:r>
    </w:p>
    <w:p w:rsidR="008C44A9" w:rsidRPr="00DA544A" w:rsidRDefault="008C44A9" w:rsidP="008C44A9">
      <w:pPr>
        <w:pStyle w:val="Prrafodelista"/>
        <w:rPr>
          <w:rFonts w:ascii="Palatino Linotype" w:eastAsia="Palatino Linotype" w:hAnsi="Palatino Linotype" w:cs="Palatino Linotype"/>
        </w:rPr>
      </w:pPr>
    </w:p>
    <w:p w:rsidR="008C44A9" w:rsidRPr="00DA544A" w:rsidRDefault="008C44A9" w:rsidP="00E272E8">
      <w:pPr>
        <w:numPr>
          <w:ilvl w:val="0"/>
          <w:numId w:val="1"/>
        </w:numPr>
        <w:spacing w:after="0" w:line="360" w:lineRule="auto"/>
        <w:ind w:left="0" w:right="-787" w:firstLine="0"/>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lastRenderedPageBreak/>
        <w:t>Por lo que resulta</w:t>
      </w:r>
      <w:r w:rsidR="00AC0B8C" w:rsidRPr="00DA544A">
        <w:rPr>
          <w:rFonts w:ascii="Palatino Linotype" w:eastAsia="Palatino Linotype" w:hAnsi="Palatino Linotype" w:cs="Palatino Linotype"/>
          <w:sz w:val="24"/>
          <w:szCs w:val="24"/>
        </w:rPr>
        <w:t>ría</w:t>
      </w:r>
      <w:r w:rsidRPr="00DA544A">
        <w:rPr>
          <w:rFonts w:ascii="Palatino Linotype" w:eastAsia="Palatino Linotype" w:hAnsi="Palatino Linotype" w:cs="Palatino Linotype"/>
          <w:sz w:val="24"/>
          <w:szCs w:val="24"/>
        </w:rPr>
        <w:t xml:space="preserve"> desatinado, señalar que la ubicación de un pozo </w:t>
      </w:r>
      <w:r w:rsidR="00C47E98" w:rsidRPr="00DA544A">
        <w:rPr>
          <w:rFonts w:ascii="Palatino Linotype" w:eastAsia="Palatino Linotype" w:hAnsi="Palatino Linotype" w:cs="Palatino Linotype"/>
          <w:sz w:val="24"/>
          <w:szCs w:val="24"/>
        </w:rPr>
        <w:t xml:space="preserve">de agua, </w:t>
      </w:r>
      <w:r w:rsidRPr="00DA544A">
        <w:rPr>
          <w:rFonts w:ascii="Palatino Linotype" w:eastAsia="Palatino Linotype" w:hAnsi="Palatino Linotype" w:cs="Palatino Linotype"/>
          <w:sz w:val="24"/>
          <w:szCs w:val="24"/>
        </w:rPr>
        <w:t xml:space="preserve">es información clasificada como una regla general, dado el evidente </w:t>
      </w:r>
      <w:r w:rsidRPr="00DA544A">
        <w:rPr>
          <w:rFonts w:ascii="Palatino Linotype" w:eastAsia="Palatino Linotype" w:hAnsi="Palatino Linotype" w:cs="Palatino Linotype"/>
          <w:b/>
          <w:sz w:val="24"/>
          <w:szCs w:val="24"/>
        </w:rPr>
        <w:t>interés público</w:t>
      </w:r>
      <w:r w:rsidRPr="00DA544A">
        <w:rPr>
          <w:rFonts w:ascii="Palatino Linotype" w:eastAsia="Palatino Linotype" w:hAnsi="Palatino Linotype" w:cs="Palatino Linotype"/>
          <w:sz w:val="24"/>
          <w:szCs w:val="24"/>
        </w:rPr>
        <w:t xml:space="preserve"> de conocer la información.</w:t>
      </w:r>
    </w:p>
    <w:p w:rsidR="00E272E8" w:rsidRPr="00DA544A" w:rsidRDefault="00E272E8" w:rsidP="00E272E8">
      <w:pPr>
        <w:spacing w:after="0" w:line="360" w:lineRule="auto"/>
        <w:ind w:right="-787"/>
        <w:jc w:val="both"/>
        <w:rPr>
          <w:rFonts w:ascii="Palatino Linotype" w:eastAsia="Palatino Linotype" w:hAnsi="Palatino Linotype" w:cs="Palatino Linotype"/>
          <w:sz w:val="24"/>
          <w:szCs w:val="24"/>
        </w:rPr>
      </w:pPr>
    </w:p>
    <w:p w:rsidR="00E272E8" w:rsidRPr="00DA544A" w:rsidRDefault="008C44A9" w:rsidP="00E272E8">
      <w:pPr>
        <w:numPr>
          <w:ilvl w:val="0"/>
          <w:numId w:val="1"/>
        </w:numPr>
        <w:spacing w:after="0" w:line="360" w:lineRule="auto"/>
        <w:ind w:left="0" w:right="-787" w:firstLine="0"/>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t>A más de lo anterior</w:t>
      </w:r>
      <w:r w:rsidR="00E272E8" w:rsidRPr="00DA544A">
        <w:rPr>
          <w:rFonts w:ascii="Palatino Linotype" w:eastAsia="Palatino Linotype" w:hAnsi="Palatino Linotype" w:cs="Palatino Linotype"/>
          <w:sz w:val="24"/>
          <w:szCs w:val="24"/>
        </w:rPr>
        <w:t xml:space="preserve">, como se desprende de las capturas de referencia, de manera posterior, la autoridad municipal hace del </w:t>
      </w:r>
      <w:r w:rsidR="00E272E8" w:rsidRPr="00DA544A">
        <w:rPr>
          <w:rFonts w:ascii="Palatino Linotype" w:eastAsia="Palatino Linotype" w:hAnsi="Palatino Linotype" w:cs="Palatino Linotype"/>
          <w:color w:val="000000"/>
          <w:sz w:val="24"/>
          <w:szCs w:val="24"/>
        </w:rPr>
        <w:t>conocimiento</w:t>
      </w:r>
      <w:r w:rsidR="00E272E8" w:rsidRPr="00DA544A">
        <w:rPr>
          <w:rFonts w:ascii="Palatino Linotype" w:eastAsia="Palatino Linotype" w:hAnsi="Palatino Linotype" w:cs="Palatino Linotype"/>
          <w:sz w:val="24"/>
          <w:szCs w:val="24"/>
        </w:rPr>
        <w:t xml:space="preserve"> </w:t>
      </w:r>
      <w:r w:rsidRPr="00DA544A">
        <w:rPr>
          <w:rFonts w:ascii="Palatino Linotype" w:eastAsia="Palatino Linotype" w:hAnsi="Palatino Linotype" w:cs="Palatino Linotype"/>
          <w:sz w:val="24"/>
          <w:szCs w:val="24"/>
        </w:rPr>
        <w:t>de</w:t>
      </w:r>
      <w:r w:rsidR="00E272E8" w:rsidRPr="00DA544A">
        <w:rPr>
          <w:rFonts w:ascii="Palatino Linotype" w:eastAsia="Palatino Linotype" w:hAnsi="Palatino Linotype" w:cs="Palatino Linotype"/>
          <w:sz w:val="24"/>
          <w:szCs w:val="24"/>
        </w:rPr>
        <w:t xml:space="preserve"> su ciudadanía, las inauguraciones realizadas, </w:t>
      </w:r>
      <w:r w:rsidR="00E272E8" w:rsidRPr="00DA544A">
        <w:rPr>
          <w:rFonts w:ascii="Palatino Linotype" w:eastAsia="Palatino Linotype" w:hAnsi="Palatino Linotype" w:cs="Palatino Linotype"/>
          <w:b/>
          <w:sz w:val="24"/>
          <w:szCs w:val="24"/>
        </w:rPr>
        <w:t>indicando su ubicación</w:t>
      </w:r>
      <w:r w:rsidR="00E272E8" w:rsidRPr="00DA544A">
        <w:rPr>
          <w:rFonts w:ascii="Palatino Linotype" w:eastAsia="Palatino Linotype" w:hAnsi="Palatino Linotype" w:cs="Palatino Linotype"/>
          <w:sz w:val="24"/>
          <w:szCs w:val="24"/>
        </w:rPr>
        <w:t xml:space="preserve"> por ser lógicamente </w:t>
      </w:r>
      <w:r w:rsidR="00E272E8" w:rsidRPr="00DA544A">
        <w:rPr>
          <w:rFonts w:ascii="Palatino Linotype" w:eastAsia="Palatino Linotype" w:hAnsi="Palatino Linotype" w:cs="Palatino Linotype"/>
          <w:b/>
          <w:sz w:val="24"/>
          <w:szCs w:val="24"/>
        </w:rPr>
        <w:t>el principal dato de interés</w:t>
      </w:r>
      <w:r w:rsidR="00E272E8" w:rsidRPr="00DA544A">
        <w:rPr>
          <w:rFonts w:ascii="Palatino Linotype" w:eastAsia="Palatino Linotype" w:hAnsi="Palatino Linotype" w:cs="Palatino Linotype"/>
          <w:sz w:val="24"/>
          <w:szCs w:val="24"/>
        </w:rPr>
        <w:t xml:space="preserve"> de los lectores de las notas</w:t>
      </w:r>
      <w:r w:rsidRPr="00DA544A">
        <w:rPr>
          <w:rFonts w:ascii="Palatino Linotype" w:eastAsia="Palatino Linotype" w:hAnsi="Palatino Linotype" w:cs="Palatino Linotype"/>
          <w:sz w:val="24"/>
          <w:szCs w:val="24"/>
        </w:rPr>
        <w:t xml:space="preserve"> a efecto de determinar si son o no beneficiarios</w:t>
      </w:r>
      <w:r w:rsidR="00E272E8" w:rsidRPr="00DA544A">
        <w:rPr>
          <w:rFonts w:ascii="Palatino Linotype" w:eastAsia="Palatino Linotype" w:hAnsi="Palatino Linotype" w:cs="Palatino Linotype"/>
          <w:sz w:val="24"/>
          <w:szCs w:val="24"/>
        </w:rPr>
        <w:t xml:space="preserve"> en su calidad de usuarios de los servicios prestados por el Organismo Agua y Saneamiento de Toluca. </w:t>
      </w:r>
    </w:p>
    <w:p w:rsidR="008C44A9" w:rsidRPr="00DA544A" w:rsidRDefault="008C44A9" w:rsidP="008C44A9">
      <w:pPr>
        <w:pStyle w:val="Prrafodelista"/>
        <w:rPr>
          <w:rFonts w:ascii="Palatino Linotype" w:eastAsia="Palatino Linotype" w:hAnsi="Palatino Linotype" w:cs="Palatino Linotype"/>
        </w:rPr>
      </w:pPr>
    </w:p>
    <w:p w:rsidR="00E272E8" w:rsidRPr="00DA544A" w:rsidRDefault="004137F4" w:rsidP="004137F4">
      <w:pPr>
        <w:numPr>
          <w:ilvl w:val="0"/>
          <w:numId w:val="1"/>
        </w:numPr>
        <w:spacing w:after="0" w:line="360" w:lineRule="auto"/>
        <w:ind w:left="0" w:right="-787" w:firstLine="0"/>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t>En esa tesitura</w:t>
      </w:r>
      <w:r w:rsidR="00E272E8" w:rsidRPr="00DA544A">
        <w:rPr>
          <w:rFonts w:ascii="Palatino Linotype" w:eastAsia="Palatino Linotype" w:hAnsi="Palatino Linotype" w:cs="Palatino Linotype"/>
          <w:sz w:val="24"/>
          <w:szCs w:val="24"/>
        </w:rPr>
        <w:t xml:space="preserve">, </w:t>
      </w:r>
      <w:r w:rsidRPr="00DA544A">
        <w:rPr>
          <w:rFonts w:ascii="Palatino Linotype" w:eastAsia="Palatino Linotype" w:hAnsi="Palatino Linotype" w:cs="Palatino Linotype"/>
          <w:sz w:val="24"/>
          <w:szCs w:val="24"/>
        </w:rPr>
        <w:t>es que el Organismo y el Ayuntamiento, dan a conocer</w:t>
      </w:r>
      <w:r w:rsidR="00E272E8" w:rsidRPr="00DA544A">
        <w:rPr>
          <w:rFonts w:ascii="Palatino Linotype" w:eastAsia="Palatino Linotype" w:hAnsi="Palatino Linotype" w:cs="Palatino Linotype"/>
          <w:sz w:val="24"/>
          <w:szCs w:val="24"/>
        </w:rPr>
        <w:t xml:space="preserve"> ubicaciones</w:t>
      </w:r>
      <w:r w:rsidR="00E272E8" w:rsidRPr="00DA544A">
        <w:rPr>
          <w:rFonts w:ascii="Palatino Linotype" w:eastAsia="Palatino Linotype" w:hAnsi="Palatino Linotype" w:cs="Palatino Linotype"/>
          <w:i/>
          <w:sz w:val="24"/>
          <w:szCs w:val="24"/>
        </w:rPr>
        <w:t xml:space="preserve"> generales</w:t>
      </w:r>
      <w:r w:rsidR="00E272E8" w:rsidRPr="00DA544A">
        <w:rPr>
          <w:rFonts w:ascii="Palatino Linotype" w:eastAsia="Palatino Linotype" w:hAnsi="Palatino Linotype" w:cs="Palatino Linotype"/>
          <w:sz w:val="24"/>
          <w:szCs w:val="24"/>
        </w:rPr>
        <w:t xml:space="preserve"> de los pozos, </w:t>
      </w:r>
      <w:r w:rsidRPr="00DA544A">
        <w:rPr>
          <w:rFonts w:ascii="Palatino Linotype" w:eastAsia="Palatino Linotype" w:hAnsi="Palatino Linotype" w:cs="Palatino Linotype"/>
          <w:sz w:val="24"/>
          <w:szCs w:val="24"/>
        </w:rPr>
        <w:t>es decir que no se informa de</w:t>
      </w:r>
      <w:r w:rsidR="00E272E8" w:rsidRPr="00DA544A">
        <w:rPr>
          <w:rFonts w:ascii="Palatino Linotype" w:eastAsia="Palatino Linotype" w:hAnsi="Palatino Linotype" w:cs="Palatino Linotype"/>
          <w:sz w:val="24"/>
          <w:szCs w:val="24"/>
        </w:rPr>
        <w:t xml:space="preserve"> ubicaciones </w:t>
      </w:r>
      <w:r w:rsidR="008C44A9" w:rsidRPr="00DA544A">
        <w:rPr>
          <w:rFonts w:ascii="Palatino Linotype" w:eastAsia="Palatino Linotype" w:hAnsi="Palatino Linotype" w:cs="Palatino Linotype"/>
          <w:sz w:val="24"/>
          <w:szCs w:val="24"/>
        </w:rPr>
        <w:t xml:space="preserve">precisas </w:t>
      </w:r>
      <w:r w:rsidR="00E272E8" w:rsidRPr="00DA544A">
        <w:rPr>
          <w:rFonts w:ascii="Palatino Linotype" w:eastAsia="Palatino Linotype" w:hAnsi="Palatino Linotype" w:cs="Palatino Linotype"/>
          <w:sz w:val="24"/>
          <w:szCs w:val="24"/>
        </w:rPr>
        <w:t>de pozos</w:t>
      </w:r>
      <w:r w:rsidRPr="00DA544A">
        <w:rPr>
          <w:rFonts w:ascii="Palatino Linotype" w:eastAsia="Palatino Linotype" w:hAnsi="Palatino Linotype" w:cs="Palatino Linotype"/>
          <w:sz w:val="24"/>
          <w:szCs w:val="24"/>
        </w:rPr>
        <w:t>; ya que eventualmente</w:t>
      </w:r>
      <w:r w:rsidR="00E272E8" w:rsidRPr="00DA544A">
        <w:rPr>
          <w:rFonts w:ascii="Palatino Linotype" w:eastAsia="Palatino Linotype" w:hAnsi="Palatino Linotype" w:cs="Palatino Linotype"/>
          <w:sz w:val="24"/>
          <w:szCs w:val="24"/>
        </w:rPr>
        <w:t xml:space="preserve"> </w:t>
      </w:r>
      <w:r w:rsidRPr="00DA544A">
        <w:rPr>
          <w:rFonts w:ascii="Palatino Linotype" w:eastAsia="Palatino Linotype" w:hAnsi="Palatino Linotype" w:cs="Palatino Linotype"/>
          <w:sz w:val="24"/>
          <w:szCs w:val="24"/>
        </w:rPr>
        <w:t xml:space="preserve">en algunos casos </w:t>
      </w:r>
      <w:r w:rsidR="00E272E8" w:rsidRPr="00DA544A">
        <w:rPr>
          <w:rFonts w:ascii="Palatino Linotype" w:eastAsia="Palatino Linotype" w:hAnsi="Palatino Linotype" w:cs="Palatino Linotype"/>
          <w:sz w:val="24"/>
          <w:szCs w:val="24"/>
        </w:rPr>
        <w:t>pued</w:t>
      </w:r>
      <w:r w:rsidRPr="00DA544A">
        <w:rPr>
          <w:rFonts w:ascii="Palatino Linotype" w:eastAsia="Palatino Linotype" w:hAnsi="Palatino Linotype" w:cs="Palatino Linotype"/>
          <w:sz w:val="24"/>
          <w:szCs w:val="24"/>
        </w:rPr>
        <w:t>e</w:t>
      </w:r>
      <w:r w:rsidR="00E272E8" w:rsidRPr="00DA544A">
        <w:rPr>
          <w:rFonts w:ascii="Palatino Linotype" w:eastAsia="Palatino Linotype" w:hAnsi="Palatino Linotype" w:cs="Palatino Linotype"/>
          <w:sz w:val="24"/>
          <w:szCs w:val="24"/>
        </w:rPr>
        <w:t xml:space="preserve"> existir el riesgo de sobreexplotación o contaminación del agua, por personas no autorizadas derivado que de dar a conocer la ubicación </w:t>
      </w:r>
      <w:r w:rsidRPr="00DA544A">
        <w:rPr>
          <w:rFonts w:ascii="Palatino Linotype" w:eastAsia="Palatino Linotype" w:hAnsi="Palatino Linotype" w:cs="Palatino Linotype"/>
          <w:sz w:val="24"/>
          <w:szCs w:val="24"/>
        </w:rPr>
        <w:t xml:space="preserve">de algunos pozos puede dar lugar </w:t>
      </w:r>
      <w:r w:rsidR="00E272E8" w:rsidRPr="00DA544A">
        <w:rPr>
          <w:rFonts w:ascii="Palatino Linotype" w:eastAsia="Palatino Linotype" w:hAnsi="Palatino Linotype" w:cs="Palatino Linotype"/>
          <w:sz w:val="24"/>
          <w:szCs w:val="24"/>
        </w:rPr>
        <w:t xml:space="preserve">para extraer agua de manera ilegal o verter sustancias contaminantes, lo que afectaría la calidad y disponibilidad del recurso, etcétera, </w:t>
      </w:r>
      <w:r w:rsidRPr="00DA544A">
        <w:rPr>
          <w:rFonts w:ascii="Palatino Linotype" w:eastAsia="Palatino Linotype" w:hAnsi="Palatino Linotype" w:cs="Palatino Linotype"/>
          <w:sz w:val="24"/>
          <w:szCs w:val="24"/>
        </w:rPr>
        <w:t>por lo que en el soporte documental a entregar deberá corresponder a información</w:t>
      </w:r>
      <w:r w:rsidRPr="00DA544A">
        <w:rPr>
          <w:rFonts w:ascii="Palatino Linotype" w:eastAsia="Palatino Linotype" w:hAnsi="Palatino Linotype" w:cs="Palatino Linotype"/>
          <w:sz w:val="24"/>
          <w:szCs w:val="24"/>
        </w:rPr>
        <w:br/>
        <w:t>-ubicaciones generales-.</w:t>
      </w:r>
    </w:p>
    <w:p w:rsidR="004137F4" w:rsidRPr="00DA544A" w:rsidRDefault="004137F4" w:rsidP="004137F4">
      <w:pPr>
        <w:pStyle w:val="Prrafodelista"/>
        <w:rPr>
          <w:rFonts w:ascii="Palatino Linotype" w:eastAsia="Palatino Linotype" w:hAnsi="Palatino Linotype" w:cs="Palatino Linotype"/>
        </w:rPr>
      </w:pPr>
    </w:p>
    <w:p w:rsidR="004137F4" w:rsidRPr="00DA544A" w:rsidRDefault="004137F4" w:rsidP="004137F4">
      <w:pPr>
        <w:numPr>
          <w:ilvl w:val="0"/>
          <w:numId w:val="1"/>
        </w:numPr>
        <w:spacing w:after="0" w:line="360" w:lineRule="auto"/>
        <w:ind w:left="0" w:right="-787" w:firstLine="0"/>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t>En la inteligencia que por ubicación general se concibe como aquella descripción amplia de un lugar, sin proporcionar detalles específicos o precisos sobre su localización exacta, como lo es de manera enunciativa más no limitativa coordenadas geográficas, direcciones exactas o puntos de referencia detallados.</w:t>
      </w:r>
    </w:p>
    <w:p w:rsidR="004137F4" w:rsidRPr="00DA544A" w:rsidRDefault="004137F4" w:rsidP="004137F4">
      <w:pPr>
        <w:pStyle w:val="Prrafodelista"/>
        <w:rPr>
          <w:rFonts w:ascii="Palatino Linotype" w:eastAsia="Palatino Linotype" w:hAnsi="Palatino Linotype" w:cs="Palatino Linotype"/>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bookmarkStart w:id="9" w:name="_heading=h.3dy6vkm" w:colFirst="0" w:colLast="0"/>
      <w:bookmarkEnd w:id="9"/>
      <w:r w:rsidRPr="00DA544A">
        <w:rPr>
          <w:rFonts w:ascii="Palatino Linotype" w:eastAsia="Palatino Linotype" w:hAnsi="Palatino Linotype" w:cs="Palatino Linotype"/>
          <w:sz w:val="24"/>
          <w:szCs w:val="24"/>
        </w:rPr>
        <w:t xml:space="preserve">Con la </w:t>
      </w:r>
      <w:r w:rsidRPr="00DA544A">
        <w:rPr>
          <w:rFonts w:ascii="Palatino Linotype" w:eastAsia="Palatino Linotype" w:hAnsi="Palatino Linotype" w:cs="Palatino Linotype"/>
          <w:color w:val="000000"/>
          <w:sz w:val="24"/>
          <w:szCs w:val="24"/>
        </w:rPr>
        <w:t>determinación</w:t>
      </w:r>
      <w:r w:rsidRPr="00DA544A">
        <w:rPr>
          <w:rFonts w:ascii="Palatino Linotype" w:eastAsia="Palatino Linotype" w:hAnsi="Palatino Linotype" w:cs="Palatino Linotype"/>
          <w:sz w:val="24"/>
          <w:szCs w:val="24"/>
        </w:rPr>
        <w:t xml:space="preserve"> a la que se arriba se concluye que quedará por colmado el Derecho de Acceso a la Información Pública del ahora </w:t>
      </w:r>
      <w:r w:rsidRPr="00DA544A">
        <w:rPr>
          <w:rFonts w:ascii="Palatino Linotype" w:eastAsia="Palatino Linotype" w:hAnsi="Palatino Linotype" w:cs="Palatino Linotype"/>
          <w:b/>
          <w:sz w:val="24"/>
          <w:szCs w:val="24"/>
        </w:rPr>
        <w:t>RECURRENTE</w:t>
      </w:r>
      <w:r w:rsidRPr="00DA544A">
        <w:rPr>
          <w:rFonts w:ascii="Palatino Linotype" w:eastAsia="Palatino Linotype" w:hAnsi="Palatino Linotype" w:cs="Palatino Linotype"/>
          <w:sz w:val="24"/>
          <w:szCs w:val="24"/>
        </w:rPr>
        <w:t xml:space="preserve"> el cual se define como: </w:t>
      </w:r>
      <w:r w:rsidRPr="00DA544A">
        <w:rPr>
          <w:rFonts w:ascii="Palatino Linotype" w:eastAsia="Palatino Linotype" w:hAnsi="Palatino Linotype" w:cs="Palatino Linotype"/>
          <w:i/>
          <w:color w:val="000000"/>
          <w:sz w:val="24"/>
          <w:szCs w:val="24"/>
        </w:rPr>
        <w:t>La igualdad de oportunidades para recibir, buscar e impartir información</w:t>
      </w:r>
      <w:r w:rsidRPr="00DA544A">
        <w:rPr>
          <w:rFonts w:ascii="Palatino Linotype" w:eastAsia="Palatino Linotype" w:hAnsi="Palatino Linotype" w:cs="Palatino Linotype"/>
          <w:i/>
          <w:color w:val="000000"/>
          <w:sz w:val="24"/>
          <w:szCs w:val="24"/>
          <w:vertAlign w:val="superscript"/>
        </w:rPr>
        <w:footnoteReference w:id="1"/>
      </w:r>
      <w:r w:rsidRPr="00DA544A">
        <w:rPr>
          <w:rFonts w:ascii="Palatino Linotype" w:eastAsia="Palatino Linotype" w:hAnsi="Palatino Linotype" w:cs="Palatino Linotype"/>
          <w:i/>
          <w:color w:val="000000"/>
          <w:sz w:val="24"/>
          <w:szCs w:val="24"/>
        </w:rPr>
        <w:t xml:space="preserve">en posesión de cualquier autoridad, entidad, órgano y organismo de los poderes Ejecutivo, Legislativo y Judicial, órganos autónomos, partidos políticos, fideicomisos y fondos públicos, así como de cualquier persona </w:t>
      </w:r>
      <w:r w:rsidRPr="00DA544A">
        <w:rPr>
          <w:rFonts w:ascii="Palatino Linotype" w:eastAsia="Palatino Linotype" w:hAnsi="Palatino Linotype" w:cs="Palatino Linotype"/>
          <w:color w:val="000000"/>
          <w:sz w:val="24"/>
          <w:szCs w:val="24"/>
        </w:rPr>
        <w:t>física</w:t>
      </w:r>
      <w:r w:rsidRPr="00DA544A">
        <w:rPr>
          <w:rFonts w:ascii="Palatino Linotype" w:eastAsia="Palatino Linotype" w:hAnsi="Palatino Linotype" w:cs="Palatino Linotype"/>
          <w:i/>
          <w:color w:val="000000"/>
          <w:sz w:val="24"/>
          <w:szCs w:val="24"/>
        </w:rPr>
        <w:t>, moral o sindicato que reciba y ejerza recursos públicos o realice actos de autoridad en el ámbito federal, estatal y municipal,</w:t>
      </w:r>
      <w:r w:rsidRPr="00DA544A">
        <w:rPr>
          <w:rFonts w:ascii="Palatino Linotype" w:eastAsia="Palatino Linotype" w:hAnsi="Palatino Linotype" w:cs="Palatino Linotype"/>
          <w:i/>
          <w:color w:val="000000"/>
          <w:sz w:val="24"/>
          <w:szCs w:val="24"/>
          <w:vertAlign w:val="superscript"/>
        </w:rPr>
        <w:footnoteReference w:id="2"/>
      </w:r>
      <w:r w:rsidRPr="00DA544A">
        <w:rPr>
          <w:rFonts w:ascii="Palatino Linotype" w:eastAsia="Palatino Linotype" w:hAnsi="Palatino Linotype" w:cs="Palatino Linotype"/>
          <w:color w:val="000000"/>
          <w:sz w:val="24"/>
          <w:szCs w:val="24"/>
        </w:rPr>
        <w:t>que se constituye como una herramienta fundamental para ejercer</w:t>
      </w:r>
      <w:r w:rsidRPr="00DA544A">
        <w:rPr>
          <w:rFonts w:ascii="Palatino Linotype" w:eastAsia="Palatino Linotype" w:hAnsi="Palatino Linotype" w:cs="Palatino Linotype"/>
          <w:i/>
          <w:color w:val="000000"/>
          <w:sz w:val="24"/>
          <w:szCs w:val="24"/>
        </w:rPr>
        <w:t xml:space="preserve"> el control democrático de las gestiones estatales, de forma tal que puedan cuestionar, indagar y considerar si se está dando un adecuado cumplimiento a las funciones públicas,</w:t>
      </w:r>
      <w:r w:rsidRPr="00DA544A">
        <w:rPr>
          <w:rFonts w:ascii="Palatino Linotype" w:eastAsia="Palatino Linotype" w:hAnsi="Palatino Linotype" w:cs="Palatino Linotype"/>
          <w:i/>
          <w:color w:val="000000"/>
          <w:sz w:val="24"/>
          <w:szCs w:val="24"/>
          <w:vertAlign w:val="superscript"/>
        </w:rPr>
        <w:footnoteReference w:id="3"/>
      </w:r>
      <w:r w:rsidRPr="00DA544A">
        <w:rPr>
          <w:rFonts w:ascii="Palatino Linotype" w:eastAsia="Palatino Linotype" w:hAnsi="Palatino Linotype" w:cs="Palatino Linotype"/>
          <w:color w:val="000000"/>
          <w:sz w:val="24"/>
          <w:szCs w:val="24"/>
        </w:rPr>
        <w:t>fomentando</w:t>
      </w:r>
      <w:r w:rsidRPr="00DA544A">
        <w:rPr>
          <w:rFonts w:ascii="Palatino Linotype" w:eastAsia="Palatino Linotype" w:hAnsi="Palatino Linotype" w:cs="Palatino Linotype"/>
          <w:i/>
          <w:color w:val="000000"/>
          <w:sz w:val="24"/>
          <w:szCs w:val="24"/>
        </w:rPr>
        <w:t xml:space="preserve"> la transparencia de las actividades estatales y </w:t>
      </w:r>
      <w:r w:rsidRPr="00DA544A">
        <w:rPr>
          <w:rFonts w:ascii="Palatino Linotype" w:eastAsia="Palatino Linotype" w:hAnsi="Palatino Linotype" w:cs="Palatino Linotype"/>
          <w:color w:val="000000"/>
          <w:sz w:val="24"/>
          <w:szCs w:val="24"/>
        </w:rPr>
        <w:t>promoviendo</w:t>
      </w:r>
      <w:r w:rsidRPr="00DA544A">
        <w:rPr>
          <w:rFonts w:ascii="Palatino Linotype" w:eastAsia="Palatino Linotype" w:hAnsi="Palatino Linotype" w:cs="Palatino Linotype"/>
          <w:i/>
          <w:color w:val="000000"/>
          <w:sz w:val="24"/>
          <w:szCs w:val="24"/>
        </w:rPr>
        <w:t xml:space="preserve"> la responsabilidad de los funcionarios sobre su gestión pública,</w:t>
      </w:r>
      <w:r w:rsidRPr="00DA544A">
        <w:rPr>
          <w:rFonts w:ascii="Palatino Linotype" w:eastAsia="Palatino Linotype" w:hAnsi="Palatino Linotype" w:cs="Palatino Linotype"/>
          <w:i/>
          <w:color w:val="000000"/>
          <w:sz w:val="24"/>
          <w:szCs w:val="24"/>
          <w:vertAlign w:val="superscript"/>
        </w:rPr>
        <w:footnoteReference w:id="4"/>
      </w:r>
      <w:r w:rsidRPr="00DA544A">
        <w:rPr>
          <w:rFonts w:ascii="Palatino Linotype" w:eastAsia="Palatino Linotype" w:hAnsi="Palatino Linotype" w:cs="Palatino Linotype"/>
          <w:color w:val="000000"/>
          <w:sz w:val="24"/>
          <w:szCs w:val="24"/>
        </w:rPr>
        <w:t>que permite</w:t>
      </w:r>
      <w:r w:rsidRPr="00DA544A">
        <w:rPr>
          <w:rFonts w:ascii="Palatino Linotype" w:eastAsia="Palatino Linotype" w:hAnsi="Palatino Linotype" w:cs="Palatino Linotype"/>
          <w:i/>
          <w:color w:val="000000"/>
          <w:sz w:val="24"/>
          <w:szCs w:val="24"/>
        </w:rPr>
        <w:t xml:space="preserve"> saber qué están haciendo los gobiernos por sus pueblos, sin lo cual la verdad languidecería y la participación en el gobierno permanecería fragmentada.</w:t>
      </w:r>
    </w:p>
    <w:p w:rsidR="00EA3618" w:rsidRPr="00DA544A" w:rsidRDefault="00EA3618">
      <w:pPr>
        <w:tabs>
          <w:tab w:val="left" w:pos="284"/>
        </w:tabs>
        <w:spacing w:after="0" w:line="360" w:lineRule="auto"/>
        <w:ind w:right="-787"/>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i/>
        </w:rPr>
      </w:pPr>
      <w:r w:rsidRPr="00DA544A">
        <w:rPr>
          <w:rFonts w:ascii="Palatino Linotype" w:eastAsia="Palatino Linotype" w:hAnsi="Palatino Linotype" w:cs="Palatino Linotype"/>
          <w:sz w:val="24"/>
          <w:szCs w:val="24"/>
        </w:rPr>
        <w:t xml:space="preserve">Se deduce que el derecho de acceso a la información pública es un derecho humano </w:t>
      </w:r>
      <w:r w:rsidRPr="00DA544A">
        <w:rPr>
          <w:rFonts w:ascii="Palatino Linotype" w:eastAsia="Palatino Linotype" w:hAnsi="Palatino Linotype" w:cs="Palatino Linotype"/>
          <w:color w:val="000000"/>
          <w:sz w:val="24"/>
          <w:szCs w:val="24"/>
        </w:rPr>
        <w:t>constitucionalmente</w:t>
      </w:r>
      <w:r w:rsidRPr="00DA544A">
        <w:rPr>
          <w:rFonts w:ascii="Palatino Linotype" w:eastAsia="Palatino Linotype" w:hAnsi="Palatino Linotype" w:cs="Palatino Linotype"/>
          <w:sz w:val="24"/>
          <w:szCs w:val="24"/>
        </w:rPr>
        <w:t xml:space="preserve"> reconocido, en consecuencia, todas las autoridades en el ámbito de sus competencias, funciones y atribuciones tienen la obligación de respetarlo, protegerlo y garantizar.</w:t>
      </w:r>
    </w:p>
    <w:p w:rsidR="00EA3618" w:rsidRPr="00DA544A" w:rsidRDefault="00157A3D">
      <w:pPr>
        <w:tabs>
          <w:tab w:val="left" w:pos="284"/>
        </w:tabs>
        <w:spacing w:after="0" w:line="360" w:lineRule="auto"/>
        <w:ind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 xml:space="preserve"> </w:t>
      </w: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lastRenderedPageBreak/>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DA544A">
        <w:rPr>
          <w:rFonts w:ascii="Palatino Linotype" w:eastAsia="Palatino Linotype" w:hAnsi="Palatino Linotype" w:cs="Palatino Linotype"/>
          <w:i/>
          <w:sz w:val="24"/>
          <w:szCs w:val="24"/>
        </w:rPr>
        <w:t>por los principios de simplicidad, rapidez gratuidad del procedimiento, auxilio y orientación a los particulares</w:t>
      </w:r>
      <w:r w:rsidRPr="00DA544A">
        <w:rPr>
          <w:rFonts w:ascii="Palatino Linotype" w:eastAsia="Palatino Linotype" w:hAnsi="Palatino Linotype" w:cs="Palatino Linotype"/>
          <w:sz w:val="24"/>
          <w:szCs w:val="24"/>
        </w:rPr>
        <w:t xml:space="preserve">, contemplando el derecho de las personas con discapacidad y hablantes de lengua indígena. </w:t>
      </w:r>
    </w:p>
    <w:p w:rsidR="00EA3618" w:rsidRPr="00DA544A" w:rsidRDefault="00EA3618">
      <w:pPr>
        <w:tabs>
          <w:tab w:val="left" w:pos="284"/>
        </w:tabs>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Es así que la </w:t>
      </w:r>
      <w:r w:rsidRPr="00DA544A">
        <w:rPr>
          <w:rFonts w:ascii="Palatino Linotype" w:eastAsia="Palatino Linotype" w:hAnsi="Palatino Linotype" w:cs="Palatino Linotype"/>
          <w:b/>
          <w:sz w:val="24"/>
          <w:szCs w:val="24"/>
        </w:rPr>
        <w:t xml:space="preserve">Ley de Transparencia y Acceso a la Información Pública del Estado de México y Municipios, </w:t>
      </w:r>
      <w:r w:rsidRPr="00DA544A">
        <w:rPr>
          <w:rFonts w:ascii="Palatino Linotype" w:eastAsia="Palatino Linotype" w:hAnsi="Palatino Linotype" w:cs="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sidRPr="00DA544A">
        <w:rPr>
          <w:rFonts w:ascii="Palatino Linotype" w:eastAsia="Palatino Linotype" w:hAnsi="Palatino Linotype" w:cs="Palatino Linotype"/>
          <w:b/>
          <w:sz w:val="24"/>
          <w:szCs w:val="24"/>
        </w:rPr>
        <w:t xml:space="preserve"> </w:t>
      </w:r>
      <w:r w:rsidRPr="00DA544A">
        <w:rPr>
          <w:rFonts w:ascii="Palatino Linotype" w:eastAsia="Palatino Linotype" w:hAnsi="Palatino Linotype" w:cs="Palatino Linotype"/>
          <w:sz w:val="24"/>
          <w:szCs w:val="24"/>
        </w:rPr>
        <w:t xml:space="preserve">establece que </w:t>
      </w:r>
      <w:r w:rsidRPr="00DA544A">
        <w:rPr>
          <w:rFonts w:ascii="Palatino Linotype" w:eastAsia="Palatino Linotype" w:hAnsi="Palatino Linotype" w:cs="Palatino Linotype"/>
          <w:b/>
          <w:i/>
          <w:sz w:val="24"/>
          <w:szCs w:val="24"/>
          <w:u w:val="single"/>
        </w:rPr>
        <w:t>el recurso de revisión es la garantía secundaria</w:t>
      </w:r>
      <w:r w:rsidRPr="00DA544A">
        <w:rPr>
          <w:rFonts w:ascii="Palatino Linotype" w:eastAsia="Palatino Linotype" w:hAnsi="Palatino Linotype" w:cs="Palatino Linotype"/>
          <w:b/>
          <w:i/>
          <w:sz w:val="24"/>
          <w:szCs w:val="24"/>
        </w:rPr>
        <w:t xml:space="preserve"> mediante la cual se pretende reparar cualquier posible afectación al derecho de acceso a la información pública</w:t>
      </w:r>
      <w:r w:rsidRPr="00DA544A">
        <w:rPr>
          <w:rFonts w:ascii="Palatino Linotype" w:eastAsia="Palatino Linotype" w:hAnsi="Palatino Linotype" w:cs="Palatino Linotype"/>
          <w:b/>
          <w:sz w:val="24"/>
          <w:szCs w:val="24"/>
        </w:rPr>
        <w:t>, s</w:t>
      </w:r>
      <w:r w:rsidRPr="00DA544A">
        <w:rPr>
          <w:rFonts w:ascii="Palatino Linotype" w:eastAsia="Palatino Linotype" w:hAnsi="Palatino Linotype" w:cs="Palatino Linotype"/>
          <w:sz w:val="24"/>
          <w:szCs w:val="24"/>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EA3618" w:rsidRPr="00DA544A" w:rsidRDefault="00EA3618">
      <w:pPr>
        <w:pBdr>
          <w:top w:val="nil"/>
          <w:left w:val="nil"/>
          <w:bottom w:val="nil"/>
          <w:right w:val="nil"/>
          <w:between w:val="nil"/>
        </w:pBdr>
        <w:spacing w:after="0" w:line="360" w:lineRule="auto"/>
        <w:ind w:left="720" w:right="-787"/>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i/>
          <w:color w:val="000000"/>
        </w:rPr>
      </w:pPr>
      <w:r w:rsidRPr="00DA544A">
        <w:rPr>
          <w:rFonts w:ascii="Palatino Linotype" w:eastAsia="Palatino Linotype" w:hAnsi="Palatino Linotype" w:cs="Palatino Linotype"/>
          <w:sz w:val="24"/>
          <w:szCs w:val="24"/>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EA3618" w:rsidRPr="00DA544A" w:rsidRDefault="00157A3D">
      <w:pPr>
        <w:spacing w:after="0" w:line="360" w:lineRule="auto"/>
        <w:ind w:left="567" w:right="-787"/>
        <w:jc w:val="both"/>
        <w:rPr>
          <w:rFonts w:ascii="Palatino Linotype" w:eastAsia="Palatino Linotype" w:hAnsi="Palatino Linotype" w:cs="Palatino Linotype"/>
          <w:b/>
          <w:i/>
          <w:sz w:val="24"/>
          <w:szCs w:val="24"/>
        </w:rPr>
      </w:pPr>
      <w:r w:rsidRPr="00DA544A">
        <w:rPr>
          <w:rFonts w:ascii="Palatino Linotype" w:eastAsia="Palatino Linotype" w:hAnsi="Palatino Linotype" w:cs="Palatino Linotype"/>
          <w:b/>
          <w:i/>
          <w:sz w:val="24"/>
          <w:szCs w:val="24"/>
        </w:rPr>
        <w:t>“CRITERIO 0002-11</w:t>
      </w:r>
    </w:p>
    <w:p w:rsidR="00EA3618" w:rsidRPr="00DA544A" w:rsidRDefault="00157A3D">
      <w:pPr>
        <w:spacing w:after="0" w:line="360" w:lineRule="auto"/>
        <w:ind w:left="567"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b/>
          <w:i/>
          <w:sz w:val="24"/>
          <w:szCs w:val="24"/>
        </w:rPr>
        <w:lastRenderedPageBreak/>
        <w:t>INFORMACIÓN PÚBLICA, CONCEPTO DE, EN MATERIA DE TRANSPARENCIA. INTERPRETACIÓN TEMÁTICA DE LOS ARTÍCULOS 2, FRACCIÓN V, XV, Y XVI, 3, 4,11 Y 41.</w:t>
      </w:r>
      <w:r w:rsidRPr="00DA544A">
        <w:rPr>
          <w:rFonts w:ascii="Palatino Linotype" w:eastAsia="Palatino Linotype" w:hAnsi="Palatino Linotype" w:cs="Palatino Linotype"/>
          <w:i/>
          <w:sz w:val="24"/>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A3618" w:rsidRPr="00DA544A" w:rsidRDefault="00157A3D">
      <w:pPr>
        <w:spacing w:after="0" w:line="360" w:lineRule="auto"/>
        <w:ind w:left="567"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En consecuencia el acceso a la información se refiere a que se cumplan cualquiera de los siguientes tres supuestos:</w:t>
      </w:r>
    </w:p>
    <w:p w:rsidR="00EA3618" w:rsidRPr="00DA544A" w:rsidRDefault="00157A3D">
      <w:pPr>
        <w:spacing w:after="0" w:line="360" w:lineRule="auto"/>
        <w:ind w:left="567"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Que se trate de información registrada en cualquier soporte documental, que en ejercicio de las atribuciones conferidas, sea generada por los Sujetos Obligados;</w:t>
      </w:r>
    </w:p>
    <w:p w:rsidR="00EA3618" w:rsidRPr="00DA544A" w:rsidRDefault="00157A3D">
      <w:pPr>
        <w:spacing w:after="0" w:line="360" w:lineRule="auto"/>
        <w:ind w:left="567"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Que se trate de información registrada en cualquier soporte documental, que en ejercicio de las atribuciones conferidas, sea administrada por los Sujetos Obligados, y</w:t>
      </w:r>
    </w:p>
    <w:p w:rsidR="00EA3618" w:rsidRPr="00DA544A" w:rsidRDefault="00157A3D">
      <w:pPr>
        <w:spacing w:after="0" w:line="360" w:lineRule="auto"/>
        <w:ind w:left="567"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i/>
          <w:sz w:val="24"/>
          <w:szCs w:val="24"/>
        </w:rPr>
        <w:t>Que se trate de información registrada en cualquier soporte documental, que en ejercicio de las atribuciones conferidas, se encuentre en posesión de los Sujetos Obligados.”</w:t>
      </w:r>
    </w:p>
    <w:p w:rsidR="00EA3618" w:rsidRPr="00DA544A" w:rsidRDefault="00EA3618">
      <w:pPr>
        <w:pBdr>
          <w:top w:val="nil"/>
          <w:left w:val="nil"/>
          <w:bottom w:val="nil"/>
          <w:right w:val="nil"/>
          <w:between w:val="nil"/>
        </w:pBdr>
        <w:tabs>
          <w:tab w:val="left" w:pos="851"/>
        </w:tabs>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El derecho de acceso a la información encuentra su materia elemental en los documentos, y la Ley de Transparencia local nos brinda el siguiente concepto, para darnos un mejor panorama:</w:t>
      </w:r>
    </w:p>
    <w:p w:rsidR="00EA3618" w:rsidRPr="00DA544A" w:rsidRDefault="00157A3D">
      <w:pPr>
        <w:spacing w:after="0" w:line="360" w:lineRule="auto"/>
        <w:ind w:left="567"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b/>
          <w:i/>
          <w:sz w:val="24"/>
          <w:szCs w:val="24"/>
        </w:rPr>
        <w:t xml:space="preserve">XI. Documento: </w:t>
      </w:r>
      <w:r w:rsidRPr="00DA544A">
        <w:rPr>
          <w:rFonts w:ascii="Palatino Linotype" w:eastAsia="Palatino Linotype" w:hAnsi="Palatino Linotype" w:cs="Palatino Linotype"/>
          <w:i/>
          <w:sz w:val="24"/>
          <w:szCs w:val="24"/>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w:t>
      </w:r>
      <w:r w:rsidRPr="00DA544A">
        <w:rPr>
          <w:rFonts w:ascii="Palatino Linotype" w:eastAsia="Palatino Linotype" w:hAnsi="Palatino Linotype" w:cs="Palatino Linotype"/>
          <w:i/>
          <w:sz w:val="24"/>
          <w:szCs w:val="24"/>
        </w:rPr>
        <w:lastRenderedPageBreak/>
        <w:t>estar en cualquier medio, sea escrito, impreso,  sonoro, visual, electrónico, informático u holográfico;</w:t>
      </w:r>
    </w:p>
    <w:p w:rsidR="00EA3618" w:rsidRPr="00DA544A" w:rsidRDefault="00EA3618">
      <w:pPr>
        <w:pBdr>
          <w:top w:val="nil"/>
          <w:left w:val="nil"/>
          <w:bottom w:val="nil"/>
          <w:right w:val="nil"/>
          <w:between w:val="nil"/>
        </w:pBdr>
        <w:tabs>
          <w:tab w:val="left" w:pos="851"/>
        </w:tabs>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EA3618" w:rsidRPr="00DA544A" w:rsidRDefault="00EA3618">
      <w:pPr>
        <w:pBdr>
          <w:top w:val="nil"/>
          <w:left w:val="nil"/>
          <w:bottom w:val="nil"/>
          <w:right w:val="nil"/>
          <w:between w:val="nil"/>
        </w:pBdr>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color w:val="000000"/>
          <w:sz w:val="24"/>
          <w:szCs w:val="24"/>
        </w:rPr>
        <w:t xml:space="preserve">Resulta necesario referir que, el </w:t>
      </w:r>
      <w:r w:rsidRPr="00DA544A">
        <w:rPr>
          <w:rFonts w:ascii="Palatino Linotype" w:eastAsia="Palatino Linotype" w:hAnsi="Palatino Linotype" w:cs="Palatino Linotype"/>
          <w:sz w:val="24"/>
          <w:szCs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A544A">
        <w:rPr>
          <w:rFonts w:ascii="Palatino Linotype" w:eastAsia="Palatino Linotype" w:hAnsi="Palatino Linotype" w:cs="Palatino Linotype"/>
          <w:b/>
          <w:sz w:val="24"/>
          <w:szCs w:val="24"/>
        </w:rPr>
        <w:t>los Sujetos Obligados deberán documentar todo acto que se derive del ejercicio de sus facultades, competencias o funciones,</w:t>
      </w:r>
      <w:r w:rsidRPr="00DA544A">
        <w:rPr>
          <w:rFonts w:ascii="Palatino Linotype" w:eastAsia="Palatino Linotype" w:hAnsi="Palatino Linotype" w:cs="Palatino Linotype"/>
          <w:sz w:val="24"/>
          <w:szCs w:val="24"/>
        </w:rPr>
        <w:t xml:space="preserve"> considerando desde su origen la eventual publicidad y reutilización de la información que generen, posean o administren.</w:t>
      </w:r>
    </w:p>
    <w:p w:rsidR="00EA3618" w:rsidRPr="00DA544A" w:rsidRDefault="00EA3618">
      <w:pPr>
        <w:spacing w:after="0" w:line="360" w:lineRule="auto"/>
        <w:ind w:right="-787"/>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Además</w:t>
      </w:r>
      <w:r w:rsidRPr="00DA544A">
        <w:rPr>
          <w:rFonts w:ascii="Palatino Linotype" w:eastAsia="Palatino Linotype" w:hAnsi="Palatino Linotype" w:cs="Palatino Linotype"/>
          <w:color w:val="000000"/>
          <w:sz w:val="24"/>
          <w:szCs w:val="24"/>
        </w:rPr>
        <w:t>, debemos tomar en cuenta los artículos 4 y 12 (antes transcrito), de la Ley de Transparencia y Acceso a la Información Pública del Estado de México y Municipios, los cuales establecen lo siguiente:</w:t>
      </w:r>
    </w:p>
    <w:p w:rsidR="00EA3618" w:rsidRPr="00DA544A" w:rsidRDefault="00157A3D">
      <w:pPr>
        <w:spacing w:after="0" w:line="360" w:lineRule="auto"/>
        <w:ind w:left="567"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b/>
          <w:i/>
          <w:sz w:val="24"/>
          <w:szCs w:val="24"/>
        </w:rPr>
        <w:t xml:space="preserve">Artículo 4. </w:t>
      </w:r>
      <w:r w:rsidRPr="00DA544A">
        <w:rPr>
          <w:rFonts w:ascii="Palatino Linotype" w:eastAsia="Palatino Linotype" w:hAnsi="Palatino Linotype" w:cs="Palatino Linotype"/>
          <w:i/>
          <w:sz w:val="24"/>
          <w:szCs w:val="24"/>
        </w:rPr>
        <w:t>El derecho humano de acceso a la información pública es la prerrogativa de las personas para buscar, difundir, investigar, recabar, recibir y solicitar información pública, sin necesidad de acreditar personalidad ni interés jurídico.</w:t>
      </w:r>
    </w:p>
    <w:p w:rsidR="00EA3618" w:rsidRPr="00DA544A" w:rsidRDefault="00157A3D">
      <w:pPr>
        <w:spacing w:after="0" w:line="360" w:lineRule="auto"/>
        <w:ind w:left="567"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A3618" w:rsidRPr="00DA544A" w:rsidRDefault="00157A3D">
      <w:pPr>
        <w:spacing w:after="0" w:line="360" w:lineRule="auto"/>
        <w:ind w:left="567" w:right="-787"/>
        <w:jc w:val="both"/>
        <w:rPr>
          <w:rFonts w:ascii="Palatino Linotype" w:eastAsia="Palatino Linotype" w:hAnsi="Palatino Linotype" w:cs="Palatino Linotype"/>
          <w:i/>
          <w:sz w:val="24"/>
          <w:szCs w:val="24"/>
        </w:rPr>
      </w:pPr>
      <w:r w:rsidRPr="00DA544A">
        <w:rPr>
          <w:rFonts w:ascii="Palatino Linotype" w:eastAsia="Palatino Linotype" w:hAnsi="Palatino Linotype" w:cs="Palatino Linotype"/>
          <w:i/>
          <w:sz w:val="24"/>
          <w:szCs w:val="24"/>
        </w:rPr>
        <w:t>Los sujetos obligados deben poner en práctica, políticas y programas de acceso a la información que se apeguen a criterios de publicidad, veracidad, oportunidad, precisión y suficiencia en beneficio de los solicitantes.</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A544A">
        <w:rPr>
          <w:rFonts w:ascii="Palatino Linotype" w:eastAsia="Palatino Linotype" w:hAnsi="Palatino Linotype" w:cs="Palatino Linotype"/>
          <w:sz w:val="24"/>
          <w:szCs w:val="24"/>
          <w:vertAlign w:val="superscript"/>
        </w:rPr>
        <w:footnoteReference w:id="5"/>
      </w:r>
      <w:r w:rsidRPr="00DA544A">
        <w:rPr>
          <w:rFonts w:ascii="Palatino Linotype" w:eastAsia="Palatino Linotype" w:hAnsi="Palatino Linotype" w:cs="Palatino Linotype"/>
          <w:sz w:val="24"/>
          <w:szCs w:val="24"/>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EA3618" w:rsidRPr="00DA544A" w:rsidRDefault="00EA3618">
      <w:pPr>
        <w:pBdr>
          <w:top w:val="nil"/>
          <w:left w:val="nil"/>
          <w:bottom w:val="nil"/>
          <w:right w:val="nil"/>
          <w:between w:val="nil"/>
        </w:pBdr>
        <w:tabs>
          <w:tab w:val="left" w:pos="851"/>
        </w:tabs>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EA3618" w:rsidRPr="00DA544A" w:rsidRDefault="00157A3D">
      <w:pPr>
        <w:pBdr>
          <w:top w:val="nil"/>
          <w:left w:val="nil"/>
          <w:bottom w:val="nil"/>
          <w:right w:val="nil"/>
          <w:between w:val="nil"/>
        </w:pBdr>
        <w:tabs>
          <w:tab w:val="left" w:pos="851"/>
        </w:tabs>
        <w:spacing w:after="0" w:line="360" w:lineRule="auto"/>
        <w:ind w:left="567" w:right="-787"/>
        <w:jc w:val="both"/>
        <w:rPr>
          <w:rFonts w:ascii="Palatino Linotype" w:eastAsia="Palatino Linotype" w:hAnsi="Palatino Linotype" w:cs="Palatino Linotype"/>
          <w:i/>
          <w:color w:val="000000"/>
          <w:sz w:val="24"/>
          <w:szCs w:val="24"/>
        </w:rPr>
      </w:pPr>
      <w:r w:rsidRPr="00DA544A">
        <w:rPr>
          <w:rFonts w:ascii="Palatino Linotype" w:eastAsia="Palatino Linotype" w:hAnsi="Palatino Linotype" w:cs="Palatino Linotype"/>
          <w:b/>
          <w:i/>
          <w:color w:val="000000"/>
          <w:sz w:val="24"/>
          <w:szCs w:val="24"/>
        </w:rPr>
        <w:t>ACCESO A LA INFORMACIÓN. IMPLICACIÓN DEL PRINCIPIO DE MÁXIMA PUBLICIDAD EN EL DERECHO FUNDAMENTAL RELATIVO.</w:t>
      </w:r>
      <w:r w:rsidRPr="00DA544A">
        <w:rPr>
          <w:rFonts w:ascii="Palatino Linotype" w:eastAsia="Palatino Linotype" w:hAnsi="Palatino Linotype" w:cs="Palatino Linotype"/>
          <w:i/>
          <w:color w:val="000000"/>
          <w:sz w:val="24"/>
          <w:szCs w:val="24"/>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157A3D" w:rsidRPr="00DA544A" w:rsidRDefault="00157A3D">
      <w:pPr>
        <w:pBdr>
          <w:top w:val="nil"/>
          <w:left w:val="nil"/>
          <w:bottom w:val="nil"/>
          <w:right w:val="nil"/>
          <w:between w:val="nil"/>
        </w:pBdr>
        <w:tabs>
          <w:tab w:val="left" w:pos="851"/>
        </w:tabs>
        <w:spacing w:after="0" w:line="360" w:lineRule="auto"/>
        <w:ind w:left="567" w:right="-787"/>
        <w:jc w:val="both"/>
        <w:rPr>
          <w:rFonts w:ascii="Palatino Linotype" w:eastAsia="Palatino Linotype" w:hAnsi="Palatino Linotype" w:cs="Palatino Linotype"/>
          <w:i/>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rPr>
      </w:pPr>
      <w:r w:rsidRPr="00DA544A">
        <w:rPr>
          <w:rFonts w:ascii="Palatino Linotype" w:eastAsia="Palatino Linotype" w:hAnsi="Palatino Linotype" w:cs="Palatino Linotype"/>
          <w:sz w:val="24"/>
          <w:szCs w:val="24"/>
        </w:rPr>
        <w:t xml:space="preserve">Como se ha señalado, los Sujetos Obligados deberán proporcionar toda la información que se encuentre en su posesión bajo los estándares más altos de transparencia y máxima publicidad. </w:t>
      </w:r>
    </w:p>
    <w:p w:rsidR="00EA3618" w:rsidRPr="00DA544A" w:rsidRDefault="00EA3618">
      <w:pPr>
        <w:pBdr>
          <w:top w:val="nil"/>
          <w:left w:val="nil"/>
          <w:bottom w:val="nil"/>
          <w:right w:val="nil"/>
          <w:between w:val="nil"/>
        </w:pBdr>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keepNext/>
        <w:keepLines/>
        <w:spacing w:after="0" w:line="360" w:lineRule="auto"/>
        <w:ind w:right="-787"/>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QUINTO. De la versión pública.</w:t>
      </w:r>
    </w:p>
    <w:p w:rsidR="00B35E84" w:rsidRPr="00DA544A" w:rsidRDefault="00B35E84" w:rsidP="00B35E84">
      <w:pPr>
        <w:spacing w:after="0" w:line="360" w:lineRule="auto"/>
        <w:ind w:left="360" w:right="-787"/>
        <w:jc w:val="both"/>
        <w:rPr>
          <w:rFonts w:ascii="Palatino Linotype" w:eastAsia="Palatino Linotype" w:hAnsi="Palatino Linotype" w:cs="Palatino Linotype"/>
          <w:sz w:val="24"/>
          <w:szCs w:val="24"/>
        </w:rPr>
      </w:pPr>
    </w:p>
    <w:p w:rsidR="00EA3618" w:rsidRPr="00DA544A" w:rsidRDefault="00157A3D">
      <w:pPr>
        <w:keepNext/>
        <w:keepLines/>
        <w:numPr>
          <w:ilvl w:val="0"/>
          <w:numId w:val="3"/>
        </w:numPr>
        <w:tabs>
          <w:tab w:val="left" w:pos="284"/>
        </w:tabs>
        <w:spacing w:after="0" w:line="360" w:lineRule="auto"/>
        <w:ind w:right="-787"/>
        <w:rPr>
          <w:rFonts w:ascii="Palatino Linotype" w:eastAsia="Palatino Linotype" w:hAnsi="Palatino Linotype" w:cs="Palatino Linotype"/>
          <w:b/>
          <w:color w:val="000000"/>
          <w:sz w:val="24"/>
          <w:szCs w:val="24"/>
        </w:rPr>
      </w:pPr>
      <w:bookmarkStart w:id="10" w:name="_heading=h.1t3h5sf" w:colFirst="0" w:colLast="0"/>
      <w:bookmarkEnd w:id="10"/>
      <w:r w:rsidRPr="00DA544A">
        <w:rPr>
          <w:rFonts w:ascii="Palatino Linotype" w:eastAsia="Palatino Linotype" w:hAnsi="Palatino Linotype" w:cs="Palatino Linotype"/>
          <w:b/>
          <w:color w:val="000000"/>
          <w:sz w:val="24"/>
          <w:szCs w:val="24"/>
        </w:rPr>
        <w:t xml:space="preserve">Nociones generales. </w:t>
      </w: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Debe destacarse que, debido a la naturaleza de la información solicitada</w:t>
      </w:r>
      <w:r w:rsidRPr="00DA544A">
        <w:rPr>
          <w:rFonts w:ascii="Palatino Linotype" w:eastAsia="Palatino Linotype" w:hAnsi="Palatino Linotype" w:cs="Palatino Linotype"/>
          <w:b/>
          <w:color w:val="000000"/>
          <w:sz w:val="24"/>
          <w:szCs w:val="24"/>
        </w:rPr>
        <w:t xml:space="preserve">, </w:t>
      </w:r>
      <w:r w:rsidRPr="00DA544A">
        <w:rPr>
          <w:rFonts w:ascii="Palatino Linotype" w:eastAsia="Palatino Linotype" w:hAnsi="Palatino Linotype" w:cs="Palatino Linotype"/>
          <w:sz w:val="24"/>
          <w:szCs w:val="24"/>
        </w:rPr>
        <w:t>eventualmente</w:t>
      </w:r>
      <w:r w:rsidRPr="00DA544A">
        <w:rPr>
          <w:rFonts w:ascii="Palatino Linotype" w:eastAsia="Palatino Linotype" w:hAnsi="Palatino Linotype" w:cs="Palatino Linotype"/>
          <w:color w:val="000000"/>
          <w:sz w:val="24"/>
          <w:szCs w:val="24"/>
        </w:rPr>
        <w:t xml:space="preserve"> pudiera obrar datos personales susceptibles de protegerse, </w:t>
      </w:r>
      <w:r w:rsidRPr="00DA544A">
        <w:rPr>
          <w:rFonts w:ascii="Palatino Linotype" w:eastAsia="Palatino Linotype" w:hAnsi="Palatino Linotype" w:cs="Palatino Linotype"/>
          <w:sz w:val="24"/>
          <w:szCs w:val="24"/>
        </w:rPr>
        <w:t>susceptible</w:t>
      </w:r>
      <w:r w:rsidRPr="00DA544A">
        <w:rPr>
          <w:rFonts w:ascii="Palatino Linotype" w:eastAsia="Palatino Linotype" w:hAnsi="Palatino Linotype" w:cs="Palatino Linotype"/>
          <w:color w:val="000000"/>
          <w:sz w:val="24"/>
          <w:szCs w:val="24"/>
        </w:rPr>
        <w:t xml:space="preserve"> de clasificarse como reservada, el </w:t>
      </w:r>
      <w:r w:rsidRPr="00DA544A">
        <w:rPr>
          <w:rFonts w:ascii="Palatino Linotype" w:eastAsia="Palatino Linotype" w:hAnsi="Palatino Linotype" w:cs="Palatino Linotype"/>
          <w:b/>
          <w:color w:val="000000"/>
          <w:sz w:val="24"/>
          <w:szCs w:val="24"/>
        </w:rPr>
        <w:t xml:space="preserve">SUJETO OBLIGADO </w:t>
      </w:r>
      <w:r w:rsidRPr="00DA544A">
        <w:rPr>
          <w:rFonts w:ascii="Palatino Linotype" w:eastAsia="Palatino Linotype" w:hAnsi="Palatino Linotype" w:cs="Palatino Linotype"/>
          <w:color w:val="000000"/>
          <w:sz w:val="24"/>
          <w:szCs w:val="24"/>
        </w:rPr>
        <w:t xml:space="preserve">deberá de hacer la adecuada versión pública, protegiendo los datos que no son susceptibles de ser proporcionados. </w:t>
      </w:r>
    </w:p>
    <w:p w:rsidR="00EA3618" w:rsidRPr="00DA544A" w:rsidRDefault="00EA3618">
      <w:pPr>
        <w:tabs>
          <w:tab w:val="left" w:pos="0"/>
          <w:tab w:val="left" w:pos="284"/>
        </w:tabs>
        <w:spacing w:after="0" w:line="360" w:lineRule="auto"/>
        <w:ind w:right="-787"/>
        <w:jc w:val="both"/>
        <w:rPr>
          <w:rFonts w:ascii="Palatino Linotype" w:eastAsia="Palatino Linotype" w:hAnsi="Palatino Linotype" w:cs="Palatino Linotype"/>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color w:val="000000"/>
          <w:sz w:val="24"/>
          <w:szCs w:val="24"/>
        </w:rPr>
        <w:t>No pasa desapercibido para este Órgano Garante que los sujetos obligados</w:t>
      </w:r>
      <w:r w:rsidRPr="00DA544A">
        <w:rPr>
          <w:rFonts w:ascii="Palatino Linotype" w:eastAsia="Palatino Linotype" w:hAnsi="Palatino Linotype" w:cs="Palatino Linotype"/>
          <w:b/>
          <w:color w:val="000000"/>
          <w:sz w:val="24"/>
          <w:szCs w:val="24"/>
        </w:rPr>
        <w:t xml:space="preserve"> </w:t>
      </w:r>
      <w:r w:rsidRPr="00DA544A">
        <w:rPr>
          <w:rFonts w:ascii="Palatino Linotype" w:eastAsia="Palatino Linotype" w:hAnsi="Palatino Linotype" w:cs="Palatino Linotype"/>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EA3618" w:rsidRPr="00DA544A" w:rsidRDefault="00EA3618">
      <w:pPr>
        <w:tabs>
          <w:tab w:val="left" w:pos="284"/>
        </w:tabs>
        <w:spacing w:after="0" w:line="360" w:lineRule="auto"/>
        <w:ind w:right="-787"/>
        <w:jc w:val="both"/>
        <w:rPr>
          <w:rFonts w:ascii="Palatino Linotype" w:eastAsia="Palatino Linotype" w:hAnsi="Palatino Linotype" w:cs="Palatino Linotype"/>
          <w:color w:val="000000"/>
          <w:sz w:val="24"/>
          <w:szCs w:val="24"/>
        </w:rPr>
      </w:pPr>
    </w:p>
    <w:tbl>
      <w:tblPr>
        <w:tblStyle w:val="a"/>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237"/>
      </w:tblGrid>
      <w:tr w:rsidR="00EA3618" w:rsidRPr="00DA544A" w:rsidTr="00EA3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A3618" w:rsidRPr="00DA544A" w:rsidRDefault="00157A3D">
            <w:pPr>
              <w:tabs>
                <w:tab w:val="left" w:pos="284"/>
              </w:tabs>
              <w:spacing w:line="360" w:lineRule="auto"/>
              <w:ind w:right="-787"/>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t>a) Requisitos previos.</w:t>
            </w:r>
          </w:p>
        </w:tc>
        <w:tc>
          <w:tcPr>
            <w:tcW w:w="6237" w:type="dxa"/>
          </w:tcPr>
          <w:p w:rsidR="00EA3618" w:rsidRPr="00DA544A" w:rsidRDefault="00157A3D">
            <w:pPr>
              <w:tabs>
                <w:tab w:val="left" w:pos="284"/>
              </w:tabs>
              <w:spacing w:line="360" w:lineRule="auto"/>
              <w:ind w:right="-787"/>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 xml:space="preserve">Los artículos 100 y 122 de la Ley Estatal y de la Ley General, respectivamente, señalan que si los Sujetos Obligados determinan que la información actualiza alguno de los </w:t>
            </w:r>
            <w:r w:rsidRPr="00DA544A">
              <w:rPr>
                <w:rFonts w:ascii="Palatino Linotype" w:eastAsia="Palatino Linotype" w:hAnsi="Palatino Linotype" w:cs="Palatino Linotype"/>
                <w:color w:val="000000"/>
                <w:sz w:val="24"/>
                <w:szCs w:val="24"/>
              </w:rPr>
              <w:lastRenderedPageBreak/>
              <w:t xml:space="preserve">supuestos de clasificación, es deber de los titulares de las áreas proponer su clasificación y no del Comité de Transparencia. </w:t>
            </w:r>
          </w:p>
          <w:p w:rsidR="00EA3618" w:rsidRPr="00DA544A" w:rsidRDefault="00157A3D">
            <w:pPr>
              <w:tabs>
                <w:tab w:val="left" w:pos="284"/>
              </w:tabs>
              <w:spacing w:line="360" w:lineRule="auto"/>
              <w:ind w:right="-787"/>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Al hacerlo tienen que precisar de qué información se trata, señalando el supuesto de clasificación (confidencialidad o reserva).</w:t>
            </w:r>
          </w:p>
          <w:p w:rsidR="00EA3618" w:rsidRPr="00DA544A" w:rsidRDefault="00157A3D">
            <w:pPr>
              <w:tabs>
                <w:tab w:val="left" w:pos="284"/>
              </w:tabs>
              <w:spacing w:line="360" w:lineRule="auto"/>
              <w:ind w:right="-787"/>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Además, se debe señalar el procedimiento, de los tres que establecen los artículos 132 y 106 de la Ley Estatal y General, respectivamente.</w:t>
            </w:r>
          </w:p>
          <w:p w:rsidR="00EA3618" w:rsidRPr="00DA544A" w:rsidRDefault="00157A3D">
            <w:pPr>
              <w:tabs>
                <w:tab w:val="left" w:pos="284"/>
              </w:tabs>
              <w:spacing w:line="360" w:lineRule="auto"/>
              <w:ind w:right="-787"/>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4"/>
                <w:szCs w:val="24"/>
              </w:rPr>
            </w:pPr>
            <w:r w:rsidRPr="00DA544A">
              <w:rPr>
                <w:rFonts w:ascii="Palatino Linotype" w:eastAsia="Palatino Linotype" w:hAnsi="Palatino Linotype" w:cs="Palatino Linotype"/>
                <w:color w:val="000000"/>
                <w:sz w:val="24"/>
                <w:szCs w:val="24"/>
              </w:rPr>
              <w:t xml:space="preserve">El último de estos requisitos previos consiste en que no se pueden emitir acuerdos de carácter general ni particular, esto es, </w:t>
            </w:r>
            <w:r w:rsidRPr="00DA544A">
              <w:rPr>
                <w:rFonts w:ascii="Palatino Linotype" w:eastAsia="Palatino Linotype" w:hAnsi="Palatino Linotype" w:cs="Palatino Linotype"/>
                <w:color w:val="000000"/>
                <w:sz w:val="24"/>
                <w:szCs w:val="24"/>
                <w:u w:val="single"/>
              </w:rPr>
              <w:t>no se puede hacer un acuerdo para clasificar de manera general todos los documentos de un expediente o área, sin</w:t>
            </w:r>
            <w:r w:rsidRPr="00DA544A">
              <w:rPr>
                <w:rFonts w:ascii="Palatino Linotype" w:eastAsia="Palatino Linotype" w:hAnsi="Palatino Linotype" w:cs="Palatino Linotype"/>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EA3618" w:rsidRPr="00DA544A" w:rsidTr="00EA3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A3618" w:rsidRPr="00DA544A" w:rsidRDefault="00157A3D">
            <w:pPr>
              <w:tabs>
                <w:tab w:val="left" w:pos="284"/>
              </w:tabs>
              <w:spacing w:line="360" w:lineRule="auto"/>
              <w:ind w:right="-787"/>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lastRenderedPageBreak/>
              <w:t>b) Supuestos de clasificación.</w:t>
            </w:r>
          </w:p>
        </w:tc>
        <w:tc>
          <w:tcPr>
            <w:tcW w:w="6237" w:type="dxa"/>
          </w:tcPr>
          <w:p w:rsidR="00EA3618" w:rsidRPr="00DA544A" w:rsidRDefault="00157A3D">
            <w:pPr>
              <w:tabs>
                <w:tab w:val="left" w:pos="284"/>
              </w:tabs>
              <w:spacing w:line="360" w:lineRule="auto"/>
              <w:ind w:right="-78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Las disposiciones constitucionales y legales en la materia establecen los dos supuestos generales para clasificar la información: por reserva y por confidencialidad.</w:t>
            </w:r>
          </w:p>
          <w:p w:rsidR="00EA3618" w:rsidRPr="00DA544A" w:rsidRDefault="00157A3D">
            <w:pPr>
              <w:tabs>
                <w:tab w:val="left" w:pos="284"/>
              </w:tabs>
              <w:spacing w:line="360" w:lineRule="auto"/>
              <w:ind w:right="-78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w:t>
            </w:r>
            <w:r w:rsidRPr="00DA544A">
              <w:rPr>
                <w:rFonts w:ascii="Palatino Linotype" w:eastAsia="Palatino Linotype" w:hAnsi="Palatino Linotype" w:cs="Palatino Linotype"/>
                <w:color w:val="000000"/>
                <w:sz w:val="24"/>
                <w:szCs w:val="24"/>
              </w:rPr>
              <w:lastRenderedPageBreak/>
              <w:t>debe realizarse de manera restrictiva y limitada, por lo que debe acreditarse que se cumple con esta condición y no se pueden ampliar las excepciones o supuestos de clasificación aduciendo analogía o mayoría de razón.</w:t>
            </w:r>
          </w:p>
          <w:p w:rsidR="00EA3618" w:rsidRPr="00DA544A" w:rsidRDefault="00157A3D">
            <w:pPr>
              <w:tabs>
                <w:tab w:val="left" w:pos="284"/>
              </w:tabs>
              <w:spacing w:line="360" w:lineRule="auto"/>
              <w:ind w:right="-78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4"/>
                <w:szCs w:val="24"/>
              </w:rPr>
            </w:pPr>
            <w:r w:rsidRPr="00DA544A">
              <w:rPr>
                <w:rFonts w:ascii="Palatino Linotype" w:eastAsia="Palatino Linotype" w:hAnsi="Palatino Linotype" w:cs="Palatino Linotype"/>
                <w:color w:val="000000"/>
                <w:sz w:val="24"/>
                <w:szCs w:val="24"/>
              </w:rPr>
              <w:t xml:space="preserve">El </w:t>
            </w:r>
            <w:r w:rsidRPr="00DA544A">
              <w:rPr>
                <w:rFonts w:ascii="Palatino Linotype" w:eastAsia="Palatino Linotype" w:hAnsi="Palatino Linotype" w:cs="Palatino Linotype"/>
                <w:b/>
                <w:color w:val="000000"/>
                <w:sz w:val="24"/>
                <w:szCs w:val="24"/>
              </w:rPr>
              <w:t>Sujeto Obligado</w:t>
            </w:r>
            <w:r w:rsidRPr="00DA544A">
              <w:rPr>
                <w:rFonts w:ascii="Palatino Linotype" w:eastAsia="Palatino Linotype" w:hAnsi="Palatino Linotype" w:cs="Palatino Linotype"/>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A3618" w:rsidRPr="00DA544A" w:rsidTr="00EA3618">
        <w:tc>
          <w:tcPr>
            <w:cnfStyle w:val="001000000000" w:firstRow="0" w:lastRow="0" w:firstColumn="1" w:lastColumn="0" w:oddVBand="0" w:evenVBand="0" w:oddHBand="0" w:evenHBand="0" w:firstRowFirstColumn="0" w:firstRowLastColumn="0" w:lastRowFirstColumn="0" w:lastRowLastColumn="0"/>
            <w:tcW w:w="2689" w:type="dxa"/>
          </w:tcPr>
          <w:p w:rsidR="00EA3618" w:rsidRPr="00DA544A" w:rsidRDefault="00157A3D">
            <w:pPr>
              <w:tabs>
                <w:tab w:val="left" w:pos="284"/>
              </w:tabs>
              <w:spacing w:line="360" w:lineRule="auto"/>
              <w:ind w:right="-787"/>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lastRenderedPageBreak/>
              <w:t>c) Formalidades para emitir el acuerdo de clasificación.</w:t>
            </w:r>
          </w:p>
        </w:tc>
        <w:tc>
          <w:tcPr>
            <w:tcW w:w="6237" w:type="dxa"/>
          </w:tcPr>
          <w:p w:rsidR="00EA3618" w:rsidRPr="00DA544A" w:rsidRDefault="00157A3D">
            <w:pPr>
              <w:tabs>
                <w:tab w:val="left" w:pos="284"/>
              </w:tabs>
              <w:spacing w:line="360" w:lineRule="auto"/>
              <w:ind w:right="-78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 xml:space="preserve">El Comité de Transparencia, según lo dispuesto en los artículos cuenta con las facultades para aprobar, modificar o revocar la clasificación de la información que haya propuesto. </w:t>
            </w:r>
          </w:p>
          <w:p w:rsidR="00EA3618" w:rsidRPr="00DA544A" w:rsidRDefault="00157A3D">
            <w:pPr>
              <w:tabs>
                <w:tab w:val="left" w:pos="284"/>
              </w:tabs>
              <w:spacing w:line="360" w:lineRule="auto"/>
              <w:ind w:right="-78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 xml:space="preserve">Es necesario que </w:t>
            </w:r>
            <w:r w:rsidRPr="00DA544A">
              <w:rPr>
                <w:rFonts w:ascii="Palatino Linotype" w:eastAsia="Palatino Linotype" w:hAnsi="Palatino Linotype" w:cs="Palatino Linotype"/>
                <w:b/>
                <w:color w:val="000000"/>
                <w:sz w:val="24"/>
                <w:szCs w:val="24"/>
                <w:u w:val="single"/>
              </w:rPr>
              <w:t>el acto reúna con los requisitos elementales</w:t>
            </w:r>
            <w:r w:rsidRPr="00DA544A">
              <w:rPr>
                <w:rFonts w:ascii="Palatino Linotype" w:eastAsia="Palatino Linotype" w:hAnsi="Palatino Linotype" w:cs="Palatino Linotype"/>
                <w:color w:val="000000"/>
                <w:sz w:val="24"/>
                <w:szCs w:val="24"/>
              </w:rPr>
              <w:t>, entre ellos, que la autoridad que va a emitir el acto de autoridad sea la legalmente facultada para ello.</w:t>
            </w:r>
          </w:p>
          <w:p w:rsidR="00EA3618" w:rsidRPr="00DA544A" w:rsidRDefault="00157A3D">
            <w:pPr>
              <w:tabs>
                <w:tab w:val="left" w:pos="284"/>
              </w:tabs>
              <w:spacing w:line="360" w:lineRule="auto"/>
              <w:ind w:right="-78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4"/>
                <w:szCs w:val="24"/>
              </w:rPr>
            </w:pPr>
            <w:r w:rsidRPr="00DA544A">
              <w:rPr>
                <w:rFonts w:ascii="Palatino Linotype" w:eastAsia="Palatino Linotype" w:hAnsi="Palatino Linotype" w:cs="Palatino Linotype"/>
                <w:color w:val="000000"/>
                <w:sz w:val="24"/>
                <w:szCs w:val="24"/>
              </w:rPr>
              <w:t xml:space="preserve">La decisión de aprobar, modificar o revocar la clasificación deberá de asentarse en un documento que registre la determinación a la que se llegue después de un análisis minucioso a partir de lo propuesto por el Titular del I. </w:t>
            </w:r>
            <w:r w:rsidRPr="00DA544A">
              <w:rPr>
                <w:rFonts w:ascii="Palatino Linotype" w:eastAsia="Palatino Linotype" w:hAnsi="Palatino Linotype" w:cs="Palatino Linotype"/>
                <w:sz w:val="24"/>
                <w:szCs w:val="24"/>
              </w:rPr>
              <w:t>El área</w:t>
            </w:r>
            <w:r w:rsidRPr="00DA544A">
              <w:rPr>
                <w:rFonts w:ascii="Palatino Linotype" w:eastAsia="Palatino Linotype" w:hAnsi="Palatino Linotype" w:cs="Palatino Linotype"/>
                <w:color w:val="000000"/>
                <w:sz w:val="24"/>
                <w:szCs w:val="24"/>
              </w:rPr>
              <w:t xml:space="preserve"> que administra la información, cuyo análisis debe integrarse en la agenda de los asuntos a tratar en las sesiones, se insiste, a partir de las decisiones adoptadas previamente por los titulares de </w:t>
            </w:r>
            <w:r w:rsidRPr="00DA544A">
              <w:rPr>
                <w:rFonts w:ascii="Palatino Linotype" w:eastAsia="Palatino Linotype" w:hAnsi="Palatino Linotype" w:cs="Palatino Linotype"/>
                <w:color w:val="000000"/>
                <w:sz w:val="24"/>
                <w:szCs w:val="24"/>
              </w:rPr>
              <w:lastRenderedPageBreak/>
              <w:t>áreas y que son sujetas a control, en primera instancia, por el Comité de Transparencia.</w:t>
            </w:r>
          </w:p>
        </w:tc>
      </w:tr>
      <w:tr w:rsidR="00EA3618" w:rsidRPr="00DA544A" w:rsidTr="00EA3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EA3618" w:rsidRPr="00DA544A" w:rsidRDefault="00EA3618">
            <w:pPr>
              <w:tabs>
                <w:tab w:val="left" w:pos="284"/>
              </w:tabs>
              <w:spacing w:line="360" w:lineRule="auto"/>
              <w:ind w:right="-787"/>
              <w:rPr>
                <w:rFonts w:ascii="Palatino Linotype" w:eastAsia="Palatino Linotype" w:hAnsi="Palatino Linotype" w:cs="Palatino Linotype"/>
                <w:sz w:val="24"/>
                <w:szCs w:val="24"/>
              </w:rPr>
            </w:pPr>
          </w:p>
          <w:p w:rsidR="00EA3618" w:rsidRPr="00DA544A" w:rsidRDefault="00157A3D">
            <w:pPr>
              <w:tabs>
                <w:tab w:val="left" w:pos="284"/>
              </w:tabs>
              <w:spacing w:line="360" w:lineRule="auto"/>
              <w:ind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color w:val="000000"/>
                <w:sz w:val="24"/>
                <w:szCs w:val="24"/>
              </w:rPr>
              <w:t xml:space="preserve">d) Requisitos de fondo del acuerdo de clasificación. </w:t>
            </w:r>
          </w:p>
        </w:tc>
        <w:tc>
          <w:tcPr>
            <w:tcW w:w="6237" w:type="dxa"/>
          </w:tcPr>
          <w:p w:rsidR="00EA3618" w:rsidRPr="00DA544A" w:rsidRDefault="00157A3D">
            <w:pPr>
              <w:tabs>
                <w:tab w:val="left" w:pos="284"/>
              </w:tabs>
              <w:spacing w:line="360" w:lineRule="auto"/>
              <w:ind w:right="-78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A544A">
              <w:rPr>
                <w:rFonts w:ascii="Palatino Linotype" w:eastAsia="Palatino Linotype" w:hAnsi="Palatino Linotype" w:cs="Palatino Linotype"/>
                <w:b/>
                <w:color w:val="000000"/>
                <w:sz w:val="24"/>
                <w:szCs w:val="24"/>
              </w:rPr>
              <w:t>Sujetos Obligados</w:t>
            </w:r>
            <w:r w:rsidRPr="00DA544A">
              <w:rPr>
                <w:rFonts w:ascii="Palatino Linotype" w:eastAsia="Palatino Linotype" w:hAnsi="Palatino Linotype" w:cs="Palatino Linotype"/>
                <w:color w:val="000000"/>
                <w:sz w:val="24"/>
                <w:szCs w:val="24"/>
              </w:rPr>
              <w:t xml:space="preserve">, por lo que deberán fundar y motivar debidamente la clasificación. </w:t>
            </w:r>
          </w:p>
          <w:p w:rsidR="00EA3618" w:rsidRPr="00DA544A" w:rsidRDefault="00157A3D">
            <w:pPr>
              <w:tabs>
                <w:tab w:val="left" w:pos="284"/>
              </w:tabs>
              <w:spacing w:line="360" w:lineRule="auto"/>
              <w:ind w:right="-78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 xml:space="preserve">De lo anterior, se desprende que para una correcta </w:t>
            </w:r>
            <w:r w:rsidRPr="00DA544A">
              <w:rPr>
                <w:rFonts w:ascii="Palatino Linotype" w:eastAsia="Palatino Linotype" w:hAnsi="Palatino Linotype" w:cs="Palatino Linotype"/>
                <w:b/>
                <w:color w:val="000000"/>
                <w:sz w:val="24"/>
                <w:szCs w:val="24"/>
              </w:rPr>
              <w:t>clasificación total o parcial</w:t>
            </w:r>
            <w:r w:rsidRPr="00DA544A">
              <w:rPr>
                <w:rFonts w:ascii="Palatino Linotype" w:eastAsia="Palatino Linotype" w:hAnsi="Palatino Linotype" w:cs="Palatino Linotype"/>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A3618" w:rsidRPr="00DA544A" w:rsidRDefault="00157A3D">
            <w:pPr>
              <w:tabs>
                <w:tab w:val="left" w:pos="284"/>
              </w:tabs>
              <w:spacing w:line="360" w:lineRule="auto"/>
              <w:ind w:right="-78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w:t>
            </w:r>
            <w:r w:rsidRPr="00DA544A">
              <w:rPr>
                <w:rFonts w:ascii="Palatino Linotype" w:eastAsia="Palatino Linotype" w:hAnsi="Palatino Linotype" w:cs="Palatino Linotype"/>
                <w:color w:val="000000"/>
                <w:sz w:val="24"/>
                <w:szCs w:val="24"/>
              </w:rPr>
              <w:lastRenderedPageBreak/>
              <w:t>la persona que se sienta afectada pueda impugnar la decisión, permitiéndole una real y auténtica defensa.</w:t>
            </w:r>
          </w:p>
          <w:p w:rsidR="00EA3618" w:rsidRPr="00DA544A" w:rsidRDefault="00157A3D">
            <w:pPr>
              <w:tabs>
                <w:tab w:val="left" w:pos="284"/>
              </w:tabs>
              <w:spacing w:line="360" w:lineRule="auto"/>
              <w:ind w:right="-78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En ese mismo sentido, el numeral trigésimo tercero fracción V de los Lineamientos Generales, precisa que para motivar la clasificación se deben acreditar las circunstancias de tiempo, modo y lugar.</w:t>
            </w:r>
          </w:p>
          <w:p w:rsidR="00EA3618" w:rsidRPr="00DA544A" w:rsidRDefault="00157A3D">
            <w:pPr>
              <w:tabs>
                <w:tab w:val="left" w:pos="284"/>
              </w:tabs>
              <w:spacing w:line="360" w:lineRule="auto"/>
              <w:ind w:right="-78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 xml:space="preserve">Ahora bien, </w:t>
            </w:r>
            <w:r w:rsidRPr="00DA544A">
              <w:rPr>
                <w:rFonts w:ascii="Palatino Linotype" w:eastAsia="Palatino Linotype" w:hAnsi="Palatino Linotype" w:cs="Palatino Linotype"/>
                <w:b/>
                <w:color w:val="000000"/>
                <w:sz w:val="24"/>
                <w:szCs w:val="24"/>
                <w:u w:val="single"/>
              </w:rPr>
              <w:t>para cada caso además de fundar y motivar</w:t>
            </w:r>
            <w:r w:rsidRPr="00DA544A">
              <w:rPr>
                <w:rFonts w:ascii="Palatino Linotype" w:eastAsia="Palatino Linotype" w:hAnsi="Palatino Linotype" w:cs="Palatino Linotype"/>
                <w:color w:val="000000"/>
                <w:sz w:val="24"/>
                <w:szCs w:val="24"/>
              </w:rPr>
              <w:t xml:space="preserve">, se debe identificar con claridad </w:t>
            </w:r>
            <w:r w:rsidRPr="00DA544A">
              <w:rPr>
                <w:rFonts w:ascii="Palatino Linotype" w:eastAsia="Palatino Linotype" w:hAnsi="Palatino Linotype" w:cs="Palatino Linotype"/>
                <w:sz w:val="24"/>
                <w:szCs w:val="24"/>
              </w:rPr>
              <w:t>qué</w:t>
            </w:r>
            <w:r w:rsidRPr="00DA544A">
              <w:rPr>
                <w:rFonts w:ascii="Palatino Linotype" w:eastAsia="Palatino Linotype" w:hAnsi="Palatino Linotype" w:cs="Palatino Linotype"/>
                <w:color w:val="000000"/>
                <w:sz w:val="24"/>
                <w:szCs w:val="24"/>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A3618" w:rsidRPr="00DA544A" w:rsidTr="00EA3618">
        <w:tc>
          <w:tcPr>
            <w:cnfStyle w:val="001000000000" w:firstRow="0" w:lastRow="0" w:firstColumn="1" w:lastColumn="0" w:oddVBand="0" w:evenVBand="0" w:oddHBand="0" w:evenHBand="0" w:firstRowFirstColumn="0" w:firstRowLastColumn="0" w:lastRowFirstColumn="0" w:lastRowLastColumn="0"/>
            <w:tcW w:w="2689" w:type="dxa"/>
          </w:tcPr>
          <w:p w:rsidR="00EA3618" w:rsidRPr="00DA544A" w:rsidRDefault="00157A3D">
            <w:pPr>
              <w:tabs>
                <w:tab w:val="left" w:pos="284"/>
              </w:tabs>
              <w:spacing w:line="360" w:lineRule="auto"/>
              <w:ind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sz w:val="24"/>
                <w:szCs w:val="24"/>
              </w:rPr>
              <w:lastRenderedPageBreak/>
              <w:t xml:space="preserve">e) Condiciones especiales de la clasificación de la información como confidencial. </w:t>
            </w:r>
          </w:p>
        </w:tc>
        <w:tc>
          <w:tcPr>
            <w:tcW w:w="6237" w:type="dxa"/>
          </w:tcPr>
          <w:p w:rsidR="00EA3618" w:rsidRPr="00DA544A" w:rsidRDefault="00157A3D">
            <w:pPr>
              <w:tabs>
                <w:tab w:val="left" w:pos="284"/>
              </w:tabs>
              <w:spacing w:line="360" w:lineRule="auto"/>
              <w:ind w:right="-78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rsidR="00EA3618" w:rsidRPr="00DA544A" w:rsidRDefault="00157A3D">
            <w:pPr>
              <w:tabs>
                <w:tab w:val="left" w:pos="284"/>
              </w:tabs>
              <w:spacing w:line="360" w:lineRule="auto"/>
              <w:ind w:right="-78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A3618" w:rsidRPr="00DA544A" w:rsidRDefault="00157A3D">
            <w:pPr>
              <w:tabs>
                <w:tab w:val="left" w:pos="284"/>
              </w:tabs>
              <w:spacing w:line="360" w:lineRule="auto"/>
              <w:ind w:right="-787"/>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4"/>
                <w:szCs w:val="24"/>
              </w:rPr>
            </w:pPr>
            <w:r w:rsidRPr="00DA544A">
              <w:rPr>
                <w:rFonts w:ascii="Palatino Linotype" w:eastAsia="Palatino Linotype" w:hAnsi="Palatino Linotype" w:cs="Palatino Linotype"/>
                <w:color w:val="000000"/>
                <w:sz w:val="24"/>
                <w:szCs w:val="24"/>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EA3618" w:rsidRPr="00DA544A" w:rsidRDefault="00EA3618">
      <w:pPr>
        <w:tabs>
          <w:tab w:val="left" w:pos="284"/>
        </w:tabs>
        <w:spacing w:after="0" w:line="360" w:lineRule="auto"/>
        <w:ind w:right="-787"/>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sz w:val="24"/>
          <w:szCs w:val="24"/>
        </w:rPr>
        <w:t xml:space="preserve">Si el servidor público incumple con estas formalidades y entrega la información </w:t>
      </w:r>
      <w:r w:rsidRPr="00DA544A">
        <w:rPr>
          <w:rFonts w:ascii="Palatino Linotype" w:eastAsia="Palatino Linotype" w:hAnsi="Palatino Linotype" w:cs="Palatino Linotype"/>
          <w:color w:val="000000"/>
          <w:sz w:val="24"/>
          <w:szCs w:val="24"/>
        </w:rPr>
        <w:t>sin</w:t>
      </w:r>
      <w:r w:rsidRPr="00DA544A">
        <w:rPr>
          <w:rFonts w:ascii="Palatino Linotype" w:eastAsia="Palatino Linotype" w:hAnsi="Palatino Linotype" w:cs="Palatino Linotype"/>
          <w:sz w:val="24"/>
          <w:szCs w:val="24"/>
        </w:rPr>
        <w:t xml:space="preserve"> proteger los datos personales incumple con lo que estipula las disposiciones legales establecidas; asimismo que si entrega un documento testado sin el debido acuerdo de clasificación.</w:t>
      </w:r>
    </w:p>
    <w:p w:rsidR="00EA3618" w:rsidRPr="00DA544A" w:rsidRDefault="00EA3618">
      <w:pPr>
        <w:pBdr>
          <w:top w:val="nil"/>
          <w:left w:val="nil"/>
          <w:bottom w:val="nil"/>
          <w:right w:val="nil"/>
          <w:between w:val="nil"/>
        </w:pBdr>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numPr>
          <w:ilvl w:val="0"/>
          <w:numId w:val="1"/>
        </w:numPr>
        <w:spacing w:after="0" w:line="360" w:lineRule="auto"/>
        <w:ind w:left="0" w:right="-787" w:firstLine="0"/>
        <w:jc w:val="both"/>
        <w:rPr>
          <w:rFonts w:ascii="Palatino Linotype" w:eastAsia="Palatino Linotype" w:hAnsi="Palatino Linotype" w:cs="Palatino Linotype"/>
          <w:color w:val="000000"/>
        </w:rPr>
      </w:pPr>
      <w:r w:rsidRPr="00DA544A">
        <w:rPr>
          <w:rFonts w:ascii="Palatino Linotype" w:eastAsia="Palatino Linotype" w:hAnsi="Palatino Linotype" w:cs="Palatino Linotype"/>
          <w:sz w:val="24"/>
          <w:szCs w:val="24"/>
        </w:rPr>
        <w:t>Por lo anteriormente expuesto, este Órgano Garante considera fundadas las razones o motivos de inconformidad que plantea el</w:t>
      </w:r>
      <w:r w:rsidRPr="00DA544A">
        <w:rPr>
          <w:rFonts w:ascii="Palatino Linotype" w:eastAsia="Palatino Linotype" w:hAnsi="Palatino Linotype" w:cs="Palatino Linotype"/>
          <w:b/>
          <w:sz w:val="24"/>
          <w:szCs w:val="24"/>
        </w:rPr>
        <w:t xml:space="preserve"> RECURRENTE</w:t>
      </w:r>
      <w:r w:rsidRPr="00DA544A">
        <w:rPr>
          <w:rFonts w:ascii="Palatino Linotype" w:eastAsia="Palatino Linotype" w:hAnsi="Palatino Linotype" w:cs="Palatino Linotype"/>
          <w:sz w:val="24"/>
          <w:szCs w:val="24"/>
        </w:rPr>
        <w:t xml:space="preserve">, determinando </w:t>
      </w:r>
      <w:r w:rsidRPr="00DA544A">
        <w:rPr>
          <w:rFonts w:ascii="Palatino Linotype" w:eastAsia="Palatino Linotype" w:hAnsi="Palatino Linotype" w:cs="Palatino Linotype"/>
          <w:b/>
          <w:sz w:val="24"/>
          <w:szCs w:val="24"/>
        </w:rPr>
        <w:t xml:space="preserve">REVOCAR </w:t>
      </w:r>
      <w:r w:rsidRPr="00DA544A">
        <w:rPr>
          <w:rFonts w:ascii="Palatino Linotype" w:eastAsia="Palatino Linotype" w:hAnsi="Palatino Linotype" w:cs="Palatino Linotype"/>
          <w:sz w:val="24"/>
          <w:szCs w:val="24"/>
        </w:rPr>
        <w:t xml:space="preserve">la respuesta del </w:t>
      </w:r>
      <w:r w:rsidRPr="00DA544A">
        <w:rPr>
          <w:rFonts w:ascii="Palatino Linotype" w:eastAsia="Palatino Linotype" w:hAnsi="Palatino Linotype" w:cs="Palatino Linotype"/>
          <w:b/>
          <w:sz w:val="24"/>
          <w:szCs w:val="24"/>
        </w:rPr>
        <w:t>SUJETO OBLIGADO</w:t>
      </w:r>
      <w:r w:rsidRPr="00DA544A">
        <w:rPr>
          <w:rFonts w:ascii="Palatino Linotype" w:eastAsia="Palatino Linotype" w:hAnsi="Palatino Linotype" w:cs="Palatino Linotype"/>
          <w:sz w:val="24"/>
          <w:szCs w:val="24"/>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DA544A">
        <w:rPr>
          <w:rFonts w:ascii="Palatino Linotype" w:eastAsia="Palatino Linotype" w:hAnsi="Palatino Linotype" w:cs="Palatino Linotype"/>
          <w:color w:val="000000"/>
          <w:sz w:val="24"/>
          <w:szCs w:val="24"/>
        </w:rPr>
        <w:t xml:space="preserve">este </w:t>
      </w:r>
      <w:r w:rsidRPr="00DA544A">
        <w:rPr>
          <w:rFonts w:ascii="Palatino Linotype" w:eastAsia="Palatino Linotype" w:hAnsi="Palatino Linotype" w:cs="Palatino Linotype"/>
          <w:b/>
          <w:color w:val="000000"/>
          <w:sz w:val="24"/>
          <w:szCs w:val="24"/>
        </w:rPr>
        <w:t>ÓRGANO GARANTE</w:t>
      </w:r>
      <w:r w:rsidRPr="00DA544A">
        <w:rPr>
          <w:rFonts w:ascii="Palatino Linotype" w:eastAsia="Palatino Linotype" w:hAnsi="Palatino Linotype" w:cs="Palatino Linotype"/>
          <w:color w:val="000000"/>
          <w:sz w:val="24"/>
          <w:szCs w:val="24"/>
        </w:rPr>
        <w:t xml:space="preserve"> emite los siguientes:</w:t>
      </w:r>
    </w:p>
    <w:p w:rsidR="00EA3618" w:rsidRPr="00DA544A" w:rsidRDefault="00157A3D">
      <w:pPr>
        <w:pStyle w:val="Ttulo1"/>
        <w:spacing w:before="0" w:line="360" w:lineRule="auto"/>
        <w:ind w:right="-787"/>
        <w:jc w:val="center"/>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R E S O L U T I V O S</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spacing w:after="0" w:line="360" w:lineRule="auto"/>
        <w:ind w:right="-787"/>
        <w:jc w:val="both"/>
        <w:rPr>
          <w:rFonts w:ascii="Palatino Linotype" w:eastAsia="Palatino Linotype" w:hAnsi="Palatino Linotype" w:cs="Palatino Linotype"/>
          <w:sz w:val="24"/>
          <w:szCs w:val="24"/>
        </w:rPr>
      </w:pPr>
      <w:r w:rsidRPr="00DA544A">
        <w:rPr>
          <w:rFonts w:ascii="Palatino Linotype" w:eastAsia="Palatino Linotype" w:hAnsi="Palatino Linotype" w:cs="Palatino Linotype"/>
          <w:b/>
          <w:sz w:val="24"/>
          <w:szCs w:val="24"/>
        </w:rPr>
        <w:t>PRIMERO</w:t>
      </w:r>
      <w:r w:rsidRPr="00DA544A">
        <w:rPr>
          <w:rFonts w:ascii="Palatino Linotype" w:eastAsia="Palatino Linotype" w:hAnsi="Palatino Linotype" w:cs="Palatino Linotype"/>
          <w:sz w:val="24"/>
          <w:szCs w:val="24"/>
        </w:rPr>
        <w:t>. Resultan fundadas las</w:t>
      </w:r>
      <w:r w:rsidRPr="00DA544A">
        <w:rPr>
          <w:rFonts w:ascii="Palatino Linotype" w:eastAsia="Palatino Linotype" w:hAnsi="Palatino Linotype" w:cs="Palatino Linotype"/>
          <w:b/>
          <w:sz w:val="24"/>
          <w:szCs w:val="24"/>
        </w:rPr>
        <w:t xml:space="preserve"> </w:t>
      </w:r>
      <w:r w:rsidRPr="00DA544A">
        <w:rPr>
          <w:rFonts w:ascii="Palatino Linotype" w:eastAsia="Palatino Linotype" w:hAnsi="Palatino Linotype" w:cs="Palatino Linotype"/>
          <w:sz w:val="24"/>
          <w:szCs w:val="24"/>
        </w:rPr>
        <w:t xml:space="preserve">razones o motivos de inconformidad hechos valer en el Recurso de Revisión </w:t>
      </w:r>
      <w:r w:rsidRPr="00DA544A">
        <w:rPr>
          <w:rFonts w:ascii="Palatino Linotype" w:eastAsia="Palatino Linotype" w:hAnsi="Palatino Linotype" w:cs="Palatino Linotype"/>
          <w:b/>
          <w:sz w:val="24"/>
          <w:szCs w:val="24"/>
        </w:rPr>
        <w:t xml:space="preserve">01363/INFOEM/IP/RR/2024, </w:t>
      </w:r>
      <w:r w:rsidRPr="00DA544A">
        <w:rPr>
          <w:rFonts w:ascii="Palatino Linotype" w:eastAsia="Palatino Linotype" w:hAnsi="Palatino Linotype" w:cs="Palatino Linotype"/>
          <w:sz w:val="24"/>
          <w:szCs w:val="24"/>
        </w:rPr>
        <w:t xml:space="preserve">en términos de los </w:t>
      </w:r>
      <w:r w:rsidRPr="00DA544A">
        <w:rPr>
          <w:rFonts w:ascii="Palatino Linotype" w:eastAsia="Palatino Linotype" w:hAnsi="Palatino Linotype" w:cs="Palatino Linotype"/>
          <w:b/>
          <w:sz w:val="24"/>
          <w:szCs w:val="24"/>
        </w:rPr>
        <w:t>Considerandos</w:t>
      </w:r>
      <w:r w:rsidRPr="00DA544A">
        <w:rPr>
          <w:rFonts w:ascii="Palatino Linotype" w:eastAsia="Palatino Linotype" w:hAnsi="Palatino Linotype" w:cs="Palatino Linotype"/>
          <w:sz w:val="24"/>
          <w:szCs w:val="24"/>
        </w:rPr>
        <w:t xml:space="preserve"> </w:t>
      </w:r>
      <w:r w:rsidRPr="00DA544A">
        <w:rPr>
          <w:rFonts w:ascii="Palatino Linotype" w:eastAsia="Palatino Linotype" w:hAnsi="Palatino Linotype" w:cs="Palatino Linotype"/>
          <w:b/>
          <w:sz w:val="24"/>
          <w:szCs w:val="24"/>
        </w:rPr>
        <w:t xml:space="preserve">CUARTO </w:t>
      </w:r>
      <w:r w:rsidRPr="00DA544A">
        <w:rPr>
          <w:rFonts w:ascii="Palatino Linotype" w:eastAsia="Palatino Linotype" w:hAnsi="Palatino Linotype" w:cs="Palatino Linotype"/>
          <w:sz w:val="24"/>
          <w:szCs w:val="24"/>
        </w:rPr>
        <w:t>y</w:t>
      </w:r>
      <w:r w:rsidRPr="00DA544A">
        <w:rPr>
          <w:rFonts w:ascii="Palatino Linotype" w:eastAsia="Palatino Linotype" w:hAnsi="Palatino Linotype" w:cs="Palatino Linotype"/>
          <w:b/>
          <w:sz w:val="24"/>
          <w:szCs w:val="24"/>
        </w:rPr>
        <w:t xml:space="preserve"> QUINTO</w:t>
      </w:r>
      <w:r w:rsidRPr="00DA544A">
        <w:rPr>
          <w:rFonts w:ascii="Palatino Linotype" w:eastAsia="Palatino Linotype" w:hAnsi="Palatino Linotype" w:cs="Palatino Linotype"/>
          <w:sz w:val="24"/>
          <w:szCs w:val="24"/>
        </w:rPr>
        <w:t xml:space="preserve"> de la presente Resolución.</w:t>
      </w:r>
    </w:p>
    <w:p w:rsidR="00EA3618" w:rsidRPr="00DA544A" w:rsidRDefault="00EA3618">
      <w:pPr>
        <w:spacing w:after="0" w:line="360" w:lineRule="auto"/>
        <w:ind w:right="-787"/>
        <w:jc w:val="both"/>
        <w:rPr>
          <w:rFonts w:ascii="Palatino Linotype" w:eastAsia="Palatino Linotype" w:hAnsi="Palatino Linotype" w:cs="Palatino Linotype"/>
          <w:sz w:val="24"/>
          <w:szCs w:val="24"/>
        </w:rPr>
      </w:pPr>
    </w:p>
    <w:p w:rsidR="00EA3618" w:rsidRPr="00DA544A" w:rsidRDefault="00157A3D">
      <w:pPr>
        <w:spacing w:after="0" w:line="360" w:lineRule="auto"/>
        <w:ind w:right="-787"/>
        <w:jc w:val="both"/>
        <w:rPr>
          <w:rFonts w:ascii="Palatino Linotype" w:eastAsia="Palatino Linotype" w:hAnsi="Palatino Linotype" w:cs="Palatino Linotype"/>
          <w:color w:val="000000"/>
          <w:sz w:val="24"/>
          <w:szCs w:val="24"/>
        </w:rPr>
      </w:pPr>
      <w:bookmarkStart w:id="11" w:name="_heading=h.4d34og8" w:colFirst="0" w:colLast="0"/>
      <w:bookmarkEnd w:id="11"/>
      <w:r w:rsidRPr="00DA544A">
        <w:rPr>
          <w:rFonts w:ascii="Palatino Linotype" w:eastAsia="Palatino Linotype" w:hAnsi="Palatino Linotype" w:cs="Palatino Linotype"/>
          <w:b/>
          <w:color w:val="000000"/>
          <w:sz w:val="24"/>
          <w:szCs w:val="24"/>
        </w:rPr>
        <w:lastRenderedPageBreak/>
        <w:t xml:space="preserve">SEGUNDO. </w:t>
      </w:r>
      <w:r w:rsidRPr="00DA544A">
        <w:rPr>
          <w:rFonts w:ascii="Palatino Linotype" w:eastAsia="Palatino Linotype" w:hAnsi="Palatino Linotype" w:cs="Palatino Linotype"/>
          <w:color w:val="000000"/>
          <w:sz w:val="24"/>
          <w:szCs w:val="24"/>
        </w:rPr>
        <w:t xml:space="preserve">Se </w:t>
      </w:r>
      <w:r w:rsidRPr="00DA544A">
        <w:rPr>
          <w:rFonts w:ascii="Palatino Linotype" w:eastAsia="Palatino Linotype" w:hAnsi="Palatino Linotype" w:cs="Palatino Linotype"/>
          <w:b/>
          <w:color w:val="000000"/>
          <w:sz w:val="24"/>
          <w:szCs w:val="24"/>
        </w:rPr>
        <w:t xml:space="preserve">REVOCA </w:t>
      </w:r>
      <w:r w:rsidR="008729FF" w:rsidRPr="00DA544A">
        <w:rPr>
          <w:rFonts w:ascii="Palatino Linotype" w:eastAsia="Palatino Linotype" w:hAnsi="Palatino Linotype" w:cs="Palatino Linotype"/>
          <w:color w:val="000000"/>
          <w:sz w:val="24"/>
          <w:szCs w:val="24"/>
        </w:rPr>
        <w:t>la respuesta emitida por el</w:t>
      </w:r>
      <w:r w:rsidRPr="00DA544A">
        <w:rPr>
          <w:rFonts w:ascii="Palatino Linotype" w:eastAsia="Palatino Linotype" w:hAnsi="Palatino Linotype" w:cs="Palatino Linotype"/>
          <w:color w:val="000000"/>
          <w:sz w:val="24"/>
          <w:szCs w:val="24"/>
        </w:rPr>
        <w:t xml:space="preserve"> </w:t>
      </w:r>
      <w:r w:rsidRPr="00DA544A">
        <w:rPr>
          <w:rFonts w:ascii="Palatino Linotype" w:eastAsia="Palatino Linotype" w:hAnsi="Palatino Linotype" w:cs="Palatino Linotype"/>
          <w:b/>
          <w:color w:val="000000"/>
          <w:sz w:val="24"/>
          <w:szCs w:val="24"/>
        </w:rPr>
        <w:t xml:space="preserve">Organismo Agua y Saneamiento de Toluca </w:t>
      </w:r>
      <w:r w:rsidRPr="00DA544A">
        <w:rPr>
          <w:rFonts w:ascii="Palatino Linotype" w:eastAsia="Palatino Linotype" w:hAnsi="Palatino Linotype" w:cs="Palatino Linotype"/>
          <w:color w:val="000000"/>
          <w:sz w:val="24"/>
          <w:szCs w:val="24"/>
        </w:rPr>
        <w:t xml:space="preserve">y se </w:t>
      </w:r>
      <w:r w:rsidRPr="00DA544A">
        <w:rPr>
          <w:rFonts w:ascii="Palatino Linotype" w:eastAsia="Palatino Linotype" w:hAnsi="Palatino Linotype" w:cs="Palatino Linotype"/>
          <w:b/>
          <w:color w:val="000000"/>
          <w:sz w:val="24"/>
          <w:szCs w:val="24"/>
        </w:rPr>
        <w:t>ORDENA</w:t>
      </w:r>
      <w:r w:rsidRPr="00DA544A">
        <w:rPr>
          <w:rFonts w:ascii="Palatino Linotype" w:eastAsia="Palatino Linotype" w:hAnsi="Palatino Linotype" w:cs="Palatino Linotype"/>
          <w:color w:val="000000"/>
          <w:sz w:val="24"/>
          <w:szCs w:val="24"/>
        </w:rPr>
        <w:t xml:space="preserve"> entregar vía Sistema de Acceso a la Información Mexiquense </w:t>
      </w:r>
      <w:r w:rsidRPr="00DA544A">
        <w:rPr>
          <w:rFonts w:ascii="Palatino Linotype" w:eastAsia="Palatino Linotype" w:hAnsi="Palatino Linotype" w:cs="Palatino Linotype"/>
          <w:b/>
          <w:color w:val="000000"/>
          <w:sz w:val="24"/>
          <w:szCs w:val="24"/>
        </w:rPr>
        <w:t>(SAIMEX)</w:t>
      </w:r>
      <w:r w:rsidRPr="00DA544A">
        <w:rPr>
          <w:rFonts w:ascii="Palatino Linotype" w:eastAsia="Palatino Linotype" w:hAnsi="Palatino Linotype" w:cs="Palatino Linotype"/>
          <w:color w:val="000000"/>
          <w:sz w:val="24"/>
          <w:szCs w:val="24"/>
        </w:rPr>
        <w:t>, la siguiente información, de ser el caso en versión pública:</w:t>
      </w:r>
    </w:p>
    <w:p w:rsidR="00EA3618" w:rsidRPr="00DA544A" w:rsidRDefault="00EA3618">
      <w:pPr>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pBdr>
          <w:top w:val="nil"/>
          <w:left w:val="nil"/>
          <w:bottom w:val="nil"/>
          <w:right w:val="nil"/>
          <w:between w:val="nil"/>
        </w:pBdr>
        <w:spacing w:after="0" w:line="360" w:lineRule="auto"/>
        <w:ind w:left="708"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 xml:space="preserve">De los pozos de agua inaugurados </w:t>
      </w:r>
      <w:r w:rsidR="00463830" w:rsidRPr="00DA544A">
        <w:rPr>
          <w:rFonts w:ascii="Palatino Linotype" w:eastAsia="Palatino Linotype" w:hAnsi="Palatino Linotype" w:cs="Palatino Linotype"/>
          <w:b/>
          <w:color w:val="000000"/>
          <w:sz w:val="24"/>
          <w:szCs w:val="24"/>
        </w:rPr>
        <w:t xml:space="preserve">(nuevos </w:t>
      </w:r>
      <w:r w:rsidRPr="00DA544A">
        <w:rPr>
          <w:rFonts w:ascii="Palatino Linotype" w:eastAsia="Palatino Linotype" w:hAnsi="Palatino Linotype" w:cs="Palatino Linotype"/>
          <w:b/>
          <w:color w:val="000000"/>
          <w:sz w:val="24"/>
          <w:szCs w:val="24"/>
        </w:rPr>
        <w:t>o rehabilitados</w:t>
      </w:r>
      <w:r w:rsidR="00463830" w:rsidRPr="00DA544A">
        <w:rPr>
          <w:rFonts w:ascii="Palatino Linotype" w:eastAsia="Palatino Linotype" w:hAnsi="Palatino Linotype" w:cs="Palatino Linotype"/>
          <w:b/>
          <w:color w:val="000000"/>
          <w:sz w:val="24"/>
          <w:szCs w:val="24"/>
        </w:rPr>
        <w:t>)</w:t>
      </w:r>
      <w:r w:rsidRPr="00DA544A">
        <w:rPr>
          <w:rFonts w:ascii="Palatino Linotype" w:eastAsia="Palatino Linotype" w:hAnsi="Palatino Linotype" w:cs="Palatino Linotype"/>
          <w:b/>
          <w:color w:val="000000"/>
          <w:sz w:val="24"/>
          <w:szCs w:val="24"/>
        </w:rPr>
        <w:t>, del 22 de febrero de 2023 al 22 de febrero de 2024:</w:t>
      </w:r>
    </w:p>
    <w:p w:rsidR="00EA3618" w:rsidRPr="00DA544A" w:rsidRDefault="00157A3D">
      <w:pPr>
        <w:numPr>
          <w:ilvl w:val="0"/>
          <w:numId w:val="7"/>
        </w:numPr>
        <w:pBdr>
          <w:top w:val="nil"/>
          <w:left w:val="nil"/>
          <w:bottom w:val="nil"/>
          <w:right w:val="nil"/>
          <w:between w:val="nil"/>
        </w:pBdr>
        <w:spacing w:after="0" w:line="360" w:lineRule="auto"/>
        <w:ind w:left="1428"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Número de pozos;</w:t>
      </w:r>
    </w:p>
    <w:p w:rsidR="00EA3618" w:rsidRPr="00DA544A" w:rsidRDefault="004137F4">
      <w:pPr>
        <w:numPr>
          <w:ilvl w:val="0"/>
          <w:numId w:val="7"/>
        </w:numPr>
        <w:pBdr>
          <w:top w:val="nil"/>
          <w:left w:val="nil"/>
          <w:bottom w:val="nil"/>
          <w:right w:val="nil"/>
          <w:between w:val="nil"/>
        </w:pBdr>
        <w:spacing w:after="0" w:line="360" w:lineRule="auto"/>
        <w:ind w:left="1428"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Ubicaciones generales</w:t>
      </w:r>
      <w:r w:rsidR="00157A3D" w:rsidRPr="00DA544A">
        <w:rPr>
          <w:rFonts w:ascii="Palatino Linotype" w:eastAsia="Palatino Linotype" w:hAnsi="Palatino Linotype" w:cs="Palatino Linotype"/>
          <w:b/>
          <w:color w:val="000000"/>
          <w:sz w:val="24"/>
          <w:szCs w:val="24"/>
        </w:rPr>
        <w:t>;</w:t>
      </w:r>
    </w:p>
    <w:p w:rsidR="00EA3618" w:rsidRPr="00DA544A" w:rsidRDefault="00157A3D">
      <w:pPr>
        <w:numPr>
          <w:ilvl w:val="0"/>
          <w:numId w:val="7"/>
        </w:numPr>
        <w:pBdr>
          <w:top w:val="nil"/>
          <w:left w:val="nil"/>
          <w:bottom w:val="nil"/>
          <w:right w:val="nil"/>
          <w:between w:val="nil"/>
        </w:pBdr>
        <w:spacing w:after="0" w:line="360" w:lineRule="auto"/>
        <w:ind w:left="1428"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Montos de inversión;</w:t>
      </w:r>
    </w:p>
    <w:p w:rsidR="00EA3618" w:rsidRPr="00DA544A" w:rsidRDefault="00157A3D">
      <w:pPr>
        <w:numPr>
          <w:ilvl w:val="0"/>
          <w:numId w:val="7"/>
        </w:numPr>
        <w:pBdr>
          <w:top w:val="nil"/>
          <w:left w:val="nil"/>
          <w:bottom w:val="nil"/>
          <w:right w:val="nil"/>
          <w:between w:val="nil"/>
        </w:pBdr>
        <w:spacing w:after="0" w:line="360" w:lineRule="auto"/>
        <w:ind w:left="1428"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Número de personas beneficiadas;</w:t>
      </w:r>
    </w:p>
    <w:p w:rsidR="00EA3618" w:rsidRPr="00DA544A" w:rsidRDefault="00157A3D">
      <w:pPr>
        <w:numPr>
          <w:ilvl w:val="0"/>
          <w:numId w:val="7"/>
        </w:numPr>
        <w:pBdr>
          <w:top w:val="nil"/>
          <w:left w:val="nil"/>
          <w:bottom w:val="nil"/>
          <w:right w:val="nil"/>
          <w:between w:val="nil"/>
        </w:pBdr>
        <w:spacing w:after="0" w:line="360" w:lineRule="auto"/>
        <w:ind w:left="1428"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Fechas de inicio y conclusión de las obras; y</w:t>
      </w:r>
    </w:p>
    <w:p w:rsidR="00EA3618" w:rsidRPr="00DA544A" w:rsidRDefault="00157A3D">
      <w:pPr>
        <w:numPr>
          <w:ilvl w:val="0"/>
          <w:numId w:val="7"/>
        </w:numPr>
        <w:pBdr>
          <w:top w:val="nil"/>
          <w:left w:val="nil"/>
          <w:bottom w:val="nil"/>
          <w:right w:val="nil"/>
          <w:between w:val="nil"/>
        </w:pBdr>
        <w:spacing w:after="0" w:line="360" w:lineRule="auto"/>
        <w:ind w:left="1428" w:right="-787"/>
        <w:jc w:val="both"/>
        <w:rPr>
          <w:rFonts w:ascii="Palatino Linotype" w:eastAsia="Palatino Linotype" w:hAnsi="Palatino Linotype" w:cs="Palatino Linotype"/>
          <w:b/>
          <w:color w:val="000000"/>
          <w:sz w:val="24"/>
          <w:szCs w:val="24"/>
        </w:rPr>
      </w:pPr>
      <w:r w:rsidRPr="00DA544A">
        <w:rPr>
          <w:rFonts w:ascii="Palatino Linotype" w:eastAsia="Palatino Linotype" w:hAnsi="Palatino Linotype" w:cs="Palatino Linotype"/>
          <w:b/>
          <w:color w:val="000000"/>
          <w:sz w:val="24"/>
          <w:szCs w:val="24"/>
        </w:rPr>
        <w:t>Ficha o documento en que conste la información de obra y presupuesto.</w:t>
      </w:r>
    </w:p>
    <w:p w:rsidR="00EA3618" w:rsidRPr="00DA544A" w:rsidRDefault="00EA3618">
      <w:pPr>
        <w:spacing w:after="0" w:line="360" w:lineRule="auto"/>
        <w:ind w:right="-787"/>
        <w:rPr>
          <w:rFonts w:ascii="Palatino Linotype" w:eastAsia="Palatino Linotype" w:hAnsi="Palatino Linotype" w:cs="Palatino Linotype"/>
          <w:b/>
          <w:color w:val="000000"/>
          <w:sz w:val="24"/>
          <w:szCs w:val="24"/>
        </w:rPr>
      </w:pPr>
    </w:p>
    <w:p w:rsidR="00EA3618" w:rsidRPr="00DA544A" w:rsidRDefault="00157A3D">
      <w:pPr>
        <w:spacing w:after="0" w:line="360" w:lineRule="auto"/>
        <w:ind w:right="-787"/>
        <w:jc w:val="both"/>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color w:val="000000"/>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w:t>
      </w:r>
      <w:r w:rsidRPr="00DA544A">
        <w:rPr>
          <w:rFonts w:ascii="Palatino Linotype" w:eastAsia="Palatino Linotype" w:hAnsi="Palatino Linotype" w:cs="Palatino Linotype"/>
          <w:sz w:val="24"/>
          <w:szCs w:val="24"/>
        </w:rPr>
        <w:t xml:space="preserve">el </w:t>
      </w:r>
      <w:r w:rsidRPr="00DA544A">
        <w:rPr>
          <w:rFonts w:ascii="Palatino Linotype" w:eastAsia="Palatino Linotype" w:hAnsi="Palatino Linotype" w:cs="Palatino Linotype"/>
          <w:b/>
          <w:color w:val="000000"/>
          <w:sz w:val="24"/>
          <w:szCs w:val="24"/>
        </w:rPr>
        <w:t>RECURRENTE</w:t>
      </w:r>
      <w:r w:rsidRPr="00DA544A">
        <w:rPr>
          <w:rFonts w:ascii="Palatino Linotype" w:eastAsia="Palatino Linotype" w:hAnsi="Palatino Linotype" w:cs="Palatino Linotype"/>
          <w:color w:val="000000"/>
          <w:sz w:val="24"/>
          <w:szCs w:val="24"/>
        </w:rPr>
        <w:t>.</w:t>
      </w:r>
    </w:p>
    <w:p w:rsidR="00EA3618" w:rsidRPr="00DA544A" w:rsidRDefault="00EA3618">
      <w:pPr>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tabs>
          <w:tab w:val="left" w:pos="8080"/>
        </w:tabs>
        <w:spacing w:after="0" w:line="360" w:lineRule="auto"/>
        <w:ind w:right="-787"/>
        <w:jc w:val="both"/>
        <w:rPr>
          <w:rFonts w:ascii="Palatino Linotype" w:eastAsia="Palatino Linotype" w:hAnsi="Palatino Linotype" w:cs="Palatino Linotype"/>
          <w:color w:val="000000"/>
          <w:sz w:val="24"/>
          <w:szCs w:val="24"/>
        </w:rPr>
      </w:pPr>
      <w:bookmarkStart w:id="12" w:name="_heading=h.2s8eyo1" w:colFirst="0" w:colLast="0"/>
      <w:bookmarkEnd w:id="12"/>
      <w:r w:rsidRPr="00DA544A">
        <w:rPr>
          <w:rFonts w:ascii="Palatino Linotype" w:eastAsia="Palatino Linotype" w:hAnsi="Palatino Linotype" w:cs="Palatino Linotype"/>
          <w:b/>
          <w:color w:val="000000"/>
          <w:sz w:val="24"/>
          <w:szCs w:val="24"/>
        </w:rPr>
        <w:t>TERCERO. NOTIFÍQUESE</w:t>
      </w:r>
      <w:r w:rsidRPr="00DA544A">
        <w:rPr>
          <w:rFonts w:ascii="Palatino Linotype" w:eastAsia="Palatino Linotype" w:hAnsi="Palatino Linotype" w:cs="Palatino Linotype"/>
          <w:color w:val="000000"/>
          <w:sz w:val="24"/>
          <w:szCs w:val="24"/>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w:t>
      </w:r>
      <w:r w:rsidRPr="00DA544A">
        <w:rPr>
          <w:rFonts w:ascii="Palatino Linotype" w:eastAsia="Palatino Linotype" w:hAnsi="Palatino Linotype" w:cs="Palatino Linotype"/>
          <w:color w:val="000000"/>
          <w:sz w:val="24"/>
          <w:szCs w:val="24"/>
        </w:rPr>
        <w:lastRenderedPageBreak/>
        <w:t>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A3618" w:rsidRPr="00DA544A" w:rsidRDefault="00EA3618">
      <w:pPr>
        <w:tabs>
          <w:tab w:val="left" w:pos="8080"/>
        </w:tabs>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spacing w:after="0" w:line="360" w:lineRule="auto"/>
        <w:ind w:right="-787"/>
        <w:jc w:val="both"/>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b/>
          <w:color w:val="000000"/>
          <w:sz w:val="24"/>
          <w:szCs w:val="24"/>
        </w:rPr>
        <w:t xml:space="preserve">CUARTO. </w:t>
      </w:r>
      <w:r w:rsidRPr="00DA544A">
        <w:rPr>
          <w:rFonts w:ascii="Palatino Linotype" w:eastAsia="Palatino Linotype" w:hAnsi="Palatino Linotype" w:cs="Palatino Linotype"/>
          <w:color w:val="000000"/>
          <w:sz w:val="24"/>
          <w:szCs w:val="24"/>
        </w:rPr>
        <w:t>De conformidad con el artículo 198</w:t>
      </w:r>
      <w:r w:rsidR="008729FF" w:rsidRPr="00DA544A">
        <w:rPr>
          <w:rFonts w:ascii="Palatino Linotype" w:eastAsia="Palatino Linotype" w:hAnsi="Palatino Linotype" w:cs="Palatino Linotype"/>
          <w:color w:val="000000"/>
          <w:sz w:val="24"/>
          <w:szCs w:val="24"/>
        </w:rPr>
        <w:t>,</w:t>
      </w:r>
      <w:r w:rsidRPr="00DA544A">
        <w:rPr>
          <w:rFonts w:ascii="Palatino Linotype" w:eastAsia="Palatino Linotype" w:hAnsi="Palatino Linotype" w:cs="Palatino Linotype"/>
          <w:color w:val="000000"/>
          <w:sz w:val="24"/>
          <w:szCs w:val="24"/>
        </w:rPr>
        <w:t xml:space="preserve"> de la Ley de Transparencia y Acceso a la Información Pública del Estado de México y Municipios, de considerarlo procedente, el </w:t>
      </w:r>
      <w:r w:rsidRPr="00DA544A">
        <w:rPr>
          <w:rFonts w:ascii="Palatino Linotype" w:eastAsia="Palatino Linotype" w:hAnsi="Palatino Linotype" w:cs="Palatino Linotype"/>
          <w:b/>
          <w:color w:val="000000"/>
          <w:sz w:val="24"/>
          <w:szCs w:val="24"/>
        </w:rPr>
        <w:t>SUJETO OBLIGADO</w:t>
      </w:r>
      <w:r w:rsidRPr="00DA544A">
        <w:rPr>
          <w:rFonts w:ascii="Palatino Linotype" w:eastAsia="Palatino Linotype" w:hAnsi="Palatino Linotype" w:cs="Palatino Linotype"/>
          <w:color w:val="000000"/>
          <w:sz w:val="24"/>
          <w:szCs w:val="24"/>
        </w:rPr>
        <w:t xml:space="preserve"> de manera fundada y motivada, podrá solicitar una ampliación de plazo para el cumplimiento de la presente Resolución.</w:t>
      </w:r>
    </w:p>
    <w:p w:rsidR="00EA3618" w:rsidRPr="00DA544A" w:rsidRDefault="00EA3618">
      <w:pPr>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tabs>
          <w:tab w:val="left" w:pos="8080"/>
        </w:tabs>
        <w:spacing w:after="0" w:line="360" w:lineRule="auto"/>
        <w:ind w:right="-787"/>
        <w:jc w:val="both"/>
        <w:rPr>
          <w:rFonts w:ascii="Palatino Linotype" w:eastAsia="Palatino Linotype" w:hAnsi="Palatino Linotype" w:cs="Palatino Linotype"/>
          <w:color w:val="000000"/>
          <w:sz w:val="24"/>
          <w:szCs w:val="24"/>
        </w:rPr>
      </w:pPr>
      <w:bookmarkStart w:id="13" w:name="_heading=h.17dp8vu" w:colFirst="0" w:colLast="0"/>
      <w:bookmarkEnd w:id="13"/>
      <w:r w:rsidRPr="00DA544A">
        <w:rPr>
          <w:rFonts w:ascii="Palatino Linotype" w:eastAsia="Palatino Linotype" w:hAnsi="Palatino Linotype" w:cs="Palatino Linotype"/>
          <w:b/>
          <w:color w:val="000000"/>
          <w:sz w:val="24"/>
          <w:szCs w:val="24"/>
        </w:rPr>
        <w:t xml:space="preserve">QUINTO. </w:t>
      </w:r>
      <w:r w:rsidRPr="00DA544A">
        <w:rPr>
          <w:rFonts w:ascii="Palatino Linotype" w:eastAsia="Palatino Linotype" w:hAnsi="Palatino Linotype" w:cs="Palatino Linotype"/>
          <w:color w:val="000000"/>
          <w:sz w:val="24"/>
          <w:szCs w:val="24"/>
        </w:rPr>
        <w:t xml:space="preserve">Notifíquese a </w:t>
      </w:r>
      <w:r w:rsidRPr="00DA544A">
        <w:rPr>
          <w:rFonts w:ascii="Palatino Linotype" w:eastAsia="Palatino Linotype" w:hAnsi="Palatino Linotype" w:cs="Palatino Linotype"/>
          <w:b/>
          <w:color w:val="000000"/>
          <w:sz w:val="24"/>
          <w:szCs w:val="24"/>
        </w:rPr>
        <w:t>EL RECURRENTE</w:t>
      </w:r>
      <w:r w:rsidRPr="00DA544A">
        <w:rPr>
          <w:rFonts w:ascii="Palatino Linotype" w:eastAsia="Palatino Linotype" w:hAnsi="Palatino Linotype" w:cs="Palatino Linotype"/>
          <w:color w:val="000000"/>
          <w:sz w:val="24"/>
          <w:szCs w:val="24"/>
        </w:rPr>
        <w:t xml:space="preserve"> la presente Resolución, vía SAIMEX.</w:t>
      </w:r>
    </w:p>
    <w:p w:rsidR="00EA3618" w:rsidRPr="00DA544A" w:rsidRDefault="00EA3618">
      <w:pPr>
        <w:tabs>
          <w:tab w:val="left" w:pos="8080"/>
        </w:tabs>
        <w:spacing w:after="0" w:line="360" w:lineRule="auto"/>
        <w:ind w:right="-787"/>
        <w:jc w:val="both"/>
        <w:rPr>
          <w:rFonts w:ascii="Palatino Linotype" w:eastAsia="Palatino Linotype" w:hAnsi="Palatino Linotype" w:cs="Palatino Linotype"/>
          <w:color w:val="000000"/>
          <w:sz w:val="24"/>
          <w:szCs w:val="24"/>
        </w:rPr>
      </w:pPr>
    </w:p>
    <w:p w:rsidR="00EA3618" w:rsidRPr="00DA544A" w:rsidRDefault="00157A3D">
      <w:pPr>
        <w:shd w:val="clear" w:color="auto" w:fill="FFFFFF"/>
        <w:spacing w:after="0" w:line="360" w:lineRule="auto"/>
        <w:ind w:right="-787"/>
        <w:jc w:val="both"/>
        <w:rPr>
          <w:rFonts w:ascii="Palatino Linotype" w:eastAsia="Palatino Linotype" w:hAnsi="Palatino Linotype" w:cs="Palatino Linotype"/>
          <w:color w:val="000000"/>
          <w:sz w:val="24"/>
          <w:szCs w:val="24"/>
        </w:rPr>
      </w:pPr>
      <w:r w:rsidRPr="00DA544A">
        <w:rPr>
          <w:rFonts w:ascii="Palatino Linotype" w:eastAsia="Palatino Linotype" w:hAnsi="Palatino Linotype" w:cs="Palatino Linotype"/>
          <w:b/>
          <w:color w:val="000000"/>
          <w:sz w:val="24"/>
          <w:szCs w:val="24"/>
        </w:rPr>
        <w:t>SEXTO.</w:t>
      </w:r>
      <w:r w:rsidRPr="00DA544A">
        <w:rPr>
          <w:rFonts w:ascii="Palatino Linotype" w:eastAsia="Palatino Linotype" w:hAnsi="Palatino Linotype" w:cs="Palatino Linotype"/>
          <w:color w:val="000000"/>
          <w:sz w:val="24"/>
          <w:szCs w:val="24"/>
        </w:rPr>
        <w:t xml:space="preserve"> Se hace del conocimiento d</w:t>
      </w:r>
      <w:bookmarkStart w:id="14" w:name="_GoBack"/>
      <w:bookmarkEnd w:id="14"/>
      <w:r w:rsidRPr="00DA544A">
        <w:rPr>
          <w:rFonts w:ascii="Palatino Linotype" w:eastAsia="Palatino Linotype" w:hAnsi="Palatino Linotype" w:cs="Palatino Linotype"/>
          <w:color w:val="000000"/>
          <w:sz w:val="24"/>
          <w:szCs w:val="24"/>
        </w:rPr>
        <w:t xml:space="preserve">e </w:t>
      </w:r>
      <w:r w:rsidRPr="00DA544A">
        <w:rPr>
          <w:rFonts w:ascii="Palatino Linotype" w:eastAsia="Palatino Linotype" w:hAnsi="Palatino Linotype" w:cs="Palatino Linotype"/>
          <w:b/>
          <w:color w:val="000000"/>
          <w:sz w:val="24"/>
          <w:szCs w:val="24"/>
        </w:rPr>
        <w:t>EL RECURRENTE</w:t>
      </w:r>
      <w:r w:rsidRPr="00DA544A">
        <w:rPr>
          <w:rFonts w:ascii="Palatino Linotype" w:eastAsia="Palatino Linotype" w:hAnsi="Palatino Linotype" w:cs="Palatino Linotype"/>
          <w:color w:val="000000"/>
          <w:sz w:val="24"/>
          <w:szCs w:val="24"/>
        </w:rPr>
        <w:t xml:space="preserve"> que, de conformidad con lo establecido en el artículo 196</w:t>
      </w:r>
      <w:r w:rsidR="008729FF" w:rsidRPr="00DA544A">
        <w:rPr>
          <w:rFonts w:ascii="Palatino Linotype" w:eastAsia="Palatino Linotype" w:hAnsi="Palatino Linotype" w:cs="Palatino Linotype"/>
          <w:color w:val="000000"/>
          <w:sz w:val="24"/>
          <w:szCs w:val="24"/>
        </w:rPr>
        <w:t>,</w:t>
      </w:r>
      <w:r w:rsidRPr="00DA544A">
        <w:rPr>
          <w:rFonts w:ascii="Palatino Linotype" w:eastAsia="Palatino Linotype" w:hAnsi="Palatino Linotype" w:cs="Palatino Linotype"/>
          <w:color w:val="000000"/>
          <w:sz w:val="24"/>
          <w:szCs w:val="24"/>
        </w:rPr>
        <w:t xml:space="preserve"> de la Ley de Transparencia y Acceso a la Información Pública del Estado de México y Municipios, en caso de que considere que la resolución le cause algún perjuicio podrá </w:t>
      </w:r>
      <w:r w:rsidRPr="00DA544A">
        <w:rPr>
          <w:rFonts w:ascii="Palatino Linotype" w:eastAsia="Palatino Linotype" w:hAnsi="Palatino Linotype" w:cs="Palatino Linotype"/>
          <w:sz w:val="24"/>
          <w:szCs w:val="24"/>
        </w:rPr>
        <w:t>impugnar vía</w:t>
      </w:r>
      <w:r w:rsidRPr="00DA544A">
        <w:rPr>
          <w:rFonts w:ascii="Palatino Linotype" w:eastAsia="Palatino Linotype" w:hAnsi="Palatino Linotype" w:cs="Palatino Linotype"/>
          <w:color w:val="000000"/>
          <w:sz w:val="24"/>
          <w:szCs w:val="24"/>
        </w:rPr>
        <w:t xml:space="preserve"> juicio de amparo en los términos de las leyes aplicables.</w:t>
      </w:r>
    </w:p>
    <w:p w:rsidR="008729FF" w:rsidRPr="00DA544A" w:rsidRDefault="008729FF">
      <w:pPr>
        <w:shd w:val="clear" w:color="auto" w:fill="FFFFFF"/>
        <w:spacing w:after="0" w:line="360" w:lineRule="auto"/>
        <w:ind w:right="-787"/>
        <w:jc w:val="both"/>
        <w:rPr>
          <w:rFonts w:ascii="Palatino Linotype" w:eastAsia="Palatino Linotype" w:hAnsi="Palatino Linotype" w:cs="Palatino Linotype"/>
          <w:color w:val="000000"/>
          <w:sz w:val="16"/>
          <w:szCs w:val="24"/>
        </w:rPr>
      </w:pPr>
    </w:p>
    <w:p w:rsidR="008729FF" w:rsidRPr="003C7186" w:rsidRDefault="008729FF" w:rsidP="008729FF">
      <w:pPr>
        <w:spacing w:line="360" w:lineRule="auto"/>
        <w:ind w:left="-142" w:right="-800" w:firstLine="1"/>
        <w:jc w:val="both"/>
        <w:rPr>
          <w:rFonts w:ascii="Palatino Linotype" w:hAnsi="Palatino Linotype"/>
        </w:rPr>
      </w:pPr>
      <w:r w:rsidRPr="00DA544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DOCE (12) DE FEBRERO DE DOS MIL VEINTICINCO, ANTE EL SECRETARIO TÉCNICO DEL PLENO ALEXIS TAPIA RAMÍREZ.</w:t>
      </w:r>
      <w:r w:rsidRPr="003C7186">
        <w:rPr>
          <w:rFonts w:ascii="Palatino Linotype" w:hAnsi="Palatino Linotype"/>
        </w:rPr>
        <w:t xml:space="preserve"> </w:t>
      </w:r>
    </w:p>
    <w:p w:rsidR="00EA3618" w:rsidRDefault="00EA3618" w:rsidP="008729FF">
      <w:pPr>
        <w:spacing w:after="0" w:line="360" w:lineRule="auto"/>
        <w:ind w:right="-800"/>
        <w:jc w:val="both"/>
        <w:rPr>
          <w:rFonts w:ascii="Palatino Linotype" w:eastAsia="Palatino Linotype" w:hAnsi="Palatino Linotype" w:cs="Palatino Linotype"/>
          <w:sz w:val="24"/>
          <w:szCs w:val="24"/>
        </w:rPr>
      </w:pPr>
    </w:p>
    <w:p w:rsidR="00EA3618" w:rsidRDefault="00EA3618">
      <w:pPr>
        <w:spacing w:after="0" w:line="360" w:lineRule="auto"/>
        <w:ind w:right="-787"/>
        <w:jc w:val="both"/>
        <w:rPr>
          <w:rFonts w:ascii="Palatino Linotype" w:eastAsia="Palatino Linotype" w:hAnsi="Palatino Linotype" w:cs="Palatino Linotype"/>
          <w:sz w:val="24"/>
          <w:szCs w:val="24"/>
        </w:rPr>
      </w:pPr>
    </w:p>
    <w:p w:rsidR="00EA3618" w:rsidRDefault="00EA3618">
      <w:pPr>
        <w:spacing w:after="0" w:line="360" w:lineRule="auto"/>
        <w:ind w:right="-787"/>
        <w:jc w:val="both"/>
        <w:rPr>
          <w:rFonts w:ascii="Palatino Linotype" w:eastAsia="Palatino Linotype" w:hAnsi="Palatino Linotype" w:cs="Palatino Linotype"/>
          <w:sz w:val="24"/>
          <w:szCs w:val="24"/>
        </w:rPr>
      </w:pPr>
    </w:p>
    <w:p w:rsidR="00EA3618" w:rsidRDefault="00EA3618">
      <w:pPr>
        <w:spacing w:after="0" w:line="360" w:lineRule="auto"/>
        <w:ind w:right="-787"/>
        <w:jc w:val="both"/>
        <w:rPr>
          <w:rFonts w:ascii="Palatino Linotype" w:eastAsia="Palatino Linotype" w:hAnsi="Palatino Linotype" w:cs="Palatino Linotype"/>
          <w:sz w:val="24"/>
          <w:szCs w:val="24"/>
        </w:rPr>
      </w:pPr>
      <w:bookmarkStart w:id="15" w:name="_heading=h.3rdcrjn" w:colFirst="0" w:colLast="0"/>
      <w:bookmarkEnd w:id="15"/>
    </w:p>
    <w:p w:rsidR="00EA3618" w:rsidRDefault="00EA3618">
      <w:pPr>
        <w:spacing w:after="0" w:line="360" w:lineRule="auto"/>
        <w:ind w:right="-787"/>
        <w:jc w:val="both"/>
        <w:rPr>
          <w:rFonts w:ascii="Palatino Linotype" w:eastAsia="Palatino Linotype" w:hAnsi="Palatino Linotype" w:cs="Palatino Linotype"/>
          <w:sz w:val="24"/>
          <w:szCs w:val="24"/>
        </w:rPr>
      </w:pPr>
    </w:p>
    <w:p w:rsidR="00EA3618" w:rsidRDefault="00EA3618">
      <w:pPr>
        <w:spacing w:after="0" w:line="360" w:lineRule="auto"/>
        <w:ind w:right="-787"/>
        <w:jc w:val="both"/>
        <w:rPr>
          <w:rFonts w:ascii="Palatino Linotype" w:eastAsia="Palatino Linotype" w:hAnsi="Palatino Linotype" w:cs="Palatino Linotype"/>
          <w:sz w:val="24"/>
          <w:szCs w:val="24"/>
        </w:rPr>
      </w:pPr>
    </w:p>
    <w:p w:rsidR="00EA3618" w:rsidRDefault="00EA3618">
      <w:pPr>
        <w:spacing w:after="0" w:line="360" w:lineRule="auto"/>
        <w:ind w:right="-787"/>
        <w:jc w:val="both"/>
        <w:rPr>
          <w:rFonts w:ascii="Palatino Linotype" w:eastAsia="Palatino Linotype" w:hAnsi="Palatino Linotype" w:cs="Palatino Linotype"/>
          <w:sz w:val="24"/>
          <w:szCs w:val="24"/>
        </w:rPr>
      </w:pPr>
    </w:p>
    <w:p w:rsidR="00EA3618" w:rsidRDefault="00EA3618">
      <w:pPr>
        <w:spacing w:after="0" w:line="360" w:lineRule="auto"/>
        <w:ind w:right="-787"/>
        <w:jc w:val="both"/>
        <w:rPr>
          <w:rFonts w:ascii="Palatino Linotype" w:eastAsia="Palatino Linotype" w:hAnsi="Palatino Linotype" w:cs="Palatino Linotype"/>
          <w:sz w:val="24"/>
          <w:szCs w:val="24"/>
        </w:rPr>
      </w:pPr>
    </w:p>
    <w:p w:rsidR="00EA3618" w:rsidRDefault="00EA3618">
      <w:pPr>
        <w:spacing w:after="0" w:line="360" w:lineRule="auto"/>
        <w:ind w:right="-787"/>
        <w:jc w:val="both"/>
        <w:rPr>
          <w:rFonts w:ascii="Palatino Linotype" w:eastAsia="Palatino Linotype" w:hAnsi="Palatino Linotype" w:cs="Palatino Linotype"/>
          <w:sz w:val="24"/>
          <w:szCs w:val="24"/>
        </w:rPr>
      </w:pPr>
    </w:p>
    <w:p w:rsidR="00EA3618" w:rsidRDefault="00157A3D">
      <w:pPr>
        <w:tabs>
          <w:tab w:val="left" w:pos="3374"/>
        </w:tabs>
        <w:spacing w:after="0" w:line="360" w:lineRule="auto"/>
        <w:ind w:right="-78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b/>
      </w:r>
    </w:p>
    <w:p w:rsidR="00EA3618" w:rsidRDefault="00EA3618">
      <w:pPr>
        <w:tabs>
          <w:tab w:val="left" w:pos="3374"/>
        </w:tabs>
        <w:spacing w:after="0" w:line="360" w:lineRule="auto"/>
        <w:ind w:right="-787"/>
        <w:jc w:val="both"/>
        <w:rPr>
          <w:rFonts w:ascii="Palatino Linotype" w:eastAsia="Palatino Linotype" w:hAnsi="Palatino Linotype" w:cs="Palatino Linotype"/>
          <w:sz w:val="24"/>
          <w:szCs w:val="24"/>
        </w:rPr>
      </w:pPr>
    </w:p>
    <w:p w:rsidR="00EA3618" w:rsidRDefault="00EA3618">
      <w:pPr>
        <w:spacing w:after="0" w:line="360" w:lineRule="auto"/>
        <w:ind w:right="-787"/>
        <w:jc w:val="both"/>
        <w:rPr>
          <w:rFonts w:ascii="Palatino Linotype" w:eastAsia="Palatino Linotype" w:hAnsi="Palatino Linotype" w:cs="Palatino Linotype"/>
          <w:sz w:val="24"/>
          <w:szCs w:val="24"/>
        </w:rPr>
      </w:pPr>
    </w:p>
    <w:sectPr w:rsidR="00EA3618">
      <w:headerReference w:type="even" r:id="rId12"/>
      <w:headerReference w:type="default" r:id="rId13"/>
      <w:footerReference w:type="default" r:id="rId14"/>
      <w:headerReference w:type="first" r:id="rId15"/>
      <w:footerReference w:type="first" r:id="rId16"/>
      <w:pgSz w:w="12240" w:h="15840"/>
      <w:pgMar w:top="2268" w:right="1701" w:bottom="1702" w:left="1700" w:header="709" w:footer="79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E88" w:rsidRDefault="00603E88">
      <w:pPr>
        <w:spacing w:after="0" w:line="240" w:lineRule="auto"/>
      </w:pPr>
      <w:r>
        <w:separator/>
      </w:r>
    </w:p>
  </w:endnote>
  <w:endnote w:type="continuationSeparator" w:id="0">
    <w:p w:rsidR="00603E88" w:rsidRDefault="00603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7F4" w:rsidRDefault="004137F4">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A544A">
      <w:rPr>
        <w:rFonts w:ascii="Palatino Linotype" w:eastAsia="Palatino Linotype" w:hAnsi="Palatino Linotype" w:cs="Palatino Linotype"/>
        <w:noProof/>
        <w:color w:val="000000"/>
        <w:sz w:val="20"/>
        <w:szCs w:val="20"/>
      </w:rPr>
      <w:t>46</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A544A">
      <w:rPr>
        <w:rFonts w:ascii="Palatino Linotype" w:eastAsia="Palatino Linotype" w:hAnsi="Palatino Linotype" w:cs="Palatino Linotype"/>
        <w:noProof/>
        <w:color w:val="000000"/>
        <w:sz w:val="20"/>
        <w:szCs w:val="20"/>
      </w:rPr>
      <w:t>48</w:t>
    </w:r>
    <w:r>
      <w:rPr>
        <w:rFonts w:ascii="Palatino Linotype" w:eastAsia="Palatino Linotype" w:hAnsi="Palatino Linotype" w:cs="Palatino Linotype"/>
        <w:color w:val="000000"/>
        <w:sz w:val="20"/>
        <w:szCs w:val="20"/>
      </w:rPr>
      <w:fldChar w:fldCharType="end"/>
    </w:r>
  </w:p>
  <w:p w:rsidR="004137F4" w:rsidRDefault="004137F4">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7F4" w:rsidRDefault="004137F4">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A544A">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A544A">
      <w:rPr>
        <w:rFonts w:ascii="Palatino Linotype" w:eastAsia="Palatino Linotype" w:hAnsi="Palatino Linotype" w:cs="Palatino Linotype"/>
        <w:noProof/>
        <w:color w:val="000000"/>
        <w:sz w:val="20"/>
        <w:szCs w:val="20"/>
      </w:rPr>
      <w:t>48</w:t>
    </w:r>
    <w:r>
      <w:rPr>
        <w:rFonts w:ascii="Palatino Linotype" w:eastAsia="Palatino Linotype" w:hAnsi="Palatino Linotype" w:cs="Palatino Linotype"/>
        <w:color w:val="000000"/>
        <w:sz w:val="20"/>
        <w:szCs w:val="20"/>
      </w:rPr>
      <w:fldChar w:fldCharType="end"/>
    </w:r>
  </w:p>
  <w:p w:rsidR="004137F4" w:rsidRDefault="004137F4">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E88" w:rsidRDefault="00603E88">
      <w:pPr>
        <w:spacing w:after="0" w:line="240" w:lineRule="auto"/>
      </w:pPr>
      <w:r>
        <w:separator/>
      </w:r>
    </w:p>
  </w:footnote>
  <w:footnote w:type="continuationSeparator" w:id="0">
    <w:p w:rsidR="00603E88" w:rsidRDefault="00603E88">
      <w:pPr>
        <w:spacing w:after="0" w:line="240" w:lineRule="auto"/>
      </w:pPr>
      <w:r>
        <w:continuationSeparator/>
      </w:r>
    </w:p>
  </w:footnote>
  <w:footnote w:id="1">
    <w:p w:rsidR="004137F4" w:rsidRDefault="004137F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4137F4" w:rsidRDefault="004137F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4137F4" w:rsidRDefault="004137F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4137F4" w:rsidRDefault="004137F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 w:id="5">
    <w:p w:rsidR="004137F4" w:rsidRDefault="004137F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Ley de Transparencia y Acceso a la Información Pública del Estado de México y Municipios. Artículo 9. …</w:t>
      </w:r>
    </w:p>
    <w:p w:rsidR="004137F4" w:rsidRDefault="004137F4">
      <w:pPr>
        <w:pBdr>
          <w:top w:val="nil"/>
          <w:left w:val="nil"/>
          <w:bottom w:val="nil"/>
          <w:right w:val="nil"/>
          <w:between w:val="nil"/>
        </w:pBdr>
        <w:spacing w:after="0" w:line="240" w:lineRule="auto"/>
        <w:rPr>
          <w:color w:val="000000"/>
          <w:sz w:val="20"/>
          <w:szCs w:val="20"/>
        </w:rPr>
      </w:pPr>
      <w:r>
        <w:rPr>
          <w:color w:val="000000"/>
          <w:sz w:val="20"/>
          <w:szCs w:val="20"/>
        </w:rPr>
        <w:t>II. Eficacia: Obligación del Instituto para tutelar, de manera efectiva, el derecho de acceso a la información;</w:t>
      </w:r>
    </w:p>
    <w:p w:rsidR="004137F4" w:rsidRDefault="004137F4">
      <w:pPr>
        <w:pBdr>
          <w:top w:val="nil"/>
          <w:left w:val="nil"/>
          <w:bottom w:val="nil"/>
          <w:right w:val="nil"/>
          <w:between w:val="nil"/>
        </w:pBdr>
        <w:spacing w:after="0" w:line="240" w:lineRule="auto"/>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7F4" w:rsidRDefault="00603E88">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7F4" w:rsidRDefault="004137F4">
    <w:pPr>
      <w:widowControl w:val="0"/>
      <w:pBdr>
        <w:top w:val="nil"/>
        <w:left w:val="nil"/>
        <w:bottom w:val="nil"/>
        <w:right w:val="nil"/>
        <w:between w:val="nil"/>
      </w:pBdr>
      <w:spacing w:after="0" w:line="276" w:lineRule="auto"/>
      <w:rPr>
        <w:color w:val="000000"/>
        <w:sz w:val="24"/>
        <w:szCs w:val="24"/>
      </w:rPr>
    </w:pPr>
  </w:p>
  <w:tbl>
    <w:tblPr>
      <w:tblStyle w:val="a0"/>
      <w:tblW w:w="6519" w:type="dxa"/>
      <w:tblInd w:w="2694" w:type="dxa"/>
      <w:tblLayout w:type="fixed"/>
      <w:tblLook w:val="0400" w:firstRow="0" w:lastRow="0" w:firstColumn="0" w:lastColumn="0" w:noHBand="0" w:noVBand="1"/>
    </w:tblPr>
    <w:tblGrid>
      <w:gridCol w:w="2976"/>
      <w:gridCol w:w="3543"/>
    </w:tblGrid>
    <w:tr w:rsidR="004137F4">
      <w:trPr>
        <w:trHeight w:val="227"/>
      </w:trPr>
      <w:tc>
        <w:tcPr>
          <w:tcW w:w="2976" w:type="dxa"/>
          <w:vAlign w:val="center"/>
        </w:tcPr>
        <w:p w:rsidR="004137F4" w:rsidRDefault="004137F4">
          <w:pPr>
            <w:spacing w:after="0"/>
            <w:ind w:right="3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3" w:type="dxa"/>
          <w:vAlign w:val="center"/>
        </w:tcPr>
        <w:p w:rsidR="004137F4" w:rsidRDefault="004137F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01363/INFOEM/IP/RR/2024</w:t>
          </w:r>
        </w:p>
      </w:tc>
    </w:tr>
    <w:tr w:rsidR="004137F4">
      <w:trPr>
        <w:trHeight w:val="242"/>
      </w:trPr>
      <w:tc>
        <w:tcPr>
          <w:tcW w:w="2976" w:type="dxa"/>
          <w:vAlign w:val="center"/>
        </w:tcPr>
        <w:p w:rsidR="004137F4" w:rsidRDefault="004137F4">
          <w:pPr>
            <w:spacing w:after="0"/>
            <w:ind w:right="3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3" w:type="dxa"/>
          <w:vAlign w:val="center"/>
        </w:tcPr>
        <w:p w:rsidR="004137F4" w:rsidRDefault="004137F4">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4"/>
              <w:szCs w:val="24"/>
            </w:rPr>
            <w:t>Organismo Agua y Saneamiento de Toluca</w:t>
          </w:r>
        </w:p>
      </w:tc>
    </w:tr>
    <w:tr w:rsidR="004137F4">
      <w:trPr>
        <w:trHeight w:val="342"/>
      </w:trPr>
      <w:tc>
        <w:tcPr>
          <w:tcW w:w="2976" w:type="dxa"/>
          <w:vAlign w:val="center"/>
        </w:tcPr>
        <w:p w:rsidR="004137F4" w:rsidRDefault="004137F4">
          <w:pPr>
            <w:spacing w:after="0"/>
            <w:ind w:right="3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3" w:type="dxa"/>
          <w:vAlign w:val="center"/>
        </w:tcPr>
        <w:p w:rsidR="004137F4" w:rsidRDefault="004137F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María del Rosario Mejía Ayala</w:t>
          </w:r>
        </w:p>
      </w:tc>
    </w:tr>
  </w:tbl>
  <w:p w:rsidR="004137F4" w:rsidRDefault="00603E88">
    <w:pPr>
      <w:pBdr>
        <w:top w:val="nil"/>
        <w:left w:val="nil"/>
        <w:bottom w:val="nil"/>
        <w:right w:val="nil"/>
        <w:between w:val="nil"/>
      </w:pBdr>
      <w:tabs>
        <w:tab w:val="center" w:pos="4419"/>
        <w:tab w:val="right" w:pos="8838"/>
        <w:tab w:val="left" w:pos="6005"/>
      </w:tabs>
      <w:spacing w:after="0" w:line="240" w:lineRule="auto"/>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7F4" w:rsidRDefault="004137F4">
    <w:pPr>
      <w:widowControl w:val="0"/>
      <w:pBdr>
        <w:top w:val="nil"/>
        <w:left w:val="nil"/>
        <w:bottom w:val="nil"/>
        <w:right w:val="nil"/>
        <w:between w:val="nil"/>
      </w:pBdr>
      <w:spacing w:after="0" w:line="276" w:lineRule="auto"/>
      <w:rPr>
        <w:color w:val="000000"/>
        <w:sz w:val="14"/>
        <w:szCs w:val="14"/>
      </w:rPr>
    </w:pPr>
  </w:p>
  <w:tbl>
    <w:tblPr>
      <w:tblStyle w:val="a1"/>
      <w:tblW w:w="6660" w:type="dxa"/>
      <w:tblInd w:w="2552" w:type="dxa"/>
      <w:tblLayout w:type="fixed"/>
      <w:tblLook w:val="0400" w:firstRow="0" w:lastRow="0" w:firstColumn="0" w:lastColumn="0" w:noHBand="0" w:noVBand="1"/>
    </w:tblPr>
    <w:tblGrid>
      <w:gridCol w:w="2977"/>
      <w:gridCol w:w="3683"/>
    </w:tblGrid>
    <w:tr w:rsidR="004137F4">
      <w:trPr>
        <w:trHeight w:val="227"/>
      </w:trPr>
      <w:tc>
        <w:tcPr>
          <w:tcW w:w="2977" w:type="dxa"/>
          <w:vAlign w:val="center"/>
        </w:tcPr>
        <w:p w:rsidR="004137F4" w:rsidRDefault="004137F4">
          <w:pPr>
            <w:spacing w:after="0"/>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684" w:type="dxa"/>
          <w:vAlign w:val="center"/>
        </w:tcPr>
        <w:p w:rsidR="004137F4" w:rsidRDefault="004137F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01363/INFOEM/IP/RR/2024</w:t>
          </w:r>
        </w:p>
      </w:tc>
    </w:tr>
    <w:tr w:rsidR="004137F4">
      <w:trPr>
        <w:trHeight w:val="305"/>
      </w:trPr>
      <w:tc>
        <w:tcPr>
          <w:tcW w:w="2977" w:type="dxa"/>
          <w:vAlign w:val="center"/>
        </w:tcPr>
        <w:p w:rsidR="004137F4" w:rsidRDefault="004137F4">
          <w:pPr>
            <w:spacing w:after="0"/>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684" w:type="dxa"/>
        </w:tcPr>
        <w:p w:rsidR="004137F4" w:rsidRDefault="004137F4">
          <w:pPr>
            <w:pBdr>
              <w:top w:val="nil"/>
              <w:left w:val="nil"/>
              <w:bottom w:val="nil"/>
              <w:right w:val="nil"/>
              <w:between w:val="nil"/>
            </w:pBdr>
            <w:tabs>
              <w:tab w:val="center" w:pos="4419"/>
              <w:tab w:val="right" w:pos="8838"/>
              <w:tab w:val="left" w:pos="521"/>
            </w:tabs>
            <w:spacing w:after="0" w:line="240" w:lineRule="auto"/>
            <w:rPr>
              <w:rFonts w:ascii="Palatino Linotype" w:eastAsia="Palatino Linotype" w:hAnsi="Palatino Linotype" w:cs="Palatino Linotype"/>
              <w:b/>
              <w:color w:val="000000"/>
            </w:rPr>
          </w:pPr>
        </w:p>
      </w:tc>
    </w:tr>
    <w:tr w:rsidR="004137F4">
      <w:trPr>
        <w:trHeight w:val="342"/>
      </w:trPr>
      <w:tc>
        <w:tcPr>
          <w:tcW w:w="2977" w:type="dxa"/>
          <w:vAlign w:val="center"/>
        </w:tcPr>
        <w:p w:rsidR="004137F4" w:rsidRDefault="004137F4">
          <w:pPr>
            <w:spacing w:after="0"/>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84" w:type="dxa"/>
          <w:vAlign w:val="center"/>
        </w:tcPr>
        <w:p w:rsidR="004137F4" w:rsidRDefault="004137F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4"/>
              <w:szCs w:val="24"/>
            </w:rPr>
            <w:t>Organismo Agua y Saneamiento de Toluca</w:t>
          </w:r>
        </w:p>
      </w:tc>
    </w:tr>
    <w:tr w:rsidR="004137F4">
      <w:trPr>
        <w:trHeight w:val="342"/>
      </w:trPr>
      <w:tc>
        <w:tcPr>
          <w:tcW w:w="2977" w:type="dxa"/>
          <w:vAlign w:val="center"/>
        </w:tcPr>
        <w:p w:rsidR="004137F4" w:rsidRDefault="004137F4">
          <w:pPr>
            <w:spacing w:after="0"/>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684" w:type="dxa"/>
          <w:vAlign w:val="center"/>
        </w:tcPr>
        <w:p w:rsidR="004137F4" w:rsidRDefault="004137F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María del Rosario Mejía Ayala</w:t>
          </w:r>
        </w:p>
      </w:tc>
    </w:tr>
  </w:tbl>
  <w:p w:rsidR="004137F4" w:rsidRDefault="00603E88">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B48CB"/>
    <w:multiLevelType w:val="multilevel"/>
    <w:tmpl w:val="8ECEE3EC"/>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36B054A"/>
    <w:multiLevelType w:val="multilevel"/>
    <w:tmpl w:val="4EAC9BD6"/>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
    <w:nsid w:val="23F7677D"/>
    <w:multiLevelType w:val="multilevel"/>
    <w:tmpl w:val="E62241A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3">
    <w:nsid w:val="4525578D"/>
    <w:multiLevelType w:val="multilevel"/>
    <w:tmpl w:val="1A98B75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88D7EF7"/>
    <w:multiLevelType w:val="multilevel"/>
    <w:tmpl w:val="1928776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B343D43"/>
    <w:multiLevelType w:val="multilevel"/>
    <w:tmpl w:val="E89A20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nsid w:val="4E1B21B8"/>
    <w:multiLevelType w:val="multilevel"/>
    <w:tmpl w:val="B5D8C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3"/>
  </w:num>
  <w:num w:numId="4">
    <w:abstractNumId w:val="6"/>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618"/>
    <w:rsid w:val="00157A3D"/>
    <w:rsid w:val="001B3DB2"/>
    <w:rsid w:val="004137F4"/>
    <w:rsid w:val="00463830"/>
    <w:rsid w:val="00603C6E"/>
    <w:rsid w:val="00603E88"/>
    <w:rsid w:val="0062256D"/>
    <w:rsid w:val="0075237F"/>
    <w:rsid w:val="008114B5"/>
    <w:rsid w:val="008729FF"/>
    <w:rsid w:val="008C44A9"/>
    <w:rsid w:val="009D512D"/>
    <w:rsid w:val="00AC0B8C"/>
    <w:rsid w:val="00B35E84"/>
    <w:rsid w:val="00C47E98"/>
    <w:rsid w:val="00D3670F"/>
    <w:rsid w:val="00DA544A"/>
    <w:rsid w:val="00E272E8"/>
    <w:rsid w:val="00EA3618"/>
    <w:rsid w:val="00F24BEF"/>
    <w:rsid w:val="00F304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E9EE276-6364-49C1-BBB3-79D3ABAC5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36E"/>
  </w:style>
  <w:style w:type="paragraph" w:styleId="Ttulo1">
    <w:name w:val="heading 1"/>
    <w:basedOn w:val="Normal"/>
    <w:next w:val="Normal"/>
    <w:link w:val="Ttulo1Car"/>
    <w:uiPriority w:val="9"/>
    <w:qFormat/>
    <w:rsid w:val="00C7036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C7036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C7036E"/>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C7036E"/>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C7036E"/>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C7036E"/>
    <w:rPr>
      <w:rFonts w:eastAsiaTheme="minorEastAsia"/>
      <w:sz w:val="24"/>
      <w:szCs w:val="24"/>
      <w:lang w:val="es-ES_tradnl" w:eastAsia="es-ES"/>
    </w:rPr>
  </w:style>
  <w:style w:type="paragraph" w:styleId="Piedepgina">
    <w:name w:val="footer"/>
    <w:basedOn w:val="Normal"/>
    <w:link w:val="PiedepginaCar"/>
    <w:uiPriority w:val="99"/>
    <w:unhideWhenUsed/>
    <w:rsid w:val="00C7036E"/>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C7036E"/>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C7036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7036E"/>
    <w:pPr>
      <w:spacing w:after="0" w:line="240" w:lineRule="auto"/>
    </w:pPr>
    <w:rPr>
      <w:sz w:val="20"/>
      <w:szCs w:val="20"/>
    </w:rPr>
  </w:style>
  <w:style w:type="character" w:customStyle="1" w:styleId="TextonotapieCar1">
    <w:name w:val="Texto nota pie Car1"/>
    <w:basedOn w:val="Fuentedeprrafopredeter"/>
    <w:uiPriority w:val="99"/>
    <w:semiHidden/>
    <w:rsid w:val="00C7036E"/>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7036E"/>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7036E"/>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7036E"/>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8454AC"/>
    <w:rPr>
      <w:rFonts w:ascii="Times New Roman" w:eastAsia="Times New Roman" w:hAnsi="Times New Roman" w:cs="Times New Roman"/>
    </w:rPr>
  </w:style>
  <w:style w:type="paragraph" w:styleId="Sinespaciado">
    <w:name w:val="No Spacing"/>
    <w:aliases w:val="Francesa,INAI"/>
    <w:link w:val="SinespaciadoCar"/>
    <w:uiPriority w:val="1"/>
    <w:qFormat/>
    <w:rsid w:val="008454AC"/>
    <w:pPr>
      <w:spacing w:after="0" w:line="240" w:lineRule="auto"/>
    </w:pPr>
    <w:rPr>
      <w:rFonts w:ascii="Times New Roman" w:eastAsia="Times New Roman" w:hAnsi="Times New Roman" w:cs="Times New Roman"/>
    </w:rPr>
  </w:style>
  <w:style w:type="paragraph" w:customStyle="1" w:styleId="Default">
    <w:name w:val="Default"/>
    <w:qFormat/>
    <w:rsid w:val="008454AC"/>
    <w:pPr>
      <w:autoSpaceDE w:val="0"/>
      <w:autoSpaceDN w:val="0"/>
      <w:adjustRightInd w:val="0"/>
      <w:spacing w:after="0" w:line="240" w:lineRule="auto"/>
    </w:pPr>
    <w:rPr>
      <w:rFonts w:ascii="Arial" w:hAnsi="Arial" w:cs="Arial"/>
      <w:color w:val="000000"/>
      <w:sz w:val="24"/>
      <w:szCs w:val="24"/>
    </w:rPr>
  </w:style>
  <w:style w:type="table" w:customStyle="1" w:styleId="Tablanormal12">
    <w:name w:val="Tabla normal 12"/>
    <w:basedOn w:val="Tablanormal"/>
    <w:next w:val="Tablanormal1"/>
    <w:uiPriority w:val="41"/>
    <w:rsid w:val="00D2593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D2593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KBlJjuZ86QPJWMzbPZ76zqIn1A==">CgMxLjAyCGguZ2pkZ3hzMgloLjMwajB6bGwyCWguMWZvYjl0ZTIJaC4zem55c2g3Mg5oLnhtZnpxbnhnNXI1eDIOaC4ya2dzNW44bTg3ajMyDmgueGV2cDJoNmZnb29lMgloLjJldDkycDAyCGgudHlqY3d0MgloLjNkeTZ2a20yCWguMXQzaDVzZjIJaC40ZDM0b2c4MgloLjJzOGV5bzEyCWguMTdkcDh2dTIJaC4zcmRjcmpuOAByITFrMndUYlM5Y003X2Rua0RwLW1jTF9ZRk1XSlVhWDd4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48</Pages>
  <Words>10395</Words>
  <Characters>57173</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INFOEM416</cp:lastModifiedBy>
  <cp:revision>6</cp:revision>
  <cp:lastPrinted>2025-02-13T16:02:00Z</cp:lastPrinted>
  <dcterms:created xsi:type="dcterms:W3CDTF">2025-02-10T22:42:00Z</dcterms:created>
  <dcterms:modified xsi:type="dcterms:W3CDTF">2025-02-13T16:02:00Z</dcterms:modified>
</cp:coreProperties>
</file>