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doce de febrero de dos mil veinticinco.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00139/INFOEM/IP/RR/2025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XXXXXX XXXXXXXXXX XXXXXXXXXXXX,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00007/TENANCIN/IP/2025</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Ayuntamiento de Tenancingo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6">
      <w:pPr>
        <w:numPr>
          <w:ilvl w:val="1"/>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trece de enero de dos mil veinticinco</w:t>
      </w:r>
      <w:r w:rsidDel="00000000" w:rsidR="00000000" w:rsidRPr="00000000">
        <w:rPr>
          <w:rFonts w:ascii="Palatino Linotype" w:cs="Palatino Linotype" w:eastAsia="Palatino Linotype" w:hAnsi="Palatino Linotype"/>
          <w:sz w:val="22"/>
          <w:szCs w:val="22"/>
          <w:rtl w:val="0"/>
        </w:rPr>
        <w:t xml:space="preserve">, se tuvo por presentada la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“¿CUANTOS DIAS ESTUVO PRIVADO DE SU LIBERTAD EL XXXX XX XX XXXXXXXXXX CUANDO FUE REGIDOR ENTRE LOS AÑOS 2009 Y 2012?, ¿EN QUÉ CENTRO PREVENTIVO FUE INTERNADO? Y ¿POR QUÉ CONDUCTA FUE INGRESADO AL CENTRO PREVENTIVO O RECLUSORIO? SIENDO EL XXXX DE LA PRESIDENTA NANCY NAPOLES PACHECO, EL CIUDADANO XXXXXX XXXXXXX XXXX”</w:t>
      </w:r>
    </w:p>
    <w:p w:rsidR="00000000" w:rsidDel="00000000" w:rsidP="00000000" w:rsidRDefault="00000000" w:rsidRPr="00000000" w14:paraId="00000009">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veintiuno de enero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D">
      <w:pPr>
        <w:tabs>
          <w:tab w:val="left" w:leader="none" w:pos="7371"/>
        </w:tabs>
        <w:spacing w:line="360" w:lineRule="auto"/>
        <w:ind w:left="567" w:right="616" w:firstLine="0"/>
        <w:jc w:val="both"/>
        <w:rPr>
          <w:rFonts w:ascii="Palatino Linotype" w:cs="Palatino Linotype" w:eastAsia="Palatino Linotype" w:hAnsi="Palatino Linotype"/>
          <w:i w:val="1"/>
          <w:sz w:val="22"/>
          <w:szCs w:val="22"/>
        </w:rPr>
      </w:pPr>
      <w:bookmarkStart w:colFirst="0" w:colLast="0" w:name="_heading=h.3znysh7" w:id="0"/>
      <w:bookmarkEnd w:id="0"/>
      <w:r w:rsidDel="00000000" w:rsidR="00000000" w:rsidRPr="00000000">
        <w:rPr>
          <w:rtl w:val="0"/>
        </w:rPr>
      </w:r>
    </w:p>
    <w:p w:rsidR="00000000" w:rsidDel="00000000" w:rsidP="00000000" w:rsidRDefault="00000000" w:rsidRPr="00000000" w14:paraId="0000000E">
      <w:pPr>
        <w:tabs>
          <w:tab w:val="left" w:leader="none" w:pos="7371"/>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C. XXXXXXXXXX XX XXXXXXXXXX. PRESENTE. En atención a su solicitud de información recibida a través del Sistema de Acceso a la Información Mexiquense (SAIMEX), identificada con el número 00007/TENANCIN/IP/2025; en la cual solicita información relacionada con lo siguiente: "¿CUANTOS DIAS ESTUVO PRIVADO DE SU LIBERTAD EL XXXX XX XX XXXXXXXXXX CUANDO FUE REGIDOR ENTRE LOS AÑOS 2009 Y 2012?, ¿EN QUÉ CENTRO PREVENTIVO FUE INTERNADO? Y ¿POR QUÉ CONDUCTA FUE INGRESADO AL CENTRO PREVENTIVO O RECLUSORIO? SIENDO EL PAPÁ DE LA PRESIDENTA NANCY NAPOLES PACHECO, EL CIUDADANO XXXXXX XXXXXXX XXXX" Al respecto, me permito comentarle que de acuerdo con lo establecido por el articulo 4 primer párrafo de la Ley de Transparencia y Acceso a la Información Pública del Estado de México y Municipios, indica: "Artículo 4. El derecho humano de acceso a la información pública es la prerrogativa de las personas para buscar, difundir, investigar, recabar, recibir y solicitar información pública, sin necesidad de acreditar personalidad ni interés jurídico.” Subsecuentemente, el articulo 12 segundo párrafo de la Ley de Transparencia y Acceso a la Información Pública del Estado de México y Municipios, disponen lo siguiente: "Artículo 12. Los sujetos obligados solo proporcionaran la información pública que se les requiera y que obre en sus archivos y en el estado en que ésta se encuentre. La obligación de proporcionar información no comprende el procesamiento de la misma, ni el presentarla con forme al interés del solicitante; no estarán obligados a generarla, resumirla, efectuar cálculos o practicar investigaciones. Por lo anterior, los artículos 50 y 51 de la Ley de Transparencia y Acceso a la información Pública del Estado de México y Municipios, establecen que los sujetos obligados contarán con un área responsable para la atención de las solicitudes de información, a la que se le denominará Unidad de Transparencia; asimismo, que los sujetos obligados designaran a un responsable para atender la Unidad de Transparencia, quien fungirá coma enlace entre éstos y los solicitantes. Dicha Unidad será la encargada de tramitar internamente la solicitud de información y tendrá la responsabilidad de verificar en cada caso que la misma no sea confidencial o reservada. La Unidad de Transparencia contará con las facultades internas necesarias para gestionar la atención a las solicitudes de información en los términos de la Ley General de Transparencia y Acceso a la información Pública y la Ley de Transparencia y Acceso a la información Pública del Estado de México y Municipios. En virtud de lo anterior, </w:t>
      </w:r>
      <w:r w:rsidDel="00000000" w:rsidR="00000000" w:rsidRPr="00000000">
        <w:rPr>
          <w:rFonts w:ascii="Palatino Linotype" w:cs="Palatino Linotype" w:eastAsia="Palatino Linotype" w:hAnsi="Palatino Linotype"/>
          <w:b w:val="1"/>
          <w:i w:val="1"/>
          <w:sz w:val="22"/>
          <w:szCs w:val="22"/>
          <w:rtl w:val="0"/>
        </w:rPr>
        <w:t xml:space="preserve">adjunto al presente se servirá encontrar el oficio de respuesta que se emite. </w:t>
      </w:r>
      <w:r w:rsidDel="00000000" w:rsidR="00000000" w:rsidRPr="00000000">
        <w:rPr>
          <w:rFonts w:ascii="Palatino Linotype" w:cs="Palatino Linotype" w:eastAsia="Palatino Linotype" w:hAnsi="Palatino Linotype"/>
          <w:i w:val="1"/>
          <w:sz w:val="22"/>
          <w:szCs w:val="22"/>
          <w:rtl w:val="0"/>
        </w:rPr>
        <w:t xml:space="preserve">Sin otro particular, reciba un cordial saludo.”</w:t>
      </w:r>
    </w:p>
    <w:p w:rsidR="00000000" w:rsidDel="00000000" w:rsidP="00000000" w:rsidRDefault="00000000" w:rsidRPr="00000000" w14:paraId="0000000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adjuntó a su respuesta el archivo electrónico </w:t>
      </w:r>
      <w:r w:rsidDel="00000000" w:rsidR="00000000" w:rsidRPr="00000000">
        <w:rPr>
          <w:rFonts w:ascii="Palatino Linotype" w:cs="Palatino Linotype" w:eastAsia="Palatino Linotype" w:hAnsi="Palatino Linotype"/>
          <w:b w:val="1"/>
          <w:i w:val="1"/>
          <w:sz w:val="22"/>
          <w:szCs w:val="22"/>
          <w:rtl w:val="0"/>
        </w:rPr>
        <w:t xml:space="preserve">“00007.pdf”</w:t>
      </w:r>
      <w:r w:rsidDel="00000000" w:rsidR="00000000" w:rsidRPr="00000000">
        <w:rPr>
          <w:rFonts w:ascii="Palatino Linotype" w:cs="Palatino Linotype" w:eastAsia="Palatino Linotype" w:hAnsi="Palatino Linotype"/>
          <w:sz w:val="22"/>
          <w:szCs w:val="22"/>
          <w:rtl w:val="0"/>
        </w:rPr>
        <w:t xml:space="preserve">, el cual contiene el oficio número PMT058/PM/CT/SI/00007/2025 de fecha veintiuno de enero de dos mil veinticinco, signado por la Coordinadora de Transparencia del Ayuntamiento de Tenancingo, mediante el cual informó que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sz w:val="22"/>
          <w:szCs w:val="22"/>
          <w:rtl w:val="0"/>
        </w:rPr>
        <w:t xml:space="preserve">veintiuno de enero de dos mil veinticinco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13">
      <w:pPr>
        <w:ind w:left="851" w:right="616"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4">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r w:rsidDel="00000000" w:rsidR="00000000" w:rsidRPr="00000000">
        <w:rPr>
          <w:rFonts w:ascii="Palatino Linotype" w:cs="Palatino Linotype" w:eastAsia="Palatino Linotype" w:hAnsi="Palatino Linotype"/>
          <w:i w:val="1"/>
          <w:sz w:val="22"/>
          <w:szCs w:val="22"/>
          <w:rtl w:val="0"/>
        </w:rPr>
        <w:t xml:space="preserve">“LA RESPUESTA OTORGADA POR EL MUNICIPIO 00007/TENANCIN/IP/2025” </w:t>
      </w:r>
    </w:p>
    <w:p w:rsidR="00000000" w:rsidDel="00000000" w:rsidP="00000000" w:rsidRDefault="00000000" w:rsidRPr="00000000" w14:paraId="00000015">
      <w:pPr>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sz w:val="22"/>
          <w:szCs w:val="22"/>
          <w:rtl w:val="0"/>
        </w:rPr>
        <w:t xml:space="preserve">Motivos de inconformidad. </w:t>
      </w:r>
      <w:r w:rsidDel="00000000" w:rsidR="00000000" w:rsidRPr="00000000">
        <w:rPr>
          <w:rFonts w:ascii="Palatino Linotype" w:cs="Palatino Linotype" w:eastAsia="Palatino Linotype" w:hAnsi="Palatino Linotype"/>
          <w:i w:val="1"/>
          <w:sz w:val="22"/>
          <w:szCs w:val="22"/>
          <w:rtl w:val="0"/>
        </w:rPr>
        <w:t xml:space="preserve">“SE TRATA DE UN EXSERVIDOR PÚBLICO QUE FUE PRIVADO DE LA LIBERTAD CUANDO FUE REGIDOR ENTRE LOS AÑOS 2009 Y 2012, MOTIVO POR EL QUE NO SE REALIZÓ UNA BUSQUEDA EXHAUSTIVA DE LA INFORMACIÓN SOLICITADA, INDEPENDIENTE A QUE SEA FAMILAR DE LA PRESIDENTA MUNICIPAL”</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00139/INFOEM/IP/RR/2025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veinticuatro de enero de dos mil veinticinco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SAIMEX se desprende que en fecha </w:t>
      </w:r>
      <w:r w:rsidDel="00000000" w:rsidR="00000000" w:rsidRPr="00000000">
        <w:rPr>
          <w:rFonts w:ascii="Palatino Linotype" w:cs="Palatino Linotype" w:eastAsia="Palatino Linotype" w:hAnsi="Palatino Linotype"/>
          <w:b w:val="1"/>
          <w:sz w:val="22"/>
          <w:szCs w:val="22"/>
          <w:rtl w:val="0"/>
        </w:rPr>
        <w:t xml:space="preserve">veintiocho de enero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adjunto el siguiente archivo electrónico: </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720" w:right="616"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MANIFESTACIONES RR 00139.pdf:</w:t>
      </w:r>
      <w:r w:rsidDel="00000000" w:rsidR="00000000" w:rsidRPr="00000000">
        <w:rPr>
          <w:rFonts w:ascii="Palatino Linotype" w:cs="Palatino Linotype" w:eastAsia="Palatino Linotype" w:hAnsi="Palatino Linotype"/>
          <w:sz w:val="22"/>
          <w:szCs w:val="22"/>
          <w:rtl w:val="0"/>
        </w:rPr>
        <w:t xml:space="preserve"> Oficio número PMT058/C.T./00139/2025, de fecha veintiocho de enero de dos mil veinticinco, signado por la Coordinadora de Transparencia en el que informó que </w:t>
      </w:r>
      <w:r w:rsidDel="00000000" w:rsidR="00000000" w:rsidRPr="00000000">
        <w:rPr>
          <w:rFonts w:ascii="Palatino Linotype" w:cs="Palatino Linotype" w:eastAsia="Palatino Linotype" w:hAnsi="Palatino Linotype"/>
          <w:b w:val="1"/>
          <w:i w:val="1"/>
          <w:sz w:val="22"/>
          <w:szCs w:val="22"/>
          <w:rtl w:val="0"/>
        </w:rPr>
        <w:t xml:space="preserve">si bien es cierto que el solicitante tiene derecho a que se le informe lo se solicita, también es cierto que, cuando una Unidad de Transparencia no cuente con dicha información derivado de la incompetencia dentro de la solicitud, se lo hará saber al solicitante;</w:t>
      </w:r>
      <w:r w:rsidDel="00000000" w:rsidR="00000000" w:rsidRPr="00000000">
        <w:rPr>
          <w:rFonts w:ascii="Palatino Linotype" w:cs="Palatino Linotype" w:eastAsia="Palatino Linotype" w:hAnsi="Palatino Linotype"/>
          <w:i w:val="1"/>
          <w:sz w:val="22"/>
          <w:szCs w:val="22"/>
          <w:rtl w:val="0"/>
        </w:rPr>
        <w:t xml:space="preserve"> es por lo anterior, que al ser una solicitud que le compete al tratamiento de datos personales por instancias de seguridad pública, procuración y administración de justicia, no se encuentra dentro de las competencias de ningún Sujeto Obligado, dentro del Ayuntamiento de Tenancingo, ya que en un margen de división jurídica, </w:t>
      </w:r>
      <w:r w:rsidDel="00000000" w:rsidR="00000000" w:rsidRPr="00000000">
        <w:rPr>
          <w:rFonts w:ascii="Palatino Linotype" w:cs="Palatino Linotype" w:eastAsia="Palatino Linotype" w:hAnsi="Palatino Linotype"/>
          <w:b w:val="1"/>
          <w:i w:val="1"/>
          <w:sz w:val="22"/>
          <w:szCs w:val="22"/>
          <w:rtl w:val="0"/>
        </w:rPr>
        <w:t xml:space="preserve">el requerimiento del solicitante se encuentra dentro del Poder Judicial y no dentro del Poder Ejecutivo, al cual le corresponde por la naturaleza de la solicitud, dicha respuesta y atención. </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284"/>
        </w:tabs>
        <w:spacing w:line="360" w:lineRule="auto"/>
        <w:ind w:left="720"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284"/>
        </w:tabs>
        <w:spacing w:line="360" w:lineRule="auto"/>
        <w:ind w:left="720"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cuanto a las razones de inconformidad del solicitante informó que, es competencia de los sujetos obligados de las instancias de seguridad pública, procuración y administración de justicia, quienes tienen la facultad para almacenar información relacionada íntimamente y disponible en juicios en materia laboral, civil, penal, fiscal, mercantil o de cualquier otra rama del Derecho. </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284"/>
        </w:tabs>
        <w:spacing w:line="360" w:lineRule="auto"/>
        <w:ind w:left="720"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284"/>
        </w:tabs>
        <w:spacing w:line="360" w:lineRule="auto"/>
        <w:ind w:left="720"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todo lo anterior con fundamento en el artículo 53 de la Ley de Transparencia y Acceso a la Información Pública del Estado de México y Municipios, se está auxiliando al particular en su orientación de su solicitud a que sujeto obligado debería dirigirla, no se le está negando su derecho al acceso a la información. Recordando que esta Unidad de Transparencia no tiene facultades para recabar información que pertenece a otro Sujeto Obligado. </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 que se hizo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cuatro de febrero de dos mil veinticinco</w:t>
      </w:r>
      <w:r w:rsidDel="00000000" w:rsidR="00000000" w:rsidRPr="00000000">
        <w:rPr>
          <w:rFonts w:ascii="Palatino Linotype" w:cs="Palatino Linotype" w:eastAsia="Palatino Linotype" w:hAnsi="Palatino Linotype"/>
          <w:sz w:val="22"/>
          <w:szCs w:val="22"/>
          <w:rtl w:val="0"/>
        </w:rPr>
        <w:t xml:space="preserve">, misma que no realizó manifestaciones o alegatos que a su derecho convinieran.</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284"/>
        </w:tabs>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diez de febrero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A">
      <w:pPr>
        <w:numPr>
          <w:ilvl w:val="0"/>
          <w:numId w:val="4"/>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D">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veintiuno de enero de dos mil veinticinco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veintiuno de enero de dos mil veinticinco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el mismo día hábil en que tuvo conocimiento de la respuesta. </w:t>
      </w:r>
    </w:p>
    <w:p w:rsidR="00000000" w:rsidDel="00000000" w:rsidP="00000000" w:rsidRDefault="00000000" w:rsidRPr="00000000" w14:paraId="0000003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al considerar la fecha en que se formuló la solicitud y la fecha en que respondió a 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así como la fecha en que se interpuso el recurso de revisión, se concluye que el presente recurso de revisión se encuentra dentro de los márgenes temporales previstos las disposiciones legales referidas.</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34">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5">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rsidR="00000000" w:rsidDel="00000000" w:rsidP="00000000" w:rsidRDefault="00000000" w:rsidRPr="00000000" w14:paraId="00000036">
      <w:pPr>
        <w:spacing w:line="360" w:lineRule="auto"/>
        <w:ind w:right="84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por cuanto hace a la procedibilidad del recurso de revisión, es de suma importancia señalar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señaló un seudónimo con el cual desea ser identificado, como se advierte en el detalle de seguimiento del SAIMEX, no obstante lo anterior, el señalar un seudónimo para ser identificado,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B">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w:t>
      </w:r>
      <w:r w:rsidDel="00000000" w:rsidR="00000000" w:rsidRPr="00000000">
        <w:rPr>
          <w:rFonts w:ascii="Palatino Linotype" w:cs="Palatino Linotype" w:eastAsia="Palatino Linotype" w:hAnsi="Palatino Linotype"/>
          <w:i w:val="1"/>
          <w:sz w:val="22"/>
          <w:szCs w:val="22"/>
          <w:rtl w:val="0"/>
        </w:rPr>
        <w:t xml:space="preserve">anónimas, con nombre incompleto o </w:t>
      </w:r>
      <w:r w:rsidDel="00000000" w:rsidR="00000000" w:rsidRPr="00000000">
        <w:rPr>
          <w:rFonts w:ascii="Palatino Linotype" w:cs="Palatino Linotype" w:eastAsia="Palatino Linotype" w:hAnsi="Palatino Linotype"/>
          <w:b w:val="1"/>
          <w:i w:val="1"/>
          <w:sz w:val="22"/>
          <w:szCs w:val="22"/>
          <w:rtl w:val="0"/>
        </w:rPr>
        <w:t xml:space="preserve">seudónimo </w:t>
      </w:r>
      <w:r w:rsidDel="00000000" w:rsidR="00000000" w:rsidRPr="00000000">
        <w:rPr>
          <w:rFonts w:ascii="Palatino Linotype" w:cs="Palatino Linotype" w:eastAsia="Palatino Linotype" w:hAnsi="Palatino Linotype"/>
          <w:i w:val="1"/>
          <w:sz w:val="22"/>
          <w:szCs w:val="22"/>
          <w:rtl w:val="0"/>
        </w:rPr>
        <w:t xml:space="preserve">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a la información solicitada;</w:t>
      </w:r>
    </w:p>
    <w:p w:rsidR="00000000" w:rsidDel="00000000" w:rsidP="00000000" w:rsidRDefault="00000000" w:rsidRPr="00000000" w14:paraId="0000004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3">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Análisis de las causales de Sobreseimiento del Recurso de Revisión.</w:t>
      </w:r>
      <w:r w:rsidDel="00000000" w:rsidR="00000000" w:rsidRPr="00000000">
        <w:rPr>
          <w:rFonts w:ascii="Palatino Linotype" w:cs="Palatino Linotype" w:eastAsia="Palatino Linotype" w:hAnsi="Palatino Linotype"/>
          <w:sz w:val="22"/>
          <w:szCs w:val="22"/>
          <w:rtl w:val="0"/>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la Ley de Transparencia y Acceso a la Información Pública del Estado de México y Municipios, en correlación con la seguridad jurídica que debe generar lo actuado ante este Organismo Garante. </w:t>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000000" w:rsidDel="00000000" w:rsidP="00000000" w:rsidRDefault="00000000" w:rsidRPr="00000000" w14:paraId="0000004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preliminar en el caso concreto conviene analizar si se actualiza alguna de las causales de sobreseimiento del recurso de revisión.</w:t>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del análisis de la solicitud de información motivo del recurso de revisión que ahora se resuelve, se advierte que la parte solicitante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le proporcione información consistente en lo siguiente:</w:t>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spacing w:line="276" w:lineRule="auto"/>
        <w:ind w:left="1440" w:right="616"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¿Cuantos días estuvo privado de su libertad el papá de la presidenta cuando fue regidor entre los años 2009 y 2012?</w:t>
      </w:r>
    </w:p>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spacing w:line="276" w:lineRule="auto"/>
        <w:ind w:left="1440" w:right="616"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qué centro preventivo fue internado?; y, </w:t>
      </w:r>
    </w:p>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spacing w:line="276" w:lineRule="auto"/>
        <w:ind w:left="1440" w:right="616"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qué conducta fue ingresado al centro preventivo o reclusorio? </w:t>
      </w:r>
    </w:p>
    <w:p w:rsidR="00000000" w:rsidDel="00000000" w:rsidP="00000000" w:rsidRDefault="00000000" w:rsidRPr="00000000" w14:paraId="0000004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la Coordinadora de Transparencia informó que, 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05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solicitante, interpuso el recurso de revisión que se analiza en el presente asunto, por medio del cual se inconformó en lo medular de la falta de entrega de la información solicitada. </w:t>
      </w:r>
    </w:p>
    <w:p w:rsidR="00000000" w:rsidDel="00000000" w:rsidP="00000000" w:rsidRDefault="00000000" w:rsidRPr="00000000" w14:paraId="00000053">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precisar que posterior a su admisión, este Instituto procedió a conformar el expediente electrónico del recurso de revisión que nos ocupa, concediéndoles a las partes un plazo de siete días hábiles para que presentaran sus manifestaciones, informe justificado o alegatos, teniendo así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informe justificado informó que, si bien es cierto que el solicitante tiene derecho a que se le informe lo que se solicita, también es cierto que, cuando una Unidad de Transparencia no cuente con dicha información derivado de la incompetencia dentro de la solicitud, se lo hará saber al solicitante; por lo que, al ser una solicitud que le compete al tratamiento de datos personales por instancias de seguridad pública, procuración y administración de justicia, no se encuentra dentro de las competencias dentro del Ayuntamiento de Tenancingo, ya que en un margen de división jurídica, el requerimiento del solicitante se encuentra dentro del Poder Judicial y no dentro del Poder Ejecutivo, al cual le corresponde por la naturaleza de la solicitud, dicha respuesta y atención. </w:t>
      </w:r>
    </w:p>
    <w:p w:rsidR="00000000" w:rsidDel="00000000" w:rsidP="00000000" w:rsidRDefault="00000000" w:rsidRPr="00000000" w14:paraId="00000054">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Mientras que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fue omisa en remitir pronunciamiento alguno, por lo tanto, se decretó el cierre de instrucción y se procede a emitir la resolución que conforme a derecho corresponda.</w:t>
      </w:r>
    </w:p>
    <w:p w:rsidR="00000000" w:rsidDel="00000000" w:rsidP="00000000" w:rsidRDefault="00000000" w:rsidRPr="00000000" w14:paraId="00000055">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Expuestas las posturas de las partes, se procede a contextualizar la información solicitada, por lo que, en principio, resulta necesario remitirnos al análisis de los artículos 21 de la Constitución Política de los Estados Unidos Mexicanos; 3, fracción XII, 127, 128, 131 fracciones III y XI y 132 del Código Nacional de Procedimientos Penales del Estado de México; 33 y 34, inciso A, fracciones VI, XIII, XVII de la Ley de la Fiscalía General de Justicia del Estado de México, los cuales a la letra indican lo siguiente:</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spacing w:line="259"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Constitución Política de los Estados Unidos Mexicanos</w:t>
      </w:r>
    </w:p>
    <w:p w:rsidR="00000000" w:rsidDel="00000000" w:rsidP="00000000" w:rsidRDefault="00000000" w:rsidRPr="00000000" w14:paraId="00000058">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21. La investigación de los delitos corresponde al Ministerio Público y a las policías, las cuales actuarán bajo la conducción y mando de aquél en el ejercicio de esta función. </w:t>
      </w:r>
      <w:r w:rsidDel="00000000" w:rsidR="00000000" w:rsidRPr="00000000">
        <w:rPr>
          <w:rtl w:val="0"/>
        </w:rPr>
      </w:r>
    </w:p>
    <w:p w:rsidR="00000000" w:rsidDel="00000000" w:rsidP="00000000" w:rsidRDefault="00000000" w:rsidRPr="00000000" w14:paraId="00000059">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ejercicio de la acción penal ante los tribunales corresponde al Ministerio Público. La ley determinará los casos en que los particulares podrán ejercer la acción penal ante la autoridad judicial. </w:t>
      </w:r>
    </w:p>
    <w:p w:rsidR="00000000" w:rsidDel="00000000" w:rsidP="00000000" w:rsidRDefault="00000000" w:rsidRPr="00000000" w14:paraId="0000005A">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imposición de las penas, su modificación y duración son propias y exclusivas de la autoridad judicial.</w:t>
      </w:r>
    </w:p>
    <w:p w:rsidR="00000000" w:rsidDel="00000000" w:rsidP="00000000" w:rsidRDefault="00000000" w:rsidRPr="00000000" w14:paraId="0000005B">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C">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 seguridad pública es una función del Estado a cargo de la Federación, las entidades federativas y los Municipios, cuyos fines son salvaguardar la vida,</w:t>
      </w:r>
      <w:r w:rsidDel="00000000" w:rsidR="00000000" w:rsidRPr="00000000">
        <w:rPr>
          <w:rFonts w:ascii="Palatino Linotype" w:cs="Palatino Linotype" w:eastAsia="Palatino Linotype" w:hAnsi="Palatino Linotype"/>
          <w:i w:val="1"/>
          <w:sz w:val="22"/>
          <w:szCs w:val="22"/>
          <w:rtl w:val="0"/>
        </w:rPr>
        <w:t xml:space="preserve"> las libertades, la integridad y el patrimonio </w:t>
      </w:r>
      <w:r w:rsidDel="00000000" w:rsidR="00000000" w:rsidRPr="00000000">
        <w:rPr>
          <w:rFonts w:ascii="Palatino Linotype" w:cs="Palatino Linotype" w:eastAsia="Palatino Linotype" w:hAnsi="Palatino Linotype"/>
          <w:b w:val="1"/>
          <w:i w:val="1"/>
          <w:sz w:val="22"/>
          <w:szCs w:val="22"/>
          <w:rtl w:val="0"/>
        </w:rPr>
        <w:t xml:space="preserve">de las personas</w:t>
      </w:r>
      <w:r w:rsidDel="00000000" w:rsidR="00000000" w:rsidRPr="00000000">
        <w:rPr>
          <w:rFonts w:ascii="Palatino Linotype" w:cs="Palatino Linotype" w:eastAsia="Palatino Linotype" w:hAnsi="Palatino Linotype"/>
          <w:i w:val="1"/>
          <w:sz w:val="22"/>
          <w:szCs w:val="22"/>
          <w:rtl w:val="0"/>
        </w:rPr>
        <w:t xml:space="preserve">, así como contribuir a la generación y preservación del orden público y la paz social, de conformidad con lo previsto en esta Constitución y las leyes en la materia. </w:t>
      </w:r>
      <w:r w:rsidDel="00000000" w:rsidR="00000000" w:rsidRPr="00000000">
        <w:rPr>
          <w:rFonts w:ascii="Palatino Linotype" w:cs="Palatino Linotype" w:eastAsia="Palatino Linotype" w:hAnsi="Palatino Linotype"/>
          <w:b w:val="1"/>
          <w:i w:val="1"/>
          <w:sz w:val="22"/>
          <w:szCs w:val="22"/>
          <w:rtl w:val="0"/>
        </w:rPr>
        <w:t xml:space="preserve">La seguridad pública comprende la prevención, investigación y persecución de los delitos,</w:t>
      </w:r>
      <w:r w:rsidDel="00000000" w:rsidR="00000000" w:rsidRPr="00000000">
        <w:rPr>
          <w:rFonts w:ascii="Palatino Linotype" w:cs="Palatino Linotype" w:eastAsia="Palatino Linotype" w:hAnsi="Palatino Linotype"/>
          <w:i w:val="1"/>
          <w:sz w:val="22"/>
          <w:szCs w:val="22"/>
          <w:rtl w:val="0"/>
        </w:rPr>
        <w:t xml:space="preserve"> así como la sanción de las infracciones administrativas, en los términos de la ley, en las respectivas competencias que esta Constitución señala. </w:t>
      </w:r>
    </w:p>
    <w:p w:rsidR="00000000" w:rsidDel="00000000" w:rsidP="00000000" w:rsidRDefault="00000000" w:rsidRPr="00000000" w14:paraId="0000005D">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actuación de las instituciones de seguridad pública se regirá por los principios de legalidad, objetividad, eficiencia, profesionalismo, honradez y respeto a los derechos humanos reconocidos en esta Constitución.</w:t>
      </w:r>
    </w:p>
    <w:p w:rsidR="00000000" w:rsidDel="00000000" w:rsidP="00000000" w:rsidRDefault="00000000" w:rsidRPr="00000000" w14:paraId="0000005E">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F">
      <w:pPr>
        <w:spacing w:line="259"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Código Nacional de Procedimientos Penales del Estado de México</w:t>
      </w:r>
    </w:p>
    <w:p w:rsidR="00000000" w:rsidDel="00000000" w:rsidP="00000000" w:rsidRDefault="00000000" w:rsidRPr="00000000" w14:paraId="00000060">
      <w:pPr>
        <w:spacing w:line="259" w:lineRule="auto"/>
        <w:ind w:left="851" w:right="616" w:firstLine="0"/>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3o. </w:t>
      </w:r>
    </w:p>
    <w:p w:rsidR="00000000" w:rsidDel="00000000" w:rsidP="00000000" w:rsidRDefault="00000000" w:rsidRPr="00000000" w14:paraId="00000061">
      <w:pPr>
        <w:spacing w:line="259" w:lineRule="auto"/>
        <w:ind w:left="851" w:right="616"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Glosario Para los efectos de este Código, según corresponda, se entenderá por:</w:t>
      </w:r>
    </w:p>
    <w:p w:rsidR="00000000" w:rsidDel="00000000" w:rsidP="00000000" w:rsidRDefault="00000000" w:rsidRPr="00000000" w14:paraId="00000062">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3">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XII. Policía: Los cuerpos de Policía especializados en la investigación de delitos del fuero federal o del fuero común, así como los cuerpos de seguridad pública de los fueros federal o común, que en el ámbito de sus respectivas competencias actúan todos bajo el mando y la conducción del Ministerio Público</w:t>
      </w:r>
      <w:r w:rsidDel="00000000" w:rsidR="00000000" w:rsidRPr="00000000">
        <w:rPr>
          <w:rFonts w:ascii="Palatino Linotype" w:cs="Palatino Linotype" w:eastAsia="Palatino Linotype" w:hAnsi="Palatino Linotype"/>
          <w:i w:val="1"/>
          <w:sz w:val="22"/>
          <w:szCs w:val="22"/>
          <w:rtl w:val="0"/>
        </w:rPr>
        <w:t xml:space="preserve"> para efectos de la investigación, en términos de lo que disponen la Constitución, este Código y demás disposiciones aplicables;</w:t>
      </w:r>
    </w:p>
    <w:p w:rsidR="00000000" w:rsidDel="00000000" w:rsidP="00000000" w:rsidRDefault="00000000" w:rsidRPr="00000000" w14:paraId="00000064">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5">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127.</w:t>
      </w:r>
      <w:r w:rsidDel="00000000" w:rsidR="00000000" w:rsidRPr="00000000">
        <w:rPr>
          <w:rFonts w:ascii="Palatino Linotype" w:cs="Palatino Linotype" w:eastAsia="Palatino Linotype" w:hAnsi="Palatino Linotype"/>
          <w:i w:val="1"/>
          <w:sz w:val="22"/>
          <w:szCs w:val="22"/>
          <w:rtl w:val="0"/>
        </w:rPr>
        <w:t xml:space="preserve"> Competencia del Ministerio Público </w:t>
      </w:r>
    </w:p>
    <w:p w:rsidR="00000000" w:rsidDel="00000000" w:rsidP="00000000" w:rsidRDefault="00000000" w:rsidRPr="00000000" w14:paraId="00000066">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Compete al Ministerio Público conducir la investigación, coordinar a las Policías y a los servicios periciales durante la investigación,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resolver sobre el ejercicio de la acción penal en la forma establecida por la ley</w:t>
      </w:r>
      <w:r w:rsidDel="00000000" w:rsidR="00000000" w:rsidRPr="00000000">
        <w:rPr>
          <w:rFonts w:ascii="Palatino Linotype" w:cs="Palatino Linotype" w:eastAsia="Palatino Linotype" w:hAnsi="Palatino Linotype"/>
          <w:i w:val="1"/>
          <w:sz w:val="22"/>
          <w:szCs w:val="22"/>
          <w:rtl w:val="0"/>
        </w:rPr>
        <w:t xml:space="preserve"> y, </w:t>
      </w:r>
      <w:r w:rsidDel="00000000" w:rsidR="00000000" w:rsidRPr="00000000">
        <w:rPr>
          <w:rFonts w:ascii="Palatino Linotype" w:cs="Palatino Linotype" w:eastAsia="Palatino Linotype" w:hAnsi="Palatino Linotype"/>
          <w:b w:val="1"/>
          <w:i w:val="1"/>
          <w:sz w:val="22"/>
          <w:szCs w:val="22"/>
          <w:u w:val="single"/>
          <w:rtl w:val="0"/>
        </w:rPr>
        <w:t xml:space="preserve">en su caso, ordenar las diligencias pertinentes y útiles para demostrar</w:t>
      </w:r>
      <w:r w:rsidDel="00000000" w:rsidR="00000000" w:rsidRPr="00000000">
        <w:rPr>
          <w:rFonts w:ascii="Palatino Linotype" w:cs="Palatino Linotype" w:eastAsia="Palatino Linotype" w:hAnsi="Palatino Linotype"/>
          <w:i w:val="1"/>
          <w:sz w:val="22"/>
          <w:szCs w:val="22"/>
          <w:rtl w:val="0"/>
        </w:rPr>
        <w:t xml:space="preserve">, o no, la existencia del delito y la responsabilidad de quien lo cometió o participó en su comisión. </w:t>
      </w:r>
    </w:p>
    <w:p w:rsidR="00000000" w:rsidDel="00000000" w:rsidP="00000000" w:rsidRDefault="00000000" w:rsidRPr="00000000" w14:paraId="00000067">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8">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128. Deber de lealtad</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9">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Ministerio Público deberá actuar durante todas las etapas del procedimiento en las que intervenga con absoluto apego a lo previsto en la Constitución, en este Código y en la demás legislación aplicable. </w:t>
      </w:r>
    </w:p>
    <w:p w:rsidR="00000000" w:rsidDel="00000000" w:rsidP="00000000" w:rsidRDefault="00000000" w:rsidRPr="00000000" w14:paraId="0000006A">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B">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Ministerio Público deberá proporcionar información veraz sobre los hechos, sobre los hallazgos en la investigación </w:t>
      </w:r>
      <w:r w:rsidDel="00000000" w:rsidR="00000000" w:rsidRPr="00000000">
        <w:rPr>
          <w:rFonts w:ascii="Palatino Linotype" w:cs="Palatino Linotype" w:eastAsia="Palatino Linotype" w:hAnsi="Palatino Linotype"/>
          <w:i w:val="1"/>
          <w:sz w:val="22"/>
          <w:szCs w:val="22"/>
          <w:rtl w:val="0"/>
        </w:rPr>
        <w:t xml:space="preserve">y tendrá el deber de no ocultar a los intervinientes elemento alguno que pudiera resultar favorable para la posición que ellos asumen, sobre todo cuando resuelva no incorporar alguno de esos elementos al procedimiento, salvo la reserva que en determinados casos la ley autorice en las investigaciones.”</w:t>
      </w:r>
    </w:p>
    <w:p w:rsidR="00000000" w:rsidDel="00000000" w:rsidP="00000000" w:rsidRDefault="00000000" w:rsidRPr="00000000" w14:paraId="0000006C">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D">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131. Obligaciones del Ministerio Público Para los efectos del presente Código, el Ministerio Público tendrá las siguientes obligaciones: </w:t>
      </w:r>
    </w:p>
    <w:p w:rsidR="00000000" w:rsidDel="00000000" w:rsidP="00000000" w:rsidRDefault="00000000" w:rsidRPr="00000000" w14:paraId="0000006E">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F">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Ejercer la conducción y el mando de la investigación de los delitos</w:t>
      </w:r>
      <w:r w:rsidDel="00000000" w:rsidR="00000000" w:rsidRPr="00000000">
        <w:rPr>
          <w:rFonts w:ascii="Palatino Linotype" w:cs="Palatino Linotype" w:eastAsia="Palatino Linotype" w:hAnsi="Palatino Linotype"/>
          <w:i w:val="1"/>
          <w:sz w:val="22"/>
          <w:szCs w:val="22"/>
          <w:rtl w:val="0"/>
        </w:rPr>
        <w:t xml:space="preserve">, para lo cual deberá coordinar a las Policías y a los peritos durante la misma;</w:t>
      </w:r>
    </w:p>
    <w:p w:rsidR="00000000" w:rsidDel="00000000" w:rsidP="00000000" w:rsidRDefault="00000000" w:rsidRPr="00000000" w14:paraId="00000070">
      <w:pPr>
        <w:spacing w:line="259"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71">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Ordenar la detención y la retención de los imputados cuando resulte procedente</w:t>
      </w:r>
      <w:r w:rsidDel="00000000" w:rsidR="00000000" w:rsidRPr="00000000">
        <w:rPr>
          <w:rFonts w:ascii="Palatino Linotype" w:cs="Palatino Linotype" w:eastAsia="Palatino Linotype" w:hAnsi="Palatino Linotype"/>
          <w:i w:val="1"/>
          <w:sz w:val="22"/>
          <w:szCs w:val="22"/>
          <w:rtl w:val="0"/>
        </w:rPr>
        <w:t xml:space="preserve"> en los términos que establece este Código;</w:t>
        <w:br w:type="textWrapping"/>
        <w:t xml:space="preserve">… </w:t>
      </w:r>
    </w:p>
    <w:p w:rsidR="00000000" w:rsidDel="00000000" w:rsidP="00000000" w:rsidRDefault="00000000" w:rsidRPr="00000000" w14:paraId="00000072">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132. Obligaciones del Policía</w:t>
      </w:r>
    </w:p>
    <w:p w:rsidR="00000000" w:rsidDel="00000000" w:rsidP="00000000" w:rsidRDefault="00000000" w:rsidRPr="00000000" w14:paraId="00000073">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Policía actuará bajo la conducción y mando del Ministerio Público en la investigación de los delitos</w:t>
      </w:r>
      <w:r w:rsidDel="00000000" w:rsidR="00000000" w:rsidRPr="00000000">
        <w:rPr>
          <w:rFonts w:ascii="Palatino Linotype" w:cs="Palatino Linotype" w:eastAsia="Palatino Linotype" w:hAnsi="Palatino Linotype"/>
          <w:i w:val="1"/>
          <w:sz w:val="22"/>
          <w:szCs w:val="22"/>
          <w:rtl w:val="0"/>
        </w:rPr>
        <w:t xml:space="preserve"> en estricto apego a los principios de legalidad, objetividad, eficiencia, profesionalismo, honradez y respeto a los derechos humanos reconocidos en la Constitución.</w:t>
      </w:r>
    </w:p>
    <w:p w:rsidR="00000000" w:rsidDel="00000000" w:rsidP="00000000" w:rsidRDefault="00000000" w:rsidRPr="00000000" w14:paraId="00000074">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los efectos del presente Código, </w:t>
      </w:r>
      <w:r w:rsidDel="00000000" w:rsidR="00000000" w:rsidRPr="00000000">
        <w:rPr>
          <w:rFonts w:ascii="Palatino Linotype" w:cs="Palatino Linotype" w:eastAsia="Palatino Linotype" w:hAnsi="Palatino Linotype"/>
          <w:b w:val="1"/>
          <w:i w:val="1"/>
          <w:sz w:val="22"/>
          <w:szCs w:val="22"/>
          <w:rtl w:val="0"/>
        </w:rPr>
        <w:t xml:space="preserve">el Policía tendrá las siguientes obligaciones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5">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Recibir las denuncias sobre hechos que puedan ser constitutivos de delito e informar al Ministerio Público por cualquier medio y de forma inmediata de las diligencias practicadas;</w:t>
      </w:r>
    </w:p>
    <w:p w:rsidR="00000000" w:rsidDel="00000000" w:rsidP="00000000" w:rsidRDefault="00000000" w:rsidRPr="00000000" w14:paraId="00000076">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Recibir denuncias anónimas e inmediatamente hacerlo del conocimiento del Ministerio Público a efecto de que éste coordine la investigación;</w:t>
      </w:r>
    </w:p>
    <w:p w:rsidR="00000000" w:rsidDel="00000000" w:rsidP="00000000" w:rsidRDefault="00000000" w:rsidRPr="00000000" w14:paraId="00000077">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III. Realizar detenciones en los casos que autoriza la Constitución, haciendo saber a la persona detenida los derechos que ésta le otorga</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8">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9">
      <w:pPr>
        <w:spacing w:line="259"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de la Fiscalía General de Justicia del Estado de México</w:t>
      </w:r>
    </w:p>
    <w:p w:rsidR="00000000" w:rsidDel="00000000" w:rsidP="00000000" w:rsidRDefault="00000000" w:rsidRPr="00000000" w14:paraId="0000007A">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33.</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Ministerio Público</w:t>
      </w:r>
      <w:r w:rsidDel="00000000" w:rsidR="00000000" w:rsidRPr="00000000">
        <w:rPr>
          <w:rFonts w:ascii="Palatino Linotype" w:cs="Palatino Linotype" w:eastAsia="Palatino Linotype" w:hAnsi="Palatino Linotype"/>
          <w:i w:val="1"/>
          <w:sz w:val="22"/>
          <w:szCs w:val="22"/>
          <w:rtl w:val="0"/>
        </w:rPr>
        <w:t xml:space="preserve"> es una institución única e indivisible, que funge como representante social en los intereses de quienes sean lesionadas o lesionados en sus derechos, a través de la investigación y persecución de los delitos y el ejercicio de la acción penal ante los tribunales competentes. </w:t>
      </w:r>
    </w:p>
    <w:p w:rsidR="00000000" w:rsidDel="00000000" w:rsidP="00000000" w:rsidRDefault="00000000" w:rsidRPr="00000000" w14:paraId="0000007B">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C">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Solo en los casos establecidos en la Constitución Federal y el Código Nacional, las y los particulares podrán ejercitar acción penal directamente. </w:t>
      </w:r>
    </w:p>
    <w:p w:rsidR="00000000" w:rsidDel="00000000" w:rsidP="00000000" w:rsidRDefault="00000000" w:rsidRPr="00000000" w14:paraId="0000007D">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E">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34.</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Ministerio Público</w:t>
      </w:r>
      <w:r w:rsidDel="00000000" w:rsidR="00000000" w:rsidRPr="00000000">
        <w:rPr>
          <w:rFonts w:ascii="Palatino Linotype" w:cs="Palatino Linotype" w:eastAsia="Palatino Linotype" w:hAnsi="Palatino Linotype"/>
          <w:i w:val="1"/>
          <w:sz w:val="22"/>
          <w:szCs w:val="22"/>
          <w:rtl w:val="0"/>
        </w:rPr>
        <w:t xml:space="preserve"> tendrá, además de las funciones, atribuciones y obligaciones que le señalen la Constitución Federal, la Constitución del Estado, los instrumentos jurídicos internacionales vinculantes para el Estado Mexicano, el Código Nacional, las leyes nacionales y generales, la presente Ley y otros ordenamientos jurídicos estatales aplicables, las siguientes: </w:t>
      </w:r>
    </w:p>
    <w:p w:rsidR="00000000" w:rsidDel="00000000" w:rsidP="00000000" w:rsidRDefault="00000000" w:rsidRPr="00000000" w14:paraId="0000007F">
      <w:pPr>
        <w:spacing w:line="259"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80">
      <w:pPr>
        <w:spacing w:line="259"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En la investigación del delito:</w:t>
      </w:r>
    </w:p>
    <w:p w:rsidR="00000000" w:rsidDel="00000000" w:rsidP="00000000" w:rsidRDefault="00000000" w:rsidRPr="00000000" w14:paraId="00000081">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2">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Ejercer la conducción y mando de la Policía de Investigación y otras instituciones policiales, en coordinación con los servicios periciales y las áreas de información y análisis, en la investigación de los delitos, en forma continua, sin dilaciones y hasta la conclusión legal de la misma, de conformidad con las disposiciones legislativas aplicables.</w:t>
      </w:r>
    </w:p>
    <w:p w:rsidR="00000000" w:rsidDel="00000000" w:rsidP="00000000" w:rsidRDefault="00000000" w:rsidRPr="00000000" w14:paraId="00000083">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4">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Actuar durante todas las etapas del procedimiento en las que intervenga, con absoluto apego a las disposiciones jurídicas aplicables, protegiendo los derechos tanto de las y los imputados como de las demás personas que intervienen en el procedimiento penal, así como el interés social.</w:t>
      </w:r>
    </w:p>
    <w:p w:rsidR="00000000" w:rsidDel="00000000" w:rsidP="00000000" w:rsidRDefault="00000000" w:rsidRPr="00000000" w14:paraId="00000085">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6">
      <w:pPr>
        <w:spacing w:line="259"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 Hacer la clasificación legal de los hechos que le sean denunciados y una vez cerciorado de que el mismo pueda ser constitutivo de delito, iniciar la investigación y realizar las diligencias necesarias sin dilación alguna.</w:t>
      </w:r>
    </w:p>
    <w:p w:rsidR="00000000" w:rsidDel="00000000" w:rsidP="00000000" w:rsidRDefault="00000000" w:rsidRPr="00000000" w14:paraId="00000087">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8">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 Solicitar a la autoridad jurisdiccional las audiencias y demás actuaciones que requiera y que resulten indispensables para la investigación. </w:t>
      </w:r>
    </w:p>
    <w:p w:rsidR="00000000" w:rsidDel="00000000" w:rsidP="00000000" w:rsidRDefault="00000000" w:rsidRPr="00000000" w14:paraId="00000089">
      <w:pPr>
        <w:spacing w:line="259"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XVIII. Ordenar la detención y retención de las y los imputados cuando proceda conforme a derecho.</w:t>
      </w:r>
    </w:p>
    <w:p w:rsidR="00000000" w:rsidDel="00000000" w:rsidP="00000000" w:rsidRDefault="00000000" w:rsidRPr="00000000" w14:paraId="0000008A">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B">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Solicitar, cuando fuere procedente, la orden de aprehensión, reaprehensión, de comparecencia o de cita</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C">
      <w:pPr>
        <w:spacing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numerales citados, se desprende que la seguridad pública es una función del Estado a cargo de la Federación, las entidades federativas y </w:t>
      </w:r>
      <w:r w:rsidDel="00000000" w:rsidR="00000000" w:rsidRPr="00000000">
        <w:rPr>
          <w:rFonts w:ascii="Palatino Linotype" w:cs="Palatino Linotype" w:eastAsia="Palatino Linotype" w:hAnsi="Palatino Linotype"/>
          <w:b w:val="1"/>
          <w:sz w:val="22"/>
          <w:szCs w:val="22"/>
          <w:u w:val="single"/>
          <w:rtl w:val="0"/>
        </w:rPr>
        <w:t xml:space="preserve">los Municipios,</w:t>
      </w:r>
      <w:r w:rsidDel="00000000" w:rsidR="00000000" w:rsidRPr="00000000">
        <w:rPr>
          <w:rFonts w:ascii="Palatino Linotype" w:cs="Palatino Linotype" w:eastAsia="Palatino Linotype" w:hAnsi="Palatino Linotype"/>
          <w:sz w:val="22"/>
          <w:szCs w:val="22"/>
          <w:rtl w:val="0"/>
        </w:rPr>
        <w:t xml:space="preserve"> cuyos fines son </w:t>
      </w:r>
      <w:r w:rsidDel="00000000" w:rsidR="00000000" w:rsidRPr="00000000">
        <w:rPr>
          <w:rFonts w:ascii="Palatino Linotype" w:cs="Palatino Linotype" w:eastAsia="Palatino Linotype" w:hAnsi="Palatino Linotype"/>
          <w:b w:val="1"/>
          <w:sz w:val="22"/>
          <w:szCs w:val="22"/>
          <w:rtl w:val="0"/>
        </w:rPr>
        <w:t xml:space="preserve">salvaguardar la vida</w:t>
      </w:r>
      <w:r w:rsidDel="00000000" w:rsidR="00000000" w:rsidRPr="00000000">
        <w:rPr>
          <w:rFonts w:ascii="Palatino Linotype" w:cs="Palatino Linotype" w:eastAsia="Palatino Linotype" w:hAnsi="Palatino Linotype"/>
          <w:sz w:val="22"/>
          <w:szCs w:val="22"/>
          <w:rtl w:val="0"/>
        </w:rPr>
        <w:t xml:space="preserve">, las libertades, la integridad y el patrimonio de las personas, así como contribuir a la generación y preservación del orden público y la paz social, de conformidad con lo previsto en esta Constitución y las leyes en la materia; la cual, comprende la prevención, </w:t>
      </w:r>
      <w:r w:rsidDel="00000000" w:rsidR="00000000" w:rsidRPr="00000000">
        <w:rPr>
          <w:rFonts w:ascii="Palatino Linotype" w:cs="Palatino Linotype" w:eastAsia="Palatino Linotype" w:hAnsi="Palatino Linotype"/>
          <w:b w:val="1"/>
          <w:sz w:val="22"/>
          <w:szCs w:val="22"/>
          <w:u w:val="single"/>
          <w:rtl w:val="0"/>
        </w:rPr>
        <w:t xml:space="preserve">investigación</w:t>
      </w:r>
      <w:r w:rsidDel="00000000" w:rsidR="00000000" w:rsidRPr="00000000">
        <w:rPr>
          <w:rFonts w:ascii="Palatino Linotype" w:cs="Palatino Linotype" w:eastAsia="Palatino Linotype" w:hAnsi="Palatino Linotype"/>
          <w:sz w:val="22"/>
          <w:szCs w:val="22"/>
          <w:rtl w:val="0"/>
        </w:rPr>
        <w:t xml:space="preserve"> y persecución </w:t>
      </w:r>
      <w:r w:rsidDel="00000000" w:rsidR="00000000" w:rsidRPr="00000000">
        <w:rPr>
          <w:rFonts w:ascii="Palatino Linotype" w:cs="Palatino Linotype" w:eastAsia="Palatino Linotype" w:hAnsi="Palatino Linotype"/>
          <w:b w:val="1"/>
          <w:sz w:val="22"/>
          <w:szCs w:val="22"/>
          <w:u w:val="single"/>
          <w:rtl w:val="0"/>
        </w:rPr>
        <w:t xml:space="preserve">de los delitos</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conforme nuestra norma fundamental o Carta Magna, </w:t>
      </w:r>
      <w:r w:rsidDel="00000000" w:rsidR="00000000" w:rsidRPr="00000000">
        <w:rPr>
          <w:rFonts w:ascii="Palatino Linotype" w:cs="Palatino Linotype" w:eastAsia="Palatino Linotype" w:hAnsi="Palatino Linotype"/>
          <w:b w:val="1"/>
          <w:sz w:val="22"/>
          <w:szCs w:val="22"/>
          <w:rtl w:val="0"/>
        </w:rPr>
        <w:t xml:space="preserve">la investigación de los delitos corresponde al Ministerio Público</w:t>
      </w:r>
      <w:r w:rsidDel="00000000" w:rsidR="00000000" w:rsidRPr="00000000">
        <w:rPr>
          <w:rFonts w:ascii="Palatino Linotype" w:cs="Palatino Linotype" w:eastAsia="Palatino Linotype" w:hAnsi="Palatino Linotype"/>
          <w:sz w:val="22"/>
          <w:szCs w:val="22"/>
          <w:rtl w:val="0"/>
        </w:rPr>
        <w:t xml:space="preserve"> y a las policías, las cuales deben actuar bajo la conducción y mando de aquél en el ejercicio de esta función.</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del Estado de México, la </w:t>
      </w:r>
      <w:r w:rsidDel="00000000" w:rsidR="00000000" w:rsidRPr="00000000">
        <w:rPr>
          <w:rFonts w:ascii="Palatino Linotype" w:cs="Palatino Linotype" w:eastAsia="Palatino Linotype" w:hAnsi="Palatino Linotype"/>
          <w:b w:val="1"/>
          <w:sz w:val="22"/>
          <w:szCs w:val="22"/>
          <w:u w:val="single"/>
          <w:rtl w:val="0"/>
        </w:rPr>
        <w:t xml:space="preserve">Fiscalía General de Justicia de la entidad, por conducto del Ministerio Público</w:t>
      </w:r>
      <w:r w:rsidDel="00000000" w:rsidR="00000000" w:rsidRPr="00000000">
        <w:rPr>
          <w:rFonts w:ascii="Palatino Linotype" w:cs="Palatino Linotype" w:eastAsia="Palatino Linotype" w:hAnsi="Palatino Linotype"/>
          <w:sz w:val="22"/>
          <w:szCs w:val="22"/>
          <w:rtl w:val="0"/>
        </w:rPr>
        <w:t xml:space="preserve"> tiene dentro de sus atribuciones conforme a la Ley de dicho ente público, </w:t>
      </w:r>
      <w:r w:rsidDel="00000000" w:rsidR="00000000" w:rsidRPr="00000000">
        <w:rPr>
          <w:rFonts w:ascii="Palatino Linotype" w:cs="Palatino Linotype" w:eastAsia="Palatino Linotype" w:hAnsi="Palatino Linotype"/>
          <w:b w:val="1"/>
          <w:sz w:val="22"/>
          <w:szCs w:val="22"/>
          <w:rtl w:val="0"/>
        </w:rPr>
        <w:t xml:space="preserve">iniciar y</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ejercer la conducción y el mando de la investigación de los delitos; así como, ordenar la detenciones y retención de los imputados cuando resulte procedente,</w:t>
      </w:r>
      <w:r w:rsidDel="00000000" w:rsidR="00000000" w:rsidRPr="00000000">
        <w:rPr>
          <w:rFonts w:ascii="Palatino Linotype" w:cs="Palatino Linotype" w:eastAsia="Palatino Linotype" w:hAnsi="Palatino Linotype"/>
          <w:sz w:val="22"/>
          <w:szCs w:val="22"/>
          <w:rtl w:val="0"/>
        </w:rPr>
        <w:t xml:space="preserve"> para lo cual tiene el deber de coordinarse con las Policías y los peritos durante la misma.</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 virtud de que el Ministerio Público es una institución única e indivisible, que funge como representante social en los intereses de quienes sean lesionadas o lesionados en sus derechos, a través de la investigación y persecución de los delitos y el ejercicio de la acción penal ante los tribunales competentes.</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agregar que, conforme los numerales citados, dentro de las policías con las que el Ministerio Público se debe coordinar en la investigación de los delitos, se encuentran los cuerpos de Policía especializados en la investigación de delitos del fuero federal o del fuero común, </w:t>
      </w:r>
      <w:r w:rsidDel="00000000" w:rsidR="00000000" w:rsidRPr="00000000">
        <w:rPr>
          <w:rFonts w:ascii="Palatino Linotype" w:cs="Palatino Linotype" w:eastAsia="Palatino Linotype" w:hAnsi="Palatino Linotype"/>
          <w:b w:val="1"/>
          <w:sz w:val="22"/>
          <w:szCs w:val="22"/>
          <w:rtl w:val="0"/>
        </w:rPr>
        <w:t xml:space="preserve">así como los cuerpos de seguridad pública de los fueros</w:t>
      </w:r>
      <w:r w:rsidDel="00000000" w:rsidR="00000000" w:rsidRPr="00000000">
        <w:rPr>
          <w:rFonts w:ascii="Palatino Linotype" w:cs="Palatino Linotype" w:eastAsia="Palatino Linotype" w:hAnsi="Palatino Linotype"/>
          <w:sz w:val="22"/>
          <w:szCs w:val="22"/>
          <w:rtl w:val="0"/>
        </w:rPr>
        <w:t xml:space="preserve"> federal o </w:t>
      </w:r>
      <w:r w:rsidDel="00000000" w:rsidR="00000000" w:rsidRPr="00000000">
        <w:rPr>
          <w:rFonts w:ascii="Palatino Linotype" w:cs="Palatino Linotype" w:eastAsia="Palatino Linotype" w:hAnsi="Palatino Linotype"/>
          <w:b w:val="1"/>
          <w:sz w:val="22"/>
          <w:szCs w:val="22"/>
          <w:rtl w:val="0"/>
        </w:rPr>
        <w:t xml:space="preserve">común, </w:t>
      </w:r>
      <w:r w:rsidDel="00000000" w:rsidR="00000000" w:rsidRPr="00000000">
        <w:rPr>
          <w:rFonts w:ascii="Palatino Linotype" w:cs="Palatino Linotype" w:eastAsia="Palatino Linotype" w:hAnsi="Palatino Linotype"/>
          <w:sz w:val="22"/>
          <w:szCs w:val="22"/>
          <w:rtl w:val="0"/>
        </w:rPr>
        <w:t xml:space="preserve">en el ámbito de sus respectivas competencias.</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conforme la normatividad que regula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con relación a lo solicitado, el artículo 103 del Bando Municipal de Tenancingo vigente, dispone lo siguiente:</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76" w:lineRule="auto"/>
        <w:ind w:right="70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103.</w:t>
      </w:r>
      <w:r w:rsidDel="00000000" w:rsidR="00000000" w:rsidRPr="00000000">
        <w:rPr>
          <w:rFonts w:ascii="Palatino Linotype" w:cs="Palatino Linotype" w:eastAsia="Palatino Linotype" w:hAnsi="Palatino Linotype"/>
          <w:i w:val="1"/>
          <w:sz w:val="22"/>
          <w:szCs w:val="22"/>
          <w:rtl w:val="0"/>
        </w:rPr>
        <w:t xml:space="preserve"> La autoridad administrativa municipal debe mantener el orden y exigir que se guarde el respeto y la consideración debidos, corrigiendo en el acto, las faltas que se cometieren, ejerciendo las medidas necesarias para garantizar el orden, siendo estas las siguientes:</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Expulsión temporal de las personas que se encuentren alterando el orden en oficinas públicas y/o lugares en los que se desarrollen diligencias administrativas;</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Auxilio de la fuerza pública;</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Remisión ante el o la Juez Cívico;</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Remisión al Ministerio Público cuando se trate de hechos probablemente constitutivos de delito</w:t>
      </w:r>
      <w:r w:rsidDel="00000000" w:rsidR="00000000" w:rsidRPr="00000000">
        <w:rPr>
          <w:rFonts w:ascii="Palatino Linotype" w:cs="Palatino Linotype" w:eastAsia="Palatino Linotype" w:hAnsi="Palatino Linotype"/>
          <w:i w:val="1"/>
          <w:sz w:val="22"/>
          <w:szCs w:val="22"/>
          <w:rtl w:val="0"/>
        </w:rPr>
        <w:t xml:space="preserve">; y,</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Las que establezca la legislación aplicable.”</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tiene que, en el ámbito municipal la autoridad debe mantener el orden y exigir que se guarde el respeto, corrigiendo en el acto, las faltas que se cometieren, ejerciendo las medidas necesarias para garantizar el orden, entre ellas la remisión al Ministerio Público cuando se trate de hechos probablemente constitutivos de delito. </w:t>
      </w:r>
    </w:p>
    <w:p w:rsidR="00000000" w:rsidDel="00000000" w:rsidP="00000000" w:rsidRDefault="00000000" w:rsidRPr="00000000" w14:paraId="000000A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del estudio realizado a la normativa que regula al Ayuntamiento de Tenancingo, no se encontró precepto normativo que obligue a esta dependencia a contar con lo solicitado por el ahora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A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Bajo ese contexto, se arriba a la conclusión de que si bien en el ámbito municipal las corporaciones policiacas y sus integrantes tienen injerencia en la investigación de delitos, esto es de manera auxiliar, ya que es la </w:t>
      </w:r>
      <w:r w:rsidDel="00000000" w:rsidR="00000000" w:rsidRPr="00000000">
        <w:rPr>
          <w:rFonts w:ascii="Palatino Linotype" w:cs="Palatino Linotype" w:eastAsia="Palatino Linotype" w:hAnsi="Palatino Linotype"/>
          <w:b w:val="1"/>
          <w:sz w:val="22"/>
          <w:szCs w:val="22"/>
          <w:u w:val="single"/>
          <w:rtl w:val="0"/>
        </w:rPr>
        <w:t xml:space="preserve">Fiscalía General de Justicia del Estado de México, por conducto del Ministerio Público</w:t>
      </w:r>
      <w:r w:rsidDel="00000000" w:rsidR="00000000" w:rsidRPr="00000000">
        <w:rPr>
          <w:rFonts w:ascii="Palatino Linotype" w:cs="Palatino Linotype" w:eastAsia="Palatino Linotype" w:hAnsi="Palatino Linotype"/>
          <w:sz w:val="22"/>
          <w:szCs w:val="22"/>
          <w:rtl w:val="0"/>
        </w:rPr>
        <w:t xml:space="preserve"> quien tiene dentro de sus atribuciones </w:t>
      </w:r>
      <w:r w:rsidDel="00000000" w:rsidR="00000000" w:rsidRPr="00000000">
        <w:rPr>
          <w:rFonts w:ascii="Palatino Linotype" w:cs="Palatino Linotype" w:eastAsia="Palatino Linotype" w:hAnsi="Palatino Linotype"/>
          <w:b w:val="1"/>
          <w:sz w:val="22"/>
          <w:szCs w:val="22"/>
          <w:rtl w:val="0"/>
        </w:rPr>
        <w:t xml:space="preserve">iniciar y</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ejercer la conducción y el mando de la investigación de los delitos; así como, ordenar la detenciones y retención de los imputados cuando resulte procedente.</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conviene señalar que el Acuerdo mediante el cual se aprobó la modificación al Padrón de Sujetos Obligados en Materia de Transparencia y Acceso a la Información Pública del Estado de México y Municipios, prevé como Sujeto Obligado a la </w:t>
      </w:r>
      <w:r w:rsidDel="00000000" w:rsidR="00000000" w:rsidRPr="00000000">
        <w:rPr>
          <w:rFonts w:ascii="Palatino Linotype" w:cs="Palatino Linotype" w:eastAsia="Palatino Linotype" w:hAnsi="Palatino Linotype"/>
          <w:b w:val="1"/>
          <w:sz w:val="22"/>
          <w:szCs w:val="22"/>
          <w:u w:val="single"/>
          <w:rtl w:val="0"/>
        </w:rPr>
        <w:t xml:space="preserve">Fiscalía General de Justicia del Estado de México</w:t>
      </w:r>
      <w:r w:rsidDel="00000000" w:rsidR="00000000" w:rsidRPr="00000000">
        <w:rPr>
          <w:rFonts w:ascii="Palatino Linotype" w:cs="Palatino Linotype" w:eastAsia="Palatino Linotype" w:hAnsi="Palatino Linotype"/>
          <w:sz w:val="22"/>
          <w:szCs w:val="22"/>
          <w:rtl w:val="0"/>
        </w:rPr>
        <w:t xml:space="preserve">, dentro de los órganos autónomos, tal como se observa a continuación: </w:t>
      </w:r>
    </w:p>
    <w:p w:rsidR="00000000" w:rsidDel="00000000" w:rsidP="00000000" w:rsidRDefault="00000000" w:rsidRPr="00000000" w14:paraId="000000A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210902" cy="790685"/>
            <wp:effectExtent b="0" l="0" r="0" t="0"/>
            <wp:docPr id="3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210902" cy="790685"/>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AC">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343742" cy="238158"/>
            <wp:effectExtent b="0" l="0" r="0" t="0"/>
            <wp:docPr id="3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343742" cy="238158"/>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al ser un sujeto obligado distinto, es que se confirma que el Ayuntamiento de Tenancingo no tiene atribuciones para conocer lo solicitado por el particular, pues se reitera que es la </w:t>
      </w:r>
      <w:r w:rsidDel="00000000" w:rsidR="00000000" w:rsidRPr="00000000">
        <w:rPr>
          <w:rFonts w:ascii="Palatino Linotype" w:cs="Palatino Linotype" w:eastAsia="Palatino Linotype" w:hAnsi="Palatino Linotype"/>
          <w:b w:val="1"/>
          <w:sz w:val="22"/>
          <w:szCs w:val="22"/>
          <w:u w:val="single"/>
          <w:rtl w:val="0"/>
        </w:rPr>
        <w:t xml:space="preserve">Fiscalía General de Justicia del Estado de México, </w:t>
      </w:r>
      <w:r w:rsidDel="00000000" w:rsidR="00000000" w:rsidRPr="00000000">
        <w:rPr>
          <w:rFonts w:ascii="Palatino Linotype" w:cs="Palatino Linotype" w:eastAsia="Palatino Linotype" w:hAnsi="Palatino Linotype"/>
          <w:sz w:val="22"/>
          <w:szCs w:val="22"/>
          <w:rtl w:val="0"/>
        </w:rPr>
        <w:t xml:space="preserve">el sujeto obligado competente para conocer de lo requerido en la solicitud de información que dio origen al presente medio de impugnación, por lo que se dejan a salvo los derechos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para presentar una nueva solicitud de información ante esa autoridad, con la finalidad de allegarse de la información de su interés. </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0">
      <w:pPr>
        <w:numPr>
          <w:ilvl w:val="0"/>
          <w:numId w:val="5"/>
        </w:numP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la declaratoria de incompetencia. </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la Declaración de Incompetencia, la Ley de Transparencia y Acceso a la Información Pública del Estado de México y Municipios, establece, en los artículos 49, fracción II y 167, lo siguiente: </w:t>
      </w:r>
    </w:p>
    <w:p w:rsidR="00000000" w:rsidDel="00000000" w:rsidP="00000000" w:rsidRDefault="00000000" w:rsidRPr="00000000" w14:paraId="000000B2">
      <w:pPr>
        <w:spacing w:line="360" w:lineRule="auto"/>
        <w:ind w:right="13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tabs>
          <w:tab w:val="left" w:leader="none" w:pos="851"/>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0B4">
      <w:pPr>
        <w:tabs>
          <w:tab w:val="left" w:leader="none" w:pos="851"/>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B5">
      <w:pPr>
        <w:tabs>
          <w:tab w:val="left" w:leader="none" w:pos="851"/>
        </w:tabs>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Confirmar, modificar o revocar</w:t>
      </w:r>
      <w:r w:rsidDel="00000000" w:rsidR="00000000" w:rsidRPr="00000000">
        <w:rPr>
          <w:rFonts w:ascii="Palatino Linotype" w:cs="Palatino Linotype" w:eastAsia="Palatino Linotype" w:hAnsi="Palatino Linotype"/>
          <w:i w:val="1"/>
          <w:sz w:val="22"/>
          <w:szCs w:val="22"/>
          <w:rtl w:val="0"/>
        </w:rPr>
        <w:t xml:space="preserve"> las determinaciones que en materia de ampliación del plazo de respuesta, clasificación de la información </w:t>
      </w:r>
      <w:r w:rsidDel="00000000" w:rsidR="00000000" w:rsidRPr="00000000">
        <w:rPr>
          <w:rFonts w:ascii="Palatino Linotype" w:cs="Palatino Linotype" w:eastAsia="Palatino Linotype" w:hAnsi="Palatino Linotype"/>
          <w:b w:val="1"/>
          <w:i w:val="1"/>
          <w:sz w:val="22"/>
          <w:szCs w:val="22"/>
          <w:rtl w:val="0"/>
        </w:rPr>
        <w:t xml:space="preserve">y declaración</w:t>
      </w:r>
      <w:r w:rsidDel="00000000" w:rsidR="00000000" w:rsidRPr="00000000">
        <w:rPr>
          <w:rFonts w:ascii="Palatino Linotype" w:cs="Palatino Linotype" w:eastAsia="Palatino Linotype" w:hAnsi="Palatino Linotype"/>
          <w:i w:val="1"/>
          <w:sz w:val="22"/>
          <w:szCs w:val="22"/>
          <w:rtl w:val="0"/>
        </w:rPr>
        <w:t xml:space="preserve"> de inexistencia o </w:t>
      </w:r>
      <w:r w:rsidDel="00000000" w:rsidR="00000000" w:rsidRPr="00000000">
        <w:rPr>
          <w:rFonts w:ascii="Palatino Linotype" w:cs="Palatino Linotype" w:eastAsia="Palatino Linotype" w:hAnsi="Palatino Linotype"/>
          <w:b w:val="1"/>
          <w:i w:val="1"/>
          <w:sz w:val="22"/>
          <w:szCs w:val="22"/>
          <w:rtl w:val="0"/>
        </w:rPr>
        <w:t xml:space="preserve">de incompetencia realicen los titulares de las áreas de los sujetos obligados;</w:t>
      </w:r>
      <w:r w:rsidDel="00000000" w:rsidR="00000000" w:rsidRPr="00000000">
        <w:rPr>
          <w:rtl w:val="0"/>
        </w:rPr>
      </w:r>
    </w:p>
    <w:p w:rsidR="00000000" w:rsidDel="00000000" w:rsidP="00000000" w:rsidRDefault="00000000" w:rsidRPr="00000000" w14:paraId="000000B6">
      <w:pPr>
        <w:tabs>
          <w:tab w:val="left" w:leader="none" w:pos="851"/>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B7">
      <w:pPr>
        <w:tabs>
          <w:tab w:val="left" w:leader="none" w:pos="851"/>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167</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Cuando las unidades de transparencia determinen la notoria incompetencia</w:t>
      </w:r>
      <w:r w:rsidDel="00000000" w:rsidR="00000000" w:rsidRPr="00000000">
        <w:rPr>
          <w:rFonts w:ascii="Palatino Linotype" w:cs="Palatino Linotype" w:eastAsia="Palatino Linotype" w:hAnsi="Palatino Linotype"/>
          <w:i w:val="1"/>
          <w:sz w:val="22"/>
          <w:szCs w:val="22"/>
          <w:rtl w:val="0"/>
        </w:rPr>
        <w:t xml:space="preserve"> por parte de los sujetos obligados, dentro del ámbito de aplicación, para atender la solicitud de acceso a la información, </w:t>
      </w:r>
      <w:r w:rsidDel="00000000" w:rsidR="00000000" w:rsidRPr="00000000">
        <w:rPr>
          <w:rFonts w:ascii="Palatino Linotype" w:cs="Palatino Linotype" w:eastAsia="Palatino Linotype" w:hAnsi="Palatino Linotype"/>
          <w:b w:val="1"/>
          <w:i w:val="1"/>
          <w:sz w:val="22"/>
          <w:szCs w:val="22"/>
          <w:rtl w:val="0"/>
        </w:rPr>
        <w:t xml:space="preserve">deberán comunicarlo al solicitante, dentro de los tres días hábiles posteriores a la recepción de la solicitud</w:t>
      </w:r>
      <w:r w:rsidDel="00000000" w:rsidR="00000000" w:rsidRPr="00000000">
        <w:rPr>
          <w:rFonts w:ascii="Palatino Linotype" w:cs="Palatino Linotype" w:eastAsia="Palatino Linotype" w:hAnsi="Palatino Linotype"/>
          <w:i w:val="1"/>
          <w:sz w:val="22"/>
          <w:szCs w:val="22"/>
          <w:rtl w:val="0"/>
        </w:rPr>
        <w:t xml:space="preserve"> y, </w:t>
      </w:r>
      <w:r w:rsidDel="00000000" w:rsidR="00000000" w:rsidRPr="00000000">
        <w:rPr>
          <w:rFonts w:ascii="Palatino Linotype" w:cs="Palatino Linotype" w:eastAsia="Palatino Linotype" w:hAnsi="Palatino Linotype"/>
          <w:b w:val="1"/>
          <w:i w:val="1"/>
          <w:sz w:val="22"/>
          <w:szCs w:val="22"/>
          <w:rtl w:val="0"/>
        </w:rPr>
        <w:t xml:space="preserve">en su caso orientar al solicitante, el o los sujetos obligados competentes.” </w:t>
      </w:r>
    </w:p>
    <w:p w:rsidR="00000000" w:rsidDel="00000000" w:rsidP="00000000" w:rsidRDefault="00000000" w:rsidRPr="00000000" w14:paraId="000000B8">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tabs>
          <w:tab w:val="left" w:leader="none" w:pos="142"/>
          <w:tab w:val="left" w:leader="none" w:pos="284"/>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los preceptos citados se desprende que es atribución del Comité de Transparencia confirmar, modificar o revocar, en su caso, la declaración de incompetencia,</w:t>
      </w:r>
      <w:r w:rsidDel="00000000" w:rsidR="00000000" w:rsidRPr="00000000">
        <w:rPr>
          <w:rFonts w:ascii="Palatino Linotype" w:cs="Palatino Linotype" w:eastAsia="Palatino Linotype" w:hAnsi="Palatino Linotype"/>
          <w:b w:val="1"/>
          <w:sz w:val="22"/>
          <w:szCs w:val="22"/>
          <w:rtl w:val="0"/>
        </w:rPr>
        <w:t xml:space="preserve"> en aquellos casos en los que no se trate de una notoria incompetencia. </w:t>
      </w:r>
    </w:p>
    <w:p w:rsidR="00000000" w:rsidDel="00000000" w:rsidP="00000000" w:rsidRDefault="00000000" w:rsidRPr="00000000" w14:paraId="000000BA">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B">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Puesto que la Ley también prevé que dicho acuerdo </w:t>
      </w:r>
      <w:r w:rsidDel="00000000" w:rsidR="00000000" w:rsidRPr="00000000">
        <w:rPr>
          <w:rFonts w:ascii="Palatino Linotype" w:cs="Palatino Linotype" w:eastAsia="Palatino Linotype" w:hAnsi="Palatino Linotype"/>
          <w:b w:val="1"/>
          <w:sz w:val="22"/>
          <w:szCs w:val="22"/>
          <w:rtl w:val="0"/>
        </w:rPr>
        <w:t xml:space="preserve">no es necesario cuando la Unidad de Transparencia determine que la incompetencia es notoria</w:t>
      </w:r>
      <w:r w:rsidDel="00000000" w:rsidR="00000000" w:rsidRPr="00000000">
        <w:rPr>
          <w:rFonts w:ascii="Palatino Linotype" w:cs="Palatino Linotype" w:eastAsia="Palatino Linotype" w:hAnsi="Palatino Linotype"/>
          <w:sz w:val="22"/>
          <w:szCs w:val="22"/>
          <w:rtl w:val="0"/>
        </w:rPr>
        <w:t xml:space="preserve"> dando un plazo de tres días hábiles para hacerlo del conocimiento del particular, por lo que si bien, en el caso particular, no fue respetado dicho plazo, ello no cambia la circunstancia de que la incompetencia del sujeto obligado para dar atención a la solicitud de información siga siendo notoria. </w:t>
      </w:r>
    </w:p>
    <w:p w:rsidR="00000000" w:rsidDel="00000000" w:rsidP="00000000" w:rsidRDefault="00000000" w:rsidRPr="00000000" w14:paraId="000000BC">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D">
      <w:pPr>
        <w:tabs>
          <w:tab w:val="left" w:leader="none" w:pos="142"/>
          <w:tab w:val="left" w:leader="none" w:pos="284"/>
        </w:tabs>
        <w:spacing w:line="360" w:lineRule="auto"/>
        <w:jc w:val="both"/>
        <w:rPr>
          <w:rFonts w:ascii="Palatino Linotype" w:cs="Palatino Linotype" w:eastAsia="Palatino Linotype" w:hAnsi="Palatino Linotype"/>
          <w:sz w:val="22"/>
          <w:szCs w:val="22"/>
          <w:u w:val="single"/>
        </w:rPr>
      </w:pPr>
      <w:r w:rsidDel="00000000" w:rsidR="00000000" w:rsidRPr="00000000">
        <w:rPr>
          <w:rFonts w:ascii="Palatino Linotype" w:cs="Palatino Linotype" w:eastAsia="Palatino Linotype" w:hAnsi="Palatino Linotype"/>
          <w:sz w:val="22"/>
          <w:szCs w:val="22"/>
          <w:rtl w:val="0"/>
        </w:rPr>
        <w:t xml:space="preserve">En otras palabras, la Ley de la Materia confiere a las Unidades de Transparencia la posibilidad de notificar la incompetencia cuando esta sea notoria, siendo innecesario que dicha circunstancia sea sometida a consideración de los integrantes del Comité de Transparencia </w:t>
      </w:r>
      <w:r w:rsidDel="00000000" w:rsidR="00000000" w:rsidRPr="00000000">
        <w:rPr>
          <w:rFonts w:ascii="Palatino Linotype" w:cs="Palatino Linotype" w:eastAsia="Palatino Linotype" w:hAnsi="Palatino Linotype"/>
          <w:sz w:val="22"/>
          <w:szCs w:val="22"/>
          <w:u w:val="single"/>
          <w:rtl w:val="0"/>
        </w:rPr>
        <w:t xml:space="preserve">para su aprobación. </w:t>
      </w:r>
    </w:p>
    <w:p w:rsidR="00000000" w:rsidDel="00000000" w:rsidP="00000000" w:rsidRDefault="00000000" w:rsidRPr="00000000" w14:paraId="000000BE">
      <w:pPr>
        <w:spacing w:line="360" w:lineRule="auto"/>
        <w:ind w:right="1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F">
      <w:pPr>
        <w:spacing w:line="360" w:lineRule="auto"/>
        <w:ind w:right="1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sustento de lo anterior, resulta aplicable el Criterio 20/20, emitido por el Instituto Nacional de Transparencia, Acceso a la Información, y Protección de Datos Personales, INAI, que lleva por rubro y texto los siguientes:  </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Declaración de incompetencia por parte del Comité, cuando no sea notoria o manifiesta.</w:t>
      </w:r>
      <w:r w:rsidDel="00000000" w:rsidR="00000000" w:rsidRPr="00000000">
        <w:rPr>
          <w:rFonts w:ascii="Palatino Linotype" w:cs="Palatino Linotype" w:eastAsia="Palatino Linotype" w:hAnsi="Palatino Linotype"/>
          <w:i w:val="1"/>
          <w:sz w:val="22"/>
          <w:szCs w:val="22"/>
          <w:rtl w:val="0"/>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rsidR="00000000" w:rsidDel="00000000" w:rsidP="00000000" w:rsidRDefault="00000000" w:rsidRPr="00000000" w14:paraId="000000C2">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3">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duda razonable sobre la administración del documento materia de la solicitud de información</w:t>
      </w:r>
      <w:r w:rsidDel="00000000" w:rsidR="00000000" w:rsidRPr="00000000">
        <w:rPr>
          <w:rFonts w:ascii="Palatino Linotype" w:cs="Palatino Linotype" w:eastAsia="Palatino Linotype" w:hAnsi="Palatino Linotype"/>
          <w:sz w:val="22"/>
          <w:szCs w:val="22"/>
          <w:rtl w:val="0"/>
        </w:rPr>
        <w:t xml:space="preserve">, como se lee enseguida:</w:t>
      </w:r>
    </w:p>
    <w:p w:rsidR="00000000" w:rsidDel="00000000" w:rsidP="00000000" w:rsidRDefault="00000000" w:rsidRPr="00000000" w14:paraId="000000C4">
      <w:pPr>
        <w:spacing w:line="276"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C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DECLARATORIA DE INCOMPETENCIA DEL SUJETO OBLIGADO. SUPUESTO PARA CONFIRMARLA POR ACUERDO DEL COMITÉ DE TRANSPARENCIA. </w:t>
      </w:r>
      <w:r w:rsidDel="00000000" w:rsidR="00000000" w:rsidRPr="00000000">
        <w:rPr>
          <w:rFonts w:ascii="Palatino Linotype" w:cs="Palatino Linotype" w:eastAsia="Palatino Linotype" w:hAnsi="Palatino Linotype"/>
          <w:i w:val="1"/>
          <w:sz w:val="22"/>
          <w:szCs w:val="22"/>
          <w:rtl w:val="0"/>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Del="00000000" w:rsidR="00000000" w:rsidRPr="00000000">
        <w:rPr>
          <w:rFonts w:ascii="Palatino Linotype" w:cs="Palatino Linotype" w:eastAsia="Palatino Linotype" w:hAnsi="Palatino Linotype"/>
          <w:b w:val="1"/>
          <w:i w:val="1"/>
          <w:sz w:val="22"/>
          <w:szCs w:val="22"/>
          <w:rtl w:val="0"/>
        </w:rPr>
        <w:t xml:space="preserve">al ejercer el derecho de acceso a la información pública cabe la posibilidad de que existan atribuciones concurrentes entre dos o más Sujetos Obligados que </w:t>
      </w:r>
      <w:r w:rsidDel="00000000" w:rsidR="00000000" w:rsidRPr="00000000">
        <w:rPr>
          <w:rFonts w:ascii="Palatino Linotype" w:cs="Palatino Linotype" w:eastAsia="Palatino Linotype" w:hAnsi="Palatino Linotype"/>
          <w:b w:val="1"/>
          <w:i w:val="1"/>
          <w:sz w:val="22"/>
          <w:szCs w:val="22"/>
          <w:u w:val="single"/>
          <w:rtl w:val="0"/>
        </w:rPr>
        <w:t xml:space="preserve">impiden determinar dentro del término legal de tres días hábiles</w:t>
      </w:r>
      <w:r w:rsidDel="00000000" w:rsidR="00000000" w:rsidRPr="00000000">
        <w:rPr>
          <w:rFonts w:ascii="Palatino Linotype" w:cs="Palatino Linotype" w:eastAsia="Palatino Linotype" w:hAnsi="Palatino Linotype"/>
          <w:b w:val="1"/>
          <w:i w:val="1"/>
          <w:sz w:val="22"/>
          <w:szCs w:val="22"/>
          <w:rtl w:val="0"/>
        </w:rPr>
        <w:t xml:space="preserve">, si se posee o no la información por el Sujeto Obligado requerid</w:t>
      </w:r>
      <w:r w:rsidDel="00000000" w:rsidR="00000000" w:rsidRPr="00000000">
        <w:rPr>
          <w:rFonts w:ascii="Palatino Linotype" w:cs="Palatino Linotype" w:eastAsia="Palatino Linotype" w:hAnsi="Palatino Linotype"/>
          <w:i w:val="1"/>
          <w:sz w:val="22"/>
          <w:szCs w:val="22"/>
          <w:rtl w:val="0"/>
        </w:rPr>
        <w:t xml:space="preserve">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rsidR="00000000" w:rsidDel="00000000" w:rsidP="00000000" w:rsidRDefault="00000000" w:rsidRPr="00000000" w14:paraId="000000C6">
      <w:pP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7">
      <w:pPr>
        <w:spacing w:line="360" w:lineRule="auto"/>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sz w:val="22"/>
          <w:szCs w:val="22"/>
          <w:rtl w:val="0"/>
        </w:rPr>
        <w:t xml:space="preserve">Es así que, ordenar al Comité de Transparencia del Sujeto Obligado que sesione para que emita un acuerdo en el que confirme la declaratoria de incompetencia para garantizar el derecho de la parte Recurrente, dilata los plazos del procedimiento, genera una carga adicional al Sujeto Obligado, y </w:t>
      </w:r>
      <w:r w:rsidDel="00000000" w:rsidR="00000000" w:rsidRPr="00000000">
        <w:rPr>
          <w:rFonts w:ascii="Palatino Linotype" w:cs="Palatino Linotype" w:eastAsia="Palatino Linotype" w:hAnsi="Palatino Linotype"/>
          <w:b w:val="1"/>
          <w:sz w:val="22"/>
          <w:szCs w:val="22"/>
          <w:u w:val="single"/>
          <w:rtl w:val="0"/>
        </w:rPr>
        <w:t xml:space="preserve">ello no modifica el hecho de que la parte Recurrente no obtendrá la información que es de su interés por esta vía. </w:t>
      </w:r>
    </w:p>
    <w:p w:rsidR="00000000" w:rsidDel="00000000" w:rsidP="00000000" w:rsidRDefault="00000000" w:rsidRPr="00000000" w14:paraId="000000C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instruir al Comité de Transparencia para que sesione y emita una resolución en la que se confirme una notoria incompetencia que ya fue declarada por el Sujeto Obligado y analizada por este Organismo Garante, se aparta de los principios de sencillez y rapidez establecidos por la Ley de Transparencia y Acceso a la Información Pública del Estado de México y Municipios, en sus artículos 2, fracciones II y III, 21 y 150. </w:t>
      </w:r>
    </w:p>
    <w:p w:rsidR="00000000" w:rsidDel="00000000" w:rsidP="00000000" w:rsidRDefault="00000000" w:rsidRPr="00000000" w14:paraId="000000C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por lo que, en virtud de que el Ayuntamiento de Tenancingo declinó su competencia respecto a la información relacionada con la investigación de los delitos, es que no resulta dable ordenar el acuerdo que declare formalmente la incompetencia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pues como se advirtió del estudio la incompetencia resulta notaria.</w:t>
      </w:r>
    </w:p>
    <w:p w:rsidR="00000000" w:rsidDel="00000000" w:rsidP="00000000" w:rsidRDefault="00000000" w:rsidRPr="00000000" w14:paraId="000000C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resulta necesario precisar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el hecho de notificar a las personas solicitantes sobre la incompetencia cuando esta sea notoria, dentro del plazo de tres días siguientes a partir de la recepción de las solicitudes, permite que estas puedan presentar sin mayor dilación sus requerimientos de información ante los Sujetos Obligados competentes con la finalidad de obtener la información que es de su interés.</w:t>
      </w:r>
    </w:p>
    <w:p w:rsidR="00000000" w:rsidDel="00000000" w:rsidP="00000000" w:rsidRDefault="00000000" w:rsidRPr="00000000" w14:paraId="000000C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por ello que resulta de suma importancia que las Unidades de Transparencia, cuando adviertan que dicho supuesto se actualiza, se ciñan al plazo que la normativa establece, a fin de ajustarse al principio de expeditez que en todo procedimiento en materia de transparencia se debe observar.</w:t>
      </w:r>
    </w:p>
    <w:p w:rsidR="00000000" w:rsidDel="00000000" w:rsidP="00000000" w:rsidRDefault="00000000" w:rsidRPr="00000000" w14:paraId="000000D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cuando se advierta una notoria incompetencia respecto de la información solicitada por un particular,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debe atender los plazos establecidos por la norma para declarar la incompetencia </w:t>
      </w:r>
      <w:r w:rsidDel="00000000" w:rsidR="00000000" w:rsidRPr="00000000">
        <w:rPr>
          <w:rFonts w:ascii="Palatino Linotype" w:cs="Palatino Linotype" w:eastAsia="Palatino Linotype" w:hAnsi="Palatino Linotype"/>
          <w:sz w:val="22"/>
          <w:szCs w:val="22"/>
          <w:rtl w:val="0"/>
        </w:rPr>
        <w:t xml:space="preserve">para entregar información, con el propósito de que los particulares puedan acudir ante las instancias correspondientes para formular las solicitudes que estimen pertinentes.</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240" w:before="240" w:line="360" w:lineRule="auto"/>
        <w:ind w:right="96"/>
        <w:jc w:val="both"/>
        <w:rPr/>
      </w:pPr>
      <w:r w:rsidDel="00000000" w:rsidR="00000000" w:rsidRPr="00000000">
        <w:rPr>
          <w:rFonts w:ascii="Palatino Linotype" w:cs="Palatino Linotype" w:eastAsia="Palatino Linotype" w:hAnsi="Palatino Linotype"/>
          <w:sz w:val="22"/>
          <w:szCs w:val="22"/>
          <w:rtl w:val="0"/>
        </w:rPr>
        <w:t xml:space="preserve">En ese entendido, se determina que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declaró su incompetencia a través de su informe justificado y de este estudio se concluyó que la incompetencia resulta notoria, es que se actualiza la causal prevista en la fracción III del artículo 192 de la Ley de Transparencia y Acceso a la Información Pública del Estado de México y Municipios, que </w:t>
      </w:r>
      <w:r w:rsidDel="00000000" w:rsidR="00000000" w:rsidRPr="00000000">
        <w:rPr>
          <w:rFonts w:ascii="Palatino Linotype" w:cs="Palatino Linotype" w:eastAsia="Palatino Linotype" w:hAnsi="Palatino Linotype"/>
          <w:rtl w:val="0"/>
        </w:rPr>
        <w:t xml:space="preserve">se transcribe a continuación, para un mejor entendimiento:</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120" w:before="120" w:lineRule="auto"/>
        <w:ind w:left="851" w:right="616"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192.</w:t>
      </w:r>
      <w:r w:rsidDel="00000000" w:rsidR="00000000" w:rsidRPr="00000000">
        <w:rPr>
          <w:rFonts w:ascii="Palatino Linotype" w:cs="Palatino Linotype" w:eastAsia="Palatino Linotype" w:hAnsi="Palatino Linotype"/>
          <w:i w:val="1"/>
          <w:sz w:val="22"/>
          <w:szCs w:val="22"/>
          <w:rtl w:val="0"/>
        </w:rPr>
        <w:t xml:space="preserve"> El recurso será sobreseído, en todo o en parte, cuando una vez admitido, se actualicen alguno de los siguientes supuestos:</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280" w:before="28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sujeto obligado responsable del acto lo modifique o revoque de tal manera que el recurso de revisión quede sin materia…”</w:t>
      </w:r>
    </w:p>
    <w:p w:rsidR="00000000" w:rsidDel="00000000" w:rsidP="00000000" w:rsidRDefault="00000000" w:rsidRPr="00000000" w14:paraId="000000D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artículo establece que el sobreseimiento del recurso de revisión procede en los siguientes casos:</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8">
      <w:pPr>
        <w:spacing w:line="360" w:lineRule="auto"/>
        <w:ind w:right="900"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Cuando el sujeto obligado modifique el acto impugnado y;</w:t>
      </w:r>
    </w:p>
    <w:p w:rsidR="00000000" w:rsidDel="00000000" w:rsidP="00000000" w:rsidRDefault="00000000" w:rsidRPr="00000000" w14:paraId="000000D9">
      <w:pPr>
        <w:spacing w:line="360" w:lineRule="auto"/>
        <w:ind w:right="900"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 Cuando el sujeto obligado revoque el acto impugnado.</w:t>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Quedando en ambos casos el acto combatido sin materia o sin efectos.</w:t>
      </w:r>
    </w:p>
    <w:p w:rsidR="00000000" w:rsidDel="00000000" w:rsidP="00000000" w:rsidRDefault="00000000" w:rsidRPr="00000000" w14:paraId="000000D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observa de lo anterior, un acto impugnado es </w:t>
      </w:r>
      <w:r w:rsidDel="00000000" w:rsidR="00000000" w:rsidRPr="00000000">
        <w:rPr>
          <w:rFonts w:ascii="Palatino Linotype" w:cs="Palatino Linotype" w:eastAsia="Palatino Linotype" w:hAnsi="Palatino Linotype"/>
          <w:b w:val="1"/>
          <w:sz w:val="22"/>
          <w:szCs w:val="22"/>
          <w:rtl w:val="0"/>
        </w:rPr>
        <w:t xml:space="preserve">modificado</w:t>
      </w:r>
      <w:r w:rsidDel="00000000" w:rsidR="00000000" w:rsidRPr="00000000">
        <w:rPr>
          <w:rFonts w:ascii="Palatino Linotype" w:cs="Palatino Linotype" w:eastAsia="Palatino Linotype" w:hAnsi="Palatino Linotype"/>
          <w:sz w:val="22"/>
          <w:szCs w:val="22"/>
          <w:rtl w:val="0"/>
        </w:rPr>
        <w:t xml:space="preserve"> en aquellos casos en los que el sujeto obligado subsana las deficiencias que hubiera tenido en primer momento, quedando satisfecho el derecho subjetivo accionado por la parte recurrente. </w:t>
      </w:r>
    </w:p>
    <w:p w:rsidR="00000000" w:rsidDel="00000000" w:rsidP="00000000" w:rsidRDefault="00000000" w:rsidRPr="00000000" w14:paraId="000000D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hace a la</w:t>
      </w:r>
      <w:r w:rsidDel="00000000" w:rsidR="00000000" w:rsidRPr="00000000">
        <w:rPr>
          <w:rFonts w:ascii="Palatino Linotype" w:cs="Palatino Linotype" w:eastAsia="Palatino Linotype" w:hAnsi="Palatino Linotype"/>
          <w:b w:val="1"/>
          <w:sz w:val="22"/>
          <w:szCs w:val="22"/>
          <w:rtl w:val="0"/>
        </w:rPr>
        <w:t xml:space="preserve"> revocación</w:t>
      </w:r>
      <w:r w:rsidDel="00000000" w:rsidR="00000000" w:rsidRPr="00000000">
        <w:rPr>
          <w:rFonts w:ascii="Palatino Linotype" w:cs="Palatino Linotype" w:eastAsia="Palatino Linotype" w:hAnsi="Palatino Linotype"/>
          <w:sz w:val="22"/>
          <w:szCs w:val="22"/>
          <w:rtl w:val="0"/>
        </w:rPr>
        <w:t xml:space="preserve">, esta se actualiza cuando 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deja sin efectos su actuar y en su lugar emite otra con las características y cualidades suficientes para dejar satisfecho el ejercicio del derecho al acceso a la información pública.</w:t>
      </w:r>
    </w:p>
    <w:p w:rsidR="00000000" w:rsidDel="00000000" w:rsidP="00000000" w:rsidRDefault="00000000" w:rsidRPr="00000000" w14:paraId="000000E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tenor, un acto impugnado queda sin efectos, cuando aun existiendo jurídicamente ya no genera ninguna consecuencia legal.</w:t>
      </w:r>
    </w:p>
    <w:p w:rsidR="00000000" w:rsidDel="00000000" w:rsidP="00000000" w:rsidRDefault="00000000" w:rsidRPr="00000000" w14:paraId="000000E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tanto, en el presente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informe justificado declaró su incompetencia para conocer del asunto que nos ocupa; dejó sin materia el presente recurso de revisión, actualizándose entonces la causal prevista en la fracción III del artículo 192 de la Ley de la Materia vigente en la Entidad. </w:t>
      </w:r>
    </w:p>
    <w:p w:rsidR="00000000" w:rsidDel="00000000" w:rsidP="00000000" w:rsidRDefault="00000000" w:rsidRPr="00000000" w14:paraId="000000E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tercero, trigésimo cuarto y trigésimo quinto,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E6">
      <w:pPr>
        <w:spacing w:line="360" w:lineRule="auto"/>
        <w:ind w:right="49"/>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7">
      <w:pPr>
        <w:spacing w:line="360" w:lineRule="auto"/>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w:t>
        <w:tab/>
        <w:t xml:space="preserve">R E S U E L V E:</w:t>
      </w:r>
    </w:p>
    <w:p w:rsidR="00000000" w:rsidDel="00000000" w:rsidP="00000000" w:rsidRDefault="00000000" w:rsidRPr="00000000" w14:paraId="000000E8">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Se</w:t>
      </w:r>
      <w:r w:rsidDel="00000000" w:rsidR="00000000" w:rsidRPr="00000000">
        <w:rPr>
          <w:rFonts w:ascii="Palatino Linotype" w:cs="Palatino Linotype" w:eastAsia="Palatino Linotype" w:hAnsi="Palatino Linotype"/>
          <w:b w:val="1"/>
          <w:sz w:val="22"/>
          <w:szCs w:val="22"/>
          <w:rtl w:val="0"/>
        </w:rPr>
        <w:t xml:space="preserve"> Sobresee </w:t>
      </w:r>
      <w:r w:rsidDel="00000000" w:rsidR="00000000" w:rsidRPr="00000000">
        <w:rPr>
          <w:rFonts w:ascii="Palatino Linotype" w:cs="Palatino Linotype" w:eastAsia="Palatino Linotype" w:hAnsi="Palatino Linotype"/>
          <w:sz w:val="22"/>
          <w:szCs w:val="22"/>
          <w:rtl w:val="0"/>
        </w:rPr>
        <w:t xml:space="preserve">el recurso de revisión número </w:t>
      </w:r>
      <w:r w:rsidDel="00000000" w:rsidR="00000000" w:rsidRPr="00000000">
        <w:rPr>
          <w:rFonts w:ascii="Palatino Linotype" w:cs="Palatino Linotype" w:eastAsia="Palatino Linotype" w:hAnsi="Palatino Linotype"/>
          <w:b w:val="1"/>
          <w:sz w:val="22"/>
          <w:szCs w:val="22"/>
          <w:rtl w:val="0"/>
        </w:rPr>
        <w:t xml:space="preserve">00139/INFOEM/IP/RR/2025</w:t>
      </w:r>
      <w:r w:rsidDel="00000000" w:rsidR="00000000" w:rsidRPr="00000000">
        <w:rPr>
          <w:rFonts w:ascii="Palatino Linotype" w:cs="Palatino Linotype" w:eastAsia="Palatino Linotype" w:hAnsi="Palatino Linotype"/>
          <w:sz w:val="22"/>
          <w:szCs w:val="22"/>
          <w:rtl w:val="0"/>
        </w:rPr>
        <w:t xml:space="preserve">, porque al modificar la respuesta a la solicitud de acceso a la información, el medio de impugnación quedó sin materia, de conformidad con lo previsto en el artículo 192 fracción III de la Ley de Transparencia y Acceso a la Información Pública del Estado de México y Municipios, en términos del Considerando Tercero de la presente resolución.</w:t>
      </w:r>
    </w:p>
    <w:p w:rsidR="00000000" w:rsidDel="00000000" w:rsidP="00000000" w:rsidRDefault="00000000" w:rsidRPr="00000000" w14:paraId="000000EA">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B">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SEGUNDO.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al Titular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presente resolución, para su conocimiento.</w:t>
      </w:r>
      <w:r w:rsidDel="00000000" w:rsidR="00000000" w:rsidRPr="00000000">
        <w:rPr>
          <w:rtl w:val="0"/>
        </w:rPr>
      </w:r>
    </w:p>
    <w:p w:rsidR="00000000" w:rsidDel="00000000" w:rsidP="00000000" w:rsidRDefault="00000000" w:rsidRPr="00000000" w14:paraId="000000E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podrá impugnar vía Juicio de Amparo en los términos de las leyes aplicables.</w:t>
      </w:r>
    </w:p>
    <w:p w:rsidR="00000000" w:rsidDel="00000000" w:rsidP="00000000" w:rsidRDefault="00000000" w:rsidRPr="00000000" w14:paraId="000000E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F">
      <w:pPr>
        <w:spacing w:line="360" w:lineRule="auto"/>
        <w:jc w:val="both"/>
        <w:rPr>
          <w:rFonts w:ascii="Palatino Linotype" w:cs="Palatino Linotype" w:eastAsia="Palatino Linotype" w:hAnsi="Palatino Linotype"/>
          <w:sz w:val="22"/>
          <w:szCs w:val="22"/>
        </w:rPr>
        <w:sectPr>
          <w:headerReference r:id="rId9" w:type="default"/>
          <w:headerReference r:id="rId10" w:type="first"/>
          <w:footerReference r:id="rId11" w:type="default"/>
          <w:footerReference r:id="rId12" w:type="first"/>
          <w:pgSz w:h="15840" w:w="12240" w:orient="portrait"/>
          <w:pgMar w:bottom="1701" w:top="2041" w:left="1701" w:right="1701" w:header="709" w:footer="709"/>
          <w:pgNumType w:start="1"/>
          <w:titlePg w:val="1"/>
        </w:sectPr>
      </w:pPr>
      <w:bookmarkStart w:colFirst="0" w:colLast="0" w:name="_heading=h.1fob9te" w:id="3"/>
      <w:bookmarkEnd w:id="3"/>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DOCE DE FEBRERO DE DOS MIL VEINTICINCO, ANTE EL SECRETARIO TÉCNICO DEL PLENO ALEXIS TAPIA RAMÍREZ.                              </w:t>
      </w:r>
    </w:p>
    <w:p w:rsidR="00000000" w:rsidDel="00000000" w:rsidP="00000000" w:rsidRDefault="00000000" w:rsidRPr="00000000" w14:paraId="000000F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1">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3"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-638173</wp:posOffset>
          </wp:positionH>
          <wp:positionV relativeFrom="paragraph">
            <wp:posOffset>-450213</wp:posOffset>
          </wp:positionV>
          <wp:extent cx="7809876" cy="10165823"/>
          <wp:effectExtent b="0" l="0" r="0" t="0"/>
          <wp:wrapNone/>
          <wp:docPr id="4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0F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F4">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00139/INFOEM/IP/RR/2025</w:t>
          </w:r>
        </w:p>
      </w:tc>
    </w:tr>
    <w:tr>
      <w:trPr>
        <w:cantSplit w:val="0"/>
        <w:trHeight w:val="228" w:hRule="atLeast"/>
        <w:tblHeader w:val="0"/>
      </w:trPr>
      <w:tc>
        <w:tcPr>
          <w:vAlign w:val="center"/>
        </w:tcPr>
        <w:p w:rsidR="00000000" w:rsidDel="00000000" w:rsidP="00000000" w:rsidRDefault="00000000" w:rsidRPr="00000000" w14:paraId="000000F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F6">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Tenancingo</w:t>
          </w:r>
        </w:p>
      </w:tc>
    </w:tr>
    <w:tr>
      <w:trPr>
        <w:cantSplit w:val="0"/>
        <w:tblHeader w:val="0"/>
      </w:trPr>
      <w:tc>
        <w:tcPr>
          <w:vAlign w:val="center"/>
        </w:tcPr>
        <w:p w:rsidR="00000000" w:rsidDel="00000000" w:rsidP="00000000" w:rsidRDefault="00000000" w:rsidRPr="00000000" w14:paraId="000000F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F8">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leader="none" w:pos="3969"/>
        <w:tab w:val="right" w:leader="none" w:pos="8789"/>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-798191</wp:posOffset>
          </wp:positionH>
          <wp:positionV relativeFrom="paragraph">
            <wp:posOffset>-399411</wp:posOffset>
          </wp:positionV>
          <wp:extent cx="7809876" cy="10165823"/>
          <wp:effectExtent b="0" l="0" r="0" t="0"/>
          <wp:wrapNone/>
          <wp:docPr id="3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812.0" w:type="dxa"/>
      <w:jc w:val="left"/>
      <w:tblInd w:w="3119.0" w:type="dxa"/>
      <w:tblLayout w:type="fixed"/>
      <w:tblLook w:val="0400"/>
    </w:tblPr>
    <w:tblGrid>
      <w:gridCol w:w="2551"/>
      <w:gridCol w:w="3261"/>
      <w:tblGridChange w:id="0">
        <w:tblGrid>
          <w:gridCol w:w="2551"/>
          <w:gridCol w:w="3261"/>
        </w:tblGrid>
      </w:tblGridChange>
    </w:tblGrid>
    <w:tr>
      <w:trPr>
        <w:cantSplit w:val="0"/>
        <w:tblHeader w:val="0"/>
      </w:trPr>
      <w:tc>
        <w:tcPr>
          <w:vAlign w:val="center"/>
        </w:tcPr>
        <w:p w:rsidR="00000000" w:rsidDel="00000000" w:rsidP="00000000" w:rsidRDefault="00000000" w:rsidRPr="00000000" w14:paraId="000000F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FC">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00139/INFOEM/IP/RR/2025</w:t>
          </w:r>
        </w:p>
      </w:tc>
    </w:tr>
    <w:tr>
      <w:trPr>
        <w:cantSplit w:val="0"/>
        <w:tblHeader w:val="0"/>
      </w:trPr>
      <w:tc>
        <w:tcPr>
          <w:vAlign w:val="center"/>
        </w:tcPr>
        <w:p w:rsidR="00000000" w:rsidDel="00000000" w:rsidP="00000000" w:rsidRDefault="00000000" w:rsidRPr="00000000" w14:paraId="000000FD">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FE">
          <w:pPr>
            <w:ind w:left="-115" w:right="2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 XXXXXXXXXX XXXXXXXXXXXX</w:t>
          </w:r>
        </w:p>
      </w:tc>
    </w:tr>
    <w:tr>
      <w:trPr>
        <w:cantSplit w:val="0"/>
        <w:trHeight w:val="228" w:hRule="atLeast"/>
        <w:tblHeader w:val="0"/>
      </w:trPr>
      <w:tc>
        <w:tcPr>
          <w:vAlign w:val="center"/>
        </w:tcPr>
        <w:p w:rsidR="00000000" w:rsidDel="00000000" w:rsidP="00000000" w:rsidRDefault="00000000" w:rsidRPr="00000000" w14:paraId="000000F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00">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Tenancingo</w:t>
          </w:r>
        </w:p>
      </w:tc>
    </w:tr>
    <w:tr>
      <w:trPr>
        <w:cantSplit w:val="0"/>
        <w:tblHeader w:val="0"/>
      </w:trPr>
      <w:tc>
        <w:tcPr>
          <w:vAlign w:val="center"/>
        </w:tcPr>
        <w:p w:rsidR="00000000" w:rsidDel="00000000" w:rsidP="00000000" w:rsidRDefault="00000000" w:rsidRPr="00000000" w14:paraId="0000010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02">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E2631"/>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link w:val="Ttulo3Car"/>
    <w:uiPriority w:val="9"/>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108.0" w:type="dxa"/>
        <w:right w:w="108.0" w:type="dxa"/>
      </w:tblCellMar>
    </w:tblPr>
  </w:style>
  <w:style w:type="table" w:styleId="a0" w:customStyle="1">
    <w:basedOn w:val="TableNormal3"/>
    <w:tblPr>
      <w:tblStyleRowBandSize w:val="1"/>
      <w:tblStyleColBandSize w:val="1"/>
      <w:tblCellMar>
        <w:left w:w="115.0" w:type="dxa"/>
        <w:right w:w="115.0" w:type="dxa"/>
      </w:tblCellMar>
    </w:tblPr>
  </w:style>
  <w:style w:type="table" w:styleId="a1" w:customStyle="1">
    <w:basedOn w:val="TableNormal3"/>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3"/>
    <w:tblPr>
      <w:tblStyleRowBandSize w:val="1"/>
      <w:tblStyleColBandSize w:val="1"/>
      <w:tblCellMar>
        <w:left w:w="108.0" w:type="dxa"/>
        <w:right w:w="108.0" w:type="dxa"/>
      </w:tblCellMar>
    </w:tblPr>
  </w:style>
  <w:style w:type="table" w:styleId="a3" w:customStyle="1">
    <w:basedOn w:val="TableNormal3"/>
    <w:tblPr>
      <w:tblStyleRowBandSize w:val="1"/>
      <w:tblStyleColBandSize w:val="1"/>
      <w:tblCellMar>
        <w:left w:w="108.0" w:type="dxa"/>
        <w:right w:w="108.0" w:type="dxa"/>
      </w:tblCellMar>
    </w:tblPr>
  </w:style>
  <w:style w:type="table" w:styleId="a4" w:customStyle="1">
    <w:basedOn w:val="TableNormal3"/>
    <w:tblPr>
      <w:tblStyleRowBandSize w:val="1"/>
      <w:tblStyleColBandSize w:val="1"/>
      <w:tblCellMar>
        <w:left w:w="108.0" w:type="dxa"/>
        <w:right w:w="108.0" w:type="dxa"/>
      </w:tblCellMar>
    </w:tblPr>
  </w:style>
  <w:style w:type="table" w:styleId="a5" w:customStyle="1">
    <w:basedOn w:val="TableNormal3"/>
    <w:tblPr>
      <w:tblStyleRowBandSize w:val="1"/>
      <w:tblStyleColBandSize w:val="1"/>
      <w:tblCellMar>
        <w:left w:w="108.0" w:type="dxa"/>
        <w:right w:w="108.0" w:type="dxa"/>
      </w:tblCellMar>
    </w:tblPr>
  </w:style>
  <w:style w:type="table" w:styleId="a6" w:customStyle="1">
    <w:basedOn w:val="TableNormal3"/>
    <w:tblPr>
      <w:tblStyleRowBandSize w:val="1"/>
      <w:tblStyleColBandSize w:val="1"/>
      <w:tblCellMar>
        <w:left w:w="108.0" w:type="dxa"/>
        <w:right w:w="108.0" w:type="dxa"/>
      </w:tblCellMar>
    </w:tblPr>
  </w:style>
  <w:style w:type="table" w:styleId="a7" w:customStyle="1">
    <w:basedOn w:val="TableNormal3"/>
    <w:tblPr>
      <w:tblStyleRowBandSize w:val="1"/>
      <w:tblStyleColBandSize w:val="1"/>
      <w:tblCellMar>
        <w:left w:w="108.0" w:type="dxa"/>
        <w:right w:w="108.0" w:type="dxa"/>
      </w:tblCellMar>
    </w:tblPr>
  </w:style>
  <w:style w:type="table" w:styleId="a8" w:customStyle="1">
    <w:basedOn w:val="TableNormal3"/>
    <w:tblPr>
      <w:tblStyleRowBandSize w:val="1"/>
      <w:tblStyleColBandSize w:val="1"/>
      <w:tblCellMar>
        <w:left w:w="108.0" w:type="dxa"/>
        <w:right w:w="108.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tblPr>
      <w:tblStyleRowBandSize w:val="1"/>
      <w:tblStyleColBandSize w:val="1"/>
      <w:tblCellMar>
        <w:left w:w="115.0" w:type="dxa"/>
        <w:right w:w="115.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4"/>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1"/>
    <w:tblPr>
      <w:tblStyleRowBandSize w:val="1"/>
      <w:tblStyleColBandSize w:val="1"/>
      <w:tblCellMar>
        <w:left w:w="115.0" w:type="dxa"/>
        <w:right w:w="115.0" w:type="dxa"/>
      </w:tblCellMar>
    </w:tblPr>
  </w:style>
  <w:style w:type="table" w:styleId="af0" w:customStyle="1">
    <w:basedOn w:val="TableNormal1"/>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character" w:styleId="Mencinsinresolver3" w:customStyle="1">
    <w:name w:val="Mención sin resolver3"/>
    <w:basedOn w:val="Fuentedeprrafopredeter"/>
    <w:uiPriority w:val="99"/>
    <w:semiHidden w:val="1"/>
    <w:unhideWhenUsed w:val="1"/>
    <w:rsid w:val="00DA34A0"/>
    <w:rPr>
      <w:color w:val="605e5c"/>
      <w:shd w:color="auto" w:fill="e1dfdd" w:val="clear"/>
    </w:rPr>
  </w:style>
  <w:style w:type="paragraph" w:styleId="Default" w:customStyle="1">
    <w:name w:val="Default"/>
    <w:rsid w:val="00740F46"/>
    <w:pPr>
      <w:autoSpaceDE w:val="0"/>
      <w:autoSpaceDN w:val="0"/>
      <w:adjustRightInd w:val="0"/>
    </w:pPr>
    <w:rPr>
      <w:rFonts w:ascii="Arial" w:cs="Arial" w:hAnsi="Arial" w:eastAsiaTheme="minorHAnsi"/>
      <w:color w:val="000000"/>
      <w:lang w:eastAsia="en-US" w:val="es-MX"/>
    </w:rPr>
  </w:style>
  <w:style w:type="table" w:styleId="Tablaconcuadrcula2" w:customStyle="1">
    <w:name w:val="Tabla con cuadrícula2"/>
    <w:basedOn w:val="Tablanormal"/>
    <w:next w:val="Tablaconcuadrcula"/>
    <w:uiPriority w:val="39"/>
    <w:rsid w:val="0057641C"/>
    <w:rPr>
      <w:rFonts w:ascii="Calibri" w:eastAsia="Calibri" w:hAnsi="Calibr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tab-span" w:customStyle="1">
    <w:name w:val="apple-tab-span"/>
    <w:basedOn w:val="Fuentedeprrafopredeter"/>
    <w:rsid w:val="005562A7"/>
  </w:style>
  <w:style w:type="table" w:styleId="af1" w:customStyle="1">
    <w:basedOn w:val="TableNormal0"/>
    <w:tblPr>
      <w:tblStyleRowBandSize w:val="1"/>
      <w:tblStyleColBandSize w:val="1"/>
      <w:tblCellMar>
        <w:left w:w="115.0" w:type="dxa"/>
        <w:right w:w="115.0" w:type="dxa"/>
      </w:tblCellMar>
    </w:tblPr>
  </w:style>
  <w:style w:type="table" w:styleId="af2"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header" Target="head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jRz5hGoQ4RxpZ8hY7cU6magiyA==">CgMxLjAyCWguM3pueXNoNzIIaC5namRneHMyCWguMzBqMHpsbDIJaC4xZm9iOXRlOAByITF0VVZWd1lHTVd3V3lKVHh1SDA2WmluU2UxN25raTZSRQ==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2025-02-25T16:09:00Z</dcterms:created>
  <dc:creator>USER</dc:creator>
</cp:coreProperties>
</file>