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0E4FB"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E06C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marzo de dos mil veinticinco. </w:t>
      </w:r>
    </w:p>
    <w:p w14:paraId="251D2A35" w14:textId="77777777" w:rsidR="00DD7E50" w:rsidRPr="00E06C32" w:rsidRDefault="00806F94">
      <w:pPr>
        <w:tabs>
          <w:tab w:val="left" w:pos="5812"/>
        </w:tabs>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VISTO</w:t>
      </w:r>
      <w:r w:rsidRPr="00E06C32">
        <w:rPr>
          <w:rFonts w:ascii="Palatino Linotype" w:eastAsia="Palatino Linotype" w:hAnsi="Palatino Linotype" w:cs="Palatino Linotype"/>
        </w:rPr>
        <w:t xml:space="preserve"> el expediente formado con motivo del recurso de revisión </w:t>
      </w:r>
      <w:r w:rsidRPr="00E06C32">
        <w:rPr>
          <w:rFonts w:ascii="Palatino Linotype" w:eastAsia="Palatino Linotype" w:hAnsi="Palatino Linotype" w:cs="Palatino Linotype"/>
          <w:b/>
        </w:rPr>
        <w:t>00874/INFOEM/IP/RR/2025</w:t>
      </w:r>
      <w:r w:rsidRPr="00E06C32">
        <w:rPr>
          <w:rFonts w:ascii="Palatino Linotype" w:eastAsia="Palatino Linotype" w:hAnsi="Palatino Linotype" w:cs="Palatino Linotype"/>
        </w:rPr>
        <w:t xml:space="preserve">, interpuesto por </w:t>
      </w:r>
      <w:r w:rsidRPr="00E06C32">
        <w:rPr>
          <w:rFonts w:ascii="Palatino Linotype" w:eastAsia="Palatino Linotype" w:hAnsi="Palatino Linotype" w:cs="Palatino Linotype"/>
          <w:b/>
        </w:rPr>
        <w:t xml:space="preserve">una persona que no proporcionó nombre o seudónimo, </w:t>
      </w:r>
      <w:r w:rsidRPr="00E06C32">
        <w:rPr>
          <w:rFonts w:ascii="Palatino Linotype" w:eastAsia="Palatino Linotype" w:hAnsi="Palatino Linotype" w:cs="Palatino Linotype"/>
        </w:rPr>
        <w:t>en lo sucesivo</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en contra de la respuesta a la solicitud de información con número de folio</w:t>
      </w:r>
      <w:r w:rsidRPr="00E06C32">
        <w:rPr>
          <w:rFonts w:ascii="Palatino Linotype" w:eastAsia="Palatino Linotype" w:hAnsi="Palatino Linotype" w:cs="Palatino Linotype"/>
          <w:b/>
        </w:rPr>
        <w:t xml:space="preserve"> 00043/TLALNEPA/IP/2025, </w:t>
      </w:r>
      <w:r w:rsidRPr="00E06C32">
        <w:rPr>
          <w:rFonts w:ascii="Palatino Linotype" w:eastAsia="Palatino Linotype" w:hAnsi="Palatino Linotype" w:cs="Palatino Linotype"/>
        </w:rPr>
        <w:t xml:space="preserve">por parte del </w:t>
      </w:r>
      <w:r w:rsidRPr="00E06C32">
        <w:rPr>
          <w:rFonts w:ascii="Palatino Linotype" w:eastAsia="Palatino Linotype" w:hAnsi="Palatino Linotype" w:cs="Palatino Linotype"/>
          <w:b/>
        </w:rPr>
        <w:t xml:space="preserve">Ayuntamiento de Tlalnepantla de Baz, </w:t>
      </w:r>
      <w:r w:rsidRPr="00E06C32">
        <w:rPr>
          <w:rFonts w:ascii="Palatino Linotype" w:eastAsia="Palatino Linotype" w:hAnsi="Palatino Linotype" w:cs="Palatino Linotype"/>
        </w:rPr>
        <w:t xml:space="preserve">en lo sucesivo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se procede a dictar la presente resolución con base en los siguientes: </w:t>
      </w:r>
    </w:p>
    <w:p w14:paraId="6AE8EF7E" w14:textId="77777777" w:rsidR="00DD7E50" w:rsidRPr="00E06C32" w:rsidRDefault="00806F94">
      <w:pPr>
        <w:spacing w:before="240" w:after="240" w:line="360" w:lineRule="auto"/>
        <w:jc w:val="center"/>
        <w:rPr>
          <w:rFonts w:ascii="Palatino Linotype" w:eastAsia="Palatino Linotype" w:hAnsi="Palatino Linotype" w:cs="Palatino Linotype"/>
          <w:b/>
        </w:rPr>
      </w:pPr>
      <w:r w:rsidRPr="00E06C32">
        <w:rPr>
          <w:rFonts w:ascii="Palatino Linotype" w:eastAsia="Palatino Linotype" w:hAnsi="Palatino Linotype" w:cs="Palatino Linotype"/>
          <w:b/>
        </w:rPr>
        <w:t>I. A N T E C E D E N T E S</w:t>
      </w:r>
    </w:p>
    <w:p w14:paraId="0538B67A"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1" w:name="_heading=h.4d34og8" w:colFirst="0" w:colLast="0"/>
      <w:bookmarkEnd w:id="1"/>
      <w:r w:rsidRPr="00E06C32">
        <w:rPr>
          <w:rFonts w:ascii="Palatino Linotype" w:eastAsia="Palatino Linotype" w:hAnsi="Palatino Linotype" w:cs="Palatino Linotype"/>
          <w:b/>
        </w:rPr>
        <w:t>1. Solicitud de acceso a la información.</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quince de enero de dos mil veinticinco,</w:t>
      </w:r>
      <w:r w:rsidRPr="00E06C32">
        <w:rPr>
          <w:rFonts w:ascii="Palatino Linotype" w:eastAsia="Palatino Linotype" w:hAnsi="Palatino Linotype" w:cs="Palatino Linotype"/>
        </w:rPr>
        <w:t xml:space="preserve">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 xml:space="preserve">presentó, a través del Sistema de Acceso a la Información Mexiquense, en lo subsecuente el </w:t>
      </w:r>
      <w:r w:rsidRPr="00E06C32">
        <w:rPr>
          <w:rFonts w:ascii="Palatino Linotype" w:eastAsia="Palatino Linotype" w:hAnsi="Palatino Linotype" w:cs="Palatino Linotype"/>
          <w:b/>
        </w:rPr>
        <w:t>SAIMEX,</w:t>
      </w:r>
      <w:r w:rsidRPr="00E06C32">
        <w:rPr>
          <w:rFonts w:ascii="Palatino Linotype" w:eastAsia="Palatino Linotype" w:hAnsi="Palatino Linotype" w:cs="Palatino Linotype"/>
        </w:rPr>
        <w:t xml:space="preserve"> ante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la solicitud de acceso a la información pública, mediante la cual requirió la información siguiente: </w:t>
      </w:r>
    </w:p>
    <w:p w14:paraId="6BBD29FA" w14:textId="77777777" w:rsidR="00DD7E50" w:rsidRPr="00E06C32" w:rsidRDefault="00806F94">
      <w:pPr>
        <w:spacing w:before="120" w:after="120"/>
        <w:ind w:left="851" w:right="902"/>
        <w:jc w:val="both"/>
        <w:rPr>
          <w:rFonts w:ascii="Palatino Linotype" w:eastAsia="Palatino Linotype" w:hAnsi="Palatino Linotype" w:cs="Palatino Linotype"/>
          <w:b/>
          <w:i/>
          <w:sz w:val="22"/>
          <w:szCs w:val="22"/>
        </w:rPr>
      </w:pPr>
      <w:bookmarkStart w:id="2" w:name="_heading=h.gjdgxs" w:colFirst="0" w:colLast="0"/>
      <w:bookmarkEnd w:id="2"/>
      <w:r w:rsidRPr="00E06C32">
        <w:rPr>
          <w:rFonts w:ascii="Palatino Linotype" w:eastAsia="Palatino Linotype" w:hAnsi="Palatino Linotype" w:cs="Palatino Linotype"/>
          <w:i/>
          <w:sz w:val="22"/>
          <w:szCs w:val="22"/>
        </w:rPr>
        <w:t xml:space="preserve"> “1.- solicito la </w:t>
      </w:r>
      <w:proofErr w:type="spellStart"/>
      <w:r w:rsidRPr="00E06C32">
        <w:rPr>
          <w:rFonts w:ascii="Palatino Linotype" w:eastAsia="Palatino Linotype" w:hAnsi="Palatino Linotype" w:cs="Palatino Linotype"/>
          <w:i/>
          <w:sz w:val="22"/>
          <w:szCs w:val="22"/>
        </w:rPr>
        <w:t>version</w:t>
      </w:r>
      <w:proofErr w:type="spellEnd"/>
      <w:r w:rsidRPr="00E06C32">
        <w:rPr>
          <w:rFonts w:ascii="Palatino Linotype" w:eastAsia="Palatino Linotype" w:hAnsi="Palatino Linotype" w:cs="Palatino Linotype"/>
          <w:i/>
          <w:sz w:val="22"/>
          <w:szCs w:val="22"/>
        </w:rPr>
        <w:t xml:space="preserve"> </w:t>
      </w:r>
      <w:proofErr w:type="gramStart"/>
      <w:r w:rsidRPr="00E06C32">
        <w:rPr>
          <w:rFonts w:ascii="Palatino Linotype" w:eastAsia="Palatino Linotype" w:hAnsi="Palatino Linotype" w:cs="Palatino Linotype"/>
          <w:i/>
          <w:sz w:val="22"/>
          <w:szCs w:val="22"/>
        </w:rPr>
        <w:t>publica</w:t>
      </w:r>
      <w:proofErr w:type="gramEnd"/>
      <w:r w:rsidRPr="00E06C32">
        <w:rPr>
          <w:rFonts w:ascii="Palatino Linotype" w:eastAsia="Palatino Linotype" w:hAnsi="Palatino Linotype" w:cs="Palatino Linotype"/>
          <w:i/>
          <w:sz w:val="22"/>
          <w:szCs w:val="22"/>
        </w:rPr>
        <w:t xml:space="preserve"> del </w:t>
      </w:r>
      <w:proofErr w:type="spellStart"/>
      <w:r w:rsidRPr="00E06C32">
        <w:rPr>
          <w:rFonts w:ascii="Palatino Linotype" w:eastAsia="Palatino Linotype" w:hAnsi="Palatino Linotype" w:cs="Palatino Linotype"/>
          <w:i/>
          <w:sz w:val="22"/>
          <w:szCs w:val="22"/>
        </w:rPr>
        <w:t>expdiente</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unico</w:t>
      </w:r>
      <w:proofErr w:type="spellEnd"/>
      <w:r w:rsidRPr="00E06C32">
        <w:rPr>
          <w:rFonts w:ascii="Palatino Linotype" w:eastAsia="Palatino Linotype" w:hAnsi="Palatino Linotype" w:cs="Palatino Linotype"/>
          <w:i/>
          <w:sz w:val="22"/>
          <w:szCs w:val="22"/>
        </w:rPr>
        <w:t xml:space="preserve"> de obra completo (incluido el expediente de </w:t>
      </w:r>
      <w:proofErr w:type="spellStart"/>
      <w:r w:rsidRPr="00E06C32">
        <w:rPr>
          <w:rFonts w:ascii="Palatino Linotype" w:eastAsia="Palatino Linotype" w:hAnsi="Palatino Linotype" w:cs="Palatino Linotype"/>
          <w:i/>
          <w:sz w:val="22"/>
          <w:szCs w:val="22"/>
        </w:rPr>
        <w:t>contratciòn</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como la </w:t>
      </w:r>
      <w:proofErr w:type="spellStart"/>
      <w:r w:rsidRPr="00E06C32">
        <w:rPr>
          <w:rFonts w:ascii="Palatino Linotype" w:eastAsia="Palatino Linotype" w:hAnsi="Palatino Linotype" w:cs="Palatino Linotype"/>
          <w:i/>
          <w:sz w:val="22"/>
          <w:szCs w:val="22"/>
        </w:rPr>
        <w:t>porpuesta</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tecnica</w:t>
      </w:r>
      <w:proofErr w:type="spellEnd"/>
      <w:r w:rsidRPr="00E06C32">
        <w:rPr>
          <w:rFonts w:ascii="Palatino Linotype" w:eastAsia="Palatino Linotype" w:hAnsi="Palatino Linotype" w:cs="Palatino Linotype"/>
          <w:i/>
          <w:sz w:val="22"/>
          <w:szCs w:val="22"/>
        </w:rPr>
        <w:t xml:space="preserve"> y </w:t>
      </w:r>
      <w:proofErr w:type="spellStart"/>
      <w:r w:rsidRPr="00E06C32">
        <w:rPr>
          <w:rFonts w:ascii="Palatino Linotype" w:eastAsia="Palatino Linotype" w:hAnsi="Palatino Linotype" w:cs="Palatino Linotype"/>
          <w:i/>
          <w:sz w:val="22"/>
          <w:szCs w:val="22"/>
        </w:rPr>
        <w:t>economica</w:t>
      </w:r>
      <w:proofErr w:type="spellEnd"/>
      <w:r w:rsidRPr="00E06C32">
        <w:rPr>
          <w:rFonts w:ascii="Palatino Linotype" w:eastAsia="Palatino Linotype" w:hAnsi="Palatino Linotype" w:cs="Palatino Linotype"/>
          <w:i/>
          <w:sz w:val="22"/>
          <w:szCs w:val="22"/>
        </w:rPr>
        <w:t xml:space="preserve">) de la obra del drenaje ubicado en la avenida </w:t>
      </w:r>
      <w:proofErr w:type="spellStart"/>
      <w:r w:rsidRPr="00E06C32">
        <w:rPr>
          <w:rFonts w:ascii="Palatino Linotype" w:eastAsia="Palatino Linotype" w:hAnsi="Palatino Linotype" w:cs="Palatino Linotype"/>
          <w:i/>
          <w:sz w:val="22"/>
          <w:szCs w:val="22"/>
        </w:rPr>
        <w:t>hermilo</w:t>
      </w:r>
      <w:proofErr w:type="spellEnd"/>
      <w:r w:rsidRPr="00E06C32">
        <w:rPr>
          <w:rFonts w:ascii="Palatino Linotype" w:eastAsia="Palatino Linotype" w:hAnsi="Palatino Linotype" w:cs="Palatino Linotype"/>
          <w:i/>
          <w:sz w:val="22"/>
          <w:szCs w:val="22"/>
        </w:rPr>
        <w:t xml:space="preserve"> mena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como los permisos y documentos con las instancias de los </w:t>
      </w:r>
      <w:proofErr w:type="spellStart"/>
      <w:r w:rsidRPr="00E06C32">
        <w:rPr>
          <w:rFonts w:ascii="Palatino Linotype" w:eastAsia="Palatino Linotype" w:hAnsi="Palatino Linotype" w:cs="Palatino Linotype"/>
          <w:i/>
          <w:sz w:val="22"/>
          <w:szCs w:val="22"/>
        </w:rPr>
        <w:t>gobineros</w:t>
      </w:r>
      <w:proofErr w:type="spellEnd"/>
      <w:r w:rsidRPr="00E06C32">
        <w:rPr>
          <w:rFonts w:ascii="Palatino Linotype" w:eastAsia="Palatino Linotype" w:hAnsi="Palatino Linotype" w:cs="Palatino Linotype"/>
          <w:i/>
          <w:sz w:val="22"/>
          <w:szCs w:val="22"/>
        </w:rPr>
        <w:t xml:space="preserve"> estatales y federales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como de la empresa privada donde se </w:t>
      </w:r>
      <w:proofErr w:type="spellStart"/>
      <w:r w:rsidRPr="00E06C32">
        <w:rPr>
          <w:rFonts w:ascii="Palatino Linotype" w:eastAsia="Palatino Linotype" w:hAnsi="Palatino Linotype" w:cs="Palatino Linotype"/>
          <w:i/>
          <w:sz w:val="22"/>
          <w:szCs w:val="22"/>
        </w:rPr>
        <w:t>relaian</w:t>
      </w:r>
      <w:proofErr w:type="spellEnd"/>
      <w:r w:rsidRPr="00E06C32">
        <w:rPr>
          <w:rFonts w:ascii="Palatino Linotype" w:eastAsia="Palatino Linotype" w:hAnsi="Palatino Linotype" w:cs="Palatino Linotype"/>
          <w:i/>
          <w:sz w:val="22"/>
          <w:szCs w:val="22"/>
        </w:rPr>
        <w:t xml:space="preserve"> los trabajos, y que obren en los archivos de la </w:t>
      </w:r>
      <w:proofErr w:type="spellStart"/>
      <w:r w:rsidRPr="00E06C32">
        <w:rPr>
          <w:rFonts w:ascii="Palatino Linotype" w:eastAsia="Palatino Linotype" w:hAnsi="Palatino Linotype" w:cs="Palatino Linotype"/>
          <w:i/>
          <w:sz w:val="22"/>
          <w:szCs w:val="22"/>
        </w:rPr>
        <w:t>direccion</w:t>
      </w:r>
      <w:proofErr w:type="spellEnd"/>
      <w:r w:rsidRPr="00E06C32">
        <w:rPr>
          <w:rFonts w:ascii="Palatino Linotype" w:eastAsia="Palatino Linotype" w:hAnsi="Palatino Linotype" w:cs="Palatino Linotype"/>
          <w:i/>
          <w:sz w:val="22"/>
          <w:szCs w:val="22"/>
        </w:rPr>
        <w:t xml:space="preserve"> de obra </w:t>
      </w:r>
      <w:proofErr w:type="spellStart"/>
      <w:r w:rsidRPr="00E06C32">
        <w:rPr>
          <w:rFonts w:ascii="Palatino Linotype" w:eastAsia="Palatino Linotype" w:hAnsi="Palatino Linotype" w:cs="Palatino Linotype"/>
          <w:i/>
          <w:sz w:val="22"/>
          <w:szCs w:val="22"/>
        </w:rPr>
        <w:t>pùblicas</w:t>
      </w:r>
      <w:proofErr w:type="spellEnd"/>
      <w:r w:rsidRPr="00E06C32">
        <w:rPr>
          <w:rFonts w:ascii="Palatino Linotype" w:eastAsia="Palatino Linotype" w:hAnsi="Palatino Linotype" w:cs="Palatino Linotype"/>
          <w:i/>
          <w:sz w:val="22"/>
          <w:szCs w:val="22"/>
        </w:rPr>
        <w:t xml:space="preserve"> o su equivalente, relacionado con la </w:t>
      </w:r>
      <w:proofErr w:type="spellStart"/>
      <w:r w:rsidRPr="00E06C32">
        <w:rPr>
          <w:rFonts w:ascii="Palatino Linotype" w:eastAsia="Palatino Linotype" w:hAnsi="Palatino Linotype" w:cs="Palatino Linotype"/>
          <w:i/>
          <w:sz w:val="22"/>
          <w:szCs w:val="22"/>
        </w:rPr>
        <w:t>ejecuciòn</w:t>
      </w:r>
      <w:proofErr w:type="spellEnd"/>
      <w:r w:rsidRPr="00E06C32">
        <w:rPr>
          <w:rFonts w:ascii="Palatino Linotype" w:eastAsia="Palatino Linotype" w:hAnsi="Palatino Linotype" w:cs="Palatino Linotype"/>
          <w:i/>
          <w:sz w:val="22"/>
          <w:szCs w:val="22"/>
        </w:rPr>
        <w:t xml:space="preserve"> de lo obra </w:t>
      </w:r>
      <w:proofErr w:type="spellStart"/>
      <w:r w:rsidRPr="00E06C32">
        <w:rPr>
          <w:rFonts w:ascii="Palatino Linotype" w:eastAsia="Palatino Linotype" w:hAnsi="Palatino Linotype" w:cs="Palatino Linotype"/>
          <w:i/>
          <w:sz w:val="22"/>
          <w:szCs w:val="22"/>
        </w:rPr>
        <w:t>publica</w:t>
      </w:r>
      <w:proofErr w:type="spellEnd"/>
      <w:r w:rsidRPr="00E06C32">
        <w:rPr>
          <w:rFonts w:ascii="Palatino Linotype" w:eastAsia="Palatino Linotype" w:hAnsi="Palatino Linotype" w:cs="Palatino Linotype"/>
          <w:i/>
          <w:sz w:val="22"/>
          <w:szCs w:val="22"/>
        </w:rPr>
        <w:t xml:space="preserve">. 2.- solicito todas las actas de entrega </w:t>
      </w:r>
      <w:proofErr w:type="spellStart"/>
      <w:r w:rsidRPr="00E06C32">
        <w:rPr>
          <w:rFonts w:ascii="Palatino Linotype" w:eastAsia="Palatino Linotype" w:hAnsi="Palatino Linotype" w:cs="Palatino Linotype"/>
          <w:i/>
          <w:sz w:val="22"/>
          <w:szCs w:val="22"/>
        </w:rPr>
        <w:t>recepcion</w:t>
      </w:r>
      <w:proofErr w:type="spellEnd"/>
      <w:r w:rsidRPr="00E06C32">
        <w:rPr>
          <w:rFonts w:ascii="Palatino Linotype" w:eastAsia="Palatino Linotype" w:hAnsi="Palatino Linotype" w:cs="Palatino Linotype"/>
          <w:i/>
          <w:sz w:val="22"/>
          <w:szCs w:val="22"/>
        </w:rPr>
        <w:t xml:space="preserve"> de las obras publicas o de sus contratos del año 2024,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como la caratula de la </w:t>
      </w:r>
      <w:proofErr w:type="spellStart"/>
      <w:r w:rsidRPr="00E06C32">
        <w:rPr>
          <w:rFonts w:ascii="Palatino Linotype" w:eastAsia="Palatino Linotype" w:hAnsi="Palatino Linotype" w:cs="Palatino Linotype"/>
          <w:i/>
          <w:sz w:val="22"/>
          <w:szCs w:val="22"/>
        </w:rPr>
        <w:t>estimacion</w:t>
      </w:r>
      <w:proofErr w:type="spellEnd"/>
      <w:r w:rsidRPr="00E06C32">
        <w:rPr>
          <w:rFonts w:ascii="Palatino Linotype" w:eastAsia="Palatino Linotype" w:hAnsi="Palatino Linotype" w:cs="Palatino Linotype"/>
          <w:i/>
          <w:sz w:val="22"/>
          <w:szCs w:val="22"/>
        </w:rPr>
        <w:t xml:space="preserve"> finiquito de cada contrato u obra. 3.- solicito el </w:t>
      </w:r>
      <w:proofErr w:type="spellStart"/>
      <w:r w:rsidRPr="00E06C32">
        <w:rPr>
          <w:rFonts w:ascii="Palatino Linotype" w:eastAsia="Palatino Linotype" w:hAnsi="Palatino Linotype" w:cs="Palatino Linotype"/>
          <w:i/>
          <w:sz w:val="22"/>
          <w:szCs w:val="22"/>
        </w:rPr>
        <w:t>curriculum</w:t>
      </w:r>
      <w:proofErr w:type="spellEnd"/>
      <w:r w:rsidRPr="00E06C32">
        <w:rPr>
          <w:rFonts w:ascii="Palatino Linotype" w:eastAsia="Palatino Linotype" w:hAnsi="Palatino Linotype" w:cs="Palatino Linotype"/>
          <w:i/>
          <w:sz w:val="22"/>
          <w:szCs w:val="22"/>
        </w:rPr>
        <w:t xml:space="preserve">, nombramiento, y </w:t>
      </w:r>
      <w:proofErr w:type="spellStart"/>
      <w:r w:rsidRPr="00E06C32">
        <w:rPr>
          <w:rFonts w:ascii="Palatino Linotype" w:eastAsia="Palatino Linotype" w:hAnsi="Palatino Linotype" w:cs="Palatino Linotype"/>
          <w:i/>
          <w:sz w:val="22"/>
          <w:szCs w:val="22"/>
        </w:rPr>
        <w:t>certifcacion</w:t>
      </w:r>
      <w:proofErr w:type="spellEnd"/>
      <w:r w:rsidRPr="00E06C32">
        <w:rPr>
          <w:rFonts w:ascii="Palatino Linotype" w:eastAsia="Palatino Linotype" w:hAnsi="Palatino Linotype" w:cs="Palatino Linotype"/>
          <w:i/>
          <w:sz w:val="22"/>
          <w:szCs w:val="22"/>
        </w:rPr>
        <w:t xml:space="preserve"> de competencia laboral de cada uno de los integrantes de la </w:t>
      </w:r>
      <w:proofErr w:type="spellStart"/>
      <w:r w:rsidRPr="00E06C32">
        <w:rPr>
          <w:rFonts w:ascii="Palatino Linotype" w:eastAsia="Palatino Linotype" w:hAnsi="Palatino Linotype" w:cs="Palatino Linotype"/>
          <w:i/>
          <w:sz w:val="22"/>
          <w:szCs w:val="22"/>
        </w:rPr>
        <w:t>direcciòn</w:t>
      </w:r>
      <w:proofErr w:type="spellEnd"/>
      <w:r w:rsidRPr="00E06C32">
        <w:rPr>
          <w:rFonts w:ascii="Palatino Linotype" w:eastAsia="Palatino Linotype" w:hAnsi="Palatino Linotype" w:cs="Palatino Linotype"/>
          <w:i/>
          <w:sz w:val="22"/>
          <w:szCs w:val="22"/>
        </w:rPr>
        <w:t xml:space="preserve"> de obras </w:t>
      </w:r>
      <w:proofErr w:type="spellStart"/>
      <w:r w:rsidRPr="00E06C32">
        <w:rPr>
          <w:rFonts w:ascii="Palatino Linotype" w:eastAsia="Palatino Linotype" w:hAnsi="Palatino Linotype" w:cs="Palatino Linotype"/>
          <w:i/>
          <w:sz w:val="22"/>
          <w:szCs w:val="22"/>
        </w:rPr>
        <w:t>pùblicas</w:t>
      </w:r>
      <w:proofErr w:type="spellEnd"/>
      <w:r w:rsidRPr="00E06C32">
        <w:rPr>
          <w:rFonts w:ascii="Palatino Linotype" w:eastAsia="Palatino Linotype" w:hAnsi="Palatino Linotype" w:cs="Palatino Linotype"/>
          <w:i/>
          <w:sz w:val="22"/>
          <w:szCs w:val="22"/>
        </w:rPr>
        <w:t xml:space="preserve"> o su equivalente, con el cual se acredite la experiencia profesional para </w:t>
      </w:r>
      <w:r w:rsidRPr="00E06C32">
        <w:rPr>
          <w:rFonts w:ascii="Palatino Linotype" w:eastAsia="Palatino Linotype" w:hAnsi="Palatino Linotype" w:cs="Palatino Linotype"/>
          <w:i/>
          <w:sz w:val="22"/>
          <w:szCs w:val="22"/>
        </w:rPr>
        <w:lastRenderedPageBreak/>
        <w:t xml:space="preserve">ocupar el cargo de cada uno de los servidores </w:t>
      </w:r>
      <w:proofErr w:type="spellStart"/>
      <w:r w:rsidRPr="00E06C32">
        <w:rPr>
          <w:rFonts w:ascii="Palatino Linotype" w:eastAsia="Palatino Linotype" w:hAnsi="Palatino Linotype" w:cs="Palatino Linotype"/>
          <w:i/>
          <w:sz w:val="22"/>
          <w:szCs w:val="22"/>
        </w:rPr>
        <w:t>pùblicos</w:t>
      </w:r>
      <w:proofErr w:type="spellEnd"/>
      <w:r w:rsidRPr="00E06C32">
        <w:rPr>
          <w:rFonts w:ascii="Palatino Linotype" w:eastAsia="Palatino Linotype" w:hAnsi="Palatino Linotype" w:cs="Palatino Linotype"/>
          <w:i/>
          <w:sz w:val="22"/>
          <w:szCs w:val="22"/>
        </w:rPr>
        <w:t xml:space="preserve"> adscritos a la estructura de dicha </w:t>
      </w:r>
      <w:proofErr w:type="spellStart"/>
      <w:r w:rsidRPr="00E06C32">
        <w:rPr>
          <w:rFonts w:ascii="Palatino Linotype" w:eastAsia="Palatino Linotype" w:hAnsi="Palatino Linotype" w:cs="Palatino Linotype"/>
          <w:i/>
          <w:sz w:val="22"/>
          <w:szCs w:val="22"/>
        </w:rPr>
        <w:t>direcciòn</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como el recibo de </w:t>
      </w:r>
      <w:proofErr w:type="spellStart"/>
      <w:r w:rsidRPr="00E06C32">
        <w:rPr>
          <w:rFonts w:ascii="Palatino Linotype" w:eastAsia="Palatino Linotype" w:hAnsi="Palatino Linotype" w:cs="Palatino Linotype"/>
          <w:i/>
          <w:sz w:val="22"/>
          <w:szCs w:val="22"/>
        </w:rPr>
        <w:t>nomina</w:t>
      </w:r>
      <w:proofErr w:type="spellEnd"/>
      <w:r w:rsidRPr="00E06C32">
        <w:rPr>
          <w:rFonts w:ascii="Palatino Linotype" w:eastAsia="Palatino Linotype" w:hAnsi="Palatino Linotype" w:cs="Palatino Linotype"/>
          <w:i/>
          <w:sz w:val="22"/>
          <w:szCs w:val="22"/>
        </w:rPr>
        <w:t xml:space="preserve"> a la primera quince y sus percepciones </w:t>
      </w:r>
      <w:proofErr w:type="spellStart"/>
      <w:r w:rsidRPr="00E06C32">
        <w:rPr>
          <w:rFonts w:ascii="Palatino Linotype" w:eastAsia="Palatino Linotype" w:hAnsi="Palatino Linotype" w:cs="Palatino Linotype"/>
          <w:i/>
          <w:sz w:val="22"/>
          <w:szCs w:val="22"/>
        </w:rPr>
        <w:t>quincenasles</w:t>
      </w:r>
      <w:proofErr w:type="spellEnd"/>
      <w:r w:rsidRPr="00E06C32">
        <w:rPr>
          <w:rFonts w:ascii="Palatino Linotype" w:eastAsia="Palatino Linotype" w:hAnsi="Palatino Linotype" w:cs="Palatino Linotype"/>
          <w:i/>
          <w:sz w:val="22"/>
          <w:szCs w:val="22"/>
        </w:rPr>
        <w:t xml:space="preserve"> de cada uno de los integrantes de </w:t>
      </w:r>
      <w:proofErr w:type="spellStart"/>
      <w:r w:rsidRPr="00E06C32">
        <w:rPr>
          <w:rFonts w:ascii="Palatino Linotype" w:eastAsia="Palatino Linotype" w:hAnsi="Palatino Linotype" w:cs="Palatino Linotype"/>
          <w:i/>
          <w:sz w:val="22"/>
          <w:szCs w:val="22"/>
        </w:rPr>
        <w:t>idhca</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direccion</w:t>
      </w:r>
      <w:proofErr w:type="spellEnd"/>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w:t>
      </w:r>
      <w:r w:rsidRPr="00E06C32">
        <w:rPr>
          <w:rFonts w:ascii="Palatino Linotype" w:eastAsia="Palatino Linotype" w:hAnsi="Palatino Linotype" w:cs="Palatino Linotype"/>
          <w:i/>
          <w:sz w:val="22"/>
          <w:szCs w:val="22"/>
        </w:rPr>
        <w:t xml:space="preserve"> (sic) </w:t>
      </w:r>
    </w:p>
    <w:p w14:paraId="53005CD9"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E06C32">
        <w:rPr>
          <w:rFonts w:ascii="Palatino Linotype" w:eastAsia="Palatino Linotype" w:hAnsi="Palatino Linotype" w:cs="Palatino Linotype"/>
          <w:b/>
        </w:rPr>
        <w:t>Modalidad de Entrega:</w:t>
      </w:r>
      <w:r w:rsidRPr="00E06C32">
        <w:rPr>
          <w:rFonts w:ascii="Palatino Linotype" w:eastAsia="Palatino Linotype" w:hAnsi="Palatino Linotype" w:cs="Palatino Linotype"/>
        </w:rPr>
        <w:t xml:space="preserve"> a través del</w:t>
      </w:r>
      <w:r w:rsidRPr="00E06C32">
        <w:rPr>
          <w:rFonts w:ascii="Palatino Linotype" w:eastAsia="Palatino Linotype" w:hAnsi="Palatino Linotype" w:cs="Palatino Linotype"/>
          <w:b/>
        </w:rPr>
        <w:t xml:space="preserve"> SAIMEX.</w:t>
      </w:r>
    </w:p>
    <w:p w14:paraId="4FF6C294"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 xml:space="preserve">2. Incompetencia Parcial. </w:t>
      </w: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 xml:space="preserve">diecisiete de enero de dos mil veinticinco, </w:t>
      </w: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notificó a la persona solicitante la incompetencia parcial para atender la solicitud de información, en los siguientes términos:</w:t>
      </w:r>
    </w:p>
    <w:p w14:paraId="48938820" w14:textId="77777777" w:rsidR="00DD7E50" w:rsidRPr="00E06C32" w:rsidRDefault="00806F94">
      <w:pPr>
        <w:spacing w:before="240" w:after="240" w:line="360" w:lineRule="auto"/>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“Se notifica acuerdo de incompetencia parcial” (sic)</w:t>
      </w:r>
    </w:p>
    <w:p w14:paraId="5ED9FDBA"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adjuntó</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el oficio UTAIM/0078/2025, del dieciséis de enero de dos mil veinticinco, mediante el cual la titular de la Unidad de Transparencia notifica la incompetencia del ayuntamiento para atender la solicitud respecto al punto 1 de la solicitud, en términos del artículo 167 de la Ley de Transparencia y Acceso a la Información Pública del Estado de México y Municipios, al corresponder con un Sujeto Obligado diverso, siendo el Organismo Público Descentralizado para la Prestación de los Servicios de Agua Potable, Alcantarillado y Saneamiento del Municipio de Tlalnepantla de Baz, por lo que sugiere a la persona solicitante presentar la solicitud ante dicho Organismo.</w:t>
      </w:r>
    </w:p>
    <w:p w14:paraId="6BE7BB0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Por lo que se refiere a los puntos 2 y 3, manifestó que iniciaría el procedimiento de atención a la solicitud, en el ámbito de sus competencias, notificándose la respuesta dentro de los plazos establecidos en la normatividad en la materia.</w:t>
      </w:r>
    </w:p>
    <w:p w14:paraId="34001D45"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 </w:t>
      </w:r>
      <w:r w:rsidRPr="00E06C32">
        <w:rPr>
          <w:rFonts w:ascii="Palatino Linotype" w:eastAsia="Palatino Linotype" w:hAnsi="Palatino Linotype" w:cs="Palatino Linotype"/>
          <w:b/>
        </w:rPr>
        <w:t xml:space="preserve">3. Respuesta. </w:t>
      </w: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seis de febrero de dos mil veinticinco,</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36FAC6C" w14:textId="77777777" w:rsidR="00DD7E50" w:rsidRPr="00E06C32" w:rsidRDefault="00806F94">
      <w:pPr>
        <w:spacing w:before="240" w:after="24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“…AQUIEN </w:t>
      </w:r>
      <w:proofErr w:type="gramStart"/>
      <w:r w:rsidRPr="00E06C32">
        <w:rPr>
          <w:rFonts w:ascii="Palatino Linotype" w:eastAsia="Palatino Linotype" w:hAnsi="Palatino Linotype" w:cs="Palatino Linotype"/>
          <w:i/>
          <w:sz w:val="22"/>
          <w:szCs w:val="22"/>
        </w:rPr>
        <w:t>CORRESPONDA .</w:t>
      </w:r>
      <w:proofErr w:type="gramEnd"/>
      <w:r w:rsidRPr="00E06C32">
        <w:rPr>
          <w:rFonts w:ascii="Palatino Linotype" w:eastAsia="Palatino Linotype" w:hAnsi="Palatino Linotype" w:cs="Palatino Linotype"/>
          <w:i/>
          <w:sz w:val="22"/>
          <w:szCs w:val="22"/>
        </w:rPr>
        <w:t xml:space="preserve"> P R E S E N T E. 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(sic)</w:t>
      </w:r>
    </w:p>
    <w:p w14:paraId="6E36623B"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hizo entrega de lo siguiente: </w:t>
      </w:r>
    </w:p>
    <w:p w14:paraId="376357B6"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Oficio número TLA/DIU/CJ/011/2025, del seis de febrero de dos mil veinticinco, mediante el cual el servidor público habilitado de la Dirección de Infraestructura Urbana, manifestó que el peso de la información solicitada es de aproximadamente 3.90 GB, mismo que sobrepasa las capacidades técnicas del Sistema de Acceso a la Información Mexiquense, razón por la cual se solicitó al Comité de Transparencia el cambio de modalidad en la entrega de la información, como se sustenta con el ACUERDO DE CAMBIO DE MODALIDAD NÚMERO 15/CT/05-ORD/2025, aprobado en la Quinta Sesión Ordinaria del Comité de Transparencia.</w:t>
      </w:r>
    </w:p>
    <w:p w14:paraId="7928B8B5"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ACUERDO DE CAMBIO DE MODALIDAD NÚMERO 15/CT/05-ORD/2025, de la Quinta Sesión Ordinaria del Comité de Transparencia, mediante se aprobó el cambio de modalidad en la entrega de la información, a solicitud de la Dirección Municipal de Infraestructura Urbana, con la finalidad de dar contestación a la solicitud 00043/TLALNEPA/IP/2025.</w:t>
      </w:r>
    </w:p>
    <w:p w14:paraId="2A42DE8F"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ACUERDO DE CLASIFICACIÓN 04/CT/05-ORD/2025, de la Quinta Sesión Ordinaria del Comité de Transparencia, aprobó la clasificación parcial de la información referente al RFC, CURP, clave ISSEMyM, código QR, domicilio, descuentos personales, y la versión pública del Comprobante Fiscal Digital por Internet de la primera quincena de enero de 2024, correspondiente al entonces Director de Obras Públicas, como información confidencial, a solicitud de la Oficialía Mayor Municipal, con la finalidad de dar contestación a la solicitud 00043/TLALNEPA/IP/2025.</w:t>
      </w:r>
    </w:p>
    <w:p w14:paraId="6260CF84"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b/>
        </w:rPr>
        <w:t xml:space="preserve">4. Interposición del recurso de revisión. </w:t>
      </w:r>
      <w:r w:rsidRPr="00E06C32">
        <w:rPr>
          <w:rFonts w:ascii="Palatino Linotype" w:eastAsia="Palatino Linotype" w:hAnsi="Palatino Linotype" w:cs="Palatino Linotype"/>
        </w:rPr>
        <w:t xml:space="preserve">Inconforme con los términos de la respuesta emitida por parte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 xml:space="preserve">siete de febrero de dos mil veinticinco, </w:t>
      </w:r>
      <w:r w:rsidRPr="00E06C32">
        <w:rPr>
          <w:rFonts w:ascii="Palatino Linotype" w:eastAsia="Palatino Linotype" w:hAnsi="Palatino Linotype" w:cs="Palatino Linotype"/>
        </w:rPr>
        <w:t xml:space="preserve">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interpuso el recurso de revisión a través de </w:t>
      </w:r>
      <w:r w:rsidRPr="00E06C32">
        <w:rPr>
          <w:rFonts w:ascii="Palatino Linotype" w:eastAsia="Palatino Linotype" w:hAnsi="Palatino Linotype" w:cs="Palatino Linotype"/>
          <w:b/>
        </w:rPr>
        <w:t xml:space="preserve">SAIMEX, </w:t>
      </w:r>
      <w:r w:rsidRPr="00E06C32">
        <w:rPr>
          <w:rFonts w:ascii="Palatino Linotype" w:eastAsia="Palatino Linotype" w:hAnsi="Palatino Linotype" w:cs="Palatino Linotype"/>
        </w:rPr>
        <w:t>en donde se manifestó de la siguiente manera:</w:t>
      </w:r>
    </w:p>
    <w:p w14:paraId="3705E44E" w14:textId="77777777" w:rsidR="00DD7E50" w:rsidRPr="00E06C32" w:rsidRDefault="00806F94">
      <w:pPr>
        <w:tabs>
          <w:tab w:val="left" w:pos="2745"/>
        </w:tabs>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 xml:space="preserve">Acto impugnado: </w:t>
      </w:r>
    </w:p>
    <w:p w14:paraId="781446A5" w14:textId="77777777" w:rsidR="00DD7E50" w:rsidRPr="00E06C32" w:rsidRDefault="00806F94">
      <w:pPr>
        <w:tabs>
          <w:tab w:val="left" w:pos="2745"/>
        </w:tabs>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“la falta de transparencia y </w:t>
      </w:r>
      <w:proofErr w:type="spellStart"/>
      <w:r w:rsidRPr="00E06C32">
        <w:rPr>
          <w:rFonts w:ascii="Palatino Linotype" w:eastAsia="Palatino Linotype" w:hAnsi="Palatino Linotype" w:cs="Palatino Linotype"/>
          <w:i/>
          <w:sz w:val="22"/>
          <w:szCs w:val="22"/>
        </w:rPr>
        <w:t>rendicion</w:t>
      </w:r>
      <w:proofErr w:type="spellEnd"/>
      <w:r w:rsidRPr="00E06C32">
        <w:rPr>
          <w:rFonts w:ascii="Palatino Linotype" w:eastAsia="Palatino Linotype" w:hAnsi="Palatino Linotype" w:cs="Palatino Linotype"/>
          <w:i/>
          <w:sz w:val="22"/>
          <w:szCs w:val="22"/>
        </w:rPr>
        <w:t xml:space="preserve"> de cuentas de este gobierno </w:t>
      </w:r>
      <w:proofErr w:type="spellStart"/>
      <w:r w:rsidRPr="00E06C32">
        <w:rPr>
          <w:rFonts w:ascii="Palatino Linotype" w:eastAsia="Palatino Linotype" w:hAnsi="Palatino Linotype" w:cs="Palatino Linotype"/>
          <w:i/>
          <w:sz w:val="22"/>
          <w:szCs w:val="22"/>
        </w:rPr>
        <w:t>muniicpal</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negandose</w:t>
      </w:r>
      <w:proofErr w:type="spellEnd"/>
      <w:r w:rsidRPr="00E06C32">
        <w:rPr>
          <w:rFonts w:ascii="Palatino Linotype" w:eastAsia="Palatino Linotype" w:hAnsi="Palatino Linotype" w:cs="Palatino Linotype"/>
          <w:i/>
          <w:sz w:val="22"/>
          <w:szCs w:val="22"/>
        </w:rPr>
        <w:t xml:space="preserve"> a entregar la </w:t>
      </w:r>
      <w:proofErr w:type="spellStart"/>
      <w:r w:rsidRPr="00E06C32">
        <w:rPr>
          <w:rFonts w:ascii="Palatino Linotype" w:eastAsia="Palatino Linotype" w:hAnsi="Palatino Linotype" w:cs="Palatino Linotype"/>
          <w:i/>
          <w:sz w:val="22"/>
          <w:szCs w:val="22"/>
        </w:rPr>
        <w:t>informacion</w:t>
      </w:r>
      <w:proofErr w:type="spellEnd"/>
      <w:r w:rsidRPr="00E06C32">
        <w:rPr>
          <w:rFonts w:ascii="Palatino Linotype" w:eastAsia="Palatino Linotype" w:hAnsi="Palatino Linotype" w:cs="Palatino Linotype"/>
          <w:i/>
          <w:sz w:val="22"/>
          <w:szCs w:val="22"/>
        </w:rPr>
        <w:t xml:space="preserve"> publica, sin fundamento y motivos, carentes de sustento legal alguno, es por ello que solicito al Instituto se de vista a la </w:t>
      </w:r>
      <w:proofErr w:type="spellStart"/>
      <w:r w:rsidRPr="00E06C32">
        <w:rPr>
          <w:rFonts w:ascii="Palatino Linotype" w:eastAsia="Palatino Linotype" w:hAnsi="Palatino Linotype" w:cs="Palatino Linotype"/>
          <w:i/>
          <w:sz w:val="22"/>
          <w:szCs w:val="22"/>
        </w:rPr>
        <w:t>Contraloria</w:t>
      </w:r>
      <w:proofErr w:type="spellEnd"/>
      <w:r w:rsidRPr="00E06C32">
        <w:rPr>
          <w:rFonts w:ascii="Palatino Linotype" w:eastAsia="Palatino Linotype" w:hAnsi="Palatino Linotype" w:cs="Palatino Linotype"/>
          <w:i/>
          <w:sz w:val="22"/>
          <w:szCs w:val="22"/>
        </w:rPr>
        <w:t xml:space="preserve"> Interna del </w:t>
      </w:r>
      <w:proofErr w:type="spellStart"/>
      <w:r w:rsidRPr="00E06C32">
        <w:rPr>
          <w:rFonts w:ascii="Palatino Linotype" w:eastAsia="Palatino Linotype" w:hAnsi="Palatino Linotype" w:cs="Palatino Linotype"/>
          <w:i/>
          <w:sz w:val="22"/>
          <w:szCs w:val="22"/>
        </w:rPr>
        <w:t>Instiuto</w:t>
      </w:r>
      <w:proofErr w:type="spellEnd"/>
      <w:r w:rsidRPr="00E06C32">
        <w:rPr>
          <w:rFonts w:ascii="Palatino Linotype" w:eastAsia="Palatino Linotype" w:hAnsi="Palatino Linotype" w:cs="Palatino Linotype"/>
          <w:i/>
          <w:sz w:val="22"/>
          <w:szCs w:val="22"/>
        </w:rPr>
        <w:t xml:space="preserve"> de Transparencia Estatal para que se conmine a la entrega de </w:t>
      </w:r>
      <w:proofErr w:type="spellStart"/>
      <w:r w:rsidRPr="00E06C32">
        <w:rPr>
          <w:rFonts w:ascii="Palatino Linotype" w:eastAsia="Palatino Linotype" w:hAnsi="Palatino Linotype" w:cs="Palatino Linotype"/>
          <w:i/>
          <w:sz w:val="22"/>
          <w:szCs w:val="22"/>
        </w:rPr>
        <w:t>informacion</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mimso</w:t>
      </w:r>
      <w:proofErr w:type="spellEnd"/>
      <w:r w:rsidRPr="00E06C32">
        <w:rPr>
          <w:rFonts w:ascii="Palatino Linotype" w:eastAsia="Palatino Linotype" w:hAnsi="Palatino Linotype" w:cs="Palatino Linotype"/>
          <w:i/>
          <w:sz w:val="22"/>
          <w:szCs w:val="22"/>
        </w:rPr>
        <w:t xml:space="preserve"> se acredite la personalidad del servidor </w:t>
      </w:r>
      <w:proofErr w:type="spellStart"/>
      <w:r w:rsidRPr="00E06C32">
        <w:rPr>
          <w:rFonts w:ascii="Palatino Linotype" w:eastAsia="Palatino Linotype" w:hAnsi="Palatino Linotype" w:cs="Palatino Linotype"/>
          <w:i/>
          <w:sz w:val="22"/>
          <w:szCs w:val="22"/>
        </w:rPr>
        <w:t>publico</w:t>
      </w:r>
      <w:proofErr w:type="spellEnd"/>
      <w:r w:rsidRPr="00E06C32">
        <w:rPr>
          <w:rFonts w:ascii="Palatino Linotype" w:eastAsia="Palatino Linotype" w:hAnsi="Palatino Linotype" w:cs="Palatino Linotype"/>
          <w:i/>
          <w:sz w:val="22"/>
          <w:szCs w:val="22"/>
        </w:rPr>
        <w:t xml:space="preserve"> habilitado.” (sic)</w:t>
      </w:r>
    </w:p>
    <w:p w14:paraId="3CE71EA1" w14:textId="77777777" w:rsidR="00DD7E50" w:rsidRPr="00E06C32" w:rsidRDefault="00806F94">
      <w:pPr>
        <w:spacing w:line="360" w:lineRule="auto"/>
        <w:jc w:val="both"/>
        <w:rPr>
          <w:rFonts w:ascii="Palatino Linotype" w:eastAsia="Palatino Linotype" w:hAnsi="Palatino Linotype" w:cs="Palatino Linotype"/>
        </w:rPr>
      </w:pPr>
      <w:bookmarkStart w:id="4" w:name="_heading=h.30j0zll" w:colFirst="0" w:colLast="0"/>
      <w:bookmarkEnd w:id="4"/>
      <w:r w:rsidRPr="00E06C32">
        <w:rPr>
          <w:rFonts w:ascii="Palatino Linotype" w:eastAsia="Palatino Linotype" w:hAnsi="Palatino Linotype" w:cs="Palatino Linotype"/>
          <w:b/>
        </w:rPr>
        <w:t>Y, Razones o motivos de inconformidad</w:t>
      </w:r>
      <w:r w:rsidRPr="00E06C32">
        <w:rPr>
          <w:rFonts w:ascii="Palatino Linotype" w:eastAsia="Palatino Linotype" w:hAnsi="Palatino Linotype" w:cs="Palatino Linotype"/>
        </w:rPr>
        <w:t>:</w:t>
      </w:r>
    </w:p>
    <w:p w14:paraId="098ED58B" w14:textId="77777777" w:rsidR="00DD7E50" w:rsidRPr="00E06C32" w:rsidRDefault="00806F94">
      <w:pPr>
        <w:tabs>
          <w:tab w:val="left" w:pos="2745"/>
        </w:tabs>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“la falta de transparencia y </w:t>
      </w:r>
      <w:proofErr w:type="spellStart"/>
      <w:r w:rsidRPr="00E06C32">
        <w:rPr>
          <w:rFonts w:ascii="Palatino Linotype" w:eastAsia="Palatino Linotype" w:hAnsi="Palatino Linotype" w:cs="Palatino Linotype"/>
          <w:i/>
          <w:sz w:val="22"/>
          <w:szCs w:val="22"/>
        </w:rPr>
        <w:t>rendicion</w:t>
      </w:r>
      <w:proofErr w:type="spellEnd"/>
      <w:r w:rsidRPr="00E06C32">
        <w:rPr>
          <w:rFonts w:ascii="Palatino Linotype" w:eastAsia="Palatino Linotype" w:hAnsi="Palatino Linotype" w:cs="Palatino Linotype"/>
          <w:i/>
          <w:sz w:val="22"/>
          <w:szCs w:val="22"/>
        </w:rPr>
        <w:t xml:space="preserve"> de cuentas de este gobierno </w:t>
      </w:r>
      <w:proofErr w:type="spellStart"/>
      <w:r w:rsidRPr="00E06C32">
        <w:rPr>
          <w:rFonts w:ascii="Palatino Linotype" w:eastAsia="Palatino Linotype" w:hAnsi="Palatino Linotype" w:cs="Palatino Linotype"/>
          <w:i/>
          <w:sz w:val="22"/>
          <w:szCs w:val="22"/>
        </w:rPr>
        <w:t>muniicpal</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negandose</w:t>
      </w:r>
      <w:proofErr w:type="spellEnd"/>
      <w:r w:rsidRPr="00E06C32">
        <w:rPr>
          <w:rFonts w:ascii="Palatino Linotype" w:eastAsia="Palatino Linotype" w:hAnsi="Palatino Linotype" w:cs="Palatino Linotype"/>
          <w:i/>
          <w:sz w:val="22"/>
          <w:szCs w:val="22"/>
        </w:rPr>
        <w:t xml:space="preserve"> a entregar la </w:t>
      </w:r>
      <w:proofErr w:type="spellStart"/>
      <w:r w:rsidRPr="00E06C32">
        <w:rPr>
          <w:rFonts w:ascii="Palatino Linotype" w:eastAsia="Palatino Linotype" w:hAnsi="Palatino Linotype" w:cs="Palatino Linotype"/>
          <w:i/>
          <w:sz w:val="22"/>
          <w:szCs w:val="22"/>
        </w:rPr>
        <w:t>informacion</w:t>
      </w:r>
      <w:proofErr w:type="spellEnd"/>
      <w:r w:rsidRPr="00E06C32">
        <w:rPr>
          <w:rFonts w:ascii="Palatino Linotype" w:eastAsia="Palatino Linotype" w:hAnsi="Palatino Linotype" w:cs="Palatino Linotype"/>
          <w:i/>
          <w:sz w:val="22"/>
          <w:szCs w:val="22"/>
        </w:rPr>
        <w:t xml:space="preserve"> publica, sin fundamento y motivos, carentes de sustento legal alguno, es por ello que solicito al Instituto se de vista a la </w:t>
      </w:r>
      <w:proofErr w:type="spellStart"/>
      <w:r w:rsidRPr="00E06C32">
        <w:rPr>
          <w:rFonts w:ascii="Palatino Linotype" w:eastAsia="Palatino Linotype" w:hAnsi="Palatino Linotype" w:cs="Palatino Linotype"/>
          <w:i/>
          <w:sz w:val="22"/>
          <w:szCs w:val="22"/>
        </w:rPr>
        <w:t>Contraloria</w:t>
      </w:r>
      <w:proofErr w:type="spellEnd"/>
      <w:r w:rsidRPr="00E06C32">
        <w:rPr>
          <w:rFonts w:ascii="Palatino Linotype" w:eastAsia="Palatino Linotype" w:hAnsi="Palatino Linotype" w:cs="Palatino Linotype"/>
          <w:i/>
          <w:sz w:val="22"/>
          <w:szCs w:val="22"/>
        </w:rPr>
        <w:t xml:space="preserve"> Interna del </w:t>
      </w:r>
      <w:proofErr w:type="spellStart"/>
      <w:r w:rsidRPr="00E06C32">
        <w:rPr>
          <w:rFonts w:ascii="Palatino Linotype" w:eastAsia="Palatino Linotype" w:hAnsi="Palatino Linotype" w:cs="Palatino Linotype"/>
          <w:i/>
          <w:sz w:val="22"/>
          <w:szCs w:val="22"/>
        </w:rPr>
        <w:t>Instiuto</w:t>
      </w:r>
      <w:proofErr w:type="spellEnd"/>
      <w:r w:rsidRPr="00E06C32">
        <w:rPr>
          <w:rFonts w:ascii="Palatino Linotype" w:eastAsia="Palatino Linotype" w:hAnsi="Palatino Linotype" w:cs="Palatino Linotype"/>
          <w:i/>
          <w:sz w:val="22"/>
          <w:szCs w:val="22"/>
        </w:rPr>
        <w:t xml:space="preserve"> de Transparencia Estatal para que se conmine a la entrega de </w:t>
      </w:r>
      <w:proofErr w:type="spellStart"/>
      <w:r w:rsidRPr="00E06C32">
        <w:rPr>
          <w:rFonts w:ascii="Palatino Linotype" w:eastAsia="Palatino Linotype" w:hAnsi="Palatino Linotype" w:cs="Palatino Linotype"/>
          <w:i/>
          <w:sz w:val="22"/>
          <w:szCs w:val="22"/>
        </w:rPr>
        <w:t>informacion</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asi</w:t>
      </w:r>
      <w:proofErr w:type="spellEnd"/>
      <w:r w:rsidRPr="00E06C32">
        <w:rPr>
          <w:rFonts w:ascii="Palatino Linotype" w:eastAsia="Palatino Linotype" w:hAnsi="Palatino Linotype" w:cs="Palatino Linotype"/>
          <w:i/>
          <w:sz w:val="22"/>
          <w:szCs w:val="22"/>
        </w:rPr>
        <w:t xml:space="preserve"> </w:t>
      </w:r>
      <w:proofErr w:type="spellStart"/>
      <w:r w:rsidRPr="00E06C32">
        <w:rPr>
          <w:rFonts w:ascii="Palatino Linotype" w:eastAsia="Palatino Linotype" w:hAnsi="Palatino Linotype" w:cs="Palatino Linotype"/>
          <w:i/>
          <w:sz w:val="22"/>
          <w:szCs w:val="22"/>
        </w:rPr>
        <w:t>mimso</w:t>
      </w:r>
      <w:proofErr w:type="spellEnd"/>
      <w:r w:rsidRPr="00E06C32">
        <w:rPr>
          <w:rFonts w:ascii="Palatino Linotype" w:eastAsia="Palatino Linotype" w:hAnsi="Palatino Linotype" w:cs="Palatino Linotype"/>
          <w:i/>
          <w:sz w:val="22"/>
          <w:szCs w:val="22"/>
        </w:rPr>
        <w:t xml:space="preserve"> se acredite la personalidad del servidor </w:t>
      </w:r>
      <w:proofErr w:type="spellStart"/>
      <w:r w:rsidRPr="00E06C32">
        <w:rPr>
          <w:rFonts w:ascii="Palatino Linotype" w:eastAsia="Palatino Linotype" w:hAnsi="Palatino Linotype" w:cs="Palatino Linotype"/>
          <w:i/>
          <w:sz w:val="22"/>
          <w:szCs w:val="22"/>
        </w:rPr>
        <w:t>publico</w:t>
      </w:r>
      <w:proofErr w:type="spellEnd"/>
      <w:r w:rsidRPr="00E06C32">
        <w:rPr>
          <w:rFonts w:ascii="Palatino Linotype" w:eastAsia="Palatino Linotype" w:hAnsi="Palatino Linotype" w:cs="Palatino Linotype"/>
          <w:i/>
          <w:sz w:val="22"/>
          <w:szCs w:val="22"/>
        </w:rPr>
        <w:t xml:space="preserve"> habilitado.” (sic)</w:t>
      </w:r>
    </w:p>
    <w:p w14:paraId="47A2DACF" w14:textId="77777777" w:rsidR="00DD7E50" w:rsidRPr="00E06C32" w:rsidRDefault="00806F94">
      <w:pPr>
        <w:spacing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lastRenderedPageBreak/>
        <w:t xml:space="preserve">5. Turno. </w:t>
      </w:r>
      <w:r w:rsidRPr="00E06C3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06C32">
        <w:rPr>
          <w:rFonts w:ascii="Palatino Linotype" w:eastAsia="Palatino Linotype" w:hAnsi="Palatino Linotype" w:cs="Palatino Linotype"/>
          <w:b/>
        </w:rPr>
        <w:t xml:space="preserve">Guadalupe Ramírez Peña, </w:t>
      </w:r>
      <w:r w:rsidRPr="00E06C32">
        <w:rPr>
          <w:rFonts w:ascii="Palatino Linotype" w:eastAsia="Palatino Linotype" w:hAnsi="Palatino Linotype" w:cs="Palatino Linotype"/>
        </w:rPr>
        <w:t xml:space="preserve">a efecto de que analizara sobre su admisión o su </w:t>
      </w:r>
      <w:proofErr w:type="spellStart"/>
      <w:r w:rsidRPr="00E06C32">
        <w:rPr>
          <w:rFonts w:ascii="Palatino Linotype" w:eastAsia="Palatino Linotype" w:hAnsi="Palatino Linotype" w:cs="Palatino Linotype"/>
        </w:rPr>
        <w:t>desechamiento</w:t>
      </w:r>
      <w:proofErr w:type="spellEnd"/>
      <w:r w:rsidRPr="00E06C32">
        <w:rPr>
          <w:rFonts w:ascii="Palatino Linotype" w:eastAsia="Palatino Linotype" w:hAnsi="Palatino Linotype" w:cs="Palatino Linotype"/>
        </w:rPr>
        <w:t>.</w:t>
      </w:r>
    </w:p>
    <w:p w14:paraId="4DB12292"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6. Admisión del Recurso de revisión.</w:t>
      </w:r>
      <w:r w:rsidRPr="00E06C32">
        <w:rPr>
          <w:rFonts w:ascii="Palatino Linotype" w:eastAsia="Palatino Linotype" w:hAnsi="Palatino Linotype" w:cs="Palatino Linotype"/>
        </w:rPr>
        <w:t xml:space="preserve"> El</w:t>
      </w:r>
      <w:r w:rsidRPr="00E06C32">
        <w:rPr>
          <w:rFonts w:ascii="Palatino Linotype" w:eastAsia="Palatino Linotype" w:hAnsi="Palatino Linotype" w:cs="Palatino Linotype"/>
          <w:b/>
        </w:rPr>
        <w:t xml:space="preserve"> doce de febrero de dos mil veinticinco, </w:t>
      </w:r>
      <w:r w:rsidRPr="00E06C3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presentara su informe justificado.</w:t>
      </w:r>
    </w:p>
    <w:p w14:paraId="1F88200B" w14:textId="77777777" w:rsidR="00DD7E50" w:rsidRPr="00E06C32" w:rsidRDefault="00806F94">
      <w:pPr>
        <w:spacing w:before="240" w:after="240" w:line="360" w:lineRule="auto"/>
        <w:ind w:right="49"/>
        <w:jc w:val="both"/>
        <w:rPr>
          <w:rFonts w:ascii="Palatino Linotype" w:eastAsia="Palatino Linotype" w:hAnsi="Palatino Linotype" w:cs="Palatino Linotype"/>
        </w:rPr>
      </w:pPr>
      <w:bookmarkStart w:id="5" w:name="_heading=h.2s8eyo1" w:colFirst="0" w:colLast="0"/>
      <w:bookmarkEnd w:id="5"/>
      <w:r w:rsidRPr="00E06C32">
        <w:rPr>
          <w:rFonts w:ascii="Palatino Linotype" w:eastAsia="Palatino Linotype" w:hAnsi="Palatino Linotype" w:cs="Palatino Linotype"/>
          <w:b/>
        </w:rPr>
        <w:t>7. Manifestaciones</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veinte de febrero de dos mil veinticinco</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remitió, a través del </w:t>
      </w:r>
      <w:r w:rsidRPr="00E06C32">
        <w:rPr>
          <w:rFonts w:ascii="Palatino Linotype" w:eastAsia="Palatino Linotype" w:hAnsi="Palatino Linotype" w:cs="Palatino Linotype"/>
          <w:b/>
        </w:rPr>
        <w:t>SAIMEX</w:t>
      </w:r>
      <w:r w:rsidRPr="00E06C32">
        <w:rPr>
          <w:rFonts w:ascii="Palatino Linotype" w:eastAsia="Palatino Linotype" w:hAnsi="Palatino Linotype" w:cs="Palatino Linotype"/>
        </w:rPr>
        <w:t xml:space="preserve">, el oficio TLA/DIU/0274/2025, del dieciocho de febrero de dos mil veinticinco, mediante el cual la Directora de Infraestructura Urbana, manifestó, en lo medular, que en ningún momento se negó la información solicitada, toda vez que se informó que el peso de la información para dar pleno cumplimiento a lo requerido por la plataforma SAIMEX, es aproximadamente de 3.90 GB, mismo que sobrepasa las capacidades del referido sistema, razón por la cual solicitó al Comité de Transparencia el cambio de modalidad en la entrega de la información, lo cual se sustenta con el ACUERDO DE CAMBIO DE MODALIDAD NÚMERO 15/CT/05-ORD/2025, aprobado en la Quinta Sesión Ordinaria del Comité </w:t>
      </w:r>
      <w:r w:rsidRPr="00E06C32">
        <w:rPr>
          <w:rFonts w:ascii="Palatino Linotype" w:eastAsia="Palatino Linotype" w:hAnsi="Palatino Linotype" w:cs="Palatino Linotype"/>
        </w:rPr>
        <w:lastRenderedPageBreak/>
        <w:t>de Transparencia, por lo que en el acto ratificó la respuesta proporcionada en primera instancia.</w:t>
      </w:r>
    </w:p>
    <w:p w14:paraId="44421A24"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Una vez analizada la información, con la finalidad de que manifestara lo que a su derecho estimara conveniente, se hizo del conocimiento de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sin embargo, fue omisa en ejercer dicha prerrogativa.</w:t>
      </w:r>
    </w:p>
    <w:p w14:paraId="36F1B03E"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8.</w:t>
      </w:r>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b/>
        </w:rPr>
        <w:t xml:space="preserve">Requerimiento de información adicional. </w:t>
      </w: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veinticinco de febrero de dos mil veinticinco</w:t>
      </w:r>
      <w:r w:rsidRPr="00E06C32">
        <w:rPr>
          <w:rFonts w:ascii="Palatino Linotype" w:eastAsia="Palatino Linotype" w:hAnsi="Palatino Linotype" w:cs="Palatino Linotype"/>
        </w:rPr>
        <w:t xml:space="preserve">, este Organismo Garante hizo un requerimiento de información adicional al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como consta en el apartado de manifestaciones del SAIMEX, el cual consistió en lo siguiente: </w:t>
      </w:r>
    </w:p>
    <w:p w14:paraId="71031A34"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w:t>
      </w:r>
      <w:r w:rsidRPr="00E06C32">
        <w:rPr>
          <w:rFonts w:ascii="Palatino Linotype" w:eastAsia="Palatino Linotype" w:hAnsi="Palatino Linotype" w:cs="Palatino Linotype"/>
          <w:i/>
          <w:sz w:val="22"/>
          <w:szCs w:val="22"/>
        </w:rPr>
        <w:t>De las constancias que integran el expediente del recurso de revisión</w:t>
      </w:r>
      <w:r w:rsidRPr="00E06C32">
        <w:rPr>
          <w:rFonts w:ascii="Palatino Linotype" w:eastAsia="Palatino Linotype" w:hAnsi="Palatino Linotype" w:cs="Palatino Linotype"/>
          <w:b/>
          <w:i/>
          <w:sz w:val="22"/>
          <w:szCs w:val="22"/>
        </w:rPr>
        <w:t> 00874/INFOEM/IP/RR/2025, </w:t>
      </w:r>
      <w:r w:rsidRPr="00E06C32">
        <w:rPr>
          <w:rFonts w:ascii="Palatino Linotype" w:eastAsia="Palatino Linotype" w:hAnsi="Palatino Linotype" w:cs="Palatino Linotype"/>
          <w:i/>
          <w:sz w:val="22"/>
          <w:szCs w:val="22"/>
        </w:rPr>
        <w:t>se desprende que en respuesta a la solicitud de información </w:t>
      </w:r>
      <w:r w:rsidRPr="00E06C32">
        <w:rPr>
          <w:rFonts w:ascii="Palatino Linotype" w:eastAsia="Palatino Linotype" w:hAnsi="Palatino Linotype" w:cs="Palatino Linotype"/>
          <w:b/>
          <w:i/>
          <w:sz w:val="22"/>
          <w:szCs w:val="22"/>
        </w:rPr>
        <w:t xml:space="preserve">00043/TLALNEPA/IP/2025, </w:t>
      </w:r>
      <w:r w:rsidRPr="00E06C32">
        <w:rPr>
          <w:rFonts w:ascii="Palatino Linotype" w:eastAsia="Palatino Linotype" w:hAnsi="Palatino Linotype" w:cs="Palatino Linotype"/>
          <w:i/>
          <w:sz w:val="22"/>
          <w:szCs w:val="22"/>
        </w:rPr>
        <w:t>que le dio origen, la Dirección de Infraestructura Urbana manifestó la imposibilidad de remitir la información materia de la solicitud a través del sistema SAIMEX, como la modalidad elegida por la persona solicitante, argumentando que esta sobrepasa las capacidades del referido sistema, toda vez que el peso de dicha información asciende a aproximadamente 3.90 GB, razón por la cual mediante el Acuerdo 15/CT/05-ORD/2025, de la Quinta Sesión Ordinaria del Comité de Transparencia, se aprobó  el cambio de modalidad a consulta directa (in situ), para dar atención a la solicitud.</w:t>
      </w:r>
    </w:p>
    <w:p w14:paraId="1F113B5F" w14:textId="77777777" w:rsidR="00DD7E50" w:rsidRPr="00E06C32" w:rsidRDefault="00806F94">
      <w:pPr>
        <w:widowControl w:val="0"/>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De lo anterior, se colige que </w:t>
      </w:r>
      <w:r w:rsidRPr="00E06C32">
        <w:rPr>
          <w:rFonts w:ascii="Palatino Linotype" w:eastAsia="Palatino Linotype" w:hAnsi="Palatino Linotype" w:cs="Palatino Linotype"/>
          <w:b/>
          <w:i/>
          <w:sz w:val="22"/>
          <w:szCs w:val="22"/>
        </w:rPr>
        <w:t>el Sujeto Obligado propuso el cambio de la modalidad</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 xml:space="preserve">de entrega, </w:t>
      </w:r>
      <w:r w:rsidRPr="00E06C32">
        <w:rPr>
          <w:rFonts w:ascii="Palatino Linotype" w:eastAsia="Palatino Linotype" w:hAnsi="Palatino Linotype" w:cs="Palatino Linotype"/>
          <w:i/>
          <w:sz w:val="22"/>
          <w:szCs w:val="22"/>
        </w:rPr>
        <w:t xml:space="preserve">sin embargo, se tiene que se dejaron de justificar, de manera clara, las razones o motivos que le llevaron a tomar dicha determinación, por lo que se carece de los elementos que permitan justificar que existe la necesidad de realizar el cambio de modalidad, lo anterior en términos de los señalado por el artículo 155, fracción V, 158 y 164 de la Ley de Transparencia y Acceso a la Información Pública del Estado de México y Municipios. </w:t>
      </w:r>
    </w:p>
    <w:p w14:paraId="731F765D" w14:textId="77777777" w:rsidR="00DD7E50" w:rsidRPr="00E06C32" w:rsidRDefault="00806F94">
      <w:pPr>
        <w:widowControl w:val="0"/>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En este contexto, con fundamento en el artículo 14, fracciones I, II, V y XVI del Reglamento Interno del Instituto de Transparencia, Acceso a la Información Pública y Protección de Datos Personales del Estado de México y Municipios</w:t>
      </w:r>
      <w:r w:rsidRPr="00E06C32">
        <w:rPr>
          <w:rFonts w:ascii="Palatino Linotype" w:eastAsia="Palatino Linotype" w:hAnsi="Palatino Linotype" w:cs="Palatino Linotype"/>
          <w:b/>
          <w:i/>
          <w:sz w:val="22"/>
          <w:szCs w:val="22"/>
        </w:rPr>
        <w:t xml:space="preserve">, </w:t>
      </w:r>
      <w:r w:rsidRPr="00E06C32">
        <w:rPr>
          <w:rFonts w:ascii="Palatino Linotype" w:eastAsia="Palatino Linotype" w:hAnsi="Palatino Linotype" w:cs="Palatino Linotype"/>
          <w:b/>
          <w:i/>
          <w:sz w:val="22"/>
          <w:szCs w:val="22"/>
        </w:rPr>
        <w:lastRenderedPageBreak/>
        <w:t>con el objeto de contar con los elementos necesarios para la elaboración del proyecto de resolución correspondiente,</w:t>
      </w:r>
      <w:r w:rsidRPr="00E06C32">
        <w:rPr>
          <w:rFonts w:ascii="Palatino Linotype" w:eastAsia="Palatino Linotype" w:hAnsi="Palatino Linotype" w:cs="Palatino Linotype"/>
          <w:i/>
          <w:sz w:val="22"/>
          <w:szCs w:val="22"/>
        </w:rPr>
        <w:t> se requiere al </w:t>
      </w:r>
      <w:r w:rsidRPr="00E06C32">
        <w:rPr>
          <w:rFonts w:ascii="Palatino Linotype" w:eastAsia="Palatino Linotype" w:hAnsi="Palatino Linotype" w:cs="Palatino Linotype"/>
          <w:b/>
          <w:i/>
          <w:sz w:val="22"/>
          <w:szCs w:val="22"/>
        </w:rPr>
        <w:t>Sujeto Obligado,</w:t>
      </w:r>
      <w:r w:rsidRPr="00E06C32">
        <w:rPr>
          <w:rFonts w:ascii="Palatino Linotype" w:eastAsia="Palatino Linotype" w:hAnsi="Palatino Linotype" w:cs="Palatino Linotype"/>
          <w:i/>
          <w:sz w:val="22"/>
          <w:szCs w:val="22"/>
        </w:rPr>
        <w:t> para que precise lo siguiente:</w:t>
      </w:r>
    </w:p>
    <w:p w14:paraId="190CB93C"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1.</w:t>
      </w:r>
      <w:r w:rsidRPr="00E06C32">
        <w:rPr>
          <w:rFonts w:ascii="Palatino Linotype" w:eastAsia="Palatino Linotype" w:hAnsi="Palatino Linotype" w:cs="Palatino Linotype"/>
          <w:i/>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E06C32">
        <w:rPr>
          <w:rFonts w:ascii="Palatino Linotype" w:eastAsia="Palatino Linotype" w:hAnsi="Palatino Linotype" w:cs="Palatino Linotype"/>
          <w:b/>
          <w:i/>
          <w:sz w:val="22"/>
          <w:szCs w:val="22"/>
        </w:rPr>
        <w:t>Sujeto Obligado; </w:t>
      </w:r>
      <w:r w:rsidRPr="00E06C32">
        <w:rPr>
          <w:rFonts w:ascii="Palatino Linotype" w:eastAsia="Palatino Linotype" w:hAnsi="Palatino Linotype" w:cs="Palatino Linotype"/>
          <w:i/>
          <w:sz w:val="22"/>
          <w:szCs w:val="22"/>
        </w:rPr>
        <w:t>precisando, por ejemplo, el número de personas que se encuentran en las áreas competentes, </w:t>
      </w:r>
      <w:r w:rsidRPr="00E06C32">
        <w:rPr>
          <w:rFonts w:ascii="Palatino Linotype" w:eastAsia="Palatino Linotype" w:hAnsi="Palatino Linotype" w:cs="Palatino Linotype"/>
          <w:b/>
          <w:i/>
          <w:sz w:val="22"/>
          <w:szCs w:val="22"/>
          <w:u w:val="single"/>
        </w:rPr>
        <w:t>el formato en que se encuentra la información</w:t>
      </w:r>
      <w:r w:rsidRPr="00E06C32">
        <w:rPr>
          <w:rFonts w:ascii="Palatino Linotype" w:eastAsia="Palatino Linotype" w:hAnsi="Palatino Linotype" w:cs="Palatino Linotype"/>
          <w:b/>
          <w:i/>
          <w:sz w:val="22"/>
          <w:szCs w:val="22"/>
        </w:rPr>
        <w:t>, </w:t>
      </w:r>
      <w:r w:rsidRPr="00E06C32">
        <w:rPr>
          <w:rFonts w:ascii="Palatino Linotype" w:eastAsia="Palatino Linotype" w:hAnsi="Palatino Linotype" w:cs="Palatino Linotype"/>
          <w:i/>
          <w:sz w:val="22"/>
          <w:szCs w:val="22"/>
        </w:rPr>
        <w:t>es decir</w:t>
      </w:r>
      <w:r w:rsidRPr="00E06C32">
        <w:rPr>
          <w:rFonts w:ascii="Palatino Linotype" w:eastAsia="Palatino Linotype" w:hAnsi="Palatino Linotype" w:cs="Palatino Linotype"/>
          <w:b/>
          <w:i/>
          <w:sz w:val="22"/>
          <w:szCs w:val="22"/>
        </w:rPr>
        <w:t>, </w:t>
      </w:r>
      <w:r w:rsidRPr="00E06C32">
        <w:rPr>
          <w:rFonts w:ascii="Palatino Linotype" w:eastAsia="Palatino Linotype" w:hAnsi="Palatino Linotype" w:cs="Palatino Linotype"/>
          <w:b/>
          <w:i/>
          <w:sz w:val="22"/>
          <w:szCs w:val="22"/>
          <w:u w:val="single"/>
        </w:rPr>
        <w:t>de manera digital o física</w:t>
      </w:r>
      <w:r w:rsidRPr="00E06C32">
        <w:rPr>
          <w:rFonts w:ascii="Palatino Linotype" w:eastAsia="Palatino Linotype" w:hAnsi="Palatino Linotype" w:cs="Palatino Linotype"/>
          <w:i/>
          <w:sz w:val="22"/>
          <w:szCs w:val="22"/>
        </w:rPr>
        <w:t xml:space="preserve">; si </w:t>
      </w:r>
      <w:r w:rsidRPr="00E06C32">
        <w:rPr>
          <w:rFonts w:ascii="Palatino Linotype" w:eastAsia="Palatino Linotype" w:hAnsi="Palatino Linotype" w:cs="Palatino Linotype"/>
          <w:b/>
          <w:i/>
          <w:sz w:val="22"/>
          <w:szCs w:val="22"/>
          <w:u w:val="single"/>
        </w:rPr>
        <w:t>lo peticionado se encuentra en uno o varios expedientes</w:t>
      </w:r>
      <w:r w:rsidRPr="00E06C32">
        <w:rPr>
          <w:rFonts w:ascii="Palatino Linotype" w:eastAsia="Palatino Linotype" w:hAnsi="Palatino Linotype" w:cs="Palatino Linotype"/>
          <w:i/>
          <w:sz w:val="22"/>
          <w:szCs w:val="22"/>
        </w:rPr>
        <w:t>, etcétera.</w:t>
      </w:r>
    </w:p>
    <w:p w14:paraId="182AF88F"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u w:val="single"/>
        </w:rPr>
      </w:pPr>
      <w:r w:rsidRPr="00E06C32">
        <w:rPr>
          <w:rFonts w:ascii="Palatino Linotype" w:eastAsia="Palatino Linotype" w:hAnsi="Palatino Linotype" w:cs="Palatino Linotype"/>
          <w:b/>
          <w:i/>
          <w:sz w:val="22"/>
          <w:szCs w:val="22"/>
        </w:rPr>
        <w:t>2.</w:t>
      </w:r>
      <w:r w:rsidRPr="00E06C32">
        <w:rPr>
          <w:rFonts w:ascii="Palatino Linotype" w:eastAsia="Palatino Linotype" w:hAnsi="Palatino Linotype" w:cs="Palatino Linotype"/>
          <w:i/>
          <w:sz w:val="22"/>
          <w:szCs w:val="22"/>
        </w:rPr>
        <w:t> </w:t>
      </w:r>
      <w:r w:rsidRPr="00E06C32">
        <w:rPr>
          <w:rFonts w:ascii="Palatino Linotype" w:eastAsia="Palatino Linotype" w:hAnsi="Palatino Linotype" w:cs="Palatino Linotype"/>
          <w:b/>
          <w:i/>
          <w:sz w:val="22"/>
          <w:szCs w:val="22"/>
          <w:u w:val="single"/>
        </w:rPr>
        <w:t>Refiera con exactitud</w:t>
      </w:r>
      <w:r w:rsidRPr="00E06C32">
        <w:rPr>
          <w:rFonts w:ascii="Palatino Linotype" w:eastAsia="Palatino Linotype" w:hAnsi="Palatino Linotype" w:cs="Palatino Linotype"/>
          <w:i/>
          <w:sz w:val="22"/>
          <w:szCs w:val="22"/>
        </w:rPr>
        <w:t>, el cúmulo de información de que se trata, </w:t>
      </w:r>
      <w:r w:rsidRPr="00E06C32">
        <w:rPr>
          <w:rFonts w:ascii="Palatino Linotype" w:eastAsia="Palatino Linotype" w:hAnsi="Palatino Linotype" w:cs="Palatino Linotype"/>
          <w:b/>
          <w:i/>
          <w:sz w:val="22"/>
          <w:szCs w:val="22"/>
          <w:u w:val="single"/>
        </w:rPr>
        <w:t>señalando de manera clara el número de documentos generados por cada requerimiento, en el periodo solicitado</w:t>
      </w:r>
      <w:r w:rsidRPr="00E06C32">
        <w:rPr>
          <w:rFonts w:ascii="Palatino Linotype" w:eastAsia="Palatino Linotype" w:hAnsi="Palatino Linotype" w:cs="Palatino Linotype"/>
          <w:b/>
          <w:i/>
          <w:sz w:val="22"/>
          <w:szCs w:val="22"/>
        </w:rPr>
        <w:t xml:space="preserve">, </w:t>
      </w:r>
      <w:r w:rsidRPr="00E06C32">
        <w:rPr>
          <w:rFonts w:ascii="Palatino Linotype" w:eastAsia="Palatino Linotype" w:hAnsi="Palatino Linotype" w:cs="Palatino Linotype"/>
          <w:i/>
          <w:sz w:val="22"/>
          <w:szCs w:val="22"/>
        </w:rPr>
        <w:t xml:space="preserve">esto es, en relación con </w:t>
      </w:r>
      <w:r w:rsidRPr="00E06C32">
        <w:rPr>
          <w:rFonts w:ascii="Palatino Linotype" w:eastAsia="Palatino Linotype" w:hAnsi="Palatino Linotype" w:cs="Palatino Linotype"/>
          <w:b/>
          <w:i/>
          <w:sz w:val="22"/>
          <w:szCs w:val="22"/>
          <w:u w:val="single"/>
        </w:rPr>
        <w:t>las actas de entrega recepción de las obras públicas o contratos del ejercicio 2024, y la carátula de estimación finiquito de cada contrato u obra</w:t>
      </w:r>
      <w:r w:rsidRPr="00E06C32">
        <w:rPr>
          <w:rFonts w:ascii="Palatino Linotype" w:eastAsia="Palatino Linotype" w:hAnsi="Palatino Linotype" w:cs="Palatino Linotype"/>
          <w:i/>
          <w:sz w:val="22"/>
          <w:szCs w:val="22"/>
        </w:rPr>
        <w:t xml:space="preserve">; lo relativo al </w:t>
      </w:r>
      <w:proofErr w:type="spellStart"/>
      <w:r w:rsidRPr="00E06C32">
        <w:rPr>
          <w:rFonts w:ascii="Palatino Linotype" w:eastAsia="Palatino Linotype" w:hAnsi="Palatino Linotype" w:cs="Palatino Linotype"/>
          <w:b/>
          <w:i/>
          <w:sz w:val="22"/>
          <w:szCs w:val="22"/>
          <w:u w:val="single"/>
        </w:rPr>
        <w:t>curriculum</w:t>
      </w:r>
      <w:proofErr w:type="spellEnd"/>
      <w:r w:rsidRPr="00E06C32">
        <w:rPr>
          <w:rFonts w:ascii="Palatino Linotype" w:eastAsia="Palatino Linotype" w:hAnsi="Palatino Linotype" w:cs="Palatino Linotype"/>
          <w:b/>
          <w:i/>
          <w:sz w:val="22"/>
          <w:szCs w:val="22"/>
          <w:u w:val="single"/>
        </w:rPr>
        <w:t xml:space="preserve"> vitae, nombramiento, y certificación de competencia laboral de cada uno de los integrantes de la Dirección de Obras Públicas o su equivalente;</w:t>
      </w:r>
      <w:r w:rsidRPr="00E06C32">
        <w:rPr>
          <w:rFonts w:ascii="Palatino Linotype" w:eastAsia="Palatino Linotype" w:hAnsi="Palatino Linotype" w:cs="Palatino Linotype"/>
          <w:i/>
          <w:sz w:val="22"/>
          <w:szCs w:val="22"/>
        </w:rPr>
        <w:t xml:space="preserve"> y, finalmente, los</w:t>
      </w:r>
      <w:r w:rsidRPr="00E06C32">
        <w:rPr>
          <w:rFonts w:ascii="Palatino Linotype" w:eastAsia="Palatino Linotype" w:hAnsi="Palatino Linotype" w:cs="Palatino Linotype"/>
          <w:b/>
          <w:i/>
          <w:sz w:val="22"/>
          <w:szCs w:val="22"/>
        </w:rPr>
        <w:t xml:space="preserve"> </w:t>
      </w:r>
      <w:r w:rsidRPr="00E06C32">
        <w:rPr>
          <w:rFonts w:ascii="Palatino Linotype" w:eastAsia="Palatino Linotype" w:hAnsi="Palatino Linotype" w:cs="Palatino Linotype"/>
          <w:b/>
          <w:i/>
          <w:sz w:val="22"/>
          <w:szCs w:val="22"/>
          <w:u w:val="single"/>
        </w:rPr>
        <w:t>recibos de nómina de la primera quincena del ejercicio 2025, de cada servidor público adscrito a la Dirección de Obras Públicas o su equivalente, a la fecha de presentación de la solicitud, así como el número de hojas o cuando menos un aproximado por cada documento</w:t>
      </w:r>
      <w:r w:rsidRPr="00E06C32">
        <w:rPr>
          <w:rFonts w:ascii="Palatino Linotype" w:eastAsia="Palatino Linotype" w:hAnsi="Palatino Linotype" w:cs="Palatino Linotype"/>
          <w:i/>
          <w:sz w:val="22"/>
          <w:szCs w:val="22"/>
        </w:rPr>
        <w:t>, y, </w:t>
      </w:r>
      <w:r w:rsidRPr="00E06C32">
        <w:rPr>
          <w:rFonts w:ascii="Palatino Linotype" w:eastAsia="Palatino Linotype" w:hAnsi="Palatino Linotype" w:cs="Palatino Linotype"/>
          <w:b/>
          <w:i/>
          <w:sz w:val="22"/>
          <w:szCs w:val="22"/>
        </w:rPr>
        <w:t xml:space="preserve">sí excede las capacidades del SAIMEX, </w:t>
      </w:r>
      <w:r w:rsidRPr="00E06C32">
        <w:rPr>
          <w:rFonts w:ascii="Palatino Linotype" w:eastAsia="Palatino Linotype" w:hAnsi="Palatino Linotype" w:cs="Palatino Linotype"/>
          <w:i/>
          <w:sz w:val="22"/>
          <w:szCs w:val="22"/>
        </w:rPr>
        <w:t>esto</w:t>
      </w:r>
      <w:r w:rsidRPr="00E06C32">
        <w:rPr>
          <w:rFonts w:ascii="Palatino Linotype" w:eastAsia="Palatino Linotype" w:hAnsi="Palatino Linotype" w:cs="Palatino Linotype"/>
          <w:b/>
          <w:i/>
          <w:sz w:val="22"/>
          <w:szCs w:val="22"/>
        </w:rPr>
        <w:t xml:space="preserve"> </w:t>
      </w:r>
      <w:r w:rsidRPr="00E06C32">
        <w:rPr>
          <w:rFonts w:ascii="Palatino Linotype" w:eastAsia="Palatino Linotype" w:hAnsi="Palatino Linotype" w:cs="Palatino Linotype"/>
          <w:b/>
          <w:i/>
          <w:sz w:val="22"/>
          <w:szCs w:val="22"/>
          <w:u w:val="single"/>
        </w:rPr>
        <w:t>mediante el reporte de incidencias realizado el área de soporte técnico de la Dirección General de Informática del INFOEM.</w:t>
      </w:r>
    </w:p>
    <w:p w14:paraId="438E3D8C" w14:textId="77777777" w:rsidR="00DD7E50" w:rsidRPr="00E06C32" w:rsidRDefault="00806F94">
      <w:pPr>
        <w:spacing w:before="120" w:after="120"/>
        <w:ind w:left="1134" w:right="902"/>
        <w:jc w:val="both"/>
        <w:rPr>
          <w:rFonts w:ascii="Palatino Linotype" w:eastAsia="Palatino Linotype" w:hAnsi="Palatino Linotype" w:cs="Palatino Linotype"/>
          <w:b/>
          <w:i/>
          <w:sz w:val="22"/>
          <w:szCs w:val="22"/>
          <w:u w:val="single"/>
        </w:rPr>
      </w:pPr>
      <w:r w:rsidRPr="00E06C32">
        <w:rPr>
          <w:rFonts w:ascii="Palatino Linotype" w:eastAsia="Palatino Linotype" w:hAnsi="Palatino Linotype" w:cs="Palatino Linotype"/>
          <w:b/>
          <w:i/>
          <w:sz w:val="22"/>
          <w:szCs w:val="22"/>
        </w:rPr>
        <w:t>3. </w:t>
      </w:r>
      <w:r w:rsidRPr="00E06C32">
        <w:rPr>
          <w:rFonts w:ascii="Palatino Linotype" w:eastAsia="Palatino Linotype" w:hAnsi="Palatino Linotype" w:cs="Palatino Linotype"/>
          <w:i/>
          <w:sz w:val="22"/>
          <w:szCs w:val="22"/>
        </w:rPr>
        <w:t xml:space="preserve">En caso de que la información solicitada sobrepase las capacidades técnicas del </w:t>
      </w:r>
      <w:r w:rsidRPr="00E06C32">
        <w:rPr>
          <w:rFonts w:ascii="Palatino Linotype" w:eastAsia="Palatino Linotype" w:hAnsi="Palatino Linotype" w:cs="Palatino Linotype"/>
          <w:b/>
          <w:i/>
          <w:sz w:val="22"/>
          <w:szCs w:val="22"/>
        </w:rPr>
        <w:t>SAIMEX</w:t>
      </w:r>
      <w:r w:rsidRPr="00E06C32">
        <w:rPr>
          <w:rFonts w:ascii="Palatino Linotype" w:eastAsia="Palatino Linotype" w:hAnsi="Palatino Linotype" w:cs="Palatino Linotype"/>
          <w:i/>
          <w:sz w:val="22"/>
          <w:szCs w:val="22"/>
        </w:rPr>
        <w:t>, así como administrativas y humanas del </w:t>
      </w:r>
      <w:r w:rsidRPr="00E06C32">
        <w:rPr>
          <w:rFonts w:ascii="Palatino Linotype" w:eastAsia="Palatino Linotype" w:hAnsi="Palatino Linotype" w:cs="Palatino Linotype"/>
          <w:b/>
          <w:i/>
          <w:sz w:val="22"/>
          <w:szCs w:val="22"/>
        </w:rPr>
        <w:t>Sujeto Obligado,</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u w:val="single"/>
        </w:rPr>
        <w:t>remita los respectivos medios de convicción</w:t>
      </w:r>
      <w:r w:rsidRPr="00E06C32">
        <w:rPr>
          <w:rFonts w:ascii="Palatino Linotype" w:eastAsia="Palatino Linotype" w:hAnsi="Palatino Linotype" w:cs="Palatino Linotype"/>
          <w:i/>
          <w:sz w:val="22"/>
          <w:szCs w:val="22"/>
        </w:rPr>
        <w:t>, pudiendo ser </w:t>
      </w:r>
      <w:r w:rsidRPr="00E06C32">
        <w:rPr>
          <w:rFonts w:ascii="Palatino Linotype" w:eastAsia="Palatino Linotype" w:hAnsi="Palatino Linotype" w:cs="Palatino Linotype"/>
          <w:b/>
          <w:i/>
          <w:sz w:val="22"/>
          <w:szCs w:val="22"/>
          <w:u w:val="single"/>
        </w:rPr>
        <w:t>fotografías en el caso de expedientes físicos</w:t>
      </w:r>
      <w:r w:rsidRPr="00E06C32">
        <w:rPr>
          <w:rFonts w:ascii="Palatino Linotype" w:eastAsia="Palatino Linotype" w:hAnsi="Palatino Linotype" w:cs="Palatino Linotype"/>
          <w:i/>
          <w:sz w:val="22"/>
          <w:szCs w:val="22"/>
        </w:rPr>
        <w:t>, o bien, </w:t>
      </w:r>
      <w:r w:rsidRPr="00E06C32">
        <w:rPr>
          <w:rFonts w:ascii="Palatino Linotype" w:eastAsia="Palatino Linotype" w:hAnsi="Palatino Linotype" w:cs="Palatino Linotype"/>
          <w:b/>
          <w:i/>
          <w:sz w:val="22"/>
          <w:szCs w:val="22"/>
          <w:u w:val="single"/>
        </w:rPr>
        <w:t>documento que comprueben el peso aproximado de 3.90 GB de la información, en caso de que se trate de expedientes electrónicos.</w:t>
      </w:r>
    </w:p>
    <w:p w14:paraId="42DBF528" w14:textId="77777777" w:rsidR="00DD7E50" w:rsidRPr="00E06C32" w:rsidRDefault="00806F94">
      <w:pPr>
        <w:spacing w:before="120" w:after="120"/>
        <w:ind w:left="1134" w:right="902"/>
        <w:jc w:val="both"/>
        <w:rPr>
          <w:rFonts w:ascii="Palatino Linotype" w:eastAsia="Calibri" w:hAnsi="Palatino Linotype" w:cs="Calibri"/>
          <w:i/>
          <w:sz w:val="22"/>
          <w:szCs w:val="22"/>
          <w:u w:val="single"/>
        </w:rPr>
      </w:pPr>
      <w:r w:rsidRPr="00E06C32">
        <w:rPr>
          <w:rFonts w:ascii="Palatino Linotype" w:eastAsia="Palatino Linotype" w:hAnsi="Palatino Linotype" w:cs="Palatino Linotype"/>
          <w:b/>
          <w:i/>
          <w:sz w:val="22"/>
          <w:szCs w:val="22"/>
        </w:rPr>
        <w:t>4.</w:t>
      </w:r>
      <w:r w:rsidRPr="00E06C32">
        <w:rPr>
          <w:rFonts w:ascii="Palatino Linotype" w:eastAsia="Palatino Linotype" w:hAnsi="Palatino Linotype" w:cs="Palatino Linotype"/>
          <w:i/>
          <w:sz w:val="22"/>
          <w:szCs w:val="22"/>
        </w:rPr>
        <w:t> Cualquier otro dato que permita esclarecer que el peso de los documentos mediante los cuales se dará respuesta a la solicitud, </w:t>
      </w:r>
      <w:r w:rsidRPr="00E06C32">
        <w:rPr>
          <w:rFonts w:ascii="Palatino Linotype" w:eastAsia="Palatino Linotype" w:hAnsi="Palatino Linotype" w:cs="Palatino Linotype"/>
          <w:b/>
          <w:i/>
          <w:sz w:val="22"/>
          <w:szCs w:val="22"/>
          <w:u w:val="single"/>
        </w:rPr>
        <w:t>susceptibles de ser entregados de manera íntegra y/o en versión pública</w:t>
      </w:r>
      <w:r w:rsidRPr="00E06C32">
        <w:rPr>
          <w:rFonts w:ascii="Palatino Linotype" w:eastAsia="Palatino Linotype" w:hAnsi="Palatino Linotype" w:cs="Palatino Linotype"/>
          <w:b/>
          <w:i/>
          <w:sz w:val="22"/>
          <w:szCs w:val="22"/>
        </w:rPr>
        <w:t xml:space="preserve">, corresponde a </w:t>
      </w:r>
      <w:r w:rsidRPr="00E06C32">
        <w:rPr>
          <w:rFonts w:ascii="Palatino Linotype" w:eastAsia="Palatino Linotype" w:hAnsi="Palatino Linotype" w:cs="Palatino Linotype"/>
          <w:b/>
          <w:i/>
          <w:sz w:val="22"/>
          <w:szCs w:val="22"/>
          <w:u w:val="single"/>
        </w:rPr>
        <w:t>3.90 GB y sobrepasa las capacidades técnicas del SAIMEX.</w:t>
      </w:r>
    </w:p>
    <w:p w14:paraId="0B58DC72" w14:textId="77777777" w:rsidR="00DD7E50" w:rsidRPr="00E06C32" w:rsidRDefault="00806F94">
      <w:pPr>
        <w:spacing w:before="120" w:after="120"/>
        <w:ind w:left="1134" w:right="902"/>
        <w:jc w:val="both"/>
        <w:rPr>
          <w:rFonts w:ascii="Palatino Linotype" w:eastAsia="Palatino Linotype" w:hAnsi="Palatino Linotype" w:cs="Palatino Linotype"/>
          <w:b/>
          <w:i/>
          <w:sz w:val="22"/>
          <w:szCs w:val="22"/>
          <w:u w:val="single"/>
        </w:rPr>
      </w:pPr>
      <w:r w:rsidRPr="00E06C32">
        <w:rPr>
          <w:rFonts w:ascii="Palatino Linotype" w:eastAsia="Palatino Linotype" w:hAnsi="Palatino Linotype" w:cs="Palatino Linotype"/>
          <w:b/>
          <w:i/>
          <w:sz w:val="22"/>
          <w:szCs w:val="22"/>
        </w:rPr>
        <w:lastRenderedPageBreak/>
        <w:t>5.</w:t>
      </w:r>
      <w:r w:rsidRPr="00E06C32">
        <w:rPr>
          <w:rFonts w:ascii="Palatino Linotype" w:eastAsia="Palatino Linotype" w:hAnsi="Palatino Linotype" w:cs="Palatino Linotype"/>
          <w:i/>
          <w:sz w:val="22"/>
          <w:szCs w:val="22"/>
        </w:rPr>
        <w:t> Finalmente, remita por este medio, </w:t>
      </w:r>
      <w:r w:rsidRPr="00E06C32">
        <w:rPr>
          <w:rFonts w:ascii="Palatino Linotype" w:eastAsia="Palatino Linotype" w:hAnsi="Palatino Linotype" w:cs="Palatino Linotype"/>
          <w:b/>
          <w:i/>
          <w:sz w:val="22"/>
          <w:szCs w:val="22"/>
          <w:u w:val="single"/>
        </w:rPr>
        <w:t>a manera de ejemplo</w:t>
      </w:r>
      <w:r w:rsidRPr="00E06C32">
        <w:rPr>
          <w:rFonts w:ascii="Palatino Linotype" w:eastAsia="Palatino Linotype" w:hAnsi="Palatino Linotype" w:cs="Palatino Linotype"/>
          <w:i/>
          <w:sz w:val="22"/>
          <w:szCs w:val="22"/>
        </w:rPr>
        <w:t xml:space="preserve">, un documento que forme parte de la información susceptible de entrega (en versión pública de ser necesario). </w:t>
      </w:r>
      <w:r w:rsidRPr="00E06C32">
        <w:rPr>
          <w:rFonts w:ascii="Palatino Linotype" w:eastAsia="Palatino Linotype" w:hAnsi="Palatino Linotype" w:cs="Palatino Linotype"/>
          <w:b/>
          <w:i/>
          <w:sz w:val="22"/>
          <w:szCs w:val="22"/>
          <w:u w:val="single"/>
        </w:rPr>
        <w:t>Dicho documento deberá digitalizarse en resolución máxima de 150Dpi's, escala de grises y formato "PDF", extraído directamente del escáner.</w:t>
      </w:r>
    </w:p>
    <w:p w14:paraId="6B0DBDE1" w14:textId="77777777" w:rsidR="00DD7E50" w:rsidRPr="00E06C32" w:rsidRDefault="00806F94">
      <w:pPr>
        <w:spacing w:before="120" w:after="120"/>
        <w:ind w:left="851"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i/>
          <w:sz w:val="22"/>
          <w:szCs w:val="22"/>
        </w:rPr>
        <w:t>Asimismo, la información que se solicita deberá ser entregada a este Instituto en un lapso no mayor a tres días, a través del sistema SAIMEX, en el apartado de manifestaciones, y/o a los correos electrónicos…” (sic)</w:t>
      </w:r>
    </w:p>
    <w:p w14:paraId="093A50FC" w14:textId="77777777" w:rsidR="00DD7E50" w:rsidRPr="00E06C32" w:rsidRDefault="00806F94">
      <w:pPr>
        <w:widowControl w:val="0"/>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veintiocho de febrero de dos mil veinticinco</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desahogó del requerimiento de información adicional, mediante </w:t>
      </w:r>
      <w:r w:rsidRPr="00E06C32">
        <w:rPr>
          <w:rFonts w:ascii="Palatino Linotype" w:eastAsia="Palatino Linotype" w:hAnsi="Palatino Linotype" w:cs="Palatino Linotype"/>
          <w:b/>
        </w:rPr>
        <w:t xml:space="preserve">SAIMEX, </w:t>
      </w:r>
      <w:r w:rsidRPr="00E06C32">
        <w:rPr>
          <w:rFonts w:ascii="Palatino Linotype" w:eastAsia="Palatino Linotype" w:hAnsi="Palatino Linotype" w:cs="Palatino Linotype"/>
        </w:rPr>
        <w:t>en el apartado de manifestaciones de la parte Recurrente, y correo electrónico, a través de los siguientes documentos:</w:t>
      </w:r>
    </w:p>
    <w:p w14:paraId="1D418AEC" w14:textId="77777777" w:rsidR="00DD7E50" w:rsidRPr="00E06C32" w:rsidRDefault="00806F94">
      <w:pPr>
        <w:widowControl w:val="0"/>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Oficio número TLA/DIU/CJ/022/2025, del veintiocho de febrero de dos mil veinticinco, mediante el cual el servidor público habilitado de la Dirección de Infraestructura Urbana manifestó lo siguiente:</w:t>
      </w:r>
    </w:p>
    <w:p w14:paraId="767B3C20" w14:textId="77777777" w:rsidR="00DD7E50" w:rsidRPr="00E06C32" w:rsidRDefault="00806F94">
      <w:pPr>
        <w:widowControl w:val="0"/>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46221E75" wp14:editId="25F75B27">
            <wp:extent cx="4320000" cy="2449711"/>
            <wp:effectExtent l="0" t="0" r="0" b="0"/>
            <wp:docPr id="20832964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320000" cy="2449711"/>
                    </a:xfrm>
                    <a:prstGeom prst="rect">
                      <a:avLst/>
                    </a:prstGeom>
                    <a:ln/>
                  </pic:spPr>
                </pic:pic>
              </a:graphicData>
            </a:graphic>
          </wp:inline>
        </w:drawing>
      </w:r>
    </w:p>
    <w:p w14:paraId="70BE80E6" w14:textId="77777777" w:rsidR="00DD7E50" w:rsidRPr="00E06C32" w:rsidRDefault="00806F94">
      <w:pPr>
        <w:widowControl w:val="0"/>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lastRenderedPageBreak/>
        <w:drawing>
          <wp:inline distT="0" distB="0" distL="0" distR="0" wp14:anchorId="1D70A92F" wp14:editId="06172487">
            <wp:extent cx="2880000" cy="2306032"/>
            <wp:effectExtent l="0" t="0" r="0" b="0"/>
            <wp:docPr id="20832964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880000" cy="2306032"/>
                    </a:xfrm>
                    <a:prstGeom prst="rect">
                      <a:avLst/>
                    </a:prstGeom>
                    <a:ln/>
                  </pic:spPr>
                </pic:pic>
              </a:graphicData>
            </a:graphic>
          </wp:inline>
        </w:drawing>
      </w:r>
    </w:p>
    <w:p w14:paraId="5763D956" w14:textId="77777777" w:rsidR="00DD7E50" w:rsidRPr="00E06C32" w:rsidRDefault="00806F94">
      <w:pPr>
        <w:widowControl w:val="0"/>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40E10837" wp14:editId="1404F02A">
            <wp:extent cx="4320000" cy="820204"/>
            <wp:effectExtent l="0" t="0" r="0" b="0"/>
            <wp:docPr id="20832964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320000" cy="820204"/>
                    </a:xfrm>
                    <a:prstGeom prst="rect">
                      <a:avLst/>
                    </a:prstGeom>
                    <a:ln/>
                  </pic:spPr>
                </pic:pic>
              </a:graphicData>
            </a:graphic>
          </wp:inline>
        </w:drawing>
      </w:r>
    </w:p>
    <w:p w14:paraId="2C9593BB" w14:textId="77777777" w:rsidR="00DD7E50" w:rsidRPr="00E06C32" w:rsidRDefault="00806F94">
      <w:pPr>
        <w:widowControl w:val="0"/>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1C7E27FE" wp14:editId="2ED0FF9C">
            <wp:extent cx="2880000" cy="1237545"/>
            <wp:effectExtent l="0" t="0" r="0" b="0"/>
            <wp:docPr id="20832964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80000" cy="1237545"/>
                    </a:xfrm>
                    <a:prstGeom prst="rect">
                      <a:avLst/>
                    </a:prstGeom>
                    <a:ln/>
                  </pic:spPr>
                </pic:pic>
              </a:graphicData>
            </a:graphic>
          </wp:inline>
        </w:drawing>
      </w:r>
    </w:p>
    <w:p w14:paraId="01513E76" w14:textId="77777777" w:rsidR="00DD7E50" w:rsidRPr="00E06C32" w:rsidRDefault="00806F94">
      <w:pPr>
        <w:widowControl w:val="0"/>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Asimismo, agregó lo siguiente:</w:t>
      </w:r>
    </w:p>
    <w:p w14:paraId="24D5D9F5" w14:textId="77777777" w:rsidR="00DD7E50" w:rsidRPr="00E06C32" w:rsidRDefault="00806F94">
      <w:pPr>
        <w:widowControl w:val="0"/>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El Contrato de Obra Pública número TLA/DOP/FAISMUN//LP-011/2024, en versión pública, a manera de ejemplo.</w:t>
      </w:r>
    </w:p>
    <w:p w14:paraId="3B176279" w14:textId="77777777" w:rsidR="00DD7E50" w:rsidRPr="00E06C32" w:rsidRDefault="00806F94">
      <w:pPr>
        <w:widowControl w:val="0"/>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 Oficio </w:t>
      </w:r>
      <w:proofErr w:type="gramStart"/>
      <w:r w:rsidRPr="00E06C32">
        <w:rPr>
          <w:rFonts w:ascii="Palatino Linotype" w:eastAsia="Palatino Linotype" w:hAnsi="Palatino Linotype" w:cs="Palatino Linotype"/>
        </w:rPr>
        <w:t>número  INFOEM</w:t>
      </w:r>
      <w:proofErr w:type="gramEnd"/>
      <w:r w:rsidRPr="00E06C32">
        <w:rPr>
          <w:rFonts w:ascii="Palatino Linotype" w:eastAsia="Palatino Linotype" w:hAnsi="Palatino Linotype" w:cs="Palatino Linotype"/>
        </w:rPr>
        <w:t xml:space="preserve">/DGI/174/2025, del siete de febrero de dos mil veinticinco, mediante el cual el Director General de Informática de este Instituto, mediante el cual comunica a la Titular de la Unidad de Transparencia del Sujeto Obligado, que </w:t>
      </w:r>
      <w:r w:rsidRPr="00E06C32">
        <w:rPr>
          <w:rFonts w:ascii="Palatino Linotype" w:eastAsia="Palatino Linotype" w:hAnsi="Palatino Linotype" w:cs="Palatino Linotype"/>
        </w:rPr>
        <w:lastRenderedPageBreak/>
        <w:t>la incidencia técnica quedó registrada, al tratar de subir un peso de 3.90GB lo cual sobrepasa las capacidades técnicas del sistema SAIMEX, el cual se agrega a continuación para mejor referencia:</w:t>
      </w:r>
    </w:p>
    <w:p w14:paraId="0B299277" w14:textId="77777777" w:rsidR="00DD7E50" w:rsidRPr="00E06C32" w:rsidRDefault="00806F94">
      <w:pPr>
        <w:spacing w:before="240" w:after="240" w:line="360" w:lineRule="auto"/>
        <w:ind w:right="49"/>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22EAD053" wp14:editId="2546D306">
            <wp:extent cx="4320000" cy="4345418"/>
            <wp:effectExtent l="0" t="0" r="0" b="0"/>
            <wp:docPr id="20832964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320000" cy="4345418"/>
                    </a:xfrm>
                    <a:prstGeom prst="rect">
                      <a:avLst/>
                    </a:prstGeom>
                    <a:ln/>
                  </pic:spPr>
                </pic:pic>
              </a:graphicData>
            </a:graphic>
          </wp:inline>
        </w:drawing>
      </w:r>
    </w:p>
    <w:p w14:paraId="54E49A93"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Posteriormente, el </w:t>
      </w:r>
      <w:r w:rsidRPr="00E06C32">
        <w:rPr>
          <w:rFonts w:ascii="Palatino Linotype" w:eastAsia="Palatino Linotype" w:hAnsi="Palatino Linotype" w:cs="Palatino Linotype"/>
          <w:b/>
        </w:rPr>
        <w:t>cuatro de marzo de dos mil veinticinco</w:t>
      </w:r>
      <w:r w:rsidRPr="00E06C32">
        <w:rPr>
          <w:rFonts w:ascii="Palatino Linotype" w:eastAsia="Palatino Linotype" w:hAnsi="Palatino Linotype" w:cs="Palatino Linotype"/>
        </w:rPr>
        <w:t xml:space="preserve">, con la finalidad de concluir con la sustanciación del recurso de revisión, se solicitaron al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en alcance al requerimiento de información adicional, lo siguiente:</w:t>
      </w:r>
    </w:p>
    <w:p w14:paraId="610ACDD8" w14:textId="77777777" w:rsidR="00DD7E50" w:rsidRPr="00E06C32" w:rsidRDefault="00806F94">
      <w:pPr>
        <w:widowControl w:val="0"/>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 Haga llegar a esta Ponencia, respecto del Contrato único de obra LP/011/2024, </w:t>
      </w:r>
      <w:r w:rsidRPr="00E06C32">
        <w:rPr>
          <w:rFonts w:ascii="Palatino Linotype" w:eastAsia="Palatino Linotype" w:hAnsi="Palatino Linotype" w:cs="Palatino Linotype"/>
          <w:b/>
          <w:i/>
          <w:sz w:val="22"/>
          <w:szCs w:val="22"/>
          <w:u w:val="single"/>
        </w:rPr>
        <w:t>el acta de entrega recepción</w:t>
      </w:r>
      <w:r w:rsidRPr="00E06C32">
        <w:rPr>
          <w:rFonts w:ascii="Palatino Linotype" w:eastAsia="Palatino Linotype" w:hAnsi="Palatino Linotype" w:cs="Palatino Linotype"/>
          <w:i/>
          <w:sz w:val="22"/>
          <w:szCs w:val="22"/>
        </w:rPr>
        <w:t xml:space="preserve">, así como </w:t>
      </w:r>
      <w:r w:rsidRPr="00E06C32">
        <w:rPr>
          <w:rFonts w:ascii="Palatino Linotype" w:eastAsia="Palatino Linotype" w:hAnsi="Palatino Linotype" w:cs="Palatino Linotype"/>
          <w:b/>
          <w:i/>
          <w:sz w:val="22"/>
          <w:szCs w:val="22"/>
          <w:u w:val="single"/>
        </w:rPr>
        <w:t>la o las carátulas de estimación finiquito</w:t>
      </w:r>
      <w:r w:rsidRPr="00E06C32">
        <w:rPr>
          <w:rFonts w:ascii="Palatino Linotype" w:eastAsia="Palatino Linotype" w:hAnsi="Palatino Linotype" w:cs="Palatino Linotype"/>
          <w:b/>
          <w:i/>
          <w:sz w:val="22"/>
          <w:szCs w:val="22"/>
        </w:rPr>
        <w:t xml:space="preserve"> </w:t>
      </w:r>
      <w:r w:rsidRPr="00E06C32">
        <w:rPr>
          <w:rFonts w:ascii="Palatino Linotype" w:eastAsia="Palatino Linotype" w:hAnsi="Palatino Linotype" w:cs="Palatino Linotype"/>
          <w:i/>
          <w:sz w:val="22"/>
          <w:szCs w:val="22"/>
        </w:rPr>
        <w:t>correspondientes (testados, de ser necesario)</w:t>
      </w:r>
    </w:p>
    <w:p w14:paraId="7687CC81" w14:textId="77777777" w:rsidR="00DD7E50" w:rsidRPr="00E06C32" w:rsidRDefault="00806F94">
      <w:pPr>
        <w:widowControl w:val="0"/>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lastRenderedPageBreak/>
        <w:t xml:space="preserve">- Manifieste de manera clara, cuantos contratos de obra pública se celebraron durante el ejercicio 2024, y el número de hojas en promedio que integra cada expediente, </w:t>
      </w:r>
      <w:r w:rsidRPr="00E06C32">
        <w:rPr>
          <w:rFonts w:ascii="Palatino Linotype" w:eastAsia="Palatino Linotype" w:hAnsi="Palatino Linotype" w:cs="Palatino Linotype"/>
          <w:b/>
          <w:i/>
          <w:sz w:val="22"/>
          <w:szCs w:val="22"/>
          <w:u w:val="single"/>
        </w:rPr>
        <w:t>exclusivamente por lo que se refiere al acta de entrega recepción</w:t>
      </w:r>
      <w:r w:rsidRPr="00E06C32">
        <w:rPr>
          <w:rFonts w:ascii="Palatino Linotype" w:eastAsia="Palatino Linotype" w:hAnsi="Palatino Linotype" w:cs="Palatino Linotype"/>
          <w:i/>
          <w:sz w:val="22"/>
          <w:szCs w:val="22"/>
        </w:rPr>
        <w:t xml:space="preserve"> y a </w:t>
      </w:r>
      <w:r w:rsidRPr="00E06C32">
        <w:rPr>
          <w:rFonts w:ascii="Palatino Linotype" w:eastAsia="Palatino Linotype" w:hAnsi="Palatino Linotype" w:cs="Palatino Linotype"/>
          <w:b/>
          <w:i/>
          <w:sz w:val="22"/>
          <w:szCs w:val="22"/>
          <w:u w:val="single"/>
        </w:rPr>
        <w:t>las carátulas de estimación finiquito</w:t>
      </w:r>
      <w:r w:rsidRPr="00E06C32">
        <w:rPr>
          <w:rFonts w:ascii="Palatino Linotype" w:eastAsia="Palatino Linotype" w:hAnsi="Palatino Linotype" w:cs="Palatino Linotype"/>
          <w:i/>
          <w:sz w:val="22"/>
          <w:szCs w:val="22"/>
        </w:rPr>
        <w:t>.</w:t>
      </w:r>
    </w:p>
    <w:p w14:paraId="52BD666D" w14:textId="77777777" w:rsidR="00DD7E50" w:rsidRPr="00E06C32" w:rsidRDefault="00806F94">
      <w:pPr>
        <w:widowControl w:val="0"/>
        <w:spacing w:before="120" w:after="120"/>
        <w:ind w:left="851" w:right="902"/>
        <w:jc w:val="both"/>
        <w:rPr>
          <w:rFonts w:ascii="Palatino Linotype" w:eastAsia="Palatino Linotype" w:hAnsi="Palatino Linotype" w:cs="Palatino Linotype"/>
          <w:b/>
          <w:i/>
          <w:sz w:val="22"/>
          <w:szCs w:val="22"/>
          <w:u w:val="single"/>
        </w:rPr>
      </w:pPr>
      <w:r w:rsidRPr="00E06C32">
        <w:rPr>
          <w:rFonts w:ascii="Palatino Linotype" w:eastAsia="Palatino Linotype" w:hAnsi="Palatino Linotype" w:cs="Palatino Linotype"/>
          <w:i/>
          <w:sz w:val="22"/>
          <w:szCs w:val="22"/>
        </w:rPr>
        <w:t xml:space="preserve">- Refiera con exactitud el número de personas que integran la Dirección de Infraestructura Urbana, y el número de hojas en promedio que integran su expediente de personal, </w:t>
      </w:r>
      <w:r w:rsidRPr="00E06C32">
        <w:rPr>
          <w:rFonts w:ascii="Palatino Linotype" w:eastAsia="Palatino Linotype" w:hAnsi="Palatino Linotype" w:cs="Palatino Linotype"/>
          <w:b/>
          <w:i/>
          <w:sz w:val="22"/>
          <w:szCs w:val="22"/>
          <w:u w:val="single"/>
        </w:rPr>
        <w:t xml:space="preserve">exclusivamente por lo que se refiere al </w:t>
      </w:r>
      <w:proofErr w:type="spellStart"/>
      <w:r w:rsidRPr="00E06C32">
        <w:rPr>
          <w:rFonts w:ascii="Palatino Linotype" w:eastAsia="Palatino Linotype" w:hAnsi="Palatino Linotype" w:cs="Palatino Linotype"/>
          <w:b/>
          <w:i/>
          <w:sz w:val="22"/>
          <w:szCs w:val="22"/>
          <w:u w:val="single"/>
        </w:rPr>
        <w:t>curriculum</w:t>
      </w:r>
      <w:proofErr w:type="spellEnd"/>
      <w:r w:rsidRPr="00E06C32">
        <w:rPr>
          <w:rFonts w:ascii="Palatino Linotype" w:eastAsia="Palatino Linotype" w:hAnsi="Palatino Linotype" w:cs="Palatino Linotype"/>
          <w:b/>
          <w:i/>
          <w:sz w:val="22"/>
          <w:szCs w:val="22"/>
          <w:u w:val="single"/>
        </w:rPr>
        <w:t xml:space="preserve"> vitae, nombramiento o FUMP, y certificación de competencia laboral en caso de ser requisito, así como su recibo de nómina de la primera quincena del ejercicio 2025.</w:t>
      </w:r>
    </w:p>
    <w:p w14:paraId="470F3D49" w14:textId="77777777" w:rsidR="00DD7E50" w:rsidRPr="00E06C32" w:rsidRDefault="00806F94">
      <w:pPr>
        <w:widowControl w:val="0"/>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Señale si la dependencia cuenta con un formato establecido por cuanto hace a la información curricular o ésta se presenta de manera libre por los servidores públicos; e indique el número de hojas en promedio que comprenden o integran cada documento.</w:t>
      </w:r>
    </w:p>
    <w:p w14:paraId="2EAF039F"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La información que se solicita deberá ser entregada a este Instituto en un lapso no mayor a tres días, a través del sistema SAIMEX, en el apartado de manifestaciones, y/o a los correos electrónicos”</w:t>
      </w:r>
    </w:p>
    <w:p w14:paraId="0B2AA609"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este tenor, en alcance al desahogo del requerimiento de información adicional,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a través de correo electrónico </w:t>
      </w:r>
      <w:proofErr w:type="gramStart"/>
      <w:r w:rsidRPr="00E06C32">
        <w:rPr>
          <w:rFonts w:ascii="Palatino Linotype" w:eastAsia="Palatino Linotype" w:hAnsi="Palatino Linotype" w:cs="Palatino Linotype"/>
        </w:rPr>
        <w:t>del  diez</w:t>
      </w:r>
      <w:proofErr w:type="gramEnd"/>
      <w:r w:rsidRPr="00E06C32">
        <w:rPr>
          <w:rFonts w:ascii="Palatino Linotype" w:eastAsia="Palatino Linotype" w:hAnsi="Palatino Linotype" w:cs="Palatino Linotype"/>
        </w:rPr>
        <w:t xml:space="preserve"> de marzo de dos mil veinticinco, remitió lo siguiente:</w:t>
      </w:r>
    </w:p>
    <w:p w14:paraId="7E304E61" w14:textId="77777777" w:rsidR="00DD7E50" w:rsidRPr="00E06C32" w:rsidRDefault="00806F94">
      <w:pPr>
        <w:pBdr>
          <w:top w:val="nil"/>
          <w:left w:val="nil"/>
          <w:bottom w:val="nil"/>
          <w:right w:val="nil"/>
          <w:between w:val="nil"/>
        </w:pBdr>
        <w:spacing w:after="28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 Escrito del siete de marzo de dos mil veinticinco, mediante el cual la servidora pública habilitada de la Oficialía Mayor Municipal, refirió que </w:t>
      </w:r>
      <w:r w:rsidRPr="00E06C32">
        <w:rPr>
          <w:rFonts w:ascii="Palatino Linotype" w:eastAsia="Palatino Linotype" w:hAnsi="Palatino Linotype" w:cs="Palatino Linotype"/>
          <w:b/>
        </w:rPr>
        <w:t>dentro de la Dirección de Infraestructura Urbana se tienen registrados a 155 personas</w:t>
      </w:r>
      <w:r w:rsidRPr="00E06C32">
        <w:rPr>
          <w:rFonts w:ascii="Palatino Linotype" w:eastAsia="Palatino Linotype" w:hAnsi="Palatino Linotype" w:cs="Palatino Linotype"/>
        </w:rPr>
        <w:t xml:space="preserve">, al corte de nómina realizado el 31 de enero del 2025; de los cuales, </w:t>
      </w:r>
      <w:r w:rsidRPr="00E06C32">
        <w:rPr>
          <w:rFonts w:ascii="Palatino Linotype" w:eastAsia="Palatino Linotype" w:hAnsi="Palatino Linotype" w:cs="Palatino Linotype"/>
          <w:b/>
        </w:rPr>
        <w:t>el número aproximado de las hojas que integra cada uno de los expedientes es de 4 hojas como mínimo y de 6 hojas como máximo, única y exclusivamente, por lo que refiere a los documentos señalados en la solicitud</w:t>
      </w:r>
      <w:r w:rsidRPr="00E06C32">
        <w:rPr>
          <w:rFonts w:ascii="Palatino Linotype" w:eastAsia="Palatino Linotype" w:hAnsi="Palatino Linotype" w:cs="Palatino Linotype"/>
        </w:rPr>
        <w:t>, por lo que al realizar la operación aritmética del producto de multiplicar el número de personas registradas por el número promedio de documentos resultando la cantidad de 775 de hojas aproximadamente.</w:t>
      </w:r>
    </w:p>
    <w:p w14:paraId="1E3BD866" w14:textId="77777777" w:rsidR="00DD7E50" w:rsidRPr="00E06C32" w:rsidRDefault="00806F94">
      <w:pPr>
        <w:pBdr>
          <w:top w:val="nil"/>
          <w:left w:val="nil"/>
          <w:bottom w:val="nil"/>
          <w:right w:val="nil"/>
          <w:between w:val="nil"/>
        </w:pBdr>
        <w:spacing w:after="28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Oficio número TLA/DIU/CJ/0027/2025, del siete de marzo de dos mil veinticinco, mediante el cual el servidor público habilitado de la Dirección de Infraestructura Urbana manifestó lo siguiente:</w:t>
      </w:r>
    </w:p>
    <w:p w14:paraId="78E98FF3" w14:textId="77777777" w:rsidR="00DD7E50" w:rsidRPr="00E06C32" w:rsidRDefault="00806F94">
      <w:pPr>
        <w:pBdr>
          <w:top w:val="nil"/>
          <w:left w:val="nil"/>
          <w:bottom w:val="nil"/>
          <w:right w:val="nil"/>
          <w:between w:val="nil"/>
        </w:pBdr>
        <w:spacing w:after="28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291A62F9" wp14:editId="7453C378">
            <wp:extent cx="4320000" cy="2057143"/>
            <wp:effectExtent l="0" t="0" r="0" b="0"/>
            <wp:docPr id="20832964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320000" cy="2057143"/>
                    </a:xfrm>
                    <a:prstGeom prst="rect">
                      <a:avLst/>
                    </a:prstGeom>
                    <a:ln/>
                  </pic:spPr>
                </pic:pic>
              </a:graphicData>
            </a:graphic>
          </wp:inline>
        </w:drawing>
      </w:r>
      <w:r w:rsidRPr="00E06C32">
        <w:rPr>
          <w:rFonts w:ascii="Palatino Linotype" w:eastAsia="Palatino Linotype" w:hAnsi="Palatino Linotype" w:cs="Palatino Linotype"/>
          <w:noProof/>
        </w:rPr>
        <w:drawing>
          <wp:inline distT="0" distB="0" distL="0" distR="0" wp14:anchorId="4C7ECAB4" wp14:editId="37333BD3">
            <wp:extent cx="4320000" cy="1901096"/>
            <wp:effectExtent l="0" t="0" r="0" b="0"/>
            <wp:docPr id="20832964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20000" cy="1901096"/>
                    </a:xfrm>
                    <a:prstGeom prst="rect">
                      <a:avLst/>
                    </a:prstGeom>
                    <a:ln/>
                  </pic:spPr>
                </pic:pic>
              </a:graphicData>
            </a:graphic>
          </wp:inline>
        </w:drawing>
      </w:r>
      <w:r w:rsidRPr="00E06C32">
        <w:rPr>
          <w:rFonts w:ascii="Palatino Linotype" w:eastAsia="Palatino Linotype" w:hAnsi="Palatino Linotype" w:cs="Palatino Linotype"/>
          <w:noProof/>
        </w:rPr>
        <w:drawing>
          <wp:inline distT="0" distB="0" distL="0" distR="0" wp14:anchorId="438ADEBA" wp14:editId="418F4D94">
            <wp:extent cx="4320000" cy="1692675"/>
            <wp:effectExtent l="0" t="0" r="0" b="0"/>
            <wp:docPr id="20832964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320000" cy="1692675"/>
                    </a:xfrm>
                    <a:prstGeom prst="rect">
                      <a:avLst/>
                    </a:prstGeom>
                    <a:ln/>
                  </pic:spPr>
                </pic:pic>
              </a:graphicData>
            </a:graphic>
          </wp:inline>
        </w:drawing>
      </w:r>
    </w:p>
    <w:p w14:paraId="334467BF" w14:textId="3B342013"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lastRenderedPageBreak/>
        <w:t xml:space="preserve">10. Cierre de instrucción. </w:t>
      </w:r>
      <w:r w:rsidRPr="00E06C3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EE26C8" w:rsidRPr="00E06C32">
        <w:rPr>
          <w:rFonts w:ascii="Palatino Linotype" w:eastAsia="Palatino Linotype" w:hAnsi="Palatino Linotype" w:cs="Palatino Linotype"/>
          <w:b/>
        </w:rPr>
        <w:t xml:space="preserve">diecinueve de marzo </w:t>
      </w:r>
      <w:r w:rsidRPr="00E06C32">
        <w:rPr>
          <w:rFonts w:ascii="Palatino Linotype" w:eastAsia="Palatino Linotype" w:hAnsi="Palatino Linotype" w:cs="Palatino Linotype"/>
          <w:b/>
        </w:rPr>
        <w:t>de dos mil veinticinco</w:t>
      </w:r>
      <w:r w:rsidRPr="00E06C3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24CD7A3"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8F96C78" w14:textId="77777777" w:rsidR="00DD7E50" w:rsidRPr="00E06C32" w:rsidRDefault="00806F94">
      <w:pPr>
        <w:widowControl w:val="0"/>
        <w:spacing w:before="240" w:after="240" w:line="360" w:lineRule="auto"/>
        <w:jc w:val="center"/>
        <w:rPr>
          <w:rFonts w:ascii="Palatino Linotype" w:eastAsia="Palatino Linotype" w:hAnsi="Palatino Linotype" w:cs="Palatino Linotype"/>
          <w:b/>
        </w:rPr>
      </w:pPr>
      <w:r w:rsidRPr="00E06C32">
        <w:rPr>
          <w:rFonts w:ascii="Palatino Linotype" w:eastAsia="Palatino Linotype" w:hAnsi="Palatino Linotype" w:cs="Palatino Linotype"/>
          <w:b/>
        </w:rPr>
        <w:t>II. C O N S I D E R A N D O S</w:t>
      </w:r>
    </w:p>
    <w:p w14:paraId="53C312C8"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Primero. Competencia.</w:t>
      </w:r>
      <w:r w:rsidRPr="00E06C3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B45EAA"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E06C32">
        <w:rPr>
          <w:rFonts w:ascii="Palatino Linotype" w:eastAsia="Palatino Linotype" w:hAnsi="Palatino Linotype" w:cs="Palatino Linotype"/>
          <w:b/>
        </w:rPr>
        <w:t>Segundo. Oportunidad y Procedibilidad del Recurso de Revisión</w:t>
      </w:r>
      <w:r w:rsidRPr="00E06C32">
        <w:rPr>
          <w:rFonts w:ascii="Palatino Linotype" w:eastAsia="Palatino Linotype" w:hAnsi="Palatino Linotype" w:cs="Palatino Linotype"/>
        </w:rPr>
        <w:t xml:space="preserve">. Previo al estudio del fondo del asunto, se procede a analizar los requisitos de oportunidad y </w:t>
      </w:r>
      <w:r w:rsidRPr="00E06C32">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0BA0A210"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remitió la respuesta a la solicitud de información el día </w:t>
      </w:r>
      <w:r w:rsidRPr="00E06C32">
        <w:rPr>
          <w:rFonts w:ascii="Palatino Linotype" w:eastAsia="Palatino Linotype" w:hAnsi="Palatino Linotype" w:cs="Palatino Linotype"/>
          <w:b/>
        </w:rPr>
        <w:t xml:space="preserve">seis de febrero de dos mil veinticinco, </w:t>
      </w:r>
      <w:r w:rsidRPr="00E06C32">
        <w:rPr>
          <w:rFonts w:ascii="Palatino Linotype" w:eastAsia="Palatino Linotype" w:hAnsi="Palatino Linotype" w:cs="Palatino Linotype"/>
        </w:rPr>
        <w:t xml:space="preserve">mientras que el recurso de revisión interpuesto por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se tuvo por presentado el día</w:t>
      </w:r>
      <w:r w:rsidRPr="00E06C32">
        <w:rPr>
          <w:rFonts w:ascii="Palatino Linotype" w:eastAsia="Palatino Linotype" w:hAnsi="Palatino Linotype" w:cs="Palatino Linotype"/>
          <w:b/>
        </w:rPr>
        <w:t xml:space="preserve"> siete de febrero de dos mil veinticinco, </w:t>
      </w:r>
      <w:r w:rsidRPr="00E06C32">
        <w:rPr>
          <w:rFonts w:ascii="Palatino Linotype" w:eastAsia="Palatino Linotype" w:hAnsi="Palatino Linotype" w:cs="Palatino Linotype"/>
        </w:rPr>
        <w:t>esto es al día hábil siguiente en que tuvo conocimiento de la respuesta impugnada. En este sentido, se concluye que el presente recurso de revisión se encuentra dentro de los márgenes temporales previstos en las disposiciones legales referidas.</w:t>
      </w:r>
    </w:p>
    <w:p w14:paraId="2C75EE7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Además, por cuanto hace a la procedibilidad del recurso de revisión, es de suma importancia señalar que la parte</w:t>
      </w:r>
      <w:r w:rsidRPr="00E06C32">
        <w:rPr>
          <w:rFonts w:ascii="Palatino Linotype" w:eastAsia="Palatino Linotype" w:hAnsi="Palatino Linotype" w:cs="Palatino Linotype"/>
          <w:b/>
        </w:rPr>
        <w:t xml:space="preserve"> Recurrente</w:t>
      </w:r>
      <w:r w:rsidRPr="00E06C32">
        <w:rPr>
          <w:rFonts w:ascii="Palatino Linotype" w:eastAsia="Palatino Linotype" w:hAnsi="Palatino Linotype" w:cs="Palatino Linotype"/>
        </w:rPr>
        <w:t xml:space="preserve">, no señaló un </w:t>
      </w:r>
      <w:r w:rsidRPr="00E06C32">
        <w:rPr>
          <w:rFonts w:ascii="Palatino Linotype" w:eastAsia="Palatino Linotype" w:hAnsi="Palatino Linotype" w:cs="Palatino Linotype"/>
          <w:b/>
        </w:rPr>
        <w:t>nombre</w:t>
      </w:r>
      <w:r w:rsidRPr="00E06C32">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4B37D5" w14:textId="77777777" w:rsidR="00DD7E50" w:rsidRPr="00E06C32" w:rsidRDefault="00806F94">
      <w:pPr>
        <w:spacing w:before="120" w:after="120"/>
        <w:ind w:left="851" w:right="758"/>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Las solicitudes anónimas</w:t>
      </w:r>
      <w:r w:rsidRPr="00E06C32">
        <w:rPr>
          <w:rFonts w:ascii="Palatino Linotype" w:eastAsia="Palatino Linotype" w:hAnsi="Palatino Linotype" w:cs="Palatino Linotype"/>
          <w:i/>
          <w:sz w:val="22"/>
          <w:szCs w:val="22"/>
        </w:rPr>
        <w:t xml:space="preserve">, con nombre incompleto o </w:t>
      </w:r>
      <w:r w:rsidRPr="00E06C32">
        <w:rPr>
          <w:rFonts w:ascii="Palatino Linotype" w:eastAsia="Palatino Linotype" w:hAnsi="Palatino Linotype" w:cs="Palatino Linotype"/>
          <w:b/>
          <w:i/>
          <w:sz w:val="22"/>
          <w:szCs w:val="22"/>
        </w:rPr>
        <w:t>seudónimo</w:t>
      </w:r>
      <w:r w:rsidRPr="00E06C32">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37A9BAF9"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E06C32">
        <w:rPr>
          <w:rFonts w:ascii="Palatino Linotype" w:eastAsia="Palatino Linotype" w:hAnsi="Palatino Linotype" w:cs="Palatino Linotype"/>
          <w:b/>
        </w:rPr>
        <w:t xml:space="preserve"> SAIMEX</w:t>
      </w:r>
    </w:p>
    <w:p w14:paraId="0576BF13"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E06C32">
        <w:rPr>
          <w:rFonts w:ascii="Palatino Linotype" w:eastAsia="Palatino Linotype" w:hAnsi="Palatino Linotype" w:cs="Palatino Linotype"/>
        </w:rPr>
        <w:t xml:space="preserve">Finalmente, se advierte que resulta procedente la interposición del recurso, según lo manifestado por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en sus motivos de inconformidad, de acuerdo al artículo 179, fracciones I, IV y VIII del ordenamiento legal citado, que a la letra dice: </w:t>
      </w:r>
    </w:p>
    <w:p w14:paraId="378CDC7F" w14:textId="77777777" w:rsidR="00DD7E50" w:rsidRPr="00E06C32" w:rsidRDefault="00806F94">
      <w:pPr>
        <w:tabs>
          <w:tab w:val="left" w:pos="7938"/>
        </w:tabs>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179.</w:t>
      </w:r>
      <w:r w:rsidRPr="00E06C3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1F3CE80" w14:textId="77777777" w:rsidR="00DD7E50" w:rsidRPr="00E06C32" w:rsidRDefault="00806F94">
      <w:pPr>
        <w:tabs>
          <w:tab w:val="left" w:pos="7938"/>
        </w:tabs>
        <w:spacing w:before="120" w:after="120"/>
        <w:ind w:left="1134"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La negativa a la información solicitada</w:t>
      </w:r>
      <w:r w:rsidRPr="00E06C32">
        <w:rPr>
          <w:rFonts w:ascii="Palatino Linotype" w:hAnsi="Palatino Linotype"/>
          <w:sz w:val="22"/>
          <w:szCs w:val="22"/>
        </w:rPr>
        <w:t>;</w:t>
      </w:r>
    </w:p>
    <w:p w14:paraId="7145E096" w14:textId="77777777" w:rsidR="00DD7E50" w:rsidRPr="00E06C32" w:rsidRDefault="00806F94">
      <w:pPr>
        <w:tabs>
          <w:tab w:val="left" w:pos="7938"/>
        </w:tabs>
        <w:spacing w:before="120" w:after="120"/>
        <w:ind w:left="1134"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w:t>
      </w:r>
    </w:p>
    <w:p w14:paraId="20C5BD66" w14:textId="77777777" w:rsidR="00DD7E50" w:rsidRPr="00E06C32" w:rsidRDefault="00806F94">
      <w:pPr>
        <w:tabs>
          <w:tab w:val="left" w:pos="7938"/>
        </w:tabs>
        <w:spacing w:before="120" w:after="120"/>
        <w:ind w:left="1134"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IV.</w:t>
      </w:r>
      <w:r w:rsidRPr="00E06C32">
        <w:rPr>
          <w:rFonts w:ascii="Palatino Linotype" w:eastAsia="Palatino Linotype" w:hAnsi="Palatino Linotype" w:cs="Palatino Linotype"/>
          <w:i/>
          <w:sz w:val="22"/>
          <w:szCs w:val="22"/>
        </w:rPr>
        <w:t xml:space="preserve"> La declaración de incompetencia por el sujeto obligado;</w:t>
      </w:r>
    </w:p>
    <w:p w14:paraId="5CFFC2E7" w14:textId="77777777" w:rsidR="00DD7E50" w:rsidRPr="00E06C32" w:rsidRDefault="00806F94">
      <w:pPr>
        <w:tabs>
          <w:tab w:val="left" w:pos="7938"/>
        </w:tabs>
        <w:spacing w:before="120" w:after="120"/>
        <w:ind w:left="1134"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w:t>
      </w:r>
    </w:p>
    <w:p w14:paraId="5AE4F162" w14:textId="77777777" w:rsidR="00DD7E50" w:rsidRPr="00E06C32" w:rsidRDefault="00806F94">
      <w:pPr>
        <w:tabs>
          <w:tab w:val="left" w:pos="7938"/>
        </w:tabs>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VIII</w:t>
      </w:r>
      <w:r w:rsidRPr="00E06C32">
        <w:rPr>
          <w:rFonts w:ascii="Palatino Linotype" w:eastAsia="Palatino Linotype" w:hAnsi="Palatino Linotype" w:cs="Palatino Linotype"/>
          <w:i/>
          <w:sz w:val="22"/>
          <w:szCs w:val="22"/>
        </w:rPr>
        <w:t>. La notificación, entrega o puesta a disposición de información en una modalidad o formato distinto al solicitado;”</w:t>
      </w:r>
    </w:p>
    <w:p w14:paraId="1C0D11CC"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 xml:space="preserve">Tercero. Materia de la revisión. </w:t>
      </w:r>
      <w:r w:rsidRPr="00E06C3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06C32">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E06C32">
        <w:rPr>
          <w:rFonts w:ascii="Palatino Linotype" w:eastAsia="Palatino Linotype" w:hAnsi="Palatino Linotype" w:cs="Palatino Linotype"/>
        </w:rPr>
        <w:t xml:space="preserve">de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o en su defecto, en caso de ser procedente, ordenar la entrega de información.</w:t>
      </w:r>
    </w:p>
    <w:p w14:paraId="3C7086BE"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E06C32">
        <w:rPr>
          <w:rFonts w:ascii="Palatino Linotype" w:eastAsia="Palatino Linotype" w:hAnsi="Palatino Linotype" w:cs="Palatino Linotype"/>
          <w:b/>
        </w:rPr>
        <w:lastRenderedPageBreak/>
        <w:t xml:space="preserve">Cuarto. Estudio del asunto. </w:t>
      </w:r>
      <w:r w:rsidRPr="00E06C32">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3EDF360"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4</w:t>
      </w:r>
      <w:r w:rsidRPr="00E06C3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9E873D"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06C3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B6EF13"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06C32">
        <w:rPr>
          <w:rFonts w:ascii="Palatino Linotype" w:eastAsia="Palatino Linotype" w:hAnsi="Palatino Linotype" w:cs="Palatino Linotype"/>
          <w:i/>
          <w:sz w:val="22"/>
          <w:szCs w:val="22"/>
        </w:rPr>
        <w:t>.”</w:t>
      </w:r>
    </w:p>
    <w:p w14:paraId="5AFE836B"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sidRPr="00E06C32">
        <w:rPr>
          <w:rFonts w:ascii="Palatino Linotype" w:eastAsia="Palatino Linotype" w:hAnsi="Palatino Linotype" w:cs="Palatino Linotype"/>
        </w:rPr>
        <w:lastRenderedPageBreak/>
        <w:t>al interés del solicitante; como así lo establece el artículo 12 de la Ley de Transparencia y Acceso a la Información Pública del Estado de México y Municipios, que a la letra dice:</w:t>
      </w:r>
    </w:p>
    <w:p w14:paraId="71047FB4"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12.-</w:t>
      </w:r>
      <w:r w:rsidRPr="00E06C3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A40271"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2FE922D" w14:textId="77777777" w:rsidR="00DD7E50" w:rsidRPr="00E06C32" w:rsidRDefault="00806F94">
      <w:pPr>
        <w:spacing w:before="240" w:after="240" w:line="360" w:lineRule="auto"/>
        <w:ind w:right="-93"/>
        <w:jc w:val="both"/>
        <w:rPr>
          <w:rFonts w:ascii="Palatino Linotype" w:eastAsia="Palatino Linotype" w:hAnsi="Palatino Linotype" w:cs="Palatino Linotype"/>
        </w:rPr>
      </w:pPr>
      <w:r w:rsidRPr="00E06C3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B3A9C1D"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E06C32">
        <w:rPr>
          <w:rFonts w:ascii="Palatino Linotype" w:eastAsia="Palatino Linotype" w:hAnsi="Palatino Linotype" w:cs="Palatino Linotype"/>
        </w:rPr>
        <w:t>que</w:t>
      </w:r>
      <w:proofErr w:type="gramEnd"/>
      <w:r w:rsidRPr="00E06C32">
        <w:rPr>
          <w:rFonts w:ascii="Palatino Linotype" w:eastAsia="Palatino Linotype" w:hAnsi="Palatino Linotype" w:cs="Palatino Linotype"/>
        </w:rPr>
        <w:t xml:space="preserve"> por rubro y texto, dispone lo siguiente:</w:t>
      </w:r>
      <w:r w:rsidRPr="00E06C32">
        <w:rPr>
          <w:rFonts w:ascii="Palatino Linotype" w:eastAsia="Palatino Linotype" w:hAnsi="Palatino Linotype" w:cs="Palatino Linotype"/>
          <w:b/>
        </w:rPr>
        <w:t xml:space="preserve"> </w:t>
      </w:r>
    </w:p>
    <w:p w14:paraId="42840796"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No existe obligación de elaborar documentos ad hoc para atender las solicitudes de acceso a la información.</w:t>
      </w:r>
      <w:r w:rsidRPr="00E06C3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w:t>
      </w:r>
      <w:r w:rsidRPr="00E06C32">
        <w:rPr>
          <w:rFonts w:ascii="Palatino Linotype" w:eastAsia="Palatino Linotype" w:hAnsi="Palatino Linotype" w:cs="Palatino Linotype"/>
          <w:i/>
          <w:sz w:val="22"/>
          <w:szCs w:val="22"/>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5E23D37E" w14:textId="77777777" w:rsidR="00DD7E50" w:rsidRPr="00E06C32" w:rsidRDefault="00806F94">
      <w:pPr>
        <w:spacing w:before="120" w:after="12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7565FD" w14:textId="77777777" w:rsidR="00DD7E50" w:rsidRPr="00E06C32" w:rsidRDefault="00806F94">
      <w:pPr>
        <w:spacing w:before="120" w:after="12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D64CE2"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 xml:space="preserve">Artículo 3. </w:t>
      </w:r>
      <w:r w:rsidRPr="00E06C32">
        <w:rPr>
          <w:rFonts w:ascii="Palatino Linotype" w:eastAsia="Palatino Linotype" w:hAnsi="Palatino Linotype" w:cs="Palatino Linotype"/>
          <w:i/>
          <w:sz w:val="22"/>
          <w:szCs w:val="22"/>
        </w:rPr>
        <w:t>Para los efectos de la presente Ley se entenderá por:</w:t>
      </w:r>
    </w:p>
    <w:p w14:paraId="39508039"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6053E9F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XI. Documento:</w:t>
      </w:r>
      <w:r w:rsidRPr="00E06C32">
        <w:rPr>
          <w:rFonts w:ascii="Palatino Linotype" w:eastAsia="Palatino Linotype" w:hAnsi="Palatino Linotype" w:cs="Palatino Linotype"/>
          <w:i/>
          <w:sz w:val="22"/>
          <w:szCs w:val="22"/>
        </w:rPr>
        <w:t xml:space="preserve"> Los expedientes, reportes, estudios, actas</w:t>
      </w:r>
      <w:r w:rsidRPr="00E06C32">
        <w:rPr>
          <w:rFonts w:ascii="Palatino Linotype" w:eastAsia="Palatino Linotype" w:hAnsi="Palatino Linotype" w:cs="Palatino Linotype"/>
          <w:b/>
          <w:i/>
          <w:sz w:val="22"/>
          <w:szCs w:val="22"/>
        </w:rPr>
        <w:t>,</w:t>
      </w:r>
      <w:r w:rsidRPr="00E06C3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w:t>
      </w:r>
      <w:r w:rsidRPr="00E06C32">
        <w:rPr>
          <w:rFonts w:ascii="Palatino Linotype" w:eastAsia="Palatino Linotype" w:hAnsi="Palatino Linotype" w:cs="Palatino Linotype"/>
          <w:i/>
          <w:sz w:val="22"/>
          <w:szCs w:val="22"/>
        </w:rPr>
        <w:lastRenderedPageBreak/>
        <w:t xml:space="preserve">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E429739"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B022ED"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sz w:val="22"/>
          <w:szCs w:val="22"/>
        </w:rPr>
        <w:t>“</w:t>
      </w:r>
      <w:r w:rsidRPr="00E06C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06C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38A0F0"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En </w:t>
      </w:r>
      <w:proofErr w:type="gramStart"/>
      <w:r w:rsidRPr="00E06C32">
        <w:rPr>
          <w:rFonts w:ascii="Palatino Linotype" w:eastAsia="Palatino Linotype" w:hAnsi="Palatino Linotype" w:cs="Palatino Linotype"/>
          <w:i/>
          <w:sz w:val="22"/>
          <w:szCs w:val="22"/>
        </w:rPr>
        <w:t>consecuencia</w:t>
      </w:r>
      <w:proofErr w:type="gramEnd"/>
      <w:r w:rsidRPr="00E06C3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A82CB9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06C32">
        <w:rPr>
          <w:rFonts w:ascii="Palatino Linotype" w:eastAsia="Palatino Linotype" w:hAnsi="Palatino Linotype" w:cs="Palatino Linotype"/>
          <w:i/>
          <w:sz w:val="22"/>
          <w:szCs w:val="22"/>
        </w:rPr>
        <w:t>que</w:t>
      </w:r>
      <w:proofErr w:type="gramEnd"/>
      <w:r w:rsidRPr="00E06C32">
        <w:rPr>
          <w:rFonts w:ascii="Palatino Linotype" w:eastAsia="Palatino Linotype" w:hAnsi="Palatino Linotype" w:cs="Palatino Linotype"/>
          <w:i/>
          <w:sz w:val="22"/>
          <w:szCs w:val="22"/>
        </w:rPr>
        <w:t xml:space="preserve"> en ejercicio de las atribuciones conferidas, sea generada por los Sujetos Obligados;</w:t>
      </w:r>
    </w:p>
    <w:p w14:paraId="66C82BE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E06C32">
        <w:rPr>
          <w:rFonts w:ascii="Palatino Linotype" w:eastAsia="Palatino Linotype" w:hAnsi="Palatino Linotype" w:cs="Palatino Linotype"/>
          <w:i/>
          <w:sz w:val="22"/>
          <w:szCs w:val="22"/>
        </w:rPr>
        <w:t>que</w:t>
      </w:r>
      <w:proofErr w:type="gramEnd"/>
      <w:r w:rsidRPr="00E06C32">
        <w:rPr>
          <w:rFonts w:ascii="Palatino Linotype" w:eastAsia="Palatino Linotype" w:hAnsi="Palatino Linotype" w:cs="Palatino Linotype"/>
          <w:i/>
          <w:sz w:val="22"/>
          <w:szCs w:val="22"/>
        </w:rPr>
        <w:t xml:space="preserve"> en ejercicio de las atribuciones conferidas, sea administrada por los Sujetos Obligados, y</w:t>
      </w:r>
    </w:p>
    <w:p w14:paraId="2848250A"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E06C32">
        <w:rPr>
          <w:rFonts w:ascii="Palatino Linotype" w:eastAsia="Palatino Linotype" w:hAnsi="Palatino Linotype" w:cs="Palatino Linotype"/>
          <w:i/>
          <w:sz w:val="22"/>
          <w:szCs w:val="22"/>
        </w:rPr>
        <w:t>que</w:t>
      </w:r>
      <w:proofErr w:type="gramEnd"/>
      <w:r w:rsidRPr="00E06C32">
        <w:rPr>
          <w:rFonts w:ascii="Palatino Linotype" w:eastAsia="Palatino Linotype" w:hAnsi="Palatino Linotype" w:cs="Palatino Linotype"/>
          <w:i/>
          <w:sz w:val="22"/>
          <w:szCs w:val="22"/>
        </w:rPr>
        <w:t xml:space="preserve"> en ejercicio de las atribuciones conferidas, se encuentre en posesión de los Sujetos Obligados.”</w:t>
      </w:r>
    </w:p>
    <w:p w14:paraId="72C1C35A"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w:t>
      </w:r>
      <w:r w:rsidRPr="00E06C32">
        <w:rPr>
          <w:rFonts w:ascii="Palatino Linotype" w:eastAsia="Palatino Linotype" w:hAnsi="Palatino Linotype" w:cs="Palatino Linotype"/>
        </w:rPr>
        <w:lastRenderedPageBreak/>
        <w:t>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7041EB"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39D8F58"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requirió al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le proporcione, información consistente en lo siguiente:</w:t>
      </w:r>
    </w:p>
    <w:p w14:paraId="4E90D492" w14:textId="77777777" w:rsidR="00DD7E50" w:rsidRPr="00E06C32" w:rsidRDefault="00806F94">
      <w:pPr>
        <w:spacing w:before="240" w:after="240" w:line="360" w:lineRule="auto"/>
        <w:ind w:left="284"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1. Expediente único de obra completo de la obra de drenaje ubicada en la Avenida Hermilo Mena, incluido el expediente de contratación, la propuesta técnica y </w:t>
      </w:r>
      <w:r w:rsidRPr="00E06C32">
        <w:rPr>
          <w:rFonts w:ascii="Palatino Linotype" w:eastAsia="Palatino Linotype" w:hAnsi="Palatino Linotype" w:cs="Palatino Linotype"/>
        </w:rPr>
        <w:lastRenderedPageBreak/>
        <w:t>económica, así como los permisos y documentos con las instancias de los gobiernos estatales y federales, y de la empresa privada, donde se realizan los trabajos, y que obren en los archivos de la Dirección de Obras Públicas o su equivalente, relacionados con la ejecución de lo obra pública, en versión pública.</w:t>
      </w:r>
    </w:p>
    <w:p w14:paraId="2537C852" w14:textId="77777777" w:rsidR="00DD7E50" w:rsidRPr="00E06C32" w:rsidRDefault="00806F94">
      <w:pPr>
        <w:spacing w:before="240" w:after="240" w:line="360" w:lineRule="auto"/>
        <w:ind w:left="284" w:right="49"/>
        <w:jc w:val="both"/>
        <w:rPr>
          <w:rFonts w:ascii="Palatino Linotype" w:eastAsia="Palatino Linotype" w:hAnsi="Palatino Linotype" w:cs="Palatino Linotype"/>
        </w:rPr>
      </w:pPr>
      <w:r w:rsidRPr="00E06C32">
        <w:rPr>
          <w:rFonts w:ascii="Palatino Linotype" w:eastAsia="Palatino Linotype" w:hAnsi="Palatino Linotype" w:cs="Palatino Linotype"/>
        </w:rPr>
        <w:t>2. De las obras públicas o contratos de 2024, todas las actas de entrega recepción, así como la caratula de la estimación finiquito de cada obra pública o contrato.</w:t>
      </w:r>
    </w:p>
    <w:p w14:paraId="680CBF1D" w14:textId="77777777" w:rsidR="00DD7E50" w:rsidRPr="00E06C32" w:rsidRDefault="00806F94">
      <w:pPr>
        <w:spacing w:before="240" w:after="240" w:line="360" w:lineRule="auto"/>
        <w:ind w:left="284" w:right="49"/>
        <w:jc w:val="both"/>
        <w:rPr>
          <w:rFonts w:ascii="Palatino Linotype" w:eastAsia="Palatino Linotype" w:hAnsi="Palatino Linotype" w:cs="Palatino Linotype"/>
          <w:b/>
        </w:rPr>
      </w:pPr>
      <w:r w:rsidRPr="00E06C32">
        <w:rPr>
          <w:rFonts w:ascii="Palatino Linotype" w:eastAsia="Palatino Linotype" w:hAnsi="Palatino Linotype" w:cs="Palatino Linotype"/>
        </w:rPr>
        <w:t xml:space="preserve">3. De cada uno de los servidores públicos adscritos a la Dirección de Obras Públicas o su equivalente, el </w:t>
      </w:r>
      <w:proofErr w:type="spellStart"/>
      <w:r w:rsidRPr="00E06C32">
        <w:rPr>
          <w:rFonts w:ascii="Palatino Linotype" w:eastAsia="Palatino Linotype" w:hAnsi="Palatino Linotype" w:cs="Palatino Linotype"/>
        </w:rPr>
        <w:t>curriculum</w:t>
      </w:r>
      <w:proofErr w:type="spellEnd"/>
      <w:r w:rsidRPr="00E06C32">
        <w:rPr>
          <w:rFonts w:ascii="Palatino Linotype" w:eastAsia="Palatino Linotype" w:hAnsi="Palatino Linotype" w:cs="Palatino Linotype"/>
        </w:rPr>
        <w:t xml:space="preserve"> vitae, nombramiento y certificación de competencia laboral con lo cual se acredite la experiencia profesional para ocupar el cargo que ostentan, así como el recibo de nómina a la primera quincena y sus percepciones quincenales.</w:t>
      </w:r>
    </w:p>
    <w:p w14:paraId="4C0CA6C2"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Cabe señalar que la persona solicitante requirió información de la Dirección de Obras Públicas o equivalente, por lo que es oportuno mencionar que de conformidad con el artículo 32 del Bando Municipal de Tlalnepantla vigente, la dependencia administrativa equivalente es la Dirección de Infraestructura Urbana.  </w:t>
      </w:r>
    </w:p>
    <w:p w14:paraId="1C66378C"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respuesta, por conducto de la Unidad de Transparencia,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declaró la incompetencia para atender el punto 1 de la solicitud, por lo que sugirió a la persona solicitante presentar la solicitud ante el Organismo Público Descentralizado para la Prestación de los Servicios de Agua Potable, Alcantarillado y Saneamiento del Municipio de Tlalnepantla de Baz, en términos del artículo 167 de la Ley de Transparencia y Acceso a la Información Pública del Estado de México y Municipios.</w:t>
      </w:r>
    </w:p>
    <w:p w14:paraId="186DABE3"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Por lo que se refiere al resto de la información solicitada, el servidor público habilitado de la Dirección de Infraestructura Urbana propuso el cambio de modalidad en la entrega de la información a consulta directa, bajo el argumento de que  el peso de la información solicitada es de aproximadamente 3.90 GB, el cual sobrepasa las capacidades técnicas del SAIMEX, el cual fue aprobado por el Comité de Transparencia en la Quinta Sesión Ordinaria mediante el ACUERDO DE CAMBIO DE MODALIDAD NÚMERO 15/CT/05-ORD/2025, el cual fue anexado a la respuesta junto con el ACUERDO DE CLASIFICACIÓN 04/CT/05-ORD/2025, aprobado en la misma sesión, por lo que se refiere a la versión pública de la información mediante la cual se dará atención a la solicitud.</w:t>
      </w:r>
    </w:p>
    <w:p w14:paraId="4267D584"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Al no estar conforme con los términos de la respuesta emitida,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 xml:space="preserve">interpuso el recurso de revisión que nos ocupa, donde señaló como motivo de inconformidad, en lo medular, la negativa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de entregar la información, por lo que en el acto solicitó se le conmine a la entrega de la misma.</w:t>
      </w:r>
    </w:p>
    <w:p w14:paraId="24770FA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Asimismo,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 xml:space="preserve">solicitó la acreditación de la personalidad del servidor público habilitado, información </w:t>
      </w:r>
      <w:proofErr w:type="gramStart"/>
      <w:r w:rsidRPr="00E06C32">
        <w:rPr>
          <w:rFonts w:ascii="Palatino Linotype" w:eastAsia="Palatino Linotype" w:hAnsi="Palatino Linotype" w:cs="Palatino Linotype"/>
        </w:rPr>
        <w:t>que</w:t>
      </w:r>
      <w:proofErr w:type="gramEnd"/>
      <w:r w:rsidRPr="00E06C32">
        <w:rPr>
          <w:rFonts w:ascii="Palatino Linotype" w:eastAsia="Palatino Linotype" w:hAnsi="Palatino Linotype" w:cs="Palatino Linotype"/>
        </w:rPr>
        <w:t xml:space="preserve"> si bien pudiera considerarse como una ampliación a la solicitud, no debe perderse de vista que en la solicitud inicial se requirió la entrega de los nombramientos de los servidores públicos adscritos a la Dirección de Infraestructura Urbana, por lo que se considera que a través de dicho pronunciamiento se reitera el requerimiento inicial.</w:t>
      </w:r>
    </w:p>
    <w:p w14:paraId="06A1612D"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Durante la etapa de manifestaciones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por conducto de la Unidad de Transparencia ratificó en lo sustancial la respuesta emitida en primera instancia, </w:t>
      </w:r>
      <w:r w:rsidRPr="00E06C32">
        <w:rPr>
          <w:rFonts w:ascii="Palatino Linotype" w:eastAsia="Palatino Linotype" w:hAnsi="Palatino Linotype" w:cs="Palatino Linotype"/>
        </w:rPr>
        <w:lastRenderedPageBreak/>
        <w:t xml:space="preserve">mientras que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fue omisa en ejercer dicha prerrogativa como se señaló anteriormente.</w:t>
      </w:r>
    </w:p>
    <w:p w14:paraId="7819C274" w14:textId="77777777" w:rsidR="00DD7E50" w:rsidRPr="00E06C32" w:rsidRDefault="00806F94">
      <w:pPr>
        <w:spacing w:before="280" w:after="28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en contraposición con el motivo de inconformidad alegado por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F45C472" w14:textId="77777777" w:rsidR="00DD7E50" w:rsidRPr="00E06C32" w:rsidRDefault="00806F94">
      <w:pPr>
        <w:numPr>
          <w:ilvl w:val="0"/>
          <w:numId w:val="2"/>
        </w:num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De la incompetencia del Sujeto Obligado.</w:t>
      </w:r>
    </w:p>
    <w:p w14:paraId="028DF6E6"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este tenor, por lo que se refiere al requerimiento de información marcado con el numeral 1, por medio del cual se requirió el </w:t>
      </w:r>
      <w:r w:rsidRPr="00E06C32">
        <w:rPr>
          <w:rFonts w:ascii="Palatino Linotype" w:eastAsia="Palatino Linotype" w:hAnsi="Palatino Linotype" w:cs="Palatino Linotype"/>
          <w:b/>
        </w:rPr>
        <w:t xml:space="preserve">expediente único de obra completo de la obra de drenaje ubicado en la Avenida Hermilo Mena, incluido el expediente de contratación, la propuesta técnica y económica, así como los permisos y documentos con las instancias de los gobiernos estatales y federales, y de la empresa privada, donde se realizan los trabajos, y que obren en los archivos de la Dirección de Obras Públicas o su equivalente, relacionados con la ejecución de lo obra pública, en versión pública, </w:t>
      </w:r>
      <w:r w:rsidRPr="00E06C32">
        <w:rPr>
          <w:rFonts w:ascii="Palatino Linotype" w:eastAsia="Palatino Linotype" w:hAnsi="Palatino Linotype" w:cs="Palatino Linotype"/>
        </w:rPr>
        <w:t xml:space="preserve">es de recordar que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se declaró incompetente en términos del artículo 167 de la Ley de Transparencia y Acceso a la Información Pública del Estado de México y Municipios, para atender el mismo por medio de la Unidad de Transparencia, como la unidad administrativa cuyo objetivo consiste en tutelar y garantizar a toda persona el ejercicio del derecho humano de </w:t>
      </w:r>
      <w:r w:rsidRPr="00E06C32">
        <w:rPr>
          <w:rFonts w:ascii="Palatino Linotype" w:eastAsia="Palatino Linotype" w:hAnsi="Palatino Linotype" w:cs="Palatino Linotype"/>
        </w:rPr>
        <w:lastRenderedPageBreak/>
        <w:t>acceso a la información pública privilegiando el principio de máxima publicidad de la información, por lo que sugirió a la persona solicitante presentar su solicitud ante el Organismo Público Descentralizado para la Prestación de los Servicios de Agua Potable, Alcantarillado y Saneamiento del Municipio de Tlalnepantla de Baz.</w:t>
      </w:r>
    </w:p>
    <w:p w14:paraId="1B4592D9"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Cabe mencionar que el contenido del artículo referido es el siguiente:</w:t>
      </w:r>
    </w:p>
    <w:p w14:paraId="571F58A3" w14:textId="77777777" w:rsidR="00DD7E50" w:rsidRPr="00E06C32" w:rsidRDefault="00806F94">
      <w:pPr>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167</w:t>
      </w:r>
      <w:r w:rsidRPr="00E06C32">
        <w:rPr>
          <w:rFonts w:ascii="Palatino Linotype" w:eastAsia="Palatino Linotype" w:hAnsi="Palatino Linotype" w:cs="Palatino Linotype"/>
          <w:i/>
          <w:sz w:val="22"/>
          <w:szCs w:val="22"/>
        </w:rPr>
        <w:t>.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89852D5" w14:textId="77777777" w:rsidR="00DD7E50" w:rsidRPr="00E06C32" w:rsidRDefault="00806F94">
      <w:pPr>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6AEAB9E" w14:textId="77777777" w:rsidR="00DD7E50" w:rsidRPr="00E06C32" w:rsidRDefault="00806F94">
      <w:pPr>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65FA9800" w14:textId="77777777" w:rsidR="00DD7E50" w:rsidRPr="00E06C32" w:rsidRDefault="00806F94">
      <w:pPr>
        <w:spacing w:before="240" w:after="240" w:line="360" w:lineRule="auto"/>
        <w:ind w:right="51"/>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En este sentido, es oportuno mencionar que de conformidad con el tomando en consideración el pronunciamiento emitido por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en respuesta a la solicitud, es oportuno partir de lo establecido en el artículo 115, primer párrafo, fracción III,  de la Constitución Política de los Estados Unidos Mexicanos, el cual dispone que los estados adoptarán para su régimen interior, la forma de gobierno republicano, representativo, democrático, laico y popular, teniendo como base de su división territorial y de su organización política y administrativa, el municipio libre, el cual tiene a su cargo las funciones y servicios públicos, entre los que se </w:t>
      </w:r>
      <w:r w:rsidRPr="00E06C32">
        <w:rPr>
          <w:rFonts w:ascii="Palatino Linotype" w:eastAsia="Palatino Linotype" w:hAnsi="Palatino Linotype" w:cs="Palatino Linotype"/>
        </w:rPr>
        <w:lastRenderedPageBreak/>
        <w:t xml:space="preserve">encuentra el de </w:t>
      </w:r>
      <w:r w:rsidRPr="00E06C32">
        <w:rPr>
          <w:rFonts w:ascii="Palatino Linotype" w:eastAsia="Palatino Linotype" w:hAnsi="Palatino Linotype" w:cs="Palatino Linotype"/>
          <w:b/>
          <w:u w:val="single"/>
        </w:rPr>
        <w:t>agua potable, drenaje, alcantarillado, tratamiento y disposición de sus aguas residuales.</w:t>
      </w:r>
    </w:p>
    <w:p w14:paraId="59A61C67"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el mismo tenor, los artículos 112 y 122, párrafo segundo de la Constitución Política del Estado Libre y Soberano de México dispone que la base de la división territorial y de la organización política y administrativa del Estado, es el municipio libre, y que este tendrá a su cargo las funciones y servicios públicos que señala la fracción III del artículo 115 de la Constitución Política de los Estados Unidos Mexicanos.</w:t>
      </w:r>
    </w:p>
    <w:p w14:paraId="549C848B"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Por su parte, el artículo 125 de la Ley Orgánica Municipal del Estado de México, señala que los municipios tendrán a su cargo la prestación, explotación, administración y conservación de los servicios públicos municipales, entre los que se encuentra el de agua potable, alcantarillado, saneamiento y aguas residuales,</w:t>
      </w:r>
      <w:r w:rsidRPr="00E06C32">
        <w:rPr>
          <w:rFonts w:ascii="Palatino Linotype" w:eastAsia="Palatino Linotype" w:hAnsi="Palatino Linotype" w:cs="Palatino Linotype"/>
          <w:i/>
        </w:rPr>
        <w:t xml:space="preserve"> </w:t>
      </w:r>
      <w:r w:rsidRPr="00E06C32">
        <w:rPr>
          <w:rFonts w:ascii="Palatino Linotype" w:eastAsia="Palatino Linotype" w:hAnsi="Palatino Linotype" w:cs="Palatino Linotype"/>
        </w:rPr>
        <w:t>a saber:</w:t>
      </w:r>
    </w:p>
    <w:p w14:paraId="13959C45"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125</w:t>
      </w:r>
      <w:r w:rsidRPr="00E06C32">
        <w:rPr>
          <w:rFonts w:ascii="Palatino Linotype" w:eastAsia="Palatino Linotype" w:hAnsi="Palatino Linotype" w:cs="Palatino Linotype"/>
          <w:i/>
          <w:sz w:val="22"/>
          <w:szCs w:val="22"/>
        </w:rPr>
        <w:t xml:space="preserve">.- Los municipios tendrán a su cargo la prestación, explotación, administración y conservación de los servicios públicos municipales, considerándose enunciativa y no limitativamente, los siguientes: </w:t>
      </w:r>
    </w:p>
    <w:p w14:paraId="6D98B963"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Agua potable, alcantarillado, saneamiento y aguas residuales;”</w:t>
      </w:r>
    </w:p>
    <w:p w14:paraId="170CFF42"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Lo anterior, se traduce en que las facultades que la Constitución de la República y la Constitución Estatal otorgan al gobierno municipal se ejercerá por el ayuntamiento de manera exclusiva y no habrá autoridad intermedia alguna entre este y el gobierno del Estado, por consiguiente, los municipios están investidos de personalidad jurídica propia, con un gobierno autónomo en su régimen interior, facultados para regular su funcionamiento de conformidad con las disposiciones </w:t>
      </w:r>
      <w:r w:rsidRPr="00E06C32">
        <w:rPr>
          <w:rFonts w:ascii="Palatino Linotype" w:eastAsia="Palatino Linotype" w:hAnsi="Palatino Linotype" w:cs="Palatino Linotype"/>
        </w:rPr>
        <w:lastRenderedPageBreak/>
        <w:t xml:space="preserve">legales aplicables, asimismo, están facultados para prestar, explotar, administrar y conservar los servicios públicos municipales, entre los que se encuentran el de </w:t>
      </w:r>
      <w:r w:rsidRPr="00E06C32">
        <w:rPr>
          <w:rFonts w:ascii="Palatino Linotype" w:eastAsia="Palatino Linotype" w:hAnsi="Palatino Linotype" w:cs="Palatino Linotype"/>
          <w:i/>
        </w:rPr>
        <w:t>agua potable, alcantarillado, saneamiento y aguas residuales.</w:t>
      </w:r>
    </w:p>
    <w:p w14:paraId="68A936DB"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No obstante, no debe perderse de vista el contenido del artículo 126 de la Ley Orgánica Municipal del Estado de México, el cual dispone que </w:t>
      </w:r>
      <w:r w:rsidRPr="00E06C32">
        <w:rPr>
          <w:rFonts w:ascii="Palatino Linotype" w:eastAsia="Palatino Linotype" w:hAnsi="Palatino Linotype" w:cs="Palatino Linotype"/>
          <w:b/>
        </w:rPr>
        <w:t>la prestación de los servicios públicos deberá realizarse por los ayuntamientos, sus unidades administrativas y organismos auxiliares</w:t>
      </w:r>
      <w:r w:rsidRPr="00E06C32">
        <w:rPr>
          <w:rFonts w:ascii="Palatino Linotype" w:eastAsia="Palatino Linotype" w:hAnsi="Palatino Linotype" w:cs="Palatino Linotype"/>
        </w:rPr>
        <w:t>, quienes podrán coordinarse con el Estado o con otros municipios para la eficacia en su prestación, asimismo, que podrá concesionarse a terceros la prestación de servicios públicos municipales, a excepción de los de Seguridad Pública y Tránsito, prefiriéndose en igualdad de circunstancias a vecinos del municipio</w:t>
      </w:r>
      <w:r w:rsidRPr="00E06C32">
        <w:rPr>
          <w:rFonts w:ascii="Palatino Linotype" w:hAnsi="Palatino Linotype"/>
        </w:rPr>
        <w:t>.</w:t>
      </w:r>
    </w:p>
    <w:p w14:paraId="3EAA4C05"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Al respecto, es oportuno mencionar que el artículo 86 de la Ley Orgánica Municipal del Estado de México, establece </w:t>
      </w:r>
      <w:proofErr w:type="gramStart"/>
      <w:r w:rsidRPr="00E06C32">
        <w:rPr>
          <w:rFonts w:ascii="Palatino Linotype" w:eastAsia="Palatino Linotype" w:hAnsi="Palatino Linotype" w:cs="Palatino Linotype"/>
        </w:rPr>
        <w:t>que</w:t>
      </w:r>
      <w:proofErr w:type="gramEnd"/>
      <w:r w:rsidRPr="00E06C32">
        <w:rPr>
          <w:rFonts w:ascii="Palatino Linotype" w:eastAsia="Palatino Linotype" w:hAnsi="Palatino Linotype" w:cs="Palatino Linotype"/>
        </w:rPr>
        <w:t xml:space="preserve"> para el ejercicio de sus atribuciones y responsabilidades ejecutivas, el ayuntamiento se auxiliará con las dependencias y entidades de la administración pública municipal, que en cada caso acuerde el cabildo a propuesta de la persona titular de la presidencia municipal, las que estarán subordinadas a esta. Asimismo, que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 </w:t>
      </w:r>
    </w:p>
    <w:p w14:paraId="26333B34"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En el caso que nos ocupa, el artículo 33 del Bando Municipal de Tlalnepantla de Baz dispone que entre los Organismo Descentralizados que forman parte de la administración pública municipal, se encuentra el Organismo Público Descentralizado para la Prestación de los Servicios de Agua Potable, Alcantarillado y Saneamiento del Municipio de Tlalnepantla, México (OPDM).</w:t>
      </w:r>
    </w:p>
    <w:p w14:paraId="1672F623"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Cabe señalar que de conformidad con el artículo 37, párrafo primero de la Ley del Agua para el Estado de México y Municipios vigente, los organismos públicos descentralizados operadores están dotados de personalidad jurídica y patrimonio propios, así como autonomía técnica y administrativa en el manejo de sus recursos:</w:t>
      </w:r>
    </w:p>
    <w:p w14:paraId="535951B0"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rPr>
        <w:t>“</w:t>
      </w:r>
      <w:r w:rsidRPr="00E06C32">
        <w:rPr>
          <w:rFonts w:ascii="Palatino Linotype" w:eastAsia="Palatino Linotype" w:hAnsi="Palatino Linotype" w:cs="Palatino Linotype"/>
          <w:b/>
          <w:i/>
          <w:sz w:val="22"/>
          <w:szCs w:val="22"/>
        </w:rPr>
        <w:t>Artículo 37.- Los organismos operadores</w:t>
      </w:r>
      <w:r w:rsidRPr="00E06C32">
        <w:rPr>
          <w:rFonts w:ascii="Palatino Linotype" w:eastAsia="Palatino Linotype" w:hAnsi="Palatino Linotype" w:cs="Palatino Linotype"/>
          <w:i/>
          <w:sz w:val="22"/>
          <w:szCs w:val="22"/>
        </w:rPr>
        <w:t xml:space="preserve"> podrán ser municipales o intermunicipales. </w:t>
      </w:r>
      <w:r w:rsidRPr="00E06C32">
        <w:rPr>
          <w:rFonts w:ascii="Palatino Linotype" w:eastAsia="Palatino Linotype" w:hAnsi="Palatino Linotype" w:cs="Palatino Linotype"/>
          <w:b/>
          <w:i/>
          <w:sz w:val="22"/>
          <w:szCs w:val="22"/>
          <w:u w:val="single"/>
        </w:rPr>
        <w:t>Tendrán personalidad jurídica y patrimonio propios, así como autonomía técnica y administrativa en el manejo de sus recursos</w:t>
      </w:r>
      <w:r w:rsidRPr="00E06C32">
        <w:rPr>
          <w:rFonts w:ascii="Palatino Linotype" w:eastAsia="Palatino Linotype" w:hAnsi="Palatino Linotype" w:cs="Palatino Linotype"/>
          <w:i/>
          <w:sz w:val="22"/>
          <w:szCs w:val="22"/>
        </w:rPr>
        <w:t>. Serán autoridad fiscal conforme a lo dispuesto en el Código Financiero y ejercerán los actos de autoridad que les señale la presente Ley, su Reglamento y demás disposiciones aplicables...”</w:t>
      </w:r>
    </w:p>
    <w:p w14:paraId="249FB6E3" w14:textId="59BF5A3C"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Por su parte, los artículos 594 del Reglamento Interior de la Administración Pública Municipal de Tlalnepantla de Baz, y 4 del Reglamento Interno Organismo Público Descentralizado para la Prestación de los Servicios de Agua Potable, Alcantarillado y Saneamiento del Municipio de Tlalnepantla, vigentes, a saber:</w:t>
      </w:r>
    </w:p>
    <w:p w14:paraId="1E37F62A"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594</w:t>
      </w:r>
      <w:r w:rsidRPr="00E06C32">
        <w:rPr>
          <w:rFonts w:ascii="Palatino Linotype" w:eastAsia="Palatino Linotype" w:hAnsi="Palatino Linotype" w:cs="Palatino Linotype"/>
          <w:i/>
          <w:sz w:val="22"/>
          <w:szCs w:val="22"/>
        </w:rPr>
        <w:t xml:space="preserve">. La </w:t>
      </w:r>
      <w:r w:rsidRPr="00E06C32">
        <w:rPr>
          <w:rFonts w:ascii="Palatino Linotype" w:eastAsia="Palatino Linotype" w:hAnsi="Palatino Linotype" w:cs="Palatino Linotype"/>
          <w:b/>
          <w:i/>
          <w:sz w:val="22"/>
          <w:szCs w:val="22"/>
        </w:rPr>
        <w:t>Administración Pública Municipal Descentralizada</w:t>
      </w:r>
      <w:r w:rsidRPr="00E06C32">
        <w:rPr>
          <w:rFonts w:ascii="Palatino Linotype" w:eastAsia="Palatino Linotype" w:hAnsi="Palatino Linotype" w:cs="Palatino Linotype"/>
          <w:i/>
          <w:sz w:val="22"/>
          <w:szCs w:val="22"/>
        </w:rPr>
        <w:t xml:space="preserve">, la constituyen organismos creados mediante ley o decreto y regulados en términos de la Legislación aplicable, que </w:t>
      </w:r>
      <w:r w:rsidRPr="00E06C32">
        <w:rPr>
          <w:rFonts w:ascii="Palatino Linotype" w:eastAsia="Palatino Linotype" w:hAnsi="Palatino Linotype" w:cs="Palatino Linotype"/>
          <w:b/>
          <w:i/>
          <w:sz w:val="22"/>
          <w:szCs w:val="22"/>
        </w:rPr>
        <w:t>cuentan con personalidad jurídica y patrimonio propio, gozan de autonomía, con una normatividad propia</w:t>
      </w:r>
      <w:r w:rsidRPr="00E06C32">
        <w:rPr>
          <w:rFonts w:ascii="Palatino Linotype" w:eastAsia="Palatino Linotype" w:hAnsi="Palatino Linotype" w:cs="Palatino Linotype"/>
          <w:i/>
          <w:sz w:val="22"/>
          <w:szCs w:val="22"/>
        </w:rPr>
        <w:t xml:space="preserve"> y en la que la administración centralizada confía la prestación de un servicio público que por su importancia debe de garantizar una prestación eficiente en el rubro específico que le es encomendado. Los organismos </w:t>
      </w:r>
      <w:r w:rsidRPr="00E06C32">
        <w:rPr>
          <w:rFonts w:ascii="Palatino Linotype" w:eastAsia="Palatino Linotype" w:hAnsi="Palatino Linotype" w:cs="Palatino Linotype"/>
          <w:i/>
          <w:sz w:val="22"/>
          <w:szCs w:val="22"/>
        </w:rPr>
        <w:lastRenderedPageBreak/>
        <w:t>públicos descentralizados, formularán sus propios reglamentos y definirán la estructura orgánica a través del órgano, junta de gobierno o consejo directivo.”</w:t>
      </w:r>
    </w:p>
    <w:p w14:paraId="63EB589C"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4.</w:t>
      </w:r>
      <w:r w:rsidRPr="00E06C32">
        <w:rPr>
          <w:rFonts w:ascii="Palatino Linotype" w:eastAsia="Palatino Linotype" w:hAnsi="Palatino Linotype" w:cs="Palatino Linotype"/>
          <w:i/>
          <w:sz w:val="22"/>
          <w:szCs w:val="22"/>
        </w:rPr>
        <w:t xml:space="preserve">- El Organismo forma parte de la Administración Pública Descentralizada del Municipio de Tlalnepantla de Baz y tiene la responsabilidad de organizar y administrar el funcionamiento, conservación y operación de los servicios públicos de agua potable, drenaje, alcantarillado y saneamiento del Municipio, con las atribuciones que le otorgan la Ley del Agua, su Reglamento, los acuerdos de cabildo, así como otras disposiciones legales aplicables. Asimismo, el Organismo, </w:t>
      </w:r>
      <w:r w:rsidRPr="00E06C32">
        <w:rPr>
          <w:rFonts w:ascii="Palatino Linotype" w:eastAsia="Palatino Linotype" w:hAnsi="Palatino Linotype" w:cs="Palatino Linotype"/>
          <w:b/>
          <w:i/>
          <w:sz w:val="22"/>
          <w:szCs w:val="22"/>
        </w:rPr>
        <w:t>cuenta con personalidad jurídica y patrimonio propio, así como autonomía técnica y administrativa en el manejo de sus recursos</w:t>
      </w:r>
      <w:r w:rsidRPr="00E06C32">
        <w:rPr>
          <w:rFonts w:ascii="Palatino Linotype" w:eastAsia="Palatino Linotype" w:hAnsi="Palatino Linotype" w:cs="Palatino Linotype"/>
          <w:i/>
          <w:sz w:val="22"/>
          <w:szCs w:val="22"/>
        </w:rPr>
        <w:t>, ejercerá los actos de autoridad fiscal que señala el Código Financiero, la Ley del Agua, su Reglamento y otras disposiciones legales aplicables.”</w:t>
      </w:r>
    </w:p>
    <w:p w14:paraId="56B35115" w14:textId="77777777" w:rsidR="00DD7E50" w:rsidRPr="00E06C32" w:rsidRDefault="00806F94">
      <w:pPr>
        <w:tabs>
          <w:tab w:val="left" w:pos="284"/>
        </w:tabs>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Aunado a lo anterior, es de suma importancia mencionar que en materia de transparencia el Ayuntamiento de Tlalnepantla de Baz y el</w:t>
      </w:r>
      <w:r w:rsidRPr="00E06C32">
        <w:rPr>
          <w:rFonts w:ascii="Palatino Linotype" w:hAnsi="Palatino Linotype"/>
        </w:rPr>
        <w:t xml:space="preserve"> </w:t>
      </w:r>
      <w:r w:rsidRPr="00E06C32">
        <w:rPr>
          <w:rFonts w:ascii="Palatino Linotype" w:eastAsia="Palatino Linotype" w:hAnsi="Palatino Linotype" w:cs="Palatino Linotype"/>
        </w:rPr>
        <w:t>Organismo Público Descentralizado para la Prestación de los Servicios de Agua Potable, Alcantarillado y Saneamiento del Municipio de Tlalnepantla de Baz, son reconocidos como Sujetos Obligados independientes de conformidad con el Padrón de Sujetos Obligados en materia de Transparencia y Acceso a la Información Pública del Estado de México y Municipios aprobado por el Pleno de este Instituto el veintisiete de enero de dos mil diecisiete y sus modificaciones posteriores, como se ilustra a continuación para mejor referencia:</w:t>
      </w:r>
    </w:p>
    <w:p w14:paraId="383A687F"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319FEF99" wp14:editId="5FB78956">
            <wp:extent cx="5612130" cy="300355"/>
            <wp:effectExtent l="0" t="0" r="0" b="0"/>
            <wp:docPr id="20832964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12130" cy="300355"/>
                    </a:xfrm>
                    <a:prstGeom prst="rect">
                      <a:avLst/>
                    </a:prstGeom>
                    <a:ln/>
                  </pic:spPr>
                </pic:pic>
              </a:graphicData>
            </a:graphic>
          </wp:inline>
        </w:drawing>
      </w:r>
      <w:r w:rsidRPr="00E06C32">
        <w:rPr>
          <w:rFonts w:ascii="Palatino Linotype" w:eastAsia="Palatino Linotype" w:hAnsi="Palatino Linotype" w:cs="Palatino Linotype"/>
          <w:noProof/>
        </w:rPr>
        <w:drawing>
          <wp:inline distT="0" distB="0" distL="0" distR="0" wp14:anchorId="1F1C9065" wp14:editId="25DC389A">
            <wp:extent cx="5612130" cy="349885"/>
            <wp:effectExtent l="0" t="0" r="0" b="0"/>
            <wp:docPr id="20832964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12130" cy="349885"/>
                    </a:xfrm>
                    <a:prstGeom prst="rect">
                      <a:avLst/>
                    </a:prstGeom>
                    <a:ln/>
                  </pic:spPr>
                </pic:pic>
              </a:graphicData>
            </a:graphic>
          </wp:inline>
        </w:drawing>
      </w:r>
    </w:p>
    <w:p w14:paraId="33C7B01F"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noProof/>
        </w:rPr>
        <w:lastRenderedPageBreak/>
        <w:drawing>
          <wp:inline distT="0" distB="0" distL="0" distR="0" wp14:anchorId="0C74317B" wp14:editId="609B04BD">
            <wp:extent cx="5612130" cy="607060"/>
            <wp:effectExtent l="0" t="0" r="0" b="0"/>
            <wp:docPr id="20832964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612130" cy="607060"/>
                    </a:xfrm>
                    <a:prstGeom prst="rect">
                      <a:avLst/>
                    </a:prstGeom>
                    <a:ln/>
                  </pic:spPr>
                </pic:pic>
              </a:graphicData>
            </a:graphic>
          </wp:inline>
        </w:drawing>
      </w:r>
      <w:r w:rsidRPr="00E06C32">
        <w:rPr>
          <w:rFonts w:ascii="Palatino Linotype" w:eastAsia="Palatino Linotype" w:hAnsi="Palatino Linotype" w:cs="Palatino Linotype"/>
          <w:noProof/>
        </w:rPr>
        <w:drawing>
          <wp:inline distT="0" distB="0" distL="0" distR="0" wp14:anchorId="3611A452" wp14:editId="5DD9B993">
            <wp:extent cx="5612130" cy="535940"/>
            <wp:effectExtent l="0" t="0" r="0" b="0"/>
            <wp:docPr id="20832964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612130" cy="535940"/>
                    </a:xfrm>
                    <a:prstGeom prst="rect">
                      <a:avLst/>
                    </a:prstGeom>
                    <a:ln/>
                  </pic:spPr>
                </pic:pic>
              </a:graphicData>
            </a:graphic>
          </wp:inline>
        </w:drawing>
      </w:r>
    </w:p>
    <w:p w14:paraId="0EBC62E4"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Por consiguiente, ambos Sujetos Obligados deben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 de Datos Personales y por el propio INFOEM, en los sistemas que se determinen, además de fomentar la Transparencia, el ejercicio del Derecho de Acceso a la Información Pública y la eficiencia de los Sujetos Obligados, así como la participación ciudadana.</w:t>
      </w:r>
    </w:p>
    <w:p w14:paraId="6C2A7F32"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otro lado, es preciso señalar que derivado del análisis efectuado en la normativa aplicable al caso concreto, </w:t>
      </w:r>
      <w:r w:rsidRPr="00E06C32">
        <w:rPr>
          <w:rFonts w:ascii="Palatino Linotype" w:eastAsia="Palatino Linotype" w:hAnsi="Palatino Linotype" w:cs="Palatino Linotype"/>
          <w:b/>
        </w:rPr>
        <w:t xml:space="preserve">este Organismo Garante no advirtió fuente obligacional que constriña al Sujeto Obligado a conocer de la información materia del requerimiento en análisis, </w:t>
      </w:r>
      <w:r w:rsidRPr="00E06C32">
        <w:rPr>
          <w:rFonts w:ascii="Palatino Linotype" w:eastAsia="Palatino Linotype" w:hAnsi="Palatino Linotype" w:cs="Palatino Linotype"/>
          <w:b/>
          <w:u w:val="single"/>
        </w:rPr>
        <w:t>al ser atribución de la Dirección de Construcción del Organismo Público Descentralizado para la Prestación de los Servicios de Agua Potable, Alcantarillado y Saneamiento, generar, administrar y/o poseer la misma</w:t>
      </w:r>
      <w:r w:rsidRPr="00E06C32">
        <w:rPr>
          <w:rFonts w:ascii="Palatino Linotype" w:eastAsia="Palatino Linotype" w:hAnsi="Palatino Linotype" w:cs="Palatino Linotype"/>
          <w:u w:val="single"/>
        </w:rPr>
        <w:t>,</w:t>
      </w:r>
      <w:r w:rsidRPr="00E06C32">
        <w:rPr>
          <w:rFonts w:ascii="Palatino Linotype" w:eastAsia="Palatino Linotype" w:hAnsi="Palatino Linotype" w:cs="Palatino Linotype"/>
        </w:rPr>
        <w:t xml:space="preserve"> tal y como lo refirió la persona titular de la Unidad de Transparencia, y como se desprende del artículo 70 del Reglamento Interno de dicho Organismo, que en su parte conducente dispone lo siguiente:</w:t>
      </w:r>
    </w:p>
    <w:p w14:paraId="355E8E1C"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lastRenderedPageBreak/>
        <w:t>“Artículo 70.-</w:t>
      </w:r>
      <w:r w:rsidRPr="00E06C32">
        <w:rPr>
          <w:rFonts w:ascii="Palatino Linotype" w:eastAsia="Palatino Linotype" w:hAnsi="Palatino Linotype" w:cs="Palatino Linotype"/>
          <w:i/>
          <w:sz w:val="22"/>
          <w:szCs w:val="22"/>
        </w:rPr>
        <w:t xml:space="preserve"> La </w:t>
      </w:r>
      <w:r w:rsidRPr="00E06C32">
        <w:rPr>
          <w:rFonts w:ascii="Palatino Linotype" w:eastAsia="Palatino Linotype" w:hAnsi="Palatino Linotype" w:cs="Palatino Linotype"/>
          <w:b/>
          <w:i/>
          <w:sz w:val="22"/>
          <w:szCs w:val="22"/>
        </w:rPr>
        <w:t>Dirección de Construcción,</w:t>
      </w:r>
      <w:r w:rsidRPr="00E06C32">
        <w:rPr>
          <w:rFonts w:ascii="Palatino Linotype" w:eastAsia="Palatino Linotype" w:hAnsi="Palatino Linotype" w:cs="Palatino Linotype"/>
          <w:i/>
          <w:sz w:val="22"/>
          <w:szCs w:val="22"/>
        </w:rPr>
        <w:t xml:space="preserve"> estará a cargo de un titular, a quien se le denominará “</w:t>
      </w:r>
      <w:proofErr w:type="gramStart"/>
      <w:r w:rsidRPr="00E06C32">
        <w:rPr>
          <w:rFonts w:ascii="Palatino Linotype" w:eastAsia="Palatino Linotype" w:hAnsi="Palatino Linotype" w:cs="Palatino Linotype"/>
          <w:i/>
          <w:sz w:val="22"/>
          <w:szCs w:val="22"/>
        </w:rPr>
        <w:t>Director</w:t>
      </w:r>
      <w:proofErr w:type="gramEnd"/>
      <w:r w:rsidRPr="00E06C32">
        <w:rPr>
          <w:rFonts w:ascii="Palatino Linotype" w:eastAsia="Palatino Linotype" w:hAnsi="Palatino Linotype" w:cs="Palatino Linotype"/>
          <w:i/>
          <w:sz w:val="22"/>
          <w:szCs w:val="22"/>
        </w:rPr>
        <w:t xml:space="preserve"> o Directora de Construcción”, quien responderá directamente del desempeño de sus funciones ante el Director General y quien tendrá las siguientes atribuciones y facultades:</w:t>
      </w:r>
    </w:p>
    <w:p w14:paraId="077EA636"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20BB1786"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Coordinar la planeación, programación y construcción de obras nuevas</w:t>
      </w:r>
      <w:r w:rsidRPr="00E06C32">
        <w:rPr>
          <w:rFonts w:ascii="Palatino Linotype" w:eastAsia="Palatino Linotype" w:hAnsi="Palatino Linotype" w:cs="Palatino Linotype"/>
          <w:i/>
          <w:sz w:val="22"/>
          <w:szCs w:val="22"/>
        </w:rPr>
        <w:t xml:space="preserve">, así como </w:t>
      </w:r>
      <w:r w:rsidRPr="00E06C32">
        <w:rPr>
          <w:rFonts w:ascii="Palatino Linotype" w:eastAsia="Palatino Linotype" w:hAnsi="Palatino Linotype" w:cs="Palatino Linotype"/>
          <w:b/>
          <w:i/>
          <w:sz w:val="22"/>
          <w:szCs w:val="22"/>
        </w:rPr>
        <w:t>el mantenimiento de la infraestructura necesaria para los servicios de agua potable, drenaje, alcantarillado.</w:t>
      </w:r>
    </w:p>
    <w:p w14:paraId="4482221B"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Establecer la coordinación con las dependencias, entidades y otras instancias Municipales, Estatales o Federales, para el caso de que se realicen obras públicas con recursos de dichas instancias de gobierno,</w:t>
      </w:r>
      <w:r w:rsidRPr="00E06C32">
        <w:rPr>
          <w:rFonts w:ascii="Palatino Linotype" w:eastAsia="Palatino Linotype" w:hAnsi="Palatino Linotype" w:cs="Palatino Linotype"/>
          <w:i/>
          <w:sz w:val="22"/>
          <w:szCs w:val="22"/>
        </w:rPr>
        <w:t xml:space="preserve"> dentro del territorio municipal; </w:t>
      </w:r>
    </w:p>
    <w:p w14:paraId="4F634903"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IV.</w:t>
      </w:r>
      <w:r w:rsidRPr="00E06C32">
        <w:rPr>
          <w:rFonts w:ascii="Palatino Linotype" w:eastAsia="Palatino Linotype" w:hAnsi="Palatino Linotype" w:cs="Palatino Linotype"/>
          <w:i/>
          <w:sz w:val="22"/>
          <w:szCs w:val="22"/>
        </w:rPr>
        <w:t xml:space="preserve"> Ejercer los criterios técnicos, sujetos a las Normas Mexicanas aplicables para las obras relacionadas de agua potable, drenaje, alcantarillado y saneamiento; </w:t>
      </w:r>
    </w:p>
    <w:p w14:paraId="2EF4E4D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Dirigir la elaboración de los proyectos de obra relacionados con los servicios que presta el Organismo;</w:t>
      </w:r>
      <w:r w:rsidRPr="00E06C32">
        <w:rPr>
          <w:rFonts w:ascii="Palatino Linotype" w:eastAsia="Palatino Linotype" w:hAnsi="Palatino Linotype" w:cs="Palatino Linotype"/>
          <w:i/>
          <w:sz w:val="22"/>
          <w:szCs w:val="22"/>
        </w:rPr>
        <w:t xml:space="preserve"> </w:t>
      </w:r>
    </w:p>
    <w:p w14:paraId="03FAC88C"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w:t>
      </w:r>
      <w:r w:rsidRPr="00E06C32">
        <w:rPr>
          <w:rFonts w:ascii="Palatino Linotype" w:eastAsia="Palatino Linotype" w:hAnsi="Palatino Linotype" w:cs="Palatino Linotype"/>
          <w:i/>
          <w:sz w:val="22"/>
          <w:szCs w:val="22"/>
        </w:rPr>
        <w:t xml:space="preserve"> Proponer políticas y criterios técnicos, a los que deberán sujetarse las obras relacionadas con los servicios que presta el Organismo; </w:t>
      </w:r>
    </w:p>
    <w:p w14:paraId="46EC533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Integrar y proponer el Programa Anual de Obra de acuerdo a normatividad aplicable en la materia</w:t>
      </w:r>
      <w:r w:rsidRPr="00E06C32">
        <w:rPr>
          <w:rFonts w:ascii="Palatino Linotype" w:eastAsia="Palatino Linotype" w:hAnsi="Palatino Linotype" w:cs="Palatino Linotype"/>
          <w:i/>
          <w:sz w:val="22"/>
          <w:szCs w:val="22"/>
        </w:rPr>
        <w:t xml:space="preserve">, misma que será presentada ante el </w:t>
      </w:r>
      <w:proofErr w:type="gramStart"/>
      <w:r w:rsidRPr="00E06C32">
        <w:rPr>
          <w:rFonts w:ascii="Palatino Linotype" w:eastAsia="Palatino Linotype" w:hAnsi="Palatino Linotype" w:cs="Palatino Linotype"/>
          <w:i/>
          <w:sz w:val="22"/>
          <w:szCs w:val="22"/>
        </w:rPr>
        <w:t>Director General</w:t>
      </w:r>
      <w:proofErr w:type="gramEnd"/>
      <w:r w:rsidRPr="00E06C32">
        <w:rPr>
          <w:rFonts w:ascii="Palatino Linotype" w:eastAsia="Palatino Linotype" w:hAnsi="Palatino Linotype" w:cs="Palatino Linotype"/>
          <w:i/>
          <w:sz w:val="22"/>
          <w:szCs w:val="22"/>
        </w:rPr>
        <w:t xml:space="preserve"> para que, a su vez, una vez aprobada por éste, pueda presentarse al Consejo Directivo del Organismo</w:t>
      </w:r>
    </w:p>
    <w:p w14:paraId="73403858"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01BE74FE"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XIV</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Avalar la programación de los procedimientos de adjudicación para la contratación de las obras y servicios relacionados con las mismas</w:t>
      </w:r>
      <w:r w:rsidRPr="00E06C32">
        <w:rPr>
          <w:rFonts w:ascii="Palatino Linotype" w:eastAsia="Palatino Linotype" w:hAnsi="Palatino Linotype" w:cs="Palatino Linotype"/>
          <w:i/>
          <w:sz w:val="22"/>
          <w:szCs w:val="22"/>
        </w:rPr>
        <w:t xml:space="preserve">, cuidando que se lleven a cabo de acuerdo a los lineamientos, manuales de operación y normatividad aplicable del programa de financiamiento correspondiente. </w:t>
      </w:r>
    </w:p>
    <w:p w14:paraId="029AF2D8"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XV.</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 xml:space="preserve">Firmar conjuntamente con el </w:t>
      </w:r>
      <w:proofErr w:type="gramStart"/>
      <w:r w:rsidRPr="00E06C32">
        <w:rPr>
          <w:rFonts w:ascii="Palatino Linotype" w:eastAsia="Palatino Linotype" w:hAnsi="Palatino Linotype" w:cs="Palatino Linotype"/>
          <w:b/>
          <w:i/>
          <w:sz w:val="22"/>
          <w:szCs w:val="22"/>
        </w:rPr>
        <w:t>Director General</w:t>
      </w:r>
      <w:proofErr w:type="gramEnd"/>
      <w:r w:rsidRPr="00E06C32">
        <w:rPr>
          <w:rFonts w:ascii="Palatino Linotype" w:eastAsia="Palatino Linotype" w:hAnsi="Palatino Linotype" w:cs="Palatino Linotype"/>
          <w:b/>
          <w:i/>
          <w:sz w:val="22"/>
          <w:szCs w:val="22"/>
        </w:rPr>
        <w:t>, los contratos y convenios de obra pública y los servicios relacionados con la misma</w:t>
      </w:r>
      <w:r w:rsidRPr="00E06C32">
        <w:rPr>
          <w:rFonts w:ascii="Palatino Linotype" w:eastAsia="Palatino Linotype" w:hAnsi="Palatino Linotype" w:cs="Palatino Linotype"/>
          <w:i/>
          <w:sz w:val="22"/>
          <w:szCs w:val="22"/>
        </w:rPr>
        <w:t>.</w:t>
      </w:r>
    </w:p>
    <w:p w14:paraId="0D62EF4A"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27829171"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XVII.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Supervisar y evaluar el avance de las obras públicas</w:t>
      </w:r>
      <w:r w:rsidRPr="00E06C32">
        <w:rPr>
          <w:rFonts w:ascii="Palatino Linotype" w:eastAsia="Palatino Linotype" w:hAnsi="Palatino Linotype" w:cs="Palatino Linotype"/>
          <w:i/>
          <w:sz w:val="22"/>
          <w:szCs w:val="22"/>
        </w:rPr>
        <w:t xml:space="preserve">, verificando que correspondan al programa de ejecución cuidando el avance </w:t>
      </w:r>
      <w:proofErr w:type="spellStart"/>
      <w:r w:rsidRPr="00E06C32">
        <w:rPr>
          <w:rFonts w:ascii="Palatino Linotype" w:eastAsia="Palatino Linotype" w:hAnsi="Palatino Linotype" w:cs="Palatino Linotype"/>
          <w:i/>
          <w:sz w:val="22"/>
          <w:szCs w:val="22"/>
        </w:rPr>
        <w:lastRenderedPageBreak/>
        <w:t>físicofinanciero</w:t>
      </w:r>
      <w:proofErr w:type="spellEnd"/>
      <w:r w:rsidRPr="00E06C32">
        <w:rPr>
          <w:rFonts w:ascii="Palatino Linotype" w:eastAsia="Palatino Linotype" w:hAnsi="Palatino Linotype" w:cs="Palatino Linotype"/>
          <w:i/>
          <w:sz w:val="22"/>
          <w:szCs w:val="22"/>
        </w:rPr>
        <w:t xml:space="preserve">, en cada una de sus etapas de acuerdo con la calendarización establecidas, a fin de detectar variaciones para su oportuna terminación; </w:t>
      </w:r>
    </w:p>
    <w:p w14:paraId="57126AAB"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XVIII.</w:t>
      </w:r>
      <w:r w:rsidRPr="00E06C32">
        <w:rPr>
          <w:rFonts w:ascii="Palatino Linotype" w:eastAsia="Palatino Linotype" w:hAnsi="Palatino Linotype" w:cs="Palatino Linotype"/>
          <w:i/>
          <w:sz w:val="22"/>
          <w:szCs w:val="22"/>
        </w:rPr>
        <w:t xml:space="preserve"> Aprobar el trámite para pago las estimaciones de los trabajos ejecutados de las obras por contrato previa verificación de los trabajos por parte del titular del Área de Supervisión de Obra y autorización del residente;”</w:t>
      </w:r>
    </w:p>
    <w:p w14:paraId="789308D8" w14:textId="77777777" w:rsidR="00DD7E50" w:rsidRPr="00E06C32" w:rsidRDefault="00806F94">
      <w:pPr>
        <w:spacing w:before="240" w:after="240" w:line="360" w:lineRule="auto"/>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rPr>
        <w:t>Del precepto en cita se advierte que la Dirección de Construcción del Organismo Público Descentralizado para la Prestación de los Servicios de Agua Potable, Alcantarillado y Saneamiento del Municipio de Tlalnepantla de Baz, es el área responsable de la ejecución del Programa Anual de Obra, estando facultada para coordinar la planeación, programación y construcción de obras nuevas, así como el mantenimiento de la infraestructura necesaria para los servicios de agua potable, drenaje, alcantarillado; establecer la coordinación con las dependencias entidades y otras instancias Municipales, Estatales o Federales, para el caso de que se realicen obras públicas con recursos de dichas instancias de gobierno, y en general dirigir la elaboración de los proyectos de obra relacionados con los servicios que presta el Organismo, programar los procedimientos de adjudicación para la contratación de las obras y servicios relacionados con las mismas, y firmar conjuntamente con el Director General, los contratos y convenios de obra pública y los servicios relacionados con la misma.</w:t>
      </w:r>
    </w:p>
    <w:p w14:paraId="3BC747CC" w14:textId="77777777" w:rsidR="00DD7E50" w:rsidRPr="00E06C32" w:rsidRDefault="00806F94">
      <w:pPr>
        <w:spacing w:before="240" w:after="240" w:line="360" w:lineRule="auto"/>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Con base en lo expuesto, toda vez que el </w:t>
      </w:r>
      <w:r w:rsidRPr="00E06C32">
        <w:rPr>
          <w:rFonts w:ascii="Palatino Linotype" w:eastAsia="Palatino Linotype" w:hAnsi="Palatino Linotype" w:cs="Palatino Linotype"/>
          <w:b/>
          <w:u w:val="single"/>
        </w:rPr>
        <w:t>Organismo Público Descentralizado para la Prestación de los Servicios de Agua Potable, Alcantarillado y Saneamiento del Municipio de Tlalnepantla de Baz, es responsable de transparentar la información que en ejercicio de las atribuciones genere, administre y/o posea a través de sus unidades administrativas, es posible advertir que el ayuntamiento no cuenta con competencia para proporcionar información que le compete a aquel.</w:t>
      </w:r>
    </w:p>
    <w:p w14:paraId="671A245D"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En este sentido, se colige que existe una evidente incompetencia por parte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para satisfacer lo solicitado, en términos del Criterio de Interpretación con Clave de control SO/013/2017 emitido por el Pleno del Instituto Nacional de Transparencia, Acceso a la Información y Protección de Datos Personales, el cual, para pronta referencia se reproduce a continuación:</w:t>
      </w:r>
    </w:p>
    <w:p w14:paraId="70F1FA05" w14:textId="77777777" w:rsidR="00DD7E50" w:rsidRPr="00E06C32" w:rsidRDefault="00806F94">
      <w:pPr>
        <w:spacing w:before="120" w:after="120"/>
        <w:ind w:left="851" w:right="851"/>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E06C32">
        <w:rPr>
          <w:rFonts w:ascii="Palatino Linotype" w:eastAsia="Palatino Linotype" w:hAnsi="Palatino Linotype" w:cs="Palatino Linotype"/>
          <w:i/>
          <w:sz w:val="22"/>
          <w:szCs w:val="22"/>
        </w:rPr>
        <w:t xml:space="preserve">; es decir, se trata de una cuestión de derecho, </w:t>
      </w:r>
      <w:r w:rsidRPr="00E06C32">
        <w:rPr>
          <w:rFonts w:ascii="Palatino Linotype" w:eastAsia="Palatino Linotype" w:hAnsi="Palatino Linotype" w:cs="Palatino Linotype"/>
          <w:b/>
          <w:i/>
          <w:sz w:val="22"/>
          <w:szCs w:val="22"/>
        </w:rPr>
        <w:t>en tanto que no existan facultades para contar con lo requerido</w:t>
      </w:r>
      <w:r w:rsidRPr="00E06C32">
        <w:rPr>
          <w:rFonts w:ascii="Palatino Linotype" w:eastAsia="Palatino Linotype" w:hAnsi="Palatino Linotype" w:cs="Palatino Linotype"/>
          <w:i/>
          <w:sz w:val="22"/>
          <w:szCs w:val="22"/>
        </w:rPr>
        <w:t>; por lo que la incompetencia es una cualidad atribuida al sujeto obligado que la declara.”</w:t>
      </w:r>
    </w:p>
    <w:p w14:paraId="0E1183C9"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Por consiguiente, en el presente asunto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E06C32">
        <w:rPr>
          <w:rFonts w:ascii="Palatino Linotype" w:eastAsia="Palatino Linotype" w:hAnsi="Palatino Linotype" w:cs="Palatino Linotype"/>
          <w:i/>
        </w:rPr>
        <w:t xml:space="preserve"> contrario sensu</w:t>
      </w:r>
      <w:r w:rsidRPr="00E06C32">
        <w:rPr>
          <w:rFonts w:ascii="Palatino Linotype" w:eastAsia="Palatino Linotype" w:hAnsi="Palatino Linotype" w:cs="Palatino Linotype"/>
        </w:rPr>
        <w:t xml:space="preserve"> significa que no se está obligado a proporcionar lo que no obre en sus archivos, en consecuencia,  el pronunciamiento vertido por la Unidad de Transparencia, es suficiente para tener por atendidos los requerimientos de información. </w:t>
      </w:r>
    </w:p>
    <w:p w14:paraId="50F97422" w14:textId="77777777" w:rsidR="00DD7E50" w:rsidRPr="00E06C32" w:rsidRDefault="00806F94">
      <w:pPr>
        <w:spacing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Dicho lo anterior, es de recordar, respecto a la Declaración de Incompetencia, que la Ley de Transparencia y Acceso a la Información Pública del Estado de México, establece en los artículos 49, fracción II y 167, lo siguiente: </w:t>
      </w:r>
    </w:p>
    <w:p w14:paraId="0CE92C73" w14:textId="77777777" w:rsidR="00DD7E50" w:rsidRPr="00E06C32" w:rsidRDefault="00806F94">
      <w:pPr>
        <w:tabs>
          <w:tab w:val="left" w:pos="1134"/>
          <w:tab w:val="left" w:pos="1276"/>
        </w:tabs>
        <w:spacing w:line="276" w:lineRule="auto"/>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49.</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Los Comités de Transparencia</w:t>
      </w:r>
      <w:r w:rsidRPr="00E06C32">
        <w:rPr>
          <w:rFonts w:ascii="Palatino Linotype" w:eastAsia="Palatino Linotype" w:hAnsi="Palatino Linotype" w:cs="Palatino Linotype"/>
          <w:i/>
          <w:sz w:val="22"/>
          <w:szCs w:val="22"/>
        </w:rPr>
        <w:t xml:space="preserve"> tendrán las siguientes atribuciones:</w:t>
      </w:r>
    </w:p>
    <w:p w14:paraId="685AE110" w14:textId="77777777" w:rsidR="00DD7E50" w:rsidRPr="00E06C32" w:rsidRDefault="00806F94">
      <w:pPr>
        <w:tabs>
          <w:tab w:val="left" w:pos="1134"/>
        </w:tabs>
        <w:spacing w:line="276" w:lineRule="auto"/>
        <w:ind w:left="1134"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w:t>
      </w:r>
    </w:p>
    <w:p w14:paraId="0178FFE1" w14:textId="77777777" w:rsidR="00DD7E50" w:rsidRPr="00E06C32" w:rsidRDefault="00806F94">
      <w:pPr>
        <w:tabs>
          <w:tab w:val="left" w:pos="1134"/>
        </w:tabs>
        <w:spacing w:line="276" w:lineRule="auto"/>
        <w:ind w:left="1134" w:right="902"/>
        <w:jc w:val="both"/>
        <w:rPr>
          <w:rFonts w:ascii="Palatino Linotype" w:eastAsia="Palatino Linotype" w:hAnsi="Palatino Linotype" w:cs="Palatino Linotype"/>
          <w:b/>
          <w:i/>
          <w:sz w:val="22"/>
          <w:szCs w:val="22"/>
          <w:u w:val="single"/>
        </w:rPr>
      </w:pPr>
      <w:r w:rsidRPr="00E06C32">
        <w:rPr>
          <w:rFonts w:ascii="Palatino Linotype" w:eastAsia="Palatino Linotype" w:hAnsi="Palatino Linotype" w:cs="Palatino Linotype"/>
          <w:b/>
          <w:i/>
          <w:sz w:val="22"/>
          <w:szCs w:val="22"/>
        </w:rPr>
        <w:lastRenderedPageBreak/>
        <w:t>II.</w:t>
      </w:r>
      <w:r w:rsidRPr="00E06C32">
        <w:rPr>
          <w:rFonts w:ascii="Palatino Linotype" w:eastAsia="Calibri" w:hAnsi="Palatino Linotype" w:cs="Calibri"/>
          <w:sz w:val="22"/>
          <w:szCs w:val="22"/>
        </w:rPr>
        <w:t xml:space="preserve"> </w:t>
      </w:r>
      <w:r w:rsidRPr="00E06C32">
        <w:rPr>
          <w:rFonts w:ascii="Palatino Linotype" w:eastAsia="Palatino Linotype" w:hAnsi="Palatino Linotype" w:cs="Palatino Linotype"/>
          <w:b/>
          <w:i/>
          <w:sz w:val="22"/>
          <w:szCs w:val="22"/>
        </w:rPr>
        <w:t>Confirmar, modificar o revocar</w:t>
      </w:r>
      <w:r w:rsidRPr="00E06C32">
        <w:rPr>
          <w:rFonts w:ascii="Palatino Linotype" w:eastAsia="Palatino Linotype" w:hAnsi="Palatino Linotype" w:cs="Palatino Linotype"/>
          <w:i/>
          <w:sz w:val="22"/>
          <w:szCs w:val="22"/>
        </w:rPr>
        <w:t xml:space="preserve"> las determinaciones </w:t>
      </w:r>
      <w:proofErr w:type="gramStart"/>
      <w:r w:rsidRPr="00E06C32">
        <w:rPr>
          <w:rFonts w:ascii="Palatino Linotype" w:eastAsia="Palatino Linotype" w:hAnsi="Palatino Linotype" w:cs="Palatino Linotype"/>
          <w:i/>
          <w:sz w:val="22"/>
          <w:szCs w:val="22"/>
        </w:rPr>
        <w:t>que</w:t>
      </w:r>
      <w:proofErr w:type="gramEnd"/>
      <w:r w:rsidRPr="00E06C32">
        <w:rPr>
          <w:rFonts w:ascii="Palatino Linotype" w:eastAsia="Palatino Linotype" w:hAnsi="Palatino Linotype" w:cs="Palatino Linotype"/>
          <w:i/>
          <w:sz w:val="22"/>
          <w:szCs w:val="22"/>
        </w:rPr>
        <w:t xml:space="preserve"> en materia de ampliación del plazo de respuesta, clasificación de la información </w:t>
      </w:r>
      <w:r w:rsidRPr="00E06C32">
        <w:rPr>
          <w:rFonts w:ascii="Palatino Linotype" w:eastAsia="Palatino Linotype" w:hAnsi="Palatino Linotype" w:cs="Palatino Linotype"/>
          <w:b/>
          <w:i/>
          <w:sz w:val="22"/>
          <w:szCs w:val="22"/>
        </w:rPr>
        <w:t>y declaración</w:t>
      </w:r>
      <w:r w:rsidRPr="00E06C32">
        <w:rPr>
          <w:rFonts w:ascii="Palatino Linotype" w:eastAsia="Palatino Linotype" w:hAnsi="Palatino Linotype" w:cs="Palatino Linotype"/>
          <w:i/>
          <w:sz w:val="22"/>
          <w:szCs w:val="22"/>
        </w:rPr>
        <w:t xml:space="preserve"> de inexistencia o </w:t>
      </w:r>
      <w:r w:rsidRPr="00E06C32">
        <w:rPr>
          <w:rFonts w:ascii="Palatino Linotype" w:eastAsia="Palatino Linotype" w:hAnsi="Palatino Linotype" w:cs="Palatino Linotype"/>
          <w:b/>
          <w:i/>
          <w:sz w:val="22"/>
          <w:szCs w:val="22"/>
        </w:rPr>
        <w:t>de incompetencia realicen los titulares de las áreas de los sujetos obligados;</w:t>
      </w:r>
    </w:p>
    <w:p w14:paraId="19FCFEC8" w14:textId="77777777" w:rsidR="00DD7E50" w:rsidRPr="00E06C32" w:rsidRDefault="00806F94">
      <w:pPr>
        <w:tabs>
          <w:tab w:val="left" w:pos="1134"/>
        </w:tabs>
        <w:spacing w:line="276" w:lineRule="auto"/>
        <w:ind w:left="851"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w:t>
      </w:r>
    </w:p>
    <w:p w14:paraId="19C7004C" w14:textId="77777777" w:rsidR="00DD7E50" w:rsidRPr="00E06C32" w:rsidRDefault="00806F94">
      <w:pPr>
        <w:tabs>
          <w:tab w:val="left" w:pos="1134"/>
        </w:tabs>
        <w:spacing w:line="276" w:lineRule="auto"/>
        <w:ind w:left="851"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Artículo 167</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Cuando las unidades de transparencia determinen la notoria incompetencia</w:t>
      </w:r>
      <w:r w:rsidRPr="00E06C32">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E06C32">
        <w:rPr>
          <w:rFonts w:ascii="Palatino Linotype" w:eastAsia="Palatino Linotype" w:hAnsi="Palatino Linotype" w:cs="Palatino Linotype"/>
          <w:b/>
          <w:i/>
          <w:sz w:val="22"/>
          <w:szCs w:val="22"/>
        </w:rPr>
        <w:t>deberán comunicarlo al solicitante, dentro de los tres días hábiles posteriores a la recepción de la solicitud</w:t>
      </w:r>
      <w:r w:rsidRPr="00E06C32">
        <w:rPr>
          <w:rFonts w:ascii="Palatino Linotype" w:eastAsia="Palatino Linotype" w:hAnsi="Palatino Linotype" w:cs="Palatino Linotype"/>
          <w:i/>
          <w:sz w:val="22"/>
          <w:szCs w:val="22"/>
        </w:rPr>
        <w:t xml:space="preserve"> y, </w:t>
      </w:r>
      <w:r w:rsidRPr="00E06C32">
        <w:rPr>
          <w:rFonts w:ascii="Palatino Linotype" w:eastAsia="Palatino Linotype" w:hAnsi="Palatino Linotype" w:cs="Palatino Linotype"/>
          <w:b/>
          <w:i/>
          <w:sz w:val="22"/>
          <w:szCs w:val="22"/>
        </w:rPr>
        <w:t>en su caso orientar al solicitante, el o los sujetos obligados competentes.” (Sic)</w:t>
      </w:r>
    </w:p>
    <w:p w14:paraId="02632716"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De los preceptos citados se desprende que es atribución del Comité de Transparencia confirmar, modificar o revocar, en su caso, la declaración de incompetencia,</w:t>
      </w:r>
      <w:r w:rsidRPr="00E06C32">
        <w:rPr>
          <w:rFonts w:ascii="Palatino Linotype" w:eastAsia="Palatino Linotype" w:hAnsi="Palatino Linotype" w:cs="Palatino Linotype"/>
          <w:b/>
        </w:rPr>
        <w:t xml:space="preserve"> en aquellos casos en los que no se trate de una notoria incompetencia. </w:t>
      </w:r>
    </w:p>
    <w:p w14:paraId="30DF2D0E"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u w:val="single"/>
        </w:rPr>
      </w:pPr>
      <w:r w:rsidRPr="00E06C32">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E06C32">
        <w:rPr>
          <w:rFonts w:ascii="Palatino Linotype" w:eastAsia="Palatino Linotype" w:hAnsi="Palatino Linotype" w:cs="Palatino Linotype"/>
          <w:u w:val="single"/>
        </w:rPr>
        <w:t xml:space="preserve">para su aprobación. </w:t>
      </w:r>
    </w:p>
    <w:p w14:paraId="7CD03ACE"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Como sustento de lo anterior, resulta aplicable el Criterio de Interpretación con Clave ce control SO/002/2020, emitido por el Instituto Nacional de Transparencia, Acceso a la Información, y Protección de Datos Personales, INAI, que lleva por rubro y texto los siguientes:  </w:t>
      </w:r>
    </w:p>
    <w:p w14:paraId="5B6CD952" w14:textId="77777777" w:rsidR="00DD7E50" w:rsidRPr="00E06C32" w:rsidRDefault="00806F94">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lastRenderedPageBreak/>
        <w:t>“Declaración de incompetencia por parte del Comité, cuando no sea notoria o manifiesta.</w:t>
      </w:r>
      <w:r w:rsidRPr="00E06C32">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79DA1758"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b/>
          <w:u w:val="single"/>
        </w:rPr>
        <w:t>duda razonable sobre la administración del documento materia de la solicitud de información</w:t>
      </w:r>
      <w:r w:rsidRPr="00E06C32">
        <w:rPr>
          <w:rFonts w:ascii="Palatino Linotype" w:eastAsia="Palatino Linotype" w:hAnsi="Palatino Linotype" w:cs="Palatino Linotype"/>
        </w:rPr>
        <w:t>, como se lee enseguida:</w:t>
      </w:r>
    </w:p>
    <w:p w14:paraId="3EBE9523" w14:textId="77777777" w:rsidR="00DD7E50" w:rsidRPr="00E06C32" w:rsidRDefault="00806F94">
      <w:pPr>
        <w:tabs>
          <w:tab w:val="left" w:pos="1418"/>
        </w:tabs>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E06C32">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E06C32">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E06C32">
        <w:rPr>
          <w:rFonts w:ascii="Palatino Linotype" w:eastAsia="Palatino Linotype" w:hAnsi="Palatino Linotype" w:cs="Palatino Linotype"/>
          <w:b/>
          <w:i/>
          <w:sz w:val="22"/>
          <w:szCs w:val="22"/>
          <w:u w:val="single"/>
        </w:rPr>
        <w:t>impiden determinar dentro del término legal de tres días hábiles</w:t>
      </w:r>
      <w:r w:rsidRPr="00E06C32">
        <w:rPr>
          <w:rFonts w:ascii="Palatino Linotype" w:eastAsia="Palatino Linotype" w:hAnsi="Palatino Linotype" w:cs="Palatino Linotype"/>
          <w:b/>
          <w:i/>
          <w:sz w:val="22"/>
          <w:szCs w:val="22"/>
        </w:rPr>
        <w:t>, si se posee o no la información por el Sujeto Obligado requerid</w:t>
      </w:r>
      <w:r w:rsidRPr="00E06C32">
        <w:rPr>
          <w:rFonts w:ascii="Palatino Linotype" w:eastAsia="Palatino Linotype" w:hAnsi="Palatino Linotype" w:cs="Palatino Linotype"/>
          <w:i/>
          <w:sz w:val="22"/>
          <w:szCs w:val="22"/>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w:t>
      </w:r>
      <w:r w:rsidRPr="00E06C32">
        <w:rPr>
          <w:rFonts w:ascii="Palatino Linotype" w:eastAsia="Palatino Linotype" w:hAnsi="Palatino Linotype" w:cs="Palatino Linotype"/>
          <w:i/>
          <w:sz w:val="22"/>
          <w:szCs w:val="22"/>
        </w:rPr>
        <w:lastRenderedPageBreak/>
        <w:t>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06C3775"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el caso particular, como ha quedado demostrado a lo largo del presente estudio, la incompetencia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es notoria por lo tanto resulta innecesaria la emisión de una declaratoria formal de incompetencia a través del Comité de Transparencia.</w:t>
      </w:r>
    </w:p>
    <w:p w14:paraId="429851E1" w14:textId="77777777" w:rsidR="00DD7E50" w:rsidRPr="00E06C32" w:rsidRDefault="00806F94">
      <w:pPr>
        <w:tabs>
          <w:tab w:val="left" w:pos="142"/>
          <w:tab w:val="left" w:pos="284"/>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tales circunstancias, dado que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informó de la notoria incompetencia para atender favorablemente el requerimiento al segundo día en el que se tuvo por presentada la solicitud, asimismo le orientó al Organismo Público Descentralizado para la Prestación de los Servicios de Agua Potable, Alcantarillado y Saneamiento del Municipio de Tlalnepantla de Baz, como el Sujeto Obligado competente para generar, administrar o poseer la información que es de su interés, siendo de vital importancia señalar que </w:t>
      </w:r>
      <w:r w:rsidRPr="00E06C32">
        <w:rPr>
          <w:rFonts w:ascii="Palatino Linotype" w:eastAsia="Palatino Linotype" w:hAnsi="Palatino Linotype" w:cs="Palatino Linotype"/>
          <w:b/>
        </w:rPr>
        <w:t>la facultad de orientación a las personas solicitantes para que formulen su solicitud ante el Sujeto Obligado competente es potestativa</w:t>
      </w:r>
      <w:r w:rsidRPr="00E06C32">
        <w:rPr>
          <w:rFonts w:ascii="Palatino Linotype" w:eastAsia="Palatino Linotype" w:hAnsi="Palatino Linotype" w:cs="Palatino Linotype"/>
        </w:rPr>
        <w:t>; se concluye que el pronunciamiento de la Unidad de Transparencia es suficiente para tener por atendido del Derecho de acceso de la persona solicitante, por lo que se refiere al requerimiento en estudio.</w:t>
      </w:r>
    </w:p>
    <w:p w14:paraId="6889FE6D" w14:textId="73F79D96" w:rsidR="00DD7E50" w:rsidRPr="00E06C32" w:rsidRDefault="00806F94">
      <w:pPr>
        <w:spacing w:before="240" w:after="240" w:line="360" w:lineRule="auto"/>
        <w:ind w:right="51"/>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b/>
          <w:u w:val="single"/>
        </w:rPr>
        <w:t>No obstante, se dejan a salvo sus derechos, para que</w:t>
      </w:r>
      <w:r w:rsidR="00EE26C8" w:rsidRPr="00E06C32">
        <w:rPr>
          <w:rFonts w:ascii="Palatino Linotype" w:eastAsia="Palatino Linotype" w:hAnsi="Palatino Linotype" w:cs="Palatino Linotype"/>
          <w:b/>
          <w:u w:val="single"/>
        </w:rPr>
        <w:t xml:space="preserve">, </w:t>
      </w:r>
      <w:r w:rsidRPr="00E06C32">
        <w:rPr>
          <w:rFonts w:ascii="Palatino Linotype" w:eastAsia="Palatino Linotype" w:hAnsi="Palatino Linotype" w:cs="Palatino Linotype"/>
          <w:b/>
          <w:u w:val="single"/>
        </w:rPr>
        <w:t xml:space="preserve">en caso de así considerarlo conveniente a sus intereses, pueda formular una solicitud ante el Sujeto Obligado competente, es decir, el Organismo Público Descentralizado para la Prestación de </w:t>
      </w:r>
      <w:r w:rsidRPr="00E06C32">
        <w:rPr>
          <w:rFonts w:ascii="Palatino Linotype" w:eastAsia="Palatino Linotype" w:hAnsi="Palatino Linotype" w:cs="Palatino Linotype"/>
          <w:b/>
          <w:u w:val="single"/>
        </w:rPr>
        <w:lastRenderedPageBreak/>
        <w:t>los Servicios de Agua Potable, Alcantarillado y Saneamiento del Municipio de Tlalnepantla de Baz.</w:t>
      </w:r>
    </w:p>
    <w:p w14:paraId="10F285B3" w14:textId="77777777" w:rsidR="00DD7E50" w:rsidRPr="00E06C32" w:rsidRDefault="00806F94">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Del cambio de modalidad en la entrega de la información.</w:t>
      </w:r>
    </w:p>
    <w:p w14:paraId="42FFDF4C"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tal contexto, se debe resaltar que los motivos de inconformidad de la parte</w:t>
      </w:r>
      <w:r w:rsidRPr="00E06C32">
        <w:rPr>
          <w:rFonts w:ascii="Palatino Linotype" w:eastAsia="Palatino Linotype" w:hAnsi="Palatino Linotype" w:cs="Palatino Linotype"/>
          <w:b/>
        </w:rPr>
        <w:t xml:space="preserve"> Recurrente</w:t>
      </w:r>
      <w:r w:rsidRPr="00E06C32">
        <w:rPr>
          <w:rFonts w:ascii="Palatino Linotype" w:eastAsia="Palatino Linotype" w:hAnsi="Palatino Linotype" w:cs="Palatino Linotype"/>
        </w:rPr>
        <w:t xml:space="preserve"> suponen que existió una omisión en el actuar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al momento de realizar un cambio de modalidad para tender los requerimientos de información marcados con los numerales 2 y 3, mediante los cuales se requirió la entrega de </w:t>
      </w:r>
      <w:r w:rsidRPr="00E06C32">
        <w:rPr>
          <w:rFonts w:ascii="Palatino Linotype" w:eastAsia="Palatino Linotype" w:hAnsi="Palatino Linotype" w:cs="Palatino Linotype"/>
          <w:b/>
        </w:rPr>
        <w:t xml:space="preserve">todas las actas de entrega recepción, así como la caratula de la estimación finiquito de cada obra pública o contrato celebrado en el ejercicio 2024, </w:t>
      </w:r>
      <w:r w:rsidRPr="00E06C32">
        <w:rPr>
          <w:rFonts w:ascii="Palatino Linotype" w:eastAsia="Palatino Linotype" w:hAnsi="Palatino Linotype" w:cs="Palatino Linotype"/>
        </w:rPr>
        <w:t xml:space="preserve"> así como </w:t>
      </w:r>
      <w:r w:rsidRPr="00E06C32">
        <w:rPr>
          <w:rFonts w:ascii="Palatino Linotype" w:eastAsia="Palatino Linotype" w:hAnsi="Palatino Linotype" w:cs="Palatino Linotype"/>
          <w:b/>
        </w:rPr>
        <w:t xml:space="preserve">el </w:t>
      </w:r>
      <w:proofErr w:type="spellStart"/>
      <w:r w:rsidRPr="00E06C32">
        <w:rPr>
          <w:rFonts w:ascii="Palatino Linotype" w:eastAsia="Palatino Linotype" w:hAnsi="Palatino Linotype" w:cs="Palatino Linotype"/>
          <w:b/>
        </w:rPr>
        <w:t>curriculum</w:t>
      </w:r>
      <w:proofErr w:type="spellEnd"/>
      <w:r w:rsidRPr="00E06C32">
        <w:rPr>
          <w:rFonts w:ascii="Palatino Linotype" w:eastAsia="Palatino Linotype" w:hAnsi="Palatino Linotype" w:cs="Palatino Linotype"/>
          <w:b/>
        </w:rPr>
        <w:t xml:space="preserve"> vitae, nombramiento y certificación de competencia laboral con lo cual se acredite la experiencia profesional para ocupar el cargo que ostentan, de cada uno de los servidores públicos adscritos a la Dirección de Infraestructura Urbana, así como el recibo de nómina a la primera quincena de 2025 con sus percepciones quincenales, </w:t>
      </w:r>
      <w:r w:rsidRPr="00E06C32">
        <w:rPr>
          <w:rFonts w:ascii="Palatino Linotype" w:eastAsia="Palatino Linotype" w:hAnsi="Palatino Linotype" w:cs="Palatino Linotype"/>
        </w:rPr>
        <w:t>pues como ha quedado asentado en el antecedente 1 de la presente resolución, la persona solicitante requirió que la información le fuera remitida a través del Sistema de Acceso a la Información Mexiquense, SAIMEX, como se ilustra  a continuación para un mejor entendimiento:</w:t>
      </w:r>
    </w:p>
    <w:p w14:paraId="6D263415" w14:textId="77777777" w:rsidR="00DD7E50" w:rsidRPr="00E06C32" w:rsidRDefault="00806F9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04B129CD" wp14:editId="1B9D5872">
            <wp:extent cx="3600000" cy="1600407"/>
            <wp:effectExtent l="0" t="0" r="0" b="0"/>
            <wp:docPr id="20832964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600000" cy="1600407"/>
                    </a:xfrm>
                    <a:prstGeom prst="rect">
                      <a:avLst/>
                    </a:prstGeom>
                    <a:ln/>
                  </pic:spPr>
                </pic:pic>
              </a:graphicData>
            </a:graphic>
          </wp:inline>
        </w:drawing>
      </w:r>
    </w:p>
    <w:p w14:paraId="6DA902C9"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En este sentido, por lo que respecta al </w:t>
      </w:r>
      <w:r w:rsidRPr="00E06C32">
        <w:rPr>
          <w:rFonts w:ascii="Palatino Linotype" w:eastAsia="Palatino Linotype" w:hAnsi="Palatino Linotype" w:cs="Palatino Linotype"/>
          <w:b/>
          <w:u w:val="single"/>
        </w:rPr>
        <w:t>cambio de modalidad en la entrega de información</w:t>
      </w:r>
      <w:r w:rsidRPr="00E06C32">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la persona solicitante podrá señalar </w:t>
      </w:r>
      <w:r w:rsidRPr="00E06C32">
        <w:rPr>
          <w:rFonts w:ascii="Palatino Linotype" w:eastAsia="Palatino Linotype" w:hAnsi="Palatino Linotype" w:cs="Palatino Linotype"/>
          <w:b/>
        </w:rPr>
        <w:t>la modalidad en la que prefiere se otorgue el acceso a la información</w:t>
      </w:r>
      <w:r w:rsidRPr="00E06C32">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07DCCE49"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E06C32">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CE2845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w:t>
      </w:r>
      <w:r w:rsidRPr="00E06C32">
        <w:rPr>
          <w:rFonts w:ascii="Palatino Linotype" w:eastAsia="Palatino Linotype" w:hAnsi="Palatino Linotype" w:cs="Palatino Linotype"/>
        </w:rPr>
        <w:lastRenderedPageBreak/>
        <w:t>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8FBAB76"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“FUNDAMENTACIÓN Y MOTIVACIÓN DE LOS ACTOS ADMINISTRATIVOS</w:t>
      </w:r>
      <w:r w:rsidRPr="00E06C32">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E06C32">
        <w:rPr>
          <w:rFonts w:ascii="Palatino Linotype" w:eastAsia="Palatino Linotype" w:hAnsi="Palatino Linotype" w:cs="Palatino Linotype"/>
          <w:i/>
          <w:sz w:val="22"/>
          <w:szCs w:val="22"/>
        </w:rPr>
        <w:t>subincisos</w:t>
      </w:r>
      <w:proofErr w:type="spellEnd"/>
      <w:r w:rsidRPr="00E06C32">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49EDAE00"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w:t>
      </w:r>
      <w:r w:rsidRPr="00E06C32">
        <w:rPr>
          <w:rFonts w:ascii="Palatino Linotype" w:eastAsia="Palatino Linotype" w:hAnsi="Palatino Linotype" w:cs="Palatino Linotype"/>
        </w:rPr>
        <w:lastRenderedPageBreak/>
        <w:t>el acceso a la información en la modalidad de entrega solicitada, empero en caso de ofrecer otra u otras modalidades de entrega deberá fundar y motivar su respuesta, a saber:</w:t>
      </w:r>
    </w:p>
    <w:p w14:paraId="3E391190" w14:textId="77777777" w:rsidR="00DD7E50" w:rsidRPr="00E06C32" w:rsidRDefault="00806F94">
      <w:pPr>
        <w:spacing w:before="120" w:after="120"/>
        <w:ind w:left="851" w:right="851"/>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sz w:val="22"/>
          <w:szCs w:val="22"/>
        </w:rPr>
        <w:t>“</w:t>
      </w:r>
      <w:r w:rsidRPr="00E06C32">
        <w:rPr>
          <w:rFonts w:ascii="Palatino Linotype" w:eastAsia="Palatino Linotype" w:hAnsi="Palatino Linotype" w:cs="Palatino Linotype"/>
          <w:b/>
          <w:i/>
          <w:sz w:val="22"/>
          <w:szCs w:val="22"/>
        </w:rPr>
        <w:t>Artículo 160.</w:t>
      </w:r>
      <w:r w:rsidRPr="00E06C3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E6399CE" w14:textId="77777777" w:rsidR="00DD7E50" w:rsidRPr="00E06C32" w:rsidRDefault="00806F94">
      <w:pPr>
        <w:spacing w:before="120" w:after="120"/>
        <w:ind w:left="851" w:right="851"/>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164.</w:t>
      </w:r>
      <w:r w:rsidRPr="00E06C3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E06C32">
        <w:rPr>
          <w:rFonts w:ascii="Palatino Linotype" w:eastAsia="Palatino Linotype" w:hAnsi="Palatino Linotype" w:cs="Palatino Linotype"/>
          <w:b/>
          <w:i/>
          <w:sz w:val="22"/>
          <w:szCs w:val="22"/>
          <w:u w:val="single"/>
        </w:rPr>
        <w:t>el sujeto obligado deberá ofrecer otra u otras modalidades de entrega.</w:t>
      </w:r>
      <w:r w:rsidRPr="00E06C32">
        <w:rPr>
          <w:rFonts w:ascii="Palatino Linotype" w:eastAsia="Palatino Linotype" w:hAnsi="Palatino Linotype" w:cs="Palatino Linotype"/>
          <w:i/>
          <w:sz w:val="22"/>
          <w:szCs w:val="22"/>
        </w:rPr>
        <w:t xml:space="preserve"> En cualquier caso, se deberá fundar y motivar la necesidad de ofrecer otras modalidades.”</w:t>
      </w:r>
    </w:p>
    <w:p w14:paraId="3E103B2B"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0FBAB777"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091D17B7"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tales consideraciones, la entrega deberá hacerse, </w:t>
      </w:r>
      <w:r w:rsidRPr="00E06C32">
        <w:rPr>
          <w:rFonts w:ascii="Palatino Linotype" w:eastAsia="Palatino Linotype" w:hAnsi="Palatino Linotype" w:cs="Palatino Linotype"/>
          <w:b/>
        </w:rPr>
        <w:t>en la medida de lo posible, en la forma solicitada por el interesado, salvo que exista un impedimento justificado para atenderla</w:t>
      </w:r>
      <w:r w:rsidRPr="00E06C32">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w:t>
      </w:r>
      <w:r w:rsidRPr="00E06C32">
        <w:rPr>
          <w:rFonts w:ascii="Palatino Linotype" w:eastAsia="Palatino Linotype" w:hAnsi="Palatino Linotype" w:cs="Palatino Linotype"/>
        </w:rPr>
        <w:lastRenderedPageBreak/>
        <w:t xml:space="preserve">información en una modalidad distinta a la elegida por la particular </w:t>
      </w:r>
      <w:r w:rsidRPr="00E06C32">
        <w:rPr>
          <w:rFonts w:ascii="Palatino Linotype" w:eastAsia="Palatino Linotype" w:hAnsi="Palatino Linotype" w:cs="Palatino Linotype"/>
          <w:b/>
        </w:rPr>
        <w:t>sólo procede, en caso de que se acredite la imposibilidad de atenderla.</w:t>
      </w:r>
      <w:r w:rsidRPr="00E06C32">
        <w:rPr>
          <w:rFonts w:ascii="Palatino Linotype" w:eastAsia="Palatino Linotype" w:hAnsi="Palatino Linotype" w:cs="Palatino Linotype"/>
        </w:rPr>
        <w:t xml:space="preserve"> </w:t>
      </w:r>
    </w:p>
    <w:p w14:paraId="3C2385E5"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Así, cuando se justifique el impedimento, </w:t>
      </w:r>
      <w:r w:rsidRPr="00E06C32">
        <w:rPr>
          <w:rFonts w:ascii="Palatino Linotype" w:eastAsia="Palatino Linotype" w:hAnsi="Palatino Linotype" w:cs="Palatino Linotype"/>
          <w:b/>
        </w:rPr>
        <w:t>los Sujetos Obligados deberán ofrecer al particular otras modalidades de entrega que permita la información</w:t>
      </w:r>
      <w:r w:rsidRPr="00E06C32">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39D487CB" w14:textId="77777777" w:rsidR="00DD7E50" w:rsidRPr="00E06C32" w:rsidRDefault="00806F94">
      <w:pPr>
        <w:spacing w:before="120" w:after="120"/>
        <w:ind w:left="851" w:right="851"/>
        <w:jc w:val="both"/>
        <w:rPr>
          <w:rFonts w:ascii="Palatino Linotype" w:eastAsia="Palatino Linotype" w:hAnsi="Palatino Linotype" w:cs="Palatino Linotype"/>
          <w:b/>
          <w:i/>
          <w:sz w:val="22"/>
          <w:szCs w:val="22"/>
          <w:u w:val="single"/>
        </w:rPr>
      </w:pPr>
      <w:r w:rsidRPr="00E06C32">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E06C3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E06C32">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E06C32">
        <w:rPr>
          <w:rFonts w:ascii="Palatino Linotype" w:eastAsia="Palatino Linotype" w:hAnsi="Palatino Linotype" w:cs="Palatino Linotype"/>
          <w:b/>
          <w:i/>
          <w:sz w:val="22"/>
          <w:szCs w:val="22"/>
        </w:rPr>
        <w:t>.”</w:t>
      </w:r>
    </w:p>
    <w:p w14:paraId="296A5C47"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Del citado criterio, se desprende que cuando</w:t>
      </w:r>
      <w:r w:rsidRPr="00E06C32">
        <w:rPr>
          <w:rFonts w:ascii="Palatino Linotype" w:eastAsia="Palatino Linotype" w:hAnsi="Palatino Linotype" w:cs="Palatino Linotype"/>
          <w:b/>
        </w:rPr>
        <w:t xml:space="preserve"> la información no pueda entregarse o enviarse en la modalidad elegida, </w:t>
      </w:r>
      <w:r w:rsidRPr="00E06C32">
        <w:rPr>
          <w:rFonts w:ascii="Palatino Linotype" w:eastAsia="Palatino Linotype" w:hAnsi="Palatino Linotype" w:cs="Palatino Linotype"/>
        </w:rPr>
        <w:t xml:space="preserve">para que la obligación de acceso a la información se tenga por cumplida, </w:t>
      </w:r>
      <w:r w:rsidRPr="00E06C32">
        <w:rPr>
          <w:rFonts w:ascii="Palatino Linotype" w:eastAsia="Palatino Linotype" w:hAnsi="Palatino Linotype" w:cs="Palatino Linotype"/>
          <w:b/>
        </w:rPr>
        <w:t>el Sujeto Obligado deberá ofrecer otra u otras modalidades de entrega.</w:t>
      </w:r>
      <w:r w:rsidRPr="00E06C32">
        <w:rPr>
          <w:rFonts w:ascii="Palatino Linotype" w:eastAsia="Palatino Linotype" w:hAnsi="Palatino Linotype" w:cs="Palatino Linotype"/>
        </w:rPr>
        <w:t xml:space="preserve"> En cualquier caso, </w:t>
      </w:r>
      <w:r w:rsidRPr="00E06C32">
        <w:rPr>
          <w:rFonts w:ascii="Palatino Linotype" w:eastAsia="Palatino Linotype" w:hAnsi="Palatino Linotype" w:cs="Palatino Linotype"/>
          <w:b/>
        </w:rPr>
        <w:t>se deberá fundar y motivar la necesidad de ofrecer otras modalidades</w:t>
      </w:r>
      <w:r w:rsidRPr="00E06C32">
        <w:rPr>
          <w:rFonts w:ascii="Palatino Linotype" w:eastAsia="Palatino Linotype" w:hAnsi="Palatino Linotype" w:cs="Palatino Linotype"/>
        </w:rPr>
        <w:t xml:space="preserve"> que lo permitan, </w:t>
      </w:r>
      <w:r w:rsidRPr="00E06C32">
        <w:rPr>
          <w:rFonts w:ascii="Palatino Linotype" w:eastAsia="Palatino Linotype" w:hAnsi="Palatino Linotype" w:cs="Palatino Linotype"/>
          <w:b/>
        </w:rPr>
        <w:t>procurando reducir los costos de entrega.</w:t>
      </w:r>
    </w:p>
    <w:p w14:paraId="7062C7FD"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Además, según Calero, Natalia (2016), en la “Ley General de Transparencia y Acceso a la Información Pública Comentada”, cuando los sujetos obligados ofrezcan como </w:t>
      </w:r>
      <w:r w:rsidRPr="00E06C32">
        <w:rPr>
          <w:rFonts w:ascii="Palatino Linotype" w:eastAsia="Palatino Linotype" w:hAnsi="Palatino Linotype" w:cs="Palatino Linotype"/>
        </w:rPr>
        <w:lastRenderedPageBreak/>
        <w:t>modalidad de entrega de la información, consulta directa, estos deberán fundar y motivar las razones por las cuales no es posible otorgar el acceso a los documentos de otra forma; además que se deberá explicar de manera detallada lo siguiente:</w:t>
      </w:r>
    </w:p>
    <w:p w14:paraId="189F1798" w14:textId="77777777" w:rsidR="00DD7E50" w:rsidRPr="00E06C32" w:rsidRDefault="00806F94">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E06C32">
        <w:rPr>
          <w:rFonts w:ascii="Palatino Linotype" w:eastAsia="Palatino Linotype" w:hAnsi="Palatino Linotype" w:cs="Palatino Linotype"/>
        </w:rPr>
        <w:t>Las razones por las cuales la información implicaba un análisis, estudio o procesamiento de datos;</w:t>
      </w:r>
    </w:p>
    <w:p w14:paraId="2A58DE3D" w14:textId="77777777" w:rsidR="00DD7E50" w:rsidRPr="00E06C32" w:rsidRDefault="00806F94">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E06C32">
        <w:rPr>
          <w:rFonts w:ascii="Palatino Linotype" w:eastAsia="Palatino Linotype" w:hAnsi="Palatino Linotype" w:cs="Palatino Linotype"/>
        </w:rPr>
        <w:t>El tiempo no es suficiente para atender la solicitud en la modalidad elegida, y</w:t>
      </w:r>
    </w:p>
    <w:p w14:paraId="2E529098" w14:textId="77777777" w:rsidR="00DD7E50" w:rsidRPr="00E06C32" w:rsidRDefault="00806F94">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E06C32">
        <w:rPr>
          <w:rFonts w:ascii="Palatino Linotype" w:eastAsia="Palatino Linotype" w:hAnsi="Palatino Linotype" w:cs="Palatino Linotype"/>
        </w:rPr>
        <w:t>La cantidad de recursos humanos y materiales con los que cuenta el Sujeto Obligado son insuficientes.</w:t>
      </w:r>
    </w:p>
    <w:p w14:paraId="3081E72B"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el caso concreto, toda vez que en la  respuesta a la solicitud no se referían de manera clara los motivos que justifican el cambio de modalidad en la entrega de la información propuesta por la persona servidora pública habilitada, este Organismo Garante realizó un requerimiento de información adicional al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como consta en los antecedentes de la presente resolución, con la finalidad de esclarecer las razones y fundamentos suficientes que impiden la entrega de la información a través del SAIMEX; solicitando que refiriera con exactitud al cúmulo de información de que se trata, es decir, el número de hojas, y sí excede las capacidades del SAIMEX, esto mediante el reporte de incidencias realizado en la Dirección General de Informática de este Instituto; y precisara si la información solicitada sobrepasaba sus capacidades técnicas administrativas y humanas para cumplir con la solicitud en los plazos establecidos para dichos efectos, con los respectivos medios de convicción.</w:t>
      </w:r>
    </w:p>
    <w:p w14:paraId="028E2F32"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En respuesta a dicho requerimiento,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por conducto de la Dirección de Infraestructura Urbana y la Oficialía Mayor Municipal, manifestó en lo medular lo siguiente:</w:t>
      </w:r>
    </w:p>
    <w:p w14:paraId="23B54B16"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b/>
        </w:rPr>
        <w:t>Dirección de Infraestructura Urbana</w:t>
      </w:r>
    </w:p>
    <w:p w14:paraId="7D0E4E20"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Cuenta con dos personas encargadas.</w:t>
      </w:r>
    </w:p>
    <w:p w14:paraId="28D82F3E" w14:textId="7C3DC999"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El total de contratos</w:t>
      </w:r>
      <w:r w:rsidR="00EE26C8" w:rsidRPr="00E06C32">
        <w:rPr>
          <w:rFonts w:ascii="Palatino Linotype" w:eastAsia="Palatino Linotype" w:hAnsi="Palatino Linotype" w:cs="Palatino Linotype"/>
        </w:rPr>
        <w:t xml:space="preserve"> de obra</w:t>
      </w:r>
      <w:r w:rsidRPr="00E06C32">
        <w:rPr>
          <w:rFonts w:ascii="Palatino Linotype" w:eastAsia="Palatino Linotype" w:hAnsi="Palatino Linotype" w:cs="Palatino Linotype"/>
        </w:rPr>
        <w:t xml:space="preserve"> recibidos en la entrega recepción de la administración 2022-2024, es de 42, cuyos contratos y caratulas de estimación finiquito completas se distribuyen en 126 archivos, con un aproximado de 11,228 hojas.</w:t>
      </w:r>
    </w:p>
    <w:p w14:paraId="08991CB1"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La información con la cual se dará atención a la solicitud se encuentra en formato digital, cuyo peso es de 3.96 GB, distribuido en 47 carpetas, con 128 archivos en total, los cuales contienen el contrato, las actas de entrega recepción de las obras públicas y carátula de estimación de contratos del ejercicio 2024, divididos en cuatro trimestres, como se comprueba con las capturas de pantalla proporcionadas, como se ilustró en los antecedentes de la presente resolución.</w:t>
      </w:r>
    </w:p>
    <w:p w14:paraId="74EE6A7E"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De manera ejemplificativa remitió la captura de pantalla del expediente electrónico del contrato único de obra LP/011/2024, el cual se compone de 5 archivos, con un peso de 220 MB, así como el contrato respectivo, el cual consta de 17 hojas.</w:t>
      </w:r>
    </w:p>
    <w:p w14:paraId="79786CD0" w14:textId="77777777" w:rsidR="00DD7E50" w:rsidRPr="00E06C32" w:rsidRDefault="00DD7E50">
      <w:pPr>
        <w:spacing w:before="240" w:after="240" w:line="360" w:lineRule="auto"/>
        <w:ind w:left="142"/>
        <w:jc w:val="both"/>
        <w:rPr>
          <w:rFonts w:ascii="Palatino Linotype" w:eastAsia="Palatino Linotype" w:hAnsi="Palatino Linotype" w:cs="Palatino Linotype"/>
          <w:b/>
        </w:rPr>
      </w:pPr>
    </w:p>
    <w:p w14:paraId="1BF3704F" w14:textId="77777777" w:rsidR="00DD7E50" w:rsidRPr="00E06C32" w:rsidRDefault="00DD7E50">
      <w:pPr>
        <w:spacing w:before="240" w:after="240" w:line="360" w:lineRule="auto"/>
        <w:ind w:left="142"/>
        <w:jc w:val="both"/>
        <w:rPr>
          <w:rFonts w:ascii="Palatino Linotype" w:eastAsia="Palatino Linotype" w:hAnsi="Palatino Linotype" w:cs="Palatino Linotype"/>
          <w:b/>
        </w:rPr>
      </w:pPr>
    </w:p>
    <w:p w14:paraId="65284D34" w14:textId="77777777" w:rsidR="00DD7E50" w:rsidRPr="00E06C32" w:rsidRDefault="00806F94">
      <w:pPr>
        <w:spacing w:before="240" w:after="240" w:line="360" w:lineRule="auto"/>
        <w:ind w:left="142"/>
        <w:jc w:val="both"/>
        <w:rPr>
          <w:rFonts w:ascii="Palatino Linotype" w:eastAsia="Palatino Linotype" w:hAnsi="Palatino Linotype" w:cs="Palatino Linotype"/>
          <w:b/>
        </w:rPr>
      </w:pPr>
      <w:r w:rsidRPr="00E06C32">
        <w:rPr>
          <w:rFonts w:ascii="Palatino Linotype" w:eastAsia="Palatino Linotype" w:hAnsi="Palatino Linotype" w:cs="Palatino Linotype"/>
          <w:b/>
        </w:rPr>
        <w:lastRenderedPageBreak/>
        <w:t>Oficialía Mayor Municipal</w:t>
      </w:r>
    </w:p>
    <w:p w14:paraId="5626C12B"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Informó que dentro de la Dirección de Infraestructura Urbana se tiene registradas a 155 personas, al corte de nómina realizado el 31 de enero del 2025.</w:t>
      </w:r>
    </w:p>
    <w:p w14:paraId="27CD8370"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 Señaló que el número aproximado de las hojas que integra cada uno de los expedientes es de 4 hojas como mínimo y de 6 hojas como máximo, única y exclusivamente, por lo que refiere a los documentos señalados en la solicitud. </w:t>
      </w:r>
    </w:p>
    <w:p w14:paraId="123819FC" w14:textId="77777777" w:rsidR="00DD7E50" w:rsidRPr="00E06C32" w:rsidRDefault="00806F94">
      <w:pPr>
        <w:spacing w:before="240" w:after="240" w:line="360" w:lineRule="auto"/>
        <w:ind w:left="142"/>
        <w:jc w:val="both"/>
        <w:rPr>
          <w:rFonts w:ascii="Palatino Linotype" w:eastAsia="Palatino Linotype" w:hAnsi="Palatino Linotype" w:cs="Palatino Linotype"/>
        </w:rPr>
      </w:pPr>
      <w:r w:rsidRPr="00E06C32">
        <w:rPr>
          <w:rFonts w:ascii="Palatino Linotype" w:eastAsia="Palatino Linotype" w:hAnsi="Palatino Linotype" w:cs="Palatino Linotype"/>
        </w:rPr>
        <w:t>- De la operación aritmética del producto de multiplicar el número de personas registradas, por el número promedio de documentos, se obtiene como resultado la cantidad de 775 hojas.</w:t>
      </w:r>
    </w:p>
    <w:p w14:paraId="0D49982A" w14:textId="77777777" w:rsidR="00DD7E50" w:rsidRPr="00E06C32" w:rsidRDefault="00806F94">
      <w:pPr>
        <w:spacing w:before="240" w:after="240" w:line="360" w:lineRule="auto"/>
        <w:ind w:right="49"/>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De igual manera, es de señalar que el </w:t>
      </w:r>
      <w:r w:rsidRPr="00E06C32">
        <w:rPr>
          <w:rFonts w:ascii="Palatino Linotype" w:eastAsia="Palatino Linotype" w:hAnsi="Palatino Linotype" w:cs="Palatino Linotype"/>
          <w:b/>
        </w:rPr>
        <w:t>Sujeto Obligado r</w:t>
      </w:r>
      <w:r w:rsidRPr="00E06C32">
        <w:rPr>
          <w:rFonts w:ascii="Palatino Linotype" w:eastAsia="Palatino Linotype" w:hAnsi="Palatino Linotype" w:cs="Palatino Linotype"/>
        </w:rPr>
        <w:t xml:space="preserve">emitió el oficio número INFOEM/DGI/174/2025, mediante el cual el </w:t>
      </w:r>
      <w:proofErr w:type="gramStart"/>
      <w:r w:rsidRPr="00E06C32">
        <w:rPr>
          <w:rFonts w:ascii="Palatino Linotype" w:eastAsia="Palatino Linotype" w:hAnsi="Palatino Linotype" w:cs="Palatino Linotype"/>
        </w:rPr>
        <w:t>Director General</w:t>
      </w:r>
      <w:proofErr w:type="gramEnd"/>
      <w:r w:rsidRPr="00E06C32">
        <w:rPr>
          <w:rFonts w:ascii="Palatino Linotype" w:eastAsia="Palatino Linotype" w:hAnsi="Palatino Linotype" w:cs="Palatino Linotype"/>
        </w:rPr>
        <w:t xml:space="preserve"> de Informática de este Instituto comunica a la Titular de la Unidad de Transparencia del Sujeto Obligado, que la incidencia técnica quedó registrada, </w:t>
      </w:r>
      <w:r w:rsidRPr="00E06C32">
        <w:rPr>
          <w:rFonts w:ascii="Palatino Linotype" w:eastAsia="Palatino Linotype" w:hAnsi="Palatino Linotype" w:cs="Palatino Linotype"/>
          <w:b/>
          <w:u w:val="single"/>
        </w:rPr>
        <w:t>al tratar de subir un peso de 3.90GB lo cual sobrepasa las capacidades técnicas del sistema SAIMEX.</w:t>
      </w:r>
    </w:p>
    <w:p w14:paraId="5B5F3EE6"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Respecto del registro de incidencia ante la Dirección General de Informática, es oportuno mencionar, que el peso reportado, así como los argumentos expuestos para el cambio de modalidad, </w:t>
      </w:r>
      <w:r w:rsidRPr="00E06C32">
        <w:rPr>
          <w:rFonts w:ascii="Palatino Linotype" w:eastAsia="Palatino Linotype" w:hAnsi="Palatino Linotype" w:cs="Palatino Linotype"/>
          <w:b/>
          <w:u w:val="single"/>
        </w:rPr>
        <w:t>es responsabilidad de los Sujetos Obligados</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como tuvo a bien puntualizar el </w:t>
      </w:r>
      <w:proofErr w:type="gramStart"/>
      <w:r w:rsidRPr="00E06C32">
        <w:rPr>
          <w:rFonts w:ascii="Palatino Linotype" w:eastAsia="Palatino Linotype" w:hAnsi="Palatino Linotype" w:cs="Palatino Linotype"/>
        </w:rPr>
        <w:t>Director General</w:t>
      </w:r>
      <w:proofErr w:type="gramEnd"/>
      <w:r w:rsidRPr="00E06C32">
        <w:rPr>
          <w:rFonts w:ascii="Palatino Linotype" w:eastAsia="Palatino Linotype" w:hAnsi="Palatino Linotype" w:cs="Palatino Linotype"/>
        </w:rPr>
        <w:t xml:space="preserve"> de Informática de este Instituto, mediante en el oficio referido: </w:t>
      </w:r>
    </w:p>
    <w:p w14:paraId="6FFCEDDF" w14:textId="77777777" w:rsidR="00DD7E50" w:rsidRPr="00E06C32" w:rsidRDefault="00806F94">
      <w:pPr>
        <w:spacing w:before="240" w:after="240" w:line="360" w:lineRule="auto"/>
        <w:ind w:right="49"/>
        <w:jc w:val="center"/>
        <w:rPr>
          <w:rFonts w:ascii="Palatino Linotype" w:eastAsia="Palatino Linotype" w:hAnsi="Palatino Linotype" w:cs="Palatino Linotype"/>
        </w:rPr>
      </w:pPr>
      <w:r w:rsidRPr="00E06C32">
        <w:rPr>
          <w:rFonts w:ascii="Palatino Linotype" w:eastAsia="Palatino Linotype" w:hAnsi="Palatino Linotype" w:cs="Palatino Linotype"/>
          <w:noProof/>
        </w:rPr>
        <w:lastRenderedPageBreak/>
        <w:drawing>
          <wp:inline distT="0" distB="0" distL="0" distR="0" wp14:anchorId="7E56BF03" wp14:editId="60EADFBB">
            <wp:extent cx="4500000" cy="1806517"/>
            <wp:effectExtent l="0" t="0" r="0" b="0"/>
            <wp:docPr id="20832964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500000" cy="1806517"/>
                    </a:xfrm>
                    <a:prstGeom prst="rect">
                      <a:avLst/>
                    </a:prstGeom>
                    <a:ln/>
                  </pic:spPr>
                </pic:pic>
              </a:graphicData>
            </a:graphic>
          </wp:inline>
        </w:drawing>
      </w:r>
      <w:r w:rsidRPr="00E06C32">
        <w:rPr>
          <w:rFonts w:ascii="Palatino Linotype" w:hAnsi="Palatino Linotype"/>
          <w:noProof/>
        </w:rPr>
        <mc:AlternateContent>
          <mc:Choice Requires="wps">
            <w:drawing>
              <wp:anchor distT="0" distB="0" distL="114300" distR="114300" simplePos="0" relativeHeight="251658240" behindDoc="0" locked="0" layoutInCell="1" hidden="0" allowOverlap="1" wp14:anchorId="2D95FCB3" wp14:editId="6E0C2ADA">
                <wp:simplePos x="0" y="0"/>
                <wp:positionH relativeFrom="column">
                  <wp:posOffset>469900</wp:posOffset>
                </wp:positionH>
                <wp:positionV relativeFrom="paragraph">
                  <wp:posOffset>723900</wp:posOffset>
                </wp:positionV>
                <wp:extent cx="4674079" cy="688675"/>
                <wp:effectExtent l="0" t="0" r="0" b="0"/>
                <wp:wrapNone/>
                <wp:docPr id="2083296446" name="Rectángulo 2083296446"/>
                <wp:cNvGraphicFramePr/>
                <a:graphic xmlns:a="http://schemas.openxmlformats.org/drawingml/2006/main">
                  <a:graphicData uri="http://schemas.microsoft.com/office/word/2010/wordprocessingShape">
                    <wps:wsp>
                      <wps:cNvSpPr/>
                      <wps:spPr>
                        <a:xfrm>
                          <a:off x="3028011" y="3454713"/>
                          <a:ext cx="4635979" cy="650575"/>
                        </a:xfrm>
                        <a:prstGeom prst="rect">
                          <a:avLst/>
                        </a:prstGeom>
                        <a:noFill/>
                        <a:ln w="38100" cap="flat" cmpd="sng">
                          <a:solidFill>
                            <a:srgbClr val="C00000"/>
                          </a:solidFill>
                          <a:prstDash val="solid"/>
                          <a:round/>
                          <a:headEnd type="none" w="sm" len="sm"/>
                          <a:tailEnd type="none" w="sm" len="sm"/>
                        </a:ln>
                      </wps:spPr>
                      <wps:txbx>
                        <w:txbxContent>
                          <w:p w14:paraId="28BA053C" w14:textId="77777777" w:rsidR="005E2468" w:rsidRDefault="005E246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id="Rectángulo 2083296446" o:spid="_x0000_s1026" style="position:absolute;left:0;text-align:left;margin-left:37pt;margin-top:57pt;width:368.05pt;height:5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" filled="f" strokecolor="#c00000" strokeweight="3pt">
                <v:stroke startarrowwidth="narrow" startarrowlength="short" endarrowwidth="narrow" endarrowlength="short" joinstyle="round"/>
                <v:textbox inset="2.53958mm,2.53958mm,2.53958mm,2.53958mm">
                  <w:txbxContent>
                    <w:p w:rsidR="005E2468" w:rsidRDefault="005E2468">
                      <w:pPr>
                        <w:textDirection w:val="btLr"/>
                      </w:pPr>
                    </w:p>
                  </w:txbxContent>
                </v:textbox>
              </v:rect>
            </w:pict>
          </mc:Fallback>
        </mc:AlternateContent>
      </w:r>
    </w:p>
    <w:p w14:paraId="553E6891" w14:textId="77777777" w:rsidR="00DD7E50" w:rsidRPr="00E06C32" w:rsidRDefault="00806F94">
      <w:pPr>
        <w:spacing w:before="240" w:after="240" w:line="360" w:lineRule="auto"/>
        <w:ind w:right="49"/>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De manera que en el presente asunto,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se limitó a reportar un peso de 3.90GB, ante la Dirección General de Informática de este Instituto, asimismo, pretendió sustentar el peso con las capturas de pantalla de los archivos que contienen los contratos, las actas de entrega recepción y las carátulas de estimación finiquito de las obras públicas realizadas en el ejercicio 2024, no obstante, </w:t>
      </w:r>
      <w:r w:rsidRPr="00E06C32">
        <w:rPr>
          <w:rFonts w:ascii="Palatino Linotype" w:eastAsia="Palatino Linotype" w:hAnsi="Palatino Linotype" w:cs="Palatino Linotype"/>
          <w:b/>
          <w:u w:val="single"/>
        </w:rPr>
        <w:t>omitió dar una muestra de las actas de entrega recepción, así como de las caratulas de estimación finiquito de las obras públicas.</w:t>
      </w:r>
    </w:p>
    <w:p w14:paraId="563E538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este sentido, ante la omisión del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de atender el requerimiento de información adicional en los términos planteados, </w:t>
      </w:r>
      <w:r w:rsidRPr="00E06C32">
        <w:rPr>
          <w:rFonts w:ascii="Palatino Linotype" w:eastAsia="Palatino Linotype" w:hAnsi="Palatino Linotype" w:cs="Palatino Linotype"/>
          <w:b/>
        </w:rPr>
        <w:t xml:space="preserve">este Organismo Garante no cuenta con los elementos suficientes para determinar la procedencia del cambio de modalidad, al no tener certeza de los documentos con los cuales se pretende dar atención a la solicitud, </w:t>
      </w:r>
      <w:r w:rsidRPr="00E06C32">
        <w:rPr>
          <w:rFonts w:ascii="Palatino Linotype" w:eastAsia="Palatino Linotype" w:hAnsi="Palatino Linotype" w:cs="Palatino Linotype"/>
        </w:rPr>
        <w:t>específicamente por lo que se refiere a la información competencia de la Dirección de Infraestructura Urbana, y si esta sobrepasa las capacidades de SAIMEX.</w:t>
      </w:r>
    </w:p>
    <w:p w14:paraId="30171525" w14:textId="2070EB8C"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Para esclarecer el argumento anterior, es preciso reiterar que, de la lectura del requerimiento de información, se advierte que el interés de la persona solicitante </w:t>
      </w:r>
      <w:r w:rsidRPr="00E06C32">
        <w:rPr>
          <w:rFonts w:ascii="Palatino Linotype" w:eastAsia="Palatino Linotype" w:hAnsi="Palatino Linotype" w:cs="Palatino Linotype"/>
        </w:rPr>
        <w:lastRenderedPageBreak/>
        <w:t xml:space="preserve">consiste en obtener, de las obras públicas o contratos de 2024, </w:t>
      </w:r>
      <w:r w:rsidRPr="00E06C32">
        <w:rPr>
          <w:rFonts w:ascii="Palatino Linotype" w:eastAsia="Palatino Linotype" w:hAnsi="Palatino Linotype" w:cs="Palatino Linotype"/>
          <w:b/>
          <w:u w:val="single"/>
        </w:rPr>
        <w:t>todas las actas de entrega recepción</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así como </w:t>
      </w:r>
      <w:r w:rsidRPr="00E06C32">
        <w:rPr>
          <w:rFonts w:ascii="Palatino Linotype" w:eastAsia="Palatino Linotype" w:hAnsi="Palatino Linotype" w:cs="Palatino Linotype"/>
          <w:b/>
          <w:u w:val="single"/>
        </w:rPr>
        <w:t>la caratula de la estimación finiquito de cada obra pública o contrato</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mientras que del pronunciamiento emitido por el servidor público habilitado en desahogo del requerimiento de información adicional realizado por este Organismo Garante, se advierte que éste </w:t>
      </w:r>
      <w:r w:rsidRPr="00E06C32">
        <w:rPr>
          <w:rFonts w:ascii="Palatino Linotype" w:eastAsia="Palatino Linotype" w:hAnsi="Palatino Linotype" w:cs="Palatino Linotype"/>
          <w:b/>
        </w:rPr>
        <w:t xml:space="preserve">se pronuncia respecto de los </w:t>
      </w:r>
      <w:r w:rsidRPr="00E06C32">
        <w:rPr>
          <w:rFonts w:ascii="Palatino Linotype" w:eastAsia="Palatino Linotype" w:hAnsi="Palatino Linotype" w:cs="Palatino Linotype"/>
          <w:b/>
          <w:u w:val="single"/>
        </w:rPr>
        <w:t>contratos</w:t>
      </w:r>
      <w:r w:rsidRPr="00E06C32">
        <w:rPr>
          <w:rFonts w:ascii="Palatino Linotype" w:eastAsia="Palatino Linotype" w:hAnsi="Palatino Linotype" w:cs="Palatino Linotype"/>
          <w:b/>
        </w:rPr>
        <w:t xml:space="preserve"> así como los expedientes de estimación de finiquito </w:t>
      </w:r>
      <w:r w:rsidRPr="00E06C32">
        <w:rPr>
          <w:rFonts w:ascii="Palatino Linotype" w:eastAsia="Palatino Linotype" w:hAnsi="Palatino Linotype" w:cs="Palatino Linotype"/>
          <w:b/>
          <w:u w:val="single"/>
        </w:rPr>
        <w:t>completos</w:t>
      </w:r>
      <w:r w:rsidRPr="00E06C32">
        <w:rPr>
          <w:rFonts w:ascii="Palatino Linotype" w:eastAsia="Palatino Linotype" w:hAnsi="Palatino Linotype" w:cs="Palatino Linotype"/>
        </w:rPr>
        <w:t xml:space="preserve">, de cada contrato u obra pública, como se ilustra a continuación para un mejor entendimiento, </w:t>
      </w:r>
      <w:r w:rsidRPr="00E06C32">
        <w:rPr>
          <w:rFonts w:ascii="Palatino Linotype" w:eastAsia="Palatino Linotype" w:hAnsi="Palatino Linotype" w:cs="Palatino Linotype"/>
          <w:u w:val="single"/>
        </w:rPr>
        <w:t xml:space="preserve">respecto del Contrato de obra pública número </w:t>
      </w:r>
      <w:r w:rsidRPr="00E06C32">
        <w:rPr>
          <w:rFonts w:ascii="Palatino Linotype" w:eastAsia="Palatino Linotype" w:hAnsi="Palatino Linotype" w:cs="Palatino Linotype"/>
          <w:b/>
          <w:u w:val="single"/>
        </w:rPr>
        <w:t>TLA/DOP/FAISMUN/LP-011/2024</w:t>
      </w:r>
      <w:r w:rsidR="00EE26C8" w:rsidRPr="00E06C32">
        <w:rPr>
          <w:rFonts w:ascii="Palatino Linotype" w:eastAsia="Palatino Linotype" w:hAnsi="Palatino Linotype" w:cs="Palatino Linotype"/>
          <w:b/>
          <w:u w:val="single"/>
        </w:rPr>
        <w:t xml:space="preserve"> tomado como ejemplo por el Sujeto Obligado</w:t>
      </w:r>
      <w:r w:rsidRPr="00E06C32">
        <w:rPr>
          <w:rFonts w:ascii="Palatino Linotype" w:eastAsia="Palatino Linotype" w:hAnsi="Palatino Linotype" w:cs="Palatino Linotype"/>
          <w:u w:val="single"/>
        </w:rPr>
        <w:t>:</w:t>
      </w:r>
    </w:p>
    <w:p w14:paraId="009301A4" w14:textId="77777777" w:rsidR="00DD7E50" w:rsidRPr="00E06C32" w:rsidRDefault="00806F94">
      <w:pPr>
        <w:spacing w:before="240" w:after="36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63D4E681" wp14:editId="799BBFB2">
            <wp:extent cx="5612130" cy="2239010"/>
            <wp:effectExtent l="0" t="0" r="0" b="0"/>
            <wp:docPr id="2083296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612130" cy="2239010"/>
                    </a:xfrm>
                    <a:prstGeom prst="rect">
                      <a:avLst/>
                    </a:prstGeom>
                    <a:ln/>
                  </pic:spPr>
                </pic:pic>
              </a:graphicData>
            </a:graphic>
          </wp:inline>
        </w:drawing>
      </w:r>
    </w:p>
    <w:p w14:paraId="22B291D9" w14:textId="77777777" w:rsidR="00DD7E50" w:rsidRPr="00E06C32" w:rsidRDefault="00806F94">
      <w:pPr>
        <w:spacing w:before="240" w:after="36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671611E3" wp14:editId="54B925FA">
            <wp:extent cx="5591955" cy="333422"/>
            <wp:effectExtent l="0" t="0" r="0" b="0"/>
            <wp:docPr id="20832964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591955" cy="333422"/>
                    </a:xfrm>
                    <a:prstGeom prst="rect">
                      <a:avLst/>
                    </a:prstGeom>
                    <a:ln/>
                  </pic:spPr>
                </pic:pic>
              </a:graphicData>
            </a:graphic>
          </wp:inline>
        </w:drawing>
      </w:r>
      <w:r w:rsidRPr="00E06C32">
        <w:rPr>
          <w:rFonts w:ascii="Palatino Linotype" w:eastAsia="Palatino Linotype" w:hAnsi="Palatino Linotype" w:cs="Palatino Linotype"/>
          <w:noProof/>
        </w:rPr>
        <w:drawing>
          <wp:inline distT="0" distB="0" distL="0" distR="0" wp14:anchorId="5DF2D2F7" wp14:editId="47944431">
            <wp:extent cx="5534797" cy="419158"/>
            <wp:effectExtent l="0" t="0" r="0" b="0"/>
            <wp:docPr id="20832964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534797" cy="419158"/>
                    </a:xfrm>
                    <a:prstGeom prst="rect">
                      <a:avLst/>
                    </a:prstGeom>
                    <a:ln/>
                  </pic:spPr>
                </pic:pic>
              </a:graphicData>
            </a:graphic>
          </wp:inline>
        </w:drawing>
      </w:r>
    </w:p>
    <w:p w14:paraId="3791FE30" w14:textId="77777777" w:rsidR="00DD7E50" w:rsidRPr="00E06C32" w:rsidRDefault="00806F94">
      <w:pPr>
        <w:spacing w:before="240" w:after="240" w:line="360" w:lineRule="auto"/>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Como se advierte, la carpeta del contrato contiene cinco archivos, los cuales corresponden al contrato propiamente, así como a las cuatro estimaciones finiquito </w:t>
      </w:r>
      <w:r w:rsidRPr="00E06C32">
        <w:rPr>
          <w:rFonts w:ascii="Palatino Linotype" w:eastAsia="Palatino Linotype" w:hAnsi="Palatino Linotype" w:cs="Palatino Linotype"/>
        </w:rPr>
        <w:lastRenderedPageBreak/>
        <w:t xml:space="preserve">del mismo, </w:t>
      </w:r>
      <w:r w:rsidRPr="00E06C32">
        <w:rPr>
          <w:rFonts w:ascii="Palatino Linotype" w:eastAsia="Palatino Linotype" w:hAnsi="Palatino Linotype" w:cs="Palatino Linotype"/>
          <w:b/>
          <w:u w:val="single"/>
        </w:rPr>
        <w:t>información que asciende a 434 hojas</w:t>
      </w:r>
      <w:r w:rsidRPr="00E06C32">
        <w:rPr>
          <w:rFonts w:ascii="Palatino Linotype" w:eastAsia="Palatino Linotype" w:hAnsi="Palatino Linotype" w:cs="Palatino Linotype"/>
        </w:rPr>
        <w:t xml:space="preserve">, según lo reportado por el servidor público habilitado, </w:t>
      </w:r>
      <w:r w:rsidRPr="00E06C32">
        <w:rPr>
          <w:rFonts w:ascii="Palatino Linotype" w:eastAsia="Palatino Linotype" w:hAnsi="Palatino Linotype" w:cs="Palatino Linotype"/>
          <w:b/>
          <w:u w:val="single"/>
        </w:rPr>
        <w:t>sin que se advierta lo relativo al acta de entrega recepción de la obra pública objeto del contrato.</w:t>
      </w:r>
    </w:p>
    <w:p w14:paraId="76D139E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Al respecto, se menciona que de conformidad con el artículo 3, fracción XVI, del Reglamento del Libro Décimo Segundo del Código Administrativo del Estado de México, por </w:t>
      </w:r>
      <w:r w:rsidRPr="00E06C32">
        <w:rPr>
          <w:rFonts w:ascii="Palatino Linotype" w:eastAsia="Palatino Linotype" w:hAnsi="Palatino Linotype" w:cs="Palatino Linotype"/>
          <w:b/>
        </w:rPr>
        <w:t xml:space="preserve">estimación, </w:t>
      </w:r>
      <w:r w:rsidRPr="00E06C32">
        <w:rPr>
          <w:rFonts w:ascii="Palatino Linotype" w:eastAsia="Palatino Linotype" w:hAnsi="Palatino Linotype" w:cs="Palatino Linotype"/>
        </w:rPr>
        <w:t xml:space="preserve">se entiende la </w:t>
      </w:r>
      <w:r w:rsidRPr="00E06C32">
        <w:rPr>
          <w:rFonts w:ascii="Palatino Linotype" w:eastAsia="Palatino Linotype" w:hAnsi="Palatino Linotype" w:cs="Palatino Linotype"/>
          <w:b/>
          <w:u w:val="single"/>
        </w:rPr>
        <w:t>cuantificación y valuación</w:t>
      </w:r>
      <w:r w:rsidRPr="00E06C32">
        <w:rPr>
          <w:rFonts w:ascii="Palatino Linotype" w:eastAsia="Palatino Linotype" w:hAnsi="Palatino Linotype" w:cs="Palatino Linotype"/>
        </w:rPr>
        <w:t xml:space="preserve"> de los trabajos ejecutados en un periodo determinado, aplicando los precios unitarios a las cantidades de los conceptos de trabajo realizados. En los contratos a precio alzado, es la valuación de los trabajos realizados en cada actividad de obra conforme a la cédula de avance y al periodo del programa de ejecución.</w:t>
      </w:r>
    </w:p>
    <w:p w14:paraId="53A87AB6" w14:textId="77777777" w:rsidR="00DD7E50" w:rsidRPr="00E06C32" w:rsidRDefault="00806F94">
      <w:pPr>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 xml:space="preserve">Es decir, una estimación de obra, </w:t>
      </w:r>
      <w:r w:rsidRPr="00E06C32">
        <w:rPr>
          <w:rFonts w:ascii="Palatino Linotype" w:eastAsia="Palatino Linotype" w:hAnsi="Palatino Linotype" w:cs="Palatino Linotype"/>
          <w:b/>
        </w:rPr>
        <w:t xml:space="preserve">es el documento en el que se consigna la valuación de los trabajos ejecutados en un periodo determinado presentada para autorización de pago, en la cual </w:t>
      </w:r>
      <w:r w:rsidRPr="00E06C32">
        <w:rPr>
          <w:rFonts w:ascii="Palatino Linotype" w:eastAsia="Palatino Linotype" w:hAnsi="Palatino Linotype" w:cs="Palatino Linotype"/>
          <w:b/>
          <w:u w:val="single"/>
        </w:rPr>
        <w:t>se aplican los precios, valores o porcentajes establecidos en el contrato</w:t>
      </w:r>
      <w:r w:rsidRPr="00E06C32">
        <w:rPr>
          <w:rFonts w:ascii="Palatino Linotype" w:eastAsia="Palatino Linotype" w:hAnsi="Palatino Linotype" w:cs="Palatino Linotype"/>
        </w:rPr>
        <w:t xml:space="preserve"> en atención a la naturaleza y características del mismo, </w:t>
      </w:r>
      <w:r w:rsidRPr="00E06C32">
        <w:rPr>
          <w:rFonts w:ascii="Palatino Linotype" w:eastAsia="Palatino Linotype" w:hAnsi="Palatino Linotype" w:cs="Palatino Linotype"/>
          <w:b/>
        </w:rPr>
        <w:t>considerando, en su caso, la amortización de los anticipos, los ajustes de costos, las retenciones económicas, las penas convencionales y las deducciones; así como, la valuación de los conceptos que permitan determinar el monto de los gastos no recuperables.</w:t>
      </w:r>
    </w:p>
    <w:p w14:paraId="6FAFBDF4" w14:textId="1BBBCD6D" w:rsidR="00151417" w:rsidRPr="00E06C32" w:rsidRDefault="00151417">
      <w:pPr>
        <w:spacing w:before="240" w:after="240" w:line="360" w:lineRule="auto"/>
        <w:jc w:val="both"/>
        <w:rPr>
          <w:rFonts w:ascii="Palatino Linotype" w:eastAsia="Palatino Linotype" w:hAnsi="Palatino Linotype" w:cs="Palatino Linotype"/>
          <w:bCs/>
        </w:rPr>
      </w:pPr>
      <w:r w:rsidRPr="00E06C32">
        <w:rPr>
          <w:rFonts w:ascii="Palatino Linotype" w:eastAsia="Palatino Linotype" w:hAnsi="Palatino Linotype" w:cs="Palatino Linotype"/>
          <w:bCs/>
        </w:rPr>
        <w:t>Para mayor claridad, a continuación, se inserta de manera ejemplificativa, el formato de la carátula de estimación empleado por el Ayuntamiento de Villa Guerrero:</w:t>
      </w:r>
    </w:p>
    <w:p w14:paraId="27BF16DB" w14:textId="356C1074" w:rsidR="00151417" w:rsidRPr="00E06C32" w:rsidRDefault="00151417">
      <w:pPr>
        <w:spacing w:before="240" w:after="240" w:line="360" w:lineRule="auto"/>
        <w:jc w:val="both"/>
        <w:rPr>
          <w:rFonts w:ascii="Palatino Linotype" w:eastAsia="Palatino Linotype" w:hAnsi="Palatino Linotype" w:cs="Palatino Linotype"/>
          <w:bCs/>
        </w:rPr>
      </w:pPr>
      <w:r w:rsidRPr="00E06C32">
        <w:rPr>
          <w:rFonts w:ascii="Palatino Linotype" w:hAnsi="Palatino Linotype"/>
          <w:noProof/>
        </w:rPr>
        <w:lastRenderedPageBreak/>
        <w:drawing>
          <wp:inline distT="0" distB="0" distL="0" distR="0" wp14:anchorId="0DC00264" wp14:editId="606B9EE6">
            <wp:extent cx="5612130" cy="3631565"/>
            <wp:effectExtent l="0" t="0" r="7620" b="6985"/>
            <wp:docPr id="593283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83080" name=""/>
                    <pic:cNvPicPr/>
                  </pic:nvPicPr>
                  <pic:blipFill>
                    <a:blip r:embed="rId26"/>
                    <a:stretch>
                      <a:fillRect/>
                    </a:stretch>
                  </pic:blipFill>
                  <pic:spPr>
                    <a:xfrm>
                      <a:off x="0" y="0"/>
                      <a:ext cx="5612130" cy="3631565"/>
                    </a:xfrm>
                    <a:prstGeom prst="rect">
                      <a:avLst/>
                    </a:prstGeom>
                  </pic:spPr>
                </pic:pic>
              </a:graphicData>
            </a:graphic>
          </wp:inline>
        </w:drawing>
      </w:r>
    </w:p>
    <w:p w14:paraId="59420BDE" w14:textId="77777777" w:rsidR="00151417"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Los plazos, forma y lugar de pago de las estimaciones, es uno de los elementos que deben contener los contratos de obra pública y servicios relacionado con la misma, </w:t>
      </w:r>
      <w:r w:rsidR="00151417" w:rsidRPr="00E06C32">
        <w:rPr>
          <w:rFonts w:ascii="Palatino Linotype" w:eastAsia="Palatino Linotype" w:hAnsi="Palatino Linotype" w:cs="Palatino Linotype"/>
        </w:rPr>
        <w:t xml:space="preserve">siendo el servidor público nombrado como residente de obra es responsable de autorizar las estimaciones para su pago, </w:t>
      </w:r>
      <w:r w:rsidRPr="00E06C32">
        <w:rPr>
          <w:rFonts w:ascii="Palatino Linotype" w:eastAsia="Palatino Linotype" w:hAnsi="Palatino Linotype" w:cs="Palatino Linotype"/>
        </w:rPr>
        <w:t>en términos de</w:t>
      </w:r>
      <w:r w:rsidR="00151417"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rPr>
        <w:t>l</w:t>
      </w:r>
      <w:r w:rsidR="00151417" w:rsidRPr="00E06C32">
        <w:rPr>
          <w:rFonts w:ascii="Palatino Linotype" w:eastAsia="Palatino Linotype" w:hAnsi="Palatino Linotype" w:cs="Palatino Linotype"/>
        </w:rPr>
        <w:t>os</w:t>
      </w:r>
      <w:r w:rsidRPr="00E06C32">
        <w:rPr>
          <w:rFonts w:ascii="Palatino Linotype" w:eastAsia="Palatino Linotype" w:hAnsi="Palatino Linotype" w:cs="Palatino Linotype"/>
        </w:rPr>
        <w:t xml:space="preserve"> artículo</w:t>
      </w:r>
      <w:r w:rsidR="00151417" w:rsidRPr="00E06C32">
        <w:rPr>
          <w:rFonts w:ascii="Palatino Linotype" w:eastAsia="Palatino Linotype" w:hAnsi="Palatino Linotype" w:cs="Palatino Linotype"/>
        </w:rPr>
        <w:t>s</w:t>
      </w:r>
      <w:r w:rsidRPr="00E06C32">
        <w:rPr>
          <w:rFonts w:ascii="Palatino Linotype" w:eastAsia="Palatino Linotype" w:hAnsi="Palatino Linotype" w:cs="Palatino Linotype"/>
        </w:rPr>
        <w:t xml:space="preserve"> 104, fracción VIII</w:t>
      </w:r>
      <w:r w:rsidR="00151417" w:rsidRPr="00E06C32">
        <w:rPr>
          <w:rFonts w:ascii="Palatino Linotype" w:eastAsia="Palatino Linotype" w:hAnsi="Palatino Linotype" w:cs="Palatino Linotype"/>
        </w:rPr>
        <w:t xml:space="preserve"> y 217, fracción XI </w:t>
      </w:r>
      <w:r w:rsidRPr="00E06C32">
        <w:rPr>
          <w:rFonts w:ascii="Palatino Linotype" w:eastAsia="Palatino Linotype" w:hAnsi="Palatino Linotype" w:cs="Palatino Linotype"/>
        </w:rPr>
        <w:t>del Reglamento del Libro Décimo Segundo del Código Administrativo</w:t>
      </w:r>
      <w:r w:rsidR="00151417" w:rsidRPr="00E06C32">
        <w:rPr>
          <w:rFonts w:ascii="Palatino Linotype" w:eastAsia="Palatino Linotype" w:hAnsi="Palatino Linotype" w:cs="Palatino Linotype"/>
        </w:rPr>
        <w:t>.</w:t>
      </w:r>
    </w:p>
    <w:p w14:paraId="22EC69F8" w14:textId="7665AE55"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Una vez concluidos los trabajos, en términos de lo dispuesto en los artículos 230, 231 y 232, del Reglamento del Libro Décimo Segundo, el contratista debe notificar al contratante la terminación, con la finalidad de iniciar el procedimiento de recepción de los trabajos, lo cual se realizará a través de la bitácora y por escrito, anexando los documentos de soporte que incluye una relación de las estimaciones </w:t>
      </w:r>
      <w:r w:rsidRPr="00E06C32">
        <w:rPr>
          <w:rFonts w:ascii="Palatino Linotype" w:eastAsia="Palatino Linotype" w:hAnsi="Palatino Linotype" w:cs="Palatino Linotype"/>
        </w:rPr>
        <w:lastRenderedPageBreak/>
        <w:t>o de gastos aprobados, monto ejercido y créditos a favor o en contra, y</w:t>
      </w:r>
      <w:r w:rsidR="00EE26C8"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rPr>
        <w:t>una vez verificada la debida terminación los trabajos conforme a las condiciones establecidas en el contrato respectivo, el contratante recibirá físicamente los trabajos y levantará el acta de entrega recepción correspondiente, que contendrá, entre otra información, la relación de las estimaciones pagadas y por pagar.</w:t>
      </w:r>
    </w:p>
    <w:p w14:paraId="62AA2556" w14:textId="77777777" w:rsidR="00DD7E50" w:rsidRPr="00E06C32" w:rsidRDefault="00806F94">
      <w:pPr>
        <w:spacing w:before="240" w:after="240" w:line="360" w:lineRule="auto"/>
        <w:ind w:right="51"/>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t xml:space="preserve">Finalmente, los artículos 234 y 236 del Reglamento del Libro Décimo Segundo establecen que el contratante debe elaborar el finiquito correspondiente para dar por terminados los derechos y obligaciones asumidos por las partes en el contrato de obras públicas o servicios relacionados con las mismas. El documento donde conste el finiquito de los trabajos debe contener la relación de las estimaciones, indicando cómo fueron ejecutados los conceptos de trabajo en cada una de ellas, debiendo describir cada uno de los créditos a favor y en contra de cada una de las partes, señalando los conceptos generales que les dieron origen y su saldo resultante, así como la fecha, lugar y hora en que serán liquidados; así como los </w:t>
      </w:r>
      <w:r w:rsidRPr="00E06C32">
        <w:rPr>
          <w:rFonts w:ascii="Palatino Linotype" w:eastAsia="Palatino Linotype" w:hAnsi="Palatino Linotype" w:cs="Palatino Linotype"/>
          <w:b/>
          <w:u w:val="single"/>
        </w:rPr>
        <w:t>datos de la estimación final</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además de incluir el </w:t>
      </w:r>
      <w:r w:rsidRPr="00E06C32">
        <w:rPr>
          <w:rFonts w:ascii="Palatino Linotype" w:eastAsia="Palatino Linotype" w:hAnsi="Palatino Linotype" w:cs="Palatino Linotype"/>
          <w:b/>
          <w:u w:val="single"/>
        </w:rPr>
        <w:t>acta de recepción física de los trabajos.</w:t>
      </w:r>
    </w:p>
    <w:p w14:paraId="346730B4"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este orden de ideas, es posible advertir que </w:t>
      </w:r>
      <w:r w:rsidRPr="00E06C32">
        <w:rPr>
          <w:rFonts w:ascii="Palatino Linotype" w:eastAsia="Palatino Linotype" w:hAnsi="Palatino Linotype" w:cs="Palatino Linotype"/>
          <w:b/>
        </w:rPr>
        <w:t xml:space="preserve">el acta de entrega recepción de las obras públicas o de los servicios relacionados con la misma, </w:t>
      </w:r>
      <w:r w:rsidRPr="00E06C32">
        <w:rPr>
          <w:rFonts w:ascii="Palatino Linotype" w:eastAsia="Palatino Linotype" w:hAnsi="Palatino Linotype" w:cs="Palatino Linotype"/>
        </w:rPr>
        <w:t xml:space="preserve">se genera una vez que los trabajos han sido concluidos, y que la terminación de la obra ha sido verificada por el contratante, procedimiento que es iniciado por el contratista por escrito, mediante la entrega de la bitácora así como de los documentos soporte en donde se incluye la </w:t>
      </w:r>
      <w:r w:rsidRPr="00E06C32">
        <w:rPr>
          <w:rFonts w:ascii="Palatino Linotype" w:eastAsia="Palatino Linotype" w:hAnsi="Palatino Linotype" w:cs="Palatino Linotype"/>
          <w:b/>
        </w:rPr>
        <w:t xml:space="preserve">estimación final, </w:t>
      </w:r>
      <w:r w:rsidRPr="00E06C32">
        <w:rPr>
          <w:rFonts w:ascii="Palatino Linotype" w:eastAsia="Palatino Linotype" w:hAnsi="Palatino Linotype" w:cs="Palatino Linotype"/>
        </w:rPr>
        <w:t>cuyos datos son agregados al documento mediante el cual se hace constar el finiquito de los trabajos.</w:t>
      </w:r>
    </w:p>
    <w:p w14:paraId="75C448C5" w14:textId="62DAFC88"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En el presente asunto, dado que la persona solicitante requirió, específicamente, la entrega </w:t>
      </w:r>
      <w:r w:rsidRPr="00E06C32">
        <w:rPr>
          <w:rFonts w:ascii="Palatino Linotype" w:eastAsia="Palatino Linotype" w:hAnsi="Palatino Linotype" w:cs="Palatino Linotype"/>
          <w:b/>
        </w:rPr>
        <w:t>del acta de entrega recepción de las obras públicas o contratos ejecutados en el ejercicio 2024,</w:t>
      </w:r>
      <w:r w:rsidRPr="00E06C32">
        <w:rPr>
          <w:rFonts w:ascii="Palatino Linotype" w:eastAsia="Palatino Linotype" w:hAnsi="Palatino Linotype" w:cs="Palatino Linotype"/>
        </w:rPr>
        <w:t xml:space="preserve"> así como </w:t>
      </w:r>
      <w:r w:rsidRPr="00E06C32">
        <w:rPr>
          <w:rFonts w:ascii="Palatino Linotype" w:eastAsia="Palatino Linotype" w:hAnsi="Palatino Linotype" w:cs="Palatino Linotype"/>
          <w:b/>
        </w:rPr>
        <w:t>la carátula de la estimación finiquito</w:t>
      </w:r>
      <w:r w:rsidRPr="00E06C32">
        <w:rPr>
          <w:rFonts w:ascii="Palatino Linotype" w:eastAsia="Palatino Linotype" w:hAnsi="Palatino Linotype" w:cs="Palatino Linotype"/>
        </w:rPr>
        <w:t xml:space="preserve">, es decir, </w:t>
      </w:r>
      <w:r w:rsidRPr="00E06C32">
        <w:rPr>
          <w:rFonts w:ascii="Palatino Linotype" w:eastAsia="Palatino Linotype" w:hAnsi="Palatino Linotype" w:cs="Palatino Linotype"/>
          <w:b/>
          <w:u w:val="single"/>
        </w:rPr>
        <w:t>no requirió la entrega de los contratos, ni de la documentación soporte que acompaña la estimación finiquito</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para un mejor proveer este Organismo Garante tuvo a bien solicitar al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mediante requerimiento de información adicional, </w:t>
      </w:r>
      <w:r w:rsidRPr="00E06C32">
        <w:rPr>
          <w:rFonts w:ascii="Palatino Linotype" w:eastAsia="Palatino Linotype" w:hAnsi="Palatino Linotype" w:cs="Palatino Linotype"/>
          <w:b/>
        </w:rPr>
        <w:t xml:space="preserve">remitiera, </w:t>
      </w:r>
      <w:r w:rsidRPr="00E06C32">
        <w:rPr>
          <w:rFonts w:ascii="Palatino Linotype" w:eastAsia="Palatino Linotype" w:hAnsi="Palatino Linotype" w:cs="Palatino Linotype"/>
        </w:rPr>
        <w:t>como muestra,</w:t>
      </w:r>
      <w:r w:rsidRPr="00E06C32">
        <w:rPr>
          <w:rFonts w:ascii="Palatino Linotype" w:eastAsia="Palatino Linotype" w:hAnsi="Palatino Linotype" w:cs="Palatino Linotype"/>
          <w:b/>
        </w:rPr>
        <w:t xml:space="preserve"> el acta de entrega recepción </w:t>
      </w:r>
      <w:r w:rsidRPr="00E06C32">
        <w:rPr>
          <w:rFonts w:ascii="Palatino Linotype" w:eastAsia="Palatino Linotype" w:hAnsi="Palatino Linotype" w:cs="Palatino Linotype"/>
        </w:rPr>
        <w:t>y</w:t>
      </w:r>
      <w:r w:rsidRPr="00E06C32">
        <w:rPr>
          <w:rFonts w:ascii="Palatino Linotype" w:eastAsia="Palatino Linotype" w:hAnsi="Palatino Linotype" w:cs="Palatino Linotype"/>
          <w:b/>
        </w:rPr>
        <w:t xml:space="preserve"> la caratula de estimación finiquito del Contrato de Obra Pública número TLA/DOP/FAISMUN//LP-011/2024, </w:t>
      </w:r>
      <w:r w:rsidRPr="00E06C32">
        <w:rPr>
          <w:rFonts w:ascii="Palatino Linotype" w:eastAsia="Palatino Linotype" w:hAnsi="Palatino Linotype" w:cs="Palatino Linotype"/>
        </w:rPr>
        <w:t>el cual fue tomado como ejemplo en la sustanciación del presente asunto, sin embargo,</w:t>
      </w:r>
      <w:r w:rsidR="00EE26C8" w:rsidRPr="00E06C32">
        <w:rPr>
          <w:rFonts w:ascii="Palatino Linotype" w:eastAsia="Palatino Linotype" w:hAnsi="Palatino Linotype" w:cs="Palatino Linotype"/>
        </w:rPr>
        <w:t xml:space="preserve"> este</w:t>
      </w:r>
      <w:r w:rsidRPr="00E06C32">
        <w:rPr>
          <w:rFonts w:ascii="Palatino Linotype" w:eastAsia="Palatino Linotype" w:hAnsi="Palatino Linotype" w:cs="Palatino Linotype"/>
        </w:rPr>
        <w:t xml:space="preserve"> fue omiso en atender el mismo, lo que deja a este Organismo en estado de incertidumbre al no contar con los elementos que permitan verificar la información que se pretende proporcionar para atender el requerimiento de información, si corresponde con lo solicitado, y de ser el caso, validar la procedencia del cambio de modalidad.</w:t>
      </w:r>
    </w:p>
    <w:p w14:paraId="0628B68A" w14:textId="5870AB96" w:rsidR="00DD7E50" w:rsidRPr="00E06C32" w:rsidRDefault="005E2468" w:rsidP="00EE26C8">
      <w:pPr>
        <w:tabs>
          <w:tab w:val="left" w:pos="1560"/>
        </w:tabs>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lo tanto, </w:t>
      </w:r>
      <w:r w:rsidR="00EE26C8" w:rsidRPr="00E06C32">
        <w:rPr>
          <w:rFonts w:ascii="Palatino Linotype" w:eastAsia="Palatino Linotype" w:hAnsi="Palatino Linotype" w:cs="Palatino Linotype"/>
        </w:rPr>
        <w:t xml:space="preserve">se tiene que </w:t>
      </w:r>
      <w:r w:rsidR="00806F94" w:rsidRPr="00E06C32">
        <w:rPr>
          <w:rFonts w:ascii="Palatino Linotype" w:eastAsia="Palatino Linotype" w:hAnsi="Palatino Linotype" w:cs="Palatino Linotype"/>
        </w:rPr>
        <w:t xml:space="preserve">el </w:t>
      </w:r>
      <w:r w:rsidR="00806F94" w:rsidRPr="00E06C32">
        <w:rPr>
          <w:rFonts w:ascii="Palatino Linotype" w:eastAsia="Palatino Linotype" w:hAnsi="Palatino Linotype" w:cs="Palatino Linotype"/>
          <w:b/>
        </w:rPr>
        <w:t xml:space="preserve">Sujeto Obligado </w:t>
      </w:r>
      <w:r w:rsidR="00806F94" w:rsidRPr="00E06C32">
        <w:rPr>
          <w:rFonts w:ascii="Palatino Linotype" w:eastAsia="Palatino Linotype" w:hAnsi="Palatino Linotype" w:cs="Palatino Linotype"/>
        </w:rPr>
        <w:t xml:space="preserve">no acreditó de manera fehaciente el cúmulo de información correspondiente a las </w:t>
      </w:r>
      <w:r w:rsidR="00806F94" w:rsidRPr="00E06C32">
        <w:rPr>
          <w:rFonts w:ascii="Palatino Linotype" w:eastAsia="Palatino Linotype" w:hAnsi="Palatino Linotype" w:cs="Palatino Linotype"/>
          <w:b/>
        </w:rPr>
        <w:t xml:space="preserve">actas de entrega recepción </w:t>
      </w:r>
      <w:r w:rsidR="00806F94" w:rsidRPr="00E06C32">
        <w:rPr>
          <w:rFonts w:ascii="Palatino Linotype" w:eastAsia="Palatino Linotype" w:hAnsi="Palatino Linotype" w:cs="Palatino Linotype"/>
        </w:rPr>
        <w:t>y</w:t>
      </w:r>
      <w:r w:rsidR="00806F94" w:rsidRPr="00E06C32">
        <w:rPr>
          <w:rFonts w:ascii="Palatino Linotype" w:eastAsia="Palatino Linotype" w:hAnsi="Palatino Linotype" w:cs="Palatino Linotype"/>
          <w:b/>
        </w:rPr>
        <w:t xml:space="preserve"> las carátulas de estimación finiquito de las obras públicas o contratos ejecutados en el ejercicio 2024, </w:t>
      </w:r>
      <w:r w:rsidR="00806F94" w:rsidRPr="00E06C32">
        <w:rPr>
          <w:rFonts w:ascii="Palatino Linotype" w:eastAsia="Palatino Linotype" w:hAnsi="Palatino Linotype" w:cs="Palatino Linotype"/>
        </w:rPr>
        <w:t xml:space="preserve">ya que solo se cuenta con el pronunciamiento de la Oficialía Mayor Municipal, respecto de que la información relativa al </w:t>
      </w:r>
      <w:proofErr w:type="spellStart"/>
      <w:r w:rsidR="00806F94" w:rsidRPr="00E06C32">
        <w:rPr>
          <w:rFonts w:ascii="Palatino Linotype" w:eastAsia="Palatino Linotype" w:hAnsi="Palatino Linotype" w:cs="Palatino Linotype"/>
        </w:rPr>
        <w:t>curriculum</w:t>
      </w:r>
      <w:proofErr w:type="spellEnd"/>
      <w:r w:rsidR="00806F94" w:rsidRPr="00E06C32">
        <w:rPr>
          <w:rFonts w:ascii="Palatino Linotype" w:eastAsia="Palatino Linotype" w:hAnsi="Palatino Linotype" w:cs="Palatino Linotype"/>
        </w:rPr>
        <w:t xml:space="preserve"> vitae, nombramiento</w:t>
      </w:r>
      <w:r w:rsidR="001106AA" w:rsidRPr="00E06C32">
        <w:rPr>
          <w:rFonts w:ascii="Palatino Linotype" w:eastAsia="Palatino Linotype" w:hAnsi="Palatino Linotype" w:cs="Palatino Linotype"/>
        </w:rPr>
        <w:t xml:space="preserve">, </w:t>
      </w:r>
      <w:r w:rsidR="00806F94" w:rsidRPr="00E06C32">
        <w:rPr>
          <w:rFonts w:ascii="Palatino Linotype" w:eastAsia="Palatino Linotype" w:hAnsi="Palatino Linotype" w:cs="Palatino Linotype"/>
        </w:rPr>
        <w:t>certificación de competencia laboral</w:t>
      </w:r>
      <w:r w:rsidR="001106AA" w:rsidRPr="00E06C32">
        <w:rPr>
          <w:rFonts w:ascii="Palatino Linotype" w:eastAsia="Palatino Linotype" w:hAnsi="Palatino Linotype" w:cs="Palatino Linotype"/>
        </w:rPr>
        <w:t xml:space="preserve"> y recibo de nómina correspondiente a la primera quincena de enero de dos mil veinticinco</w:t>
      </w:r>
      <w:r w:rsidR="00806F94" w:rsidRPr="00E06C32">
        <w:rPr>
          <w:rFonts w:ascii="Palatino Linotype" w:eastAsia="Palatino Linotype" w:hAnsi="Palatino Linotype" w:cs="Palatino Linotype"/>
        </w:rPr>
        <w:t xml:space="preserve"> de los servidores públicos adscritos a la Dirección de Infraestructura Urbana, asciende a 775 hojas aproximadamente.</w:t>
      </w:r>
    </w:p>
    <w:p w14:paraId="62EF811B"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 xml:space="preserve">Cabe señalar que la Oficialía Mayor Municipal, cuenta con competencia para conocer de dicha información, al ser la instancia responsable de poner a consideración de la persona titular de la Presidencia Municipal, </w:t>
      </w:r>
      <w:r w:rsidRPr="00E06C32">
        <w:rPr>
          <w:rFonts w:ascii="Palatino Linotype" w:eastAsia="Palatino Linotype" w:hAnsi="Palatino Linotype" w:cs="Palatino Linotype"/>
          <w:b/>
        </w:rPr>
        <w:t xml:space="preserve">los nombramientos </w:t>
      </w:r>
      <w:r w:rsidRPr="00E06C32">
        <w:rPr>
          <w:rFonts w:ascii="Palatino Linotype" w:eastAsia="Palatino Linotype" w:hAnsi="Palatino Linotype" w:cs="Palatino Linotype"/>
        </w:rPr>
        <w:t xml:space="preserve">de aquellas personas servidoras públicas cuyo nombramiento sea determinado de manera distinta por otras disposiciones jurídicas vigentes, </w:t>
      </w:r>
      <w:r w:rsidRPr="00E06C32">
        <w:rPr>
          <w:rFonts w:ascii="Palatino Linotype" w:eastAsia="Palatino Linotype" w:hAnsi="Palatino Linotype" w:cs="Palatino Linotype"/>
          <w:b/>
        </w:rPr>
        <w:t>los sueldos</w:t>
      </w:r>
      <w:r w:rsidRPr="00E06C32">
        <w:rPr>
          <w:rFonts w:ascii="Palatino Linotype" w:eastAsia="Palatino Linotype" w:hAnsi="Palatino Linotype" w:cs="Palatino Linotype"/>
        </w:rPr>
        <w:t xml:space="preserve">, así como de vigilar </w:t>
      </w:r>
      <w:r w:rsidRPr="00E06C32">
        <w:rPr>
          <w:rFonts w:ascii="Palatino Linotype" w:eastAsia="Palatino Linotype" w:hAnsi="Palatino Linotype" w:cs="Palatino Linotype"/>
          <w:b/>
        </w:rPr>
        <w:t>la integración de los expedientes de personal</w:t>
      </w:r>
      <w:r w:rsidRPr="00E06C32">
        <w:rPr>
          <w:rFonts w:ascii="Palatino Linotype" w:eastAsia="Palatino Linotype" w:hAnsi="Palatino Linotype" w:cs="Palatino Linotype"/>
        </w:rPr>
        <w:t xml:space="preserve"> de las personas servidoras públicas de la Administración Pública Municipal; de conformidad con el artículo 251 del Reglamento Interior de la Administración Pública Municipal de Tlalnepantla de Baz, que en su parte conducente dispone lo siguiente:</w:t>
      </w:r>
    </w:p>
    <w:p w14:paraId="1938D2C3"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251</w:t>
      </w:r>
      <w:r w:rsidRPr="00E06C32">
        <w:rPr>
          <w:rFonts w:ascii="Palatino Linotype" w:eastAsia="Palatino Linotype" w:hAnsi="Palatino Linotype" w:cs="Palatino Linotype"/>
          <w:i/>
          <w:sz w:val="22"/>
          <w:szCs w:val="22"/>
        </w:rPr>
        <w:t>. Para el despacho de los asuntos de su competencia, la Oficialía Mayor, tendrá las siguientes facultades y obligaciones:</w:t>
      </w:r>
    </w:p>
    <w:p w14:paraId="33FA302C"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Vigilar el cumplimiento de las disposiciones legales que regulen las relaciones entre las Dependencias de la Administración Pública Municipal y sus servidores públicos;</w:t>
      </w:r>
    </w:p>
    <w:p w14:paraId="2016DDB4"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Poner a consideración de la persona titular de la Presidencia Municipal, los nombramientos, sueldos</w:t>
      </w:r>
      <w:r w:rsidRPr="00E06C32">
        <w:rPr>
          <w:rFonts w:ascii="Palatino Linotype" w:eastAsia="Palatino Linotype" w:hAnsi="Palatino Linotype" w:cs="Palatino Linotype"/>
          <w:i/>
          <w:sz w:val="22"/>
          <w:szCs w:val="22"/>
        </w:rPr>
        <w:t>, renuncias, licencias y jubilaciones de las personas servidoras públicas de la Administración Pública Municipal, atendiendo a la normatividad aplicable, con excepción de aquellas personas servidoras públicas cuyo nombramiento sea determinado de manera distinta por otras disposiciones jurídicas vigentes;</w:t>
      </w:r>
    </w:p>
    <w:p w14:paraId="28441470"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Coordinar la integración del presupuesto del capítulo 1000 Servicios Personales y llevar el seguimiento de su ejercicio, a efecto de evitar impactos adicionales y sobregiros presupuestales;</w:t>
      </w:r>
    </w:p>
    <w:p w14:paraId="56D0E28E"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26904192"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VIII.</w:t>
      </w:r>
      <w:r w:rsidRPr="00E06C32">
        <w:rPr>
          <w:rFonts w:ascii="Palatino Linotype" w:eastAsia="Palatino Linotype" w:hAnsi="Palatino Linotype" w:cs="Palatino Linotype"/>
          <w:i/>
          <w:sz w:val="22"/>
          <w:szCs w:val="22"/>
        </w:rPr>
        <w:t xml:space="preserve"> Controlar que el personal que las dependencias requieran sea debidamente seleccionado y contratado, cuando así lo establezcan las descripciones y especificaciones de los puestos, atendiendo a la normatividad aplicable; </w:t>
      </w:r>
    </w:p>
    <w:p w14:paraId="07304BAB"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IX</w:t>
      </w:r>
      <w:r w:rsidRPr="00E06C32">
        <w:rPr>
          <w:rFonts w:ascii="Palatino Linotype" w:eastAsia="Palatino Linotype" w:hAnsi="Palatino Linotype" w:cs="Palatino Linotype"/>
          <w:i/>
          <w:sz w:val="22"/>
          <w:szCs w:val="22"/>
        </w:rPr>
        <w:t xml:space="preserve">. Vigilar la </w:t>
      </w:r>
      <w:r w:rsidRPr="00E06C32">
        <w:rPr>
          <w:rFonts w:ascii="Palatino Linotype" w:eastAsia="Palatino Linotype" w:hAnsi="Palatino Linotype" w:cs="Palatino Linotype"/>
          <w:b/>
          <w:i/>
          <w:sz w:val="22"/>
          <w:szCs w:val="22"/>
        </w:rPr>
        <w:t>integración de los expedientes del personal</w:t>
      </w:r>
      <w:r w:rsidRPr="00E06C32">
        <w:rPr>
          <w:rFonts w:ascii="Palatino Linotype" w:eastAsia="Palatino Linotype" w:hAnsi="Palatino Linotype" w:cs="Palatino Linotype"/>
          <w:i/>
          <w:sz w:val="22"/>
          <w:szCs w:val="22"/>
        </w:rPr>
        <w:t>, así como la expedición de las credenciales de identificación laboral;”</w:t>
      </w:r>
    </w:p>
    <w:p w14:paraId="62D3997D"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Asimismo, para el cumplimiento de dichas atribuciones, se auxilia de la Subdirección de Recursos Humanos, cuyas atribuciones, en su parte conducente se encuentran previstas en el artículo 259 del mismo Reglamento, a saber:</w:t>
      </w:r>
    </w:p>
    <w:p w14:paraId="6AB43D5B"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259</w:t>
      </w:r>
      <w:r w:rsidRPr="00E06C32">
        <w:rPr>
          <w:rFonts w:ascii="Palatino Linotype" w:eastAsia="Palatino Linotype" w:hAnsi="Palatino Linotype" w:cs="Palatino Linotype"/>
          <w:i/>
          <w:sz w:val="22"/>
          <w:szCs w:val="22"/>
        </w:rPr>
        <w:t>. Son facultades y obligaciones de la Subdirección de Recursos Humanos, las siguientes:</w:t>
      </w:r>
    </w:p>
    <w:p w14:paraId="1FA2A9F2"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3E5E733E"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Proponer, previo acuerdo con la persona titular de la Oficialía Mayor, el nombramiento y remoción (altas, bajas, cambio de adscripción e incidencias laborales) del personal adscrito al Ayuntamiento, atendiendo la normatividad aplicable</w:t>
      </w:r>
    </w:p>
    <w:p w14:paraId="4877F28E"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3CA1140B"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w:t>
      </w:r>
      <w:r w:rsidRPr="00E06C32">
        <w:rPr>
          <w:rFonts w:ascii="Palatino Linotype" w:eastAsia="Palatino Linotype" w:hAnsi="Palatino Linotype" w:cs="Palatino Linotype"/>
          <w:i/>
          <w:sz w:val="22"/>
          <w:szCs w:val="22"/>
        </w:rPr>
        <w:t>. Vigilar el cumplimiento de las disposiciones legales que regulen las relaciones entre el Ayuntamiento y sus servidores públicos;</w:t>
      </w:r>
    </w:p>
    <w:p w14:paraId="0A8AB767"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06AA8FE3"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Tramitar los nombramientos</w:t>
      </w:r>
      <w:r w:rsidRPr="00E06C32">
        <w:rPr>
          <w:rFonts w:ascii="Palatino Linotype" w:eastAsia="Palatino Linotype" w:hAnsi="Palatino Linotype" w:cs="Palatino Linotype"/>
          <w:i/>
          <w:sz w:val="22"/>
          <w:szCs w:val="22"/>
        </w:rPr>
        <w:t>, credenciales, renuncias, licencias y jubilaciones de las personas servidoras públicas de la Administración Pública Municipal, en apego a la normatividad aplicable;</w:t>
      </w:r>
    </w:p>
    <w:p w14:paraId="585EA40C"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41C83D1F"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IX</w:t>
      </w:r>
      <w:r w:rsidRPr="00E06C32">
        <w:rPr>
          <w:rFonts w:ascii="Palatino Linotype" w:eastAsia="Palatino Linotype" w:hAnsi="Palatino Linotype" w:cs="Palatino Linotype"/>
          <w:i/>
          <w:sz w:val="22"/>
          <w:szCs w:val="22"/>
        </w:rPr>
        <w:t xml:space="preserve">. Llevar a cabo los trámites de selección y contratación del personal que requieran las Dependencias; </w:t>
      </w:r>
    </w:p>
    <w:p w14:paraId="39DDA328"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w:t>
      </w:r>
      <w:r w:rsidRPr="00E06C32">
        <w:rPr>
          <w:rFonts w:ascii="Palatino Linotype" w:eastAsia="Palatino Linotype" w:hAnsi="Palatino Linotype" w:cs="Palatino Linotype"/>
          <w:i/>
          <w:sz w:val="22"/>
          <w:szCs w:val="22"/>
        </w:rPr>
        <w:t xml:space="preserve"> Coordinar la elaboración del Catálogo de Puestos por dependencia con el perfil de los puestos existentes, a efecto de optimizar los Recursos Humanos, de conformidad con la normatividad aplicable; </w:t>
      </w:r>
    </w:p>
    <w:p w14:paraId="06C907A8"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XI</w:t>
      </w:r>
      <w:r w:rsidRPr="00E06C32">
        <w:rPr>
          <w:rFonts w:ascii="Palatino Linotype" w:eastAsia="Palatino Linotype" w:hAnsi="Palatino Linotype" w:cs="Palatino Linotype"/>
          <w:i/>
          <w:sz w:val="22"/>
          <w:szCs w:val="22"/>
        </w:rPr>
        <w:t>. Supervisar la integración y actualización de expedientes del personal de las dependencias municipales;</w:t>
      </w:r>
    </w:p>
    <w:p w14:paraId="69376E80"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0E9726BB"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XVI.</w:t>
      </w:r>
      <w:r w:rsidRPr="00E06C32">
        <w:rPr>
          <w:rFonts w:ascii="Palatino Linotype" w:eastAsia="Palatino Linotype" w:hAnsi="Palatino Linotype" w:cs="Palatino Linotype"/>
          <w:i/>
          <w:sz w:val="22"/>
          <w:szCs w:val="22"/>
        </w:rPr>
        <w:t xml:space="preserve"> Diseñar y establecer los tabuladores de sueldos anuales del personal de la Administración Pública Municipal;</w:t>
      </w:r>
    </w:p>
    <w:p w14:paraId="57B57B92"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68526D3F"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lastRenderedPageBreak/>
        <w:t>XVIII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 xml:space="preserve">Llevar a cabo el cálculo y la determinación de las nóminas ordinarias y extraordinarias, así como el pago de las remuneraciones y prestaciones las personas servidoras públicas municipales; </w:t>
      </w:r>
    </w:p>
    <w:p w14:paraId="3D360897"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XIX</w:t>
      </w:r>
      <w:r w:rsidRPr="00E06C32">
        <w:rPr>
          <w:rFonts w:ascii="Palatino Linotype" w:eastAsia="Palatino Linotype" w:hAnsi="Palatino Linotype" w:cs="Palatino Linotype"/>
          <w:i/>
          <w:sz w:val="22"/>
          <w:szCs w:val="22"/>
        </w:rPr>
        <w:t xml:space="preserve">. Impulsar y fortalecer la capacitación, actualización y certificación de las personas servidoras públicas municipales; </w:t>
      </w:r>
    </w:p>
    <w:p w14:paraId="5CF4689D"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Llevar el registro de las personas servidoras públicas</w:t>
      </w:r>
      <w:r w:rsidRPr="00E06C32">
        <w:rPr>
          <w:rFonts w:ascii="Palatino Linotype" w:eastAsia="Palatino Linotype" w:hAnsi="Palatino Linotype" w:cs="Palatino Linotype"/>
          <w:i/>
          <w:sz w:val="22"/>
          <w:szCs w:val="22"/>
        </w:rPr>
        <w:t xml:space="preserve"> que hayan recibido capacitación y haber cursado la actualización, así como los </w:t>
      </w:r>
      <w:r w:rsidRPr="00E06C32">
        <w:rPr>
          <w:rFonts w:ascii="Palatino Linotype" w:eastAsia="Palatino Linotype" w:hAnsi="Palatino Linotype" w:cs="Palatino Linotype"/>
          <w:b/>
          <w:i/>
          <w:sz w:val="22"/>
          <w:szCs w:val="22"/>
        </w:rPr>
        <w:t>que se hayan certificado</w:t>
      </w:r>
      <w:r w:rsidRPr="00E06C32">
        <w:rPr>
          <w:rFonts w:ascii="Palatino Linotype" w:eastAsia="Palatino Linotype" w:hAnsi="Palatino Linotype" w:cs="Palatino Linotype"/>
          <w:i/>
          <w:sz w:val="22"/>
          <w:szCs w:val="22"/>
        </w:rPr>
        <w:t>;</w:t>
      </w:r>
    </w:p>
    <w:p w14:paraId="275E2E1F"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Resguardar los expedientes de personal adscrito al Ayuntamiento</w:t>
      </w:r>
      <w:r w:rsidRPr="00E06C32">
        <w:rPr>
          <w:rFonts w:ascii="Palatino Linotype" w:eastAsia="Palatino Linotype" w:hAnsi="Palatino Linotype" w:cs="Palatino Linotype"/>
          <w:i/>
          <w:sz w:val="22"/>
          <w:szCs w:val="22"/>
        </w:rPr>
        <w:t xml:space="preserve">; </w:t>
      </w:r>
    </w:p>
    <w:p w14:paraId="631C21FE"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Administrar el sistema de nómina</w:t>
      </w:r>
      <w:r w:rsidRPr="00E06C32">
        <w:rPr>
          <w:rFonts w:ascii="Palatino Linotype" w:eastAsia="Palatino Linotype" w:hAnsi="Palatino Linotype" w:cs="Palatino Linotype"/>
          <w:i/>
          <w:sz w:val="22"/>
          <w:szCs w:val="22"/>
        </w:rPr>
        <w:t xml:space="preserve"> y la Plataforma de Recaudación e Información de Seguridad Social PRISMA del ISSEMYM;</w:t>
      </w:r>
    </w:p>
    <w:p w14:paraId="4950F918"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XXIII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Entregar los recibos de nómina</w:t>
      </w:r>
      <w:r w:rsidRPr="00E06C32">
        <w:rPr>
          <w:rFonts w:ascii="Palatino Linotype" w:eastAsia="Palatino Linotype" w:hAnsi="Palatino Linotype" w:cs="Palatino Linotype"/>
          <w:i/>
          <w:sz w:val="22"/>
          <w:szCs w:val="22"/>
        </w:rPr>
        <w:t xml:space="preserve"> a las personas servidoras públicas adscritas al Ayuntamiento;”</w:t>
      </w:r>
    </w:p>
    <w:p w14:paraId="4270F62B"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otro lado, no obsta mencionar que en diversas solicitudes de reportes de incidencia, derivado de la sustanciación de diversos recursos de revisión, la Dirección General Informática de este Instituto ha hecho saber que el referido sistema, tiene un soporte tecnológico para que se puedan adjuntar archivos con un peso aproximado de 500Mb </w:t>
      </w:r>
      <w:r w:rsidRPr="00E06C32">
        <w:rPr>
          <w:rFonts w:ascii="Palatino Linotype" w:eastAsia="Palatino Linotype" w:hAnsi="Palatino Linotype" w:cs="Palatino Linotype"/>
          <w:b/>
          <w:u w:val="single"/>
        </w:rPr>
        <w:t>o su equivalente de hasta 8,000</w:t>
      </w:r>
      <w:r w:rsidRPr="00E06C32">
        <w:rPr>
          <w:rFonts w:ascii="Palatino Linotype" w:eastAsia="Palatino Linotype" w:hAnsi="Palatino Linotype" w:cs="Palatino Linotype"/>
        </w:rPr>
        <w:t xml:space="preserve"> hojas </w:t>
      </w:r>
      <w:r w:rsidRPr="00E06C32">
        <w:rPr>
          <w:rFonts w:ascii="Palatino Linotype" w:eastAsia="Palatino Linotype" w:hAnsi="Palatino Linotype" w:cs="Palatino Linotype"/>
          <w:b/>
          <w:u w:val="single"/>
        </w:rPr>
        <w:t>bajo parámetros escaneo en resolución máxima de 150Dpi’s, escala de grises y formato PDF, extraído directamente del escáner,</w:t>
      </w:r>
      <w:r w:rsidRPr="00E06C32">
        <w:rPr>
          <w:rFonts w:ascii="Palatino Linotype" w:eastAsia="Palatino Linotype" w:hAnsi="Palatino Linotype" w:cs="Palatino Linotype"/>
        </w:rPr>
        <w:t xml:space="preserve"> como se ejemplifica a continuación: </w:t>
      </w:r>
    </w:p>
    <w:p w14:paraId="02A0B168" w14:textId="52CDE5A8" w:rsidR="00DD7E50" w:rsidRPr="00E06C32" w:rsidRDefault="001106AA">
      <w:pPr>
        <w:spacing w:before="240" w:after="360" w:line="360" w:lineRule="auto"/>
        <w:jc w:val="center"/>
        <w:rPr>
          <w:rFonts w:ascii="Palatino Linotype" w:eastAsia="Palatino Linotype" w:hAnsi="Palatino Linotype" w:cs="Palatino Linotype"/>
        </w:rPr>
      </w:pPr>
      <w:r w:rsidRPr="00E06C32">
        <w:rPr>
          <w:rFonts w:ascii="Palatino Linotype" w:hAnsi="Palatino Linotype"/>
          <w:noProof/>
        </w:rPr>
        <mc:AlternateContent>
          <mc:Choice Requires="wps">
            <w:drawing>
              <wp:anchor distT="0" distB="0" distL="114300" distR="114300" simplePos="0" relativeHeight="251659264" behindDoc="0" locked="0" layoutInCell="1" hidden="0" allowOverlap="1" wp14:anchorId="5C31BEE8" wp14:editId="2AA540F2">
                <wp:simplePos x="0" y="0"/>
                <wp:positionH relativeFrom="column">
                  <wp:posOffset>443865</wp:posOffset>
                </wp:positionH>
                <wp:positionV relativeFrom="paragraph">
                  <wp:posOffset>594360</wp:posOffset>
                </wp:positionV>
                <wp:extent cx="4581525" cy="1028700"/>
                <wp:effectExtent l="19050" t="19050" r="28575" b="19050"/>
                <wp:wrapNone/>
                <wp:docPr id="2083296445" name="Rectángulo 2083296445"/>
                <wp:cNvGraphicFramePr/>
                <a:graphic xmlns:a="http://schemas.openxmlformats.org/drawingml/2006/main">
                  <a:graphicData uri="http://schemas.microsoft.com/office/word/2010/wordprocessingShape">
                    <wps:wsp>
                      <wps:cNvSpPr/>
                      <wps:spPr>
                        <a:xfrm>
                          <a:off x="0" y="0"/>
                          <a:ext cx="4581525" cy="1028700"/>
                        </a:xfrm>
                        <a:prstGeom prst="rect">
                          <a:avLst/>
                        </a:prstGeom>
                        <a:noFill/>
                        <a:ln w="38100" cap="flat" cmpd="sng">
                          <a:solidFill>
                            <a:srgbClr val="C00000"/>
                          </a:solidFill>
                          <a:prstDash val="solid"/>
                          <a:round/>
                          <a:headEnd type="none" w="sm" len="sm"/>
                          <a:tailEnd type="none" w="sm" len="sm"/>
                        </a:ln>
                      </wps:spPr>
                      <wps:txbx>
                        <w:txbxContent>
                          <w:p w14:paraId="36EBF2DC" w14:textId="77777777" w:rsidR="005E2468" w:rsidRDefault="005E246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31BEE8" id="Rectángulo 2083296445" o:spid="_x0000_s1027" style="position:absolute;left:0;text-align:left;margin-left:34.95pt;margin-top:46.8pt;width:360.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" filled="f" strokecolor="#c00000" strokeweight="3pt">
                <v:stroke startarrowwidth="narrow" startarrowlength="short" endarrowwidth="narrow" endarrowlength="short" joinstyle="round"/>
                <v:textbox inset="2.53958mm,2.53958mm,2.53958mm,2.53958mm">
                  <w:txbxContent>
                    <w:p w14:paraId="36EBF2DC" w14:textId="77777777" w:rsidR="005E2468" w:rsidRDefault="005E2468">
                      <w:pPr>
                        <w:textDirection w:val="btLr"/>
                      </w:pPr>
                    </w:p>
                  </w:txbxContent>
                </v:textbox>
              </v:rect>
            </w:pict>
          </mc:Fallback>
        </mc:AlternateContent>
      </w:r>
      <w:r w:rsidR="00806F94" w:rsidRPr="00E06C32">
        <w:rPr>
          <w:rFonts w:ascii="Palatino Linotype" w:eastAsia="Palatino Linotype" w:hAnsi="Palatino Linotype" w:cs="Palatino Linotype"/>
          <w:noProof/>
        </w:rPr>
        <w:drawing>
          <wp:inline distT="0" distB="0" distL="0" distR="0" wp14:anchorId="1E08EC50" wp14:editId="462397B4">
            <wp:extent cx="4500000" cy="1818228"/>
            <wp:effectExtent l="0" t="0" r="0" b="0"/>
            <wp:docPr id="20832964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500000" cy="1818228"/>
                    </a:xfrm>
                    <a:prstGeom prst="rect">
                      <a:avLst/>
                    </a:prstGeom>
                    <a:ln/>
                  </pic:spPr>
                </pic:pic>
              </a:graphicData>
            </a:graphic>
          </wp:inline>
        </w:drawing>
      </w:r>
    </w:p>
    <w:p w14:paraId="69C297D4" w14:textId="3BFBC2C9" w:rsidR="00DD7E50" w:rsidRPr="00E06C32" w:rsidRDefault="00806F94">
      <w:pPr>
        <w:spacing w:before="240" w:after="240" w:line="360" w:lineRule="auto"/>
        <w:jc w:val="both"/>
        <w:rPr>
          <w:rFonts w:ascii="Palatino Linotype" w:eastAsia="Palatino Linotype" w:hAnsi="Palatino Linotype" w:cs="Palatino Linotype"/>
          <w:b/>
          <w:u w:val="single"/>
        </w:rPr>
      </w:pPr>
      <w:r w:rsidRPr="00E06C32">
        <w:rPr>
          <w:rFonts w:ascii="Palatino Linotype" w:eastAsia="Palatino Linotype" w:hAnsi="Palatino Linotype" w:cs="Palatino Linotype"/>
        </w:rPr>
        <w:lastRenderedPageBreak/>
        <w:t>Por lo tanto, se insiste</w:t>
      </w:r>
      <w:r w:rsidR="00EE26C8" w:rsidRPr="00E06C32">
        <w:rPr>
          <w:rFonts w:ascii="Palatino Linotype" w:eastAsia="Palatino Linotype" w:hAnsi="Palatino Linotype" w:cs="Palatino Linotype"/>
        </w:rPr>
        <w:t>,</w:t>
      </w:r>
      <w:r w:rsidRPr="00E06C32">
        <w:rPr>
          <w:rFonts w:ascii="Palatino Linotype" w:eastAsia="Palatino Linotype" w:hAnsi="Palatino Linotype" w:cs="Palatino Linotype"/>
        </w:rPr>
        <w:t xml:space="preserve"> que el cambio de modalidad pretendido para la entrega de la información a través del SAIMEX, NO se encuentra justificado, en virtud de que </w:t>
      </w:r>
      <w:r w:rsidRPr="00E06C32">
        <w:rPr>
          <w:rFonts w:ascii="Palatino Linotype" w:eastAsia="Palatino Linotype" w:hAnsi="Palatino Linotype" w:cs="Palatino Linotype"/>
          <w:b/>
        </w:rPr>
        <w:t xml:space="preserve">no se acreditó que las actas de entrega recepción </w:t>
      </w:r>
      <w:r w:rsidRPr="00E06C32">
        <w:rPr>
          <w:rFonts w:ascii="Palatino Linotype" w:eastAsia="Palatino Linotype" w:hAnsi="Palatino Linotype" w:cs="Palatino Linotype"/>
        </w:rPr>
        <w:t xml:space="preserve">y </w:t>
      </w:r>
      <w:r w:rsidRPr="00E06C32">
        <w:rPr>
          <w:rFonts w:ascii="Palatino Linotype" w:eastAsia="Palatino Linotype" w:hAnsi="Palatino Linotype" w:cs="Palatino Linotype"/>
          <w:b/>
        </w:rPr>
        <w:t xml:space="preserve">las carátulas de estimación finiquito de las obras públicas o contratos ejecutados en el ejercicio 2024, </w:t>
      </w:r>
      <w:r w:rsidRPr="00E06C32">
        <w:rPr>
          <w:rFonts w:ascii="Palatino Linotype" w:eastAsia="Palatino Linotype" w:hAnsi="Palatino Linotype" w:cs="Palatino Linotype"/>
        </w:rPr>
        <w:t xml:space="preserve">así como </w:t>
      </w:r>
      <w:r w:rsidRPr="00E06C32">
        <w:rPr>
          <w:rFonts w:ascii="Palatino Linotype" w:eastAsia="Palatino Linotype" w:hAnsi="Palatino Linotype" w:cs="Palatino Linotype"/>
          <w:b/>
        </w:rPr>
        <w:t xml:space="preserve">el </w:t>
      </w:r>
      <w:proofErr w:type="spellStart"/>
      <w:r w:rsidRPr="00E06C32">
        <w:rPr>
          <w:rFonts w:ascii="Palatino Linotype" w:eastAsia="Palatino Linotype" w:hAnsi="Palatino Linotype" w:cs="Palatino Linotype"/>
          <w:b/>
        </w:rPr>
        <w:t>curriculum</w:t>
      </w:r>
      <w:proofErr w:type="spellEnd"/>
      <w:r w:rsidRPr="00E06C32">
        <w:rPr>
          <w:rFonts w:ascii="Palatino Linotype" w:eastAsia="Palatino Linotype" w:hAnsi="Palatino Linotype" w:cs="Palatino Linotype"/>
          <w:b/>
        </w:rPr>
        <w:t xml:space="preserve"> vitae, nombramiento y certificación de competencia laboral de los servidores públicos adscritos a la Dirección de Infraestructura Urbana, y su recibo de nómina de la primera quincena de enero de dos mil veinticinco</w:t>
      </w:r>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b/>
          <w:u w:val="single"/>
        </w:rPr>
        <w:t>constituyeran un cúmulo de información mayor a 8,000 hojas, o</w:t>
      </w:r>
      <w:r w:rsidR="001106AA" w:rsidRPr="00E06C32">
        <w:rPr>
          <w:rFonts w:ascii="Palatino Linotype" w:eastAsia="Palatino Linotype" w:hAnsi="Palatino Linotype" w:cs="Palatino Linotype"/>
          <w:b/>
          <w:u w:val="single"/>
        </w:rPr>
        <w:t xml:space="preserve"> tuviera </w:t>
      </w:r>
      <w:r w:rsidRPr="00E06C32">
        <w:rPr>
          <w:rFonts w:ascii="Palatino Linotype" w:eastAsia="Palatino Linotype" w:hAnsi="Palatino Linotype" w:cs="Palatino Linotype"/>
          <w:b/>
          <w:u w:val="single"/>
        </w:rPr>
        <w:t>un peso superior a 500Mb.</w:t>
      </w:r>
    </w:p>
    <w:p w14:paraId="694790E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lo tanto, se estima que para tener por satisfecho el Derecho de acceso de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deberá hacer entrega de la información solicitada a través de la modalidad elegida por la persona solicitante, esto es, el sistema SAIMEX, en versión pública de conformidad con el considerando siguiente.</w:t>
      </w:r>
    </w:p>
    <w:p w14:paraId="4E389FBC" w14:textId="03ECC4A3" w:rsidR="00DF32A9" w:rsidRPr="00E06C32" w:rsidRDefault="00DF32A9" w:rsidP="00DF32A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Para efectos de lo anterior, </w:t>
      </w:r>
      <w:r w:rsidR="00367E72" w:rsidRPr="00E06C32">
        <w:rPr>
          <w:rFonts w:ascii="Palatino Linotype" w:eastAsia="Palatino Linotype" w:hAnsi="Palatino Linotype" w:cs="Palatino Linotype"/>
        </w:rPr>
        <w:t xml:space="preserve">toda vez que la Oficialía Mayor Municipal se pronunció de manera general sobre los documentos solicitados, es de suma importancia mencionar, respecto a la </w:t>
      </w:r>
      <w:r w:rsidRPr="00E06C32">
        <w:rPr>
          <w:rFonts w:ascii="Palatino Linotype" w:eastAsia="Palatino Linotype" w:hAnsi="Palatino Linotype" w:cs="Palatino Linotype"/>
        </w:rPr>
        <w:t xml:space="preserve">certificación de competencia laboral, </w:t>
      </w:r>
      <w:r w:rsidR="00367E72" w:rsidRPr="00E06C32">
        <w:rPr>
          <w:rFonts w:ascii="Palatino Linotype" w:eastAsia="Palatino Linotype" w:hAnsi="Palatino Linotype" w:cs="Palatino Linotype"/>
        </w:rPr>
        <w:t xml:space="preserve">que de conformidad con el </w:t>
      </w:r>
      <w:r w:rsidRPr="00E06C32">
        <w:rPr>
          <w:rFonts w:ascii="Palatino Linotype" w:eastAsia="Palatino Linotype" w:hAnsi="Palatino Linotype" w:cs="Palatino Linotype"/>
        </w:rPr>
        <w:t>artículo 32, fracción IV de la Ley Orgánica Municipal del Estado de México, para ocupar</w:t>
      </w:r>
      <w:r w:rsidR="00367E72"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rPr>
        <w:t xml:space="preserve">el de Director de Obras Públicas, o equivalente, se requiere satisfacer entre otros requisitos, con la certificación de competencia laboral en la materia del cargo que se desempeñará, expedida por institución con reconocimiento de validez oficial. </w:t>
      </w:r>
    </w:p>
    <w:p w14:paraId="6D54C4DD" w14:textId="77777777" w:rsidR="00DF32A9" w:rsidRPr="00E06C32" w:rsidRDefault="00DF32A9" w:rsidP="00DF32A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Dicho requisito deberá acreditarse dentro de los seis meses siguientes a la fecha en que inicien sus funciones, como también prevé el párrafo segundo del artículo 96 Ter de Ley Orgánica Municipal a saber:</w:t>
      </w:r>
    </w:p>
    <w:p w14:paraId="68113CC2" w14:textId="77777777" w:rsidR="00DF32A9" w:rsidRPr="00E06C32" w:rsidRDefault="00DF32A9" w:rsidP="00DF32A9">
      <w:pPr>
        <w:pBdr>
          <w:top w:val="nil"/>
          <w:left w:val="nil"/>
          <w:bottom w:val="nil"/>
          <w:right w:val="nil"/>
          <w:between w:val="nil"/>
        </w:pBdr>
        <w:spacing w:before="120" w:after="120"/>
        <w:ind w:left="851" w:right="902"/>
        <w:jc w:val="both"/>
        <w:rPr>
          <w:rFonts w:ascii="Palatino Linotype" w:hAnsi="Palatino Linotype"/>
          <w:i/>
          <w:sz w:val="22"/>
        </w:rPr>
      </w:pPr>
      <w:r w:rsidRPr="00E06C32">
        <w:rPr>
          <w:rFonts w:ascii="Palatino Linotype" w:eastAsia="Palatino Linotype" w:hAnsi="Palatino Linotype" w:cs="Palatino Linotype"/>
          <w:i/>
          <w:sz w:val="22"/>
        </w:rPr>
        <w:t>“</w:t>
      </w:r>
      <w:r w:rsidRPr="00E06C32">
        <w:rPr>
          <w:rFonts w:ascii="Palatino Linotype" w:hAnsi="Palatino Linotype"/>
          <w:b/>
          <w:i/>
          <w:sz w:val="22"/>
        </w:rPr>
        <w:t>Artículo 96 Ter.</w:t>
      </w:r>
      <w:r w:rsidRPr="00E06C32">
        <w:rPr>
          <w:rFonts w:ascii="Palatino Linotype" w:hAnsi="Palatino Linotype"/>
          <w:i/>
          <w:sz w:val="22"/>
        </w:rPr>
        <w:t xml:space="preserve"> El </w:t>
      </w:r>
      <w:proofErr w:type="gramStart"/>
      <w:r w:rsidRPr="00E06C32">
        <w:rPr>
          <w:rFonts w:ascii="Palatino Linotype" w:hAnsi="Palatino Linotype"/>
          <w:i/>
          <w:sz w:val="22"/>
        </w:rPr>
        <w:t>Director</w:t>
      </w:r>
      <w:proofErr w:type="gramEnd"/>
      <w:r w:rsidRPr="00E06C32">
        <w:rPr>
          <w:rFonts w:ascii="Palatino Linotype" w:hAnsi="Palatino Linotype"/>
          <w:i/>
          <w:sz w:val="22"/>
        </w:rPr>
        <w:t xml:space="preserve">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7854BCA9" w14:textId="77777777" w:rsidR="00DF32A9" w:rsidRPr="00E06C32" w:rsidRDefault="00DF32A9" w:rsidP="00DF32A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E06C32">
        <w:rPr>
          <w:rFonts w:ascii="Palatino Linotype" w:hAnsi="Palatino Linotype"/>
          <w:i/>
          <w:sz w:val="22"/>
        </w:rPr>
        <w:t xml:space="preserve">Además, </w:t>
      </w:r>
      <w:r w:rsidRPr="00E06C32">
        <w:rPr>
          <w:rFonts w:ascii="Palatino Linotype" w:hAnsi="Palatino Linotype"/>
          <w:b/>
          <w:i/>
          <w:sz w:val="22"/>
        </w:rPr>
        <w:t xml:space="preserve">deberá acreditar, dentro de los seis meses siguientes a la fecha en que inicie funciones, </w:t>
      </w:r>
      <w:r w:rsidRPr="00E06C32">
        <w:rPr>
          <w:rFonts w:ascii="Palatino Linotype" w:hAnsi="Palatino Linotype"/>
          <w:b/>
          <w:i/>
          <w:sz w:val="22"/>
          <w:u w:val="single"/>
        </w:rPr>
        <w:t>la certificación de competencia laboral</w:t>
      </w:r>
      <w:r w:rsidRPr="00E06C32">
        <w:rPr>
          <w:rFonts w:ascii="Palatino Linotype" w:hAnsi="Palatino Linotype"/>
          <w:b/>
          <w:i/>
          <w:sz w:val="22"/>
        </w:rPr>
        <w:t xml:space="preserve"> expedida por el Instituto Hacendario del Estado de México o por alguna otra institución con reconocimiento de validez oficial</w:t>
      </w:r>
      <w:r w:rsidRPr="00E06C32">
        <w:rPr>
          <w:rFonts w:ascii="Palatino Linotype" w:hAnsi="Palatino Linotype"/>
          <w:i/>
          <w:sz w:val="22"/>
        </w:rPr>
        <w:t>, que asegure los conocimientos y habilidades para desempeñar el cargo, de conformidad con los aspectos técnicos y operativos aplicables al Estado de México.”</w:t>
      </w:r>
    </w:p>
    <w:p w14:paraId="65D68598" w14:textId="77777777" w:rsidR="00DF32A9" w:rsidRPr="00E06C32" w:rsidRDefault="00DF32A9" w:rsidP="00DF32A9">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este sentido, se destaca que la persona titular de la Dirección de Infraestructura Urbana fue nombrada por el Cabildo en la Primera Sesión Solemne, celebrada el primero de enero de dos mil veinticinco, como consta en el Tercer Punto del Orden del Día:</w:t>
      </w:r>
    </w:p>
    <w:p w14:paraId="71D00F21" w14:textId="77777777" w:rsidR="00DF32A9" w:rsidRPr="00E06C32" w:rsidRDefault="00DF32A9" w:rsidP="00DF32A9">
      <w:pPr>
        <w:spacing w:before="240" w:after="240" w:line="360" w:lineRule="auto"/>
        <w:jc w:val="center"/>
        <w:rPr>
          <w:rFonts w:ascii="Palatino Linotype" w:eastAsia="Palatino Linotype" w:hAnsi="Palatino Linotype" w:cs="Palatino Linotype"/>
        </w:rPr>
      </w:pPr>
      <w:r w:rsidRPr="00E06C32">
        <w:rPr>
          <w:rFonts w:ascii="Palatino Linotype" w:eastAsia="Palatino Linotype" w:hAnsi="Palatino Linotype" w:cs="Palatino Linotype"/>
          <w:noProof/>
        </w:rPr>
        <w:drawing>
          <wp:inline distT="0" distB="0" distL="0" distR="0" wp14:anchorId="076A1900" wp14:editId="0C4DC662">
            <wp:extent cx="4608000" cy="1797216"/>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8000" cy="1797216"/>
                    </a:xfrm>
                    <a:prstGeom prst="rect">
                      <a:avLst/>
                    </a:prstGeom>
                  </pic:spPr>
                </pic:pic>
              </a:graphicData>
            </a:graphic>
          </wp:inline>
        </w:drawing>
      </w:r>
      <w:r w:rsidRPr="00E06C32">
        <w:rPr>
          <w:rFonts w:ascii="Palatino Linotype" w:eastAsia="Palatino Linotype" w:hAnsi="Palatino Linotype" w:cs="Palatino Linotype"/>
          <w:noProof/>
        </w:rPr>
        <w:drawing>
          <wp:inline distT="0" distB="0" distL="0" distR="0" wp14:anchorId="1EC0459E" wp14:editId="513B71B9">
            <wp:extent cx="4320000" cy="467291"/>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467291"/>
                    </a:xfrm>
                    <a:prstGeom prst="rect">
                      <a:avLst/>
                    </a:prstGeom>
                  </pic:spPr>
                </pic:pic>
              </a:graphicData>
            </a:graphic>
          </wp:inline>
        </w:drawing>
      </w:r>
    </w:p>
    <w:p w14:paraId="55E148F1" w14:textId="446C6CCA" w:rsidR="00DF32A9" w:rsidRPr="00E06C32" w:rsidRDefault="00367E72" w:rsidP="00DF32A9">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lastRenderedPageBreak/>
        <w:t>Sin embargo, por lo que se refiere a los demás servidores públicos</w:t>
      </w:r>
      <w:r w:rsidR="00DD6FD7" w:rsidRPr="00E06C32">
        <w:rPr>
          <w:rFonts w:ascii="Palatino Linotype" w:eastAsia="Palatino Linotype" w:hAnsi="Palatino Linotype" w:cs="Palatino Linotype"/>
        </w:rPr>
        <w:t xml:space="preserve">, </w:t>
      </w:r>
      <w:r w:rsidR="00DD6FD7" w:rsidRPr="00E06C32">
        <w:rPr>
          <w:rFonts w:ascii="Palatino Linotype" w:hAnsi="Palatino Linotype"/>
        </w:rPr>
        <w:t xml:space="preserve">en este caso a la </w:t>
      </w:r>
      <w:r w:rsidR="00DD6FD7" w:rsidRPr="00E06C32">
        <w:rPr>
          <w:rFonts w:ascii="Palatino Linotype" w:eastAsia="Palatino Linotype" w:hAnsi="Palatino Linotype" w:cs="Palatino Linotype"/>
        </w:rPr>
        <w:t xml:space="preserve">Dirección de Infraestructura Urbana, </w:t>
      </w:r>
      <w:r w:rsidR="00DF32A9" w:rsidRPr="00E06C32">
        <w:rPr>
          <w:rFonts w:ascii="Palatino Linotype" w:eastAsia="Palatino Linotype" w:hAnsi="Palatino Linotype" w:cs="Palatino Linotype"/>
        </w:rPr>
        <w:t xml:space="preserve">es de señalar </w:t>
      </w:r>
      <w:r w:rsidRPr="00E06C32">
        <w:rPr>
          <w:rFonts w:ascii="Palatino Linotype" w:eastAsia="Palatino Linotype" w:hAnsi="Palatino Linotype" w:cs="Palatino Linotype"/>
        </w:rPr>
        <w:t>que</w:t>
      </w:r>
      <w:r w:rsidR="001106AA" w:rsidRPr="00E06C32">
        <w:rPr>
          <w:rFonts w:ascii="Palatino Linotype" w:eastAsia="Palatino Linotype" w:hAnsi="Palatino Linotype" w:cs="Palatino Linotype"/>
        </w:rPr>
        <w:t>,</w:t>
      </w:r>
      <w:r w:rsidR="00DF32A9" w:rsidRPr="00E06C32">
        <w:rPr>
          <w:rFonts w:ascii="Palatino Linotype" w:eastAsia="Palatino Linotype" w:hAnsi="Palatino Linotype" w:cs="Palatino Linotype"/>
        </w:rPr>
        <w:t xml:space="preserve"> del análisis de la normatividad aplicable al caso concreto, no se advirtió como</w:t>
      </w:r>
      <w:r w:rsidR="00DD6FD7" w:rsidRPr="00E06C32">
        <w:rPr>
          <w:rFonts w:ascii="Palatino Linotype" w:eastAsia="Palatino Linotype" w:hAnsi="Palatino Linotype" w:cs="Palatino Linotype"/>
        </w:rPr>
        <w:t xml:space="preserve"> un</w:t>
      </w:r>
      <w:r w:rsidR="00DF32A9" w:rsidRPr="00E06C32">
        <w:rPr>
          <w:rFonts w:ascii="Palatino Linotype" w:eastAsia="Palatino Linotype" w:hAnsi="Palatino Linotype" w:cs="Palatino Linotype"/>
        </w:rPr>
        <w:t xml:space="preserve"> requisito obligatorio el </w:t>
      </w:r>
      <w:r w:rsidR="00DD6FD7" w:rsidRPr="00E06C32">
        <w:rPr>
          <w:rFonts w:ascii="Palatino Linotype" w:eastAsia="Palatino Linotype" w:hAnsi="Palatino Linotype" w:cs="Palatino Linotype"/>
        </w:rPr>
        <w:t>que deban contar</w:t>
      </w:r>
      <w:r w:rsidR="00DF32A9" w:rsidRPr="00E06C32">
        <w:rPr>
          <w:rFonts w:ascii="Palatino Linotype" w:eastAsia="Palatino Linotype" w:hAnsi="Palatino Linotype" w:cs="Palatino Linotype"/>
        </w:rPr>
        <w:t xml:space="preserve"> con certificación de competencia laboral para desempeñar el cargo que se les confiera.</w:t>
      </w:r>
    </w:p>
    <w:p w14:paraId="3EB82B61" w14:textId="27B92F40" w:rsidR="00DF32A9" w:rsidRPr="00E06C32" w:rsidRDefault="00DF32A9" w:rsidP="00DF32A9">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tal contexto,  se precisa que para el caso de que no se cuente con certificaciones de competencia laboral de los servidores públicos adscritos a la Dirección de Infraestructura Urbana, ya sea porque no es considerado como un requisito legal para el cargo que</w:t>
      </w:r>
      <w:r w:rsidR="00DD6FD7" w:rsidRPr="00E06C32">
        <w:rPr>
          <w:rFonts w:ascii="Palatino Linotype" w:eastAsia="Palatino Linotype" w:hAnsi="Palatino Linotype" w:cs="Palatino Linotype"/>
        </w:rPr>
        <w:t xml:space="preserve"> se</w:t>
      </w:r>
      <w:r w:rsidRPr="00E06C32">
        <w:rPr>
          <w:rFonts w:ascii="Palatino Linotype" w:eastAsia="Palatino Linotype" w:hAnsi="Palatino Linotype" w:cs="Palatino Linotype"/>
        </w:rPr>
        <w:t xml:space="preserve"> ostenta, o bien, al encontrarse la persona titular de dicha Dirección en tiempo para acreditar dicho requisito, bastará con que así se haga del conocimiento de la persona solicitante para tener por satisfecho dicho requisito, en términos de lo dispuesto por el artículo 19, párrafo segundo de la Ley de Transparencia y Acceso a la Información Pública del Estado de México y Municipios, a saber:</w:t>
      </w:r>
    </w:p>
    <w:p w14:paraId="3A64FC4F" w14:textId="77777777" w:rsidR="00DF32A9" w:rsidRPr="00E06C32" w:rsidRDefault="00DF32A9" w:rsidP="00DF32A9">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19</w:t>
      </w:r>
      <w:r w:rsidRPr="00E06C32">
        <w:rPr>
          <w:rFonts w:ascii="Palatino Linotype" w:eastAsia="Palatino Linotype" w:hAnsi="Palatino Linotype" w:cs="Palatino Linotype"/>
          <w:i/>
          <w:sz w:val="22"/>
          <w:szCs w:val="22"/>
        </w:rPr>
        <w:t>…</w:t>
      </w:r>
    </w:p>
    <w:p w14:paraId="4F3034E5" w14:textId="77777777" w:rsidR="00DF32A9" w:rsidRPr="00E06C32" w:rsidRDefault="00DF32A9" w:rsidP="00DF32A9">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9900766" w14:textId="628F4C60"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otro lado, es importante mencionar que si bien, como parte de la respuesta proporcionada por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se hizo entrega del ACUERDO DE CLASIFICACIÓN 04/CT/05-ORD/2025, emitido en la Quinta Sesión Ordinaria del Comité de Transparencia, no pasa desapercibido que mediante éste se aprobó la clasificación como confidencial de los datos personales contenidos específicamente en el Comprobante Fiscal Digital por Internet de la primera quincena de enero de </w:t>
      </w:r>
      <w:r w:rsidRPr="00E06C32">
        <w:rPr>
          <w:rFonts w:ascii="Palatino Linotype" w:eastAsia="Palatino Linotype" w:hAnsi="Palatino Linotype" w:cs="Palatino Linotype"/>
        </w:rPr>
        <w:lastRenderedPageBreak/>
        <w:t>2024, correspondiente al entonces Director de Obras Públicas, información que no corresponde con lo solicitado</w:t>
      </w:r>
      <w:r w:rsidR="00EE26C8" w:rsidRPr="00E06C32">
        <w:rPr>
          <w:rFonts w:ascii="Palatino Linotype" w:eastAsia="Palatino Linotype" w:hAnsi="Palatino Linotype" w:cs="Palatino Linotype"/>
        </w:rPr>
        <w:t xml:space="preserve">, al haberse requerido información de </w:t>
      </w:r>
      <w:r w:rsidR="00EE26C8" w:rsidRPr="00E06C32">
        <w:rPr>
          <w:rFonts w:ascii="Palatino Linotype" w:eastAsia="Palatino Linotype" w:hAnsi="Palatino Linotype" w:cs="Palatino Linotype"/>
          <w:b/>
          <w:bCs/>
          <w:u w:val="single"/>
        </w:rPr>
        <w:t xml:space="preserve">todos los servidores públicos adscritos a la </w:t>
      </w:r>
      <w:r w:rsidR="00DF32A9" w:rsidRPr="00E06C32">
        <w:rPr>
          <w:rFonts w:ascii="Palatino Linotype" w:eastAsia="Palatino Linotype" w:hAnsi="Palatino Linotype" w:cs="Palatino Linotype"/>
          <w:b/>
          <w:bCs/>
          <w:u w:val="single"/>
        </w:rPr>
        <w:t xml:space="preserve">Dirección de Infraestructura Urbana, en la </w:t>
      </w:r>
      <w:r w:rsidR="00EE26C8" w:rsidRPr="00E06C32">
        <w:rPr>
          <w:rFonts w:ascii="Palatino Linotype" w:eastAsia="Palatino Linotype" w:hAnsi="Palatino Linotype" w:cs="Palatino Linotype"/>
          <w:b/>
          <w:bCs/>
          <w:u w:val="single"/>
        </w:rPr>
        <w:t>presente administración</w:t>
      </w:r>
      <w:r w:rsidRPr="00E06C32">
        <w:rPr>
          <w:rFonts w:ascii="Palatino Linotype" w:eastAsia="Palatino Linotype" w:hAnsi="Palatino Linotype" w:cs="Palatino Linotype"/>
        </w:rPr>
        <w:t>, por lo que, para efectos de dar cumplimiento a la presente resolución, se deberá emitir nuevamente el acuerdo del Comité de Transparencia que sustente la versión pública de los documentos que se ordenan, en los términos del considerando siguiente.</w:t>
      </w:r>
    </w:p>
    <w:p w14:paraId="2578C772" w14:textId="77777777" w:rsidR="00DD7E50" w:rsidRPr="00E06C32" w:rsidRDefault="00806F94">
      <w:pPr>
        <w:pBdr>
          <w:top w:val="nil"/>
          <w:left w:val="nil"/>
          <w:bottom w:val="nil"/>
          <w:right w:val="nil"/>
          <w:between w:val="nil"/>
        </w:pBdr>
        <w:spacing w:before="240" w:after="240" w:line="360" w:lineRule="auto"/>
        <w:jc w:val="both"/>
        <w:rPr>
          <w:rFonts w:ascii="Palatino Linotype" w:hAnsi="Palatino Linotype"/>
        </w:rPr>
      </w:pPr>
      <w:r w:rsidRPr="00E06C32">
        <w:rPr>
          <w:rFonts w:ascii="Palatino Linotype" w:eastAsia="Palatino Linotype" w:hAnsi="Palatino Linotype" w:cs="Palatino Linotype"/>
        </w:rPr>
        <w:t xml:space="preserve">Finalmente, respecto de las manifestaciones realizadas por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como razones o motivos de inconformidad, consistentes en </w:t>
      </w:r>
      <w:r w:rsidRPr="00E06C32">
        <w:rPr>
          <w:rFonts w:ascii="Palatino Linotype" w:eastAsia="Palatino Linotype" w:hAnsi="Palatino Linotype" w:cs="Palatino Linotype"/>
          <w:i/>
        </w:rPr>
        <w:t xml:space="preserve">“…solicito al Instituto se de vista a la </w:t>
      </w:r>
      <w:proofErr w:type="spellStart"/>
      <w:r w:rsidRPr="00E06C32">
        <w:rPr>
          <w:rFonts w:ascii="Palatino Linotype" w:eastAsia="Palatino Linotype" w:hAnsi="Palatino Linotype" w:cs="Palatino Linotype"/>
          <w:i/>
        </w:rPr>
        <w:t>Contraloria</w:t>
      </w:r>
      <w:proofErr w:type="spellEnd"/>
      <w:r w:rsidRPr="00E06C32">
        <w:rPr>
          <w:rFonts w:ascii="Palatino Linotype" w:eastAsia="Palatino Linotype" w:hAnsi="Palatino Linotype" w:cs="Palatino Linotype"/>
          <w:i/>
        </w:rPr>
        <w:t xml:space="preserve"> Interna del </w:t>
      </w:r>
      <w:proofErr w:type="spellStart"/>
      <w:r w:rsidRPr="00E06C32">
        <w:rPr>
          <w:rFonts w:ascii="Palatino Linotype" w:eastAsia="Palatino Linotype" w:hAnsi="Palatino Linotype" w:cs="Palatino Linotype"/>
          <w:i/>
        </w:rPr>
        <w:t>Instiuto</w:t>
      </w:r>
      <w:proofErr w:type="spellEnd"/>
      <w:r w:rsidRPr="00E06C32">
        <w:rPr>
          <w:rFonts w:ascii="Palatino Linotype" w:eastAsia="Palatino Linotype" w:hAnsi="Palatino Linotype" w:cs="Palatino Linotype"/>
          <w:i/>
        </w:rPr>
        <w:t xml:space="preserve"> de Transparencia Estatal…” (sic)</w:t>
      </w:r>
      <w:r w:rsidRPr="00E06C32">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14:paraId="25882FC4"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De lo hasta aquí expuesto, se concluye que los motivos de inconformidad de la parte </w:t>
      </w:r>
      <w:r w:rsidRPr="00E06C32">
        <w:rPr>
          <w:rFonts w:ascii="Palatino Linotype" w:eastAsia="Palatino Linotype" w:hAnsi="Palatino Linotype" w:cs="Palatino Linotype"/>
          <w:b/>
        </w:rPr>
        <w:t xml:space="preserve">Recurrente </w:t>
      </w:r>
      <w:r w:rsidRPr="00E06C32">
        <w:rPr>
          <w:rFonts w:ascii="Palatino Linotype" w:eastAsia="Palatino Linotype" w:hAnsi="Palatino Linotype" w:cs="Palatino Linotype"/>
        </w:rPr>
        <w:t xml:space="preserve">devienen parcialmente fundados, siendo procedente </w:t>
      </w:r>
      <w:r w:rsidRPr="00E06C32">
        <w:rPr>
          <w:rFonts w:ascii="Palatino Linotype" w:eastAsia="Palatino Linotype" w:hAnsi="Palatino Linotype" w:cs="Palatino Linotype"/>
          <w:i/>
        </w:rPr>
        <w:t xml:space="preserve">Modificar </w:t>
      </w:r>
      <w:r w:rsidRPr="00E06C32">
        <w:rPr>
          <w:rFonts w:ascii="Palatino Linotype" w:eastAsia="Palatino Linotype" w:hAnsi="Palatino Linotype" w:cs="Palatino Linotype"/>
        </w:rPr>
        <w:t xml:space="preserve">la respuesta proporcionada por el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49D3363"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b/>
        </w:rPr>
        <w:t xml:space="preserve">Quinto. Versión Pública. </w:t>
      </w:r>
      <w:r w:rsidRPr="00E06C32">
        <w:rPr>
          <w:rFonts w:ascii="Palatino Linotype" w:eastAsia="Palatino Linotype" w:hAnsi="Palatino Linotype" w:cs="Palatino Linotype"/>
        </w:rPr>
        <w:t>Como fue debidamente apuntado,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w:t>
      </w:r>
      <w:r w:rsidRPr="00E06C32">
        <w:rPr>
          <w:rFonts w:ascii="Palatino Linotype" w:eastAsia="Palatino Linotype" w:hAnsi="Palatino Linotype" w:cs="Palatino Linotype"/>
        </w:rPr>
        <w:lastRenderedPageBreak/>
        <w:t>posibilidad de que obren datos que son considerados confidenciales, cuyo acceso debe ser restringido que deben testarse al momento de la versión pública, atento a lo siguiente:</w:t>
      </w:r>
    </w:p>
    <w:p w14:paraId="4DC95E37"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1304A8F"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4A91CF9"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16C9722C"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rPr>
        <w:t> </w:t>
      </w: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3.</w:t>
      </w:r>
      <w:r w:rsidRPr="00E06C32">
        <w:rPr>
          <w:rFonts w:ascii="Palatino Linotype" w:eastAsia="Palatino Linotype" w:hAnsi="Palatino Linotype" w:cs="Palatino Linotype"/>
          <w:i/>
          <w:sz w:val="22"/>
          <w:szCs w:val="22"/>
        </w:rPr>
        <w:t xml:space="preserve"> Para los efectos de la presente Ley se entenderá por:</w:t>
      </w:r>
    </w:p>
    <w:p w14:paraId="492DC33F"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7BA829BD"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IX. Datos personales</w:t>
      </w:r>
      <w:r w:rsidRPr="00E06C3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D564067"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70F19C49"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 Información clasificada</w:t>
      </w:r>
      <w:r w:rsidRPr="00E06C32">
        <w:rPr>
          <w:rFonts w:ascii="Palatino Linotype" w:eastAsia="Palatino Linotype" w:hAnsi="Palatino Linotype" w:cs="Palatino Linotype"/>
          <w:i/>
          <w:sz w:val="22"/>
          <w:szCs w:val="22"/>
        </w:rPr>
        <w:t>: Aquella considerada por la presente Ley como reservada o confidencial;</w:t>
      </w:r>
    </w:p>
    <w:p w14:paraId="000599E1"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lastRenderedPageBreak/>
        <w:t>XXI. Información confidencial</w:t>
      </w:r>
      <w:r w:rsidRPr="00E06C3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ECFBDE"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2B875728"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XXXII. Protección de Datos Personales</w:t>
      </w:r>
      <w:r w:rsidRPr="00E06C3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2276357"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3C1AB0DC" w14:textId="77777777" w:rsidR="00DD7E50" w:rsidRPr="00E06C32" w:rsidRDefault="00806F94">
      <w:pPr>
        <w:tabs>
          <w:tab w:val="left" w:pos="1276"/>
        </w:tabs>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XLV. Versión pública</w:t>
      </w:r>
      <w:r w:rsidRPr="00E06C3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6FFC0DD"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Artículo 6</w:t>
      </w:r>
      <w:r w:rsidRPr="00E06C3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96C010"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3E532797"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91.</w:t>
      </w:r>
      <w:r w:rsidRPr="00E06C3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E06C32">
        <w:rPr>
          <w:rFonts w:ascii="Palatino Linotype" w:eastAsia="Palatino Linotype" w:hAnsi="Palatino Linotype" w:cs="Palatino Linotype"/>
          <w:i/>
          <w:sz w:val="22"/>
          <w:szCs w:val="22"/>
        </w:rPr>
        <w:br/>
        <w:t>…</w:t>
      </w:r>
    </w:p>
    <w:p w14:paraId="17229669"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132.</w:t>
      </w:r>
      <w:r w:rsidRPr="00E06C32">
        <w:rPr>
          <w:rFonts w:ascii="Palatino Linotype" w:eastAsia="Palatino Linotype" w:hAnsi="Palatino Linotype" w:cs="Palatino Linotype"/>
          <w:i/>
          <w:sz w:val="22"/>
          <w:szCs w:val="22"/>
        </w:rPr>
        <w:t xml:space="preserve"> La clasificación de la información se llevará a cabo en el momento en que:</w:t>
      </w:r>
    </w:p>
    <w:p w14:paraId="24F109B8"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Se reciba una solicitud de acceso a la información;</w:t>
      </w:r>
    </w:p>
    <w:p w14:paraId="4E0EADF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Se determine mediante resolución de autoridad competente; o</w:t>
      </w:r>
    </w:p>
    <w:p w14:paraId="24339EB7"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B5C93BE"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w:t>
      </w:r>
    </w:p>
    <w:p w14:paraId="599CC1E1"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137.</w:t>
      </w:r>
      <w:r w:rsidRPr="00E06C3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E06C32">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14:paraId="6DC6B744"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Artículo 143.</w:t>
      </w:r>
      <w:r w:rsidRPr="00E06C3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B71A66F"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20ADE8B" w14:textId="77777777" w:rsidR="00DD7E50" w:rsidRPr="00E06C32" w:rsidRDefault="00806F94">
      <w:pPr>
        <w:spacing w:before="240" w:after="240" w:line="360" w:lineRule="auto"/>
        <w:ind w:right="50"/>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6085BD5" w14:textId="77777777" w:rsidR="00DD7E50" w:rsidRPr="00E06C32" w:rsidRDefault="00806F94">
      <w:pPr>
        <w:spacing w:before="240" w:after="240" w:line="360" w:lineRule="auto"/>
        <w:ind w:right="50"/>
        <w:jc w:val="both"/>
        <w:rPr>
          <w:rFonts w:ascii="Palatino Linotype" w:eastAsia="Palatino Linotype" w:hAnsi="Palatino Linotype" w:cs="Palatino Linotype"/>
        </w:rPr>
      </w:pPr>
      <w:r w:rsidRPr="00E06C3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9B7ABFC"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w:t>
      </w:r>
      <w:r w:rsidRPr="00E06C32">
        <w:rPr>
          <w:rFonts w:ascii="Palatino Linotype" w:eastAsia="Palatino Linotype" w:hAnsi="Palatino Linotype" w:cs="Palatino Linotype"/>
        </w:rPr>
        <w:lastRenderedPageBreak/>
        <w:t xml:space="preserve">encuentran en posesión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los números de cuentas bancarias, claves estandarizadas – interbancarias - (CLABES) y de tarjetas, los préstamos o descuentos que se le hagan a la persona y que no tengan relación con los impuestos o la cuota por seguridad social, el número de empleado, y, de ser el caso, el folio fiscal, la cadena original, los códigos bidimensionales o códigos QR, y cualquier información de carácter fiscal, domicilio particular, teléfono particular, correo electrónico particular, entre otros.</w:t>
      </w:r>
    </w:p>
    <w:p w14:paraId="664D9F76" w14:textId="77777777" w:rsidR="00DD7E50" w:rsidRPr="00E06C32" w:rsidRDefault="00806F94">
      <w:pPr>
        <w:spacing w:before="240" w:after="240" w:line="360" w:lineRule="auto"/>
        <w:ind w:right="50"/>
        <w:jc w:val="both"/>
        <w:rPr>
          <w:rFonts w:ascii="Palatino Linotype" w:eastAsia="Palatino Linotype" w:hAnsi="Palatino Linotype" w:cs="Palatino Linotype"/>
        </w:rPr>
      </w:pPr>
      <w:r w:rsidRPr="00E06C3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AEB658E"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cuanto hace al </w:t>
      </w:r>
      <w:r w:rsidRPr="00E06C32">
        <w:rPr>
          <w:rFonts w:ascii="Palatino Linotype" w:eastAsia="Palatino Linotype" w:hAnsi="Palatino Linotype" w:cs="Palatino Linotype"/>
          <w:b/>
        </w:rPr>
        <w:t>Registro Federal de Contribuyentes, RFC</w:t>
      </w:r>
      <w:r w:rsidRPr="00E06C32">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E06C32">
        <w:rPr>
          <w:rFonts w:ascii="Palatino Linotype" w:eastAsia="Palatino Linotype" w:hAnsi="Palatino Linotype" w:cs="Palatino Linotype"/>
        </w:rPr>
        <w:t>homoclave</w:t>
      </w:r>
      <w:proofErr w:type="spellEnd"/>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rPr>
        <w:lastRenderedPageBreak/>
        <w:t>por lo que para su obtención es necesario acreditar ante la autoridad fiscal previamente la identidad de la persona, su fecha de nacimiento, entre otros aspectos.</w:t>
      </w:r>
    </w:p>
    <w:p w14:paraId="43A3E3CF"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1675345"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73F23416" w14:textId="77777777" w:rsidR="00DD7E50" w:rsidRPr="00E06C32" w:rsidRDefault="00806F94">
      <w:pPr>
        <w:ind w:left="851" w:right="900"/>
        <w:jc w:val="both"/>
        <w:rPr>
          <w:rFonts w:ascii="Palatino Linotype" w:eastAsia="Palatino Linotype" w:hAnsi="Palatino Linotype" w:cs="Palatino Linotype"/>
          <w:i/>
          <w:sz w:val="21"/>
          <w:szCs w:val="21"/>
        </w:rPr>
      </w:pPr>
      <w:r w:rsidRPr="00E06C32">
        <w:rPr>
          <w:rFonts w:ascii="Palatino Linotype" w:eastAsia="Palatino Linotype" w:hAnsi="Palatino Linotype" w:cs="Palatino Linotype"/>
          <w:b/>
          <w:i/>
          <w:sz w:val="21"/>
          <w:szCs w:val="21"/>
        </w:rPr>
        <w:t xml:space="preserve"> “Registro Federal de Contribuyentes (RFC) de personas físicas</w:t>
      </w:r>
      <w:r w:rsidRPr="00E06C32">
        <w:rPr>
          <w:rFonts w:ascii="Palatino Linotype" w:eastAsia="Palatino Linotype" w:hAnsi="Palatino Linotype" w:cs="Palatino Linotype"/>
          <w:i/>
          <w:sz w:val="21"/>
          <w:szCs w:val="21"/>
        </w:rPr>
        <w:t>. El RFC es una clave de carácter fiscal, única e irrepetible, que permite identificar al titular, su edad y fecha de nacimiento, por lo que es un dato personal de carácter confidencial.”</w:t>
      </w:r>
    </w:p>
    <w:p w14:paraId="2DC52EC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E06C32">
        <w:rPr>
          <w:rFonts w:ascii="Palatino Linotype" w:eastAsia="Palatino Linotype" w:hAnsi="Palatino Linotype" w:cs="Palatino Linotype"/>
        </w:rPr>
        <w:t>homoclave</w:t>
      </w:r>
      <w:proofErr w:type="spellEnd"/>
      <w:r w:rsidRPr="00E06C3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0A02DD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w:t>
      </w:r>
      <w:r w:rsidRPr="00E06C32">
        <w:rPr>
          <w:rFonts w:ascii="Palatino Linotype" w:eastAsia="Palatino Linotype" w:hAnsi="Palatino Linotype" w:cs="Palatino Linotype"/>
        </w:rPr>
        <w:lastRenderedPageBreak/>
        <w:t>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C0B1E4C"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7195FBE2" w14:textId="77777777" w:rsidR="00DD7E50" w:rsidRPr="00E06C32" w:rsidRDefault="00806F94">
      <w:pPr>
        <w:ind w:left="851" w:right="851"/>
        <w:jc w:val="both"/>
        <w:rPr>
          <w:rFonts w:ascii="Palatino Linotype" w:eastAsia="Palatino Linotype" w:hAnsi="Palatino Linotype" w:cs="Palatino Linotype"/>
          <w:i/>
          <w:sz w:val="21"/>
          <w:szCs w:val="21"/>
        </w:rPr>
      </w:pPr>
      <w:r w:rsidRPr="00E06C32">
        <w:rPr>
          <w:rFonts w:ascii="Palatino Linotype" w:eastAsia="Palatino Linotype" w:hAnsi="Palatino Linotype" w:cs="Palatino Linotype"/>
          <w:b/>
          <w:i/>
          <w:sz w:val="21"/>
          <w:szCs w:val="21"/>
        </w:rPr>
        <w:t xml:space="preserve"> “Clave Única de Registro de Población (CURP). </w:t>
      </w:r>
      <w:r w:rsidRPr="00E06C32">
        <w:rPr>
          <w:rFonts w:ascii="Palatino Linotype" w:eastAsia="Palatino Linotype" w:hAnsi="Palatino Linotype" w:cs="Palatino Linotype"/>
          <w:i/>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1ED143D"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F2E1F1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Respecto de los </w:t>
      </w:r>
      <w:r w:rsidRPr="00E06C32">
        <w:rPr>
          <w:rFonts w:ascii="Palatino Linotype" w:eastAsia="Palatino Linotype" w:hAnsi="Palatino Linotype" w:cs="Palatino Linotype"/>
          <w:b/>
        </w:rPr>
        <w:t>números de cuentas bancari</w:t>
      </w:r>
      <w:r w:rsidRPr="00E06C32">
        <w:rPr>
          <w:rFonts w:ascii="Palatino Linotype" w:eastAsia="Palatino Linotype" w:hAnsi="Palatino Linotype" w:cs="Palatino Linotype"/>
        </w:rPr>
        <w:t xml:space="preserve">as, </w:t>
      </w:r>
      <w:r w:rsidRPr="00E06C32">
        <w:rPr>
          <w:rFonts w:ascii="Palatino Linotype" w:eastAsia="Palatino Linotype" w:hAnsi="Palatino Linotype" w:cs="Palatino Linotype"/>
          <w:b/>
        </w:rPr>
        <w:t>claves estandarizadas –interbancarias- (CLABES) y de tarjetas</w:t>
      </w:r>
      <w:r w:rsidRPr="00E06C32">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476B47F0"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w:t>
      </w:r>
      <w:r w:rsidRPr="00E06C32">
        <w:rPr>
          <w:rFonts w:ascii="Palatino Linotype" w:eastAsia="Palatino Linotype" w:hAnsi="Palatino Linotype" w:cs="Palatino Linotype"/>
        </w:rPr>
        <w:lastRenderedPageBreak/>
        <w:t>para el acceso o consulta de información patrimonial, o para la realización de operaciones bancarias de diversa naturaleza, por lo que la difusión pública del mismo facilitaría la afectación al patrimonio del titular de la cuenta.</w:t>
      </w:r>
    </w:p>
    <w:p w14:paraId="79B39DD2"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ABA871C"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60DE26E5"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587046B"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Lo argumentado encuentra sustento en los Criterios de interpretación </w:t>
      </w:r>
      <w:proofErr w:type="gramStart"/>
      <w:r w:rsidRPr="00E06C32">
        <w:rPr>
          <w:rFonts w:ascii="Palatino Linotype" w:eastAsia="Palatino Linotype" w:hAnsi="Palatino Linotype" w:cs="Palatino Linotype"/>
        </w:rPr>
        <w:t>con  Clave</w:t>
      </w:r>
      <w:proofErr w:type="gramEnd"/>
      <w:r w:rsidRPr="00E06C32">
        <w:rPr>
          <w:rFonts w:ascii="Palatino Linotype" w:eastAsia="Palatino Linotype" w:hAnsi="Palatino Linotype" w:cs="Palatino Linotype"/>
        </w:rPr>
        <w:t xml:space="preserve"> de control SO/010/2017 y SO/011/2017, emitidos por el Instituto Nacional de Transparencia, Acceso a la Información y Protección de Datos Personales, INAI, que llevan por rubro y texto los siguientes:</w:t>
      </w:r>
    </w:p>
    <w:p w14:paraId="67C165EB" w14:textId="77777777" w:rsidR="00DD7E50" w:rsidRPr="00E06C32" w:rsidRDefault="00806F94">
      <w:pPr>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Cuentas bancarias y/o CLABE interbancaria de personas físicas y morales privadas.</w:t>
      </w:r>
      <w:r w:rsidRPr="00E06C32">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E06C32">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14:paraId="016FDB8A" w14:textId="77777777" w:rsidR="00DD7E50" w:rsidRPr="00E06C32" w:rsidRDefault="00806F94">
      <w:pPr>
        <w:spacing w:before="240" w:after="24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06C32">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B45F794"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9" w:name="_heading=h.z337ya" w:colFirst="0" w:colLast="0"/>
      <w:bookmarkEnd w:id="9"/>
      <w:r w:rsidRPr="00E06C32">
        <w:rPr>
          <w:rFonts w:ascii="Palatino Linotype" w:eastAsia="Palatino Linotype" w:hAnsi="Palatino Linotype" w:cs="Palatino Linotype"/>
        </w:rPr>
        <w:t xml:space="preserve">Por cuanto hace a los </w:t>
      </w:r>
      <w:r w:rsidRPr="00E06C32">
        <w:rPr>
          <w:rFonts w:ascii="Palatino Linotype" w:eastAsia="Palatino Linotype" w:hAnsi="Palatino Linotype" w:cs="Palatino Linotype"/>
          <w:b/>
        </w:rPr>
        <w:t>préstamos o descuentos de carácter personal</w:t>
      </w:r>
      <w:r w:rsidRPr="00E06C3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0637B652"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25A26A8" w14:textId="77777777" w:rsidR="00DD7E50" w:rsidRPr="00E06C32" w:rsidRDefault="00806F94">
      <w:pPr>
        <w:spacing w:before="120" w:after="120"/>
        <w:ind w:left="851"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 xml:space="preserve">“ARTÍCULO 84. </w:t>
      </w:r>
      <w:r w:rsidRPr="00E06C32">
        <w:rPr>
          <w:rFonts w:ascii="Palatino Linotype" w:eastAsia="Palatino Linotype" w:hAnsi="Palatino Linotype" w:cs="Palatino Linotype"/>
          <w:i/>
          <w:sz w:val="22"/>
          <w:szCs w:val="22"/>
        </w:rPr>
        <w:t>Sólo podrán hacerse retenciones, descuentos o deducciones al sueldo de los servidores públicos por concepto de:</w:t>
      </w:r>
    </w:p>
    <w:p w14:paraId="7789BDB7"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Gravámenes fiscales relacionados con el sueldo;</w:t>
      </w:r>
    </w:p>
    <w:p w14:paraId="7A4008A4"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059882D4"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Cuotas sindicales</w:t>
      </w:r>
      <w:r w:rsidRPr="00E06C32">
        <w:rPr>
          <w:rFonts w:ascii="Palatino Linotype" w:eastAsia="Palatino Linotype" w:hAnsi="Palatino Linotype" w:cs="Palatino Linotype"/>
          <w:i/>
          <w:sz w:val="22"/>
          <w:szCs w:val="22"/>
        </w:rPr>
        <w:t>;</w:t>
      </w:r>
    </w:p>
    <w:p w14:paraId="46DFAD3F"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IV.</w:t>
      </w:r>
      <w:r w:rsidRPr="00E06C32">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0E062680"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w:t>
      </w:r>
      <w:r w:rsidRPr="00E06C32">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1CFFC376"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w:t>
      </w:r>
      <w:r w:rsidRPr="00E06C32">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1AFA39DF"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w:t>
      </w:r>
      <w:r w:rsidRPr="00E06C32">
        <w:rPr>
          <w:rFonts w:ascii="Palatino Linotype" w:eastAsia="Palatino Linotype" w:hAnsi="Palatino Linotype" w:cs="Palatino Linotype"/>
          <w:i/>
          <w:sz w:val="22"/>
          <w:szCs w:val="22"/>
        </w:rPr>
        <w:t xml:space="preserve"> Faltas de puntualidad o de asistencia injustificadas;</w:t>
      </w:r>
    </w:p>
    <w:p w14:paraId="0C8AD5BD"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lastRenderedPageBreak/>
        <w:t>VIII. Pensiones alimenticias ordenadas por la autoridad judicial;</w:t>
      </w:r>
      <w:r w:rsidRPr="00E06C32">
        <w:rPr>
          <w:rFonts w:ascii="Palatino Linotype" w:eastAsia="Palatino Linotype" w:hAnsi="Palatino Linotype" w:cs="Palatino Linotype"/>
          <w:i/>
          <w:sz w:val="22"/>
          <w:szCs w:val="22"/>
        </w:rPr>
        <w:t xml:space="preserve"> o</w:t>
      </w:r>
    </w:p>
    <w:p w14:paraId="45367034" w14:textId="77777777" w:rsidR="00DD7E50" w:rsidRPr="00E06C32" w:rsidRDefault="00806F94">
      <w:pPr>
        <w:spacing w:before="120" w:after="120"/>
        <w:ind w:left="1134"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IX. Cualquier otro convenido con instituciones de servicios y aceptado por el servidor público.</w:t>
      </w:r>
    </w:p>
    <w:p w14:paraId="547B4BBD"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9156B21"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65BB7FD1"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De este modo, los </w:t>
      </w:r>
      <w:r w:rsidRPr="00E06C32">
        <w:rPr>
          <w:rFonts w:ascii="Palatino Linotype" w:eastAsia="Palatino Linotype" w:hAnsi="Palatino Linotype" w:cs="Palatino Linotype"/>
          <w:b/>
        </w:rPr>
        <w:t>descuentos o deducciones por cuotas sindicales</w:t>
      </w:r>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b/>
        </w:rPr>
        <w:t>pensiones alimenticias</w:t>
      </w:r>
      <w:r w:rsidRPr="00E06C32">
        <w:rPr>
          <w:rFonts w:ascii="Palatino Linotype" w:eastAsia="Palatino Linotype" w:hAnsi="Palatino Linotype" w:cs="Palatino Linotype"/>
        </w:rPr>
        <w:t xml:space="preserve"> o </w:t>
      </w:r>
      <w:r w:rsidRPr="00E06C32">
        <w:rPr>
          <w:rFonts w:ascii="Palatino Linotype" w:eastAsia="Palatino Linotype" w:hAnsi="Palatino Linotype" w:cs="Palatino Linotype"/>
          <w:b/>
        </w:rPr>
        <w:t>créditos adquiridos con instituciones privadas</w:t>
      </w:r>
      <w:r w:rsidRPr="00E06C32">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E06C32">
        <w:rPr>
          <w:rFonts w:ascii="Palatino Linotype" w:eastAsia="Palatino Linotype" w:hAnsi="Palatino Linotype" w:cs="Palatino Linotype"/>
          <w:b/>
        </w:rPr>
        <w:t>es información que no es de carácter público, sino que constituye información confidencial</w:t>
      </w:r>
      <w:r w:rsidRPr="00E06C32">
        <w:rPr>
          <w:rFonts w:ascii="Palatino Linotype" w:eastAsia="Palatino Linotype" w:hAnsi="Palatino Linotype" w:cs="Palatino Linotype"/>
        </w:rPr>
        <w:t xml:space="preserve"> en virtud de que corresponde con decisiones personales, y por tanto, se debe clasificar.</w:t>
      </w:r>
    </w:p>
    <w:p w14:paraId="652362EB" w14:textId="77777777" w:rsidR="00DD7E50" w:rsidRPr="00E06C32" w:rsidRDefault="00806F94">
      <w:pPr>
        <w:pBdr>
          <w:top w:val="nil"/>
          <w:left w:val="nil"/>
          <w:bottom w:val="nil"/>
          <w:right w:val="nil"/>
          <w:between w:val="nil"/>
        </w:pBdr>
        <w:spacing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Las claves y conceptos de los descuentos personales guardan también la misma naturaleza que los importes, </w:t>
      </w:r>
      <w:proofErr w:type="gramStart"/>
      <w:r w:rsidRPr="00E06C32">
        <w:rPr>
          <w:rFonts w:ascii="Palatino Linotype" w:eastAsia="Palatino Linotype" w:hAnsi="Palatino Linotype" w:cs="Palatino Linotype"/>
        </w:rPr>
        <w:t>ya que</w:t>
      </w:r>
      <w:proofErr w:type="gramEnd"/>
      <w:r w:rsidRPr="00E06C32">
        <w:rPr>
          <w:rFonts w:ascii="Palatino Linotype" w:eastAsia="Palatino Linotype" w:hAnsi="Palatino Linotype" w:cs="Palatino Linotype"/>
        </w:rPr>
        <w:t xml:space="preserve"> al hacerse públicas, es posible inferir que cierto servidor público tiene determinada deducción personal, misma que se relaciona con su esfera más íntima de privacidad, asimismo, en aquellos casos en los que sólo se </w:t>
      </w:r>
      <w:r w:rsidRPr="00E06C32">
        <w:rPr>
          <w:rFonts w:ascii="Palatino Linotype" w:eastAsia="Palatino Linotype" w:hAnsi="Palatino Linotype" w:cs="Palatino Linotype"/>
        </w:rPr>
        <w:lastRenderedPageBreak/>
        <w:t>tenga una deducción, inclusive es posible deducir el importe de la misma, derivado de los cálculos que se hagan respecto al sueldo bruto y sueldo neto.</w:t>
      </w:r>
    </w:p>
    <w:p w14:paraId="1996C417"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47ED5D5A"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10" w:name="_heading=h.3j2qqm3" w:colFirst="0" w:colLast="0"/>
      <w:bookmarkEnd w:id="10"/>
      <w:r w:rsidRPr="00E06C32">
        <w:rPr>
          <w:rFonts w:ascii="Palatino Linotype" w:eastAsia="Palatino Linotype" w:hAnsi="Palatino Linotype" w:cs="Palatino Linotype"/>
        </w:rPr>
        <w:t xml:space="preserve">Con relación al </w:t>
      </w:r>
      <w:r w:rsidRPr="00E06C32">
        <w:rPr>
          <w:rFonts w:ascii="Palatino Linotype" w:eastAsia="Palatino Linotype" w:hAnsi="Palatino Linotype" w:cs="Palatino Linotype"/>
          <w:b/>
        </w:rPr>
        <w:t>número de empleado</w:t>
      </w:r>
      <w:r w:rsidRPr="00E06C3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E06C32">
        <w:rPr>
          <w:rFonts w:ascii="Palatino Linotype" w:eastAsia="Palatino Linotype" w:hAnsi="Palatino Linotype" w:cs="Palatino Linotype"/>
          <w:vertAlign w:val="superscript"/>
        </w:rPr>
        <w:footnoteReference w:id="1"/>
      </w:r>
      <w:r w:rsidRPr="00E06C32">
        <w:rPr>
          <w:rFonts w:ascii="Palatino Linotype" w:eastAsia="Palatino Linotype" w:hAnsi="Palatino Linotype" w:cs="Palatino Linotype"/>
        </w:rPr>
        <w:t>.</w:t>
      </w:r>
    </w:p>
    <w:p w14:paraId="78232BF8"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785AC6F8" w14:textId="77777777" w:rsidR="00DD7E50" w:rsidRPr="00E06C32" w:rsidRDefault="00806F94">
      <w:pPr>
        <w:tabs>
          <w:tab w:val="left" w:pos="7655"/>
        </w:tabs>
        <w:spacing w:before="240" w:after="240"/>
        <w:ind w:left="993" w:right="99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xml:space="preserve">“Número de empleado. </w:t>
      </w:r>
      <w:r w:rsidRPr="00E06C32">
        <w:rPr>
          <w:rFonts w:ascii="Palatino Linotype" w:eastAsia="Palatino Linotype" w:hAnsi="Palatino Linotype" w:cs="Palatino Linotype"/>
          <w:i/>
          <w:sz w:val="22"/>
          <w:szCs w:val="22"/>
        </w:rPr>
        <w:t xml:space="preserve">Cuando el número de empleado o su equivalente, se integra con datos personales de los trabajadores o funciona como una clave de acceso que no requiere adicionalmente de una contraseña para ingresar a </w:t>
      </w:r>
      <w:r w:rsidRPr="00E06C32">
        <w:rPr>
          <w:rFonts w:ascii="Palatino Linotype" w:eastAsia="Palatino Linotype" w:hAnsi="Palatino Linotype" w:cs="Palatino Linotype"/>
          <w:i/>
          <w:sz w:val="22"/>
          <w:szCs w:val="22"/>
        </w:rPr>
        <w:lastRenderedPageBreak/>
        <w:t>sistemas o bases de datos personales, procede su clasificación como información confidencial.”</w:t>
      </w:r>
    </w:p>
    <w:p w14:paraId="4D901E4A"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CE6E303"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De la información fiscal</w:t>
      </w:r>
      <w:r w:rsidRPr="00E06C32">
        <w:rPr>
          <w:rFonts w:ascii="Palatino Linotype" w:eastAsia="Palatino Linotype" w:hAnsi="Palatino Linotype" w:cs="Palatino Linotype"/>
        </w:rPr>
        <w:t xml:space="preserve">: </w:t>
      </w:r>
    </w:p>
    <w:p w14:paraId="309FB3AC"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La </w:t>
      </w:r>
      <w:r w:rsidRPr="00E06C32">
        <w:rPr>
          <w:rFonts w:ascii="Palatino Linotype" w:eastAsia="Palatino Linotype" w:hAnsi="Palatino Linotype" w:cs="Palatino Linotype"/>
          <w:b/>
        </w:rPr>
        <w:t>Cadena Original</w:t>
      </w:r>
      <w:r w:rsidRPr="00E06C32">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79BC8F31"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Los </w:t>
      </w:r>
      <w:r w:rsidRPr="00E06C32">
        <w:rPr>
          <w:rFonts w:ascii="Palatino Linotype" w:eastAsia="Palatino Linotype" w:hAnsi="Palatino Linotype" w:cs="Palatino Linotype"/>
          <w:b/>
        </w:rPr>
        <w:t>códigos bidimensionales</w:t>
      </w:r>
      <w:r w:rsidRPr="00E06C32">
        <w:rPr>
          <w:rFonts w:ascii="Palatino Linotype" w:eastAsia="Palatino Linotype" w:hAnsi="Palatino Linotype" w:cs="Palatino Linotype"/>
        </w:rPr>
        <w:t xml:space="preserve"> o </w:t>
      </w:r>
      <w:r w:rsidRPr="00E06C32">
        <w:rPr>
          <w:rFonts w:ascii="Palatino Linotype" w:eastAsia="Palatino Linotype" w:hAnsi="Palatino Linotype" w:cs="Palatino Linotype"/>
          <w:b/>
        </w:rPr>
        <w:t xml:space="preserve">códigos QR, </w:t>
      </w:r>
      <w:r w:rsidRPr="00E06C32">
        <w:rPr>
          <w:rFonts w:ascii="Palatino Linotype" w:eastAsia="Palatino Linotype" w:hAnsi="Palatino Linotype" w:cs="Palatino Linotype"/>
        </w:rPr>
        <w:t xml:space="preserve">al corresponder a barras en dos dimensiones que, al igual que los códigos de barras o códigos unidimensionales, son </w:t>
      </w:r>
      <w:r w:rsidRPr="00E06C32">
        <w:rPr>
          <w:rFonts w:ascii="Palatino Linotype" w:eastAsia="Palatino Linotype" w:hAnsi="Palatino Linotype" w:cs="Palatino Linotype"/>
        </w:rPr>
        <w:lastRenderedPageBreak/>
        <w:t xml:space="preserve">utilizados para almacenar diversos tipos de datos de manera codificada, los cuales a través de lectores que pueden ser obtenidos por cualquier persona, pueden contener datos personales, no susceptibles de conocimiento público, debiendo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analizar dicha circunstancia con la finalidad de determinar si se actualiza algún supuesto de confidencialidad.</w:t>
      </w:r>
    </w:p>
    <w:p w14:paraId="51CE5677"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tal sentido, si derivado del análisis efectuado por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73D8033F" w14:textId="77777777" w:rsidR="00DD7E50" w:rsidRPr="00E06C32" w:rsidRDefault="00806F94">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domicilio particular</w:t>
      </w:r>
      <w:r w:rsidRPr="00E06C32">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10176EE" w14:textId="77777777" w:rsidR="00DD7E50" w:rsidRPr="00E06C32" w:rsidRDefault="00806F94">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rPr>
      </w:pPr>
      <w:r w:rsidRPr="00E06C32">
        <w:rPr>
          <w:rFonts w:ascii="Palatino Linotype" w:eastAsia="Palatino Linotype" w:hAnsi="Palatino Linotype" w:cs="Palatino Linotype"/>
        </w:rPr>
        <w:t>De la misma manera, lo establece el artículo 29 del Código Civil Federal, al precisar que el domicilio de personas físicas</w:t>
      </w:r>
      <w:r w:rsidRPr="00E06C32">
        <w:rPr>
          <w:rFonts w:ascii="Palatino Linotype" w:eastAsia="Palatino Linotype" w:hAnsi="Palatino Linotype" w:cs="Palatino Linotype"/>
          <w:b/>
        </w:rPr>
        <w:t xml:space="preserve">, </w:t>
      </w:r>
      <w:r w:rsidRPr="00E06C32">
        <w:rPr>
          <w:rFonts w:ascii="Palatino Linotype" w:eastAsia="Palatino Linotype" w:hAnsi="Palatino Linotype" w:cs="Palatino Linotype"/>
        </w:rPr>
        <w:t xml:space="preserve">es el lugar donde residen habitualmente, el lugar del centro principal de sus negocios, donde residan o el lugar donde se </w:t>
      </w:r>
      <w:r w:rsidRPr="00E06C32">
        <w:rPr>
          <w:rFonts w:ascii="Palatino Linotype" w:eastAsia="Palatino Linotype" w:hAnsi="Palatino Linotype" w:cs="Palatino Linotype"/>
        </w:rPr>
        <w:lastRenderedPageBreak/>
        <w:t>encuentren.</w:t>
      </w:r>
    </w:p>
    <w:p w14:paraId="703C69CA" w14:textId="77777777" w:rsidR="00DD7E50" w:rsidRPr="00E06C32" w:rsidRDefault="00806F94">
      <w:pPr>
        <w:spacing w:before="240" w:after="240" w:line="360" w:lineRule="auto"/>
        <w:ind w:right="-93"/>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8B368B6" w14:textId="77777777" w:rsidR="00DD7E50" w:rsidRPr="00E06C32" w:rsidRDefault="00806F94">
      <w:pPr>
        <w:spacing w:before="240" w:after="240" w:line="360" w:lineRule="auto"/>
        <w:ind w:right="-93"/>
        <w:jc w:val="both"/>
        <w:rPr>
          <w:rFonts w:ascii="Palatino Linotype" w:eastAsia="Palatino Linotype" w:hAnsi="Palatino Linotype" w:cs="Palatino Linotype"/>
        </w:rPr>
      </w:pPr>
      <w:r w:rsidRPr="00E06C32">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75C4F18B" w14:textId="77777777" w:rsidR="00DD7E50" w:rsidRPr="00E06C32" w:rsidRDefault="00806F94">
      <w:pPr>
        <w:spacing w:before="240" w:after="240" w:line="360" w:lineRule="auto"/>
        <w:ind w:right="-93"/>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teléfono particular</w:t>
      </w:r>
      <w:r w:rsidRPr="00E06C32">
        <w:rPr>
          <w:rFonts w:ascii="Palatino Linotype" w:eastAsia="Palatino Linotype" w:hAnsi="Palatino Linotype" w:cs="Palatino Linotype"/>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1F736320" w14:textId="77777777" w:rsidR="00DD7E50" w:rsidRPr="00E06C32" w:rsidRDefault="00806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El </w:t>
      </w:r>
      <w:r w:rsidRPr="00E06C32">
        <w:rPr>
          <w:rFonts w:ascii="Palatino Linotype" w:eastAsia="Palatino Linotype" w:hAnsi="Palatino Linotype" w:cs="Palatino Linotype"/>
          <w:b/>
        </w:rPr>
        <w:t xml:space="preserve">correo electrónico particular, </w:t>
      </w:r>
      <w:r w:rsidRPr="00E06C32">
        <w:rPr>
          <w:rFonts w:ascii="Palatino Linotype" w:eastAsia="Palatino Linotype" w:hAnsi="Palatino Linotype" w:cs="Palatino Linotype"/>
        </w:rPr>
        <w:t xml:space="preserve">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w:t>
      </w:r>
      <w:r w:rsidRPr="00E06C32">
        <w:rPr>
          <w:rFonts w:ascii="Palatino Linotype" w:eastAsia="Palatino Linotype" w:hAnsi="Palatino Linotype" w:cs="Palatino Linotype"/>
        </w:rPr>
        <w:lastRenderedPageBreak/>
        <w:t>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28AE7F65" w14:textId="77777777" w:rsidR="00DD7E50" w:rsidRPr="00E06C32" w:rsidRDefault="00806F94">
      <w:pPr>
        <w:tabs>
          <w:tab w:val="left" w:pos="4962"/>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Por cuanto hace a la </w:t>
      </w:r>
      <w:r w:rsidRPr="00E06C32">
        <w:rPr>
          <w:rFonts w:ascii="Palatino Linotype" w:eastAsia="Palatino Linotype" w:hAnsi="Palatino Linotype" w:cs="Palatino Linotype"/>
          <w:b/>
        </w:rPr>
        <w:t xml:space="preserve">fotografía </w:t>
      </w:r>
      <w:r w:rsidRPr="00E06C32">
        <w:rPr>
          <w:rFonts w:ascii="Palatino Linotype" w:eastAsia="Palatino Linotype" w:hAnsi="Palatino Linotype" w:cs="Palatino Linotype"/>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495A0515" w14:textId="77777777" w:rsidR="00DD7E50" w:rsidRPr="00E06C32" w:rsidRDefault="00806F94">
      <w:pPr>
        <w:tabs>
          <w:tab w:val="left" w:pos="4962"/>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1D81C3BC" w14:textId="77777777" w:rsidR="00DD7E50" w:rsidRPr="00E06C32" w:rsidRDefault="00806F94">
      <w:pPr>
        <w:tabs>
          <w:tab w:val="left" w:pos="4962"/>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w:t>
      </w:r>
      <w:r w:rsidRPr="00E06C32">
        <w:rPr>
          <w:rFonts w:ascii="Palatino Linotype" w:eastAsia="Palatino Linotype" w:hAnsi="Palatino Linotype" w:cs="Palatino Linotype"/>
        </w:rPr>
        <w:lastRenderedPageBreak/>
        <w:t>que se ostenta en carácter de servidor público, se encuentra en ese encargo, si realiza las funciones o si cumple con los requisitos legales.</w:t>
      </w:r>
    </w:p>
    <w:p w14:paraId="163EB341" w14:textId="77777777" w:rsidR="00DD7E50" w:rsidRPr="00E06C32" w:rsidRDefault="00806F94">
      <w:pPr>
        <w:tabs>
          <w:tab w:val="left" w:pos="4962"/>
        </w:tabs>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7E6F81AD" w14:textId="77777777" w:rsidR="00DD7E50" w:rsidRPr="00E06C32" w:rsidRDefault="00806F94">
      <w:pPr>
        <w:spacing w:before="240" w:after="240" w:line="360" w:lineRule="auto"/>
        <w:ind w:right="50"/>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E06C32">
        <w:rPr>
          <w:rFonts w:ascii="Palatino Linotype" w:eastAsia="Palatino Linotype" w:hAnsi="Palatino Linotype" w:cs="Palatino Linotype"/>
        </w:rPr>
        <w:t>Responsable</w:t>
      </w:r>
      <w:proofErr w:type="gramEnd"/>
      <w:r w:rsidRPr="00E06C3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6CECB7A"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49.</w:t>
      </w:r>
      <w:r w:rsidRPr="00E06C32">
        <w:rPr>
          <w:rFonts w:ascii="Palatino Linotype" w:eastAsia="Palatino Linotype" w:hAnsi="Palatino Linotype" w:cs="Palatino Linotype"/>
          <w:i/>
          <w:sz w:val="22"/>
          <w:szCs w:val="22"/>
        </w:rPr>
        <w:t xml:space="preserve"> </w:t>
      </w:r>
      <w:r w:rsidRPr="00E06C32">
        <w:rPr>
          <w:rFonts w:ascii="Palatino Linotype" w:eastAsia="Palatino Linotype" w:hAnsi="Palatino Linotype" w:cs="Palatino Linotype"/>
          <w:b/>
          <w:i/>
          <w:sz w:val="22"/>
          <w:szCs w:val="22"/>
        </w:rPr>
        <w:t>Los Comités de Transparencia</w:t>
      </w:r>
      <w:r w:rsidRPr="00E06C32">
        <w:rPr>
          <w:rFonts w:ascii="Palatino Linotype" w:eastAsia="Palatino Linotype" w:hAnsi="Palatino Linotype" w:cs="Palatino Linotype"/>
          <w:i/>
          <w:sz w:val="22"/>
          <w:szCs w:val="22"/>
        </w:rPr>
        <w:t xml:space="preserve"> tendrán las siguientes atribuciones:</w:t>
      </w:r>
    </w:p>
    <w:p w14:paraId="1660C417" w14:textId="77777777" w:rsidR="00DD7E50" w:rsidRPr="00E06C32" w:rsidRDefault="00806F94">
      <w:pPr>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VIII. Aprobar, modificar o revocar la clasificación de la información</w:t>
      </w:r>
      <w:r w:rsidRPr="00E06C32">
        <w:rPr>
          <w:rFonts w:ascii="Palatino Linotype" w:eastAsia="Palatino Linotype" w:hAnsi="Palatino Linotype" w:cs="Palatino Linotype"/>
          <w:i/>
          <w:sz w:val="22"/>
          <w:szCs w:val="22"/>
        </w:rPr>
        <w:t>…”</w:t>
      </w:r>
    </w:p>
    <w:p w14:paraId="194F65BF"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53.</w:t>
      </w:r>
      <w:r w:rsidRPr="00E06C32">
        <w:rPr>
          <w:rFonts w:ascii="Palatino Linotype" w:eastAsia="Palatino Linotype" w:hAnsi="Palatino Linotype" w:cs="Palatino Linotype"/>
          <w:i/>
          <w:sz w:val="22"/>
          <w:szCs w:val="22"/>
        </w:rPr>
        <w:t xml:space="preserve"> Las </w:t>
      </w:r>
      <w:r w:rsidRPr="00E06C32">
        <w:rPr>
          <w:rFonts w:ascii="Palatino Linotype" w:eastAsia="Palatino Linotype" w:hAnsi="Palatino Linotype" w:cs="Palatino Linotype"/>
          <w:b/>
          <w:i/>
          <w:sz w:val="22"/>
          <w:szCs w:val="22"/>
        </w:rPr>
        <w:t>Unidades de Transparencia</w:t>
      </w:r>
      <w:r w:rsidRPr="00E06C32">
        <w:rPr>
          <w:rFonts w:ascii="Palatino Linotype" w:eastAsia="Palatino Linotype" w:hAnsi="Palatino Linotype" w:cs="Palatino Linotype"/>
          <w:i/>
          <w:sz w:val="22"/>
          <w:szCs w:val="22"/>
        </w:rPr>
        <w:t xml:space="preserve"> tendrán las siguientes </w:t>
      </w:r>
      <w:r w:rsidRPr="00E06C32">
        <w:rPr>
          <w:rFonts w:ascii="Palatino Linotype" w:eastAsia="Palatino Linotype" w:hAnsi="Palatino Linotype" w:cs="Palatino Linotype"/>
          <w:b/>
          <w:i/>
          <w:sz w:val="22"/>
          <w:szCs w:val="22"/>
        </w:rPr>
        <w:t>funciones</w:t>
      </w:r>
      <w:r w:rsidRPr="00E06C32">
        <w:rPr>
          <w:rFonts w:ascii="Palatino Linotype" w:eastAsia="Palatino Linotype" w:hAnsi="Palatino Linotype" w:cs="Palatino Linotype"/>
          <w:i/>
          <w:sz w:val="22"/>
          <w:szCs w:val="22"/>
        </w:rPr>
        <w:t>:</w:t>
      </w:r>
    </w:p>
    <w:p w14:paraId="15FF1D7E" w14:textId="77777777" w:rsidR="00DD7E50" w:rsidRPr="00E06C32" w:rsidRDefault="00806F94">
      <w:pPr>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X. Presentar ante el Comité, el proyecto de clasificación de información</w:t>
      </w:r>
      <w:r w:rsidRPr="00E06C32">
        <w:rPr>
          <w:rFonts w:ascii="Palatino Linotype" w:eastAsia="Palatino Linotype" w:hAnsi="Palatino Linotype" w:cs="Palatino Linotype"/>
          <w:i/>
          <w:sz w:val="22"/>
          <w:szCs w:val="22"/>
        </w:rPr>
        <w:t xml:space="preserve">…” </w:t>
      </w:r>
    </w:p>
    <w:p w14:paraId="771B1AB9"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“Artículo 59.</w:t>
      </w:r>
      <w:r w:rsidRPr="00E06C32">
        <w:rPr>
          <w:rFonts w:ascii="Palatino Linotype" w:eastAsia="Palatino Linotype" w:hAnsi="Palatino Linotype" w:cs="Palatino Linotype"/>
          <w:i/>
          <w:sz w:val="22"/>
          <w:szCs w:val="22"/>
        </w:rPr>
        <w:t xml:space="preserve"> Los </w:t>
      </w:r>
      <w:r w:rsidRPr="00E06C32">
        <w:rPr>
          <w:rFonts w:ascii="Palatino Linotype" w:eastAsia="Palatino Linotype" w:hAnsi="Palatino Linotype" w:cs="Palatino Linotype"/>
          <w:b/>
          <w:i/>
          <w:sz w:val="22"/>
          <w:szCs w:val="22"/>
        </w:rPr>
        <w:t>servidores públicos habilitados</w:t>
      </w:r>
      <w:r w:rsidRPr="00E06C32">
        <w:rPr>
          <w:rFonts w:ascii="Palatino Linotype" w:eastAsia="Palatino Linotype" w:hAnsi="Palatino Linotype" w:cs="Palatino Linotype"/>
          <w:i/>
          <w:sz w:val="22"/>
          <w:szCs w:val="22"/>
        </w:rPr>
        <w:t xml:space="preserve"> tendrán las </w:t>
      </w:r>
      <w:r w:rsidRPr="00E06C32">
        <w:rPr>
          <w:rFonts w:ascii="Palatino Linotype" w:eastAsia="Palatino Linotype" w:hAnsi="Palatino Linotype" w:cs="Palatino Linotype"/>
          <w:b/>
          <w:i/>
          <w:sz w:val="22"/>
          <w:szCs w:val="22"/>
        </w:rPr>
        <w:t>funciones</w:t>
      </w:r>
      <w:r w:rsidRPr="00E06C32">
        <w:rPr>
          <w:rFonts w:ascii="Palatino Linotype" w:eastAsia="Palatino Linotype" w:hAnsi="Palatino Linotype" w:cs="Palatino Linotype"/>
          <w:i/>
          <w:sz w:val="22"/>
          <w:szCs w:val="22"/>
        </w:rPr>
        <w:t xml:space="preserve"> siguientes:</w:t>
      </w:r>
    </w:p>
    <w:p w14:paraId="65DD3500" w14:textId="77777777" w:rsidR="00DD7E50" w:rsidRPr="00E06C32" w:rsidRDefault="00806F94">
      <w:pPr>
        <w:spacing w:before="120" w:after="120"/>
        <w:ind w:left="1134" w:right="900"/>
        <w:jc w:val="both"/>
        <w:rPr>
          <w:rFonts w:ascii="Palatino Linotype" w:eastAsia="Palatino Linotype" w:hAnsi="Palatino Linotype" w:cs="Palatino Linotype"/>
          <w:i/>
        </w:rPr>
      </w:pPr>
      <w:r w:rsidRPr="00E06C32">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E06C32">
        <w:rPr>
          <w:rFonts w:ascii="Palatino Linotype" w:eastAsia="Palatino Linotype" w:hAnsi="Palatino Linotype" w:cs="Palatino Linotype"/>
          <w:i/>
          <w:sz w:val="22"/>
          <w:szCs w:val="22"/>
        </w:rPr>
        <w:t xml:space="preserve">, la cual </w:t>
      </w:r>
      <w:r w:rsidRPr="00E06C32">
        <w:rPr>
          <w:rFonts w:ascii="Palatino Linotype" w:eastAsia="Palatino Linotype" w:hAnsi="Palatino Linotype" w:cs="Palatino Linotype"/>
          <w:i/>
        </w:rPr>
        <w:t>tendrá los fundamentos y argumentos en que se basa dicha propuesta…”</w:t>
      </w:r>
    </w:p>
    <w:p w14:paraId="72471C56"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D16F931"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562A0A5"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Artículo 149.</w:t>
      </w:r>
      <w:r w:rsidRPr="00E06C32">
        <w:rPr>
          <w:rFonts w:ascii="Palatino Linotype" w:eastAsia="Palatino Linotype" w:hAnsi="Palatino Linotype" w:cs="Palatino Linotype"/>
          <w:i/>
          <w:sz w:val="22"/>
          <w:szCs w:val="22"/>
        </w:rPr>
        <w:t xml:space="preserve"> El </w:t>
      </w:r>
      <w:r w:rsidRPr="00E06C32">
        <w:rPr>
          <w:rFonts w:ascii="Palatino Linotype" w:eastAsia="Palatino Linotype" w:hAnsi="Palatino Linotype" w:cs="Palatino Linotype"/>
          <w:b/>
          <w:i/>
          <w:sz w:val="22"/>
          <w:szCs w:val="22"/>
        </w:rPr>
        <w:t>acuerdo que clasifique la información como confidencial</w:t>
      </w:r>
      <w:r w:rsidRPr="00E06C3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3B9BD99" w14:textId="77777777" w:rsidR="00DD7E50" w:rsidRPr="00E06C32" w:rsidRDefault="00806F94">
      <w:pP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Es decir,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E06C32">
        <w:rPr>
          <w:rFonts w:ascii="Palatino Linotype" w:eastAsia="Palatino Linotype" w:hAnsi="Palatino Linotype" w:cs="Palatino Linotype"/>
        </w:rPr>
        <w:lastRenderedPageBreak/>
        <w:t>versión pública de la documentación entregada se estaría violentando el derecho de acceso a la información de la persona solicitante.</w:t>
      </w:r>
    </w:p>
    <w:p w14:paraId="57AB6063" w14:textId="77777777" w:rsidR="00DD7E50" w:rsidRPr="00E06C32" w:rsidRDefault="00806F9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Asimismo, respecto a las formalidades que deberá llevar el acuerdo de clasificación que deberá emitir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49D8C94"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xml:space="preserve"> “Quincuagésimo. </w:t>
      </w:r>
      <w:r w:rsidRPr="00E06C3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B270913"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xml:space="preserve">Quincuagésimo primero. </w:t>
      </w:r>
      <w:r w:rsidRPr="00E06C32">
        <w:rPr>
          <w:rFonts w:ascii="Palatino Linotype" w:eastAsia="Palatino Linotype" w:hAnsi="Palatino Linotype" w:cs="Palatino Linotype"/>
          <w:i/>
          <w:sz w:val="22"/>
          <w:szCs w:val="22"/>
        </w:rPr>
        <w:t xml:space="preserve">Toda acta del Comité de Transparencia deberá contener: </w:t>
      </w:r>
    </w:p>
    <w:p w14:paraId="7393C251"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El número de sesión y fecha; </w:t>
      </w:r>
    </w:p>
    <w:p w14:paraId="069281E9"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El nombre del área que solicitó la clasificación de información; </w:t>
      </w:r>
    </w:p>
    <w:p w14:paraId="3D8E6B16"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La fundamentación legal y motivación correspondiente; </w:t>
      </w:r>
    </w:p>
    <w:p w14:paraId="1BAF019D"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IV</w:t>
      </w:r>
      <w:r w:rsidRPr="00E06C32">
        <w:rPr>
          <w:rFonts w:ascii="Palatino Linotype" w:eastAsia="Palatino Linotype" w:hAnsi="Palatino Linotype" w:cs="Palatino Linotype"/>
          <w:i/>
          <w:sz w:val="22"/>
          <w:szCs w:val="22"/>
        </w:rPr>
        <w:t xml:space="preserve">. La resolución o resoluciones aprobadas; y </w:t>
      </w:r>
    </w:p>
    <w:p w14:paraId="23DD969D"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V</w:t>
      </w:r>
      <w:r w:rsidRPr="00E06C32">
        <w:rPr>
          <w:rFonts w:ascii="Palatino Linotype" w:eastAsia="Palatino Linotype" w:hAnsi="Palatino Linotype" w:cs="Palatino Linotype"/>
          <w:i/>
          <w:sz w:val="22"/>
          <w:szCs w:val="22"/>
        </w:rPr>
        <w:t xml:space="preserve">. La rúbrica o firma digital de cada integrante del Comité de Transparencia. </w:t>
      </w:r>
    </w:p>
    <w:p w14:paraId="06E7CFD1"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61C430C"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544C6BB"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Descripción de las partes o secciones reservadas, en caso de clasificación parcial</w:t>
      </w:r>
      <w:r w:rsidRPr="00E06C32">
        <w:rPr>
          <w:rFonts w:ascii="Palatino Linotype" w:eastAsia="Palatino Linotype" w:hAnsi="Palatino Linotype" w:cs="Palatino Linotype"/>
          <w:b/>
          <w:i/>
          <w:sz w:val="22"/>
          <w:szCs w:val="22"/>
        </w:rPr>
        <w:t xml:space="preserve">; </w:t>
      </w:r>
    </w:p>
    <w:p w14:paraId="3A889D38"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El periodo por el que mantendrá su clasificación y fecha de expiración; y </w:t>
      </w:r>
    </w:p>
    <w:p w14:paraId="26044A68" w14:textId="77777777" w:rsidR="00DD7E50" w:rsidRPr="00E06C32" w:rsidRDefault="00806F9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IV.</w:t>
      </w:r>
      <w:r w:rsidRPr="00E06C3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DA74230"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64A2ED13" w14:textId="77777777" w:rsidR="00DD7E50" w:rsidRPr="00E06C32" w:rsidRDefault="00806F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96DD03C"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4DA81EF"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r w:rsidRPr="00E06C32">
        <w:rPr>
          <w:rFonts w:ascii="Palatino Linotype" w:eastAsia="Palatino Linotype" w:hAnsi="Palatino Linotype" w:cs="Palatino Linotype"/>
          <w:b/>
          <w:i/>
          <w:sz w:val="22"/>
          <w:szCs w:val="22"/>
        </w:rPr>
        <w:t>Quincuagésimo segundo</w:t>
      </w:r>
      <w:r w:rsidRPr="00E06C3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B79C7F"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7FB7279" w14:textId="77777777" w:rsidR="00DD7E50" w:rsidRPr="00E06C32" w:rsidRDefault="00806F94">
      <w:pPr>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46390F5" w14:textId="77777777" w:rsidR="00DD7E50" w:rsidRPr="00E06C32" w:rsidRDefault="00806F94">
      <w:pPr>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ABCCA5C" w14:textId="77777777" w:rsidR="00DD7E50" w:rsidRPr="00E06C32" w:rsidRDefault="00806F94">
      <w:pPr>
        <w:spacing w:before="120" w:after="120"/>
        <w:ind w:left="1134"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Señalar las personas o instancias autorizadas a acceder a la información clasificada.</w:t>
      </w:r>
    </w:p>
    <w:p w14:paraId="37AC36F0" w14:textId="77777777" w:rsidR="00DD7E50" w:rsidRPr="00E06C32" w:rsidRDefault="00806F94">
      <w:pP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4C4776B" w14:textId="77777777" w:rsidR="00DD7E50" w:rsidRPr="00E06C32" w:rsidRDefault="00806F9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w:t>
      </w:r>
    </w:p>
    <w:p w14:paraId="602622BB" w14:textId="77777777" w:rsidR="00DD7E50" w:rsidRPr="00E06C32" w:rsidRDefault="00806F9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 xml:space="preserve">Quincuagésimo cuarto. </w:t>
      </w:r>
      <w:r w:rsidRPr="00E06C32">
        <w:rPr>
          <w:rFonts w:ascii="Palatino Linotype" w:eastAsia="Palatino Linotype" w:hAnsi="Palatino Linotype" w:cs="Palatino Linotype"/>
          <w:i/>
          <w:sz w:val="22"/>
          <w:szCs w:val="22"/>
        </w:rPr>
        <w:t xml:space="preserve">Cuando el Comité de Transparencia confirme la clasificación de documentos reservados y/o confidenciales, sea total o </w:t>
      </w:r>
      <w:r w:rsidRPr="00E06C32">
        <w:rPr>
          <w:rFonts w:ascii="Palatino Linotype" w:eastAsia="Palatino Linotype" w:hAnsi="Palatino Linotype" w:cs="Palatino Linotype"/>
          <w:i/>
          <w:sz w:val="22"/>
          <w:szCs w:val="22"/>
        </w:rPr>
        <w:lastRenderedPageBreak/>
        <w:t>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06C32">
        <w:rPr>
          <w:rFonts w:ascii="Palatino Linotype" w:eastAsia="Palatino Linotype" w:hAnsi="Palatino Linotype" w:cs="Palatino Linotype"/>
          <w:b/>
          <w:i/>
          <w:sz w:val="22"/>
          <w:szCs w:val="22"/>
        </w:rPr>
        <w:t xml:space="preserve"> </w:t>
      </w:r>
    </w:p>
    <w:p w14:paraId="320F3820"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 xml:space="preserve">Quincuagésimo quinto. </w:t>
      </w:r>
      <w:r w:rsidRPr="00E06C3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06C32">
        <w:rPr>
          <w:rFonts w:ascii="Palatino Linotype" w:eastAsia="Palatino Linotype" w:hAnsi="Palatino Linotype" w:cs="Palatino Linotype"/>
          <w:i/>
          <w:sz w:val="22"/>
          <w:szCs w:val="22"/>
        </w:rPr>
        <w:t>testado</w:t>
      </w:r>
      <w:proofErr w:type="spellEnd"/>
      <w:r w:rsidRPr="00E06C3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E8F573" w14:textId="77777777" w:rsidR="00DD7E50" w:rsidRPr="00E06C32" w:rsidRDefault="00806F94">
      <w:pPr>
        <w:spacing w:before="120" w:after="120"/>
        <w:ind w:left="851" w:right="902"/>
        <w:jc w:val="both"/>
        <w:rPr>
          <w:rFonts w:ascii="Palatino Linotype" w:eastAsia="Palatino Linotype" w:hAnsi="Palatino Linotype" w:cs="Palatino Linotype"/>
          <w:b/>
          <w:i/>
          <w:sz w:val="22"/>
          <w:szCs w:val="22"/>
        </w:rPr>
      </w:pPr>
      <w:r w:rsidRPr="00E06C32">
        <w:rPr>
          <w:rFonts w:ascii="Palatino Linotype" w:eastAsia="Palatino Linotype" w:hAnsi="Palatino Linotype" w:cs="Palatino Linotype"/>
          <w:b/>
          <w:i/>
          <w:sz w:val="22"/>
          <w:szCs w:val="22"/>
        </w:rPr>
        <w:t>...</w:t>
      </w:r>
    </w:p>
    <w:p w14:paraId="601CFDBD"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Quincuagésimo séptimo</w:t>
      </w:r>
      <w:r w:rsidRPr="00E06C3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33F2801"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w:t>
      </w:r>
      <w:r w:rsidRPr="00E06C3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8EEA13B"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w:t>
      </w:r>
      <w:r w:rsidRPr="00E06C3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5AC195E" w14:textId="77777777" w:rsidR="00DD7E50" w:rsidRPr="00E06C32" w:rsidRDefault="00806F94">
      <w:pPr>
        <w:spacing w:before="120" w:after="120"/>
        <w:ind w:left="1134"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III</w:t>
      </w:r>
      <w:r w:rsidRPr="00E06C3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656092F"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DAB2857" w14:textId="77777777" w:rsidR="00DD7E50" w:rsidRPr="00E06C32" w:rsidRDefault="00806F94">
      <w:pPr>
        <w:spacing w:before="120" w:after="120"/>
        <w:ind w:left="851" w:right="902"/>
        <w:jc w:val="both"/>
        <w:rPr>
          <w:rFonts w:ascii="Palatino Linotype" w:eastAsia="Palatino Linotype" w:hAnsi="Palatino Linotype" w:cs="Palatino Linotype"/>
          <w:i/>
          <w:sz w:val="22"/>
          <w:szCs w:val="22"/>
        </w:rPr>
      </w:pPr>
      <w:r w:rsidRPr="00E06C32">
        <w:rPr>
          <w:rFonts w:ascii="Palatino Linotype" w:eastAsia="Palatino Linotype" w:hAnsi="Palatino Linotype" w:cs="Palatino Linotype"/>
          <w:b/>
          <w:i/>
          <w:sz w:val="22"/>
          <w:szCs w:val="22"/>
        </w:rPr>
        <w:t>Quincuagésimo octavo</w:t>
      </w:r>
      <w:r w:rsidRPr="00E06C3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A376A65"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Así, con fundamento en lo prescrito en los artículos 5 párrafos trigésimo tercero, trigésimo cuarto y trigésimo quinto de la Constitución Política del Estado Libre y Soberano de México; 2, fracción II; 29, 36 fracciones I y II; 176, 178, 181, 185 y 186 </w:t>
      </w:r>
      <w:r w:rsidRPr="00E06C32">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7AF987E5" w14:textId="77777777" w:rsidR="00DD7E50" w:rsidRPr="00E06C32" w:rsidRDefault="00806F9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06C32">
        <w:rPr>
          <w:rFonts w:ascii="Palatino Linotype" w:eastAsia="Palatino Linotype" w:hAnsi="Palatino Linotype" w:cs="Palatino Linotype"/>
          <w:b/>
        </w:rPr>
        <w:t>III. R E S U E L V E</w:t>
      </w:r>
    </w:p>
    <w:p w14:paraId="51DF48E9"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11" w:name="_heading=h.1t3h5sf" w:colFirst="0" w:colLast="0"/>
      <w:bookmarkEnd w:id="11"/>
      <w:r w:rsidRPr="00E06C32">
        <w:rPr>
          <w:rFonts w:ascii="Palatino Linotype" w:eastAsia="Palatino Linotype" w:hAnsi="Palatino Linotype" w:cs="Palatino Linotype"/>
          <w:b/>
        </w:rPr>
        <w:t xml:space="preserve">Primero. </w:t>
      </w:r>
      <w:r w:rsidRPr="00E06C32">
        <w:rPr>
          <w:rFonts w:ascii="Palatino Linotype" w:eastAsia="Palatino Linotype" w:hAnsi="Palatino Linotype" w:cs="Palatino Linotype"/>
        </w:rPr>
        <w:t>Resultan</w:t>
      </w:r>
      <w:r w:rsidRPr="00E06C32">
        <w:rPr>
          <w:rFonts w:ascii="Palatino Linotype" w:eastAsia="Palatino Linotype" w:hAnsi="Palatino Linotype" w:cs="Palatino Linotype"/>
          <w:b/>
        </w:rPr>
        <w:t xml:space="preserve"> parcialmente fundadas</w:t>
      </w:r>
      <w:r w:rsidRPr="00E06C32">
        <w:rPr>
          <w:rFonts w:ascii="Palatino Linotype" w:eastAsia="Palatino Linotype" w:hAnsi="Palatino Linotype" w:cs="Palatino Linotype"/>
        </w:rPr>
        <w:t xml:space="preserve"> las razones o motivos de inconformidad hechos valer por la parte</w:t>
      </w:r>
      <w:r w:rsidRPr="00E06C32">
        <w:rPr>
          <w:rFonts w:ascii="Palatino Linotype" w:eastAsia="Palatino Linotype" w:hAnsi="Palatino Linotype" w:cs="Palatino Linotype"/>
          <w:b/>
        </w:rPr>
        <w:t xml:space="preserve"> Recurrente</w:t>
      </w:r>
      <w:r w:rsidRPr="00E06C32">
        <w:rPr>
          <w:rFonts w:ascii="Palatino Linotype" w:eastAsia="Palatino Linotype" w:hAnsi="Palatino Linotype" w:cs="Palatino Linotype"/>
        </w:rPr>
        <w:t xml:space="preserve"> en el recurso de revisión </w:t>
      </w:r>
      <w:r w:rsidRPr="00E06C32">
        <w:rPr>
          <w:rFonts w:ascii="Palatino Linotype" w:eastAsia="Palatino Linotype" w:hAnsi="Palatino Linotype" w:cs="Palatino Linotype"/>
          <w:b/>
        </w:rPr>
        <w:t>00874/INFOEM/IP/RR/2025</w:t>
      </w:r>
      <w:r w:rsidRPr="00E06C32">
        <w:rPr>
          <w:rFonts w:ascii="Palatino Linotype" w:eastAsia="Palatino Linotype" w:hAnsi="Palatino Linotype" w:cs="Palatino Linotype"/>
        </w:rPr>
        <w:t xml:space="preserve">; por lo que, en términos del </w:t>
      </w:r>
      <w:r w:rsidRPr="00E06C32">
        <w:rPr>
          <w:rFonts w:ascii="Palatino Linotype" w:eastAsia="Palatino Linotype" w:hAnsi="Palatino Linotype" w:cs="Palatino Linotype"/>
          <w:b/>
        </w:rPr>
        <w:t>Considerando</w:t>
      </w:r>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b/>
        </w:rPr>
        <w:t xml:space="preserve">Cuarto </w:t>
      </w:r>
      <w:r w:rsidRPr="00E06C32">
        <w:rPr>
          <w:rFonts w:ascii="Palatino Linotype" w:eastAsia="Palatino Linotype" w:hAnsi="Palatino Linotype" w:cs="Palatino Linotype"/>
        </w:rPr>
        <w:t xml:space="preserve">de esta resolución, se </w:t>
      </w:r>
      <w:r w:rsidRPr="00E06C32">
        <w:rPr>
          <w:rFonts w:ascii="Palatino Linotype" w:eastAsia="Palatino Linotype" w:hAnsi="Palatino Linotype" w:cs="Palatino Linotype"/>
          <w:b/>
        </w:rPr>
        <w:t>Modifica</w:t>
      </w:r>
      <w:r w:rsidRPr="00E06C32">
        <w:rPr>
          <w:rFonts w:ascii="Palatino Linotype" w:eastAsia="Palatino Linotype" w:hAnsi="Palatino Linotype" w:cs="Palatino Linotype"/>
        </w:rPr>
        <w:t xml:space="preserve"> la respuesta emitida por el </w:t>
      </w:r>
      <w:r w:rsidRPr="00E06C32">
        <w:rPr>
          <w:rFonts w:ascii="Palatino Linotype" w:eastAsia="Palatino Linotype" w:hAnsi="Palatino Linotype" w:cs="Palatino Linotype"/>
          <w:b/>
        </w:rPr>
        <w:t xml:space="preserve">Sujeto Obligado. </w:t>
      </w:r>
    </w:p>
    <w:p w14:paraId="7DFD020F" w14:textId="77777777" w:rsidR="00DD7E50" w:rsidRPr="00E06C32" w:rsidRDefault="00806F94">
      <w:pPr>
        <w:spacing w:before="240" w:after="240" w:line="360" w:lineRule="auto"/>
        <w:ind w:right="49"/>
        <w:jc w:val="both"/>
        <w:rPr>
          <w:rFonts w:ascii="Palatino Linotype" w:eastAsia="Palatino Linotype" w:hAnsi="Palatino Linotype" w:cs="Palatino Linotype"/>
        </w:rPr>
      </w:pPr>
      <w:r w:rsidRPr="00E06C32">
        <w:rPr>
          <w:rFonts w:ascii="Palatino Linotype" w:eastAsia="Palatino Linotype" w:hAnsi="Palatino Linotype" w:cs="Palatino Linotype"/>
          <w:b/>
        </w:rPr>
        <w:t xml:space="preserve">Segundo. </w:t>
      </w:r>
      <w:r w:rsidRPr="00E06C32">
        <w:rPr>
          <w:rFonts w:ascii="Palatino Linotype" w:eastAsia="Palatino Linotype" w:hAnsi="Palatino Linotype" w:cs="Palatino Linotype"/>
        </w:rPr>
        <w:t xml:space="preserve">Se </w:t>
      </w:r>
      <w:r w:rsidRPr="00E06C32">
        <w:rPr>
          <w:rFonts w:ascii="Palatino Linotype" w:eastAsia="Palatino Linotype" w:hAnsi="Palatino Linotype" w:cs="Palatino Linotype"/>
          <w:b/>
        </w:rPr>
        <w:t xml:space="preserve">Ordena </w:t>
      </w:r>
      <w:r w:rsidRPr="00E06C32">
        <w:rPr>
          <w:rFonts w:ascii="Palatino Linotype" w:eastAsia="Palatino Linotype" w:hAnsi="Palatino Linotype" w:cs="Palatino Linotype"/>
        </w:rPr>
        <w:t xml:space="preserve">al </w:t>
      </w:r>
      <w:r w:rsidRPr="00E06C32">
        <w:rPr>
          <w:rFonts w:ascii="Palatino Linotype" w:eastAsia="Palatino Linotype" w:hAnsi="Palatino Linotype" w:cs="Palatino Linotype"/>
          <w:b/>
        </w:rPr>
        <w:t xml:space="preserve">Sujeto Obligado, </w:t>
      </w:r>
      <w:r w:rsidRPr="00E06C32">
        <w:rPr>
          <w:rFonts w:ascii="Palatino Linotype" w:eastAsia="Palatino Linotype" w:hAnsi="Palatino Linotype" w:cs="Palatino Linotype"/>
        </w:rPr>
        <w:t xml:space="preserve">en términos de los </w:t>
      </w:r>
      <w:r w:rsidRPr="00E06C32">
        <w:rPr>
          <w:rFonts w:ascii="Palatino Linotype" w:eastAsia="Palatino Linotype" w:hAnsi="Palatino Linotype" w:cs="Palatino Linotype"/>
          <w:b/>
        </w:rPr>
        <w:t>Considerandos</w:t>
      </w:r>
      <w:r w:rsidRPr="00E06C32">
        <w:rPr>
          <w:rFonts w:ascii="Palatino Linotype" w:eastAsia="Palatino Linotype" w:hAnsi="Palatino Linotype" w:cs="Palatino Linotype"/>
        </w:rPr>
        <w:t xml:space="preserve"> </w:t>
      </w:r>
      <w:r w:rsidRPr="00E06C32">
        <w:rPr>
          <w:rFonts w:ascii="Palatino Linotype" w:eastAsia="Palatino Linotype" w:hAnsi="Palatino Linotype" w:cs="Palatino Linotype"/>
          <w:b/>
        </w:rPr>
        <w:t xml:space="preserve">Cuarto </w:t>
      </w:r>
      <w:r w:rsidRPr="00E06C32">
        <w:rPr>
          <w:rFonts w:ascii="Palatino Linotype" w:eastAsia="Palatino Linotype" w:hAnsi="Palatino Linotype" w:cs="Palatino Linotype"/>
        </w:rPr>
        <w:t xml:space="preserve">y </w:t>
      </w:r>
      <w:r w:rsidRPr="00E06C32">
        <w:rPr>
          <w:rFonts w:ascii="Palatino Linotype" w:eastAsia="Palatino Linotype" w:hAnsi="Palatino Linotype" w:cs="Palatino Linotype"/>
          <w:b/>
        </w:rPr>
        <w:t xml:space="preserve">Quinto </w:t>
      </w:r>
      <w:r w:rsidRPr="00E06C32">
        <w:rPr>
          <w:rFonts w:ascii="Palatino Linotype" w:eastAsia="Palatino Linotype" w:hAnsi="Palatino Linotype" w:cs="Palatino Linotype"/>
        </w:rPr>
        <w:t xml:space="preserve">de esta resolución, haga entrega, vía </w:t>
      </w:r>
      <w:r w:rsidRPr="00E06C32">
        <w:rPr>
          <w:rFonts w:ascii="Palatino Linotype" w:eastAsia="Palatino Linotype" w:hAnsi="Palatino Linotype" w:cs="Palatino Linotype"/>
          <w:b/>
        </w:rPr>
        <w:t>SAIMEX</w:t>
      </w:r>
      <w:r w:rsidRPr="00E06C32">
        <w:rPr>
          <w:rFonts w:ascii="Palatino Linotype" w:eastAsia="Palatino Linotype" w:hAnsi="Palatino Linotype" w:cs="Palatino Linotype"/>
        </w:rPr>
        <w:t>, de ser procedente en versión pública, de lo siguiente:</w:t>
      </w:r>
    </w:p>
    <w:p w14:paraId="7DE01D2B" w14:textId="2A5EF765" w:rsidR="00DF32A9" w:rsidRPr="00E06C32" w:rsidRDefault="00806F94">
      <w:pPr>
        <w:spacing w:before="240" w:after="240" w:line="360" w:lineRule="auto"/>
        <w:ind w:left="284" w:right="-91"/>
        <w:jc w:val="both"/>
        <w:rPr>
          <w:rFonts w:ascii="Palatino Linotype" w:eastAsia="Palatino Linotype" w:hAnsi="Palatino Linotype" w:cs="Palatino Linotype"/>
        </w:rPr>
      </w:pPr>
      <w:bookmarkStart w:id="12" w:name="_heading=h.35nkun2" w:colFirst="0" w:colLast="0"/>
      <w:bookmarkEnd w:id="12"/>
      <w:r w:rsidRPr="00E06C32">
        <w:rPr>
          <w:rFonts w:ascii="Palatino Linotype" w:eastAsia="Palatino Linotype" w:hAnsi="Palatino Linotype" w:cs="Palatino Linotype"/>
        </w:rPr>
        <w:t>1. Las actas de entrega recepción y las carátulas de estimación finiquito de las obras públicas o contratos ejecutados en el ejercicio 2024</w:t>
      </w:r>
      <w:r w:rsidR="00BA6577" w:rsidRPr="00E06C32">
        <w:rPr>
          <w:rFonts w:ascii="Palatino Linotype" w:eastAsia="Palatino Linotype" w:hAnsi="Palatino Linotype" w:cs="Palatino Linotype"/>
        </w:rPr>
        <w:t>,</w:t>
      </w:r>
      <w:r w:rsidR="00B432EC" w:rsidRPr="00E06C32">
        <w:rPr>
          <w:rFonts w:ascii="Palatino Linotype" w:eastAsia="Palatino Linotype" w:hAnsi="Palatino Linotype" w:cs="Palatino Linotype"/>
        </w:rPr>
        <w:t xml:space="preserve"> con los que cuente al</w:t>
      </w:r>
      <w:r w:rsidR="00BA6577" w:rsidRPr="00E06C32">
        <w:rPr>
          <w:rFonts w:ascii="Palatino Linotype" w:eastAsia="Palatino Linotype" w:hAnsi="Palatino Linotype" w:cs="Palatino Linotype"/>
        </w:rPr>
        <w:t xml:space="preserve"> </w:t>
      </w:r>
      <w:r w:rsidR="00DF32A9" w:rsidRPr="00E06C32">
        <w:rPr>
          <w:rFonts w:ascii="Palatino Linotype" w:eastAsia="Palatino Linotype" w:hAnsi="Palatino Linotype" w:cs="Palatino Linotype"/>
        </w:rPr>
        <w:t xml:space="preserve">quince </w:t>
      </w:r>
      <w:r w:rsidR="00B432EC" w:rsidRPr="00E06C32">
        <w:rPr>
          <w:rFonts w:ascii="Palatino Linotype" w:eastAsia="Palatino Linotype" w:hAnsi="Palatino Linotype" w:cs="Palatino Linotype"/>
        </w:rPr>
        <w:t>de enero de dos mil veinticinco.</w:t>
      </w:r>
    </w:p>
    <w:p w14:paraId="67BCE6E4" w14:textId="30046207" w:rsidR="00DD7E50" w:rsidRPr="00E06C32" w:rsidRDefault="00806F94">
      <w:pPr>
        <w:spacing w:before="240" w:after="240" w:line="360" w:lineRule="auto"/>
        <w:ind w:left="284" w:right="-91"/>
        <w:jc w:val="both"/>
        <w:rPr>
          <w:rFonts w:ascii="Palatino Linotype" w:eastAsia="Palatino Linotype" w:hAnsi="Palatino Linotype" w:cs="Palatino Linotype"/>
        </w:rPr>
      </w:pPr>
      <w:r w:rsidRPr="00E06C32">
        <w:rPr>
          <w:rFonts w:ascii="Palatino Linotype" w:eastAsia="Palatino Linotype" w:hAnsi="Palatino Linotype" w:cs="Palatino Linotype"/>
        </w:rPr>
        <w:t xml:space="preserve">2. De los servidores públicos adscritos a la Dirección de Infraestructura Urbana, </w:t>
      </w:r>
      <w:r w:rsidR="00DF32A9" w:rsidRPr="00E06C32">
        <w:rPr>
          <w:rFonts w:ascii="Palatino Linotype" w:eastAsia="Palatino Linotype" w:hAnsi="Palatino Linotype" w:cs="Palatino Linotype"/>
        </w:rPr>
        <w:t xml:space="preserve">en funciones </w:t>
      </w:r>
      <w:r w:rsidRPr="00E06C32">
        <w:rPr>
          <w:rFonts w:ascii="Palatino Linotype" w:eastAsia="Palatino Linotype" w:hAnsi="Palatino Linotype" w:cs="Palatino Linotype"/>
        </w:rPr>
        <w:t>al quince de enero de dos mil veinticinco:</w:t>
      </w:r>
    </w:p>
    <w:p w14:paraId="54F2B43C" w14:textId="77777777" w:rsidR="00DD7E50" w:rsidRPr="00E06C32" w:rsidRDefault="00806F94">
      <w:pPr>
        <w:spacing w:before="240" w:after="240" w:line="360" w:lineRule="auto"/>
        <w:ind w:left="426" w:right="49"/>
        <w:jc w:val="both"/>
        <w:rPr>
          <w:rFonts w:ascii="Palatino Linotype" w:eastAsia="Palatino Linotype" w:hAnsi="Palatino Linotype" w:cs="Palatino Linotype"/>
        </w:rPr>
      </w:pPr>
      <w:r w:rsidRPr="00E06C32">
        <w:rPr>
          <w:rFonts w:ascii="Palatino Linotype" w:eastAsia="Palatino Linotype" w:hAnsi="Palatino Linotype" w:cs="Palatino Linotype"/>
        </w:rPr>
        <w:t>a. Documento donde conste o de cuenta de su información curricular.</w:t>
      </w:r>
    </w:p>
    <w:p w14:paraId="7DF941DA" w14:textId="18459777" w:rsidR="00DD7E50" w:rsidRPr="00E06C32" w:rsidRDefault="00806F94">
      <w:pPr>
        <w:spacing w:before="240" w:after="240" w:line="360" w:lineRule="auto"/>
        <w:ind w:left="426" w:right="49"/>
        <w:jc w:val="both"/>
        <w:rPr>
          <w:rFonts w:ascii="Palatino Linotype" w:eastAsia="Palatino Linotype" w:hAnsi="Palatino Linotype" w:cs="Palatino Linotype"/>
        </w:rPr>
      </w:pPr>
      <w:r w:rsidRPr="00E06C32">
        <w:rPr>
          <w:rFonts w:ascii="Palatino Linotype" w:eastAsia="Palatino Linotype" w:hAnsi="Palatino Linotype" w:cs="Palatino Linotype"/>
        </w:rPr>
        <w:t>b. Nombramiento</w:t>
      </w:r>
      <w:r w:rsidR="00B432EC" w:rsidRPr="00E06C32">
        <w:rPr>
          <w:rFonts w:ascii="Palatino Linotype" w:eastAsia="Palatino Linotype" w:hAnsi="Palatino Linotype" w:cs="Palatino Linotype"/>
        </w:rPr>
        <w:t>.</w:t>
      </w:r>
    </w:p>
    <w:p w14:paraId="5E604327" w14:textId="33317B83" w:rsidR="00DD7E50" w:rsidRPr="00E06C32" w:rsidRDefault="00806F94" w:rsidP="00BA6577">
      <w:pPr>
        <w:spacing w:before="240" w:after="240" w:line="360" w:lineRule="auto"/>
        <w:ind w:left="720" w:right="49" w:hanging="294"/>
        <w:jc w:val="both"/>
        <w:rPr>
          <w:rFonts w:ascii="Palatino Linotype" w:eastAsia="Palatino Linotype" w:hAnsi="Palatino Linotype" w:cs="Palatino Linotype"/>
        </w:rPr>
      </w:pPr>
      <w:r w:rsidRPr="00E06C32">
        <w:rPr>
          <w:rFonts w:ascii="Palatino Linotype" w:eastAsia="Palatino Linotype" w:hAnsi="Palatino Linotype" w:cs="Palatino Linotype"/>
        </w:rPr>
        <w:t>c. Certificación de competencia laboral.</w:t>
      </w:r>
      <w:r w:rsidR="00BA6577" w:rsidRPr="00E06C32">
        <w:rPr>
          <w:rFonts w:ascii="Palatino Linotype" w:eastAsia="Palatino Linotype" w:hAnsi="Palatino Linotype" w:cs="Palatino Linotype"/>
        </w:rPr>
        <w:t xml:space="preserve"> </w:t>
      </w:r>
    </w:p>
    <w:p w14:paraId="2DFD0BDB" w14:textId="77777777" w:rsidR="00DD7E50" w:rsidRPr="00E06C32" w:rsidRDefault="00806F94">
      <w:pPr>
        <w:spacing w:before="240" w:after="240" w:line="360" w:lineRule="auto"/>
        <w:ind w:left="426" w:right="49"/>
        <w:jc w:val="both"/>
        <w:rPr>
          <w:rFonts w:ascii="Palatino Linotype" w:eastAsia="Palatino Linotype" w:hAnsi="Palatino Linotype" w:cs="Palatino Linotype"/>
        </w:rPr>
      </w:pPr>
      <w:r w:rsidRPr="00E06C32">
        <w:rPr>
          <w:rFonts w:ascii="Palatino Linotype" w:eastAsia="Palatino Linotype" w:hAnsi="Palatino Linotype" w:cs="Palatino Linotype"/>
        </w:rPr>
        <w:t>d. Recibo de nómina de la primera quincena de enero de dos mil veinticinco.</w:t>
      </w:r>
    </w:p>
    <w:p w14:paraId="5FBC9E7B" w14:textId="77777777" w:rsidR="00DD7E50" w:rsidRPr="00E06C32" w:rsidRDefault="00806F94">
      <w:pPr>
        <w:spacing w:before="120" w:after="120"/>
        <w:ind w:left="284"/>
        <w:jc w:val="both"/>
        <w:rPr>
          <w:rFonts w:ascii="Palatino Linotype" w:eastAsia="Palatino Linotype" w:hAnsi="Palatino Linotype" w:cs="Palatino Linotype"/>
          <w:i/>
          <w:sz w:val="20"/>
          <w:szCs w:val="20"/>
        </w:rPr>
      </w:pPr>
      <w:r w:rsidRPr="00E06C32">
        <w:rPr>
          <w:rFonts w:ascii="Palatino Linotype" w:eastAsia="Palatino Linotype" w:hAnsi="Palatino Linotype" w:cs="Palatino Linotype"/>
          <w:i/>
          <w:sz w:val="20"/>
          <w:szCs w:val="20"/>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06C32">
        <w:rPr>
          <w:rFonts w:ascii="Palatino Linotype" w:eastAsia="Palatino Linotype" w:hAnsi="Palatino Linotype" w:cs="Palatino Linotype"/>
          <w:b/>
          <w:i/>
          <w:sz w:val="20"/>
          <w:szCs w:val="20"/>
        </w:rPr>
        <w:t>Recurrente</w:t>
      </w:r>
      <w:r w:rsidRPr="00E06C32">
        <w:rPr>
          <w:rFonts w:ascii="Palatino Linotype" w:eastAsia="Palatino Linotype" w:hAnsi="Palatino Linotype" w:cs="Palatino Linotype"/>
          <w:i/>
          <w:sz w:val="20"/>
          <w:szCs w:val="20"/>
        </w:rPr>
        <w:t>.</w:t>
      </w:r>
    </w:p>
    <w:p w14:paraId="1A805DE7" w14:textId="77777777" w:rsidR="00DF32A9" w:rsidRPr="00E06C32" w:rsidRDefault="00DF32A9" w:rsidP="00DF32A9">
      <w:pPr>
        <w:spacing w:before="120" w:after="120"/>
        <w:ind w:left="284"/>
        <w:jc w:val="both"/>
        <w:rPr>
          <w:rFonts w:ascii="Palatino Linotype" w:eastAsia="Palatino Linotype" w:hAnsi="Palatino Linotype" w:cs="Palatino Linotype"/>
          <w:i/>
          <w:sz w:val="20"/>
          <w:szCs w:val="20"/>
        </w:rPr>
      </w:pPr>
      <w:r w:rsidRPr="00E06C32">
        <w:rPr>
          <w:rFonts w:ascii="Palatino Linotype" w:eastAsia="Palatino Linotype" w:hAnsi="Palatino Linotype" w:cs="Palatino Linotype"/>
          <w:i/>
          <w:sz w:val="20"/>
          <w:szCs w:val="20"/>
        </w:rPr>
        <w:t xml:space="preserve">En el supuesto que la información que se ordena en el punto 2, inciso c, no obre en los archivos del </w:t>
      </w:r>
      <w:r w:rsidRPr="00E06C32">
        <w:rPr>
          <w:rFonts w:ascii="Palatino Linotype" w:eastAsia="Palatino Linotype" w:hAnsi="Palatino Linotype" w:cs="Palatino Linotype"/>
          <w:b/>
          <w:i/>
          <w:sz w:val="20"/>
          <w:szCs w:val="20"/>
        </w:rPr>
        <w:t xml:space="preserve">Sujeto Obligado, </w:t>
      </w:r>
      <w:r w:rsidRPr="00E06C32">
        <w:rPr>
          <w:rFonts w:ascii="Palatino Linotype" w:eastAsia="Calibri" w:hAnsi="Palatino Linotype" w:cs="Tahoma"/>
          <w:bCs/>
          <w:i/>
          <w:iCs/>
          <w:sz w:val="20"/>
          <w:szCs w:val="20"/>
          <w:lang w:eastAsia="en-US"/>
        </w:rPr>
        <w:t xml:space="preserve">al ser un requisito de acceso al cargo </w:t>
      </w:r>
      <w:r w:rsidRPr="00E06C32">
        <w:rPr>
          <w:rFonts w:ascii="Palatino Linotype" w:eastAsiaTheme="minorHAnsi" w:hAnsi="Palatino Linotype" w:cstheme="minorBidi"/>
          <w:i/>
          <w:sz w:val="20"/>
          <w:szCs w:val="20"/>
          <w:lang w:eastAsia="en-US"/>
        </w:rPr>
        <w:t>o, por encontrarse dentro del plazo de cumplimiento en el caso de la persona titular de la Dirección,</w:t>
      </w:r>
      <w:r w:rsidRPr="00E06C32">
        <w:rPr>
          <w:rFonts w:ascii="Palatino Linotype" w:eastAsia="Calibri" w:hAnsi="Palatino Linotype" w:cs="Tahoma"/>
          <w:bCs/>
          <w:i/>
          <w:iCs/>
          <w:sz w:val="20"/>
          <w:szCs w:val="20"/>
          <w:lang w:eastAsia="en-US"/>
        </w:rPr>
        <w:t xml:space="preserve"> </w:t>
      </w:r>
      <w:r w:rsidRPr="00E06C32">
        <w:rPr>
          <w:rFonts w:ascii="Palatino Linotype" w:eastAsia="Palatino Linotype" w:hAnsi="Palatino Linotype" w:cs="Palatino Linotype"/>
          <w:i/>
          <w:sz w:val="20"/>
          <w:szCs w:val="20"/>
        </w:rPr>
        <w:t>bastará con que así se haga del conocimiento de la parte</w:t>
      </w:r>
      <w:r w:rsidRPr="00E06C32">
        <w:rPr>
          <w:rFonts w:ascii="Palatino Linotype" w:eastAsia="Palatino Linotype" w:hAnsi="Palatino Linotype" w:cs="Palatino Linotype"/>
          <w:b/>
          <w:i/>
          <w:sz w:val="20"/>
          <w:szCs w:val="20"/>
        </w:rPr>
        <w:t xml:space="preserve"> Recurrente</w:t>
      </w:r>
      <w:r w:rsidRPr="00E06C32">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6218D14A" w14:textId="77777777" w:rsidR="00DD7E50" w:rsidRPr="00E06C32" w:rsidRDefault="00806F94">
      <w:pPr>
        <w:spacing w:before="240" w:after="240" w:line="360" w:lineRule="auto"/>
        <w:jc w:val="both"/>
        <w:rPr>
          <w:rFonts w:ascii="Palatino Linotype" w:eastAsia="Palatino Linotype" w:hAnsi="Palatino Linotype" w:cs="Palatino Linotype"/>
        </w:rPr>
      </w:pPr>
      <w:r w:rsidRPr="00E06C32">
        <w:rPr>
          <w:rFonts w:ascii="Palatino Linotype" w:eastAsia="Palatino Linotype" w:hAnsi="Palatino Linotype" w:cs="Palatino Linotype"/>
          <w:b/>
        </w:rPr>
        <w:t xml:space="preserve">Tercero. Notifíquese, </w:t>
      </w:r>
      <w:r w:rsidRPr="00E06C32">
        <w:rPr>
          <w:rFonts w:ascii="Palatino Linotype" w:eastAsia="Palatino Linotype" w:hAnsi="Palatino Linotype" w:cs="Palatino Linotype"/>
        </w:rPr>
        <w:t xml:space="preserve">vía </w:t>
      </w:r>
      <w:r w:rsidRPr="00E06C32">
        <w:rPr>
          <w:rFonts w:ascii="Palatino Linotype" w:eastAsia="Palatino Linotype" w:hAnsi="Palatino Linotype" w:cs="Palatino Linotype"/>
          <w:b/>
        </w:rPr>
        <w:t>SAIMEX</w:t>
      </w:r>
      <w:r w:rsidRPr="00E06C32">
        <w:rPr>
          <w:rFonts w:ascii="Palatino Linotype" w:eastAsia="Palatino Linotype" w:hAnsi="Palatino Linotype" w:cs="Palatino Linotype"/>
        </w:rPr>
        <w:t xml:space="preserve">, al Titular de la Unidad de Transparencia del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21E058"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13" w:name="_heading=h.1fob9te" w:colFirst="0" w:colLast="0"/>
      <w:bookmarkEnd w:id="13"/>
      <w:r w:rsidRPr="00E06C3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06C32">
        <w:rPr>
          <w:rFonts w:ascii="Palatino Linotype" w:eastAsia="Palatino Linotype" w:hAnsi="Palatino Linotype" w:cs="Palatino Linotype"/>
          <w:b/>
        </w:rPr>
        <w:t>Sujeto Obligado</w:t>
      </w:r>
      <w:r w:rsidRPr="00E06C32">
        <w:rPr>
          <w:rFonts w:ascii="Palatino Linotype" w:eastAsia="Palatino Linotype" w:hAnsi="Palatino Linotype" w:cs="Palatino Linotype"/>
        </w:rPr>
        <w:t xml:space="preserve"> de manera fundada y motivada, podrá solicitar una ampliación de plazo para el cumplimiento de la presente resolución.</w:t>
      </w:r>
    </w:p>
    <w:p w14:paraId="47A86F5A" w14:textId="77777777" w:rsidR="00DD7E50" w:rsidRPr="00E06C32" w:rsidRDefault="00806F94">
      <w:pPr>
        <w:spacing w:before="240" w:after="240" w:line="360" w:lineRule="auto"/>
        <w:jc w:val="both"/>
        <w:rPr>
          <w:rFonts w:ascii="Palatino Linotype" w:eastAsia="Palatino Linotype" w:hAnsi="Palatino Linotype" w:cs="Palatino Linotype"/>
        </w:rPr>
      </w:pPr>
      <w:bookmarkStart w:id="14" w:name="_heading=h.17dp8vu" w:colFirst="0" w:colLast="0"/>
      <w:bookmarkEnd w:id="14"/>
      <w:r w:rsidRPr="00E06C32">
        <w:rPr>
          <w:rFonts w:ascii="Palatino Linotype" w:eastAsia="Palatino Linotype" w:hAnsi="Palatino Linotype" w:cs="Palatino Linotype"/>
          <w:b/>
        </w:rPr>
        <w:t xml:space="preserve">Cuarto.  Notifíquese, </w:t>
      </w:r>
      <w:r w:rsidRPr="00E06C32">
        <w:rPr>
          <w:rFonts w:ascii="Palatino Linotype" w:eastAsia="Palatino Linotype" w:hAnsi="Palatino Linotype" w:cs="Palatino Linotype"/>
        </w:rPr>
        <w:t xml:space="preserve">vía </w:t>
      </w:r>
      <w:r w:rsidRPr="00E06C32">
        <w:rPr>
          <w:rFonts w:ascii="Palatino Linotype" w:eastAsia="Palatino Linotype" w:hAnsi="Palatino Linotype" w:cs="Palatino Linotype"/>
          <w:b/>
        </w:rPr>
        <w:t>SAIMEX</w:t>
      </w:r>
      <w:r w:rsidRPr="00E06C32">
        <w:rPr>
          <w:rFonts w:ascii="Palatino Linotype" w:eastAsia="Palatino Linotype" w:hAnsi="Palatino Linotype" w:cs="Palatino Linotype"/>
        </w:rPr>
        <w:t xml:space="preserve">, a la parte </w:t>
      </w:r>
      <w:r w:rsidRPr="00E06C32">
        <w:rPr>
          <w:rFonts w:ascii="Palatino Linotype" w:eastAsia="Palatino Linotype" w:hAnsi="Palatino Linotype" w:cs="Palatino Linotype"/>
          <w:b/>
        </w:rPr>
        <w:t>Recurrente</w:t>
      </w:r>
      <w:r w:rsidRPr="00E06C3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E06C32">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23C4B261" w14:textId="29159DBA" w:rsidR="00DD7E50" w:rsidRPr="00CA2049" w:rsidRDefault="00806F94">
      <w:pPr>
        <w:tabs>
          <w:tab w:val="left" w:pos="8647"/>
        </w:tabs>
        <w:spacing w:before="240" w:after="240" w:line="360" w:lineRule="auto"/>
        <w:ind w:right="51"/>
        <w:jc w:val="both"/>
        <w:rPr>
          <w:rFonts w:ascii="Palatino Linotype" w:eastAsia="Palatino Linotype" w:hAnsi="Palatino Linotype" w:cs="Palatino Linotype"/>
        </w:rPr>
      </w:pPr>
      <w:r w:rsidRPr="00E06C3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44009" w:rsidRPr="00E06C32">
        <w:rPr>
          <w:rFonts w:ascii="Palatino Linotype" w:eastAsia="Palatino Linotype" w:hAnsi="Palatino Linotype" w:cs="Palatino Linotype"/>
        </w:rPr>
        <w:t xml:space="preserve">, EMITIENDO VOTO PARTICULAR; </w:t>
      </w:r>
      <w:r w:rsidRPr="00E06C32">
        <w:rPr>
          <w:rFonts w:ascii="Palatino Linotype" w:eastAsia="Palatino Linotype" w:hAnsi="Palatino Linotype" w:cs="Palatino Linotype"/>
        </w:rPr>
        <w:t>EN LA DÉCIMA SESIÓN ORDINARIA CELEBRADA EL VEINTE DE MARZO DE DOS MIL VEINTICINCO, ANTE EL SECRETARIO TÉCNICO DEL PLENO ALEXIS TAPIA RAMÍREZ.</w:t>
      </w:r>
    </w:p>
    <w:p w14:paraId="4BFBEF2E" w14:textId="77777777" w:rsidR="00DD7E50" w:rsidRPr="00CA2049" w:rsidRDefault="00DD7E50">
      <w:pPr>
        <w:spacing w:line="360" w:lineRule="auto"/>
        <w:jc w:val="both"/>
        <w:rPr>
          <w:rFonts w:ascii="Palatino Linotype" w:eastAsia="Palatino Linotype" w:hAnsi="Palatino Linotype" w:cs="Palatino Linotype"/>
        </w:rPr>
      </w:pPr>
    </w:p>
    <w:p w14:paraId="1B139D8B" w14:textId="77777777" w:rsidR="00DD7E50" w:rsidRPr="00CA2049" w:rsidRDefault="00DD7E50">
      <w:pPr>
        <w:spacing w:line="360" w:lineRule="auto"/>
        <w:jc w:val="both"/>
        <w:rPr>
          <w:rFonts w:ascii="Palatino Linotype" w:eastAsia="Palatino Linotype" w:hAnsi="Palatino Linotype" w:cs="Palatino Linotype"/>
        </w:rPr>
      </w:pPr>
    </w:p>
    <w:p w14:paraId="5A8F8B33" w14:textId="77777777" w:rsidR="00DD7E50" w:rsidRPr="00CA2049" w:rsidRDefault="00DD7E50">
      <w:pPr>
        <w:spacing w:line="360" w:lineRule="auto"/>
        <w:jc w:val="both"/>
        <w:rPr>
          <w:rFonts w:ascii="Palatino Linotype" w:eastAsia="Palatino Linotype" w:hAnsi="Palatino Linotype" w:cs="Palatino Linotype"/>
        </w:rPr>
      </w:pPr>
    </w:p>
    <w:p w14:paraId="4FDC1C16" w14:textId="77777777" w:rsidR="00DD7E50" w:rsidRPr="00CA2049" w:rsidRDefault="00DD7E50">
      <w:pPr>
        <w:spacing w:line="360" w:lineRule="auto"/>
        <w:jc w:val="both"/>
        <w:rPr>
          <w:rFonts w:ascii="Palatino Linotype" w:eastAsia="Palatino Linotype" w:hAnsi="Palatino Linotype" w:cs="Palatino Linotype"/>
        </w:rPr>
      </w:pPr>
    </w:p>
    <w:p w14:paraId="4A2E5BCC" w14:textId="77777777" w:rsidR="00DD7E50" w:rsidRPr="00CA2049" w:rsidRDefault="00DD7E50">
      <w:pPr>
        <w:spacing w:line="360" w:lineRule="auto"/>
        <w:jc w:val="both"/>
        <w:rPr>
          <w:rFonts w:ascii="Palatino Linotype" w:eastAsia="Palatino Linotype" w:hAnsi="Palatino Linotype" w:cs="Palatino Linotype"/>
        </w:rPr>
      </w:pPr>
    </w:p>
    <w:p w14:paraId="6F8478D9" w14:textId="77777777" w:rsidR="00DD7E50" w:rsidRPr="00CA2049" w:rsidRDefault="00DD7E50">
      <w:pPr>
        <w:spacing w:line="360" w:lineRule="auto"/>
        <w:jc w:val="both"/>
        <w:rPr>
          <w:rFonts w:ascii="Palatino Linotype" w:eastAsia="Palatino Linotype" w:hAnsi="Palatino Linotype" w:cs="Palatino Linotype"/>
        </w:rPr>
      </w:pPr>
    </w:p>
    <w:p w14:paraId="481D1192" w14:textId="77777777" w:rsidR="00DD7E50" w:rsidRPr="00CA2049" w:rsidRDefault="00DD7E50">
      <w:pPr>
        <w:spacing w:line="360" w:lineRule="auto"/>
        <w:jc w:val="both"/>
        <w:rPr>
          <w:rFonts w:ascii="Palatino Linotype" w:eastAsia="Palatino Linotype" w:hAnsi="Palatino Linotype" w:cs="Palatino Linotype"/>
        </w:rPr>
      </w:pPr>
    </w:p>
    <w:p w14:paraId="1E37E7E1" w14:textId="77777777" w:rsidR="00DD7E50" w:rsidRPr="00CA2049" w:rsidRDefault="00DD7E50">
      <w:pPr>
        <w:spacing w:line="360" w:lineRule="auto"/>
        <w:jc w:val="both"/>
        <w:rPr>
          <w:rFonts w:ascii="Palatino Linotype" w:eastAsia="Palatino Linotype" w:hAnsi="Palatino Linotype" w:cs="Palatino Linotype"/>
        </w:rPr>
      </w:pPr>
    </w:p>
    <w:p w14:paraId="61C77469" w14:textId="77777777" w:rsidR="00DD7E50" w:rsidRPr="00CA2049" w:rsidRDefault="00DD7E50">
      <w:pPr>
        <w:spacing w:line="360" w:lineRule="auto"/>
        <w:jc w:val="both"/>
        <w:rPr>
          <w:rFonts w:ascii="Palatino Linotype" w:eastAsia="Palatino Linotype" w:hAnsi="Palatino Linotype" w:cs="Palatino Linotype"/>
        </w:rPr>
      </w:pPr>
    </w:p>
    <w:p w14:paraId="3BC9B989" w14:textId="77777777" w:rsidR="00DD7E50" w:rsidRPr="00CA2049" w:rsidRDefault="00DD7E50">
      <w:pPr>
        <w:spacing w:line="360" w:lineRule="auto"/>
        <w:jc w:val="both"/>
        <w:rPr>
          <w:rFonts w:ascii="Palatino Linotype" w:eastAsia="Palatino Linotype" w:hAnsi="Palatino Linotype" w:cs="Palatino Linotype"/>
        </w:rPr>
      </w:pPr>
    </w:p>
    <w:p w14:paraId="44DF8AFF" w14:textId="77777777" w:rsidR="00DD7E50" w:rsidRPr="00CA2049" w:rsidRDefault="00DD7E50">
      <w:pPr>
        <w:spacing w:line="360" w:lineRule="auto"/>
        <w:jc w:val="both"/>
        <w:rPr>
          <w:rFonts w:ascii="Palatino Linotype" w:eastAsia="Palatino Linotype" w:hAnsi="Palatino Linotype" w:cs="Palatino Linotype"/>
        </w:rPr>
      </w:pPr>
    </w:p>
    <w:p w14:paraId="4EE42463" w14:textId="77777777" w:rsidR="00DD7E50" w:rsidRPr="00CA2049" w:rsidRDefault="00DD7E50">
      <w:pPr>
        <w:spacing w:line="360" w:lineRule="auto"/>
        <w:jc w:val="both"/>
        <w:rPr>
          <w:rFonts w:ascii="Palatino Linotype" w:eastAsia="Palatino Linotype" w:hAnsi="Palatino Linotype" w:cs="Palatino Linotype"/>
        </w:rPr>
      </w:pPr>
    </w:p>
    <w:p w14:paraId="2154DC4F" w14:textId="77777777" w:rsidR="00DD7E50" w:rsidRPr="00CA2049" w:rsidRDefault="00DD7E50">
      <w:pPr>
        <w:spacing w:line="360" w:lineRule="auto"/>
        <w:jc w:val="both"/>
        <w:rPr>
          <w:rFonts w:ascii="Palatino Linotype" w:eastAsia="Palatino Linotype" w:hAnsi="Palatino Linotype" w:cs="Palatino Linotype"/>
        </w:rPr>
      </w:pPr>
    </w:p>
    <w:p w14:paraId="4F947D38" w14:textId="77777777" w:rsidR="00DD7E50" w:rsidRPr="00CA2049" w:rsidRDefault="00DD7E50">
      <w:pPr>
        <w:spacing w:line="360" w:lineRule="auto"/>
        <w:jc w:val="both"/>
        <w:rPr>
          <w:rFonts w:ascii="Palatino Linotype" w:eastAsia="Palatino Linotype" w:hAnsi="Palatino Linotype" w:cs="Palatino Linotype"/>
        </w:rPr>
      </w:pPr>
    </w:p>
    <w:p w14:paraId="0E94A1DE" w14:textId="77777777" w:rsidR="00DD7E50" w:rsidRPr="00CA2049" w:rsidRDefault="00DD7E50">
      <w:pPr>
        <w:spacing w:line="360" w:lineRule="auto"/>
        <w:jc w:val="both"/>
        <w:rPr>
          <w:rFonts w:ascii="Palatino Linotype" w:eastAsia="Palatino Linotype" w:hAnsi="Palatino Linotype" w:cs="Palatino Linotype"/>
        </w:rPr>
      </w:pPr>
    </w:p>
    <w:p w14:paraId="771270ED" w14:textId="77777777" w:rsidR="00DD7E50" w:rsidRPr="00CA2049" w:rsidRDefault="00DD7E50">
      <w:pPr>
        <w:spacing w:line="360" w:lineRule="auto"/>
        <w:jc w:val="both"/>
        <w:rPr>
          <w:rFonts w:ascii="Palatino Linotype" w:eastAsia="Palatino Linotype" w:hAnsi="Palatino Linotype" w:cs="Palatino Linotype"/>
        </w:rPr>
      </w:pPr>
    </w:p>
    <w:p w14:paraId="1983258B" w14:textId="77777777" w:rsidR="00DD7E50" w:rsidRPr="00CA2049" w:rsidRDefault="00DD7E50">
      <w:pPr>
        <w:spacing w:line="360" w:lineRule="auto"/>
        <w:jc w:val="both"/>
        <w:rPr>
          <w:rFonts w:ascii="Palatino Linotype" w:eastAsia="Palatino Linotype" w:hAnsi="Palatino Linotype" w:cs="Palatino Linotype"/>
        </w:rPr>
      </w:pPr>
    </w:p>
    <w:p w14:paraId="5743F945" w14:textId="77777777" w:rsidR="00DD7E50" w:rsidRPr="00CA2049" w:rsidRDefault="00DD7E50">
      <w:pPr>
        <w:spacing w:line="360" w:lineRule="auto"/>
        <w:jc w:val="both"/>
        <w:rPr>
          <w:rFonts w:ascii="Palatino Linotype" w:eastAsia="Palatino Linotype" w:hAnsi="Palatino Linotype" w:cs="Palatino Linotype"/>
        </w:rPr>
      </w:pPr>
    </w:p>
    <w:p w14:paraId="65BEB99C" w14:textId="77777777" w:rsidR="00DD7E50" w:rsidRPr="00CA2049" w:rsidRDefault="00DD7E50">
      <w:pPr>
        <w:spacing w:line="360" w:lineRule="auto"/>
        <w:jc w:val="both"/>
        <w:rPr>
          <w:rFonts w:ascii="Palatino Linotype" w:eastAsia="Palatino Linotype" w:hAnsi="Palatino Linotype" w:cs="Palatino Linotype"/>
        </w:rPr>
      </w:pPr>
    </w:p>
    <w:p w14:paraId="60E384F0" w14:textId="77777777" w:rsidR="00DD7E50" w:rsidRPr="00CA2049" w:rsidRDefault="00DD7E50">
      <w:pPr>
        <w:spacing w:line="360" w:lineRule="auto"/>
        <w:jc w:val="both"/>
        <w:rPr>
          <w:rFonts w:ascii="Palatino Linotype" w:eastAsia="Palatino Linotype" w:hAnsi="Palatino Linotype" w:cs="Palatino Linotype"/>
        </w:rPr>
      </w:pPr>
    </w:p>
    <w:p w14:paraId="136FE147" w14:textId="77777777" w:rsidR="00DD7E50" w:rsidRPr="00CA2049" w:rsidRDefault="00DD7E50">
      <w:pPr>
        <w:spacing w:line="360" w:lineRule="auto"/>
        <w:jc w:val="both"/>
        <w:rPr>
          <w:rFonts w:ascii="Palatino Linotype" w:eastAsia="Palatino Linotype" w:hAnsi="Palatino Linotype" w:cs="Palatino Linotype"/>
        </w:rPr>
      </w:pPr>
    </w:p>
    <w:sectPr w:rsidR="00DD7E50" w:rsidRPr="00CA2049">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63B7" w14:textId="77777777" w:rsidR="00F31DC0" w:rsidRDefault="00F31DC0">
      <w:r>
        <w:separator/>
      </w:r>
    </w:p>
  </w:endnote>
  <w:endnote w:type="continuationSeparator" w:id="0">
    <w:p w14:paraId="2DCE4468" w14:textId="77777777" w:rsidR="00F31DC0" w:rsidRDefault="00F3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304A" w14:textId="77777777" w:rsidR="005E2468" w:rsidRDefault="005E24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06C32">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06C32">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27294E11" w14:textId="77777777" w:rsidR="005E2468" w:rsidRDefault="005E246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81DD" w14:textId="77777777" w:rsidR="005E2468" w:rsidRDefault="005E24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06C3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06C32">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40C8E9A8" w14:textId="77777777" w:rsidR="005E2468" w:rsidRDefault="005E246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80110" w14:textId="77777777" w:rsidR="00F31DC0" w:rsidRDefault="00F31DC0">
      <w:r>
        <w:separator/>
      </w:r>
    </w:p>
  </w:footnote>
  <w:footnote w:type="continuationSeparator" w:id="0">
    <w:p w14:paraId="5316E921" w14:textId="77777777" w:rsidR="00F31DC0" w:rsidRDefault="00F31DC0">
      <w:r>
        <w:continuationSeparator/>
      </w:r>
    </w:p>
  </w:footnote>
  <w:footnote w:id="1">
    <w:p w14:paraId="260A5E1E" w14:textId="77777777" w:rsidR="005E2468" w:rsidRDefault="005E246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8941" w14:textId="77777777" w:rsidR="005E2468" w:rsidRDefault="005E2468">
    <w:pPr>
      <w:rPr>
        <w:rFonts w:ascii="Cambria" w:eastAsia="Cambria" w:hAnsi="Cambria" w:cs="Cambria"/>
        <w:color w:val="000000"/>
      </w:rPr>
    </w:pPr>
    <w:r>
      <w:rPr>
        <w:noProof/>
      </w:rPr>
      <w:drawing>
        <wp:anchor distT="0" distB="0" distL="0" distR="0" simplePos="0" relativeHeight="251658240" behindDoc="1" locked="0" layoutInCell="1" hidden="0" allowOverlap="1" wp14:anchorId="1FEEA6AD" wp14:editId="217D0122">
          <wp:simplePos x="0" y="0"/>
          <wp:positionH relativeFrom="column">
            <wp:posOffset>-1080100</wp:posOffset>
          </wp:positionH>
          <wp:positionV relativeFrom="paragraph">
            <wp:posOffset>-488274</wp:posOffset>
          </wp:positionV>
          <wp:extent cx="7809865" cy="10165715"/>
          <wp:effectExtent l="0" t="0" r="0" b="0"/>
          <wp:wrapNone/>
          <wp:docPr id="20832964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953" w:type="dxa"/>
      <w:tblInd w:w="3261" w:type="dxa"/>
      <w:tblLayout w:type="fixed"/>
      <w:tblLook w:val="0400" w:firstRow="0" w:lastRow="0" w:firstColumn="0" w:lastColumn="0" w:noHBand="0" w:noVBand="1"/>
    </w:tblPr>
    <w:tblGrid>
      <w:gridCol w:w="2489"/>
      <w:gridCol w:w="3464"/>
    </w:tblGrid>
    <w:tr w:rsidR="005E2468" w14:paraId="03F00049" w14:textId="77777777">
      <w:tc>
        <w:tcPr>
          <w:tcW w:w="2489" w:type="dxa"/>
          <w:shd w:val="clear" w:color="auto" w:fill="auto"/>
        </w:tcPr>
        <w:p w14:paraId="7B516CA2" w14:textId="77777777" w:rsidR="005E2468" w:rsidRDefault="005E24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DC183F3" w14:textId="77777777" w:rsidR="005E2468" w:rsidRDefault="005E24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00874/INFOEM/IP/RR/2025</w:t>
          </w:r>
        </w:p>
      </w:tc>
    </w:tr>
    <w:tr w:rsidR="005E2468" w14:paraId="20E7C1A7" w14:textId="77777777">
      <w:trPr>
        <w:trHeight w:val="228"/>
      </w:trPr>
      <w:tc>
        <w:tcPr>
          <w:tcW w:w="2489" w:type="dxa"/>
          <w:shd w:val="clear" w:color="auto" w:fill="auto"/>
          <w:vAlign w:val="center"/>
        </w:tcPr>
        <w:p w14:paraId="29479F80" w14:textId="77777777" w:rsidR="005E2468" w:rsidRDefault="005E24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BBEC712" w14:textId="77777777" w:rsidR="005E2468" w:rsidRDefault="005E24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5E2468" w14:paraId="6F785DC4" w14:textId="77777777">
      <w:tc>
        <w:tcPr>
          <w:tcW w:w="2489" w:type="dxa"/>
          <w:shd w:val="clear" w:color="auto" w:fill="auto"/>
          <w:vAlign w:val="center"/>
        </w:tcPr>
        <w:p w14:paraId="75FCDB69" w14:textId="77777777" w:rsidR="005E2468" w:rsidRDefault="005E24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07A50BF" w14:textId="77777777" w:rsidR="005E2468" w:rsidRDefault="005E24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B212C0" w14:textId="77777777" w:rsidR="005E2468" w:rsidRDefault="005E246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145B" w14:textId="77777777" w:rsidR="005E2468" w:rsidRDefault="005E246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3A1375D" wp14:editId="6AD5C599">
          <wp:simplePos x="0" y="0"/>
          <wp:positionH relativeFrom="column">
            <wp:posOffset>-1080126</wp:posOffset>
          </wp:positionH>
          <wp:positionV relativeFrom="paragraph">
            <wp:posOffset>-369901</wp:posOffset>
          </wp:positionV>
          <wp:extent cx="7809865" cy="10165715"/>
          <wp:effectExtent l="0" t="0" r="0" b="0"/>
          <wp:wrapNone/>
          <wp:docPr id="20832964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b"/>
      <w:tblW w:w="5953" w:type="dxa"/>
      <w:tblInd w:w="3261" w:type="dxa"/>
      <w:tblLayout w:type="fixed"/>
      <w:tblLook w:val="0400" w:firstRow="0" w:lastRow="0" w:firstColumn="0" w:lastColumn="0" w:noHBand="0" w:noVBand="1"/>
    </w:tblPr>
    <w:tblGrid>
      <w:gridCol w:w="2489"/>
      <w:gridCol w:w="3464"/>
    </w:tblGrid>
    <w:tr w:rsidR="005E2468" w14:paraId="4CF94892" w14:textId="77777777">
      <w:tc>
        <w:tcPr>
          <w:tcW w:w="2489" w:type="dxa"/>
          <w:shd w:val="clear" w:color="auto" w:fill="auto"/>
        </w:tcPr>
        <w:p w14:paraId="1CCDA4BA" w14:textId="77777777" w:rsidR="005E2468" w:rsidRDefault="005E24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83539DB" w14:textId="77777777" w:rsidR="005E2468" w:rsidRDefault="005E24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00874/INFOEM/IP/RR/2025</w:t>
          </w:r>
        </w:p>
      </w:tc>
    </w:tr>
    <w:tr w:rsidR="005E2468" w14:paraId="4DA22D1D" w14:textId="77777777">
      <w:tc>
        <w:tcPr>
          <w:tcW w:w="2489" w:type="dxa"/>
          <w:shd w:val="clear" w:color="auto" w:fill="auto"/>
        </w:tcPr>
        <w:p w14:paraId="1261E3DB" w14:textId="77777777" w:rsidR="005E2468" w:rsidRDefault="005E24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506F01BA" w14:textId="77777777" w:rsidR="005E2468" w:rsidRDefault="005E2468">
          <w:pPr>
            <w:ind w:right="175"/>
            <w:jc w:val="both"/>
            <w:rPr>
              <w:rFonts w:ascii="Palatino Linotype" w:eastAsia="Palatino Linotype" w:hAnsi="Palatino Linotype" w:cs="Palatino Linotype"/>
              <w:b/>
              <w:sz w:val="22"/>
              <w:szCs w:val="22"/>
            </w:rPr>
          </w:pPr>
        </w:p>
      </w:tc>
    </w:tr>
    <w:tr w:rsidR="005E2468" w14:paraId="47B7A117" w14:textId="77777777">
      <w:trPr>
        <w:trHeight w:val="228"/>
      </w:trPr>
      <w:tc>
        <w:tcPr>
          <w:tcW w:w="2489" w:type="dxa"/>
          <w:shd w:val="clear" w:color="auto" w:fill="auto"/>
          <w:vAlign w:val="center"/>
        </w:tcPr>
        <w:p w14:paraId="61A984A1" w14:textId="77777777" w:rsidR="005E2468" w:rsidRDefault="005E24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F51FF30" w14:textId="77777777" w:rsidR="005E2468" w:rsidRDefault="005E24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5E2468" w14:paraId="70F8F74C" w14:textId="77777777">
      <w:tc>
        <w:tcPr>
          <w:tcW w:w="2489" w:type="dxa"/>
          <w:shd w:val="clear" w:color="auto" w:fill="auto"/>
          <w:vAlign w:val="center"/>
        </w:tcPr>
        <w:p w14:paraId="6AABC239" w14:textId="77777777" w:rsidR="005E2468" w:rsidRDefault="005E24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A4700DD" w14:textId="77777777" w:rsidR="005E2468" w:rsidRDefault="005E24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3416B9" w14:textId="77777777" w:rsidR="005E2468" w:rsidRDefault="005E24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A2CD6"/>
    <w:multiLevelType w:val="multilevel"/>
    <w:tmpl w:val="B86A3FA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BD5E64"/>
    <w:multiLevelType w:val="multilevel"/>
    <w:tmpl w:val="BFEC771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E50"/>
    <w:rsid w:val="001106AA"/>
    <w:rsid w:val="00151417"/>
    <w:rsid w:val="001A224D"/>
    <w:rsid w:val="00367E72"/>
    <w:rsid w:val="005E2468"/>
    <w:rsid w:val="005E5C7C"/>
    <w:rsid w:val="00644009"/>
    <w:rsid w:val="00806F94"/>
    <w:rsid w:val="00876036"/>
    <w:rsid w:val="00896F41"/>
    <w:rsid w:val="008E28A8"/>
    <w:rsid w:val="00AD0236"/>
    <w:rsid w:val="00B432EC"/>
    <w:rsid w:val="00BA6577"/>
    <w:rsid w:val="00BD0C35"/>
    <w:rsid w:val="00CA2049"/>
    <w:rsid w:val="00DD6FD7"/>
    <w:rsid w:val="00DD7E50"/>
    <w:rsid w:val="00DF32A9"/>
    <w:rsid w:val="00E06C32"/>
    <w:rsid w:val="00E229C8"/>
    <w:rsid w:val="00EE26C8"/>
    <w:rsid w:val="00F31D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EBB7"/>
  <w15:docId w15:val="{11DC9F15-779D-4994-8030-7FC25A74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paragraph" w:customStyle="1" w:styleId="text-justify">
    <w:name w:val="text-justify"/>
    <w:basedOn w:val="Normal"/>
    <w:rsid w:val="004443CD"/>
    <w:pPr>
      <w:spacing w:before="100" w:beforeAutospacing="1" w:after="100" w:afterAutospacing="1"/>
    </w:p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y8BRKXJX9KM+R5KUB4SOo5moA==">CgMxLjAyCWguM3JkY3JqbjIJaC40ZDM0b2c4MghoLmdqZGd4czIJaC4zZHk2dmttMgloLjMwajB6bGwyCWguMnM4ZXlvMTIIaC50eWpjd3QyCWguM3pueXNoNzIJaC4yZXQ5MnAwMghoLnozMzd5YTIJaC4zajJxcW0zMgloLjF0M2g1c2YyCWguMzVua3VuMjIJaC4xZm9iOXRlMgloLjE3ZHA4dnU4AHIhMWxqRVBOUzVsc2pqbXozV0dyRFZuTDI0eU95aWVDOE9h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04C487-E9BF-488B-854C-2E07F896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79</Pages>
  <Words>19682</Words>
  <Characters>108253</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127680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2025-03-21T20:23:00Z</cp:lastPrinted>
  <dcterms:created xsi:type="dcterms:W3CDTF">2025-04-02T17:57:00Z</dcterms:created>
  <dcterms:modified xsi:type="dcterms:W3CDTF">2025-04-02T17:57:00Z</dcterms:modified>
</cp:coreProperties>
</file>