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ADC1694" w:rsidR="006168E4" w:rsidRPr="00833366" w:rsidRDefault="006168E4" w:rsidP="006F5F55">
      <w:pPr>
        <w:spacing w:before="240" w:line="360" w:lineRule="auto"/>
        <w:jc w:val="both"/>
        <w:rPr>
          <w:rFonts w:ascii="Palatino Linotype" w:eastAsia="Times New Roman" w:hAnsi="Palatino Linotype" w:cs="Arial"/>
          <w:color w:val="000000"/>
          <w:sz w:val="24"/>
          <w:szCs w:val="24"/>
          <w:lang w:eastAsia="es-MX"/>
        </w:rPr>
      </w:pPr>
      <w:r w:rsidRPr="0083336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25E6C" w:rsidRPr="00833366">
        <w:rPr>
          <w:rFonts w:ascii="Palatino Linotype" w:eastAsia="Times New Roman" w:hAnsi="Palatino Linotype" w:cs="Arial"/>
          <w:color w:val="000000"/>
          <w:sz w:val="24"/>
          <w:szCs w:val="24"/>
          <w:lang w:eastAsia="es-MX"/>
        </w:rPr>
        <w:t>cinco de noviembre</w:t>
      </w:r>
      <w:r w:rsidR="008602F9" w:rsidRPr="00833366">
        <w:rPr>
          <w:rFonts w:ascii="Palatino Linotype" w:eastAsia="Times New Roman" w:hAnsi="Palatino Linotype" w:cs="Arial"/>
          <w:color w:val="000000"/>
          <w:sz w:val="24"/>
          <w:szCs w:val="24"/>
          <w:lang w:eastAsia="es-MX"/>
        </w:rPr>
        <w:t xml:space="preserve"> de dos mil veinticinco. </w:t>
      </w:r>
      <w:r w:rsidR="00BE673B" w:rsidRPr="00833366">
        <w:rPr>
          <w:rFonts w:ascii="Palatino Linotype" w:eastAsia="Times New Roman" w:hAnsi="Palatino Linotype" w:cs="Arial"/>
          <w:color w:val="000000"/>
          <w:sz w:val="24"/>
          <w:szCs w:val="24"/>
          <w:lang w:eastAsia="es-MX"/>
        </w:rPr>
        <w:t xml:space="preserve"> </w:t>
      </w:r>
      <w:r w:rsidR="00FB6049" w:rsidRPr="00833366">
        <w:rPr>
          <w:rFonts w:ascii="Palatino Linotype" w:eastAsia="Times New Roman" w:hAnsi="Palatino Linotype" w:cs="Arial"/>
          <w:color w:val="000000"/>
          <w:sz w:val="24"/>
          <w:szCs w:val="24"/>
          <w:lang w:eastAsia="es-MX"/>
        </w:rPr>
        <w:t xml:space="preserve"> </w:t>
      </w:r>
      <w:r w:rsidR="00817A08" w:rsidRPr="00833366">
        <w:rPr>
          <w:rFonts w:ascii="Palatino Linotype" w:eastAsia="Times New Roman" w:hAnsi="Palatino Linotype" w:cs="Arial"/>
          <w:color w:val="000000"/>
          <w:sz w:val="24"/>
          <w:szCs w:val="24"/>
          <w:lang w:eastAsia="es-MX"/>
        </w:rPr>
        <w:t xml:space="preserve"> </w:t>
      </w:r>
      <w:bookmarkStart w:id="0" w:name="_GoBack"/>
      <w:bookmarkEnd w:id="0"/>
    </w:p>
    <w:p w14:paraId="38924B81" w14:textId="086B37E4" w:rsidR="00A96E4F" w:rsidRPr="00833366" w:rsidRDefault="006168E4" w:rsidP="006F5F55">
      <w:pPr>
        <w:tabs>
          <w:tab w:val="left" w:pos="1701"/>
        </w:tabs>
        <w:spacing w:before="240" w:line="360" w:lineRule="auto"/>
        <w:jc w:val="both"/>
        <w:rPr>
          <w:rFonts w:ascii="Palatino Linotype" w:hAnsi="Palatino Linotype" w:cs="Arial"/>
          <w:sz w:val="24"/>
          <w:lang w:eastAsia="es-MX"/>
        </w:rPr>
      </w:pPr>
      <w:r w:rsidRPr="00833366">
        <w:rPr>
          <w:rFonts w:ascii="Palatino Linotype" w:hAnsi="Palatino Linotype" w:cs="Arial"/>
          <w:b/>
          <w:sz w:val="24"/>
        </w:rPr>
        <w:t>VISTO</w:t>
      </w:r>
      <w:r w:rsidRPr="00833366">
        <w:rPr>
          <w:rFonts w:ascii="Palatino Linotype" w:hAnsi="Palatino Linotype" w:cs="Arial"/>
          <w:sz w:val="24"/>
        </w:rPr>
        <w:t xml:space="preserve"> el expediente electrónico formado con motivo del recurso de revisión número </w:t>
      </w:r>
      <w:r w:rsidR="00A96E4F" w:rsidRPr="00833366">
        <w:rPr>
          <w:rFonts w:ascii="Palatino Linotype" w:hAnsi="Palatino Linotype" w:cs="Arial"/>
          <w:b/>
          <w:bCs/>
          <w:sz w:val="24"/>
          <w:lang w:eastAsia="es-MX"/>
        </w:rPr>
        <w:t>10305</w:t>
      </w:r>
      <w:r w:rsidR="008602F9" w:rsidRPr="00833366">
        <w:rPr>
          <w:rFonts w:ascii="Palatino Linotype" w:hAnsi="Palatino Linotype" w:cs="Arial"/>
          <w:b/>
          <w:bCs/>
          <w:sz w:val="24"/>
          <w:lang w:eastAsia="es-MX"/>
        </w:rPr>
        <w:t xml:space="preserve">/INFOEM/IP/RR/2025, </w:t>
      </w:r>
      <w:r w:rsidR="008602F9" w:rsidRPr="00833366">
        <w:rPr>
          <w:rFonts w:ascii="Palatino Linotype" w:hAnsi="Palatino Linotype" w:cs="Arial"/>
          <w:sz w:val="24"/>
          <w:lang w:eastAsia="es-MX"/>
        </w:rPr>
        <w:t xml:space="preserve">interpuesto por </w:t>
      </w:r>
      <w:r w:rsidR="00A96E4F" w:rsidRPr="00833366">
        <w:rPr>
          <w:rFonts w:ascii="Palatino Linotype" w:hAnsi="Palatino Linotype" w:cs="Arial"/>
          <w:sz w:val="24"/>
          <w:lang w:eastAsia="es-MX"/>
        </w:rPr>
        <w:t xml:space="preserve">un particular, en lo sucesivo </w:t>
      </w:r>
      <w:r w:rsidR="00A96E4F" w:rsidRPr="00833366">
        <w:rPr>
          <w:rFonts w:ascii="Palatino Linotype" w:hAnsi="Palatino Linotype" w:cs="Arial"/>
          <w:b/>
          <w:bCs/>
          <w:sz w:val="24"/>
          <w:lang w:eastAsia="es-MX"/>
        </w:rPr>
        <w:t xml:space="preserve">El Recurrente, </w:t>
      </w:r>
      <w:r w:rsidR="00A96E4F" w:rsidRPr="00833366">
        <w:rPr>
          <w:rFonts w:ascii="Palatino Linotype" w:hAnsi="Palatino Linotype" w:cs="Arial"/>
          <w:sz w:val="24"/>
          <w:lang w:eastAsia="es-MX"/>
        </w:rPr>
        <w:t xml:space="preserve">en contra de la respuesta del </w:t>
      </w:r>
      <w:r w:rsidR="00A96E4F" w:rsidRPr="00833366">
        <w:rPr>
          <w:rFonts w:ascii="Palatino Linotype" w:hAnsi="Palatino Linotype" w:cs="Arial"/>
          <w:b/>
          <w:bCs/>
          <w:sz w:val="24"/>
          <w:lang w:eastAsia="es-MX"/>
        </w:rPr>
        <w:t xml:space="preserve">Sistema Municipal para el Desarrollo Integral de la Familia de Atizapán, </w:t>
      </w:r>
      <w:r w:rsidR="00A96E4F" w:rsidRPr="00833366">
        <w:rPr>
          <w:rFonts w:ascii="Palatino Linotype" w:hAnsi="Palatino Linotype" w:cs="Arial"/>
          <w:sz w:val="24"/>
          <w:lang w:eastAsia="es-MX"/>
        </w:rPr>
        <w:t xml:space="preserve">en lo subsecuente </w:t>
      </w:r>
      <w:r w:rsidR="00A96E4F" w:rsidRPr="00833366">
        <w:rPr>
          <w:rFonts w:ascii="Palatino Linotype" w:hAnsi="Palatino Linotype" w:cs="Arial"/>
          <w:b/>
          <w:bCs/>
          <w:sz w:val="24"/>
          <w:lang w:eastAsia="es-MX"/>
        </w:rPr>
        <w:t xml:space="preserve">El Sujeto Obligado, </w:t>
      </w:r>
      <w:r w:rsidR="00A96E4F" w:rsidRPr="00833366">
        <w:rPr>
          <w:rFonts w:ascii="Palatino Linotype" w:hAnsi="Palatino Linotype" w:cs="Arial"/>
          <w:sz w:val="24"/>
          <w:lang w:eastAsia="es-MX"/>
        </w:rPr>
        <w:t xml:space="preserve">se procede a dictar la presente resolución. </w:t>
      </w:r>
    </w:p>
    <w:p w14:paraId="1D69E9C1" w14:textId="77777777" w:rsidR="00A96E4F" w:rsidRPr="00833366" w:rsidRDefault="00A96E4F" w:rsidP="006F5F55">
      <w:pPr>
        <w:tabs>
          <w:tab w:val="left" w:pos="1701"/>
        </w:tabs>
        <w:spacing w:before="240" w:line="360" w:lineRule="auto"/>
        <w:jc w:val="both"/>
        <w:rPr>
          <w:rFonts w:ascii="Palatino Linotype" w:hAnsi="Palatino Linotype" w:cs="Arial"/>
          <w:sz w:val="24"/>
          <w:lang w:eastAsia="es-MX"/>
        </w:rPr>
      </w:pPr>
    </w:p>
    <w:p w14:paraId="39A8E1A3" w14:textId="7B30AA56" w:rsidR="006168E4" w:rsidRPr="00833366" w:rsidRDefault="006168E4" w:rsidP="00844569">
      <w:pPr>
        <w:spacing w:before="240" w:after="240" w:line="360" w:lineRule="auto"/>
        <w:jc w:val="center"/>
        <w:rPr>
          <w:rFonts w:ascii="Palatino Linotype" w:hAnsi="Palatino Linotype"/>
          <w:b/>
          <w:sz w:val="28"/>
        </w:rPr>
      </w:pPr>
      <w:r w:rsidRPr="00833366">
        <w:rPr>
          <w:rFonts w:ascii="Palatino Linotype" w:hAnsi="Palatino Linotype"/>
          <w:b/>
          <w:sz w:val="28"/>
        </w:rPr>
        <w:t>A N T E C E D E N T E S   D E L   A S U N T O</w:t>
      </w:r>
    </w:p>
    <w:p w14:paraId="1EE5021C" w14:textId="77777777" w:rsidR="006168E4" w:rsidRPr="00833366" w:rsidRDefault="006168E4" w:rsidP="00844569">
      <w:pPr>
        <w:spacing w:before="240" w:after="240" w:line="360" w:lineRule="auto"/>
        <w:jc w:val="both"/>
        <w:rPr>
          <w:rFonts w:ascii="Palatino Linotype" w:hAnsi="Palatino Linotype"/>
        </w:rPr>
      </w:pPr>
      <w:r w:rsidRPr="00833366">
        <w:rPr>
          <w:rFonts w:ascii="Palatino Linotype" w:hAnsi="Palatino Linotype" w:cs="Arial"/>
          <w:b/>
          <w:sz w:val="28"/>
        </w:rPr>
        <w:t>PRIMERO.</w:t>
      </w:r>
      <w:r w:rsidRPr="00833366">
        <w:rPr>
          <w:rFonts w:ascii="Palatino Linotype" w:hAnsi="Palatino Linotype" w:cs="Arial"/>
        </w:rPr>
        <w:t xml:space="preserve"> </w:t>
      </w:r>
      <w:r w:rsidRPr="00833366">
        <w:rPr>
          <w:rFonts w:ascii="Palatino Linotype" w:hAnsi="Palatino Linotype"/>
          <w:b/>
          <w:sz w:val="28"/>
          <w:szCs w:val="28"/>
        </w:rPr>
        <w:t>De la Solicitud de Información.</w:t>
      </w:r>
    </w:p>
    <w:p w14:paraId="5673E521" w14:textId="3AAEA81D" w:rsidR="00A96E4F" w:rsidRPr="00833366" w:rsidRDefault="006168E4" w:rsidP="00844569">
      <w:pPr>
        <w:spacing w:before="240" w:line="360" w:lineRule="auto"/>
        <w:jc w:val="both"/>
        <w:rPr>
          <w:rFonts w:ascii="Palatino Linotype" w:hAnsi="Palatino Linotype" w:cs="Arial"/>
          <w:sz w:val="24"/>
        </w:rPr>
      </w:pPr>
      <w:r w:rsidRPr="00833366">
        <w:rPr>
          <w:rFonts w:ascii="Palatino Linotype" w:hAnsi="Palatino Linotype" w:cs="Arial"/>
          <w:sz w:val="24"/>
        </w:rPr>
        <w:t xml:space="preserve">Con </w:t>
      </w:r>
      <w:r w:rsidR="00C03F20" w:rsidRPr="00833366">
        <w:rPr>
          <w:rFonts w:ascii="Palatino Linotype" w:hAnsi="Palatino Linotype" w:cs="Arial"/>
          <w:sz w:val="24"/>
        </w:rPr>
        <w:t>fecha</w:t>
      </w:r>
      <w:r w:rsidR="00F4623D" w:rsidRPr="00833366">
        <w:rPr>
          <w:rFonts w:ascii="Palatino Linotype" w:hAnsi="Palatino Linotype" w:cs="Arial"/>
          <w:sz w:val="24"/>
        </w:rPr>
        <w:t xml:space="preserve"> </w:t>
      </w:r>
      <w:r w:rsidR="00A96E4F" w:rsidRPr="00833366">
        <w:rPr>
          <w:rFonts w:ascii="Palatino Linotype" w:hAnsi="Palatino Linotype" w:cs="Arial"/>
          <w:b/>
          <w:bCs/>
          <w:sz w:val="24"/>
        </w:rPr>
        <w:t xml:space="preserve">cuatro de agosto de dos mil veinticinco, El Recurrente, </w:t>
      </w:r>
      <w:r w:rsidR="00736C2C" w:rsidRPr="00833366">
        <w:rPr>
          <w:rFonts w:ascii="Palatino Linotype" w:hAnsi="Palatino Linotype" w:cs="Arial"/>
          <w:sz w:val="24"/>
        </w:rPr>
        <w:t>presentó a través del Sistema de Acceso a la Información Mexiquense (</w:t>
      </w:r>
      <w:r w:rsidR="00736C2C" w:rsidRPr="00833366">
        <w:rPr>
          <w:rFonts w:ascii="Palatino Linotype" w:hAnsi="Palatino Linotype" w:cs="Arial"/>
          <w:b/>
          <w:sz w:val="24"/>
        </w:rPr>
        <w:t>SAIMEX)</w:t>
      </w:r>
      <w:r w:rsidR="00736C2C" w:rsidRPr="00833366">
        <w:rPr>
          <w:rFonts w:ascii="Palatino Linotype" w:hAnsi="Palatino Linotype" w:cs="Arial"/>
          <w:sz w:val="24"/>
        </w:rPr>
        <w:t xml:space="preserve"> ante </w:t>
      </w:r>
      <w:r w:rsidR="00736C2C" w:rsidRPr="00833366">
        <w:rPr>
          <w:rFonts w:ascii="Palatino Linotype" w:hAnsi="Palatino Linotype" w:cs="Arial"/>
          <w:b/>
          <w:sz w:val="24"/>
        </w:rPr>
        <w:t>El Sujeto Obligado</w:t>
      </w:r>
      <w:r w:rsidR="00736C2C" w:rsidRPr="00833366">
        <w:rPr>
          <w:rFonts w:ascii="Palatino Linotype" w:hAnsi="Palatino Linotype" w:cs="Arial"/>
          <w:sz w:val="24"/>
        </w:rPr>
        <w:t xml:space="preserve">, solicitud de acceso a la información pública, registrada bajo el número de </w:t>
      </w:r>
      <w:proofErr w:type="gramStart"/>
      <w:r w:rsidR="00736C2C" w:rsidRPr="00833366">
        <w:rPr>
          <w:rFonts w:ascii="Palatino Linotype" w:hAnsi="Palatino Linotype" w:cs="Arial"/>
          <w:sz w:val="24"/>
        </w:rPr>
        <w:t>expediente</w:t>
      </w:r>
      <w:proofErr w:type="gramEnd"/>
      <w:r w:rsidR="00736C2C" w:rsidRPr="00833366">
        <w:rPr>
          <w:rFonts w:ascii="Palatino Linotype" w:hAnsi="Palatino Linotype" w:cs="Arial"/>
          <w:sz w:val="24"/>
        </w:rPr>
        <w:t xml:space="preserve"> </w:t>
      </w:r>
      <w:r w:rsidR="00A96E4F" w:rsidRPr="00833366">
        <w:rPr>
          <w:rFonts w:ascii="Palatino Linotype" w:hAnsi="Palatino Linotype" w:cs="Arial"/>
          <w:b/>
          <w:bCs/>
          <w:sz w:val="24"/>
        </w:rPr>
        <w:t xml:space="preserve">00012/DIFATIZAPAN/IP/2025, </w:t>
      </w:r>
      <w:r w:rsidR="00A96E4F" w:rsidRPr="00833366">
        <w:rPr>
          <w:rFonts w:ascii="Palatino Linotype" w:hAnsi="Palatino Linotype" w:cs="Arial"/>
          <w:sz w:val="24"/>
        </w:rPr>
        <w:t>mediante la cual solicitó información en el tenor siguiente:</w:t>
      </w:r>
    </w:p>
    <w:p w14:paraId="5AC5287C" w14:textId="716CBA67" w:rsidR="00A96E4F" w:rsidRPr="00833366" w:rsidRDefault="00A96E4F" w:rsidP="00A96E4F">
      <w:pPr>
        <w:pStyle w:val="Citas"/>
        <w:rPr>
          <w:b/>
          <w:bCs/>
        </w:rPr>
      </w:pPr>
      <w:r w:rsidRPr="00833366">
        <w:t xml:space="preserve">“Solicito la dispersión de </w:t>
      </w:r>
      <w:proofErr w:type="spellStart"/>
      <w:r w:rsidRPr="00833366">
        <w:t>nomina</w:t>
      </w:r>
      <w:proofErr w:type="spellEnd"/>
      <w:r w:rsidRPr="00833366">
        <w:t xml:space="preserve"> y conciliación de </w:t>
      </w:r>
      <w:proofErr w:type="spellStart"/>
      <w:r w:rsidRPr="00833366">
        <w:t>nomina</w:t>
      </w:r>
      <w:proofErr w:type="spellEnd"/>
      <w:r w:rsidRPr="00833366">
        <w:t xml:space="preserve"> de enero 2025 a la fecha de la solicitud” </w:t>
      </w:r>
      <w:r w:rsidRPr="00833366">
        <w:rPr>
          <w:b/>
          <w:bCs/>
        </w:rPr>
        <w:t>(Sic)</w:t>
      </w:r>
    </w:p>
    <w:p w14:paraId="73DDF68A" w14:textId="229F25F8" w:rsidR="00F4623D" w:rsidRPr="00833366" w:rsidRDefault="009D26D2"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33366">
        <w:rPr>
          <w:rFonts w:ascii="Palatino Linotype" w:eastAsia="Times New Roman" w:hAnsi="Palatino Linotype" w:cs="Times New Roman"/>
          <w:b/>
          <w:sz w:val="24"/>
          <w:szCs w:val="24"/>
          <w:lang w:val="es-ES_tradnl" w:eastAsia="es-ES"/>
        </w:rPr>
        <w:lastRenderedPageBreak/>
        <w:t>M</w:t>
      </w:r>
      <w:r w:rsidR="006168E4" w:rsidRPr="00833366">
        <w:rPr>
          <w:rFonts w:ascii="Palatino Linotype" w:eastAsia="Times New Roman" w:hAnsi="Palatino Linotype" w:cs="Times New Roman"/>
          <w:b/>
          <w:sz w:val="24"/>
          <w:szCs w:val="24"/>
          <w:lang w:val="es-ES_tradnl" w:eastAsia="es-ES"/>
        </w:rPr>
        <w:t>odalidad de entrega:</w:t>
      </w:r>
      <w:r w:rsidR="006168E4" w:rsidRPr="00833366">
        <w:rPr>
          <w:rFonts w:ascii="Palatino Linotype" w:eastAsia="Times New Roman" w:hAnsi="Palatino Linotype" w:cs="Times New Roman"/>
          <w:sz w:val="24"/>
          <w:szCs w:val="24"/>
          <w:lang w:val="es-ES_tradnl" w:eastAsia="es-ES"/>
        </w:rPr>
        <w:t xml:space="preserve"> </w:t>
      </w:r>
      <w:r w:rsidR="0018726A" w:rsidRPr="00833366">
        <w:rPr>
          <w:rFonts w:ascii="Palatino Linotype" w:eastAsia="Times New Roman" w:hAnsi="Palatino Linotype" w:cs="Times New Roman"/>
          <w:sz w:val="24"/>
          <w:szCs w:val="24"/>
          <w:lang w:val="es-ES_tradnl" w:eastAsia="es-ES"/>
        </w:rPr>
        <w:t xml:space="preserve">A </w:t>
      </w:r>
      <w:r w:rsidR="00F4623D" w:rsidRPr="00833366">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833366" w:rsidRDefault="00FB6049" w:rsidP="00844569">
      <w:pPr>
        <w:spacing w:before="240" w:line="360" w:lineRule="auto"/>
        <w:jc w:val="both"/>
        <w:rPr>
          <w:rFonts w:ascii="Palatino Linotype" w:hAnsi="Palatino Linotype" w:cs="Arial"/>
          <w:b/>
          <w:sz w:val="28"/>
        </w:rPr>
      </w:pPr>
    </w:p>
    <w:p w14:paraId="1B7C3267" w14:textId="0B9A5C1F" w:rsidR="006168E4" w:rsidRPr="00833366" w:rsidRDefault="00A96E4F" w:rsidP="00844569">
      <w:pPr>
        <w:spacing w:before="240" w:line="360" w:lineRule="auto"/>
        <w:jc w:val="both"/>
        <w:rPr>
          <w:rFonts w:ascii="Palatino Linotype" w:hAnsi="Palatino Linotype" w:cs="Arial"/>
          <w:b/>
          <w:sz w:val="28"/>
        </w:rPr>
      </w:pPr>
      <w:r w:rsidRPr="00833366">
        <w:rPr>
          <w:rFonts w:ascii="Palatino Linotype" w:hAnsi="Palatino Linotype" w:cs="Arial"/>
          <w:b/>
          <w:sz w:val="28"/>
        </w:rPr>
        <w:t>SEGUNDO</w:t>
      </w:r>
      <w:r w:rsidR="006168E4" w:rsidRPr="00833366">
        <w:rPr>
          <w:rFonts w:ascii="Palatino Linotype" w:hAnsi="Palatino Linotype" w:cs="Arial"/>
          <w:b/>
          <w:sz w:val="28"/>
        </w:rPr>
        <w:t xml:space="preserve">. </w:t>
      </w:r>
      <w:r w:rsidR="006168E4" w:rsidRPr="00833366">
        <w:rPr>
          <w:rFonts w:ascii="Palatino Linotype" w:hAnsi="Palatino Linotype" w:cs="Arial"/>
          <w:b/>
          <w:sz w:val="28"/>
          <w:szCs w:val="20"/>
        </w:rPr>
        <w:t>De la respuesta del Sujeto Obligado.</w:t>
      </w:r>
    </w:p>
    <w:p w14:paraId="3ADACA5E" w14:textId="3E7C95BC" w:rsidR="00A96E4F" w:rsidRPr="00833366" w:rsidRDefault="006168E4" w:rsidP="00045379">
      <w:pPr>
        <w:spacing w:before="240" w:line="360" w:lineRule="auto"/>
        <w:jc w:val="both"/>
        <w:rPr>
          <w:rFonts w:ascii="Palatino Linotype" w:hAnsi="Palatino Linotype" w:cs="Arial"/>
          <w:sz w:val="24"/>
          <w:szCs w:val="24"/>
        </w:rPr>
      </w:pPr>
      <w:r w:rsidRPr="00833366">
        <w:rPr>
          <w:rFonts w:ascii="Palatino Linotype" w:hAnsi="Palatino Linotype" w:cs="Arial"/>
          <w:sz w:val="24"/>
          <w:szCs w:val="24"/>
        </w:rPr>
        <w:t xml:space="preserve">En el expediente electrónico </w:t>
      </w:r>
      <w:r w:rsidRPr="00833366">
        <w:rPr>
          <w:rFonts w:ascii="Palatino Linotype" w:hAnsi="Palatino Linotype" w:cs="Arial"/>
          <w:b/>
          <w:sz w:val="24"/>
          <w:szCs w:val="24"/>
        </w:rPr>
        <w:t>SAIMEX</w:t>
      </w:r>
      <w:r w:rsidRPr="00833366">
        <w:rPr>
          <w:rFonts w:ascii="Palatino Linotype" w:hAnsi="Palatino Linotype" w:cs="Arial"/>
          <w:sz w:val="24"/>
          <w:szCs w:val="24"/>
        </w:rPr>
        <w:t xml:space="preserve">, se aprecia que el </w:t>
      </w:r>
      <w:r w:rsidR="00A96E4F" w:rsidRPr="00833366">
        <w:rPr>
          <w:rFonts w:ascii="Palatino Linotype" w:hAnsi="Palatino Linotype" w:cs="Arial"/>
          <w:b/>
          <w:bCs/>
          <w:sz w:val="24"/>
          <w:szCs w:val="24"/>
        </w:rPr>
        <w:t xml:space="preserve">veinticinco de agosto de dos mil veinticinco, El Sujeto Obligado </w:t>
      </w:r>
      <w:r w:rsidR="00A96E4F" w:rsidRPr="00833366">
        <w:rPr>
          <w:rFonts w:ascii="Palatino Linotype" w:hAnsi="Palatino Linotype" w:cs="Arial"/>
          <w:sz w:val="24"/>
          <w:szCs w:val="24"/>
        </w:rPr>
        <w:t xml:space="preserve">dio respuesta a la solicitud de información </w:t>
      </w:r>
      <w:r w:rsidR="00A96E4F" w:rsidRPr="00833366">
        <w:rPr>
          <w:rFonts w:ascii="Palatino Linotype" w:hAnsi="Palatino Linotype" w:cs="Arial"/>
          <w:b/>
          <w:bCs/>
          <w:sz w:val="24"/>
          <w:szCs w:val="24"/>
        </w:rPr>
        <w:t xml:space="preserve">00012/DIFATIZAPAN/IP/2025, </w:t>
      </w:r>
      <w:r w:rsidR="00A96E4F" w:rsidRPr="00833366">
        <w:rPr>
          <w:rFonts w:ascii="Palatino Linotype" w:hAnsi="Palatino Linotype" w:cs="Arial"/>
          <w:sz w:val="24"/>
          <w:szCs w:val="24"/>
        </w:rPr>
        <w:t>resulta de nuestro interés lo siguiente:</w:t>
      </w:r>
    </w:p>
    <w:p w14:paraId="4513D6DC" w14:textId="28AAA09E" w:rsidR="00A96E4F" w:rsidRPr="00833366" w:rsidRDefault="00A96E4F" w:rsidP="00A96E4F">
      <w:pPr>
        <w:pStyle w:val="Citas"/>
        <w:rPr>
          <w:b/>
          <w:bCs/>
        </w:rPr>
      </w:pPr>
      <w:r w:rsidRPr="00833366">
        <w:t xml:space="preserve">“adjunto la información requerida en cuanto a la solicitud” </w:t>
      </w:r>
      <w:r w:rsidRPr="00833366">
        <w:rPr>
          <w:b/>
          <w:bCs/>
        </w:rPr>
        <w:t>(Sic)</w:t>
      </w:r>
    </w:p>
    <w:p w14:paraId="056A1A4B" w14:textId="5EFD908C" w:rsidR="00A96E4F" w:rsidRPr="00833366" w:rsidRDefault="00B45924" w:rsidP="00045379">
      <w:pPr>
        <w:spacing w:before="240" w:line="360" w:lineRule="auto"/>
        <w:jc w:val="both"/>
        <w:rPr>
          <w:rFonts w:ascii="Palatino Linotype" w:hAnsi="Palatino Linotype" w:cs="Arial"/>
          <w:sz w:val="24"/>
          <w:szCs w:val="24"/>
        </w:rPr>
      </w:pPr>
      <w:r w:rsidRPr="00833366">
        <w:rPr>
          <w:rFonts w:ascii="Palatino Linotype" w:hAnsi="Palatino Linotype" w:cs="Arial"/>
          <w:sz w:val="24"/>
          <w:szCs w:val="24"/>
        </w:rPr>
        <w:t xml:space="preserve">Adjuntando para tal efecto </w:t>
      </w:r>
      <w:r w:rsidR="00A96E4F" w:rsidRPr="00833366">
        <w:rPr>
          <w:rFonts w:ascii="Palatino Linotype" w:hAnsi="Palatino Linotype" w:cs="Arial"/>
          <w:sz w:val="24"/>
          <w:szCs w:val="24"/>
        </w:rPr>
        <w:t xml:space="preserve">el documento electrónico </w:t>
      </w:r>
      <w:r w:rsidR="00A96E4F" w:rsidRPr="00833366">
        <w:rPr>
          <w:rFonts w:ascii="Palatino Linotype" w:hAnsi="Palatino Linotype" w:cs="Arial"/>
          <w:b/>
          <w:bCs/>
          <w:sz w:val="24"/>
          <w:szCs w:val="24"/>
        </w:rPr>
        <w:t xml:space="preserve">“solicutud12DIF.pdf”, </w:t>
      </w:r>
      <w:r w:rsidR="00A96E4F" w:rsidRPr="00833366">
        <w:rPr>
          <w:rFonts w:ascii="Palatino Linotype" w:hAnsi="Palatino Linotype" w:cs="Arial"/>
          <w:sz w:val="24"/>
          <w:szCs w:val="24"/>
        </w:rPr>
        <w:t xml:space="preserve">cuyo contenido será materia de análisis en párrafos subsecuentes. </w:t>
      </w:r>
    </w:p>
    <w:p w14:paraId="69AB4710" w14:textId="77777777" w:rsidR="00A96E4F" w:rsidRPr="00833366" w:rsidRDefault="00A96E4F" w:rsidP="00045379">
      <w:pPr>
        <w:spacing w:before="240" w:line="360" w:lineRule="auto"/>
        <w:jc w:val="both"/>
        <w:rPr>
          <w:rFonts w:ascii="Palatino Linotype" w:hAnsi="Palatino Linotype" w:cs="Arial"/>
          <w:b/>
          <w:bCs/>
          <w:sz w:val="24"/>
          <w:szCs w:val="24"/>
        </w:rPr>
      </w:pPr>
    </w:p>
    <w:p w14:paraId="37F573AF" w14:textId="019B3DEA" w:rsidR="006168E4" w:rsidRPr="00833366" w:rsidRDefault="00A96E4F" w:rsidP="00844569">
      <w:pPr>
        <w:spacing w:before="240" w:line="360" w:lineRule="auto"/>
        <w:jc w:val="both"/>
        <w:rPr>
          <w:rFonts w:ascii="Palatino Linotype" w:hAnsi="Palatino Linotype" w:cs="Arial"/>
          <w:b/>
          <w:sz w:val="28"/>
        </w:rPr>
      </w:pPr>
      <w:r w:rsidRPr="00833366">
        <w:rPr>
          <w:rFonts w:ascii="Palatino Linotype" w:hAnsi="Palatino Linotype" w:cs="Arial"/>
          <w:b/>
          <w:sz w:val="28"/>
        </w:rPr>
        <w:t>TERCERO</w:t>
      </w:r>
      <w:r w:rsidR="006168E4" w:rsidRPr="00833366">
        <w:rPr>
          <w:rFonts w:ascii="Palatino Linotype" w:hAnsi="Palatino Linotype" w:cs="Arial"/>
          <w:b/>
          <w:sz w:val="28"/>
        </w:rPr>
        <w:t xml:space="preserve">. </w:t>
      </w:r>
      <w:r w:rsidR="006168E4" w:rsidRPr="00833366">
        <w:rPr>
          <w:rFonts w:ascii="Palatino Linotype" w:hAnsi="Palatino Linotype"/>
          <w:b/>
          <w:sz w:val="28"/>
        </w:rPr>
        <w:t>Del recurso de revisión.</w:t>
      </w:r>
    </w:p>
    <w:p w14:paraId="3FB6D115" w14:textId="113B7F0C" w:rsidR="008602F9" w:rsidRPr="00833366" w:rsidRDefault="006168E4" w:rsidP="00844569">
      <w:pPr>
        <w:spacing w:before="240" w:line="360" w:lineRule="auto"/>
        <w:jc w:val="both"/>
        <w:rPr>
          <w:rFonts w:ascii="Palatino Linotype" w:hAnsi="Palatino Linotype" w:cs="Arial"/>
          <w:bCs/>
          <w:sz w:val="24"/>
          <w:szCs w:val="24"/>
        </w:rPr>
      </w:pPr>
      <w:r w:rsidRPr="00833366">
        <w:rPr>
          <w:rFonts w:ascii="Palatino Linotype" w:hAnsi="Palatino Linotype" w:cs="Arial"/>
          <w:sz w:val="24"/>
          <w:szCs w:val="24"/>
        </w:rPr>
        <w:t xml:space="preserve">Inconforme con la respuesta notificada por </w:t>
      </w:r>
      <w:r w:rsidR="008B42B1" w:rsidRPr="00833366">
        <w:rPr>
          <w:rFonts w:ascii="Palatino Linotype" w:hAnsi="Palatino Linotype" w:cs="Arial"/>
          <w:b/>
          <w:sz w:val="24"/>
          <w:szCs w:val="24"/>
        </w:rPr>
        <w:t>E</w:t>
      </w:r>
      <w:r w:rsidRPr="00833366">
        <w:rPr>
          <w:rFonts w:ascii="Palatino Linotype" w:hAnsi="Palatino Linotype" w:cs="Arial"/>
          <w:b/>
          <w:sz w:val="24"/>
          <w:szCs w:val="24"/>
        </w:rPr>
        <w:t xml:space="preserve">l </w:t>
      </w:r>
      <w:r w:rsidR="008B42B1" w:rsidRPr="00833366">
        <w:rPr>
          <w:rFonts w:ascii="Palatino Linotype" w:hAnsi="Palatino Linotype" w:cs="Arial"/>
          <w:b/>
          <w:sz w:val="24"/>
          <w:szCs w:val="24"/>
        </w:rPr>
        <w:t>S</w:t>
      </w:r>
      <w:r w:rsidRPr="00833366">
        <w:rPr>
          <w:rFonts w:ascii="Palatino Linotype" w:hAnsi="Palatino Linotype" w:cs="Arial"/>
          <w:b/>
          <w:sz w:val="24"/>
          <w:szCs w:val="24"/>
        </w:rPr>
        <w:t xml:space="preserve">ujeto </w:t>
      </w:r>
      <w:r w:rsidR="008B42B1" w:rsidRPr="00833366">
        <w:rPr>
          <w:rFonts w:ascii="Palatino Linotype" w:hAnsi="Palatino Linotype" w:cs="Arial"/>
          <w:b/>
          <w:sz w:val="24"/>
          <w:szCs w:val="24"/>
        </w:rPr>
        <w:t>O</w:t>
      </w:r>
      <w:r w:rsidRPr="00833366">
        <w:rPr>
          <w:rFonts w:ascii="Palatino Linotype" w:hAnsi="Palatino Linotype" w:cs="Arial"/>
          <w:b/>
          <w:sz w:val="24"/>
          <w:szCs w:val="24"/>
        </w:rPr>
        <w:t xml:space="preserve">bligado, </w:t>
      </w:r>
      <w:r w:rsidR="005202C4" w:rsidRPr="00833366">
        <w:rPr>
          <w:rFonts w:ascii="Palatino Linotype" w:hAnsi="Palatino Linotype" w:cs="Arial"/>
          <w:b/>
          <w:sz w:val="24"/>
          <w:szCs w:val="24"/>
        </w:rPr>
        <w:t>El</w:t>
      </w:r>
      <w:r w:rsidR="00817A08" w:rsidRPr="00833366">
        <w:rPr>
          <w:rFonts w:ascii="Palatino Linotype" w:hAnsi="Palatino Linotype" w:cs="Arial"/>
          <w:b/>
          <w:sz w:val="24"/>
          <w:szCs w:val="24"/>
        </w:rPr>
        <w:t xml:space="preserve"> Recurrente </w:t>
      </w:r>
      <w:r w:rsidR="00817A08" w:rsidRPr="00833366">
        <w:rPr>
          <w:rFonts w:ascii="Palatino Linotype" w:hAnsi="Palatino Linotype" w:cs="Arial"/>
          <w:bCs/>
          <w:sz w:val="24"/>
          <w:szCs w:val="24"/>
        </w:rPr>
        <w:t xml:space="preserve">interpuso el recurso de revisión, en fecha </w:t>
      </w:r>
      <w:r w:rsidR="00A96E4F" w:rsidRPr="00833366">
        <w:rPr>
          <w:rFonts w:ascii="Palatino Linotype" w:hAnsi="Palatino Linotype" w:cs="Arial"/>
          <w:b/>
          <w:sz w:val="24"/>
          <w:szCs w:val="24"/>
        </w:rPr>
        <w:t xml:space="preserve">uno de septiembre de dos mil veinticinco, </w:t>
      </w:r>
      <w:r w:rsidR="00B45924" w:rsidRPr="00833366">
        <w:rPr>
          <w:rFonts w:ascii="Palatino Linotype" w:hAnsi="Palatino Linotype" w:cs="Arial"/>
          <w:bCs/>
          <w:sz w:val="24"/>
          <w:szCs w:val="24"/>
        </w:rPr>
        <w:t xml:space="preserve">el cual fue </w:t>
      </w:r>
      <w:r w:rsidR="008602F9" w:rsidRPr="00833366">
        <w:rPr>
          <w:rFonts w:ascii="Palatino Linotype" w:hAnsi="Palatino Linotype" w:cs="Arial"/>
          <w:bCs/>
          <w:sz w:val="24"/>
          <w:szCs w:val="24"/>
        </w:rPr>
        <w:t xml:space="preserve">registrado en el sistema electrónico con el expediente </w:t>
      </w:r>
      <w:r w:rsidR="00A96E4F" w:rsidRPr="00833366">
        <w:rPr>
          <w:rFonts w:ascii="Palatino Linotype" w:hAnsi="Palatino Linotype" w:cs="Arial"/>
          <w:b/>
          <w:sz w:val="24"/>
          <w:szCs w:val="24"/>
        </w:rPr>
        <w:t>10305</w:t>
      </w:r>
      <w:r w:rsidR="008602F9" w:rsidRPr="00833366">
        <w:rPr>
          <w:rFonts w:ascii="Palatino Linotype" w:hAnsi="Palatino Linotype" w:cs="Arial"/>
          <w:b/>
          <w:sz w:val="24"/>
          <w:szCs w:val="24"/>
        </w:rPr>
        <w:t xml:space="preserve">/INFOEM/IP/RR/2025, </w:t>
      </w:r>
      <w:r w:rsidR="008602F9" w:rsidRPr="00833366">
        <w:rPr>
          <w:rFonts w:ascii="Palatino Linotype" w:hAnsi="Palatino Linotype" w:cs="Arial"/>
          <w:bCs/>
          <w:sz w:val="24"/>
          <w:szCs w:val="24"/>
        </w:rPr>
        <w:t>en el cual arguye las siguientes manifestaciones:</w:t>
      </w:r>
    </w:p>
    <w:p w14:paraId="3774298B" w14:textId="77777777" w:rsidR="006168E4" w:rsidRPr="00833366" w:rsidRDefault="006168E4" w:rsidP="00844569">
      <w:pPr>
        <w:spacing w:before="240" w:line="360" w:lineRule="auto"/>
        <w:jc w:val="both"/>
        <w:rPr>
          <w:rFonts w:ascii="Palatino Linotype" w:hAnsi="Palatino Linotype" w:cs="Arial"/>
          <w:b/>
          <w:sz w:val="24"/>
        </w:rPr>
      </w:pPr>
      <w:r w:rsidRPr="00833366">
        <w:rPr>
          <w:rFonts w:ascii="Palatino Linotype" w:hAnsi="Palatino Linotype" w:cs="Arial"/>
          <w:b/>
          <w:sz w:val="24"/>
        </w:rPr>
        <w:t>Acto Impugnado:</w:t>
      </w:r>
    </w:p>
    <w:p w14:paraId="40CA7A53" w14:textId="14A0FAF4" w:rsidR="003406C5" w:rsidRPr="00833366" w:rsidRDefault="003406C5" w:rsidP="003406C5">
      <w:pPr>
        <w:pStyle w:val="Citas"/>
        <w:rPr>
          <w:b/>
          <w:bCs/>
          <w:sz w:val="24"/>
        </w:rPr>
      </w:pPr>
      <w:r w:rsidRPr="00833366">
        <w:t>“</w:t>
      </w:r>
      <w:r w:rsidR="00A96E4F" w:rsidRPr="00833366">
        <w:t>Respuesta</w:t>
      </w:r>
      <w:r w:rsidRPr="00833366">
        <w:t xml:space="preserve">” </w:t>
      </w:r>
      <w:r w:rsidRPr="00833366">
        <w:rPr>
          <w:b/>
          <w:bCs/>
        </w:rPr>
        <w:t>(Sic)</w:t>
      </w:r>
    </w:p>
    <w:p w14:paraId="22A465CC" w14:textId="77777777" w:rsidR="006168E4" w:rsidRPr="00833366" w:rsidRDefault="006168E4" w:rsidP="00844569">
      <w:pPr>
        <w:spacing w:before="240" w:line="360" w:lineRule="auto"/>
        <w:jc w:val="both"/>
        <w:rPr>
          <w:rFonts w:ascii="Palatino Linotype" w:hAnsi="Palatino Linotype" w:cs="Arial"/>
          <w:sz w:val="24"/>
        </w:rPr>
      </w:pPr>
      <w:r w:rsidRPr="00833366">
        <w:rPr>
          <w:rFonts w:ascii="Palatino Linotype" w:hAnsi="Palatino Linotype" w:cs="Arial"/>
          <w:b/>
          <w:sz w:val="24"/>
        </w:rPr>
        <w:lastRenderedPageBreak/>
        <w:t>Razones o Motivos de Inconformidad</w:t>
      </w:r>
      <w:r w:rsidRPr="00833366">
        <w:rPr>
          <w:rFonts w:ascii="Palatino Linotype" w:hAnsi="Palatino Linotype" w:cs="Arial"/>
          <w:sz w:val="24"/>
        </w:rPr>
        <w:t xml:space="preserve">: </w:t>
      </w:r>
    </w:p>
    <w:p w14:paraId="0F651FB8" w14:textId="641B42E9" w:rsidR="005202C4" w:rsidRPr="00833366" w:rsidRDefault="003406C5" w:rsidP="003406C5">
      <w:pPr>
        <w:pStyle w:val="Citas"/>
        <w:rPr>
          <w:b/>
          <w:bCs/>
        </w:rPr>
      </w:pPr>
      <w:r w:rsidRPr="00833366">
        <w:t>“</w:t>
      </w:r>
      <w:r w:rsidR="00A96E4F" w:rsidRPr="00833366">
        <w:t>No remiten lo solicitado</w:t>
      </w:r>
      <w:r w:rsidRPr="00833366">
        <w:t xml:space="preserve">” </w:t>
      </w:r>
      <w:r w:rsidRPr="00833366">
        <w:rPr>
          <w:b/>
          <w:bCs/>
        </w:rPr>
        <w:t>(Sic)</w:t>
      </w:r>
    </w:p>
    <w:p w14:paraId="5B263052" w14:textId="77777777" w:rsidR="003406C5" w:rsidRPr="00833366" w:rsidRDefault="003406C5" w:rsidP="00AA207C">
      <w:pPr>
        <w:pStyle w:val="Citas"/>
        <w:rPr>
          <w:b/>
        </w:rPr>
      </w:pPr>
    </w:p>
    <w:p w14:paraId="7E88DE81" w14:textId="4EFF8A34" w:rsidR="006168E4" w:rsidRPr="00833366" w:rsidRDefault="00A96E4F" w:rsidP="00844569">
      <w:pPr>
        <w:spacing w:before="240" w:line="360" w:lineRule="auto"/>
        <w:jc w:val="both"/>
        <w:rPr>
          <w:rFonts w:ascii="Palatino Linotype" w:hAnsi="Palatino Linotype" w:cs="Arial"/>
          <w:b/>
          <w:sz w:val="24"/>
          <w:szCs w:val="24"/>
        </w:rPr>
      </w:pPr>
      <w:r w:rsidRPr="00833366">
        <w:rPr>
          <w:rFonts w:ascii="Palatino Linotype" w:hAnsi="Palatino Linotype" w:cs="Arial"/>
          <w:b/>
          <w:sz w:val="28"/>
        </w:rPr>
        <w:t>CUARTO</w:t>
      </w:r>
      <w:r w:rsidR="006168E4" w:rsidRPr="00833366">
        <w:rPr>
          <w:rFonts w:ascii="Palatino Linotype" w:hAnsi="Palatino Linotype" w:cs="Arial"/>
          <w:b/>
          <w:sz w:val="24"/>
          <w:szCs w:val="24"/>
        </w:rPr>
        <w:t xml:space="preserve">. </w:t>
      </w:r>
      <w:r w:rsidR="006168E4" w:rsidRPr="00833366">
        <w:rPr>
          <w:rFonts w:ascii="Palatino Linotype" w:hAnsi="Palatino Linotype" w:cs="Arial"/>
          <w:b/>
          <w:sz w:val="28"/>
          <w:szCs w:val="28"/>
        </w:rPr>
        <w:t>Del turno del recurso de revisión.</w:t>
      </w:r>
    </w:p>
    <w:p w14:paraId="63CCE915" w14:textId="2F75EC35" w:rsidR="006168E4" w:rsidRPr="00833366" w:rsidRDefault="006168E4" w:rsidP="00844569">
      <w:pPr>
        <w:spacing w:before="240" w:line="360" w:lineRule="auto"/>
        <w:jc w:val="both"/>
        <w:rPr>
          <w:rFonts w:ascii="Palatino Linotype" w:hAnsi="Palatino Linotype" w:cs="Arial"/>
          <w:sz w:val="24"/>
          <w:szCs w:val="24"/>
        </w:rPr>
      </w:pPr>
      <w:r w:rsidRPr="00833366">
        <w:rPr>
          <w:rFonts w:ascii="Palatino Linotype" w:hAnsi="Palatino Linotype" w:cs="Arial"/>
          <w:sz w:val="24"/>
          <w:szCs w:val="24"/>
        </w:rPr>
        <w:t xml:space="preserve">Medio de impugnación que le fue turnado </w:t>
      </w:r>
      <w:r w:rsidR="0018726A" w:rsidRPr="00833366">
        <w:rPr>
          <w:rFonts w:ascii="Palatino Linotype" w:hAnsi="Palatino Linotype" w:cs="Arial"/>
          <w:sz w:val="24"/>
          <w:szCs w:val="24"/>
        </w:rPr>
        <w:t>al Comisionado</w:t>
      </w:r>
      <w:r w:rsidRPr="00833366">
        <w:rPr>
          <w:rFonts w:ascii="Palatino Linotype" w:hAnsi="Palatino Linotype" w:cs="Arial"/>
          <w:sz w:val="24"/>
          <w:szCs w:val="24"/>
        </w:rPr>
        <w:t xml:space="preserve"> </w:t>
      </w:r>
      <w:r w:rsidR="000E5F05" w:rsidRPr="00833366">
        <w:rPr>
          <w:rFonts w:ascii="Palatino Linotype" w:hAnsi="Palatino Linotype" w:cs="Arial"/>
          <w:b/>
          <w:sz w:val="24"/>
          <w:szCs w:val="24"/>
        </w:rPr>
        <w:t>José Martínez Vilchis</w:t>
      </w:r>
      <w:r w:rsidRPr="00833366">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833366">
        <w:rPr>
          <w:rFonts w:ascii="Palatino Linotype" w:hAnsi="Palatino Linotype" w:cs="Arial"/>
          <w:sz w:val="24"/>
          <w:szCs w:val="24"/>
        </w:rPr>
        <w:t xml:space="preserve"> </w:t>
      </w:r>
      <w:r w:rsidR="00A96E4F" w:rsidRPr="00833366">
        <w:rPr>
          <w:rFonts w:ascii="Palatino Linotype" w:hAnsi="Palatino Linotype" w:cs="Arial"/>
          <w:b/>
          <w:bCs/>
          <w:sz w:val="24"/>
          <w:szCs w:val="24"/>
        </w:rPr>
        <w:t xml:space="preserve">cuatro de septiembre de dos mil veinticinco, </w:t>
      </w:r>
      <w:r w:rsidRPr="00833366">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833366" w:rsidRDefault="005E46D0" w:rsidP="00844569">
      <w:pPr>
        <w:spacing w:before="240" w:line="360" w:lineRule="auto"/>
        <w:jc w:val="both"/>
        <w:rPr>
          <w:rFonts w:ascii="Palatino Linotype" w:hAnsi="Palatino Linotype" w:cs="Arial"/>
          <w:sz w:val="24"/>
          <w:szCs w:val="24"/>
        </w:rPr>
      </w:pPr>
    </w:p>
    <w:p w14:paraId="4BCFD455" w14:textId="104F5EA4" w:rsidR="006168E4" w:rsidRPr="00833366" w:rsidRDefault="00A96E4F" w:rsidP="00844569">
      <w:pPr>
        <w:spacing w:before="240" w:line="360" w:lineRule="auto"/>
        <w:jc w:val="both"/>
        <w:rPr>
          <w:rFonts w:ascii="Palatino Linotype" w:hAnsi="Palatino Linotype" w:cs="Arial"/>
          <w:b/>
          <w:sz w:val="24"/>
          <w:szCs w:val="24"/>
        </w:rPr>
      </w:pPr>
      <w:r w:rsidRPr="00833366">
        <w:rPr>
          <w:rFonts w:ascii="Palatino Linotype" w:hAnsi="Palatino Linotype" w:cs="Arial"/>
          <w:b/>
          <w:sz w:val="28"/>
        </w:rPr>
        <w:t>QUINTO</w:t>
      </w:r>
      <w:r w:rsidR="006168E4" w:rsidRPr="00833366">
        <w:rPr>
          <w:rFonts w:ascii="Palatino Linotype" w:hAnsi="Palatino Linotype" w:cs="Arial"/>
          <w:b/>
          <w:sz w:val="24"/>
          <w:szCs w:val="24"/>
        </w:rPr>
        <w:t xml:space="preserve">. </w:t>
      </w:r>
      <w:r w:rsidR="006168E4" w:rsidRPr="00833366">
        <w:rPr>
          <w:rFonts w:ascii="Palatino Linotype" w:hAnsi="Palatino Linotype" w:cs="Arial"/>
          <w:b/>
          <w:sz w:val="28"/>
          <w:szCs w:val="28"/>
        </w:rPr>
        <w:t>De la etapa de instrucción.</w:t>
      </w:r>
    </w:p>
    <w:p w14:paraId="6B061E41" w14:textId="5F52FD82" w:rsidR="00A96E4F" w:rsidRPr="00833366" w:rsidRDefault="005E46D0" w:rsidP="005E46D0">
      <w:pPr>
        <w:spacing w:before="240" w:line="360" w:lineRule="auto"/>
        <w:jc w:val="both"/>
        <w:rPr>
          <w:rFonts w:ascii="Palatino Linotype" w:hAnsi="Palatino Linotype" w:cs="Arial"/>
          <w:b/>
          <w:sz w:val="24"/>
          <w:szCs w:val="24"/>
        </w:rPr>
      </w:pPr>
      <w:r w:rsidRPr="00833366">
        <w:rPr>
          <w:rFonts w:ascii="Palatino Linotype" w:hAnsi="Palatino Linotype" w:cs="Arial"/>
          <w:sz w:val="24"/>
          <w:szCs w:val="24"/>
        </w:rPr>
        <w:t xml:space="preserve">Así, una vez transcurrido el término legal referido, se advierte que </w:t>
      </w:r>
      <w:r w:rsidRPr="00833366">
        <w:rPr>
          <w:rFonts w:ascii="Palatino Linotype" w:hAnsi="Palatino Linotype" w:cs="Arial"/>
          <w:b/>
          <w:sz w:val="24"/>
          <w:szCs w:val="24"/>
        </w:rPr>
        <w:t xml:space="preserve">El Sujeto Obligado </w:t>
      </w:r>
      <w:r w:rsidR="00A96E4F" w:rsidRPr="00833366">
        <w:rPr>
          <w:rFonts w:ascii="Palatino Linotype" w:hAnsi="Palatino Linotype" w:cs="Arial"/>
          <w:bCs/>
          <w:sz w:val="24"/>
          <w:szCs w:val="24"/>
        </w:rPr>
        <w:t xml:space="preserve">fue omiso en rendir su informe justificado. </w:t>
      </w:r>
      <w:r w:rsidR="00EC49AF" w:rsidRPr="00833366">
        <w:rPr>
          <w:rFonts w:ascii="Palatino Linotype" w:hAnsi="Palatino Linotype" w:cs="Arial"/>
          <w:bCs/>
          <w:sz w:val="24"/>
          <w:szCs w:val="24"/>
        </w:rPr>
        <w:t xml:space="preserve"> </w:t>
      </w:r>
    </w:p>
    <w:p w14:paraId="271074BF" w14:textId="7F0676A2" w:rsidR="00EC49AF" w:rsidRPr="00833366" w:rsidRDefault="00EC49AF" w:rsidP="00EC49AF">
      <w:pPr>
        <w:spacing w:before="240" w:line="360" w:lineRule="auto"/>
        <w:jc w:val="both"/>
        <w:rPr>
          <w:rFonts w:ascii="Palatino Linotype" w:hAnsi="Palatino Linotype" w:cs="Arial"/>
          <w:sz w:val="24"/>
          <w:szCs w:val="24"/>
        </w:rPr>
      </w:pPr>
      <w:r w:rsidRPr="00833366">
        <w:rPr>
          <w:rFonts w:ascii="Palatino Linotype" w:hAnsi="Palatino Linotype" w:cs="Arial"/>
          <w:bCs/>
          <w:sz w:val="24"/>
          <w:szCs w:val="24"/>
        </w:rPr>
        <w:t xml:space="preserve">Por lo cual se decretó el cierre de instrucción con fecha </w:t>
      </w:r>
      <w:r w:rsidR="00A96E4F" w:rsidRPr="00833366">
        <w:rPr>
          <w:rFonts w:ascii="Palatino Linotype" w:hAnsi="Palatino Linotype" w:cs="Arial"/>
          <w:b/>
          <w:sz w:val="24"/>
          <w:szCs w:val="24"/>
        </w:rPr>
        <w:t>diecinueve de septiembre</w:t>
      </w:r>
      <w:r w:rsidR="00B452AF" w:rsidRPr="00833366">
        <w:rPr>
          <w:rFonts w:ascii="Palatino Linotype" w:hAnsi="Palatino Linotype" w:cs="Arial"/>
          <w:b/>
          <w:sz w:val="24"/>
          <w:szCs w:val="24"/>
        </w:rPr>
        <w:t xml:space="preserve"> de dos mil veinticinco</w:t>
      </w:r>
      <w:r w:rsidRPr="00833366">
        <w:rPr>
          <w:rFonts w:ascii="Palatino Linotype" w:hAnsi="Palatino Linotype" w:cs="Arial"/>
          <w:b/>
          <w:sz w:val="24"/>
          <w:szCs w:val="24"/>
        </w:rPr>
        <w:t xml:space="preserve">, </w:t>
      </w:r>
      <w:r w:rsidRPr="00833366">
        <w:rPr>
          <w:rFonts w:ascii="Palatino Linotype" w:hAnsi="Palatino Linotype" w:cs="Arial"/>
          <w:bCs/>
          <w:sz w:val="24"/>
          <w:szCs w:val="24"/>
        </w:rPr>
        <w:t>en</w:t>
      </w:r>
      <w:r w:rsidRPr="00833366">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15F9B1F6" w14:textId="1E1ABE70" w:rsidR="00A96E4F" w:rsidRPr="00833366" w:rsidRDefault="00A96E4F" w:rsidP="00A96E4F">
      <w:pPr>
        <w:spacing w:line="360" w:lineRule="auto"/>
        <w:jc w:val="both"/>
        <w:rPr>
          <w:rFonts w:ascii="Palatino Linotype" w:hAnsi="Palatino Linotype" w:cs="Arial"/>
          <w:sz w:val="24"/>
          <w:szCs w:val="24"/>
        </w:rPr>
      </w:pPr>
      <w:r w:rsidRPr="00833366">
        <w:rPr>
          <w:rFonts w:ascii="Palatino Linotype" w:hAnsi="Palatino Linotype" w:cs="Arial"/>
          <w:sz w:val="24"/>
          <w:szCs w:val="24"/>
        </w:rPr>
        <w:lastRenderedPageBreak/>
        <w:t xml:space="preserve">Adicionalmente, </w:t>
      </w:r>
      <w:r w:rsidRPr="00833366">
        <w:rPr>
          <w:rFonts w:ascii="Palatino Linotype" w:hAnsi="Palatino Linotype" w:cs="Arial"/>
          <w:b/>
          <w:bCs/>
          <w:sz w:val="24"/>
          <w:szCs w:val="24"/>
        </w:rPr>
        <w:t>el quince de octubre del presente,</w:t>
      </w:r>
      <w:r w:rsidRPr="00833366">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389E8095" w14:textId="77777777" w:rsidR="00EC49AF" w:rsidRPr="00833366" w:rsidRDefault="00EC49AF" w:rsidP="005E46D0">
      <w:pPr>
        <w:spacing w:before="240" w:line="360" w:lineRule="auto"/>
        <w:jc w:val="both"/>
        <w:rPr>
          <w:rFonts w:ascii="Palatino Linotype" w:hAnsi="Palatino Linotype" w:cs="Arial"/>
          <w:bCs/>
          <w:sz w:val="24"/>
          <w:szCs w:val="24"/>
        </w:rPr>
      </w:pPr>
    </w:p>
    <w:p w14:paraId="67D0FD90" w14:textId="77777777" w:rsidR="006168E4" w:rsidRPr="00833366" w:rsidRDefault="006168E4" w:rsidP="00844569">
      <w:pPr>
        <w:spacing w:before="240" w:line="360" w:lineRule="auto"/>
        <w:jc w:val="center"/>
        <w:rPr>
          <w:rFonts w:ascii="Palatino Linotype" w:hAnsi="Palatino Linotype" w:cs="Arial"/>
          <w:b/>
          <w:sz w:val="24"/>
        </w:rPr>
      </w:pPr>
      <w:r w:rsidRPr="00833366">
        <w:rPr>
          <w:rFonts w:ascii="Palatino Linotype" w:hAnsi="Palatino Linotype" w:cs="Arial"/>
          <w:b/>
          <w:sz w:val="24"/>
        </w:rPr>
        <w:t xml:space="preserve">C O N S I D E R A N D O </w:t>
      </w:r>
    </w:p>
    <w:p w14:paraId="579C7ABE" w14:textId="77777777" w:rsidR="006168E4" w:rsidRPr="00833366" w:rsidRDefault="006168E4" w:rsidP="00844569">
      <w:pPr>
        <w:spacing w:before="240" w:line="360" w:lineRule="auto"/>
        <w:jc w:val="both"/>
        <w:rPr>
          <w:rFonts w:ascii="Palatino Linotype" w:hAnsi="Palatino Linotype" w:cs="Arial"/>
          <w:sz w:val="24"/>
        </w:rPr>
      </w:pPr>
      <w:r w:rsidRPr="00833366">
        <w:rPr>
          <w:rFonts w:ascii="Palatino Linotype" w:hAnsi="Palatino Linotype" w:cs="Arial"/>
          <w:b/>
          <w:sz w:val="28"/>
        </w:rPr>
        <w:t>PRIMERO.</w:t>
      </w:r>
      <w:r w:rsidRPr="00833366">
        <w:rPr>
          <w:rFonts w:ascii="Palatino Linotype" w:hAnsi="Palatino Linotype" w:cs="Arial"/>
          <w:b/>
        </w:rPr>
        <w:t xml:space="preserve"> </w:t>
      </w:r>
      <w:r w:rsidRPr="00833366">
        <w:rPr>
          <w:rFonts w:ascii="Palatino Linotype" w:hAnsi="Palatino Linotype" w:cs="Arial"/>
          <w:b/>
          <w:sz w:val="28"/>
          <w:szCs w:val="28"/>
        </w:rPr>
        <w:t>De la competencia</w:t>
      </w:r>
      <w:r w:rsidRPr="00833366">
        <w:rPr>
          <w:rFonts w:ascii="Palatino Linotype" w:hAnsi="Palatino Linotype" w:cs="Arial"/>
          <w:sz w:val="28"/>
          <w:szCs w:val="28"/>
        </w:rPr>
        <w:t>.</w:t>
      </w:r>
    </w:p>
    <w:p w14:paraId="5EF8792E" w14:textId="77777777" w:rsidR="00B45924" w:rsidRPr="00833366" w:rsidRDefault="00B45924" w:rsidP="00B45924">
      <w:pPr>
        <w:spacing w:line="360" w:lineRule="auto"/>
        <w:jc w:val="both"/>
        <w:rPr>
          <w:rFonts w:ascii="Palatino Linotype" w:hAnsi="Palatino Linotype"/>
          <w:sz w:val="24"/>
          <w:szCs w:val="24"/>
        </w:rPr>
      </w:pPr>
      <w:r w:rsidRPr="0083336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2877A123" w14:textId="77777777" w:rsidR="00B452AF" w:rsidRPr="00833366" w:rsidRDefault="00B452AF" w:rsidP="00BF01A7">
      <w:pPr>
        <w:spacing w:after="0" w:line="360" w:lineRule="auto"/>
        <w:jc w:val="both"/>
        <w:rPr>
          <w:rFonts w:ascii="Palatino Linotype" w:hAnsi="Palatino Linotype" w:cs="Arial"/>
          <w:sz w:val="24"/>
          <w:szCs w:val="24"/>
        </w:rPr>
      </w:pPr>
    </w:p>
    <w:p w14:paraId="71AC3F8F" w14:textId="77777777" w:rsidR="006168E4" w:rsidRPr="00833366"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833366">
        <w:rPr>
          <w:rFonts w:ascii="Palatino Linotype" w:hAnsi="Palatino Linotype" w:cs="Arial"/>
          <w:b/>
          <w:sz w:val="28"/>
        </w:rPr>
        <w:lastRenderedPageBreak/>
        <w:t>SEGUNDO</w:t>
      </w:r>
      <w:r w:rsidRPr="00833366">
        <w:rPr>
          <w:rFonts w:ascii="Palatino Linotype" w:hAnsi="Palatino Linotype" w:cs="Arial"/>
          <w:b/>
        </w:rPr>
        <w:t xml:space="preserve">. </w:t>
      </w:r>
      <w:r w:rsidRPr="00833366">
        <w:rPr>
          <w:rFonts w:ascii="Palatino Linotype" w:hAnsi="Palatino Linotype" w:cs="Arial"/>
          <w:b/>
          <w:sz w:val="28"/>
          <w:szCs w:val="28"/>
        </w:rPr>
        <w:t>Sobre los alcances del recurso de revisión.</w:t>
      </w:r>
      <w:r w:rsidRPr="00833366">
        <w:rPr>
          <w:rFonts w:ascii="Palatino Linotype" w:hAnsi="Palatino Linotype" w:cs="Arial"/>
          <w:b/>
        </w:rPr>
        <w:t xml:space="preserve"> </w:t>
      </w:r>
    </w:p>
    <w:p w14:paraId="780F37AC" w14:textId="77777777" w:rsidR="006168E4" w:rsidRPr="00833366"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83336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833366"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9C45CB4" w14:textId="77777777" w:rsidR="00A96E4F" w:rsidRPr="00833366" w:rsidRDefault="00A96E4F" w:rsidP="00A96E4F">
      <w:pPr>
        <w:spacing w:after="0" w:line="360" w:lineRule="auto"/>
        <w:jc w:val="both"/>
        <w:rPr>
          <w:rFonts w:ascii="Palatino Linotype" w:eastAsia="Times New Roman" w:hAnsi="Palatino Linotype" w:cs="Times New Roman"/>
          <w:sz w:val="24"/>
          <w:szCs w:val="24"/>
          <w:lang w:eastAsia="es-ES"/>
        </w:rPr>
      </w:pPr>
      <w:r w:rsidRPr="00833366">
        <w:rPr>
          <w:rFonts w:ascii="Palatino Linotype" w:hAnsi="Palatino Linotype" w:cs="Arial"/>
          <w:b/>
          <w:sz w:val="28"/>
        </w:rPr>
        <w:t xml:space="preserve">TERCERO. Cuestiones de previo y especial pronunciamiento. </w:t>
      </w:r>
      <w:r w:rsidRPr="00833366">
        <w:rPr>
          <w:rFonts w:ascii="Palatino Linotype" w:eastAsia="Times New Roman" w:hAnsi="Palatino Linotype" w:cs="Times New Roman"/>
          <w:sz w:val="24"/>
          <w:szCs w:val="24"/>
          <w:lang w:eastAsia="es-ES"/>
        </w:rPr>
        <w:t xml:space="preserve"> </w:t>
      </w:r>
    </w:p>
    <w:p w14:paraId="5D253E67" w14:textId="77777777" w:rsidR="00A96E4F" w:rsidRPr="00833366" w:rsidRDefault="00A96E4F" w:rsidP="00A96E4F">
      <w:pPr>
        <w:pStyle w:val="Prrafodelista"/>
        <w:autoSpaceDE w:val="0"/>
        <w:autoSpaceDN w:val="0"/>
        <w:adjustRightInd w:val="0"/>
        <w:spacing w:before="240" w:after="160" w:line="360" w:lineRule="auto"/>
        <w:ind w:left="0"/>
        <w:jc w:val="both"/>
        <w:rPr>
          <w:rFonts w:ascii="Palatino Linotype" w:hAnsi="Palatino Linotype"/>
        </w:rPr>
      </w:pPr>
      <w:r w:rsidRPr="00833366">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78D7ED86"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b/>
          <w:i/>
          <w:lang w:eastAsia="es-ES"/>
        </w:rPr>
        <w:t xml:space="preserve">“Artículo 180. </w:t>
      </w:r>
      <w:r w:rsidRPr="00833366">
        <w:rPr>
          <w:rFonts w:ascii="Palatino Linotype" w:eastAsia="Times New Roman" w:hAnsi="Palatino Linotype" w:cs="Arial"/>
          <w:i/>
          <w:lang w:eastAsia="es-ES"/>
        </w:rPr>
        <w:t>El recurso de revisión contendrá:</w:t>
      </w:r>
    </w:p>
    <w:p w14:paraId="0EC03467"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t>I. El sujeto obligado ante la cual se presentó la solicitud;</w:t>
      </w:r>
    </w:p>
    <w:p w14:paraId="7EA71DAB"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b/>
          <w:i/>
          <w:u w:val="single"/>
          <w:lang w:eastAsia="es-ES"/>
        </w:rPr>
        <w:t>II. El nombre del solicitante que recurre</w:t>
      </w:r>
      <w:r w:rsidRPr="00833366">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C2A298C"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lastRenderedPageBreak/>
        <w:t>III. El número de folio de respuesta de la solicitud de acceso;</w:t>
      </w:r>
    </w:p>
    <w:p w14:paraId="2888C696"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2374388"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t>V. El acto que se recurre;</w:t>
      </w:r>
    </w:p>
    <w:p w14:paraId="3D26867B"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t>VI. Las razones o motivos de inconformidad;</w:t>
      </w:r>
    </w:p>
    <w:p w14:paraId="0A0200DE"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E7F282"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t>VIII. Firma del recurrente, en su caso, cuando se presente por escrito, requisito sin el cual se dará trámite al recurso.</w:t>
      </w:r>
    </w:p>
    <w:p w14:paraId="224F1F00"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t>Adicionalmente, se podrán anexar las pruebas y demás elementos que considere procedentes someter a juicio del Instituto.</w:t>
      </w:r>
    </w:p>
    <w:p w14:paraId="5064F833" w14:textId="77777777" w:rsidR="00A96E4F" w:rsidRPr="00833366" w:rsidRDefault="00A96E4F" w:rsidP="00A96E4F">
      <w:pPr>
        <w:spacing w:before="240" w:line="360" w:lineRule="auto"/>
        <w:ind w:left="851" w:right="851"/>
        <w:jc w:val="both"/>
        <w:rPr>
          <w:rFonts w:ascii="Palatino Linotype" w:eastAsia="Times New Roman" w:hAnsi="Palatino Linotype" w:cs="Arial"/>
          <w:i/>
          <w:lang w:eastAsia="es-ES"/>
        </w:rPr>
      </w:pPr>
      <w:r w:rsidRPr="00833366">
        <w:rPr>
          <w:rFonts w:ascii="Palatino Linotype" w:eastAsia="Times New Roman" w:hAnsi="Palatino Linotype" w:cs="Arial"/>
          <w:i/>
          <w:lang w:eastAsia="es-ES"/>
        </w:rPr>
        <w:t>En ningún caso será necesario que el particular ratifique el recurso de revisión interpuesto.</w:t>
      </w:r>
    </w:p>
    <w:p w14:paraId="4C929504" w14:textId="77777777" w:rsidR="00A96E4F" w:rsidRPr="00833366" w:rsidRDefault="00A96E4F" w:rsidP="00A96E4F">
      <w:pPr>
        <w:spacing w:before="240" w:line="360" w:lineRule="auto"/>
        <w:ind w:left="851" w:right="851"/>
        <w:jc w:val="both"/>
        <w:rPr>
          <w:rFonts w:ascii="Palatino Linotype" w:eastAsia="Times New Roman" w:hAnsi="Palatino Linotype" w:cs="Arial"/>
          <w:i/>
          <w:sz w:val="24"/>
          <w:szCs w:val="24"/>
          <w:lang w:eastAsia="es-ES"/>
        </w:rPr>
      </w:pPr>
      <w:r w:rsidRPr="00833366">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833366">
        <w:rPr>
          <w:rFonts w:ascii="Palatino Linotype" w:eastAsia="Times New Roman" w:hAnsi="Palatino Linotype" w:cs="Arial"/>
          <w:b/>
          <w:i/>
          <w:lang w:eastAsia="es-ES"/>
        </w:rPr>
        <w:t xml:space="preserve"> [Sic] </w:t>
      </w:r>
    </w:p>
    <w:p w14:paraId="2E6BA826" w14:textId="77777777" w:rsidR="00A96E4F" w:rsidRPr="00833366" w:rsidRDefault="00A96E4F" w:rsidP="00A96E4F">
      <w:pPr>
        <w:spacing w:after="0" w:line="360" w:lineRule="auto"/>
        <w:jc w:val="both"/>
        <w:rPr>
          <w:rFonts w:ascii="Palatino Linotype" w:eastAsia="Times New Roman" w:hAnsi="Palatino Linotype" w:cs="Arial"/>
          <w:b/>
          <w:i/>
          <w:sz w:val="24"/>
          <w:szCs w:val="24"/>
          <w:lang w:eastAsia="es-ES"/>
        </w:rPr>
      </w:pPr>
    </w:p>
    <w:p w14:paraId="731E90A5" w14:textId="77777777" w:rsidR="00A96E4F" w:rsidRPr="00833366" w:rsidRDefault="00A96E4F" w:rsidP="00A96E4F">
      <w:pPr>
        <w:spacing w:after="0" w:line="360" w:lineRule="auto"/>
        <w:jc w:val="both"/>
        <w:rPr>
          <w:rFonts w:ascii="Palatino Linotype" w:hAnsi="Palatino Linotype" w:cs="Arial"/>
          <w:sz w:val="24"/>
          <w:szCs w:val="24"/>
          <w:lang w:eastAsia="es-ES"/>
        </w:rPr>
      </w:pPr>
      <w:r w:rsidRPr="00833366">
        <w:rPr>
          <w:rFonts w:ascii="Palatino Linotype" w:hAnsi="Palatino Linotype" w:cs="Segoe UI"/>
          <w:sz w:val="24"/>
          <w:szCs w:val="24"/>
          <w:lang w:eastAsia="es-ES"/>
        </w:rPr>
        <w:t xml:space="preserve">Cabe señalar que </w:t>
      </w:r>
      <w:r w:rsidRPr="00833366">
        <w:rPr>
          <w:rFonts w:ascii="Palatino Linotype" w:hAnsi="Palatino Linotype" w:cs="Segoe UI"/>
          <w:b/>
          <w:sz w:val="24"/>
          <w:szCs w:val="24"/>
          <w:lang w:eastAsia="es-ES"/>
        </w:rPr>
        <w:t>El Recurrente</w:t>
      </w:r>
      <w:r w:rsidRPr="00833366">
        <w:rPr>
          <w:rFonts w:ascii="Palatino Linotype" w:hAnsi="Palatino Linotype" w:cs="Segoe UI"/>
          <w:sz w:val="24"/>
          <w:szCs w:val="24"/>
          <w:lang w:eastAsia="es-ES"/>
        </w:rPr>
        <w:t xml:space="preserve"> ejerció de manera anónima su derecho de acceso a la información pública</w:t>
      </w:r>
      <w:r w:rsidRPr="00833366">
        <w:rPr>
          <w:rFonts w:ascii="Palatino Linotype" w:hAnsi="Palatino Linotype" w:cs="Times New Roman"/>
          <w:sz w:val="24"/>
          <w:szCs w:val="24"/>
          <w:lang w:eastAsia="es-ES"/>
        </w:rPr>
        <w:t xml:space="preserve">, sin embargo, no es motivo para desechar las </w:t>
      </w:r>
      <w:r w:rsidRPr="00833366">
        <w:rPr>
          <w:rFonts w:ascii="Palatino Linotype" w:hAnsi="Palatino Linotype" w:cs="Arial"/>
          <w:sz w:val="24"/>
          <w:szCs w:val="24"/>
          <w:lang w:eastAsia="es-ES"/>
        </w:rPr>
        <w:t xml:space="preserve">solicitudes de acceso a la información pública conforme a lo previsto en el artículo 155, penúltimo párrafo </w:t>
      </w:r>
      <w:r w:rsidRPr="00833366">
        <w:rPr>
          <w:rFonts w:ascii="Palatino Linotype" w:hAnsi="Palatino Linotype" w:cs="Arial"/>
          <w:sz w:val="24"/>
          <w:szCs w:val="24"/>
          <w:lang w:eastAsia="es-ES"/>
        </w:rPr>
        <w:lastRenderedPageBreak/>
        <w:t>de la Ley de Transparencia y Acceso a la Información Pública del Estado de México y Municipios que señala lo siguiente:</w:t>
      </w:r>
    </w:p>
    <w:p w14:paraId="769FF7C9" w14:textId="77777777" w:rsidR="00A96E4F" w:rsidRPr="00833366" w:rsidRDefault="00A96E4F" w:rsidP="00A96E4F">
      <w:pPr>
        <w:spacing w:before="240" w:line="360" w:lineRule="auto"/>
        <w:ind w:left="851" w:right="851"/>
        <w:jc w:val="both"/>
        <w:rPr>
          <w:rFonts w:ascii="Palatino Linotype" w:hAnsi="Palatino Linotype" w:cs="Arial"/>
          <w:b/>
          <w:i/>
          <w:lang w:eastAsia="es-ES"/>
        </w:rPr>
      </w:pPr>
      <w:r w:rsidRPr="00833366">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33366">
        <w:rPr>
          <w:rFonts w:ascii="Palatino Linotype" w:hAnsi="Palatino Linotype" w:cs="Arial"/>
          <w:b/>
          <w:i/>
          <w:lang w:eastAsia="es-ES"/>
        </w:rPr>
        <w:t>[Sic]</w:t>
      </w:r>
    </w:p>
    <w:p w14:paraId="71F1BEF2" w14:textId="77777777" w:rsidR="00A96E4F" w:rsidRPr="00833366" w:rsidRDefault="00A96E4F" w:rsidP="00A96E4F">
      <w:pPr>
        <w:spacing w:before="240" w:line="360" w:lineRule="auto"/>
        <w:ind w:left="851" w:right="851"/>
        <w:jc w:val="both"/>
        <w:rPr>
          <w:rFonts w:ascii="Palatino Linotype" w:hAnsi="Palatino Linotype" w:cs="Arial"/>
          <w:b/>
          <w:i/>
          <w:lang w:eastAsia="es-ES"/>
        </w:rPr>
      </w:pPr>
    </w:p>
    <w:p w14:paraId="62373D87" w14:textId="77777777" w:rsidR="00A96E4F" w:rsidRPr="00833366" w:rsidRDefault="00A96E4F" w:rsidP="00A96E4F">
      <w:pPr>
        <w:spacing w:after="0" w:line="360" w:lineRule="auto"/>
        <w:jc w:val="both"/>
        <w:rPr>
          <w:rFonts w:ascii="Palatino Linotype" w:hAnsi="Palatino Linotype" w:cs="Times New Roman"/>
          <w:sz w:val="24"/>
          <w:szCs w:val="24"/>
          <w:lang w:eastAsia="es-ES"/>
        </w:rPr>
      </w:pPr>
      <w:r w:rsidRPr="00833366">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833366">
        <w:rPr>
          <w:rFonts w:ascii="Palatino Linotype" w:hAnsi="Palatino Linotype" w:cs="Arial"/>
          <w:sz w:val="24"/>
          <w:szCs w:val="24"/>
          <w:lang w:eastAsia="es-ES"/>
        </w:rPr>
        <w:t>vigésimo, vigésimo primero</w:t>
      </w:r>
      <w:r w:rsidRPr="00833366">
        <w:rPr>
          <w:rFonts w:ascii="Palatino Linotype" w:eastAsia="Times New Roman" w:hAnsi="Palatino Linotype" w:cs="Arial"/>
          <w:sz w:val="24"/>
          <w:szCs w:val="24"/>
          <w:lang w:eastAsia="es-ES"/>
        </w:rPr>
        <w:t xml:space="preserve"> y vigésimo segundo</w:t>
      </w:r>
      <w:r w:rsidRPr="00833366">
        <w:rPr>
          <w:rFonts w:ascii="Palatino Linotype" w:hAnsi="Palatino Linotype" w:cs="Times New Roman"/>
          <w:sz w:val="24"/>
          <w:szCs w:val="24"/>
          <w:lang w:eastAsia="es-ES"/>
        </w:rPr>
        <w:t>, de la Constitución Política del Estado Libre y Soberano de México, se establece lo siguiente:</w:t>
      </w:r>
    </w:p>
    <w:p w14:paraId="7C40485E" w14:textId="77777777" w:rsidR="00A96E4F" w:rsidRPr="00833366" w:rsidRDefault="00A96E4F" w:rsidP="00A96E4F">
      <w:pPr>
        <w:spacing w:before="240" w:line="360" w:lineRule="auto"/>
        <w:ind w:left="851" w:right="851"/>
        <w:jc w:val="center"/>
        <w:rPr>
          <w:rFonts w:ascii="Palatino Linotype" w:eastAsia="Times New Roman" w:hAnsi="Palatino Linotype" w:cs="Times New Roman"/>
          <w:b/>
          <w:i/>
          <w:u w:val="single"/>
          <w:lang w:eastAsia="es-ES"/>
        </w:rPr>
      </w:pPr>
      <w:r w:rsidRPr="00833366">
        <w:rPr>
          <w:rFonts w:ascii="Palatino Linotype" w:eastAsia="Times New Roman" w:hAnsi="Palatino Linotype" w:cs="Times New Roman"/>
          <w:b/>
          <w:i/>
          <w:u w:val="single"/>
          <w:lang w:eastAsia="es-ES"/>
        </w:rPr>
        <w:t>Constitución Política de los Estados Unidos Mexicanos</w:t>
      </w:r>
    </w:p>
    <w:p w14:paraId="492546AB"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b/>
          <w:i/>
          <w:lang w:eastAsia="es-ES"/>
        </w:rPr>
        <w:t>“Artículo 6</w:t>
      </w:r>
      <w:r w:rsidRPr="00833366">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14E62A"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p>
    <w:p w14:paraId="5ACE9D24"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 xml:space="preserve">Para efectos de lo dispuesto en el presente artículo se observará lo siguiente: </w:t>
      </w:r>
    </w:p>
    <w:p w14:paraId="436F5DA5"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22686E8A"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p>
    <w:p w14:paraId="1B6577AE"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EAD15FF" w14:textId="77777777" w:rsidR="00A96E4F" w:rsidRPr="00833366" w:rsidRDefault="00A96E4F" w:rsidP="00A96E4F">
      <w:pPr>
        <w:spacing w:before="240" w:line="360" w:lineRule="auto"/>
        <w:ind w:left="851" w:right="851"/>
        <w:jc w:val="both"/>
        <w:rPr>
          <w:rFonts w:ascii="Palatino Linotype" w:eastAsia="Times New Roman" w:hAnsi="Palatino Linotype" w:cs="Times New Roman"/>
          <w:b/>
          <w:i/>
          <w:lang w:eastAsia="es-ES"/>
        </w:rPr>
      </w:pPr>
      <w:r w:rsidRPr="00833366">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833366">
        <w:rPr>
          <w:rFonts w:ascii="Palatino Linotype" w:eastAsia="Times New Roman" w:hAnsi="Palatino Linotype" w:cs="Times New Roman"/>
          <w:b/>
          <w:i/>
          <w:lang w:eastAsia="es-ES"/>
        </w:rPr>
        <w:t>[Sic]</w:t>
      </w:r>
    </w:p>
    <w:p w14:paraId="71318B8F" w14:textId="77777777" w:rsidR="00A96E4F" w:rsidRPr="00833366" w:rsidRDefault="00A96E4F" w:rsidP="00A96E4F">
      <w:pPr>
        <w:spacing w:before="240" w:line="360" w:lineRule="auto"/>
        <w:ind w:left="851" w:right="851"/>
        <w:jc w:val="both"/>
        <w:rPr>
          <w:rFonts w:ascii="Palatino Linotype" w:eastAsia="Times New Roman" w:hAnsi="Palatino Linotype" w:cs="Times New Roman"/>
          <w:b/>
          <w:i/>
          <w:lang w:eastAsia="es-ES"/>
        </w:rPr>
      </w:pPr>
    </w:p>
    <w:p w14:paraId="14C3E86F" w14:textId="77777777" w:rsidR="00A96E4F" w:rsidRPr="00833366" w:rsidRDefault="00A96E4F" w:rsidP="00A96E4F">
      <w:pPr>
        <w:spacing w:before="240" w:line="360" w:lineRule="auto"/>
        <w:ind w:left="851" w:right="851"/>
        <w:jc w:val="center"/>
        <w:rPr>
          <w:rFonts w:ascii="Palatino Linotype" w:eastAsia="Times New Roman" w:hAnsi="Palatino Linotype" w:cs="Times New Roman"/>
          <w:b/>
          <w:i/>
          <w:u w:val="single"/>
          <w:lang w:eastAsia="es-ES"/>
        </w:rPr>
      </w:pPr>
      <w:r w:rsidRPr="00833366">
        <w:rPr>
          <w:rFonts w:ascii="Palatino Linotype" w:eastAsia="Times New Roman" w:hAnsi="Palatino Linotype" w:cs="Times New Roman"/>
          <w:b/>
          <w:i/>
          <w:u w:val="single"/>
          <w:lang w:eastAsia="es-ES"/>
        </w:rPr>
        <w:t>Constitución Política del Estado Libre y Soberano de México</w:t>
      </w:r>
    </w:p>
    <w:p w14:paraId="3AB8AAFD"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r w:rsidRPr="00833366">
        <w:rPr>
          <w:rFonts w:ascii="Palatino Linotype" w:eastAsia="Times New Roman" w:hAnsi="Palatino Linotype" w:cs="Times New Roman"/>
          <w:b/>
          <w:i/>
          <w:lang w:eastAsia="es-ES"/>
        </w:rPr>
        <w:t>Artículo 5</w:t>
      </w:r>
      <w:r w:rsidRPr="00833366">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9847C62"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p>
    <w:p w14:paraId="4AA49896"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277E9C4B"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 xml:space="preserve"> (…)</w:t>
      </w:r>
    </w:p>
    <w:p w14:paraId="3F3EAF01"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62CC9752"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DD61C73"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p>
    <w:p w14:paraId="7A0E44AF"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106DF6C5"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5A0AD85" w14:textId="77777777" w:rsidR="00A96E4F" w:rsidRPr="00833366" w:rsidRDefault="00A96E4F" w:rsidP="00A96E4F">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p>
    <w:p w14:paraId="602DABDE" w14:textId="77777777" w:rsidR="00A96E4F" w:rsidRPr="00833366" w:rsidRDefault="00A96E4F" w:rsidP="00A96E4F">
      <w:pPr>
        <w:spacing w:before="240" w:line="360" w:lineRule="auto"/>
        <w:ind w:left="851" w:right="851"/>
        <w:jc w:val="both"/>
        <w:rPr>
          <w:rFonts w:ascii="Palatino Linotype" w:eastAsia="Times New Roman" w:hAnsi="Palatino Linotype" w:cs="Times New Roman"/>
          <w:b/>
          <w:i/>
          <w:lang w:eastAsia="es-ES"/>
        </w:rPr>
      </w:pPr>
      <w:r w:rsidRPr="00833366">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833366">
        <w:rPr>
          <w:rFonts w:ascii="Palatino Linotype" w:eastAsia="Times New Roman" w:hAnsi="Palatino Linotype" w:cs="Times New Roman"/>
          <w:b/>
          <w:i/>
          <w:lang w:eastAsia="es-ES"/>
        </w:rPr>
        <w:t>[Sic]</w:t>
      </w:r>
    </w:p>
    <w:p w14:paraId="53275AB5" w14:textId="77777777" w:rsidR="00A96E4F" w:rsidRPr="00833366" w:rsidRDefault="00A96E4F" w:rsidP="00A96E4F">
      <w:pPr>
        <w:spacing w:after="0" w:line="360" w:lineRule="auto"/>
        <w:jc w:val="both"/>
        <w:rPr>
          <w:rFonts w:ascii="Palatino Linotype" w:eastAsia="Times New Roman" w:hAnsi="Palatino Linotype" w:cs="Times New Roman"/>
          <w:sz w:val="24"/>
          <w:szCs w:val="24"/>
          <w:lang w:eastAsia="es-ES"/>
        </w:rPr>
      </w:pPr>
    </w:p>
    <w:p w14:paraId="27CFC3A6" w14:textId="77777777" w:rsidR="00A96E4F" w:rsidRPr="00833366" w:rsidRDefault="00A96E4F" w:rsidP="00A96E4F">
      <w:pPr>
        <w:spacing w:after="0" w:line="360" w:lineRule="auto"/>
        <w:jc w:val="both"/>
        <w:rPr>
          <w:rFonts w:ascii="Palatino Linotype" w:eastAsia="Times New Roman" w:hAnsi="Palatino Linotype" w:cs="Times New Roman"/>
          <w:sz w:val="24"/>
          <w:szCs w:val="24"/>
          <w:lang w:eastAsia="es-ES"/>
        </w:rPr>
      </w:pPr>
      <w:r w:rsidRPr="00833366">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8916E60" w14:textId="77777777" w:rsidR="00A96E4F" w:rsidRPr="00833366" w:rsidRDefault="00A96E4F" w:rsidP="00A96E4F">
      <w:pPr>
        <w:spacing w:before="240" w:line="360" w:lineRule="auto"/>
        <w:ind w:left="851" w:right="851"/>
        <w:jc w:val="both"/>
        <w:rPr>
          <w:rFonts w:ascii="Palatino Linotype" w:hAnsi="Palatino Linotype" w:cs="Times New Roman"/>
          <w:i/>
          <w:lang w:eastAsia="es-ES"/>
        </w:rPr>
      </w:pPr>
      <w:r w:rsidRPr="00833366">
        <w:rPr>
          <w:rFonts w:ascii="Palatino Linotype" w:hAnsi="Palatino Linotype" w:cs="Times New Roman"/>
          <w:i/>
          <w:lang w:eastAsia="es-ES"/>
        </w:rPr>
        <w:t>“</w:t>
      </w:r>
      <w:r w:rsidRPr="00833366">
        <w:rPr>
          <w:rFonts w:ascii="Palatino Linotype" w:hAnsi="Palatino Linotype" w:cs="Times New Roman"/>
          <w:b/>
          <w:i/>
          <w:lang w:eastAsia="es-ES"/>
        </w:rPr>
        <w:t>Artículo 1o</w:t>
      </w:r>
      <w:r w:rsidRPr="00833366">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E44461F" w14:textId="77777777" w:rsidR="00A96E4F" w:rsidRPr="00833366" w:rsidRDefault="00A96E4F" w:rsidP="00A96E4F">
      <w:pPr>
        <w:spacing w:before="240" w:line="360" w:lineRule="auto"/>
        <w:ind w:left="851" w:right="851"/>
        <w:jc w:val="both"/>
        <w:rPr>
          <w:rFonts w:ascii="Palatino Linotype" w:hAnsi="Palatino Linotype" w:cs="Times New Roman"/>
          <w:i/>
          <w:lang w:eastAsia="es-ES"/>
        </w:rPr>
      </w:pPr>
      <w:r w:rsidRPr="00833366">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0C42E6A9" w14:textId="77777777" w:rsidR="00A96E4F" w:rsidRPr="00833366" w:rsidRDefault="00A96E4F" w:rsidP="00A96E4F">
      <w:pPr>
        <w:spacing w:before="240" w:line="360" w:lineRule="auto"/>
        <w:ind w:left="851" w:right="851"/>
        <w:jc w:val="both"/>
        <w:rPr>
          <w:rFonts w:ascii="Palatino Linotype" w:hAnsi="Palatino Linotype" w:cs="Times New Roman"/>
          <w:b/>
          <w:i/>
          <w:lang w:eastAsia="es-ES"/>
        </w:rPr>
      </w:pPr>
      <w:r w:rsidRPr="00833366">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833366">
        <w:rPr>
          <w:rFonts w:ascii="Palatino Linotype" w:hAnsi="Palatino Linotype" w:cs="Times New Roman"/>
          <w:b/>
          <w:i/>
          <w:lang w:eastAsia="es-ES"/>
        </w:rPr>
        <w:t>[Sic]</w:t>
      </w:r>
    </w:p>
    <w:p w14:paraId="3C2B55B1" w14:textId="77777777" w:rsidR="00A96E4F" w:rsidRPr="00833366" w:rsidRDefault="00A96E4F" w:rsidP="00A96E4F">
      <w:pPr>
        <w:tabs>
          <w:tab w:val="left" w:pos="709"/>
        </w:tabs>
        <w:spacing w:before="240" w:line="360" w:lineRule="auto"/>
        <w:ind w:right="51"/>
        <w:jc w:val="both"/>
        <w:rPr>
          <w:rFonts w:ascii="Palatino Linotype" w:hAnsi="Palatino Linotype"/>
          <w:b/>
          <w:sz w:val="28"/>
          <w:szCs w:val="28"/>
        </w:rPr>
      </w:pPr>
      <w:r w:rsidRPr="00833366">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33366">
        <w:rPr>
          <w:rFonts w:ascii="Palatino Linotype" w:eastAsia="Times New Roman" w:hAnsi="Palatino Linotype" w:cs="Times New Roman"/>
          <w:b/>
          <w:sz w:val="24"/>
          <w:szCs w:val="24"/>
          <w:u w:val="single"/>
          <w:lang w:eastAsia="es-ES"/>
        </w:rPr>
        <w:t>incluso, la solicitud de acceso a la información pueda ser anónima</w:t>
      </w:r>
      <w:r w:rsidRPr="00833366">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833366">
        <w:rPr>
          <w:rFonts w:ascii="Palatino Linotype" w:hAnsi="Palatino Linotype" w:cs="Arial"/>
          <w:sz w:val="24"/>
          <w:szCs w:val="24"/>
        </w:rPr>
        <w:t xml:space="preserve">En conclusión, se cubrieron los requisitos de procedencia y </w:t>
      </w:r>
      <w:proofErr w:type="spellStart"/>
      <w:r w:rsidRPr="00833366">
        <w:rPr>
          <w:rFonts w:ascii="Palatino Linotype" w:hAnsi="Palatino Linotype" w:cs="Arial"/>
          <w:sz w:val="24"/>
          <w:szCs w:val="24"/>
        </w:rPr>
        <w:t>procedibilidad</w:t>
      </w:r>
      <w:proofErr w:type="spellEnd"/>
      <w:r w:rsidRPr="00833366">
        <w:rPr>
          <w:rFonts w:ascii="Palatino Linotype" w:hAnsi="Palatino Linotype" w:cs="Arial"/>
          <w:sz w:val="24"/>
          <w:szCs w:val="24"/>
        </w:rPr>
        <w:t xml:space="preserve"> y conforme a las constancias que obran en el expediente.</w:t>
      </w:r>
    </w:p>
    <w:p w14:paraId="1BA9A239" w14:textId="77777777" w:rsidR="00B45924" w:rsidRPr="00833366" w:rsidRDefault="00B45924" w:rsidP="007B0046">
      <w:pPr>
        <w:pStyle w:val="Prrafodelista"/>
        <w:autoSpaceDE w:val="0"/>
        <w:autoSpaceDN w:val="0"/>
        <w:adjustRightInd w:val="0"/>
        <w:spacing w:line="360" w:lineRule="auto"/>
        <w:ind w:left="0"/>
        <w:jc w:val="both"/>
        <w:rPr>
          <w:rFonts w:ascii="Palatino Linotype" w:hAnsi="Palatino Linotype" w:cs="Arial"/>
          <w:lang w:val="es-MX"/>
        </w:rPr>
      </w:pPr>
    </w:p>
    <w:p w14:paraId="4057BC66" w14:textId="77777777" w:rsidR="007B0046" w:rsidRPr="00833366" w:rsidRDefault="007B0046" w:rsidP="007B0046">
      <w:pPr>
        <w:tabs>
          <w:tab w:val="left" w:pos="709"/>
        </w:tabs>
        <w:spacing w:before="240" w:line="360" w:lineRule="auto"/>
        <w:ind w:right="51"/>
        <w:jc w:val="both"/>
        <w:rPr>
          <w:rFonts w:ascii="Palatino Linotype" w:hAnsi="Palatino Linotype"/>
          <w:b/>
          <w:sz w:val="28"/>
          <w:szCs w:val="28"/>
        </w:rPr>
      </w:pPr>
      <w:r w:rsidRPr="00833366">
        <w:rPr>
          <w:rFonts w:ascii="Palatino Linotype" w:hAnsi="Palatino Linotype"/>
          <w:b/>
          <w:sz w:val="28"/>
          <w:szCs w:val="28"/>
        </w:rPr>
        <w:t xml:space="preserve">CUARTO. Estudio y resolución del asunto </w:t>
      </w:r>
    </w:p>
    <w:p w14:paraId="00E379C3" w14:textId="77777777" w:rsidR="007B0046" w:rsidRPr="0083336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83336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833366" w:rsidRDefault="007B0046" w:rsidP="007B0046">
      <w:pPr>
        <w:spacing w:after="0" w:line="360" w:lineRule="auto"/>
        <w:jc w:val="both"/>
        <w:rPr>
          <w:rFonts w:ascii="Palatino Linotype" w:eastAsia="Times New Roman" w:hAnsi="Palatino Linotype" w:cs="Times New Roman"/>
          <w:sz w:val="24"/>
          <w:szCs w:val="24"/>
          <w:lang w:eastAsia="es-ES"/>
        </w:rPr>
      </w:pPr>
      <w:r w:rsidRPr="00833366">
        <w:rPr>
          <w:rFonts w:ascii="Palatino Linotype" w:hAnsi="Palatino Linotype" w:cs="Arial"/>
          <w:sz w:val="24"/>
          <w:szCs w:val="24"/>
        </w:rPr>
        <w:t xml:space="preserve">En este tenor, es necesario subrayar que </w:t>
      </w:r>
      <w:r w:rsidRPr="00833366">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833366">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1D02A9D3"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b/>
          <w:i/>
          <w:lang w:eastAsia="es-ES"/>
        </w:rPr>
        <w:t>“Artículo 4.</w:t>
      </w:r>
      <w:r w:rsidRPr="00833366">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b/>
          <w:i/>
          <w:lang w:eastAsia="es-ES"/>
        </w:rPr>
        <w:t>Artículo 12.</w:t>
      </w:r>
      <w:r w:rsidRPr="0083336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833366">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38A4761E"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p>
    <w:p w14:paraId="18543637" w14:textId="77777777" w:rsidR="007B0046" w:rsidRPr="00833366" w:rsidRDefault="007B0046" w:rsidP="007B0046">
      <w:pPr>
        <w:spacing w:before="240" w:line="360" w:lineRule="auto"/>
        <w:ind w:left="851" w:right="851"/>
        <w:jc w:val="both"/>
        <w:rPr>
          <w:rFonts w:ascii="Palatino Linotype" w:eastAsia="Times New Roman" w:hAnsi="Palatino Linotype" w:cs="Times New Roman"/>
          <w:b/>
          <w:i/>
          <w:lang w:eastAsia="es-ES"/>
        </w:rPr>
      </w:pPr>
      <w:r w:rsidRPr="00833366">
        <w:rPr>
          <w:rFonts w:ascii="Palatino Linotype" w:eastAsia="Times New Roman" w:hAnsi="Palatino Linotype" w:cs="Times New Roman"/>
          <w:b/>
          <w:i/>
          <w:lang w:eastAsia="es-ES"/>
        </w:rPr>
        <w:t xml:space="preserve">Artículo 24. </w:t>
      </w:r>
    </w:p>
    <w:p w14:paraId="71B0A33C"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p>
    <w:p w14:paraId="20732B09"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i/>
          <w:lang w:eastAsia="es-ES"/>
        </w:rPr>
        <w:t>(…)</w:t>
      </w:r>
    </w:p>
    <w:p w14:paraId="1EDAE629" w14:textId="77777777" w:rsidR="007B0046" w:rsidRPr="00833366" w:rsidRDefault="007B0046" w:rsidP="007B0046">
      <w:pPr>
        <w:spacing w:before="240" w:line="360" w:lineRule="auto"/>
        <w:ind w:left="851" w:right="851"/>
        <w:jc w:val="both"/>
        <w:rPr>
          <w:rFonts w:ascii="Palatino Linotype" w:eastAsia="Times New Roman" w:hAnsi="Palatino Linotype" w:cs="Times New Roman"/>
          <w:i/>
          <w:lang w:eastAsia="es-ES"/>
        </w:rPr>
      </w:pPr>
      <w:r w:rsidRPr="00833366">
        <w:rPr>
          <w:rFonts w:ascii="Palatino Linotype" w:eastAsia="Times New Roman" w:hAnsi="Palatino Linotype" w:cs="Times New Roman"/>
          <w:b/>
          <w:i/>
          <w:lang w:eastAsia="es-ES"/>
        </w:rPr>
        <w:t>Artículo 160.</w:t>
      </w:r>
      <w:r w:rsidRPr="00833366">
        <w:rPr>
          <w:rFonts w:ascii="Palatino Linotype" w:eastAsia="Times New Roman" w:hAnsi="Palatino Linotype" w:cs="Times New Roman"/>
          <w:i/>
          <w:lang w:eastAsia="es-ES"/>
        </w:rPr>
        <w:t xml:space="preserve"> Los sujetos obligados deberán otorgar acceso a los documentos que se </w:t>
      </w:r>
      <w:r w:rsidRPr="00833366">
        <w:rPr>
          <w:rFonts w:ascii="Palatino Linotype" w:eastAsia="Times New Roman" w:hAnsi="Palatino Linotype" w:cs="Times New Roman"/>
          <w:b/>
          <w:i/>
          <w:lang w:eastAsia="es-ES"/>
        </w:rPr>
        <w:t xml:space="preserve"> </w:t>
      </w:r>
      <w:r w:rsidRPr="00833366">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833366" w:rsidRDefault="007B0046" w:rsidP="007B0046">
      <w:pPr>
        <w:spacing w:before="240" w:line="360" w:lineRule="auto"/>
        <w:ind w:left="851" w:right="851"/>
        <w:jc w:val="both"/>
        <w:rPr>
          <w:rFonts w:ascii="Palatino Linotype" w:eastAsia="Times New Roman" w:hAnsi="Palatino Linotype" w:cs="Times New Roman"/>
          <w:b/>
          <w:i/>
          <w:lang w:eastAsia="es-ES"/>
        </w:rPr>
      </w:pPr>
      <w:r w:rsidRPr="00833366">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833366">
        <w:rPr>
          <w:rFonts w:ascii="Palatino Linotype" w:eastAsia="Times New Roman" w:hAnsi="Palatino Linotype" w:cs="Times New Roman"/>
          <w:b/>
          <w:i/>
          <w:lang w:eastAsia="es-ES"/>
        </w:rPr>
        <w:t>[Sic]</w:t>
      </w:r>
    </w:p>
    <w:p w14:paraId="2DC40FC5" w14:textId="77777777" w:rsidR="007B0046" w:rsidRPr="00833366"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833366" w:rsidRDefault="007B0046" w:rsidP="007B0046">
      <w:pPr>
        <w:spacing w:after="0" w:line="360" w:lineRule="auto"/>
        <w:jc w:val="both"/>
        <w:rPr>
          <w:rFonts w:ascii="Palatino Linotype" w:eastAsia="Times New Roman" w:hAnsi="Palatino Linotype" w:cs="Times New Roman"/>
          <w:sz w:val="24"/>
          <w:szCs w:val="24"/>
          <w:lang w:eastAsia="es-ES"/>
        </w:rPr>
      </w:pPr>
      <w:r w:rsidRPr="00833366">
        <w:rPr>
          <w:rFonts w:ascii="Palatino Linotype" w:eastAsia="Times New Roman" w:hAnsi="Palatino Linotype" w:cs="Times New Roman"/>
          <w:sz w:val="24"/>
          <w:szCs w:val="24"/>
          <w:lang w:eastAsia="es-ES"/>
        </w:rPr>
        <w:t xml:space="preserve">Así que la obligación de los </w:t>
      </w:r>
      <w:r w:rsidRPr="00833366">
        <w:rPr>
          <w:rFonts w:ascii="Palatino Linotype" w:eastAsia="Times New Roman" w:hAnsi="Palatino Linotype" w:cs="Times New Roman"/>
          <w:b/>
          <w:sz w:val="24"/>
          <w:szCs w:val="24"/>
          <w:lang w:eastAsia="es-ES"/>
        </w:rPr>
        <w:t>Sujetos Obligados</w:t>
      </w:r>
      <w:r w:rsidRPr="00833366">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833366">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833366">
        <w:rPr>
          <w:rFonts w:ascii="Palatino Linotype" w:eastAsia="Times New Roman" w:hAnsi="Palatino Linotype" w:cs="Times New Roman"/>
          <w:bCs/>
          <w:sz w:val="24"/>
          <w:szCs w:val="24"/>
          <w:lang w:eastAsia="es-ES"/>
        </w:rPr>
        <w:t>de la Ley local en la materia, que se reproduce de la siguiente forma</w:t>
      </w:r>
      <w:r w:rsidRPr="00833366">
        <w:rPr>
          <w:rFonts w:ascii="Palatino Linotype" w:eastAsia="Times New Roman" w:hAnsi="Palatino Linotype" w:cs="Times New Roman"/>
          <w:sz w:val="24"/>
          <w:szCs w:val="24"/>
          <w:lang w:eastAsia="es-ES"/>
        </w:rPr>
        <w:t>:</w:t>
      </w:r>
    </w:p>
    <w:p w14:paraId="20C086EC" w14:textId="77777777" w:rsidR="007B0046" w:rsidRPr="00833366" w:rsidRDefault="007B0046" w:rsidP="007B0046">
      <w:pPr>
        <w:spacing w:before="240" w:line="360" w:lineRule="auto"/>
        <w:ind w:left="851" w:right="851"/>
        <w:jc w:val="both"/>
        <w:rPr>
          <w:rFonts w:ascii="Palatino Linotype" w:eastAsia="Times New Roman" w:hAnsi="Palatino Linotype" w:cs="Arial"/>
          <w:b/>
          <w:i/>
          <w:lang w:eastAsia="es-ES"/>
        </w:rPr>
      </w:pPr>
      <w:r w:rsidRPr="00833366">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833366">
        <w:rPr>
          <w:rFonts w:ascii="Palatino Linotype" w:eastAsia="Times New Roman" w:hAnsi="Palatino Linotype" w:cs="Arial"/>
          <w:b/>
          <w:i/>
          <w:lang w:eastAsia="es-ES"/>
        </w:rPr>
        <w:t>[Sic]</w:t>
      </w:r>
    </w:p>
    <w:p w14:paraId="2A3ED66A" w14:textId="77777777" w:rsidR="00367CC7" w:rsidRPr="00833366" w:rsidRDefault="00367CC7" w:rsidP="007B0046">
      <w:pPr>
        <w:spacing w:before="240" w:line="360" w:lineRule="auto"/>
        <w:ind w:left="851" w:right="851"/>
        <w:jc w:val="both"/>
        <w:rPr>
          <w:rFonts w:ascii="Palatino Linotype" w:eastAsia="Times New Roman" w:hAnsi="Palatino Linotype" w:cs="Arial"/>
          <w:i/>
          <w:lang w:eastAsia="es-ES"/>
        </w:rPr>
      </w:pPr>
    </w:p>
    <w:p w14:paraId="6D8EE48B" w14:textId="25F481A9" w:rsidR="00B452AF" w:rsidRPr="00833366" w:rsidRDefault="00B452AF" w:rsidP="00B452AF">
      <w:pPr>
        <w:autoSpaceDE w:val="0"/>
        <w:autoSpaceDN w:val="0"/>
        <w:adjustRightInd w:val="0"/>
        <w:spacing w:before="240" w:line="360" w:lineRule="auto"/>
        <w:jc w:val="both"/>
        <w:rPr>
          <w:rFonts w:ascii="Palatino Linotype" w:hAnsi="Palatino Linotype" w:cs="Arial"/>
          <w:sz w:val="24"/>
          <w:szCs w:val="24"/>
        </w:rPr>
      </w:pPr>
      <w:r w:rsidRPr="00833366">
        <w:rPr>
          <w:rFonts w:ascii="Palatino Linotype" w:hAnsi="Palatino Linotype" w:cs="Arial"/>
          <w:sz w:val="24"/>
          <w:szCs w:val="24"/>
        </w:rPr>
        <w:t xml:space="preserve">En una aproximación inicial, con relación a la solicitud de información </w:t>
      </w:r>
      <w:r w:rsidR="00A96E4F" w:rsidRPr="00833366">
        <w:rPr>
          <w:rFonts w:ascii="Palatino Linotype" w:hAnsi="Palatino Linotype" w:cs="Arial"/>
          <w:b/>
          <w:bCs/>
          <w:sz w:val="24"/>
          <w:szCs w:val="24"/>
        </w:rPr>
        <w:t>00012/DIFATIZAPAN/IP/2025</w:t>
      </w:r>
      <w:r w:rsidRPr="00833366">
        <w:rPr>
          <w:rFonts w:ascii="Palatino Linotype" w:hAnsi="Palatino Linotype" w:cs="Arial"/>
          <w:b/>
          <w:bCs/>
          <w:sz w:val="24"/>
          <w:szCs w:val="24"/>
        </w:rPr>
        <w:t xml:space="preserve"> </w:t>
      </w:r>
      <w:r w:rsidRPr="00833366">
        <w:rPr>
          <w:rFonts w:ascii="Palatino Linotype" w:hAnsi="Palatino Linotype" w:cs="Arial"/>
          <w:sz w:val="24"/>
          <w:szCs w:val="24"/>
        </w:rPr>
        <w:t xml:space="preserve">se desprenden las siguientes consideraciones: </w:t>
      </w:r>
    </w:p>
    <w:p w14:paraId="1DE2A3FB" w14:textId="77777777" w:rsidR="00B452AF" w:rsidRPr="00833366" w:rsidRDefault="00B452AF">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833366">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833366">
        <w:rPr>
          <w:rFonts w:ascii="Palatino Linotype" w:hAnsi="Palatino Linotype" w:cs="Arial"/>
          <w:b/>
          <w:bCs/>
        </w:rPr>
        <w:t xml:space="preserve">Sujetos Obligados. </w:t>
      </w:r>
    </w:p>
    <w:p w14:paraId="4EE6DFAC" w14:textId="77777777" w:rsidR="00A75790" w:rsidRPr="00833366" w:rsidRDefault="00A75790" w:rsidP="00A75790">
      <w:pPr>
        <w:pStyle w:val="Prrafodelista"/>
        <w:autoSpaceDE w:val="0"/>
        <w:autoSpaceDN w:val="0"/>
        <w:adjustRightInd w:val="0"/>
        <w:spacing w:before="240" w:line="360" w:lineRule="auto"/>
        <w:ind w:left="720"/>
        <w:jc w:val="both"/>
        <w:rPr>
          <w:rFonts w:ascii="Palatino Linotype" w:hAnsi="Palatino Linotype" w:cs="Arial"/>
        </w:rPr>
      </w:pPr>
    </w:p>
    <w:p w14:paraId="30995FD3" w14:textId="5F572211" w:rsidR="00A96E4F" w:rsidRPr="00833366" w:rsidRDefault="00B452AF">
      <w:pPr>
        <w:pStyle w:val="Prrafodelista"/>
        <w:numPr>
          <w:ilvl w:val="0"/>
          <w:numId w:val="1"/>
        </w:numPr>
        <w:autoSpaceDE w:val="0"/>
        <w:autoSpaceDN w:val="0"/>
        <w:adjustRightInd w:val="0"/>
        <w:spacing w:before="240" w:line="360" w:lineRule="auto"/>
        <w:jc w:val="both"/>
        <w:rPr>
          <w:rFonts w:ascii="Palatino Linotype" w:hAnsi="Palatino Linotype" w:cs="Arial"/>
          <w:b/>
          <w:bCs/>
          <w:i/>
          <w:iCs/>
          <w:sz w:val="20"/>
          <w:szCs w:val="20"/>
        </w:rPr>
      </w:pPr>
      <w:r w:rsidRPr="00833366">
        <w:rPr>
          <w:rFonts w:ascii="Palatino Linotype" w:hAnsi="Palatino Linotype" w:cs="Arial"/>
        </w:rPr>
        <w:t xml:space="preserve">Que </w:t>
      </w:r>
      <w:r w:rsidR="00A96E4F" w:rsidRPr="00833366">
        <w:rPr>
          <w:rFonts w:ascii="Palatino Linotype" w:hAnsi="Palatino Linotype" w:cs="Arial"/>
        </w:rPr>
        <w:t xml:space="preserve">fueron formulados </w:t>
      </w:r>
      <w:r w:rsidR="00A96E4F" w:rsidRPr="00833366">
        <w:rPr>
          <w:rFonts w:ascii="Palatino Linotype" w:hAnsi="Palatino Linotype" w:cs="Arial"/>
          <w:b/>
          <w:bCs/>
        </w:rPr>
        <w:t xml:space="preserve">2 -dos- </w:t>
      </w:r>
      <w:r w:rsidR="00A96E4F" w:rsidRPr="00833366">
        <w:rPr>
          <w:rFonts w:ascii="Palatino Linotype" w:hAnsi="Palatino Linotype" w:cs="Arial"/>
        </w:rPr>
        <w:t xml:space="preserve">requerimientos, respecto de los cuales fue señalado como elemento temporal </w:t>
      </w:r>
      <w:r w:rsidR="00A96E4F" w:rsidRPr="00833366">
        <w:rPr>
          <w:rFonts w:ascii="Palatino Linotype" w:hAnsi="Palatino Linotype" w:cs="Arial"/>
          <w:i/>
          <w:iCs/>
        </w:rPr>
        <w:t xml:space="preserve">“de enero 2025 a la fecha de la solicitud”, </w:t>
      </w:r>
      <w:r w:rsidR="00A96E4F" w:rsidRPr="00833366">
        <w:rPr>
          <w:rFonts w:ascii="Palatino Linotype" w:hAnsi="Palatino Linotype" w:cs="Arial"/>
        </w:rPr>
        <w:t xml:space="preserve">luego entonces, </w:t>
      </w:r>
      <w:r w:rsidR="00853188" w:rsidRPr="00833366">
        <w:rPr>
          <w:rFonts w:ascii="Palatino Linotype" w:hAnsi="Palatino Linotype" w:cs="Arial"/>
        </w:rPr>
        <w:t xml:space="preserve">si bien es cierto que el particular fijó el elemento temporal, lo cierto también es que fueron requeridos documentos generados </w:t>
      </w:r>
      <w:r w:rsidR="00853188" w:rsidRPr="00833366">
        <w:rPr>
          <w:rFonts w:ascii="Palatino Linotype" w:hAnsi="Palatino Linotype" w:cs="Arial"/>
          <w:b/>
          <w:bCs/>
          <w:u w:val="single"/>
        </w:rPr>
        <w:t>quincenalmente,</w:t>
      </w:r>
      <w:r w:rsidR="00853188" w:rsidRPr="00833366">
        <w:rPr>
          <w:rFonts w:ascii="Palatino Linotype" w:hAnsi="Palatino Linotype" w:cs="Arial"/>
        </w:rPr>
        <w:t xml:space="preserve"> resultando procedente delimitar la temporalidad del uno de enero al treinta y uno de julio de dos mil veinticinco. </w:t>
      </w:r>
      <w:r w:rsidR="00A96E4F" w:rsidRPr="00833366">
        <w:rPr>
          <w:rFonts w:ascii="Palatino Linotype" w:hAnsi="Palatino Linotype" w:cs="Arial"/>
          <w:b/>
          <w:bCs/>
        </w:rPr>
        <w:t xml:space="preserve"> </w:t>
      </w:r>
    </w:p>
    <w:p w14:paraId="06FDF820" w14:textId="77777777" w:rsidR="00A96E4F" w:rsidRPr="00833366" w:rsidRDefault="00A96E4F" w:rsidP="00A96E4F">
      <w:pPr>
        <w:pStyle w:val="Prrafodelista"/>
        <w:rPr>
          <w:rFonts w:ascii="Palatino Linotype" w:hAnsi="Palatino Linotype" w:cs="Arial"/>
        </w:rPr>
      </w:pPr>
    </w:p>
    <w:p w14:paraId="1F27A253" w14:textId="77777777" w:rsidR="00B452AF" w:rsidRPr="00833366" w:rsidRDefault="00B452AF" w:rsidP="00B452AF">
      <w:pPr>
        <w:spacing w:before="240" w:line="360" w:lineRule="auto"/>
        <w:jc w:val="both"/>
        <w:rPr>
          <w:rFonts w:ascii="Palatino Linotype" w:hAnsi="Palatino Linotype"/>
          <w:sz w:val="24"/>
          <w:szCs w:val="24"/>
        </w:rPr>
      </w:pPr>
      <w:r w:rsidRPr="00833366">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4E8B0D96" w14:textId="77777777" w:rsidR="00B452AF" w:rsidRPr="00833366" w:rsidRDefault="00B452AF" w:rsidP="00B452AF">
      <w:pPr>
        <w:pStyle w:val="Citas"/>
      </w:pPr>
      <w:r w:rsidRPr="00833366">
        <w:rPr>
          <w:b/>
          <w:bCs/>
        </w:rPr>
        <w:t xml:space="preserve">“Artículo 13. </w:t>
      </w:r>
      <w:r w:rsidRPr="00833366">
        <w:t>El Instituto, en el ámbito de sus atribuciones, deberá suplir cualquier deficiencia para garantizar el ejercicio del derecho de acceso a la información.</w:t>
      </w:r>
    </w:p>
    <w:p w14:paraId="47951F9D" w14:textId="77777777" w:rsidR="00B452AF" w:rsidRPr="00833366" w:rsidRDefault="00B452AF" w:rsidP="00B452AF">
      <w:pPr>
        <w:pStyle w:val="Citas"/>
        <w:rPr>
          <w:b/>
        </w:rPr>
      </w:pPr>
      <w:r w:rsidRPr="00833366">
        <w:rPr>
          <w:b/>
        </w:rPr>
        <w:t xml:space="preserve">Artículo 181. … </w:t>
      </w:r>
    </w:p>
    <w:p w14:paraId="3EEAA7FF" w14:textId="77777777" w:rsidR="00B452AF" w:rsidRPr="00833366" w:rsidRDefault="00B452AF" w:rsidP="00B452AF">
      <w:pPr>
        <w:pStyle w:val="Citas"/>
        <w:rPr>
          <w:b/>
        </w:rPr>
      </w:pPr>
      <w:r w:rsidRPr="00833366">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833366">
        <w:rPr>
          <w:b/>
        </w:rPr>
        <w:t>[Sic]</w:t>
      </w:r>
    </w:p>
    <w:p w14:paraId="4B3BB2EF" w14:textId="77777777" w:rsidR="00B452AF" w:rsidRPr="00833366" w:rsidRDefault="00B452AF" w:rsidP="00B452AF">
      <w:pPr>
        <w:spacing w:before="240" w:line="360" w:lineRule="auto"/>
        <w:jc w:val="both"/>
        <w:rPr>
          <w:rFonts w:ascii="Palatino Linotype" w:hAnsi="Palatino Linotype"/>
          <w:sz w:val="24"/>
          <w:szCs w:val="24"/>
        </w:rPr>
      </w:pPr>
    </w:p>
    <w:p w14:paraId="4C4C57BC" w14:textId="77777777" w:rsidR="00B452AF" w:rsidRPr="00833366" w:rsidRDefault="00B452AF" w:rsidP="00B452AF">
      <w:pPr>
        <w:spacing w:before="240" w:line="360" w:lineRule="auto"/>
        <w:jc w:val="both"/>
        <w:rPr>
          <w:rFonts w:ascii="Palatino Linotype" w:hAnsi="Palatino Linotype"/>
          <w:sz w:val="24"/>
          <w:szCs w:val="24"/>
        </w:rPr>
      </w:pPr>
      <w:r w:rsidRPr="00833366">
        <w:rPr>
          <w:rFonts w:ascii="Palatino Linotype" w:hAnsi="Palatino Linotype"/>
          <w:sz w:val="24"/>
          <w:szCs w:val="24"/>
        </w:rPr>
        <w:t xml:space="preserve">Bajo estas líneas argumentativas, al retomar y delimitar los requerimientos formulados por la ahora </w:t>
      </w:r>
      <w:r w:rsidRPr="00833366">
        <w:rPr>
          <w:rFonts w:ascii="Palatino Linotype" w:hAnsi="Palatino Linotype"/>
          <w:b/>
          <w:bCs/>
          <w:sz w:val="24"/>
          <w:szCs w:val="24"/>
        </w:rPr>
        <w:t xml:space="preserve">Recurrente, </w:t>
      </w:r>
      <w:r w:rsidRPr="00833366">
        <w:rPr>
          <w:rFonts w:ascii="Palatino Linotype" w:hAnsi="Palatino Linotype"/>
          <w:sz w:val="24"/>
          <w:szCs w:val="24"/>
        </w:rPr>
        <w:t xml:space="preserve">de manera objetiva se precisa que versa en conocer la siguiente información: </w:t>
      </w:r>
    </w:p>
    <w:p w14:paraId="080CBBBD" w14:textId="1289B478" w:rsidR="00853188" w:rsidRPr="00833366" w:rsidRDefault="00A96E4F" w:rsidP="00BA3B2F">
      <w:pPr>
        <w:pStyle w:val="Prrafodelista"/>
        <w:numPr>
          <w:ilvl w:val="0"/>
          <w:numId w:val="2"/>
        </w:numPr>
        <w:autoSpaceDE w:val="0"/>
        <w:autoSpaceDN w:val="0"/>
        <w:adjustRightInd w:val="0"/>
        <w:spacing w:before="240" w:line="360" w:lineRule="auto"/>
        <w:jc w:val="both"/>
        <w:rPr>
          <w:rFonts w:ascii="Palatino Linotype" w:hAnsi="Palatino Linotype" w:cs="Arial"/>
          <w:b/>
          <w:bCs/>
          <w:i/>
          <w:iCs/>
          <w:sz w:val="20"/>
          <w:szCs w:val="20"/>
        </w:rPr>
      </w:pPr>
      <w:r w:rsidRPr="00833366">
        <w:rPr>
          <w:rFonts w:ascii="Palatino Linotype" w:hAnsi="Palatino Linotype" w:cs="Arial"/>
        </w:rPr>
        <w:t xml:space="preserve">Dispersión de nómina, del periodo comprendido </w:t>
      </w:r>
      <w:r w:rsidR="00853188" w:rsidRPr="00833366">
        <w:rPr>
          <w:rFonts w:ascii="Palatino Linotype" w:hAnsi="Palatino Linotype" w:cs="Arial"/>
        </w:rPr>
        <w:t xml:space="preserve">del uno de enero al treinta y uno de julio de dos mil veinticinco. </w:t>
      </w:r>
      <w:r w:rsidR="00853188" w:rsidRPr="00833366">
        <w:rPr>
          <w:rFonts w:ascii="Palatino Linotype" w:hAnsi="Palatino Linotype" w:cs="Arial"/>
          <w:b/>
          <w:bCs/>
        </w:rPr>
        <w:t xml:space="preserve"> </w:t>
      </w:r>
    </w:p>
    <w:p w14:paraId="4BFA9047" w14:textId="1D74ECC4" w:rsidR="00853188" w:rsidRPr="00833366" w:rsidRDefault="00A96E4F" w:rsidP="000062DB">
      <w:pPr>
        <w:pStyle w:val="Prrafodelista"/>
        <w:numPr>
          <w:ilvl w:val="0"/>
          <w:numId w:val="2"/>
        </w:numPr>
        <w:autoSpaceDE w:val="0"/>
        <w:autoSpaceDN w:val="0"/>
        <w:adjustRightInd w:val="0"/>
        <w:spacing w:before="240" w:line="360" w:lineRule="auto"/>
        <w:jc w:val="both"/>
        <w:rPr>
          <w:rFonts w:ascii="Palatino Linotype" w:hAnsi="Palatino Linotype" w:cs="Arial"/>
          <w:b/>
          <w:bCs/>
          <w:i/>
          <w:iCs/>
          <w:sz w:val="20"/>
          <w:szCs w:val="20"/>
        </w:rPr>
      </w:pPr>
      <w:r w:rsidRPr="00833366">
        <w:rPr>
          <w:rFonts w:ascii="Palatino Linotype" w:hAnsi="Palatino Linotype" w:cs="Arial"/>
        </w:rPr>
        <w:t xml:space="preserve">Conciliación de nómina, del periodo comprendido </w:t>
      </w:r>
      <w:r w:rsidR="00853188" w:rsidRPr="00833366">
        <w:rPr>
          <w:rFonts w:ascii="Palatino Linotype" w:hAnsi="Palatino Linotype" w:cs="Arial"/>
        </w:rPr>
        <w:t xml:space="preserve">del uno de enero al treinta y uno de julio de dos mil veinticinco. </w:t>
      </w:r>
      <w:r w:rsidR="00853188" w:rsidRPr="00833366">
        <w:rPr>
          <w:rFonts w:ascii="Palatino Linotype" w:hAnsi="Palatino Linotype" w:cs="Arial"/>
          <w:b/>
          <w:bCs/>
        </w:rPr>
        <w:t xml:space="preserve"> </w:t>
      </w:r>
    </w:p>
    <w:p w14:paraId="5CA54951" w14:textId="77777777" w:rsidR="00853188" w:rsidRPr="00833366" w:rsidRDefault="00853188" w:rsidP="00853188">
      <w:pPr>
        <w:pStyle w:val="Prrafodelista"/>
        <w:autoSpaceDE w:val="0"/>
        <w:autoSpaceDN w:val="0"/>
        <w:adjustRightInd w:val="0"/>
        <w:spacing w:before="240" w:line="360" w:lineRule="auto"/>
        <w:ind w:left="784"/>
        <w:jc w:val="both"/>
        <w:rPr>
          <w:rFonts w:ascii="Palatino Linotype" w:hAnsi="Palatino Linotype" w:cs="Arial"/>
        </w:rPr>
      </w:pPr>
    </w:p>
    <w:p w14:paraId="6E725A5F" w14:textId="77777777" w:rsidR="00B452AF" w:rsidRPr="00833366" w:rsidRDefault="00B452AF" w:rsidP="000E5F05">
      <w:pPr>
        <w:autoSpaceDE w:val="0"/>
        <w:autoSpaceDN w:val="0"/>
        <w:adjustRightInd w:val="0"/>
        <w:spacing w:line="360" w:lineRule="auto"/>
        <w:jc w:val="both"/>
        <w:rPr>
          <w:rFonts w:ascii="Palatino Linotype" w:hAnsi="Palatino Linotype" w:cs="Arial"/>
          <w:sz w:val="24"/>
          <w:szCs w:val="24"/>
        </w:rPr>
      </w:pPr>
    </w:p>
    <w:p w14:paraId="02D209F7" w14:textId="77777777" w:rsidR="007868E3" w:rsidRPr="00833366" w:rsidRDefault="007868E3" w:rsidP="007868E3">
      <w:pPr>
        <w:spacing w:line="360" w:lineRule="auto"/>
        <w:contextualSpacing/>
        <w:jc w:val="both"/>
        <w:rPr>
          <w:rFonts w:ascii="Palatino Linotype" w:hAnsi="Palatino Linotype"/>
          <w:b/>
          <w:bCs/>
          <w:iCs/>
          <w:sz w:val="24"/>
          <w:szCs w:val="24"/>
          <w:lang w:val="es-ES"/>
        </w:rPr>
      </w:pPr>
      <w:r w:rsidRPr="00833366">
        <w:rPr>
          <w:rFonts w:ascii="Palatino Linotype" w:hAnsi="Palatino Linotype" w:cs="Arial"/>
          <w:sz w:val="24"/>
          <w:szCs w:val="24"/>
        </w:rPr>
        <w:lastRenderedPageBreak/>
        <w:t xml:space="preserve">Una vez sentado lo anterior, se destaca que </w:t>
      </w:r>
      <w:r w:rsidRPr="00833366">
        <w:rPr>
          <w:rFonts w:ascii="Palatino Linotype" w:hAnsi="Palatino Linotype"/>
          <w:bCs/>
          <w:iCs/>
          <w:sz w:val="24"/>
          <w:szCs w:val="24"/>
          <w:lang w:val="es-ES"/>
        </w:rPr>
        <w:t xml:space="preserve">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Pr="00833366">
        <w:rPr>
          <w:rFonts w:ascii="Palatino Linotype" w:hAnsi="Palatino Linotype"/>
          <w:b/>
          <w:bCs/>
          <w:iCs/>
          <w:sz w:val="24"/>
          <w:szCs w:val="24"/>
          <w:lang w:val="es-ES"/>
        </w:rPr>
        <w:t>1000 Servicios Personales</w:t>
      </w:r>
      <w:r w:rsidRPr="00833366">
        <w:rPr>
          <w:rFonts w:ascii="Palatino Linotype" w:hAnsi="Palatino Linotype"/>
          <w:bCs/>
          <w:iCs/>
          <w:sz w:val="24"/>
          <w:szCs w:val="24"/>
          <w:lang w:val="es-ES"/>
        </w:rPr>
        <w:t>,</w:t>
      </w:r>
      <w:r w:rsidRPr="00833366">
        <w:rPr>
          <w:rFonts w:ascii="Palatino Linotype" w:hAnsi="Palatino Linotype"/>
          <w:b/>
          <w:bCs/>
          <w:iCs/>
          <w:sz w:val="24"/>
          <w:szCs w:val="24"/>
          <w:lang w:val="es-ES"/>
        </w:rPr>
        <w:t xml:space="preserve"> que agrupa las remuneraciones del personal al servicio de los entes públicos, tales como el sueldo, salarios, dietas, honorarios, prestaciones, obligaciones laborales, entre otras.</w:t>
      </w:r>
    </w:p>
    <w:p w14:paraId="4ED501C0" w14:textId="77777777" w:rsidR="007868E3" w:rsidRPr="00833366" w:rsidRDefault="007868E3" w:rsidP="007868E3">
      <w:pPr>
        <w:spacing w:line="360" w:lineRule="auto"/>
        <w:contextualSpacing/>
        <w:jc w:val="both"/>
        <w:rPr>
          <w:rFonts w:ascii="Palatino Linotype" w:hAnsi="Palatino Linotype"/>
          <w:bCs/>
          <w:sz w:val="24"/>
          <w:szCs w:val="24"/>
          <w:lang w:val="es-ES"/>
        </w:rPr>
      </w:pPr>
    </w:p>
    <w:p w14:paraId="5CB1055B" w14:textId="77777777" w:rsidR="007868E3" w:rsidRPr="00833366" w:rsidRDefault="007868E3" w:rsidP="007868E3">
      <w:pPr>
        <w:spacing w:line="360" w:lineRule="auto"/>
        <w:contextualSpacing/>
        <w:jc w:val="both"/>
        <w:rPr>
          <w:rFonts w:ascii="Palatino Linotype" w:eastAsia="Times New Roman" w:hAnsi="Palatino Linotype"/>
          <w:bCs/>
          <w:sz w:val="24"/>
          <w:szCs w:val="24"/>
        </w:rPr>
      </w:pPr>
      <w:r w:rsidRPr="00833366">
        <w:rPr>
          <w:rFonts w:ascii="Palatino Linotype" w:eastAsia="Times New Roman" w:hAnsi="Palatino Linotype" w:cs="Tahoma"/>
          <w:bCs/>
          <w:sz w:val="24"/>
          <w:szCs w:val="24"/>
        </w:rPr>
        <w:t xml:space="preserve">En ese orden de ideas, </w:t>
      </w:r>
      <w:r w:rsidRPr="00833366">
        <w:rPr>
          <w:rFonts w:ascii="Palatino Linotype" w:hAnsi="Palatino Linotype"/>
          <w:bCs/>
          <w:sz w:val="24"/>
          <w:szCs w:val="24"/>
        </w:rPr>
        <w:t>Lineamientos para la Integración y Entrega del Informe Trimestral Municipal, dos mil veintitrés, emitidos por el Órgano Superior de Fiscalización del Estado de México,</w:t>
      </w:r>
      <w:r w:rsidRPr="00833366">
        <w:rPr>
          <w:rFonts w:ascii="Palatino Linotype" w:eastAsia="Times New Roman" w:hAnsi="Palatino Linotype" w:cs="Tahoma"/>
          <w:bCs/>
          <w:sz w:val="24"/>
          <w:szCs w:val="24"/>
        </w:rPr>
        <w:t xml:space="preserve"> </w:t>
      </w:r>
      <w:r w:rsidRPr="00833366">
        <w:rPr>
          <w:rFonts w:ascii="Palatino Linotype" w:hAnsi="Palatino Linotype"/>
          <w:bCs/>
          <w:sz w:val="24"/>
          <w:szCs w:val="24"/>
        </w:rPr>
        <w:t xml:space="preserve">entre los formatos que maneja en el </w:t>
      </w:r>
      <w:r w:rsidRPr="00833366">
        <w:rPr>
          <w:rFonts w:ascii="Palatino Linotype" w:hAnsi="Palatino Linotype"/>
          <w:b/>
          <w:bCs/>
          <w:sz w:val="24"/>
          <w:szCs w:val="24"/>
        </w:rPr>
        <w:t>Módulo 4</w:t>
      </w:r>
      <w:r w:rsidRPr="00833366">
        <w:rPr>
          <w:rFonts w:ascii="Palatino Linotype" w:hAnsi="Palatino Linotype"/>
          <w:bCs/>
          <w:sz w:val="24"/>
          <w:szCs w:val="24"/>
        </w:rPr>
        <w:t xml:space="preserve">, se advierte que se encuentran la Nómina detallada, reporte de remuneraciones, </w:t>
      </w:r>
      <w:r w:rsidRPr="00833366">
        <w:rPr>
          <w:rFonts w:ascii="Palatino Linotype" w:hAnsi="Palatino Linotype"/>
          <w:b/>
          <w:bCs/>
          <w:sz w:val="24"/>
          <w:szCs w:val="24"/>
        </w:rPr>
        <w:t>conciliación de nómina</w:t>
      </w:r>
      <w:r w:rsidRPr="00833366">
        <w:rPr>
          <w:rFonts w:ascii="Palatino Linotype" w:hAnsi="Palatino Linotype"/>
          <w:bCs/>
          <w:sz w:val="24"/>
          <w:szCs w:val="24"/>
        </w:rPr>
        <w:t xml:space="preserve">, tabulador de sueldos, </w:t>
      </w:r>
      <w:r w:rsidRPr="00833366">
        <w:rPr>
          <w:rFonts w:ascii="Palatino Linotype" w:eastAsia="Times New Roman" w:hAnsi="Palatino Linotype"/>
          <w:bCs/>
          <w:sz w:val="24"/>
          <w:szCs w:val="24"/>
        </w:rPr>
        <w:t xml:space="preserve">mismos que serán entregados a la autoridad fiscalizadora y que contienen todas las remuneraciones que recibe cada servidor público. </w:t>
      </w:r>
    </w:p>
    <w:p w14:paraId="189037F1" w14:textId="77777777" w:rsidR="007868E3" w:rsidRPr="00833366" w:rsidRDefault="007868E3" w:rsidP="007868E3">
      <w:pPr>
        <w:spacing w:line="360" w:lineRule="auto"/>
        <w:contextualSpacing/>
        <w:jc w:val="both"/>
        <w:rPr>
          <w:rFonts w:ascii="Palatino Linotype" w:hAnsi="Palatino Linotype"/>
          <w:sz w:val="24"/>
          <w:szCs w:val="24"/>
        </w:rPr>
      </w:pPr>
      <w:r w:rsidRPr="00833366">
        <w:rPr>
          <w:rFonts w:ascii="Palatino Linotype" w:hAnsi="Palatino Linotype"/>
          <w:sz w:val="24"/>
          <w:szCs w:val="24"/>
        </w:rPr>
        <w:t xml:space="preserve">La “Conciliación de Nómina” se debe presentar en los formatos XLSX y TXT considerando las siguientes especificaciones: </w:t>
      </w:r>
    </w:p>
    <w:p w14:paraId="6FBEC6B4" w14:textId="22C195DF" w:rsidR="007868E3" w:rsidRPr="00833366" w:rsidRDefault="007868E3" w:rsidP="007868E3">
      <w:pPr>
        <w:pStyle w:val="Citas"/>
      </w:pPr>
      <w:r w:rsidRPr="00833366">
        <w:rPr>
          <w:b/>
        </w:rPr>
        <w:t>“1. Número Consecutivo</w:t>
      </w:r>
      <w:r w:rsidRPr="00833366">
        <w:t>: Anotar el número asignado consecutivamente del número de servidores públicos que laboran en el Ente Público.</w:t>
      </w:r>
    </w:p>
    <w:p w14:paraId="04D9E367" w14:textId="77777777" w:rsidR="007868E3" w:rsidRPr="00833366" w:rsidRDefault="007868E3" w:rsidP="007868E3">
      <w:pPr>
        <w:pStyle w:val="Citas"/>
      </w:pPr>
      <w:r w:rsidRPr="00833366">
        <w:rPr>
          <w:b/>
        </w:rPr>
        <w:t xml:space="preserve"> 2. Número de Quincena:</w:t>
      </w:r>
      <w:r w:rsidRPr="00833366">
        <w:t xml:space="preserve"> Anotar la quincena del periodo de pago que se realiza a los servidores públicos en el mes. </w:t>
      </w:r>
    </w:p>
    <w:p w14:paraId="35F58B35" w14:textId="77777777" w:rsidR="007868E3" w:rsidRPr="00833366" w:rsidRDefault="007868E3" w:rsidP="007868E3">
      <w:pPr>
        <w:pStyle w:val="Citas"/>
      </w:pPr>
      <w:r w:rsidRPr="00833366">
        <w:rPr>
          <w:b/>
        </w:rPr>
        <w:lastRenderedPageBreak/>
        <w:t>3. Número de Empleado</w:t>
      </w:r>
      <w:r w:rsidRPr="00833366">
        <w:t>: Anotar el número identificador del servidor que asigna el Ente Público al inicio de su relación laboral.</w:t>
      </w:r>
    </w:p>
    <w:p w14:paraId="27EA5137" w14:textId="77777777" w:rsidR="007868E3" w:rsidRPr="00833366" w:rsidRDefault="007868E3" w:rsidP="007868E3">
      <w:pPr>
        <w:pStyle w:val="Citas"/>
      </w:pPr>
      <w:r w:rsidRPr="00833366">
        <w:t xml:space="preserve"> </w:t>
      </w:r>
      <w:r w:rsidRPr="00833366">
        <w:rPr>
          <w:b/>
        </w:rPr>
        <w:t>4. RFC:</w:t>
      </w:r>
      <w:r w:rsidRPr="00833366">
        <w:t xml:space="preserve"> Registro Federal del Contribuyente del servidor que labora en el Ente Público. </w:t>
      </w:r>
    </w:p>
    <w:p w14:paraId="633A601A" w14:textId="77777777" w:rsidR="007868E3" w:rsidRPr="00833366" w:rsidRDefault="007868E3" w:rsidP="007868E3">
      <w:pPr>
        <w:pStyle w:val="Citas"/>
      </w:pPr>
      <w:r w:rsidRPr="00833366">
        <w:rPr>
          <w:b/>
        </w:rPr>
        <w:t>5. CURP:</w:t>
      </w:r>
      <w:r w:rsidRPr="00833366">
        <w:t xml:space="preserve"> Clave Única de Registro de Población. </w:t>
      </w:r>
    </w:p>
    <w:p w14:paraId="5185BD54" w14:textId="77777777" w:rsidR="007868E3" w:rsidRPr="00833366" w:rsidRDefault="007868E3" w:rsidP="007868E3">
      <w:pPr>
        <w:pStyle w:val="Citas"/>
      </w:pPr>
      <w:r w:rsidRPr="00833366">
        <w:rPr>
          <w:b/>
        </w:rPr>
        <w:t>6. Número de Seguridad Social (ISSEMYM):</w:t>
      </w:r>
      <w:r w:rsidRPr="00833366">
        <w:t xml:space="preserve"> Anotar la clave de </w:t>
      </w:r>
      <w:proofErr w:type="spellStart"/>
      <w:r w:rsidRPr="00833366">
        <w:t>ISSEMyM</w:t>
      </w:r>
      <w:proofErr w:type="spellEnd"/>
      <w:r w:rsidRPr="00833366">
        <w:t xml:space="preserve"> del servidor público.</w:t>
      </w:r>
    </w:p>
    <w:p w14:paraId="12BD3156" w14:textId="77777777" w:rsidR="007868E3" w:rsidRPr="00833366" w:rsidRDefault="007868E3" w:rsidP="007868E3">
      <w:pPr>
        <w:pStyle w:val="Citas"/>
      </w:pPr>
      <w:r w:rsidRPr="00833366">
        <w:rPr>
          <w:b/>
        </w:rPr>
        <w:t>7 - 9. Nombre Completo</w:t>
      </w:r>
      <w:r w:rsidRPr="00833366">
        <w:t xml:space="preserve">: Anotar el nombre del servidor público iniciando por apellido paterno, apellido materno y nombre(s). </w:t>
      </w:r>
    </w:p>
    <w:p w14:paraId="7F1A6058" w14:textId="77777777" w:rsidR="007868E3" w:rsidRPr="00833366" w:rsidRDefault="007868E3" w:rsidP="007868E3">
      <w:pPr>
        <w:pStyle w:val="Citas"/>
      </w:pPr>
      <w:r w:rsidRPr="00833366">
        <w:rPr>
          <w:b/>
        </w:rPr>
        <w:t>10. Fecha de Alta</w:t>
      </w:r>
      <w:r w:rsidRPr="00833366">
        <w:t xml:space="preserve">: Anotar la fecha que se le asigna al servidor en el momento en que inicia la relación laboral con el Ente Público. 11. Fecha de Baja: Anotar la fecha asignada cuando el servidor finaliza la relación laboral con el Ente Público. </w:t>
      </w:r>
    </w:p>
    <w:p w14:paraId="31EF0156" w14:textId="77777777" w:rsidR="007868E3" w:rsidRPr="00833366" w:rsidRDefault="007868E3" w:rsidP="007868E3">
      <w:pPr>
        <w:pStyle w:val="Citas"/>
      </w:pPr>
      <w:r w:rsidRPr="00833366">
        <w:rPr>
          <w:b/>
        </w:rPr>
        <w:t>12. Puesto Funcional</w:t>
      </w:r>
      <w:r w:rsidRPr="00833366">
        <w:t xml:space="preserve">: Anotar el puesto que desarrolla el servidor de acuerdo a la clasificación del Ente Público en el Tabulador de Sueldos y Salarios. </w:t>
      </w:r>
    </w:p>
    <w:p w14:paraId="39131357" w14:textId="77777777" w:rsidR="007868E3" w:rsidRPr="00833366" w:rsidRDefault="007868E3" w:rsidP="007868E3">
      <w:pPr>
        <w:pStyle w:val="Citas"/>
      </w:pPr>
      <w:r w:rsidRPr="00833366">
        <w:rPr>
          <w:b/>
        </w:rPr>
        <w:t>13. Nivel y/o Rango:</w:t>
      </w:r>
      <w:r w:rsidRPr="00833366">
        <w:t xml:space="preserve"> Anotar la categoría de pagos de los servidores públicos en los que están situados (si no se cuenta con el nivel y/o rango únicamente se llenará la columna del puesto funcional). </w:t>
      </w:r>
    </w:p>
    <w:p w14:paraId="2BD9B4F1" w14:textId="77777777" w:rsidR="007868E3" w:rsidRPr="00833366" w:rsidRDefault="007868E3" w:rsidP="007868E3">
      <w:pPr>
        <w:pStyle w:val="Citas"/>
      </w:pPr>
      <w:r w:rsidRPr="00833366">
        <w:rPr>
          <w:b/>
        </w:rPr>
        <w:t>14. No. de Horas Laboradas</w:t>
      </w:r>
      <w:r w:rsidRPr="00833366">
        <w:t xml:space="preserve">: Anotar el número de horas de trabajo. </w:t>
      </w:r>
    </w:p>
    <w:p w14:paraId="59FF4E33" w14:textId="77777777" w:rsidR="007868E3" w:rsidRPr="00833366" w:rsidRDefault="007868E3" w:rsidP="007868E3">
      <w:pPr>
        <w:pStyle w:val="Citas"/>
      </w:pPr>
      <w:r w:rsidRPr="00833366">
        <w:rPr>
          <w:b/>
        </w:rPr>
        <w:lastRenderedPageBreak/>
        <w:t>15. Adscripción:</w:t>
      </w:r>
      <w:r w:rsidRPr="00833366">
        <w:t xml:space="preserve"> Anotar el área en donde desarrolla sus funciones el servidor público. 16 - </w:t>
      </w:r>
      <w:r w:rsidRPr="00833366">
        <w:rPr>
          <w:b/>
        </w:rPr>
        <w:t>18. Categoría:</w:t>
      </w:r>
      <w:r w:rsidRPr="00833366">
        <w:t xml:space="preserve"> Anotar la categoría de Confianza/Sindicalizado/Eventual de cada empleado. </w:t>
      </w:r>
    </w:p>
    <w:p w14:paraId="3267F3C3" w14:textId="77777777" w:rsidR="007868E3" w:rsidRPr="00833366" w:rsidRDefault="007868E3" w:rsidP="007868E3">
      <w:pPr>
        <w:pStyle w:val="Citas"/>
      </w:pPr>
      <w:r w:rsidRPr="00833366">
        <w:rPr>
          <w:b/>
        </w:rPr>
        <w:t>19 - 27. Percepciones Ordinarias:</w:t>
      </w:r>
      <w:r w:rsidRPr="00833366">
        <w:t xml:space="preserve"> Anotar todos los pagos por sueldos y salarios, conforme a los tabuladores autorizados. </w:t>
      </w:r>
    </w:p>
    <w:p w14:paraId="58FF55A2" w14:textId="77777777" w:rsidR="007868E3" w:rsidRPr="00833366" w:rsidRDefault="007868E3" w:rsidP="007868E3">
      <w:pPr>
        <w:pStyle w:val="Citas"/>
      </w:pPr>
      <w:r w:rsidRPr="00833366">
        <w:rPr>
          <w:b/>
        </w:rPr>
        <w:t>28 – 30. Percepciones Extraordinarias:</w:t>
      </w:r>
      <w:r w:rsidRPr="00833366">
        <w:t xml:space="preserve"> Anotar todos los pagos por concepto de estímulos, reconocimientos, recompensas, incentivos y pagos equivalentes a los mismos que se otorgan de manera excepcional al personal y que no constituye un ingreso fijo, regular ni permanente, ya que su otorgamiento se encuentra sujeto a requisitos y condiciones variables con la periodicidad establecida en las disposiciones aplicables. </w:t>
      </w:r>
    </w:p>
    <w:p w14:paraId="568500DE" w14:textId="77777777" w:rsidR="007868E3" w:rsidRPr="00833366" w:rsidRDefault="007868E3" w:rsidP="007868E3">
      <w:pPr>
        <w:pStyle w:val="Citas"/>
      </w:pPr>
      <w:r w:rsidRPr="00833366">
        <w:rPr>
          <w:b/>
        </w:rPr>
        <w:t>31. Total de Percepciones Brutas:</w:t>
      </w:r>
      <w:r w:rsidRPr="00833366">
        <w:t xml:space="preserve"> Anotar el total de la suma de todas las Percepciones ordinarias y las Percepciones extraordinarias </w:t>
      </w:r>
    </w:p>
    <w:p w14:paraId="477F1665" w14:textId="77777777" w:rsidR="007868E3" w:rsidRPr="00833366" w:rsidRDefault="007868E3" w:rsidP="007868E3">
      <w:pPr>
        <w:pStyle w:val="Citas"/>
      </w:pPr>
      <w:r w:rsidRPr="00833366">
        <w:rPr>
          <w:b/>
        </w:rPr>
        <w:t>32 - 35. Deducciones:</w:t>
      </w:r>
      <w:r w:rsidRPr="00833366">
        <w:t xml:space="preserve"> Anotar los montos que se le descuentan al salario base de un trabajador regulado por las leyes laborales, constitucionales y de seguridad social. Además de los descuentos de pensión alimenticia y las deducciones facultativas autorizadas por el servidor público, como ejemplo alimentación y transporte, ambas con límites de descuentos establecidos por la ley, los prestamos etc.; estas deducciones no son obligatorias por ley y se tratan de un acuerdo entre patrón y trabajador. </w:t>
      </w:r>
    </w:p>
    <w:p w14:paraId="718B010C" w14:textId="77777777" w:rsidR="007868E3" w:rsidRPr="00833366" w:rsidRDefault="007868E3" w:rsidP="007868E3">
      <w:pPr>
        <w:pStyle w:val="Citas"/>
      </w:pPr>
      <w:r w:rsidRPr="00833366">
        <w:rPr>
          <w:b/>
        </w:rPr>
        <w:t>36. Total de Deducciones</w:t>
      </w:r>
      <w:r w:rsidRPr="00833366">
        <w:t>: Anotar el total de la suma de todas las deducciones.</w:t>
      </w:r>
    </w:p>
    <w:p w14:paraId="7CB419D3" w14:textId="77777777" w:rsidR="007868E3" w:rsidRPr="00833366" w:rsidRDefault="007868E3" w:rsidP="007868E3">
      <w:pPr>
        <w:pStyle w:val="Citas"/>
      </w:pPr>
      <w:r w:rsidRPr="00833366">
        <w:t xml:space="preserve"> </w:t>
      </w:r>
      <w:r w:rsidRPr="00833366">
        <w:rPr>
          <w:b/>
        </w:rPr>
        <w:t>37. Total Neto</w:t>
      </w:r>
      <w:r w:rsidRPr="00833366">
        <w:t xml:space="preserve">: Anotar la diferencia del total de percepciones brutas y el total de deducciones. </w:t>
      </w:r>
    </w:p>
    <w:p w14:paraId="244FA638" w14:textId="77777777" w:rsidR="007868E3" w:rsidRPr="00833366" w:rsidRDefault="007868E3" w:rsidP="007868E3">
      <w:pPr>
        <w:pStyle w:val="Citas"/>
      </w:pPr>
      <w:r w:rsidRPr="00833366">
        <w:rPr>
          <w:b/>
        </w:rPr>
        <w:lastRenderedPageBreak/>
        <w:t>38. Días Pagados</w:t>
      </w:r>
      <w:r w:rsidRPr="00833366">
        <w:t xml:space="preserve">: Anotar los días que el servidor público trabajo en la quincena. </w:t>
      </w:r>
    </w:p>
    <w:p w14:paraId="1EA881D8" w14:textId="77777777" w:rsidR="007868E3" w:rsidRPr="00833366" w:rsidRDefault="007868E3" w:rsidP="007868E3">
      <w:pPr>
        <w:pStyle w:val="Citas"/>
      </w:pPr>
      <w:r w:rsidRPr="00833366">
        <w:rPr>
          <w:b/>
        </w:rPr>
        <w:t>39. Nombre de la Fuente de Financiamiento:</w:t>
      </w:r>
      <w:r w:rsidRPr="00833366">
        <w:t xml:space="preserve"> Anotar el nombre del recurso que utilizó la entidad para el pago de la nómina. </w:t>
      </w:r>
    </w:p>
    <w:p w14:paraId="418A0A98" w14:textId="77777777" w:rsidR="007868E3" w:rsidRPr="00833366" w:rsidRDefault="007868E3" w:rsidP="007868E3">
      <w:pPr>
        <w:pStyle w:val="Citas"/>
      </w:pPr>
      <w:r w:rsidRPr="00833366">
        <w:rPr>
          <w:b/>
        </w:rPr>
        <w:t>40 - 43. Póliza:</w:t>
      </w:r>
      <w:r w:rsidRPr="00833366">
        <w:t xml:space="preserve"> Anotar los datos de la(s) póliza(s) Tipo/No./Concepto e importe donde se registró contablemente el pago de la nómina. </w:t>
      </w:r>
    </w:p>
    <w:p w14:paraId="67C53BDD" w14:textId="288639BC" w:rsidR="007868E3" w:rsidRPr="00833366" w:rsidRDefault="007868E3" w:rsidP="007868E3">
      <w:pPr>
        <w:pStyle w:val="Citas"/>
        <w:rPr>
          <w:b/>
          <w:bCs/>
        </w:rPr>
      </w:pPr>
      <w:r w:rsidRPr="00833366">
        <w:rPr>
          <w:b/>
        </w:rPr>
        <w:t>44 - 48. Medio de Pago</w:t>
      </w:r>
      <w:r w:rsidRPr="00833366">
        <w:t xml:space="preserve">: Anotar el medio en que fue pagada la nómina; detallando los siguientes datos: Nombre de la institución bancaria, número de cuenta bancaria; la forma en que se realizó el pago ya sea transferencia, cheque o efectivo, además el número de referencia y/o cheque y el importe.” </w:t>
      </w:r>
      <w:r w:rsidRPr="00833366">
        <w:rPr>
          <w:b/>
          <w:bCs/>
        </w:rPr>
        <w:t>(Sic)</w:t>
      </w:r>
    </w:p>
    <w:p w14:paraId="1496748A" w14:textId="77777777" w:rsidR="007868E3" w:rsidRPr="00833366" w:rsidRDefault="007868E3" w:rsidP="007868E3">
      <w:pPr>
        <w:contextualSpacing/>
        <w:rPr>
          <w:rFonts w:eastAsia="Times New Roman"/>
          <w:bCs/>
          <w:szCs w:val="24"/>
        </w:rPr>
      </w:pPr>
    </w:p>
    <w:p w14:paraId="6B019125" w14:textId="77777777" w:rsidR="007868E3" w:rsidRPr="00833366" w:rsidRDefault="007868E3" w:rsidP="007868E3">
      <w:pPr>
        <w:spacing w:line="360" w:lineRule="auto"/>
        <w:contextualSpacing/>
        <w:rPr>
          <w:rFonts w:ascii="Palatino Linotype" w:eastAsia="Times New Roman" w:hAnsi="Palatino Linotype"/>
          <w:bCs/>
          <w:sz w:val="24"/>
          <w:szCs w:val="24"/>
        </w:rPr>
      </w:pPr>
      <w:r w:rsidRPr="00833366">
        <w:rPr>
          <w:rFonts w:ascii="Palatino Linotype" w:eastAsia="Times New Roman" w:hAnsi="Palatino Linotype"/>
          <w:b/>
          <w:sz w:val="24"/>
          <w:szCs w:val="24"/>
        </w:rPr>
        <w:t>Dispersión de nómina:</w:t>
      </w:r>
      <w:r w:rsidRPr="00833366">
        <w:rPr>
          <w:rFonts w:ascii="Palatino Linotype" w:eastAsia="Times New Roman" w:hAnsi="Palatino Linotype"/>
          <w:bCs/>
          <w:sz w:val="24"/>
          <w:szCs w:val="24"/>
        </w:rPr>
        <w:t xml:space="preserve"> es el documento que emite la institución bancaria por la transferencia realizada del pago de las remuneraciones de cada servidor del Ente Público por cada quincena.</w:t>
      </w:r>
    </w:p>
    <w:p w14:paraId="362A2F6E" w14:textId="431A5B0A" w:rsidR="007868E3" w:rsidRPr="00833366" w:rsidRDefault="007868E3" w:rsidP="007868E3">
      <w:pPr>
        <w:contextualSpacing/>
        <w:jc w:val="center"/>
        <w:rPr>
          <w:bCs/>
          <w:szCs w:val="24"/>
        </w:rPr>
      </w:pPr>
    </w:p>
    <w:p w14:paraId="0B6A5386" w14:textId="652377D5" w:rsidR="007868E3" w:rsidRPr="00833366" w:rsidRDefault="007868E3" w:rsidP="007868E3">
      <w:pPr>
        <w:contextualSpacing/>
        <w:rPr>
          <w:rFonts w:eastAsia="Palatino Linotype" w:cs="Palatino Linotype"/>
          <w:szCs w:val="24"/>
        </w:rPr>
      </w:pPr>
      <w:r w:rsidRPr="00833366">
        <w:rPr>
          <w:bCs/>
          <w:noProof/>
          <w:szCs w:val="24"/>
          <w:lang w:eastAsia="es-MX"/>
        </w:rPr>
        <w:drawing>
          <wp:anchor distT="0" distB="0" distL="114300" distR="114300" simplePos="0" relativeHeight="251658240" behindDoc="0" locked="0" layoutInCell="1" allowOverlap="1" wp14:anchorId="41737893" wp14:editId="1CB9011F">
            <wp:simplePos x="0" y="0"/>
            <wp:positionH relativeFrom="page">
              <wp:align>center</wp:align>
            </wp:positionH>
            <wp:positionV relativeFrom="paragraph">
              <wp:posOffset>30596</wp:posOffset>
            </wp:positionV>
            <wp:extent cx="4404289" cy="1384286"/>
            <wp:effectExtent l="19050" t="19050" r="15875" b="26035"/>
            <wp:wrapThrough wrapText="bothSides">
              <wp:wrapPolygon edited="0">
                <wp:start x="-93" y="-297"/>
                <wp:lineTo x="-93" y="21709"/>
                <wp:lineTo x="21584" y="21709"/>
                <wp:lineTo x="21584" y="-297"/>
                <wp:lineTo x="-93" y="-297"/>
              </wp:wrapPolygon>
            </wp:wrapThrough>
            <wp:docPr id="3" name="Imagen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A close-up of a docu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404289" cy="138428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5147889" w14:textId="006013E0" w:rsidR="007868E3" w:rsidRPr="00833366" w:rsidRDefault="007868E3" w:rsidP="007868E3">
      <w:pPr>
        <w:contextualSpacing/>
        <w:rPr>
          <w:rFonts w:eastAsia="Palatino Linotype" w:cs="Palatino Linotype"/>
          <w:szCs w:val="24"/>
        </w:rPr>
      </w:pPr>
    </w:p>
    <w:p w14:paraId="025F21D8" w14:textId="77777777" w:rsidR="007868E3" w:rsidRPr="00833366" w:rsidRDefault="007868E3" w:rsidP="007868E3">
      <w:pPr>
        <w:contextualSpacing/>
        <w:rPr>
          <w:rFonts w:eastAsia="Palatino Linotype" w:cs="Palatino Linotype"/>
          <w:szCs w:val="24"/>
        </w:rPr>
      </w:pPr>
    </w:p>
    <w:p w14:paraId="644EF2A0" w14:textId="77777777" w:rsidR="007868E3" w:rsidRPr="00833366" w:rsidRDefault="007868E3" w:rsidP="007868E3">
      <w:pPr>
        <w:contextualSpacing/>
        <w:rPr>
          <w:rFonts w:eastAsia="Palatino Linotype" w:cs="Palatino Linotype"/>
          <w:szCs w:val="24"/>
        </w:rPr>
      </w:pPr>
    </w:p>
    <w:p w14:paraId="0C7585C3" w14:textId="77777777" w:rsidR="007868E3" w:rsidRPr="00833366" w:rsidRDefault="007868E3" w:rsidP="007868E3">
      <w:pPr>
        <w:contextualSpacing/>
        <w:rPr>
          <w:rFonts w:eastAsia="Palatino Linotype" w:cs="Palatino Linotype"/>
          <w:szCs w:val="24"/>
        </w:rPr>
      </w:pPr>
    </w:p>
    <w:p w14:paraId="7876223C" w14:textId="77777777" w:rsidR="007868E3" w:rsidRPr="00833366" w:rsidRDefault="007868E3" w:rsidP="007868E3">
      <w:pPr>
        <w:contextualSpacing/>
        <w:rPr>
          <w:rFonts w:eastAsia="Palatino Linotype" w:cs="Palatino Linotype"/>
          <w:szCs w:val="24"/>
        </w:rPr>
      </w:pPr>
    </w:p>
    <w:p w14:paraId="5C4BAFC4" w14:textId="77777777" w:rsidR="007868E3" w:rsidRPr="00833366" w:rsidRDefault="007868E3" w:rsidP="007868E3">
      <w:pPr>
        <w:contextualSpacing/>
        <w:rPr>
          <w:rFonts w:eastAsia="Palatino Linotype" w:cs="Palatino Linotype"/>
          <w:szCs w:val="24"/>
        </w:rPr>
      </w:pPr>
    </w:p>
    <w:p w14:paraId="65540787" w14:textId="77777777" w:rsidR="007868E3" w:rsidRPr="00833366" w:rsidRDefault="007868E3" w:rsidP="007868E3">
      <w:pPr>
        <w:contextualSpacing/>
        <w:rPr>
          <w:rFonts w:eastAsia="Palatino Linotype" w:cs="Palatino Linotype"/>
          <w:szCs w:val="24"/>
        </w:rPr>
      </w:pPr>
    </w:p>
    <w:p w14:paraId="34FE284F" w14:textId="77777777" w:rsidR="007868E3" w:rsidRPr="00833366" w:rsidRDefault="007868E3" w:rsidP="007868E3">
      <w:pPr>
        <w:contextualSpacing/>
        <w:rPr>
          <w:rFonts w:eastAsia="Palatino Linotype" w:cs="Palatino Linotype"/>
          <w:szCs w:val="24"/>
        </w:rPr>
      </w:pPr>
    </w:p>
    <w:p w14:paraId="658AFF57" w14:textId="77777777" w:rsidR="007868E3" w:rsidRPr="00833366" w:rsidRDefault="007868E3" w:rsidP="007868E3">
      <w:pPr>
        <w:contextualSpacing/>
        <w:rPr>
          <w:rFonts w:eastAsia="Palatino Linotype" w:cs="Palatino Linotype"/>
          <w:szCs w:val="24"/>
        </w:rPr>
      </w:pPr>
    </w:p>
    <w:p w14:paraId="0912F6E0" w14:textId="7EE9AC7C" w:rsidR="007868E3" w:rsidRPr="00833366" w:rsidRDefault="007868E3" w:rsidP="007868E3">
      <w:pPr>
        <w:spacing w:line="360" w:lineRule="auto"/>
        <w:contextualSpacing/>
        <w:rPr>
          <w:rFonts w:ascii="Palatino Linotype" w:eastAsia="Palatino Linotype" w:hAnsi="Palatino Linotype" w:cs="Palatino Linotype"/>
          <w:sz w:val="24"/>
          <w:szCs w:val="24"/>
        </w:rPr>
      </w:pPr>
      <w:r w:rsidRPr="00833366">
        <w:rPr>
          <w:rFonts w:ascii="Palatino Linotype" w:eastAsia="Palatino Linotype" w:hAnsi="Palatino Linotype" w:cs="Palatino Linotype"/>
          <w:sz w:val="24"/>
          <w:szCs w:val="24"/>
        </w:rPr>
        <w:t xml:space="preserve">Dentro de los cuales ubicamos en su módulo cuatro la información de la </w:t>
      </w:r>
      <w:r w:rsidRPr="00833366">
        <w:rPr>
          <w:rFonts w:ascii="Palatino Linotype" w:eastAsia="Times New Roman" w:hAnsi="Palatino Linotype" w:cs="Tahoma"/>
          <w:bCs/>
          <w:sz w:val="24"/>
          <w:szCs w:val="24"/>
        </w:rPr>
        <w:t>conciliación</w:t>
      </w:r>
      <w:r w:rsidRPr="00833366">
        <w:rPr>
          <w:rFonts w:ascii="Palatino Linotype" w:eastAsia="Palatino Linotype" w:hAnsi="Palatino Linotype" w:cs="Palatino Linotype"/>
          <w:sz w:val="24"/>
          <w:szCs w:val="24"/>
        </w:rPr>
        <w:t xml:space="preserve"> de nómina los cuales son generados de manera quincenal mediante archivos PDF y </w:t>
      </w:r>
      <w:r w:rsidRPr="00833366">
        <w:rPr>
          <w:rFonts w:ascii="Palatino Linotype" w:eastAsia="Palatino Linotype" w:hAnsi="Palatino Linotype" w:cs="Palatino Linotype"/>
          <w:sz w:val="24"/>
          <w:szCs w:val="24"/>
        </w:rPr>
        <w:lastRenderedPageBreak/>
        <w:t>XLS, así como la dispersión de nómina como se advierte en las siguientes imágenes sustraídas de dichos lineamientos:</w:t>
      </w:r>
    </w:p>
    <w:p w14:paraId="3795B5E2" w14:textId="5AF37719" w:rsidR="007868E3" w:rsidRPr="00833366" w:rsidRDefault="008F7199" w:rsidP="007868E3">
      <w:pPr>
        <w:jc w:val="center"/>
      </w:pPr>
      <w:r w:rsidRPr="00833366">
        <w:rPr>
          <w:rFonts w:eastAsia="Palatino Linotype" w:cs="Palatino Linotype"/>
          <w:noProof/>
          <w:lang w:eastAsia="es-MX"/>
        </w:rPr>
        <mc:AlternateContent>
          <mc:Choice Requires="wps">
            <w:drawing>
              <wp:anchor distT="0" distB="0" distL="114300" distR="114300" simplePos="0" relativeHeight="251663360" behindDoc="0" locked="0" layoutInCell="1" allowOverlap="1" wp14:anchorId="492CF291" wp14:editId="3E536937">
                <wp:simplePos x="0" y="0"/>
                <wp:positionH relativeFrom="column">
                  <wp:posOffset>1004454</wp:posOffset>
                </wp:positionH>
                <wp:positionV relativeFrom="paragraph">
                  <wp:posOffset>2823383</wp:posOffset>
                </wp:positionV>
                <wp:extent cx="1918854" cy="297873"/>
                <wp:effectExtent l="0" t="0" r="24765" b="26035"/>
                <wp:wrapNone/>
                <wp:docPr id="185422234" name="Rectangle 3"/>
                <wp:cNvGraphicFramePr/>
                <a:graphic xmlns:a="http://schemas.openxmlformats.org/drawingml/2006/main">
                  <a:graphicData uri="http://schemas.microsoft.com/office/word/2010/wordprocessingShape">
                    <wps:wsp>
                      <wps:cNvSpPr/>
                      <wps:spPr>
                        <a:xfrm>
                          <a:off x="0" y="0"/>
                          <a:ext cx="1918854" cy="29787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9D7692" id="Rectangle 3" o:spid="_x0000_s1026" style="position:absolute;margin-left:79.1pt;margin-top:222.3pt;width:151.1pt;height:2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" filled="f" strokecolor="#e00" strokeweight="1pt"/>
            </w:pict>
          </mc:Fallback>
        </mc:AlternateContent>
      </w:r>
      <w:r w:rsidRPr="00833366">
        <w:rPr>
          <w:rFonts w:eastAsia="Palatino Linotype" w:cs="Palatino Linotype"/>
          <w:noProof/>
          <w:lang w:eastAsia="es-MX"/>
        </w:rPr>
        <mc:AlternateContent>
          <mc:Choice Requires="wps">
            <w:drawing>
              <wp:anchor distT="0" distB="0" distL="114300" distR="114300" simplePos="0" relativeHeight="251661312" behindDoc="0" locked="0" layoutInCell="1" allowOverlap="1" wp14:anchorId="0A53A71D" wp14:editId="2A899128">
                <wp:simplePos x="0" y="0"/>
                <wp:positionH relativeFrom="column">
                  <wp:posOffset>1025756</wp:posOffset>
                </wp:positionH>
                <wp:positionV relativeFrom="paragraph">
                  <wp:posOffset>2210262</wp:posOffset>
                </wp:positionV>
                <wp:extent cx="1918854" cy="297873"/>
                <wp:effectExtent l="0" t="0" r="24765" b="26035"/>
                <wp:wrapNone/>
                <wp:docPr id="1808316781" name="Rectangle 3"/>
                <wp:cNvGraphicFramePr/>
                <a:graphic xmlns:a="http://schemas.openxmlformats.org/drawingml/2006/main">
                  <a:graphicData uri="http://schemas.microsoft.com/office/word/2010/wordprocessingShape">
                    <wps:wsp>
                      <wps:cNvSpPr/>
                      <wps:spPr>
                        <a:xfrm>
                          <a:off x="0" y="0"/>
                          <a:ext cx="1918854" cy="29787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9BA7D" id="Rectangle 3" o:spid="_x0000_s1026" style="position:absolute;margin-left:80.75pt;margin-top:174.05pt;width:151.1pt;height:2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" filled="f" strokecolor="#e00" strokeweight="1pt"/>
            </w:pict>
          </mc:Fallback>
        </mc:AlternateContent>
      </w:r>
      <w:r w:rsidRPr="00833366">
        <w:rPr>
          <w:rFonts w:eastAsia="Palatino Linotype" w:cs="Palatino Linotype"/>
          <w:noProof/>
          <w:lang w:eastAsia="es-MX"/>
        </w:rPr>
        <w:drawing>
          <wp:anchor distT="0" distB="0" distL="114300" distR="114300" simplePos="0" relativeHeight="251660288" behindDoc="0" locked="0" layoutInCell="1" allowOverlap="1" wp14:anchorId="78246893" wp14:editId="0919FD92">
            <wp:simplePos x="0" y="0"/>
            <wp:positionH relativeFrom="page">
              <wp:align>center</wp:align>
            </wp:positionH>
            <wp:positionV relativeFrom="paragraph">
              <wp:posOffset>3767166</wp:posOffset>
            </wp:positionV>
            <wp:extent cx="5645078" cy="2164715"/>
            <wp:effectExtent l="19050" t="19050" r="13335" b="26035"/>
            <wp:wrapThrough wrapText="bothSides">
              <wp:wrapPolygon edited="0">
                <wp:start x="-73" y="-190"/>
                <wp:lineTo x="-73" y="21670"/>
                <wp:lineTo x="21578" y="21670"/>
                <wp:lineTo x="21578" y="-190"/>
                <wp:lineTo x="-73" y="-190"/>
              </wp:wrapPolygon>
            </wp:wrapThrough>
            <wp:docPr id="1" name="Imagen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table with text and numbe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45078" cy="21647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33366">
        <w:rPr>
          <w:noProof/>
          <w:color w:val="000000"/>
          <w:szCs w:val="24"/>
          <w:lang w:eastAsia="es-MX"/>
        </w:rPr>
        <w:drawing>
          <wp:anchor distT="0" distB="0" distL="114300" distR="114300" simplePos="0" relativeHeight="251659264" behindDoc="0" locked="0" layoutInCell="1" allowOverlap="1" wp14:anchorId="4E74BC30" wp14:editId="52D7383F">
            <wp:simplePos x="0" y="0"/>
            <wp:positionH relativeFrom="page">
              <wp:align>center</wp:align>
            </wp:positionH>
            <wp:positionV relativeFrom="paragraph">
              <wp:posOffset>19166</wp:posOffset>
            </wp:positionV>
            <wp:extent cx="5751195" cy="3443605"/>
            <wp:effectExtent l="19050" t="19050" r="20955" b="23495"/>
            <wp:wrapThrough wrapText="bothSides">
              <wp:wrapPolygon edited="0">
                <wp:start x="-72" y="-119"/>
                <wp:lineTo x="-72" y="21628"/>
                <wp:lineTo x="21607" y="21628"/>
                <wp:lineTo x="21607" y="-119"/>
                <wp:lineTo x="-72" y="-119"/>
              </wp:wrapPolygon>
            </wp:wrapThrough>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5751195" cy="34436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56F7606" w14:textId="25843E69" w:rsidR="007868E3" w:rsidRPr="00833366" w:rsidRDefault="007868E3" w:rsidP="007868E3">
      <w:pPr>
        <w:pStyle w:val="Prrafodelista"/>
        <w:ind w:left="0"/>
        <w:jc w:val="center"/>
        <w:rPr>
          <w:rFonts w:eastAsia="Palatino Linotype" w:cs="Palatino Linotype"/>
        </w:rPr>
      </w:pPr>
    </w:p>
    <w:p w14:paraId="200F6C45" w14:textId="77777777" w:rsidR="007868E3" w:rsidRPr="00833366" w:rsidRDefault="007868E3" w:rsidP="007868E3">
      <w:pPr>
        <w:pStyle w:val="Prrafodelista"/>
        <w:ind w:left="0"/>
        <w:rPr>
          <w:rFonts w:eastAsia="Palatino Linotype" w:cs="Palatino Linotype"/>
        </w:rPr>
      </w:pPr>
    </w:p>
    <w:p w14:paraId="0AB94D5D" w14:textId="77777777" w:rsidR="007868E3" w:rsidRPr="00833366" w:rsidRDefault="007868E3" w:rsidP="008F7199">
      <w:pPr>
        <w:pStyle w:val="Prrafodelista"/>
        <w:spacing w:line="360" w:lineRule="auto"/>
        <w:ind w:left="0"/>
        <w:jc w:val="both"/>
        <w:rPr>
          <w:rFonts w:ascii="Palatino Linotype" w:eastAsia="Palatino Linotype" w:hAnsi="Palatino Linotype" w:cs="Palatino Linotype"/>
        </w:rPr>
      </w:pPr>
      <w:r w:rsidRPr="00833366">
        <w:rPr>
          <w:rFonts w:ascii="Palatino Linotype" w:eastAsia="Palatino Linotype" w:hAnsi="Palatino Linotype" w:cs="Palatino Linotype"/>
        </w:rPr>
        <w:t xml:space="preserve">En observancia a las imágenes anteriores, se acredita que el </w:t>
      </w:r>
      <w:r w:rsidRPr="00833366">
        <w:rPr>
          <w:rFonts w:ascii="Palatino Linotype" w:eastAsia="Palatino Linotype" w:hAnsi="Palatino Linotype" w:cs="Palatino Linotype"/>
          <w:b/>
        </w:rPr>
        <w:t>SUJETO OBLIGADO</w:t>
      </w:r>
      <w:r w:rsidRPr="00833366">
        <w:rPr>
          <w:rFonts w:ascii="Palatino Linotype" w:eastAsia="Palatino Linotype" w:hAnsi="Palatino Linotype" w:cs="Palatino Linotype"/>
        </w:rPr>
        <w:t>, debió generar la información relativa a la conciliación de nómina y dispersión de nómina de manera quincenal y remitirla de manera trimestral al Órgano Superior de Fiscalización del Estado de México, para su respectiva revisión y fiscalización.</w:t>
      </w:r>
    </w:p>
    <w:p w14:paraId="01D9A867" w14:textId="77777777" w:rsidR="007868E3" w:rsidRPr="00833366" w:rsidRDefault="007868E3" w:rsidP="008F7199">
      <w:pPr>
        <w:pStyle w:val="Prrafodelista"/>
        <w:spacing w:line="360" w:lineRule="auto"/>
        <w:ind w:left="0"/>
        <w:jc w:val="both"/>
        <w:rPr>
          <w:rFonts w:ascii="Palatino Linotype" w:eastAsia="Palatino Linotype" w:hAnsi="Palatino Linotype" w:cs="Palatino Linotype"/>
        </w:rPr>
      </w:pPr>
    </w:p>
    <w:p w14:paraId="161E3310" w14:textId="5651B998" w:rsidR="007868E3" w:rsidRPr="00833366" w:rsidRDefault="007868E3" w:rsidP="008F7199">
      <w:pPr>
        <w:spacing w:line="360" w:lineRule="auto"/>
        <w:ind w:right="-28"/>
        <w:jc w:val="both"/>
        <w:rPr>
          <w:rFonts w:ascii="Palatino Linotype" w:eastAsia="Palatino Linotype" w:hAnsi="Palatino Linotype" w:cs="Palatino Linotype"/>
          <w:sz w:val="24"/>
          <w:szCs w:val="24"/>
        </w:rPr>
      </w:pPr>
      <w:r w:rsidRPr="00833366">
        <w:rPr>
          <w:rFonts w:ascii="Palatino Linotype" w:eastAsia="Palatino Linotype" w:hAnsi="Palatino Linotype" w:cs="Palatino Linotype"/>
          <w:sz w:val="24"/>
          <w:szCs w:val="24"/>
        </w:rPr>
        <w:t xml:space="preserve">Aunado a lo anterior, es importante destacar que la información relacionada con remuneraciones corresponde a información considerada como una de las obligaciones de transparencia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14:paraId="1F99B6C5" w14:textId="77777777" w:rsidR="007868E3" w:rsidRPr="00833366" w:rsidRDefault="007868E3" w:rsidP="008F7199">
      <w:pPr>
        <w:pStyle w:val="Citas"/>
      </w:pPr>
      <w:r w:rsidRPr="00833366">
        <w:rPr>
          <w:b/>
        </w:rPr>
        <w:t>“Artículo 92.</w:t>
      </w:r>
      <w:r w:rsidRPr="00833366">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0578C2" w14:textId="77777777" w:rsidR="007868E3" w:rsidRPr="00833366" w:rsidRDefault="007868E3" w:rsidP="008F7199">
      <w:pPr>
        <w:pStyle w:val="Citas"/>
      </w:pPr>
      <w:r w:rsidRPr="00833366">
        <w:rPr>
          <w:b/>
        </w:rPr>
        <w:t>(…)</w:t>
      </w:r>
    </w:p>
    <w:p w14:paraId="57F69878" w14:textId="77777777" w:rsidR="007868E3" w:rsidRPr="00833366" w:rsidRDefault="007868E3" w:rsidP="008F7199">
      <w:pPr>
        <w:pStyle w:val="Citas"/>
      </w:pPr>
      <w:r w:rsidRPr="00833366">
        <w:rPr>
          <w:b/>
        </w:rPr>
        <w:t xml:space="preserve">VIII. La remuneración bruta y neta de todos los servidores públicos de base o de confianza, </w:t>
      </w:r>
      <w:r w:rsidRPr="00833366">
        <w:t xml:space="preserve">de todas las percepciones, incluyendo sueldos, prestaciones, </w:t>
      </w:r>
      <w:r w:rsidRPr="00833366">
        <w:lastRenderedPageBreak/>
        <w:t>gratificaciones, primas, comisiones, dietas, bonos, estímulos, ingresos y sistemas de compensación, señalando la periodicidad de dicha remuneración;</w:t>
      </w:r>
    </w:p>
    <w:p w14:paraId="2A442650" w14:textId="77777777" w:rsidR="007868E3" w:rsidRPr="00833366" w:rsidRDefault="007868E3" w:rsidP="008F7199">
      <w:pPr>
        <w:pStyle w:val="Citas"/>
      </w:pPr>
      <w:r w:rsidRPr="00833366">
        <w:rPr>
          <w:b/>
        </w:rPr>
        <w:t>(…)</w:t>
      </w:r>
      <w:r w:rsidRPr="00833366">
        <w:t xml:space="preserve">”  </w:t>
      </w:r>
    </w:p>
    <w:p w14:paraId="137E8210" w14:textId="77777777" w:rsidR="007868E3" w:rsidRPr="00833366" w:rsidRDefault="007868E3" w:rsidP="007868E3">
      <w:pPr>
        <w:ind w:right="-592"/>
        <w:rPr>
          <w:rFonts w:eastAsia="Palatino Linotype" w:cs="Palatino Linotype"/>
          <w:i/>
          <w:szCs w:val="24"/>
        </w:rPr>
      </w:pPr>
    </w:p>
    <w:p w14:paraId="77505FB9" w14:textId="77777777" w:rsidR="007868E3" w:rsidRPr="00833366" w:rsidRDefault="007868E3" w:rsidP="008F7199">
      <w:pPr>
        <w:spacing w:line="360" w:lineRule="auto"/>
        <w:ind w:right="-28"/>
        <w:jc w:val="both"/>
        <w:rPr>
          <w:rFonts w:ascii="Palatino Linotype" w:eastAsia="Palatino Linotype" w:hAnsi="Palatino Linotype" w:cs="Palatino Linotype"/>
          <w:sz w:val="24"/>
          <w:szCs w:val="24"/>
        </w:rPr>
      </w:pPr>
      <w:r w:rsidRPr="00833366">
        <w:rPr>
          <w:rFonts w:ascii="Palatino Linotype" w:eastAsia="Palatino Linotype" w:hAnsi="Palatino Linotype" w:cs="Palatino Linotype"/>
          <w:sz w:val="24"/>
          <w:szCs w:val="24"/>
        </w:rPr>
        <w:t xml:space="preserve">Por otra parte, la Ley del Trabajo de los Servidores Públicos del Estado y Municipios, en su artículo 220 K, establece los documentos que tiene la obligación de conservar el </w:t>
      </w:r>
      <w:r w:rsidRPr="00833366">
        <w:rPr>
          <w:rFonts w:ascii="Palatino Linotype" w:eastAsia="Palatino Linotype" w:hAnsi="Palatino Linotype" w:cs="Palatino Linotype"/>
          <w:b/>
          <w:sz w:val="24"/>
          <w:szCs w:val="24"/>
        </w:rPr>
        <w:t>SUJETO OBLIGADO</w:t>
      </w:r>
      <w:r w:rsidRPr="00833366">
        <w:rPr>
          <w:rFonts w:ascii="Palatino Linotype" w:eastAsia="Palatino Linotype" w:hAnsi="Palatino Linotype" w:cs="Palatino Linotype"/>
          <w:sz w:val="24"/>
          <w:szCs w:val="24"/>
        </w:rPr>
        <w:t xml:space="preserve">, entre los que se encuentran los recibos de pagos: </w:t>
      </w:r>
    </w:p>
    <w:p w14:paraId="61753A16" w14:textId="77777777" w:rsidR="007868E3" w:rsidRPr="00833366" w:rsidRDefault="007868E3" w:rsidP="008F7199">
      <w:pPr>
        <w:pStyle w:val="Citas"/>
      </w:pPr>
      <w:r w:rsidRPr="00833366">
        <w:t>“</w:t>
      </w:r>
      <w:r w:rsidRPr="00833366">
        <w:rPr>
          <w:b/>
        </w:rPr>
        <w:t>ARTÍCULO 220 K.-</w:t>
      </w:r>
      <w:r w:rsidRPr="00833366">
        <w:t xml:space="preserve"> La institución o dependencia pública tiene la obligación de conservar y exhibir en el proceso los documentos que a continuación se precisan: </w:t>
      </w:r>
    </w:p>
    <w:p w14:paraId="69423DD3" w14:textId="77777777" w:rsidR="007868E3" w:rsidRPr="00833366" w:rsidRDefault="007868E3" w:rsidP="008F7199">
      <w:pPr>
        <w:pStyle w:val="Citas"/>
      </w:pPr>
      <w:r w:rsidRPr="00833366">
        <w:t xml:space="preserve">I. Contratos, Nombramientos o Formato Único de Movimientos de Personal, cuando no exista Convenio de condiciones generales de trabajo aplicable; </w:t>
      </w:r>
    </w:p>
    <w:p w14:paraId="2D4AADB5" w14:textId="77777777" w:rsidR="007868E3" w:rsidRPr="00833366" w:rsidRDefault="007868E3" w:rsidP="008F7199">
      <w:pPr>
        <w:pStyle w:val="Citas"/>
      </w:pPr>
      <w:r w:rsidRPr="00833366">
        <w:rPr>
          <w:b/>
        </w:rPr>
        <w:t>II. Recibos de pagos de salarios</w:t>
      </w:r>
      <w:r w:rsidRPr="00833366">
        <w:t xml:space="preserve"> o las constancias documentales del pago de salario cuando sea por depósito o mediante información electrónica; </w:t>
      </w:r>
    </w:p>
    <w:p w14:paraId="24F6BB5E" w14:textId="77777777" w:rsidR="007868E3" w:rsidRPr="00833366" w:rsidRDefault="007868E3" w:rsidP="008F7199">
      <w:pPr>
        <w:pStyle w:val="Citas"/>
      </w:pPr>
      <w:r w:rsidRPr="00833366">
        <w:t xml:space="preserve">III. Controles de asistencia o la información magnética o electrónica de asistencia de los servidores públicos; </w:t>
      </w:r>
    </w:p>
    <w:p w14:paraId="287ECAFC" w14:textId="77777777" w:rsidR="007868E3" w:rsidRPr="00833366" w:rsidRDefault="007868E3" w:rsidP="008F7199">
      <w:pPr>
        <w:pStyle w:val="Citas"/>
      </w:pPr>
      <w:r w:rsidRPr="00833366">
        <w:t xml:space="preserve">IV. Recibos o las constancias de depósito o del medio de información magnética o electrónica que sean utilizadas para el pago de salarios, prima vacacional, aguinaldo y demás prestaciones establecidas en la presente ley; y </w:t>
      </w:r>
    </w:p>
    <w:p w14:paraId="233DE41D" w14:textId="77777777" w:rsidR="007868E3" w:rsidRPr="00833366" w:rsidRDefault="007868E3" w:rsidP="008F7199">
      <w:pPr>
        <w:pStyle w:val="Citas"/>
      </w:pPr>
      <w:r w:rsidRPr="00833366">
        <w:t>V. Los demás que señalen las leyes.</w:t>
      </w:r>
    </w:p>
    <w:p w14:paraId="1864F9B7" w14:textId="040BB934" w:rsidR="007868E3" w:rsidRPr="00833366" w:rsidRDefault="007868E3" w:rsidP="008F7199">
      <w:pPr>
        <w:pStyle w:val="Citas"/>
        <w:rPr>
          <w:b/>
          <w:bCs/>
        </w:rPr>
      </w:pPr>
      <w:r w:rsidRPr="00833366">
        <w:lastRenderedPageBreak/>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roofErr w:type="gramStart"/>
      <w:r w:rsidRPr="00833366">
        <w:t>“</w:t>
      </w:r>
      <w:r w:rsidR="008F7199" w:rsidRPr="00833366">
        <w:t xml:space="preserve"> </w:t>
      </w:r>
      <w:r w:rsidR="008F7199" w:rsidRPr="00833366">
        <w:rPr>
          <w:b/>
          <w:bCs/>
        </w:rPr>
        <w:t>(</w:t>
      </w:r>
      <w:proofErr w:type="gramEnd"/>
      <w:r w:rsidR="008F7199" w:rsidRPr="00833366">
        <w:rPr>
          <w:b/>
          <w:bCs/>
        </w:rPr>
        <w:t>Sic)</w:t>
      </w:r>
    </w:p>
    <w:p w14:paraId="74CC9866" w14:textId="77777777" w:rsidR="007868E3" w:rsidRPr="00833366" w:rsidRDefault="007868E3" w:rsidP="007868E3">
      <w:pPr>
        <w:tabs>
          <w:tab w:val="left" w:pos="709"/>
        </w:tabs>
        <w:rPr>
          <w:szCs w:val="24"/>
        </w:rPr>
      </w:pPr>
    </w:p>
    <w:p w14:paraId="67FF86BA" w14:textId="77777777" w:rsidR="007868E3" w:rsidRPr="00833366" w:rsidRDefault="007868E3" w:rsidP="008F7199">
      <w:pPr>
        <w:tabs>
          <w:tab w:val="left" w:pos="709"/>
        </w:tabs>
        <w:spacing w:line="360" w:lineRule="auto"/>
        <w:jc w:val="both"/>
        <w:rPr>
          <w:rFonts w:ascii="Palatino Linotype" w:hAnsi="Palatino Linotype"/>
          <w:sz w:val="24"/>
          <w:szCs w:val="24"/>
        </w:rPr>
      </w:pPr>
      <w:r w:rsidRPr="00833366">
        <w:rPr>
          <w:rFonts w:ascii="Palatino Linotype" w:hAnsi="Palatino Linotype"/>
          <w:sz w:val="24"/>
          <w:szCs w:val="24"/>
        </w:rPr>
        <w:t>Respecto los comprobantes bancarios de dispersión de nómina, se debe de considerar que se encuentra integrado por los siguientes datos;</w:t>
      </w:r>
    </w:p>
    <w:p w14:paraId="50E06935" w14:textId="059E0BC1" w:rsidR="007868E3" w:rsidRPr="00833366" w:rsidRDefault="008F7199" w:rsidP="008F7199">
      <w:pPr>
        <w:pStyle w:val="CitasINFOEM"/>
      </w:pPr>
      <w:r w:rsidRPr="00833366">
        <w:t>“</w:t>
      </w:r>
      <w:r w:rsidR="007868E3" w:rsidRPr="00833366">
        <w:t>Las características mínimas que debe contener el documento expedido por la institución bancaria del detalle de las operaciones son las siguientes:</w:t>
      </w:r>
    </w:p>
    <w:p w14:paraId="4C30F5B6" w14:textId="77777777" w:rsidR="007868E3" w:rsidRPr="00833366" w:rsidRDefault="007868E3" w:rsidP="008F7199">
      <w:pPr>
        <w:pStyle w:val="CitasINFOEM"/>
      </w:pPr>
      <w:r w:rsidRPr="00833366">
        <w:t xml:space="preserve"> 1. Número de Cuenta de origen y destino </w:t>
      </w:r>
    </w:p>
    <w:p w14:paraId="0D4F30B2" w14:textId="77777777" w:rsidR="007868E3" w:rsidRPr="00833366" w:rsidRDefault="007868E3" w:rsidP="008F7199">
      <w:pPr>
        <w:pStyle w:val="CitasINFOEM"/>
      </w:pPr>
      <w:r w:rsidRPr="00833366">
        <w:t xml:space="preserve">2. Fecha del pago </w:t>
      </w:r>
    </w:p>
    <w:p w14:paraId="320BCD85" w14:textId="77777777" w:rsidR="007868E3" w:rsidRPr="00833366" w:rsidRDefault="007868E3" w:rsidP="008F7199">
      <w:pPr>
        <w:pStyle w:val="CitasINFOEM"/>
      </w:pPr>
      <w:r w:rsidRPr="00833366">
        <w:t xml:space="preserve">3. Importe </w:t>
      </w:r>
    </w:p>
    <w:p w14:paraId="09D82B48" w14:textId="77777777" w:rsidR="007868E3" w:rsidRPr="00833366" w:rsidRDefault="007868E3" w:rsidP="008F7199">
      <w:pPr>
        <w:pStyle w:val="CitasINFOEM"/>
      </w:pPr>
      <w:r w:rsidRPr="00833366">
        <w:t xml:space="preserve">4. Nombre del servidor público a quien se emitió el pago </w:t>
      </w:r>
    </w:p>
    <w:p w14:paraId="450112F7" w14:textId="77777777" w:rsidR="007868E3" w:rsidRPr="00833366" w:rsidRDefault="007868E3" w:rsidP="008F7199">
      <w:pPr>
        <w:pStyle w:val="CitasINFOEM"/>
      </w:pPr>
      <w:r w:rsidRPr="00833366">
        <w:t xml:space="preserve">5. Estatus del pago </w:t>
      </w:r>
    </w:p>
    <w:p w14:paraId="55417535" w14:textId="176B3FD0" w:rsidR="007868E3" w:rsidRPr="00833366" w:rsidRDefault="007868E3" w:rsidP="008F7199">
      <w:pPr>
        <w:pStyle w:val="CitasINFOEM"/>
        <w:rPr>
          <w:b/>
          <w:bCs/>
        </w:rPr>
      </w:pPr>
      <w:r w:rsidRPr="00833366">
        <w:t>6. Descripción del pago</w:t>
      </w:r>
      <w:r w:rsidR="008F7199" w:rsidRPr="00833366">
        <w:t xml:space="preserve">” </w:t>
      </w:r>
      <w:r w:rsidR="008F7199" w:rsidRPr="00833366">
        <w:rPr>
          <w:b/>
          <w:bCs/>
        </w:rPr>
        <w:t>(Sic)</w:t>
      </w:r>
    </w:p>
    <w:p w14:paraId="4B3A462C" w14:textId="77777777" w:rsidR="007868E3" w:rsidRPr="00833366" w:rsidRDefault="007868E3" w:rsidP="008F7199">
      <w:pPr>
        <w:tabs>
          <w:tab w:val="left" w:pos="709"/>
        </w:tabs>
        <w:spacing w:line="360" w:lineRule="auto"/>
        <w:rPr>
          <w:rFonts w:ascii="Palatino Linotype" w:hAnsi="Palatino Linotype"/>
          <w:sz w:val="24"/>
          <w:szCs w:val="24"/>
        </w:rPr>
      </w:pPr>
      <w:r w:rsidRPr="00833366">
        <w:rPr>
          <w:rFonts w:ascii="Palatino Linotype" w:hAnsi="Palatino Linotype"/>
          <w:sz w:val="24"/>
          <w:szCs w:val="24"/>
        </w:rPr>
        <w:lastRenderedPageBreak/>
        <w:t xml:space="preserve">De lo anterior es de considerarse que respecto el número de cuenta y la cuenta clave podrían integrar datos susceptibles de ser confidenciales en los términos del artículo 143 fracción I de la Ley de Transparencia Local </w:t>
      </w:r>
    </w:p>
    <w:p w14:paraId="15A2F09C" w14:textId="5E85400F" w:rsidR="007868E3" w:rsidRPr="00833366" w:rsidRDefault="008F7199" w:rsidP="008F7199">
      <w:pPr>
        <w:pStyle w:val="Citas"/>
      </w:pPr>
      <w:r w:rsidRPr="00833366">
        <w:t>“</w:t>
      </w:r>
      <w:r w:rsidR="007868E3" w:rsidRPr="00833366">
        <w:t xml:space="preserve">CBDN1: Comprobante Bancario de la Dispersión de la Nómina, primera quincena CBDN2: Comprobante Bancario de la Dispersión de la Nómina, segunda quincena </w:t>
      </w:r>
    </w:p>
    <w:p w14:paraId="26F5565B" w14:textId="77777777" w:rsidR="007868E3" w:rsidRPr="00833366" w:rsidRDefault="007868E3" w:rsidP="008F7199">
      <w:pPr>
        <w:pStyle w:val="Citas"/>
      </w:pPr>
      <w:r w:rsidRPr="00833366">
        <w:t xml:space="preserve">0: Clave para identificar a la entidad </w:t>
      </w:r>
    </w:p>
    <w:p w14:paraId="2CFEB80D" w14:textId="77777777" w:rsidR="007868E3" w:rsidRPr="00833366" w:rsidRDefault="007868E3" w:rsidP="008F7199">
      <w:pPr>
        <w:pStyle w:val="Citas"/>
      </w:pPr>
      <w:r w:rsidRPr="00833366">
        <w:t xml:space="preserve">000: Número de la entidad municipal </w:t>
      </w:r>
    </w:p>
    <w:p w14:paraId="42E7A024" w14:textId="77777777" w:rsidR="007868E3" w:rsidRPr="00833366" w:rsidRDefault="007868E3" w:rsidP="008F7199">
      <w:pPr>
        <w:pStyle w:val="Citas"/>
      </w:pPr>
      <w:r w:rsidRPr="00833366">
        <w:t xml:space="preserve">2025: Ejercicio Fiscal </w:t>
      </w:r>
    </w:p>
    <w:p w14:paraId="4AF7619D" w14:textId="77777777" w:rsidR="007868E3" w:rsidRPr="00833366" w:rsidRDefault="007868E3" w:rsidP="008F7199">
      <w:pPr>
        <w:pStyle w:val="Citas"/>
      </w:pPr>
      <w:r w:rsidRPr="00833366">
        <w:t xml:space="preserve">00: Mes </w:t>
      </w:r>
    </w:p>
    <w:p w14:paraId="0F68AA64" w14:textId="09837D20" w:rsidR="007868E3" w:rsidRPr="00833366" w:rsidRDefault="007868E3" w:rsidP="008F7199">
      <w:pPr>
        <w:pStyle w:val="Citas"/>
        <w:rPr>
          <w:b/>
          <w:bCs/>
        </w:rPr>
      </w:pPr>
      <w:r w:rsidRPr="00833366">
        <w:t>Se deberá integrar de manera quincenal en un solo documento en formato PDF el o los comprobantes que emite la institución bancaria por la(s) transferencia(s) realizadas respecto del pago de las remuneraciones de cada servidor del Ente Público, en caso de que la nómina se haya pagado mediante cheques u otra forma de pago se deberán anexar en el mismo documento.</w:t>
      </w:r>
      <w:r w:rsidR="008F7199" w:rsidRPr="00833366">
        <w:t xml:space="preserve">” </w:t>
      </w:r>
      <w:r w:rsidR="008F7199" w:rsidRPr="00833366">
        <w:rPr>
          <w:b/>
          <w:bCs/>
        </w:rPr>
        <w:t>(Sic)</w:t>
      </w:r>
    </w:p>
    <w:p w14:paraId="3D5D7673" w14:textId="77777777" w:rsidR="007868E3" w:rsidRPr="00833366" w:rsidRDefault="007868E3" w:rsidP="008F7199">
      <w:pPr>
        <w:pStyle w:val="Citas"/>
      </w:pPr>
    </w:p>
    <w:p w14:paraId="4595F57D" w14:textId="77777777" w:rsidR="007868E3" w:rsidRPr="00833366" w:rsidRDefault="007868E3">
      <w:pPr>
        <w:pStyle w:val="Ttulo3"/>
        <w:numPr>
          <w:ilvl w:val="0"/>
          <w:numId w:val="6"/>
        </w:numPr>
        <w:tabs>
          <w:tab w:val="num" w:pos="360"/>
        </w:tabs>
        <w:ind w:left="720" w:hanging="360"/>
        <w:rPr>
          <w:rFonts w:eastAsia="Palatino Linotype" w:cs="Palatino Linotype"/>
          <w:b/>
          <w:color w:val="000000"/>
        </w:rPr>
      </w:pPr>
      <w:r w:rsidRPr="00833366">
        <w:rPr>
          <w:rFonts w:eastAsia="Palatino Linotype" w:cs="Palatino Linotype"/>
          <w:b/>
          <w:color w:val="000000"/>
        </w:rPr>
        <w:t>Clave Única de Registro de Población (CURP).</w:t>
      </w:r>
    </w:p>
    <w:p w14:paraId="24F7A2D7" w14:textId="77777777" w:rsidR="007868E3" w:rsidRPr="00833366" w:rsidRDefault="007868E3" w:rsidP="008F7199">
      <w:pPr>
        <w:pBdr>
          <w:top w:val="nil"/>
          <w:left w:val="nil"/>
          <w:bottom w:val="nil"/>
          <w:right w:val="nil"/>
          <w:between w:val="nil"/>
        </w:pBdr>
        <w:tabs>
          <w:tab w:val="left" w:pos="709"/>
        </w:tabs>
        <w:spacing w:line="360" w:lineRule="auto"/>
        <w:ind w:right="51"/>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w:t>
      </w:r>
      <w:r w:rsidRPr="00833366">
        <w:rPr>
          <w:rFonts w:ascii="Palatino Linotype" w:eastAsia="Palatino Linotype" w:hAnsi="Palatino Linotype" w:cs="Palatino Linotype"/>
          <w:color w:val="000000"/>
          <w:sz w:val="24"/>
          <w:szCs w:val="24"/>
        </w:rPr>
        <w:lastRenderedPageBreak/>
        <w:t xml:space="preserve">como a los extranjeros que se encuentren en condiciones de estancia regular en el país o en trámite de ésta, se integra por dieciocho (18) caracteres, los cuales son: </w:t>
      </w:r>
    </w:p>
    <w:p w14:paraId="4B2ED132" w14:textId="744836D2" w:rsidR="007868E3" w:rsidRPr="00833366" w:rsidRDefault="008F7199" w:rsidP="007868E3">
      <w:pPr>
        <w:tabs>
          <w:tab w:val="left" w:pos="851"/>
        </w:tabs>
        <w:ind w:right="49"/>
        <w:jc w:val="center"/>
        <w:rPr>
          <w:rFonts w:eastAsia="Palatino Linotype" w:cs="Palatino Linotype"/>
        </w:rPr>
      </w:pPr>
      <w:r w:rsidRPr="00833366">
        <w:rPr>
          <w:noProof/>
          <w:lang w:eastAsia="es-MX"/>
        </w:rPr>
        <w:drawing>
          <wp:anchor distT="0" distB="0" distL="114300" distR="114300" simplePos="0" relativeHeight="251664384" behindDoc="0" locked="0" layoutInCell="1" allowOverlap="1" wp14:anchorId="7409644C" wp14:editId="11A66CB2">
            <wp:simplePos x="0" y="0"/>
            <wp:positionH relativeFrom="page">
              <wp:align>center</wp:align>
            </wp:positionH>
            <wp:positionV relativeFrom="paragraph">
              <wp:posOffset>111644</wp:posOffset>
            </wp:positionV>
            <wp:extent cx="4613910" cy="3260035"/>
            <wp:effectExtent l="19050" t="19050" r="15240" b="17145"/>
            <wp:wrapThrough wrapText="bothSides">
              <wp:wrapPolygon edited="0">
                <wp:start x="-89" y="-126"/>
                <wp:lineTo x="-89" y="21587"/>
                <wp:lineTo x="21582" y="21587"/>
                <wp:lineTo x="21582" y="-126"/>
                <wp:lineTo x="-89" y="-126"/>
              </wp:wrapPolygon>
            </wp:wrapThrough>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11">
                      <a:extLst>
                        <a:ext uri="{28A0092B-C50C-407E-A947-70E740481C1C}">
                          <a14:useLocalDpi xmlns:a14="http://schemas.microsoft.com/office/drawing/2010/main" val="0"/>
                        </a:ext>
                      </a:extLst>
                    </a:blip>
                    <a:srcRect l="25748" t="8269" r="41254" b="18081"/>
                    <a:stretch>
                      <a:fillRect/>
                    </a:stretch>
                  </pic:blipFill>
                  <pic:spPr>
                    <a:xfrm>
                      <a:off x="0" y="0"/>
                      <a:ext cx="4613910" cy="32600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E1C42C1" w14:textId="143299F0" w:rsidR="007868E3" w:rsidRPr="00833366" w:rsidRDefault="007868E3" w:rsidP="007868E3">
      <w:pPr>
        <w:tabs>
          <w:tab w:val="left" w:pos="851"/>
        </w:tabs>
        <w:ind w:right="49"/>
        <w:rPr>
          <w:rFonts w:eastAsia="Palatino Linotype" w:cs="Palatino Linotype"/>
        </w:rPr>
      </w:pPr>
    </w:p>
    <w:p w14:paraId="1D184D7D"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5B4E6779"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7BBB4118"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4B8B07E4"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24097A94"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778D61F5"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775D3012"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1576EC4B"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3BBF9F40"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47D19F2D"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21FA23C2" w14:textId="77777777" w:rsidR="008F7199" w:rsidRPr="00833366" w:rsidRDefault="008F7199" w:rsidP="007868E3">
      <w:pPr>
        <w:pBdr>
          <w:top w:val="nil"/>
          <w:left w:val="nil"/>
          <w:bottom w:val="nil"/>
          <w:right w:val="nil"/>
          <w:between w:val="nil"/>
        </w:pBdr>
        <w:tabs>
          <w:tab w:val="left" w:pos="567"/>
        </w:tabs>
        <w:ind w:right="49"/>
        <w:rPr>
          <w:rFonts w:eastAsia="Palatino Linotype" w:cs="Palatino Linotype"/>
          <w:color w:val="000000"/>
          <w:szCs w:val="24"/>
        </w:rPr>
      </w:pPr>
    </w:p>
    <w:p w14:paraId="7D39CCE9" w14:textId="4FD46381" w:rsidR="007868E3" w:rsidRPr="00833366" w:rsidRDefault="007868E3" w:rsidP="008F7199">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2D770EF1" w14:textId="77777777" w:rsidR="007868E3" w:rsidRPr="00833366" w:rsidRDefault="007868E3" w:rsidP="008F7199">
      <w:pPr>
        <w:tabs>
          <w:tab w:val="left" w:pos="0"/>
          <w:tab w:val="left" w:pos="426"/>
        </w:tabs>
        <w:spacing w:line="360" w:lineRule="auto"/>
        <w:ind w:right="49"/>
        <w:jc w:val="both"/>
        <w:rPr>
          <w:rFonts w:ascii="Palatino Linotype" w:eastAsia="Palatino Linotype" w:hAnsi="Palatino Linotype" w:cs="Palatino Linotype"/>
          <w:sz w:val="24"/>
          <w:szCs w:val="24"/>
        </w:rPr>
      </w:pPr>
    </w:p>
    <w:p w14:paraId="4B84F69C" w14:textId="77777777" w:rsidR="007868E3" w:rsidRPr="00833366" w:rsidRDefault="007868E3" w:rsidP="008F7199">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Entre las características de la CURP, se encuentra: </w:t>
      </w:r>
    </w:p>
    <w:p w14:paraId="46F5AE51" w14:textId="77777777" w:rsidR="007868E3" w:rsidRPr="00833366" w:rsidRDefault="007868E3" w:rsidP="008F7199">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833366">
        <w:rPr>
          <w:rFonts w:ascii="Palatino Linotype" w:eastAsia="Palatino Linotype" w:hAnsi="Palatino Linotype" w:cs="Palatino Linotype"/>
          <w:b/>
          <w:sz w:val="24"/>
          <w:szCs w:val="24"/>
        </w:rPr>
        <w:t xml:space="preserve">Composición. </w:t>
      </w:r>
      <w:r w:rsidRPr="00833366">
        <w:rPr>
          <w:rFonts w:ascii="Palatino Linotype" w:eastAsia="Palatino Linotype" w:hAnsi="Palatino Linotype" w:cs="Palatino Linotype"/>
          <w:sz w:val="24"/>
          <w:szCs w:val="24"/>
        </w:rPr>
        <w:t>Alfanumérica.</w:t>
      </w:r>
    </w:p>
    <w:p w14:paraId="5A2D25A0" w14:textId="77777777" w:rsidR="007868E3" w:rsidRPr="00833366" w:rsidRDefault="007868E3" w:rsidP="008F7199">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833366">
        <w:rPr>
          <w:rFonts w:ascii="Palatino Linotype" w:eastAsia="Palatino Linotype" w:hAnsi="Palatino Linotype" w:cs="Palatino Linotype"/>
          <w:b/>
          <w:sz w:val="24"/>
          <w:szCs w:val="24"/>
        </w:rPr>
        <w:lastRenderedPageBreak/>
        <w:t xml:space="preserve">Longitud. </w:t>
      </w:r>
      <w:r w:rsidRPr="00833366">
        <w:rPr>
          <w:rFonts w:ascii="Palatino Linotype" w:eastAsia="Palatino Linotype" w:hAnsi="Palatino Linotype" w:cs="Palatino Linotype"/>
          <w:sz w:val="24"/>
          <w:szCs w:val="24"/>
        </w:rPr>
        <w:t xml:space="preserve"> 18 caracteres.</w:t>
      </w:r>
    </w:p>
    <w:p w14:paraId="110960EA" w14:textId="77777777" w:rsidR="007868E3" w:rsidRPr="00833366" w:rsidRDefault="007868E3" w:rsidP="008F7199">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833366">
        <w:rPr>
          <w:rFonts w:ascii="Palatino Linotype" w:eastAsia="Palatino Linotype" w:hAnsi="Palatino Linotype" w:cs="Palatino Linotype"/>
          <w:b/>
          <w:sz w:val="24"/>
          <w:szCs w:val="24"/>
        </w:rPr>
        <w:t xml:space="preserve">Naturaleza. </w:t>
      </w:r>
      <w:r w:rsidRPr="00833366">
        <w:rPr>
          <w:rFonts w:ascii="Palatino Linotype" w:eastAsia="Palatino Linotype" w:hAnsi="Palatino Linotype" w:cs="Palatino Linotype"/>
          <w:sz w:val="24"/>
          <w:szCs w:val="24"/>
        </w:rPr>
        <w:t>Biunívoca.</w:t>
      </w:r>
    </w:p>
    <w:p w14:paraId="2FD7B92A" w14:textId="77777777" w:rsidR="007868E3" w:rsidRPr="00833366" w:rsidRDefault="007868E3" w:rsidP="008F7199">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833366">
        <w:rPr>
          <w:rFonts w:ascii="Palatino Linotype" w:eastAsia="Palatino Linotype" w:hAnsi="Palatino Linotype" w:cs="Palatino Linotype"/>
          <w:b/>
          <w:sz w:val="24"/>
          <w:szCs w:val="24"/>
        </w:rPr>
        <w:t xml:space="preserve">Universalidad. </w:t>
      </w:r>
      <w:r w:rsidRPr="00833366">
        <w:rPr>
          <w:rFonts w:ascii="Palatino Linotype" w:eastAsia="Palatino Linotype" w:hAnsi="Palatino Linotype" w:cs="Palatino Linotype"/>
          <w:sz w:val="24"/>
          <w:szCs w:val="24"/>
        </w:rPr>
        <w:t>Se asigna a todas las personas que conforman la población.</w:t>
      </w:r>
    </w:p>
    <w:p w14:paraId="01E75707" w14:textId="77777777" w:rsidR="007868E3" w:rsidRPr="00833366" w:rsidRDefault="007868E3" w:rsidP="008F7199">
      <w:pPr>
        <w:tabs>
          <w:tab w:val="left" w:pos="426"/>
          <w:tab w:val="left" w:pos="567"/>
        </w:tabs>
        <w:spacing w:line="360" w:lineRule="auto"/>
        <w:ind w:left="567" w:right="567"/>
        <w:jc w:val="both"/>
        <w:rPr>
          <w:rFonts w:ascii="Palatino Linotype" w:eastAsia="Palatino Linotype" w:hAnsi="Palatino Linotype" w:cs="Palatino Linotype"/>
          <w:b/>
          <w:sz w:val="24"/>
          <w:szCs w:val="24"/>
        </w:rPr>
      </w:pPr>
      <w:r w:rsidRPr="00833366">
        <w:rPr>
          <w:rFonts w:ascii="Palatino Linotype" w:eastAsia="Palatino Linotype" w:hAnsi="Palatino Linotype" w:cs="Palatino Linotype"/>
          <w:b/>
          <w:sz w:val="24"/>
          <w:szCs w:val="24"/>
        </w:rPr>
        <w:t xml:space="preserve">Verificabilidad. </w:t>
      </w:r>
      <w:r w:rsidRPr="00833366">
        <w:rPr>
          <w:rFonts w:ascii="Palatino Linotype" w:eastAsia="Palatino Linotype" w:hAnsi="Palatino Linotype" w:cs="Palatino Linotype"/>
          <w:sz w:val="24"/>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833366">
        <w:rPr>
          <w:rFonts w:ascii="Palatino Linotype" w:eastAsia="Palatino Linotype" w:hAnsi="Palatino Linotype" w:cs="Palatino Linotype"/>
          <w:b/>
          <w:sz w:val="24"/>
          <w:szCs w:val="24"/>
        </w:rPr>
        <w:t xml:space="preserve">  </w:t>
      </w:r>
    </w:p>
    <w:p w14:paraId="2302680F" w14:textId="77777777" w:rsidR="007868E3" w:rsidRPr="00833366" w:rsidRDefault="007868E3" w:rsidP="007868E3">
      <w:pPr>
        <w:pBdr>
          <w:top w:val="nil"/>
          <w:left w:val="nil"/>
          <w:bottom w:val="nil"/>
          <w:right w:val="nil"/>
          <w:between w:val="nil"/>
        </w:pBdr>
        <w:tabs>
          <w:tab w:val="left" w:pos="567"/>
        </w:tabs>
        <w:ind w:right="49"/>
        <w:rPr>
          <w:rFonts w:eastAsia="Palatino Linotype" w:cs="Palatino Linotype"/>
          <w:b/>
          <w:sz w:val="28"/>
          <w:szCs w:val="28"/>
          <w:u w:val="single"/>
        </w:rPr>
      </w:pPr>
    </w:p>
    <w:p w14:paraId="2E5EC9FD" w14:textId="77777777" w:rsidR="007868E3" w:rsidRPr="00833366" w:rsidRDefault="007868E3" w:rsidP="008F7199">
      <w:pPr>
        <w:pBdr>
          <w:top w:val="nil"/>
          <w:left w:val="nil"/>
          <w:bottom w:val="nil"/>
          <w:right w:val="nil"/>
          <w:between w:val="nil"/>
        </w:pBdr>
        <w:tabs>
          <w:tab w:val="left" w:pos="567"/>
        </w:tabs>
        <w:spacing w:line="360" w:lineRule="auto"/>
        <w:ind w:right="51"/>
        <w:jc w:val="both"/>
        <w:rPr>
          <w:rFonts w:ascii="Palatino Linotype" w:eastAsia="Palatino Linotype" w:hAnsi="Palatino Linotype" w:cs="Palatino Linotype"/>
          <w:i/>
          <w:color w:val="000000"/>
          <w:sz w:val="24"/>
          <w:szCs w:val="24"/>
        </w:rPr>
      </w:pPr>
      <w:r w:rsidRPr="00833366">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5EC4E646" w14:textId="77777777" w:rsidR="007868E3" w:rsidRPr="00833366" w:rsidRDefault="007868E3" w:rsidP="008F7199">
      <w:pPr>
        <w:pBdr>
          <w:top w:val="nil"/>
          <w:left w:val="nil"/>
          <w:bottom w:val="nil"/>
          <w:right w:val="nil"/>
          <w:between w:val="nil"/>
        </w:pBdr>
        <w:tabs>
          <w:tab w:val="left" w:pos="567"/>
        </w:tabs>
        <w:spacing w:line="360" w:lineRule="auto"/>
        <w:ind w:right="51"/>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DCD8C9A" w14:textId="77777777" w:rsidR="007868E3" w:rsidRPr="00833366" w:rsidRDefault="007868E3" w:rsidP="008F7199">
      <w:pPr>
        <w:pBdr>
          <w:top w:val="nil"/>
          <w:left w:val="nil"/>
          <w:bottom w:val="nil"/>
          <w:right w:val="nil"/>
          <w:between w:val="nil"/>
        </w:pBdr>
        <w:tabs>
          <w:tab w:val="left" w:pos="567"/>
        </w:tabs>
        <w:spacing w:line="360" w:lineRule="auto"/>
        <w:ind w:right="51"/>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lastRenderedPageBreak/>
        <w:t xml:space="preserve">Ante ello, resulta aplicable el Criterio 18/17 emitido por el Instituto Nacional de Transparencia, Acceso a la Información y Protección de Datos Personales, que a la literalidad señala: </w:t>
      </w:r>
    </w:p>
    <w:p w14:paraId="6197DCE4" w14:textId="05739036" w:rsidR="007868E3" w:rsidRPr="00833366" w:rsidRDefault="007868E3" w:rsidP="008F7199">
      <w:pPr>
        <w:pStyle w:val="Citas"/>
        <w:rPr>
          <w:b/>
          <w:bCs/>
        </w:rPr>
      </w:pPr>
      <w:r w:rsidRPr="00833366">
        <w:t>“</w:t>
      </w:r>
      <w:r w:rsidRPr="00833366">
        <w:rPr>
          <w:b/>
        </w:rPr>
        <w:t xml:space="preserve">Clave Única de Registro de Población (CURP). </w:t>
      </w:r>
      <w:r w:rsidRPr="00833366">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r w:rsidR="008F7199" w:rsidRPr="00833366">
        <w:t xml:space="preserve">” </w:t>
      </w:r>
      <w:r w:rsidR="008F7199" w:rsidRPr="00833366">
        <w:rPr>
          <w:b/>
          <w:bCs/>
        </w:rPr>
        <w:t>(Sic)</w:t>
      </w:r>
    </w:p>
    <w:p w14:paraId="11A98F70" w14:textId="77777777" w:rsidR="008F7199" w:rsidRPr="00833366" w:rsidRDefault="008F7199" w:rsidP="008F7199">
      <w:pPr>
        <w:pStyle w:val="Citas"/>
        <w:rPr>
          <w:b/>
          <w:bCs/>
        </w:rPr>
      </w:pPr>
    </w:p>
    <w:p w14:paraId="1A01F4B7" w14:textId="77777777" w:rsidR="007868E3" w:rsidRPr="00833366" w:rsidRDefault="007868E3" w:rsidP="007868E3">
      <w:pPr>
        <w:pStyle w:val="Ttulo3"/>
        <w:rPr>
          <w:rFonts w:eastAsia="Palatino Linotype" w:cs="Palatino Linotype"/>
          <w:b/>
          <w:color w:val="000000"/>
        </w:rPr>
      </w:pPr>
      <w:bookmarkStart w:id="1" w:name="_heading=h.3rdcrjn" w:colFirst="0" w:colLast="0"/>
      <w:bookmarkEnd w:id="1"/>
      <w:r w:rsidRPr="00833366">
        <w:rPr>
          <w:rFonts w:eastAsia="Palatino Linotype" w:cs="Palatino Linotype"/>
          <w:b/>
          <w:color w:val="000000"/>
        </w:rPr>
        <w:t xml:space="preserve">II. Clave </w:t>
      </w:r>
      <w:proofErr w:type="spellStart"/>
      <w:r w:rsidRPr="00833366">
        <w:rPr>
          <w:rFonts w:eastAsia="Palatino Linotype" w:cs="Palatino Linotype"/>
          <w:b/>
          <w:color w:val="000000"/>
        </w:rPr>
        <w:t>ISSEMyM</w:t>
      </w:r>
      <w:proofErr w:type="spellEnd"/>
    </w:p>
    <w:p w14:paraId="5815DACF"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F4671E3"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w:t>
      </w:r>
      <w:r w:rsidRPr="00833366">
        <w:rPr>
          <w:rFonts w:ascii="Palatino Linotype" w:eastAsia="Palatino Linotype" w:hAnsi="Palatino Linotype" w:cs="Palatino Linotype"/>
          <w:color w:val="000000"/>
          <w:sz w:val="24"/>
          <w:szCs w:val="24"/>
        </w:rPr>
        <w:lastRenderedPageBreak/>
        <w:t>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2B17457"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CC8E13C" w14:textId="77777777" w:rsidR="007868E3" w:rsidRPr="00833366" w:rsidRDefault="007868E3" w:rsidP="007868E3">
      <w:pPr>
        <w:pBdr>
          <w:top w:val="nil"/>
          <w:left w:val="nil"/>
          <w:bottom w:val="nil"/>
          <w:right w:val="nil"/>
          <w:between w:val="nil"/>
        </w:pBdr>
        <w:ind w:left="720"/>
        <w:rPr>
          <w:rFonts w:eastAsia="Palatino Linotype" w:cs="Palatino Linotype"/>
          <w:color w:val="000000"/>
          <w:szCs w:val="24"/>
        </w:rPr>
      </w:pPr>
    </w:p>
    <w:p w14:paraId="1175740C" w14:textId="660A1393" w:rsidR="007868E3" w:rsidRPr="00833366" w:rsidRDefault="007868E3" w:rsidP="007868E3">
      <w:pPr>
        <w:pStyle w:val="Ttulo3"/>
        <w:rPr>
          <w:rFonts w:eastAsia="Palatino Linotype" w:cs="Palatino Linotype"/>
          <w:b/>
          <w:color w:val="000000"/>
        </w:rPr>
      </w:pPr>
      <w:bookmarkStart w:id="2" w:name="_heading=h.26in1rg" w:colFirst="0" w:colLast="0"/>
      <w:bookmarkEnd w:id="2"/>
      <w:r w:rsidRPr="00833366">
        <w:rPr>
          <w:rFonts w:eastAsia="Palatino Linotype" w:cs="Palatino Linotype"/>
          <w:b/>
          <w:color w:val="000000"/>
        </w:rPr>
        <w:t xml:space="preserve">III. </w:t>
      </w:r>
      <w:r w:rsidR="002E2475" w:rsidRPr="00833366">
        <w:rPr>
          <w:rFonts w:eastAsia="Palatino Linotype" w:cs="Palatino Linotype"/>
          <w:b/>
          <w:color w:val="000000"/>
        </w:rPr>
        <w:t>Número De Empleado.</w:t>
      </w:r>
    </w:p>
    <w:p w14:paraId="61F19B24"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0CD9A96B"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5453295"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lastRenderedPageBreak/>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1AB24743" w14:textId="61B521E9" w:rsidR="007868E3" w:rsidRPr="00833366" w:rsidRDefault="008F7199" w:rsidP="008F7199">
      <w:pPr>
        <w:pStyle w:val="Citas"/>
        <w:rPr>
          <w:b/>
          <w:bCs/>
        </w:rPr>
      </w:pPr>
      <w:r w:rsidRPr="00833366">
        <w:rPr>
          <w:b/>
        </w:rPr>
        <w:t>“</w:t>
      </w:r>
      <w:r w:rsidR="007868E3" w:rsidRPr="00833366">
        <w:rPr>
          <w:b/>
        </w:rPr>
        <w:t>Número de empleado.</w:t>
      </w:r>
      <w:r w:rsidR="007868E3" w:rsidRPr="00833366">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r w:rsidRPr="00833366">
        <w:t xml:space="preserve">” </w:t>
      </w:r>
      <w:r w:rsidRPr="00833366">
        <w:rPr>
          <w:b/>
          <w:bCs/>
        </w:rPr>
        <w:t>(Sic)</w:t>
      </w:r>
    </w:p>
    <w:p w14:paraId="4464939B" w14:textId="77777777" w:rsidR="007868E3" w:rsidRPr="00833366" w:rsidRDefault="007868E3" w:rsidP="007868E3">
      <w:pPr>
        <w:pBdr>
          <w:top w:val="nil"/>
          <w:left w:val="nil"/>
          <w:bottom w:val="nil"/>
          <w:right w:val="nil"/>
          <w:between w:val="nil"/>
        </w:pBdr>
        <w:rPr>
          <w:rFonts w:eastAsia="Palatino Linotype" w:cs="Palatino Linotype"/>
          <w:color w:val="000000"/>
          <w:szCs w:val="24"/>
        </w:rPr>
      </w:pPr>
    </w:p>
    <w:p w14:paraId="617F78F9"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23A3D285" w14:textId="77777777" w:rsidR="008F7199" w:rsidRPr="00833366" w:rsidRDefault="008F7199" w:rsidP="007868E3">
      <w:pPr>
        <w:pBdr>
          <w:top w:val="nil"/>
          <w:left w:val="nil"/>
          <w:bottom w:val="nil"/>
          <w:right w:val="nil"/>
          <w:between w:val="nil"/>
        </w:pBdr>
        <w:rPr>
          <w:rFonts w:eastAsia="Palatino Linotype" w:cs="Palatino Linotype"/>
          <w:color w:val="000000"/>
        </w:rPr>
      </w:pPr>
    </w:p>
    <w:p w14:paraId="7250D639" w14:textId="77777777" w:rsidR="007868E3" w:rsidRPr="00833366" w:rsidRDefault="007868E3" w:rsidP="007868E3">
      <w:pPr>
        <w:pStyle w:val="Ttulo3"/>
        <w:rPr>
          <w:rFonts w:eastAsia="Palatino Linotype" w:cs="Palatino Linotype"/>
          <w:b/>
        </w:rPr>
      </w:pPr>
      <w:bookmarkStart w:id="3" w:name="_heading=h.lnxbz9" w:colFirst="0" w:colLast="0"/>
      <w:bookmarkEnd w:id="3"/>
      <w:r w:rsidRPr="00833366">
        <w:rPr>
          <w:rFonts w:eastAsia="Palatino Linotype" w:cs="Palatino Linotype"/>
          <w:b/>
          <w:color w:val="000000"/>
        </w:rPr>
        <w:t>IV. Registro Federal de Contribuyentes (RFC)</w:t>
      </w:r>
    </w:p>
    <w:p w14:paraId="22374CE2"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E8D3D76"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B7BBD05"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De acuerdo a lo establecido en el artículo en comento, esta clave se compone de trece caracteres alfanuméricos, con datos obtenidos de los apellidos, nombre (s), fecha de nacimiento del titular, más una </w:t>
      </w:r>
      <w:proofErr w:type="spellStart"/>
      <w:r w:rsidRPr="00833366">
        <w:rPr>
          <w:rFonts w:ascii="Palatino Linotype" w:eastAsia="Palatino Linotype" w:hAnsi="Palatino Linotype" w:cs="Palatino Linotype"/>
          <w:color w:val="000000"/>
          <w:sz w:val="24"/>
          <w:szCs w:val="24"/>
        </w:rPr>
        <w:t>homoclave</w:t>
      </w:r>
      <w:proofErr w:type="spellEnd"/>
      <w:r w:rsidRPr="00833366">
        <w:rPr>
          <w:rFonts w:ascii="Palatino Linotype" w:eastAsia="Palatino Linotype" w:hAnsi="Palatino Linotype" w:cs="Palatino Linotype"/>
          <w:color w:val="000000"/>
          <w:sz w:val="24"/>
          <w:szCs w:val="24"/>
        </w:rPr>
        <w:t xml:space="preserve"> que establece el sistema automático del Servicio de Administración Tributaria.</w:t>
      </w:r>
    </w:p>
    <w:p w14:paraId="16B92A7B"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6CF3F2F"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833366">
        <w:rPr>
          <w:rFonts w:ascii="Palatino Linotype" w:eastAsia="Palatino Linotype" w:hAnsi="Palatino Linotype" w:cs="Palatino Linotype"/>
          <w:color w:val="000000"/>
          <w:sz w:val="24"/>
          <w:szCs w:val="24"/>
        </w:rPr>
        <w:t>involucradas</w:t>
      </w:r>
      <w:proofErr w:type="gramEnd"/>
      <w:r w:rsidRPr="00833366">
        <w:rPr>
          <w:rFonts w:ascii="Palatino Linotype" w:eastAsia="Palatino Linotype" w:hAnsi="Palatino Linotype" w:cs="Palatino Linotype"/>
          <w:color w:val="000000"/>
          <w:sz w:val="24"/>
          <w:szCs w:val="24"/>
        </w:rPr>
        <w:t>, en el pago de estos.</w:t>
      </w:r>
    </w:p>
    <w:p w14:paraId="07B7DC73"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14:paraId="3390CA52" w14:textId="1F27A46A" w:rsidR="007868E3" w:rsidRPr="00833366" w:rsidRDefault="008F7199" w:rsidP="008F7199">
      <w:pPr>
        <w:pStyle w:val="Citas"/>
      </w:pPr>
      <w:r w:rsidRPr="00833366">
        <w:t>“</w:t>
      </w:r>
      <w:r w:rsidR="007868E3" w:rsidRPr="00833366">
        <w:t xml:space="preserve">Registro Federal de Contribuyentes (RFC) de personas físicas. </w:t>
      </w:r>
    </w:p>
    <w:p w14:paraId="54AE7B83" w14:textId="5BC78669" w:rsidR="007868E3" w:rsidRPr="00833366" w:rsidRDefault="007868E3" w:rsidP="008F7199">
      <w:pPr>
        <w:pStyle w:val="Citas"/>
        <w:rPr>
          <w:b/>
          <w:bCs/>
          <w:color w:val="000000"/>
        </w:rPr>
      </w:pPr>
      <w:r w:rsidRPr="00833366">
        <w:rPr>
          <w:color w:val="000000"/>
        </w:rPr>
        <w:lastRenderedPageBreak/>
        <w:t>El RFC es una clave de carácter fiscal, única e irrepetible, que permite identificar al titular, su edad y fecha de nacimiento, por lo que es un dato personal de carácter confidencial.</w:t>
      </w:r>
      <w:r w:rsidR="008F7199" w:rsidRPr="00833366">
        <w:rPr>
          <w:color w:val="000000"/>
        </w:rPr>
        <w:t xml:space="preserve">” </w:t>
      </w:r>
      <w:r w:rsidR="008F7199" w:rsidRPr="00833366">
        <w:rPr>
          <w:b/>
          <w:bCs/>
          <w:color w:val="000000"/>
        </w:rPr>
        <w:t>(Sic)</w:t>
      </w:r>
    </w:p>
    <w:p w14:paraId="44C5349F" w14:textId="77777777" w:rsidR="007868E3" w:rsidRPr="00833366" w:rsidRDefault="007868E3" w:rsidP="007868E3">
      <w:pPr>
        <w:pBdr>
          <w:top w:val="nil"/>
          <w:left w:val="nil"/>
          <w:bottom w:val="nil"/>
          <w:right w:val="nil"/>
          <w:between w:val="nil"/>
        </w:pBdr>
        <w:ind w:left="567" w:right="567"/>
        <w:rPr>
          <w:rFonts w:eastAsia="Palatino Linotype" w:cs="Palatino Linotype"/>
          <w:color w:val="000000"/>
        </w:rPr>
      </w:pPr>
    </w:p>
    <w:p w14:paraId="5C807E0B"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833366">
        <w:rPr>
          <w:rFonts w:ascii="Palatino Linotype" w:eastAsia="Palatino Linotype" w:hAnsi="Palatino Linotype" w:cs="Palatino Linotype"/>
          <w:bCs/>
          <w:color w:val="000000"/>
          <w:sz w:val="24"/>
          <w:szCs w:val="24"/>
        </w:rPr>
        <w:t>De tal suerte, el Registro Federal de Contribuyentes de las personas físicas no guarda relación con la transparencia de los recursos públicos, así como tampoco con el desempeño laboral que pueda tener una persona.</w:t>
      </w:r>
    </w:p>
    <w:p w14:paraId="4870545F" w14:textId="77777777" w:rsidR="007868E3" w:rsidRPr="00833366" w:rsidRDefault="007868E3" w:rsidP="007868E3">
      <w:pPr>
        <w:pBdr>
          <w:top w:val="nil"/>
          <w:left w:val="nil"/>
          <w:bottom w:val="nil"/>
          <w:right w:val="nil"/>
          <w:between w:val="nil"/>
        </w:pBdr>
        <w:rPr>
          <w:rFonts w:eastAsia="Palatino Linotype" w:cs="Palatino Linotype"/>
          <w:color w:val="000000"/>
          <w:szCs w:val="24"/>
        </w:rPr>
      </w:pPr>
    </w:p>
    <w:p w14:paraId="18619B54" w14:textId="77777777" w:rsidR="007868E3" w:rsidRPr="00833366" w:rsidRDefault="007868E3" w:rsidP="007868E3">
      <w:pPr>
        <w:pStyle w:val="Ttulo3"/>
        <w:rPr>
          <w:rFonts w:eastAsia="Palatino Linotype" w:cs="Palatino Linotype"/>
          <w:b/>
          <w:color w:val="000000"/>
        </w:rPr>
      </w:pPr>
      <w:bookmarkStart w:id="4" w:name="_heading=h.35nkun2" w:colFirst="0" w:colLast="0"/>
      <w:bookmarkEnd w:id="4"/>
      <w:r w:rsidRPr="00833366">
        <w:rPr>
          <w:rFonts w:eastAsia="Palatino Linotype" w:cs="Palatino Linotype"/>
          <w:b/>
          <w:color w:val="000000"/>
        </w:rPr>
        <w:t>V. Deducciones personales</w:t>
      </w:r>
    </w:p>
    <w:p w14:paraId="73909EAF"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833366">
        <w:rPr>
          <w:rFonts w:ascii="Palatino Linotype" w:eastAsia="Palatino Linotype" w:hAnsi="Palatino Linotype" w:cs="Palatino Linotype"/>
          <w:b/>
          <w:color w:val="000000"/>
          <w:sz w:val="24"/>
          <w:szCs w:val="24"/>
          <w:u w:val="single"/>
        </w:rPr>
        <w:t>cuotas sindicales y fondo de resistencia del Sindicato Único de Trabajadores de los Poderes, Municipios e Institución Descentralizadas del Estado de México</w:t>
      </w:r>
      <w:r w:rsidRPr="00833366">
        <w:rPr>
          <w:rFonts w:ascii="Palatino Linotype" w:eastAsia="Palatino Linotype" w:hAnsi="Palatino Linotype" w:cs="Palatino Linotype"/>
          <w:color w:val="000000"/>
          <w:sz w:val="24"/>
          <w:szCs w:val="24"/>
        </w:rPr>
        <w:t>, seguro de vida, accidentes y enfermedades.</w:t>
      </w:r>
    </w:p>
    <w:p w14:paraId="2BB9A225"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w:t>
      </w:r>
    </w:p>
    <w:p w14:paraId="69FC2BE3"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w:t>
      </w:r>
      <w:r w:rsidRPr="00833366">
        <w:rPr>
          <w:rFonts w:ascii="Palatino Linotype" w:eastAsia="Palatino Linotype" w:hAnsi="Palatino Linotype" w:cs="Palatino Linotype"/>
          <w:color w:val="000000"/>
          <w:sz w:val="24"/>
          <w:szCs w:val="24"/>
        </w:rPr>
        <w:lastRenderedPageBreak/>
        <w:t xml:space="preserve">dichos casos se trata del libre ejercicio del servidor público para disponer de un ingreso que forma parte de su patrimonio. </w:t>
      </w:r>
    </w:p>
    <w:p w14:paraId="6CA11386"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Así, dichas deducciones reflejan el destino que un servidor público da a su patrimonio, lo que se aleja de la transparencia y rendición de cuentas.</w:t>
      </w:r>
      <w:bookmarkStart w:id="5" w:name="_heading=h.1ksv4uv" w:colFirst="0" w:colLast="0"/>
      <w:bookmarkEnd w:id="5"/>
      <w:r w:rsidRPr="00833366">
        <w:rPr>
          <w:rFonts w:ascii="Palatino Linotype" w:eastAsia="Palatino Linotype" w:hAnsi="Palatino Linotype" w:cs="Palatino Linotype"/>
          <w:color w:val="000000"/>
          <w:sz w:val="24"/>
          <w:szCs w:val="24"/>
        </w:rPr>
        <w:t xml:space="preserve"> Hasta este punto, se considera que la información relacionada con los siguientes puntos actualiza una causal de confidencialidad, toda vez que identifica o hace identificable a su titular.</w:t>
      </w:r>
    </w:p>
    <w:p w14:paraId="7A76F835" w14:textId="77777777" w:rsidR="007868E3" w:rsidRPr="00833366" w:rsidRDefault="007868E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Clave Única de Registro de Población (CURP)</w:t>
      </w:r>
    </w:p>
    <w:p w14:paraId="411D0543" w14:textId="77777777" w:rsidR="007868E3" w:rsidRPr="00833366" w:rsidRDefault="007868E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Clave </w:t>
      </w:r>
      <w:proofErr w:type="spellStart"/>
      <w:r w:rsidRPr="00833366">
        <w:rPr>
          <w:rFonts w:ascii="Palatino Linotype" w:eastAsia="Palatino Linotype" w:hAnsi="Palatino Linotype" w:cs="Palatino Linotype"/>
          <w:color w:val="000000"/>
          <w:sz w:val="24"/>
          <w:szCs w:val="24"/>
        </w:rPr>
        <w:t>ISSEMyM</w:t>
      </w:r>
      <w:proofErr w:type="spellEnd"/>
    </w:p>
    <w:p w14:paraId="115FA67F" w14:textId="77777777" w:rsidR="007868E3" w:rsidRPr="00833366" w:rsidRDefault="007868E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Registro Federal de Contribuyentes (RFC)</w:t>
      </w:r>
    </w:p>
    <w:p w14:paraId="1D8310BC" w14:textId="77777777" w:rsidR="007868E3" w:rsidRPr="00833366" w:rsidRDefault="007868E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Deducciones personales </w:t>
      </w:r>
    </w:p>
    <w:p w14:paraId="4825B16C" w14:textId="77777777" w:rsidR="007868E3" w:rsidRPr="00833366" w:rsidRDefault="007868E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 xml:space="preserve">Número de empleado </w:t>
      </w:r>
      <w:r w:rsidRPr="00833366">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69144DC1"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AF7D6EE"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14:paraId="2E63FB77"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4CB2D740" w14:textId="77777777" w:rsidR="007868E3" w:rsidRPr="00833366" w:rsidRDefault="007868E3" w:rsidP="008F719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7725A8F" w14:textId="77777777" w:rsidR="007868E3" w:rsidRPr="00833366" w:rsidRDefault="007868E3" w:rsidP="00472E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3366">
        <w:rPr>
          <w:rFonts w:ascii="Palatino Linotype" w:eastAsia="Palatino Linotype" w:hAnsi="Palatino Linotype" w:cs="Palatino Linotype"/>
          <w:color w:val="000000"/>
          <w:sz w:val="24"/>
          <w:szCs w:val="24"/>
        </w:rPr>
        <w:lastRenderedPageBreak/>
        <w:t>Ahora bien, existe algunas deducciones que no forman parte del supuesto normativo del artículo 143, fracción I de la Ley de Transparencia y Acceso a la Información Pública del Estado de México y Municipios, conforme lo siguiente:</w:t>
      </w:r>
      <w:bookmarkStart w:id="6" w:name="_heading=h.44sinio" w:colFirst="0" w:colLast="0"/>
      <w:bookmarkEnd w:id="6"/>
    </w:p>
    <w:p w14:paraId="3908F8D1" w14:textId="77777777" w:rsidR="007868E3" w:rsidRPr="00833366" w:rsidRDefault="007868E3" w:rsidP="00472E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p>
    <w:p w14:paraId="283E2DBD" w14:textId="77777777" w:rsidR="007868E3" w:rsidRPr="00833366" w:rsidRDefault="007868E3" w:rsidP="00472E7A">
      <w:pPr>
        <w:pStyle w:val="Prrafodelista"/>
        <w:spacing w:line="360" w:lineRule="auto"/>
        <w:ind w:left="0"/>
        <w:jc w:val="both"/>
        <w:rPr>
          <w:rFonts w:ascii="Palatino Linotype" w:hAnsi="Palatino Linotype" w:cs="Arial"/>
          <w:b/>
        </w:rPr>
      </w:pPr>
      <w:r w:rsidRPr="00833366">
        <w:rPr>
          <w:rFonts w:ascii="Palatino Linotype" w:hAnsi="Palatino Linotype" w:cs="Arial"/>
          <w:b/>
        </w:rPr>
        <w:t>Deducciones que no son personales.</w:t>
      </w:r>
    </w:p>
    <w:p w14:paraId="746D6DE5" w14:textId="77777777" w:rsidR="007868E3" w:rsidRPr="00833366" w:rsidRDefault="007868E3" w:rsidP="00472E7A">
      <w:pPr>
        <w:pStyle w:val="Prrafodelista"/>
        <w:spacing w:line="360" w:lineRule="auto"/>
        <w:ind w:left="0"/>
        <w:jc w:val="both"/>
        <w:rPr>
          <w:rFonts w:ascii="Palatino Linotype" w:hAnsi="Palatino Linotype" w:cs="Arial"/>
        </w:rPr>
      </w:pPr>
      <w:r w:rsidRPr="00833366">
        <w:rPr>
          <w:rFonts w:ascii="Palatino Linotype" w:hAnsi="Palatino Linotype" w:cs="Arial"/>
        </w:rPr>
        <w:t>La Ley del Trabajo de los Servidores Públicos del Estado y Municipios</w:t>
      </w:r>
      <w:r w:rsidRPr="00833366">
        <w:rPr>
          <w:rStyle w:val="Refdenotaalpie"/>
          <w:rFonts w:ascii="Palatino Linotype" w:hAnsi="Palatino Linotype"/>
        </w:rPr>
        <w:footnoteReference w:id="1"/>
      </w:r>
      <w:r w:rsidRPr="00833366">
        <w:rPr>
          <w:rFonts w:ascii="Palatino Linotype" w:hAnsi="Palatino Linotype" w:cs="Arial"/>
        </w:rPr>
        <w:t xml:space="preserve"> en el artículo 84 </w:t>
      </w:r>
      <w:proofErr w:type="gramStart"/>
      <w:r w:rsidRPr="00833366">
        <w:rPr>
          <w:rFonts w:ascii="Palatino Linotype" w:hAnsi="Palatino Linotype" w:cs="Arial"/>
        </w:rPr>
        <w:t>establece</w:t>
      </w:r>
      <w:proofErr w:type="gramEnd"/>
      <w:r w:rsidRPr="00833366">
        <w:rPr>
          <w:rFonts w:ascii="Palatino Linotype" w:hAnsi="Palatino Linotype" w:cs="Arial"/>
        </w:rPr>
        <w:t xml:space="preserve"> lo siguiente:</w:t>
      </w:r>
    </w:p>
    <w:p w14:paraId="251DD9E9" w14:textId="0FFF368A" w:rsidR="007868E3" w:rsidRPr="00833366" w:rsidRDefault="00472E7A" w:rsidP="00472E7A">
      <w:pPr>
        <w:pStyle w:val="CitasINFOEM"/>
      </w:pPr>
      <w:r w:rsidRPr="00833366">
        <w:t>“</w:t>
      </w:r>
      <w:r w:rsidR="007868E3" w:rsidRPr="00833366">
        <w:t xml:space="preserve">ARTÍCULO 84. Sólo podrán hacerse retenciones, descuentos o deducciones al sueldo de los servidores públicos por concepto de: </w:t>
      </w:r>
    </w:p>
    <w:p w14:paraId="053D92E5" w14:textId="77777777" w:rsidR="007868E3" w:rsidRPr="00833366" w:rsidRDefault="007868E3" w:rsidP="00472E7A">
      <w:pPr>
        <w:pStyle w:val="CitasINFOEM"/>
        <w:rPr>
          <w:b/>
        </w:rPr>
      </w:pPr>
      <w:r w:rsidRPr="00833366">
        <w:rPr>
          <w:b/>
        </w:rPr>
        <w:t>I. Gravámenes fiscales relacionados con el sueldo;</w:t>
      </w:r>
    </w:p>
    <w:p w14:paraId="2639071A" w14:textId="77777777" w:rsidR="007868E3" w:rsidRPr="00833366" w:rsidRDefault="007868E3" w:rsidP="00472E7A">
      <w:pPr>
        <w:pStyle w:val="CitasINFOEM"/>
      </w:pPr>
      <w:r w:rsidRPr="00833366">
        <w:t xml:space="preserve">II. Deudas contraídas con las instituciones públicas o dependencias por concepto de anticipos de sueldo, pagos hechos con exceso, errores o pérdidas debidamente comprobados; </w:t>
      </w:r>
    </w:p>
    <w:p w14:paraId="74D234DA" w14:textId="77777777" w:rsidR="007868E3" w:rsidRPr="00833366" w:rsidRDefault="007868E3" w:rsidP="00472E7A">
      <w:pPr>
        <w:pStyle w:val="CitasINFOEM"/>
      </w:pPr>
      <w:r w:rsidRPr="00833366">
        <w:t xml:space="preserve">III. Cuotas sindicales; </w:t>
      </w:r>
    </w:p>
    <w:p w14:paraId="3F42892E" w14:textId="77777777" w:rsidR="007868E3" w:rsidRPr="00833366" w:rsidRDefault="007868E3" w:rsidP="00472E7A">
      <w:pPr>
        <w:pStyle w:val="CitasINFOEM"/>
        <w:rPr>
          <w:b/>
        </w:rPr>
      </w:pPr>
      <w:r w:rsidRPr="00833366">
        <w:rPr>
          <w:b/>
        </w:rPr>
        <w:t xml:space="preserve">IV. Cuotas de aportación a fondos para la constitución de cooperativas y de cajas de ahorro, siempre que el servidor público hubiese manifestado previamente, de manera expresa, su conformidad; </w:t>
      </w:r>
    </w:p>
    <w:p w14:paraId="76957875" w14:textId="77777777" w:rsidR="007868E3" w:rsidRPr="00833366" w:rsidRDefault="007868E3" w:rsidP="00472E7A">
      <w:pPr>
        <w:pStyle w:val="CitasINFOEM"/>
        <w:rPr>
          <w:b/>
        </w:rPr>
      </w:pPr>
      <w:r w:rsidRPr="00833366">
        <w:rPr>
          <w:b/>
        </w:rPr>
        <w:lastRenderedPageBreak/>
        <w:t xml:space="preserve">V. Descuentos ordenados por el Instituto de Seguridad Social del Estado de México y Municipios, con motivo de cuotas y obligaciones contraídas con éste por los servidores públicos; </w:t>
      </w:r>
    </w:p>
    <w:p w14:paraId="5F3B1D08" w14:textId="77777777" w:rsidR="007868E3" w:rsidRPr="00833366" w:rsidRDefault="007868E3" w:rsidP="00472E7A">
      <w:pPr>
        <w:pStyle w:val="CitasINFOEM"/>
      </w:pPr>
      <w:r w:rsidRPr="00833366">
        <w:t xml:space="preserve">VI. Obligaciones a cargo del servidor público con las que haya consentido, derivadas de la adquisición o del uso de habitaciones consideradas como de interés social; </w:t>
      </w:r>
    </w:p>
    <w:p w14:paraId="79D5B7E9" w14:textId="77777777" w:rsidR="007868E3" w:rsidRPr="00833366" w:rsidRDefault="007868E3" w:rsidP="00472E7A">
      <w:pPr>
        <w:pStyle w:val="CitasINFOEM"/>
      </w:pPr>
      <w:r w:rsidRPr="00833366">
        <w:t xml:space="preserve">VII. Faltas de puntualidad o de asistencia injustificadas; </w:t>
      </w:r>
    </w:p>
    <w:p w14:paraId="16FD5717" w14:textId="77777777" w:rsidR="007868E3" w:rsidRPr="00833366" w:rsidRDefault="007868E3" w:rsidP="00472E7A">
      <w:pPr>
        <w:pStyle w:val="CitasINFOEM"/>
      </w:pPr>
      <w:r w:rsidRPr="00833366">
        <w:t xml:space="preserve">VIII. Pensiones alimenticias ordenadas por la autoridad judicial; o </w:t>
      </w:r>
    </w:p>
    <w:p w14:paraId="1002C122" w14:textId="4CDF6A44" w:rsidR="007868E3" w:rsidRPr="00833366" w:rsidRDefault="007868E3" w:rsidP="00472E7A">
      <w:pPr>
        <w:pStyle w:val="CitasINFOEM"/>
        <w:rPr>
          <w:b/>
          <w:bCs/>
        </w:rPr>
      </w:pPr>
      <w:r w:rsidRPr="00833366">
        <w:t>IX. Cualquier otro convenido con instituciones de servicios y aceptado por el servidor público.</w:t>
      </w:r>
      <w:r w:rsidR="00472E7A" w:rsidRPr="00833366">
        <w:t xml:space="preserve">” </w:t>
      </w:r>
      <w:r w:rsidR="00472E7A" w:rsidRPr="00833366">
        <w:rPr>
          <w:b/>
          <w:bCs/>
        </w:rPr>
        <w:t>(Sic)</w:t>
      </w:r>
    </w:p>
    <w:p w14:paraId="54B7FC88" w14:textId="77777777" w:rsidR="007868E3" w:rsidRPr="00833366" w:rsidRDefault="007868E3" w:rsidP="007868E3">
      <w:pPr>
        <w:ind w:right="822"/>
        <w:rPr>
          <w:rFonts w:cs="Arial"/>
          <w:i/>
        </w:rPr>
      </w:pPr>
    </w:p>
    <w:p w14:paraId="315FDCAD" w14:textId="77777777" w:rsidR="007868E3" w:rsidRPr="00833366" w:rsidRDefault="007868E3" w:rsidP="00472E7A">
      <w:pPr>
        <w:pStyle w:val="Prrafodelista"/>
        <w:spacing w:line="360" w:lineRule="auto"/>
        <w:ind w:left="0"/>
        <w:jc w:val="both"/>
        <w:rPr>
          <w:rFonts w:ascii="Palatino Linotype" w:hAnsi="Palatino Linotype" w:cs="Arial"/>
        </w:rPr>
      </w:pPr>
      <w:r w:rsidRPr="00833366">
        <w:rPr>
          <w:rFonts w:ascii="Palatino Linotype" w:hAnsi="Palatino Linotype" w:cs="Arial"/>
        </w:rPr>
        <w:t xml:space="preserve">Dentro de las retenciones, descuentos o deducciones de sueldo se contemplan los gravámenes fiscales, Cuotas de aportación a fondos para la constitución de cooperativas y de cajas de ahorro, así como descuentos ordenados por el </w:t>
      </w:r>
      <w:proofErr w:type="spellStart"/>
      <w:r w:rsidRPr="00833366">
        <w:rPr>
          <w:rFonts w:ascii="Palatino Linotype" w:hAnsi="Palatino Linotype" w:cs="Arial"/>
        </w:rPr>
        <w:t>ISSEMyM</w:t>
      </w:r>
      <w:proofErr w:type="spellEnd"/>
      <w:r w:rsidRPr="00833366">
        <w:rPr>
          <w:rFonts w:ascii="Palatino Linotype" w:hAnsi="Palatino Linotype" w:cs="Arial"/>
        </w:rPr>
        <w:t xml:space="preserve"> por motivo de cuotas y obligaciones contraídas por los servidores públicos. </w:t>
      </w:r>
      <w:r w:rsidRPr="00833366">
        <w:rPr>
          <w:rFonts w:ascii="Palatino Linotype" w:hAnsi="Palatino Linotype" w:cs="Arial"/>
          <w:b/>
        </w:rPr>
        <w:t>Estos mencionados son de carácter público</w:t>
      </w:r>
      <w:r w:rsidRPr="00833366">
        <w:rPr>
          <w:rFonts w:ascii="Palatino Linotype" w:hAnsi="Palatino Linotype" w:cs="Arial"/>
        </w:rPr>
        <w:t>, toda vez que se consideran descuentos que por ley se deben realizar a los servidores públicos contrario a las deducciones personales que son por voluntad de cada servidor público.</w:t>
      </w:r>
    </w:p>
    <w:p w14:paraId="45A1A892" w14:textId="77777777" w:rsidR="007868E3" w:rsidRPr="00833366" w:rsidRDefault="007868E3" w:rsidP="00472E7A">
      <w:pPr>
        <w:spacing w:line="360" w:lineRule="auto"/>
        <w:jc w:val="both"/>
        <w:rPr>
          <w:rFonts w:ascii="Palatino Linotype" w:hAnsi="Palatino Linotype" w:cs="Arial"/>
        </w:rPr>
      </w:pPr>
    </w:p>
    <w:p w14:paraId="65CCCD11" w14:textId="77777777" w:rsidR="007868E3" w:rsidRPr="00833366" w:rsidRDefault="007868E3">
      <w:pPr>
        <w:pStyle w:val="Prrafodelista"/>
        <w:numPr>
          <w:ilvl w:val="0"/>
          <w:numId w:val="5"/>
        </w:numPr>
        <w:spacing w:line="360" w:lineRule="auto"/>
        <w:contextualSpacing/>
        <w:jc w:val="both"/>
        <w:rPr>
          <w:rFonts w:ascii="Palatino Linotype" w:hAnsi="Palatino Linotype" w:cs="Arial"/>
          <w:b/>
        </w:rPr>
      </w:pPr>
      <w:r w:rsidRPr="00833366">
        <w:rPr>
          <w:rFonts w:ascii="Palatino Linotype" w:hAnsi="Palatino Linotype" w:cs="Arial"/>
          <w:b/>
        </w:rPr>
        <w:t>Seguro de Capitalización Individualizado.</w:t>
      </w:r>
    </w:p>
    <w:p w14:paraId="7CE3F1D2" w14:textId="77777777" w:rsidR="007868E3" w:rsidRPr="00833366" w:rsidRDefault="007868E3" w:rsidP="00472E7A">
      <w:pPr>
        <w:pStyle w:val="Prrafodelista"/>
        <w:spacing w:line="360" w:lineRule="auto"/>
        <w:ind w:left="0"/>
        <w:jc w:val="both"/>
        <w:rPr>
          <w:rFonts w:ascii="Palatino Linotype" w:hAnsi="Palatino Linotype" w:cs="Arial"/>
        </w:rPr>
      </w:pPr>
      <w:r w:rsidRPr="00833366">
        <w:rPr>
          <w:rFonts w:ascii="Palatino Linotype" w:hAnsi="Palatino Linotype" w:cs="Arial"/>
        </w:rPr>
        <w:lastRenderedPageBreak/>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4FC0EDAA" w14:textId="77777777" w:rsidR="007868E3" w:rsidRPr="00833366" w:rsidRDefault="007868E3" w:rsidP="00472E7A">
      <w:pPr>
        <w:pStyle w:val="Prrafodelista"/>
        <w:spacing w:line="360" w:lineRule="auto"/>
        <w:jc w:val="both"/>
        <w:rPr>
          <w:rFonts w:ascii="Palatino Linotype" w:hAnsi="Palatino Linotype" w:cs="Arial"/>
        </w:rPr>
      </w:pPr>
      <w:r w:rsidRPr="00833366">
        <w:rPr>
          <w:rFonts w:ascii="Palatino Linotype" w:hAnsi="Palatino Linotype" w:cs="Arial"/>
        </w:rPr>
        <w:t>•</w:t>
      </w:r>
      <w:r w:rsidRPr="00833366">
        <w:rPr>
          <w:rFonts w:ascii="Palatino Linotype" w:hAnsi="Palatino Linotype" w:cs="Arial"/>
        </w:rPr>
        <w:tab/>
        <w:t>Subcuenta de cuota obligatoria; que corresponde a un porcentaje del sueldo sujeto a cotización, que se descuenta al servir público de manera automática.</w:t>
      </w:r>
    </w:p>
    <w:p w14:paraId="376A6DA6" w14:textId="77777777" w:rsidR="007868E3" w:rsidRPr="00833366" w:rsidRDefault="007868E3" w:rsidP="00472E7A">
      <w:pPr>
        <w:pStyle w:val="Prrafodelista"/>
        <w:spacing w:line="360" w:lineRule="auto"/>
        <w:jc w:val="both"/>
        <w:rPr>
          <w:rFonts w:ascii="Palatino Linotype" w:hAnsi="Palatino Linotype" w:cs="Arial"/>
        </w:rPr>
      </w:pPr>
      <w:r w:rsidRPr="00833366">
        <w:rPr>
          <w:rFonts w:ascii="Palatino Linotype" w:hAnsi="Palatino Linotype" w:cs="Arial"/>
        </w:rPr>
        <w:t>•</w:t>
      </w:r>
      <w:r w:rsidRPr="00833366">
        <w:rPr>
          <w:rFonts w:ascii="Palatino Linotype" w:hAnsi="Palatino Linotype" w:cs="Arial"/>
        </w:rPr>
        <w:tab/>
        <w:t>Subcuenta de aportación obligatoria: que es la aportación que realiza la Institución a favor del servidor público, el cual equivale a un porcentaje del sueldo sujeto a cotización.</w:t>
      </w:r>
    </w:p>
    <w:p w14:paraId="08FD3972" w14:textId="77777777" w:rsidR="007868E3" w:rsidRPr="00833366" w:rsidRDefault="007868E3" w:rsidP="00472E7A">
      <w:pPr>
        <w:pStyle w:val="Prrafodelista"/>
        <w:spacing w:line="360" w:lineRule="auto"/>
        <w:jc w:val="both"/>
        <w:rPr>
          <w:rFonts w:ascii="Palatino Linotype" w:hAnsi="Palatino Linotype" w:cs="Arial"/>
        </w:rPr>
      </w:pPr>
      <w:r w:rsidRPr="00833366">
        <w:rPr>
          <w:rFonts w:ascii="Palatino Linotype" w:hAnsi="Palatino Linotype" w:cs="Arial"/>
        </w:rPr>
        <w:t>•</w:t>
      </w:r>
      <w:r w:rsidRPr="00833366">
        <w:rPr>
          <w:rFonts w:ascii="Palatino Linotype" w:hAnsi="Palatino Linotype" w:cs="Arial"/>
        </w:rPr>
        <w:tab/>
        <w:t xml:space="preserve">Subcuenta voluntaria: que es la cantidad que cada servidor público decide ahorrar de acuerdo con sus aportaciones, permitiendo acumular mayores ingresos para su retiro. </w:t>
      </w:r>
    </w:p>
    <w:p w14:paraId="75919078" w14:textId="77777777" w:rsidR="007868E3" w:rsidRPr="00833366" w:rsidRDefault="007868E3" w:rsidP="00472E7A">
      <w:pPr>
        <w:pStyle w:val="Prrafodelista"/>
        <w:spacing w:line="360" w:lineRule="auto"/>
        <w:jc w:val="both"/>
        <w:rPr>
          <w:rFonts w:ascii="Palatino Linotype" w:hAnsi="Palatino Linotype" w:cs="Arial"/>
        </w:rPr>
      </w:pPr>
    </w:p>
    <w:p w14:paraId="6C60456D" w14:textId="77777777" w:rsidR="007868E3" w:rsidRPr="00833366" w:rsidRDefault="007868E3" w:rsidP="00472E7A">
      <w:pPr>
        <w:pStyle w:val="Prrafodelista"/>
        <w:spacing w:line="360" w:lineRule="auto"/>
        <w:ind w:left="0"/>
        <w:jc w:val="both"/>
        <w:rPr>
          <w:rFonts w:ascii="Palatino Linotype" w:hAnsi="Palatino Linotype" w:cs="Arial"/>
        </w:rPr>
      </w:pPr>
      <w:r w:rsidRPr="00833366">
        <w:rPr>
          <w:rFonts w:ascii="Palatino Linotype" w:hAnsi="Palatino Linotype" w:cs="Arial"/>
        </w:rPr>
        <w:t xml:space="preserve">En razón de lo anterior, debe considerarse que la subcuenta de cuota obligatoria y subcuenta de aportación obligatoria, </w:t>
      </w:r>
      <w:r w:rsidRPr="00833366">
        <w:rPr>
          <w:rFonts w:ascii="Palatino Linotype" w:hAnsi="Palatino Linotype" w:cs="Arial"/>
          <w:b/>
        </w:rPr>
        <w:t>deben ser considerados datos de naturaleza pública</w:t>
      </w:r>
      <w:r w:rsidRPr="00833366">
        <w:rPr>
          <w:rFonts w:ascii="Palatino Linotype" w:hAnsi="Palatino Linotype" w:cs="Arial"/>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6187329E" w14:textId="15D11330" w:rsidR="00472E7A" w:rsidRPr="00833366" w:rsidRDefault="00472E7A" w:rsidP="00472E7A">
      <w:pPr>
        <w:pStyle w:val="CitasINFOEM"/>
        <w:rPr>
          <w:b/>
          <w:bCs/>
        </w:rPr>
      </w:pPr>
      <w:r w:rsidRPr="00833366">
        <w:rPr>
          <w:b/>
          <w:bCs/>
        </w:rPr>
        <w:lastRenderedPageBreak/>
        <w:t xml:space="preserve">“NATURALEZA DE LA INFORMACIÓN RELATIVA A LOS MONTOS APORTADOS AL SEGURO DE SEPARACIÓN INDIVIDUALIZADO. </w:t>
      </w:r>
    </w:p>
    <w:p w14:paraId="44544DED" w14:textId="35503828" w:rsidR="007868E3" w:rsidRPr="00833366" w:rsidRDefault="007868E3" w:rsidP="00472E7A">
      <w:pPr>
        <w:pStyle w:val="CitasINFOEM"/>
      </w:pPr>
      <w:r w:rsidRPr="00833366">
        <w:t xml:space="preserve">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833366">
        <w:t>aún</w:t>
      </w:r>
      <w:proofErr w:type="spellEnd"/>
      <w:r w:rsidRPr="00833366">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w:t>
      </w:r>
      <w:r w:rsidRPr="00833366">
        <w:lastRenderedPageBreak/>
        <w:t xml:space="preserve">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 </w:t>
      </w:r>
    </w:p>
    <w:p w14:paraId="713E4327" w14:textId="77777777" w:rsidR="007868E3" w:rsidRPr="00833366" w:rsidRDefault="007868E3" w:rsidP="007868E3">
      <w:pPr>
        <w:pStyle w:val="Prrafodelista"/>
        <w:rPr>
          <w:rFonts w:cs="Arial"/>
        </w:rPr>
      </w:pPr>
    </w:p>
    <w:p w14:paraId="7CA328FF" w14:textId="77777777" w:rsidR="007868E3" w:rsidRPr="00833366" w:rsidRDefault="007868E3" w:rsidP="00472E7A">
      <w:pPr>
        <w:pStyle w:val="Prrafodelista"/>
        <w:spacing w:line="360" w:lineRule="auto"/>
        <w:ind w:left="0"/>
        <w:jc w:val="both"/>
        <w:rPr>
          <w:rFonts w:ascii="Palatino Linotype" w:hAnsi="Palatino Linotype" w:cs="Arial"/>
        </w:rPr>
      </w:pPr>
      <w:r w:rsidRPr="00833366">
        <w:rPr>
          <w:rFonts w:ascii="Palatino Linotype" w:hAnsi="Palatino Linotype"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6B05F5ED" w14:textId="1AC8E377" w:rsidR="00A334E0" w:rsidRPr="00833366" w:rsidRDefault="008474E1" w:rsidP="00472E7A">
      <w:pPr>
        <w:autoSpaceDE w:val="0"/>
        <w:autoSpaceDN w:val="0"/>
        <w:adjustRightInd w:val="0"/>
        <w:spacing w:before="240" w:line="360" w:lineRule="auto"/>
        <w:jc w:val="both"/>
        <w:rPr>
          <w:rFonts w:ascii="Palatino Linotype" w:hAnsi="Palatino Linotype"/>
          <w:bCs/>
          <w:sz w:val="24"/>
          <w:szCs w:val="24"/>
        </w:rPr>
      </w:pPr>
      <w:r w:rsidRPr="00833366">
        <w:rPr>
          <w:rFonts w:ascii="Palatino Linotype" w:hAnsi="Palatino Linotype" w:cs="Arial"/>
          <w:sz w:val="24"/>
          <w:szCs w:val="24"/>
        </w:rPr>
        <w:t>D</w:t>
      </w:r>
      <w:r w:rsidR="009C5799" w:rsidRPr="00833366">
        <w:rPr>
          <w:rFonts w:ascii="Palatino Linotype" w:hAnsi="Palatino Linotype" w:cs="Arial"/>
          <w:sz w:val="24"/>
          <w:szCs w:val="24"/>
        </w:rPr>
        <w:t xml:space="preserve">e lo expuesto con anterioridad, se desprende que </w:t>
      </w:r>
      <w:r w:rsidR="00472E7A" w:rsidRPr="00833366">
        <w:rPr>
          <w:rFonts w:ascii="Palatino Linotype" w:hAnsi="Palatino Linotype" w:cs="Arial"/>
          <w:sz w:val="24"/>
          <w:szCs w:val="24"/>
        </w:rPr>
        <w:t xml:space="preserve">la información requerida es generada por el área de administración competente, la cual encuadra dentro de las fronteras conceptuales del interés general y el alcance público. </w:t>
      </w:r>
    </w:p>
    <w:p w14:paraId="7A82003C" w14:textId="6EC15C85" w:rsidR="00A6185A" w:rsidRPr="00833366" w:rsidRDefault="00A6185A" w:rsidP="00A6185A">
      <w:pPr>
        <w:spacing w:line="360" w:lineRule="auto"/>
        <w:jc w:val="both"/>
        <w:rPr>
          <w:rFonts w:ascii="Palatino Linotype" w:hAnsi="Palatino Linotype" w:cs="Arial"/>
          <w:sz w:val="24"/>
          <w:szCs w:val="24"/>
        </w:rPr>
      </w:pPr>
      <w:r w:rsidRPr="00833366">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833366" w:rsidRDefault="00A6185A" w:rsidP="00A6185A">
      <w:pPr>
        <w:pStyle w:val="Citas"/>
      </w:pPr>
      <w:r w:rsidRPr="00833366">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833366" w:rsidRDefault="00A6185A" w:rsidP="00A6185A">
      <w:pPr>
        <w:pStyle w:val="Citas"/>
      </w:pPr>
      <w:r w:rsidRPr="00833366">
        <w:lastRenderedPageBreak/>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833366" w:rsidRDefault="00A6185A" w:rsidP="00A6185A">
      <w:pPr>
        <w:pStyle w:val="Citas"/>
      </w:pPr>
      <w:r w:rsidRPr="00833366">
        <w:t xml:space="preserve">En los casos en que ciertas facultades, competencias o funciones no se hayan ejercido, se debe motivar la respuesta en función de las causas que motiven tal circunstancia. </w:t>
      </w:r>
    </w:p>
    <w:p w14:paraId="4B867E4B" w14:textId="77777777" w:rsidR="00A6185A" w:rsidRPr="00833366" w:rsidRDefault="00A6185A" w:rsidP="00A6185A">
      <w:pPr>
        <w:pStyle w:val="Citas"/>
        <w:rPr>
          <w:b/>
          <w:bCs/>
          <w:sz w:val="24"/>
          <w:szCs w:val="24"/>
        </w:rPr>
      </w:pPr>
      <w:r w:rsidRPr="00833366">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833366">
        <w:rPr>
          <w:b/>
          <w:bCs/>
        </w:rPr>
        <w:t>(Sic)</w:t>
      </w:r>
    </w:p>
    <w:p w14:paraId="6062088E" w14:textId="2E35DE12" w:rsidR="00A6185A" w:rsidRPr="00833366" w:rsidRDefault="00A6185A" w:rsidP="009C5799">
      <w:pPr>
        <w:autoSpaceDE w:val="0"/>
        <w:autoSpaceDN w:val="0"/>
        <w:adjustRightInd w:val="0"/>
        <w:spacing w:before="240" w:line="360" w:lineRule="auto"/>
        <w:jc w:val="both"/>
        <w:rPr>
          <w:rFonts w:ascii="Palatino Linotype" w:hAnsi="Palatino Linotype"/>
          <w:sz w:val="24"/>
          <w:szCs w:val="24"/>
        </w:rPr>
      </w:pPr>
    </w:p>
    <w:p w14:paraId="53D6D17C" w14:textId="2FF846C1" w:rsidR="00472E7A" w:rsidRPr="00833366" w:rsidRDefault="00A6185A" w:rsidP="00A6185A">
      <w:pPr>
        <w:spacing w:after="240" w:line="360" w:lineRule="auto"/>
        <w:jc w:val="both"/>
        <w:rPr>
          <w:rFonts w:ascii="Palatino Linotype" w:hAnsi="Palatino Linotype" w:cs="Arial"/>
          <w:color w:val="000000"/>
          <w:sz w:val="24"/>
          <w:lang w:val="es-ES_tradnl"/>
        </w:rPr>
      </w:pPr>
      <w:r w:rsidRPr="00833366">
        <w:rPr>
          <w:rFonts w:ascii="Palatino Linotype" w:hAnsi="Palatino Linotype" w:cs="Arial"/>
          <w:color w:val="000000"/>
          <w:sz w:val="24"/>
          <w:lang w:val="es-ES_tradnl"/>
        </w:rPr>
        <w:t xml:space="preserve">Una vez sentado lo anterior, como se mencionó en el antecedente </w:t>
      </w:r>
      <w:r w:rsidR="009C5F77" w:rsidRPr="00833366">
        <w:rPr>
          <w:rFonts w:ascii="Palatino Linotype" w:hAnsi="Palatino Linotype" w:cs="Arial"/>
          <w:color w:val="000000"/>
          <w:sz w:val="24"/>
          <w:lang w:val="es-ES_tradnl"/>
        </w:rPr>
        <w:t>segundo</w:t>
      </w:r>
      <w:r w:rsidRPr="00833366">
        <w:rPr>
          <w:rFonts w:ascii="Palatino Linotype" w:hAnsi="Palatino Linotype" w:cs="Arial"/>
          <w:color w:val="000000"/>
          <w:sz w:val="24"/>
          <w:lang w:val="es-ES_tradnl"/>
        </w:rPr>
        <w:t xml:space="preserve">, </w:t>
      </w:r>
      <w:r w:rsidRPr="00833366">
        <w:rPr>
          <w:rFonts w:ascii="Palatino Linotype" w:hAnsi="Palatino Linotype" w:cs="Arial"/>
          <w:b/>
          <w:color w:val="000000"/>
          <w:sz w:val="24"/>
          <w:lang w:val="es-ES_tradnl"/>
        </w:rPr>
        <w:t xml:space="preserve">El Sujeto Obligado </w:t>
      </w:r>
      <w:r w:rsidRPr="00833366">
        <w:rPr>
          <w:rFonts w:ascii="Palatino Linotype" w:hAnsi="Palatino Linotype" w:cs="Arial"/>
          <w:color w:val="000000"/>
          <w:sz w:val="24"/>
          <w:lang w:val="es-ES_tradnl"/>
        </w:rPr>
        <w:t>en fecha</w:t>
      </w:r>
      <w:r w:rsidR="00472E7A" w:rsidRPr="00833366">
        <w:rPr>
          <w:rFonts w:ascii="Palatino Linotype" w:hAnsi="Palatino Linotype" w:cs="Arial"/>
          <w:color w:val="000000"/>
          <w:sz w:val="24"/>
          <w:lang w:val="es-ES_tradnl"/>
        </w:rPr>
        <w:t xml:space="preserve"> </w:t>
      </w:r>
      <w:r w:rsidR="00472E7A" w:rsidRPr="00833366">
        <w:rPr>
          <w:rFonts w:ascii="Palatino Linotype" w:hAnsi="Palatino Linotype" w:cs="Arial"/>
          <w:b/>
          <w:bCs/>
          <w:color w:val="000000"/>
          <w:sz w:val="24"/>
          <w:lang w:val="es-ES_tradnl"/>
        </w:rPr>
        <w:t xml:space="preserve">veinticinco de agosto de dos mil veinticinco, </w:t>
      </w:r>
      <w:r w:rsidR="00472E7A" w:rsidRPr="00833366">
        <w:rPr>
          <w:rFonts w:ascii="Palatino Linotype" w:hAnsi="Palatino Linotype" w:cs="Arial"/>
          <w:color w:val="000000"/>
          <w:sz w:val="24"/>
          <w:lang w:val="es-ES_tradnl"/>
        </w:rPr>
        <w:t>rindió su respuesta en los siguientes términos:</w:t>
      </w:r>
    </w:p>
    <w:p w14:paraId="7E65BCC9" w14:textId="50F89DAE" w:rsidR="00472E7A" w:rsidRPr="00833366" w:rsidRDefault="00472E7A">
      <w:pPr>
        <w:pStyle w:val="Prrafodelista"/>
        <w:numPr>
          <w:ilvl w:val="0"/>
          <w:numId w:val="7"/>
        </w:numPr>
        <w:spacing w:after="240" w:line="360" w:lineRule="auto"/>
        <w:jc w:val="both"/>
        <w:rPr>
          <w:rFonts w:ascii="Palatino Linotype" w:hAnsi="Palatino Linotype" w:cs="Arial"/>
          <w:b/>
          <w:bCs/>
          <w:color w:val="000000"/>
          <w:lang w:val="es-ES_tradnl"/>
        </w:rPr>
      </w:pPr>
      <w:r w:rsidRPr="00833366">
        <w:rPr>
          <w:rFonts w:ascii="Palatino Linotype" w:hAnsi="Palatino Linotype" w:cs="Arial"/>
          <w:b/>
          <w:bCs/>
          <w:color w:val="000000"/>
          <w:lang w:val="es-ES_tradnl"/>
        </w:rPr>
        <w:t>“</w:t>
      </w:r>
      <w:r w:rsidRPr="00833366">
        <w:rPr>
          <w:rFonts w:ascii="Palatino Linotype" w:eastAsia="Calibri" w:hAnsi="Palatino Linotype" w:cs="Arial"/>
          <w:b/>
          <w:bCs/>
          <w:color w:val="000000"/>
          <w:lang w:val="es-MX"/>
        </w:rPr>
        <w:t xml:space="preserve">solicutud12DIF.pdf”: </w:t>
      </w:r>
      <w:r w:rsidRPr="00833366">
        <w:rPr>
          <w:rFonts w:ascii="Palatino Linotype" w:eastAsia="Calibri" w:hAnsi="Palatino Linotype" w:cs="Arial"/>
          <w:color w:val="000000"/>
          <w:lang w:val="es-MX"/>
        </w:rPr>
        <w:t>Compila lo siguiente:</w:t>
      </w:r>
    </w:p>
    <w:p w14:paraId="045181CF" w14:textId="1A3426E0" w:rsidR="00472E7A" w:rsidRPr="00833366" w:rsidRDefault="00472E7A">
      <w:pPr>
        <w:pStyle w:val="Prrafodelista"/>
        <w:numPr>
          <w:ilvl w:val="0"/>
          <w:numId w:val="8"/>
        </w:numPr>
        <w:spacing w:after="240" w:line="360" w:lineRule="auto"/>
        <w:jc w:val="both"/>
        <w:rPr>
          <w:rFonts w:ascii="Palatino Linotype" w:hAnsi="Palatino Linotype" w:cs="Arial"/>
          <w:b/>
          <w:bCs/>
          <w:color w:val="000000"/>
          <w:lang w:val="es-ES_tradnl"/>
        </w:rPr>
      </w:pPr>
      <w:r w:rsidRPr="00833366">
        <w:rPr>
          <w:rFonts w:ascii="Palatino Linotype" w:hAnsi="Palatino Linotype" w:cs="Arial"/>
          <w:color w:val="000000"/>
          <w:lang w:val="es-ES_tradnl"/>
        </w:rPr>
        <w:t xml:space="preserve">Oficio número </w:t>
      </w:r>
      <w:r w:rsidRPr="00833366">
        <w:rPr>
          <w:rFonts w:ascii="Palatino Linotype" w:hAnsi="Palatino Linotype" w:cs="Arial"/>
          <w:b/>
          <w:bCs/>
          <w:color w:val="000000"/>
          <w:lang w:val="es-ES_tradnl"/>
        </w:rPr>
        <w:t xml:space="preserve">ATZ/JG/TAI/314/2025 </w:t>
      </w:r>
      <w:r w:rsidRPr="00833366">
        <w:rPr>
          <w:rFonts w:ascii="Palatino Linotype" w:hAnsi="Palatino Linotype" w:cs="Arial"/>
          <w:color w:val="000000"/>
          <w:lang w:val="es-ES_tradnl"/>
        </w:rPr>
        <w:t xml:space="preserve">signado por la titular de la unidad de tesorería y administración municipal de Atizapán, dirigido a la coordinadora de transparencia y acceso a la información pública, de fecha ocho de agosto de dos mil veinticinco, </w:t>
      </w:r>
      <w:r w:rsidR="007C13DD" w:rsidRPr="00833366">
        <w:rPr>
          <w:rFonts w:ascii="Palatino Linotype" w:hAnsi="Palatino Linotype" w:cs="Arial"/>
          <w:color w:val="000000"/>
          <w:lang w:val="es-ES_tradnl"/>
        </w:rPr>
        <w:t>resulta de nuestro interés el siguiente extracto:</w:t>
      </w:r>
    </w:p>
    <w:p w14:paraId="4A2777EC" w14:textId="5F8CC2F6" w:rsidR="007C13DD" w:rsidRPr="00833366" w:rsidRDefault="007C13DD" w:rsidP="007C13DD">
      <w:pPr>
        <w:pStyle w:val="Prrafodelista"/>
        <w:spacing w:after="240" w:line="360" w:lineRule="auto"/>
        <w:ind w:left="1080"/>
        <w:jc w:val="both"/>
        <w:rPr>
          <w:rFonts w:ascii="Palatino Linotype" w:hAnsi="Palatino Linotype" w:cs="Arial"/>
          <w:i/>
          <w:iCs/>
          <w:color w:val="000000"/>
          <w:lang w:val="es-ES_tradnl"/>
        </w:rPr>
      </w:pPr>
      <w:r w:rsidRPr="00833366">
        <w:rPr>
          <w:rFonts w:ascii="Palatino Linotype" w:hAnsi="Palatino Linotype" w:cs="Arial"/>
          <w:i/>
          <w:iCs/>
          <w:color w:val="000000"/>
          <w:lang w:val="es-ES_tradnl"/>
        </w:rPr>
        <w:lastRenderedPageBreak/>
        <w:t xml:space="preserve">“Se envía solo la conciliación de anomia de la primera quincena de enero a la segunda quincena de febrero, la dispersión no se realizó al efectuarse los pagos por medio de cheques. </w:t>
      </w:r>
    </w:p>
    <w:p w14:paraId="0B8E159F" w14:textId="07A4E41F" w:rsidR="007C13DD" w:rsidRPr="00833366" w:rsidRDefault="007C13DD" w:rsidP="007C13DD">
      <w:pPr>
        <w:pStyle w:val="Prrafodelista"/>
        <w:spacing w:after="240" w:line="360" w:lineRule="auto"/>
        <w:ind w:left="1080"/>
        <w:jc w:val="both"/>
        <w:rPr>
          <w:rFonts w:ascii="Palatino Linotype" w:hAnsi="Palatino Linotype" w:cs="Arial"/>
          <w:b/>
          <w:bCs/>
          <w:i/>
          <w:iCs/>
          <w:color w:val="000000"/>
          <w:lang w:val="es-ES_tradnl"/>
        </w:rPr>
      </w:pPr>
      <w:r w:rsidRPr="00833366">
        <w:rPr>
          <w:rFonts w:ascii="Palatino Linotype" w:hAnsi="Palatino Linotype" w:cs="Arial"/>
          <w:i/>
          <w:iCs/>
          <w:color w:val="000000"/>
          <w:lang w:val="es-ES_tradnl"/>
        </w:rPr>
        <w:t xml:space="preserve">Se entregan conciliaciones y dispersión de nómina de la primera quincena de </w:t>
      </w:r>
      <w:proofErr w:type="gramStart"/>
      <w:r w:rsidRPr="00833366">
        <w:rPr>
          <w:rFonts w:ascii="Palatino Linotype" w:hAnsi="Palatino Linotype" w:cs="Arial"/>
          <w:i/>
          <w:iCs/>
          <w:color w:val="000000"/>
          <w:lang w:val="es-ES_tradnl"/>
        </w:rPr>
        <w:t>Marzo</w:t>
      </w:r>
      <w:proofErr w:type="gramEnd"/>
      <w:r w:rsidRPr="00833366">
        <w:rPr>
          <w:rFonts w:ascii="Palatino Linotype" w:hAnsi="Palatino Linotype" w:cs="Arial"/>
          <w:i/>
          <w:iCs/>
          <w:color w:val="000000"/>
          <w:lang w:val="es-ES_tradnl"/>
        </w:rPr>
        <w:t xml:space="preserve"> a la segunda quincena de Junio del 2025” </w:t>
      </w:r>
      <w:r w:rsidRPr="00833366">
        <w:rPr>
          <w:rFonts w:ascii="Palatino Linotype" w:hAnsi="Palatino Linotype" w:cs="Arial"/>
          <w:b/>
          <w:bCs/>
          <w:i/>
          <w:iCs/>
          <w:color w:val="000000"/>
          <w:lang w:val="es-ES_tradnl"/>
        </w:rPr>
        <w:t>(Sic)</w:t>
      </w:r>
    </w:p>
    <w:p w14:paraId="475BD1A6" w14:textId="77777777" w:rsidR="007C13DD" w:rsidRPr="00833366" w:rsidRDefault="007C13DD" w:rsidP="007C13DD">
      <w:pPr>
        <w:pStyle w:val="Prrafodelista"/>
        <w:spacing w:after="240" w:line="360" w:lineRule="auto"/>
        <w:ind w:left="1080"/>
        <w:jc w:val="both"/>
        <w:rPr>
          <w:rFonts w:ascii="Palatino Linotype" w:hAnsi="Palatino Linotype" w:cs="Arial"/>
          <w:b/>
          <w:bCs/>
          <w:i/>
          <w:iCs/>
          <w:color w:val="000000"/>
          <w:lang w:val="es-ES_tradnl"/>
        </w:rPr>
      </w:pPr>
    </w:p>
    <w:p w14:paraId="7B03DE1C" w14:textId="772D35E7" w:rsidR="00472E7A"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segunda quincena de enero de dos mil veinticinco</w:t>
      </w:r>
      <w:r w:rsidR="004535E8" w:rsidRPr="00833366">
        <w:rPr>
          <w:rFonts w:ascii="Palatino Linotype" w:hAnsi="Palatino Linotype" w:cs="Arial"/>
          <w:color w:val="000000"/>
          <w:lang w:val="es-ES_tradnl"/>
        </w:rPr>
        <w:t xml:space="preserve">, de su lectura integral se advierte que fueron “ocultas” algunas columnas del formato proporcionado por el órgano superior de fiscalización del Estado de México. </w:t>
      </w:r>
    </w:p>
    <w:p w14:paraId="647B6386" w14:textId="36142166"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primera quincena de enero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53EFA2B1" w14:textId="729D35DD"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primera quincena de febrero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6470A6B3" w14:textId="4FCEFBED"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segunda quincena de febrero de dos mil veinticinco</w:t>
      </w:r>
      <w:r w:rsidR="004535E8" w:rsidRPr="00833366">
        <w:rPr>
          <w:rFonts w:ascii="Palatino Linotype" w:hAnsi="Palatino Linotype" w:cs="Arial"/>
          <w:color w:val="000000"/>
          <w:lang w:val="es-ES_tradnl"/>
        </w:rPr>
        <w:t xml:space="preserve">, de su lectura integral se advierte que fueron “ocultas” </w:t>
      </w:r>
      <w:r w:rsidR="004535E8" w:rsidRPr="00833366">
        <w:rPr>
          <w:rFonts w:ascii="Palatino Linotype" w:hAnsi="Palatino Linotype" w:cs="Arial"/>
          <w:color w:val="000000"/>
          <w:lang w:val="es-ES_tradnl"/>
        </w:rPr>
        <w:lastRenderedPageBreak/>
        <w:t>algunas columnas del formato proporcionado por el órgano superior de fiscalización del Estado de México.</w:t>
      </w:r>
    </w:p>
    <w:p w14:paraId="449F95B3" w14:textId="41AA89EC"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primera quincena de marzo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1F0F80F3" w14:textId="6C9E10B5"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segunda quincena de marzo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2E354050" w14:textId="2EFC6944"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primera quincena de abril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420F3BBD" w14:textId="575DBAB9"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segunda quincena de abril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524D1BC7" w14:textId="4DBF5E7E"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primera quincena de mayo de dos mil veinticinco</w:t>
      </w:r>
      <w:r w:rsidR="004535E8" w:rsidRPr="00833366">
        <w:rPr>
          <w:rFonts w:ascii="Palatino Linotype" w:hAnsi="Palatino Linotype" w:cs="Arial"/>
          <w:color w:val="000000"/>
          <w:lang w:val="es-ES_tradnl"/>
        </w:rPr>
        <w:t xml:space="preserve">, de su lectura integral se advierte que fueron “ocultas” algunas </w:t>
      </w:r>
      <w:r w:rsidR="004535E8" w:rsidRPr="00833366">
        <w:rPr>
          <w:rFonts w:ascii="Palatino Linotype" w:hAnsi="Palatino Linotype" w:cs="Arial"/>
          <w:color w:val="000000"/>
          <w:lang w:val="es-ES_tradnl"/>
        </w:rPr>
        <w:lastRenderedPageBreak/>
        <w:t>columnas del formato proporcionado por el órgano superior de fiscalización del Estado de México.</w:t>
      </w:r>
    </w:p>
    <w:p w14:paraId="347A65B4" w14:textId="016E0060"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segunda quincena de mayo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013C62B6" w14:textId="7EEA5F5A"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primera quincena de junio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1C69A263" w14:textId="7C8BA8C4" w:rsidR="007C13DD" w:rsidRPr="00833366" w:rsidRDefault="007C13DD">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Conciliación de nómina correspondiente a la segunda quincena de junio de dos mil veinticinco</w:t>
      </w:r>
      <w:r w:rsidR="004535E8" w:rsidRPr="00833366">
        <w:rPr>
          <w:rFonts w:ascii="Palatino Linotype" w:hAnsi="Palatino Linotype" w:cs="Arial"/>
          <w:color w:val="000000"/>
          <w:lang w:val="es-ES_tradnl"/>
        </w:rPr>
        <w:t>, de su lectura integral se advierte que fueron “ocultas” algunas columnas del formato proporcionado por el órgano superior de fiscalización del Estado de México.</w:t>
      </w:r>
    </w:p>
    <w:p w14:paraId="1E80B2CB" w14:textId="067AA02C" w:rsidR="007C13DD" w:rsidRPr="00833366" w:rsidRDefault="00930238">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 xml:space="preserve">Dispersión de nómina correspondiente a la primera quincena de marzo de dos mil veinticinco. </w:t>
      </w:r>
    </w:p>
    <w:p w14:paraId="069B14D3" w14:textId="4563CC27" w:rsidR="00930238" w:rsidRPr="00833366" w:rsidRDefault="00930238">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 xml:space="preserve">Dispersión de nómina correspondiente a la segunda quincena de marzo de dos mil veinticinco. </w:t>
      </w:r>
    </w:p>
    <w:p w14:paraId="136BFDB7" w14:textId="0FEC5C77" w:rsidR="00930238" w:rsidRPr="00833366" w:rsidRDefault="00930238">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 xml:space="preserve">Dispersión de nómina correspondiente a la primera quincena de abril de dos mil veinticinco. </w:t>
      </w:r>
    </w:p>
    <w:p w14:paraId="2117FF21" w14:textId="40BA801C" w:rsidR="00930238" w:rsidRPr="00833366" w:rsidRDefault="00930238">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lastRenderedPageBreak/>
        <w:t xml:space="preserve">Dispersión de nómina correspondiente a la segunda quincena de abril de dos mil veinticinco. </w:t>
      </w:r>
    </w:p>
    <w:p w14:paraId="7CE66A63" w14:textId="59FF1911" w:rsidR="00930238" w:rsidRPr="00833366" w:rsidRDefault="00930238">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 xml:space="preserve">Dispersión de nómina correspondiente a la primera quincena de mayo de dos mil veinticinco. </w:t>
      </w:r>
    </w:p>
    <w:p w14:paraId="5FF069F5" w14:textId="24C3C621" w:rsidR="00930238" w:rsidRPr="00833366" w:rsidRDefault="00930238">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 xml:space="preserve">Dispersión de nómina correspondiente a la segunda quincena de mayo de dos mil veinticinco. </w:t>
      </w:r>
    </w:p>
    <w:p w14:paraId="34F793B5" w14:textId="27985359" w:rsidR="00930238" w:rsidRPr="00833366" w:rsidRDefault="00930238">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Dispersión de nómina correspondiente a la primera quincena de junio de dos mil veinticinco.</w:t>
      </w:r>
    </w:p>
    <w:p w14:paraId="4C9A670E" w14:textId="5C4221C2" w:rsidR="00930238" w:rsidRPr="00833366" w:rsidRDefault="00930238">
      <w:pPr>
        <w:pStyle w:val="Prrafodelista"/>
        <w:numPr>
          <w:ilvl w:val="0"/>
          <w:numId w:val="5"/>
        </w:numPr>
        <w:spacing w:after="240" w:line="360" w:lineRule="auto"/>
        <w:jc w:val="both"/>
        <w:rPr>
          <w:rFonts w:ascii="Palatino Linotype" w:hAnsi="Palatino Linotype" w:cs="Arial"/>
          <w:color w:val="000000"/>
          <w:lang w:val="es-ES_tradnl"/>
        </w:rPr>
      </w:pPr>
      <w:r w:rsidRPr="00833366">
        <w:rPr>
          <w:rFonts w:ascii="Palatino Linotype" w:hAnsi="Palatino Linotype" w:cs="Arial"/>
          <w:color w:val="000000"/>
          <w:lang w:val="es-ES_tradnl"/>
        </w:rPr>
        <w:t xml:space="preserve">Dispersión de nómina correspondiente a la segunda quincena de junio de dos mil veinticinco. </w:t>
      </w:r>
    </w:p>
    <w:p w14:paraId="138ABB44" w14:textId="77777777" w:rsidR="00930238" w:rsidRPr="00833366" w:rsidRDefault="00930238" w:rsidP="00930238">
      <w:pPr>
        <w:spacing w:after="240" w:line="360" w:lineRule="auto"/>
        <w:jc w:val="both"/>
        <w:rPr>
          <w:rFonts w:ascii="Palatino Linotype" w:hAnsi="Palatino Linotype" w:cs="Arial"/>
          <w:color w:val="000000"/>
          <w:lang w:val="es-ES_tradnl"/>
        </w:rPr>
      </w:pPr>
    </w:p>
    <w:p w14:paraId="0852A039" w14:textId="647FFDC6" w:rsidR="00930238" w:rsidRPr="00833366" w:rsidRDefault="00930238" w:rsidP="00930238">
      <w:pPr>
        <w:spacing w:after="240" w:line="360" w:lineRule="auto"/>
        <w:jc w:val="both"/>
        <w:rPr>
          <w:rFonts w:ascii="Palatino Linotype" w:hAnsi="Palatino Linotype" w:cs="Arial"/>
          <w:color w:val="000000"/>
          <w:sz w:val="24"/>
          <w:szCs w:val="24"/>
          <w:lang w:val="es-ES_tradnl"/>
        </w:rPr>
      </w:pPr>
      <w:r w:rsidRPr="00833366">
        <w:rPr>
          <w:rFonts w:ascii="Palatino Linotype" w:hAnsi="Palatino Linotype" w:cs="Arial"/>
          <w:color w:val="000000"/>
          <w:sz w:val="24"/>
          <w:szCs w:val="24"/>
          <w:lang w:val="es-ES_tradnl"/>
        </w:rPr>
        <w:t xml:space="preserve">Visto de esta forma, con relación al requerimiento identificado con el numeral </w:t>
      </w:r>
      <w:r w:rsidRPr="00833366">
        <w:rPr>
          <w:rFonts w:ascii="Palatino Linotype" w:hAnsi="Palatino Linotype" w:cs="Arial"/>
          <w:b/>
          <w:bCs/>
          <w:color w:val="000000"/>
          <w:sz w:val="24"/>
          <w:szCs w:val="24"/>
          <w:lang w:val="es-ES_tradnl"/>
        </w:rPr>
        <w:t xml:space="preserve">1 -uno- (dispersión de nómina), </w:t>
      </w:r>
      <w:r w:rsidRPr="00833366">
        <w:rPr>
          <w:rFonts w:ascii="Palatino Linotype" w:hAnsi="Palatino Linotype" w:cs="Arial"/>
          <w:color w:val="000000"/>
          <w:sz w:val="24"/>
          <w:szCs w:val="24"/>
          <w:lang w:val="es-ES_tradnl"/>
        </w:rPr>
        <w:t xml:space="preserve">resulta oportuno mencionar que el servidor público habilitado aclaró que respecto de la primera quincena de enero a la segunda quincena de febrero de dos mil veinticinco, no realizó dispersión de nómina, al efectuarse el pago por medio de cheques. </w:t>
      </w:r>
    </w:p>
    <w:p w14:paraId="6298C1CE" w14:textId="7470F019" w:rsidR="00930238" w:rsidRPr="00833366" w:rsidRDefault="00930238" w:rsidP="00930238">
      <w:pPr>
        <w:spacing w:after="240" w:line="360" w:lineRule="auto"/>
        <w:jc w:val="both"/>
        <w:rPr>
          <w:rFonts w:ascii="Arial" w:hAnsi="Arial" w:cs="Arial"/>
          <w:color w:val="222222"/>
          <w:sz w:val="24"/>
          <w:szCs w:val="24"/>
          <w:lang w:eastAsia="es-MX"/>
        </w:rPr>
      </w:pPr>
      <w:r w:rsidRPr="00833366">
        <w:rPr>
          <w:rFonts w:ascii="Palatino Linotype" w:hAnsi="Palatino Linotype" w:cs="Arial"/>
          <w:color w:val="000000"/>
          <w:sz w:val="24"/>
          <w:szCs w:val="24"/>
          <w:lang w:val="es-ES_tradnl"/>
        </w:rPr>
        <w:t xml:space="preserve">Por ello, respecto de la dispersión de </w:t>
      </w:r>
      <w:r w:rsidR="002E2475" w:rsidRPr="00833366">
        <w:rPr>
          <w:rFonts w:ascii="Palatino Linotype" w:hAnsi="Palatino Linotype" w:cs="Arial"/>
          <w:color w:val="000000"/>
          <w:sz w:val="24"/>
          <w:szCs w:val="24"/>
          <w:lang w:val="es-ES_tradnl"/>
        </w:rPr>
        <w:t xml:space="preserve">nómina de </w:t>
      </w:r>
      <w:r w:rsidRPr="00833366">
        <w:rPr>
          <w:rFonts w:ascii="Palatino Linotype" w:hAnsi="Palatino Linotype" w:cs="Arial"/>
          <w:color w:val="000000"/>
          <w:sz w:val="24"/>
          <w:szCs w:val="24"/>
          <w:lang w:val="es-ES_tradnl"/>
        </w:rPr>
        <w:t xml:space="preserve">enero y febrero 2025, </w:t>
      </w:r>
      <w:r w:rsidRPr="00833366">
        <w:rPr>
          <w:rFonts w:ascii="Palatino Linotype" w:hAnsi="Palatino Linotype" w:cs="Arial"/>
          <w:noProof/>
          <w:color w:val="000000"/>
          <w:sz w:val="24"/>
          <w:szCs w:val="24"/>
          <w:lang w:eastAsia="es-MX"/>
        </w:rPr>
        <w:t xml:space="preserve">se destaca que </w:t>
      </w:r>
      <w:r w:rsidRPr="00833366">
        <w:rPr>
          <w:rFonts w:ascii="Palatino Linotype" w:hAnsi="Palatino Linotype"/>
          <w:sz w:val="24"/>
          <w:szCs w:val="24"/>
        </w:rPr>
        <w:t xml:space="preserve">el Pleno del Órgano Garante local ha sostenido que, </w:t>
      </w:r>
      <w:r w:rsidRPr="00833366">
        <w:rPr>
          <w:rFonts w:ascii="Palatino Linotype" w:hAnsi="Palatino Linotype" w:cs="Arial"/>
          <w:sz w:val="24"/>
          <w:szCs w:val="24"/>
        </w:rPr>
        <w:t xml:space="preserve">ante la presencia de un hecho negativo, resultaría innecesaria una declaratoria de inexistencia en términos de 19, 169 </w:t>
      </w:r>
      <w:r w:rsidRPr="00833366">
        <w:rPr>
          <w:rFonts w:ascii="Palatino Linotype" w:hAnsi="Palatino Linotype" w:cs="Arial"/>
          <w:sz w:val="24"/>
          <w:szCs w:val="24"/>
        </w:rPr>
        <w:lastRenderedPageBreak/>
        <w:t>y 170 de la Ley de Transparencia y Acceso a la Información Pública del Estado de México y Municipios, y ante un hecho negativo resulta aplicable la siguiente tesis</w:t>
      </w:r>
      <w:r w:rsidRPr="00833366">
        <w:rPr>
          <w:rFonts w:ascii="Palatino Linotype" w:hAnsi="Palatino Linotype" w:cs="Arial"/>
          <w:color w:val="222222"/>
          <w:sz w:val="24"/>
          <w:szCs w:val="24"/>
        </w:rPr>
        <w:t>:</w:t>
      </w:r>
    </w:p>
    <w:p w14:paraId="194FF3A6" w14:textId="77777777" w:rsidR="00930238" w:rsidRPr="00833366" w:rsidRDefault="00930238" w:rsidP="00930238">
      <w:pPr>
        <w:pStyle w:val="Prrafodelista"/>
        <w:spacing w:before="240" w:line="360" w:lineRule="auto"/>
        <w:ind w:left="720" w:right="851"/>
        <w:jc w:val="both"/>
        <w:rPr>
          <w:rFonts w:ascii="Arial" w:hAnsi="Arial" w:cs="Arial"/>
          <w:color w:val="222222"/>
        </w:rPr>
      </w:pPr>
      <w:r w:rsidRPr="00833366">
        <w:rPr>
          <w:rFonts w:ascii="Palatino Linotype" w:hAnsi="Palatino Linotype" w:cs="Arial"/>
          <w:color w:val="222222"/>
        </w:rPr>
        <w:t> </w:t>
      </w:r>
      <w:r w:rsidRPr="00833366">
        <w:rPr>
          <w:rFonts w:ascii="Palatino Linotype" w:hAnsi="Palatino Linotype" w:cs="Arial"/>
          <w:b/>
          <w:bCs/>
          <w:i/>
          <w:iCs/>
          <w:color w:val="222222"/>
        </w:rPr>
        <w:t>“HECHOS NEGATIVOS, NO SON SUSCEPTIBLES DE DEMOSTRACION.</w:t>
      </w:r>
    </w:p>
    <w:p w14:paraId="2B42EBCA" w14:textId="77777777" w:rsidR="00930238" w:rsidRPr="00833366" w:rsidRDefault="00930238" w:rsidP="00930238">
      <w:pPr>
        <w:pStyle w:val="Prrafodelista"/>
        <w:spacing w:before="240" w:line="360" w:lineRule="auto"/>
        <w:ind w:left="720" w:right="851"/>
        <w:jc w:val="both"/>
        <w:rPr>
          <w:rFonts w:ascii="Palatino Linotype" w:hAnsi="Palatino Linotype" w:cs="Arial"/>
          <w:i/>
          <w:iCs/>
          <w:color w:val="222222"/>
        </w:rPr>
      </w:pPr>
      <w:r w:rsidRPr="00833366">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833366">
        <w:rPr>
          <w:rFonts w:ascii="Palatino Linotype" w:hAnsi="Palatino Linotype" w:cs="Arial"/>
          <w:b/>
          <w:i/>
          <w:iCs/>
          <w:color w:val="222222"/>
        </w:rPr>
        <w:t>[Sic]</w:t>
      </w:r>
    </w:p>
    <w:p w14:paraId="7C76549B" w14:textId="77777777" w:rsidR="00930238" w:rsidRPr="00833366" w:rsidRDefault="00930238" w:rsidP="00930238">
      <w:pPr>
        <w:spacing w:after="240" w:line="360" w:lineRule="auto"/>
        <w:jc w:val="both"/>
        <w:rPr>
          <w:rFonts w:ascii="Palatino Linotype" w:hAnsi="Palatino Linotype" w:cs="Arial"/>
          <w:color w:val="000000"/>
          <w:sz w:val="24"/>
          <w:szCs w:val="24"/>
          <w:lang w:val="es-ES_tradnl"/>
        </w:rPr>
      </w:pPr>
    </w:p>
    <w:p w14:paraId="5A379884" w14:textId="435A9C88" w:rsidR="007C13DD" w:rsidRPr="00833366" w:rsidRDefault="00930238" w:rsidP="00A6185A">
      <w:pPr>
        <w:spacing w:after="240" w:line="360" w:lineRule="auto"/>
        <w:jc w:val="both"/>
        <w:rPr>
          <w:rFonts w:ascii="Palatino Linotype" w:hAnsi="Palatino Linotype" w:cs="Arial"/>
          <w:b/>
          <w:bCs/>
          <w:color w:val="000000"/>
          <w:sz w:val="24"/>
          <w:lang w:val="es-ES_tradnl"/>
        </w:rPr>
      </w:pPr>
      <w:r w:rsidRPr="00833366">
        <w:rPr>
          <w:rFonts w:ascii="Palatino Linotype" w:hAnsi="Palatino Linotype" w:cs="Arial"/>
          <w:color w:val="000000"/>
          <w:sz w:val="24"/>
          <w:lang w:val="es-ES_tradnl"/>
        </w:rPr>
        <w:t xml:space="preserve">Ahora bien, por cuanto hace a la dispersión de nómina de los meses de marzo, abril, mayo y junio 2025, se destaca que la información fue remitida en una incorrecta versión pública, al testar excesivamente el número de cuenta bancaria administrada por </w:t>
      </w:r>
      <w:r w:rsidRPr="00833366">
        <w:rPr>
          <w:rFonts w:ascii="Palatino Linotype" w:hAnsi="Palatino Linotype" w:cs="Arial"/>
          <w:b/>
          <w:bCs/>
          <w:color w:val="000000"/>
          <w:sz w:val="24"/>
          <w:lang w:val="es-ES_tradnl"/>
        </w:rPr>
        <w:t xml:space="preserve">El Sujeto Obligado. </w:t>
      </w:r>
    </w:p>
    <w:p w14:paraId="2140C606" w14:textId="77777777" w:rsidR="00E56447" w:rsidRPr="00833366" w:rsidRDefault="00E56447" w:rsidP="00E56447">
      <w:pPr>
        <w:spacing w:line="360" w:lineRule="auto"/>
        <w:jc w:val="both"/>
        <w:rPr>
          <w:rFonts w:ascii="Palatino Linotype" w:hAnsi="Palatino Linotype"/>
          <w:sz w:val="24"/>
          <w:szCs w:val="24"/>
        </w:rPr>
      </w:pPr>
      <w:r w:rsidRPr="00833366">
        <w:rPr>
          <w:rFonts w:ascii="Palatino Linotype" w:hAnsi="Palatino Linotype" w:cs="Arial"/>
          <w:color w:val="000000"/>
          <w:sz w:val="24"/>
          <w:szCs w:val="24"/>
          <w:lang w:val="es-ES_tradnl"/>
        </w:rPr>
        <w:t xml:space="preserve">Lo argumentado encuentra sustento en el criterio de interpretación </w:t>
      </w:r>
      <w:r w:rsidRPr="00833366">
        <w:rPr>
          <w:rFonts w:ascii="Palatino Linotype" w:hAnsi="Palatino Linotype"/>
          <w:sz w:val="24"/>
          <w:szCs w:val="24"/>
        </w:rPr>
        <w:t>SO/011/2017, emitido por el Instituto Nacional de Transparencia, Acceso a la Información y Protección de Datos Personales, INAI, que llevan por rubro y texto los siguientes:</w:t>
      </w:r>
    </w:p>
    <w:p w14:paraId="74BE5896" w14:textId="4BF1E25D" w:rsidR="00E56447" w:rsidRPr="00833366" w:rsidRDefault="00E56447" w:rsidP="00E56447">
      <w:pPr>
        <w:pStyle w:val="Citas"/>
        <w:rPr>
          <w:b/>
          <w:bCs/>
        </w:rPr>
      </w:pPr>
      <w:r w:rsidRPr="00833366">
        <w:rPr>
          <w:b/>
          <w:bCs/>
        </w:rPr>
        <w:t xml:space="preserve">“CUENTAS BANCARIAS Y/O CLABE INTERBANCARIA DE SUJETOS OBLIGADOS QUE RECIBEN Y/O TRANSFIEREN RECURSOS PÚBLICOS, SON INFORMACIÓN PÚBLICA. </w:t>
      </w:r>
    </w:p>
    <w:p w14:paraId="4AE55244" w14:textId="79DD8FD4" w:rsidR="00E56447" w:rsidRPr="00833366" w:rsidRDefault="00E56447" w:rsidP="00E56447">
      <w:pPr>
        <w:pStyle w:val="Citas"/>
        <w:rPr>
          <w:b/>
          <w:bCs/>
        </w:rPr>
      </w:pPr>
      <w:r w:rsidRPr="00833366">
        <w:t xml:space="preserve">La difusión de las cuentas bancarias y claves interbancarias pertenecientes a un sujeto obligado favorece la rendición de cuentas al transparentar la forma en que se </w:t>
      </w:r>
      <w:r w:rsidRPr="00833366">
        <w:lastRenderedPageBreak/>
        <w:t>administran los recursos públicos, razón por la cual no pueden considerarse como información clasificada.”</w:t>
      </w:r>
      <w:r w:rsidRPr="00833366">
        <w:rPr>
          <w:b/>
          <w:bCs/>
        </w:rPr>
        <w:t>(Sic)</w:t>
      </w:r>
    </w:p>
    <w:p w14:paraId="173A2D61" w14:textId="10C61D9D" w:rsidR="007C13DD" w:rsidRPr="00833366" w:rsidRDefault="007C13DD" w:rsidP="00A6185A">
      <w:pPr>
        <w:spacing w:after="240" w:line="360" w:lineRule="auto"/>
        <w:jc w:val="both"/>
        <w:rPr>
          <w:rFonts w:ascii="Palatino Linotype" w:hAnsi="Palatino Linotype" w:cs="Arial"/>
          <w:color w:val="000000"/>
          <w:sz w:val="24"/>
        </w:rPr>
      </w:pPr>
    </w:p>
    <w:p w14:paraId="6A346640" w14:textId="2A5E37E2" w:rsidR="00E56447" w:rsidRPr="00833366" w:rsidRDefault="00E56447" w:rsidP="00A6185A">
      <w:pPr>
        <w:spacing w:after="240" w:line="360" w:lineRule="auto"/>
        <w:jc w:val="both"/>
        <w:rPr>
          <w:rFonts w:ascii="Palatino Linotype" w:hAnsi="Palatino Linotype" w:cs="Arial"/>
          <w:color w:val="000000"/>
          <w:sz w:val="24"/>
        </w:rPr>
      </w:pPr>
      <w:r w:rsidRPr="00833366">
        <w:rPr>
          <w:rFonts w:ascii="Palatino Linotype" w:hAnsi="Palatino Linotype" w:cs="Arial"/>
          <w:color w:val="000000"/>
          <w:sz w:val="24"/>
        </w:rPr>
        <w:t xml:space="preserve">Ahora bien, por cuanto hace a la dispersión de nómina del mes de julio de dos mil veinticinco, se advierte que no fue materia de la respuesta primigenia. </w:t>
      </w:r>
    </w:p>
    <w:p w14:paraId="7F63DCDF" w14:textId="5B638E74" w:rsidR="004535E8" w:rsidRPr="00833366" w:rsidRDefault="00E56447" w:rsidP="00A6185A">
      <w:pPr>
        <w:spacing w:after="240" w:line="360" w:lineRule="auto"/>
        <w:jc w:val="both"/>
        <w:rPr>
          <w:rFonts w:ascii="Palatino Linotype" w:hAnsi="Palatino Linotype" w:cs="Arial"/>
          <w:color w:val="000000"/>
          <w:sz w:val="24"/>
          <w:lang w:val="es-ES_tradnl"/>
        </w:rPr>
      </w:pPr>
      <w:r w:rsidRPr="00833366">
        <w:rPr>
          <w:rFonts w:ascii="Palatino Linotype" w:hAnsi="Palatino Linotype" w:cs="Arial"/>
          <w:color w:val="000000"/>
          <w:sz w:val="24"/>
          <w:lang w:val="es-ES_tradnl"/>
        </w:rPr>
        <w:t xml:space="preserve">En referencia al requerimiento identificado con el numeral </w:t>
      </w:r>
      <w:r w:rsidRPr="00833366">
        <w:rPr>
          <w:rFonts w:ascii="Palatino Linotype" w:hAnsi="Palatino Linotype" w:cs="Arial"/>
          <w:b/>
          <w:bCs/>
          <w:color w:val="000000"/>
          <w:sz w:val="24"/>
          <w:lang w:val="es-ES_tradnl"/>
        </w:rPr>
        <w:t xml:space="preserve">2 -dos- </w:t>
      </w:r>
      <w:r w:rsidRPr="00833366">
        <w:rPr>
          <w:rFonts w:ascii="Palatino Linotype" w:hAnsi="Palatino Linotype" w:cs="Arial"/>
          <w:color w:val="000000"/>
          <w:sz w:val="24"/>
          <w:lang w:val="es-ES_tradnl"/>
        </w:rPr>
        <w:t>se advierte que la conciliación de nómina de los meses de enero, febrero, marzo, abril, mayo y junio de 2025 fueron remitidos</w:t>
      </w:r>
      <w:r w:rsidR="004535E8" w:rsidRPr="00833366">
        <w:rPr>
          <w:rFonts w:ascii="Palatino Linotype" w:hAnsi="Palatino Linotype" w:cs="Arial"/>
          <w:color w:val="000000"/>
          <w:sz w:val="24"/>
          <w:lang w:val="es-ES_tradnl"/>
        </w:rPr>
        <w:t xml:space="preserve">, sin embargo, los soportes documentales remitidos no son fieles a los formatos proporcionados por el órgano superior de fiscalización del Estado de México, es decir fueron “ocultas” algunas columnas para simplificar </w:t>
      </w:r>
      <w:r w:rsidR="00674A0D" w:rsidRPr="00833366">
        <w:rPr>
          <w:rFonts w:ascii="Palatino Linotype" w:hAnsi="Palatino Linotype" w:cs="Arial"/>
          <w:color w:val="000000"/>
          <w:sz w:val="24"/>
          <w:lang w:val="es-ES_tradnl"/>
        </w:rPr>
        <w:t xml:space="preserve">su contenido.  </w:t>
      </w:r>
    </w:p>
    <w:p w14:paraId="40B34C79" w14:textId="29AF42A5" w:rsidR="007C13DD" w:rsidRPr="00833366" w:rsidRDefault="00674A0D" w:rsidP="00A6185A">
      <w:pPr>
        <w:spacing w:after="240" w:line="360" w:lineRule="auto"/>
        <w:jc w:val="both"/>
        <w:rPr>
          <w:rFonts w:ascii="Palatino Linotype" w:hAnsi="Palatino Linotype" w:cs="Arial"/>
          <w:color w:val="000000"/>
          <w:sz w:val="24"/>
          <w:lang w:val="es-ES_tradnl"/>
        </w:rPr>
      </w:pPr>
      <w:r w:rsidRPr="00833366">
        <w:rPr>
          <w:rFonts w:ascii="Palatino Linotype" w:hAnsi="Palatino Linotype" w:cs="Arial"/>
          <w:color w:val="000000"/>
          <w:sz w:val="24"/>
          <w:lang w:val="es-ES_tradnl"/>
        </w:rPr>
        <w:t>Por otra parte</w:t>
      </w:r>
      <w:r w:rsidR="00E56447" w:rsidRPr="00833366">
        <w:rPr>
          <w:rFonts w:ascii="Palatino Linotype" w:hAnsi="Palatino Linotype" w:cs="Arial"/>
          <w:color w:val="000000"/>
          <w:sz w:val="24"/>
          <w:lang w:val="es-ES_tradnl"/>
        </w:rPr>
        <w:t xml:space="preserve">, no fue remitida la información requerida correspondiente al mes de julio de dos mil veinticinco. </w:t>
      </w:r>
    </w:p>
    <w:p w14:paraId="32EAC8AA" w14:textId="238515BA" w:rsidR="00E56447" w:rsidRPr="00833366" w:rsidRDefault="00E56447" w:rsidP="00A6185A">
      <w:pPr>
        <w:spacing w:after="240" w:line="360" w:lineRule="auto"/>
        <w:jc w:val="both"/>
        <w:rPr>
          <w:rFonts w:ascii="Palatino Linotype" w:hAnsi="Palatino Linotype" w:cs="Arial"/>
          <w:color w:val="000000"/>
          <w:sz w:val="24"/>
          <w:lang w:val="es-ES_tradnl"/>
        </w:rPr>
      </w:pPr>
      <w:r w:rsidRPr="00833366">
        <w:rPr>
          <w:rFonts w:ascii="Palatino Linotype" w:hAnsi="Palatino Linotype" w:cs="Arial"/>
          <w:color w:val="000000"/>
          <w:sz w:val="24"/>
          <w:lang w:val="es-ES_tradnl"/>
        </w:rPr>
        <w:t xml:space="preserve">En suma, por las razones expuestas los requerimientos </w:t>
      </w:r>
      <w:r w:rsidRPr="00833366">
        <w:rPr>
          <w:rFonts w:ascii="Palatino Linotype" w:hAnsi="Palatino Linotype" w:cs="Arial"/>
          <w:b/>
          <w:bCs/>
          <w:color w:val="000000"/>
          <w:sz w:val="24"/>
          <w:lang w:val="es-ES_tradnl"/>
        </w:rPr>
        <w:t xml:space="preserve">1 -uno- </w:t>
      </w:r>
      <w:r w:rsidRPr="00833366">
        <w:rPr>
          <w:rFonts w:ascii="Palatino Linotype" w:hAnsi="Palatino Linotype" w:cs="Arial"/>
          <w:color w:val="000000"/>
          <w:sz w:val="24"/>
          <w:lang w:val="es-ES_tradnl"/>
        </w:rPr>
        <w:t xml:space="preserve">y </w:t>
      </w:r>
      <w:r w:rsidRPr="00833366">
        <w:rPr>
          <w:rFonts w:ascii="Palatino Linotype" w:hAnsi="Palatino Linotype" w:cs="Arial"/>
          <w:b/>
          <w:bCs/>
          <w:color w:val="000000"/>
          <w:sz w:val="24"/>
          <w:lang w:val="es-ES_tradnl"/>
        </w:rPr>
        <w:t xml:space="preserve">2 -dos- </w:t>
      </w:r>
      <w:r w:rsidRPr="00833366">
        <w:rPr>
          <w:rFonts w:ascii="Palatino Linotype" w:hAnsi="Palatino Linotype" w:cs="Arial"/>
          <w:color w:val="000000"/>
          <w:sz w:val="24"/>
          <w:lang w:val="es-ES_tradnl"/>
        </w:rPr>
        <w:t xml:space="preserve">se tienen por atendidos en términos parciales. </w:t>
      </w:r>
    </w:p>
    <w:p w14:paraId="5151175A" w14:textId="3C63A127" w:rsidR="00E56447" w:rsidRPr="00833366" w:rsidRDefault="00C721BE" w:rsidP="00C721BE">
      <w:pPr>
        <w:pStyle w:val="Prrafodelista"/>
        <w:spacing w:after="240" w:line="360" w:lineRule="auto"/>
        <w:ind w:left="0"/>
        <w:jc w:val="both"/>
        <w:rPr>
          <w:rFonts w:ascii="Palatino Linotype" w:hAnsi="Palatino Linotype"/>
        </w:rPr>
      </w:pPr>
      <w:r w:rsidRPr="00833366">
        <w:rPr>
          <w:rFonts w:ascii="Palatino Linotype" w:hAnsi="Palatino Linotype"/>
        </w:rPr>
        <w:t xml:space="preserve">Inconforme con la respuesta del </w:t>
      </w:r>
      <w:r w:rsidRPr="00833366">
        <w:rPr>
          <w:rFonts w:ascii="Palatino Linotype" w:hAnsi="Palatino Linotype"/>
          <w:b/>
          <w:bCs/>
        </w:rPr>
        <w:t xml:space="preserve">Sujeto Obligado, El Recurrente </w:t>
      </w:r>
      <w:r w:rsidRPr="00833366">
        <w:rPr>
          <w:rFonts w:ascii="Palatino Linotype" w:hAnsi="Palatino Linotype"/>
        </w:rPr>
        <w:t xml:space="preserve">interpuso recurso de revisión en fecha </w:t>
      </w:r>
      <w:r w:rsidR="00E56447" w:rsidRPr="00833366">
        <w:rPr>
          <w:rFonts w:ascii="Palatino Linotype" w:hAnsi="Palatino Linotype"/>
          <w:b/>
          <w:bCs/>
        </w:rPr>
        <w:t xml:space="preserve">uno de septiembre de dos mil veinticinco. </w:t>
      </w:r>
      <w:r w:rsidR="00E56447" w:rsidRPr="00833366">
        <w:rPr>
          <w:rFonts w:ascii="Palatino Linotype" w:hAnsi="Palatino Linotype"/>
        </w:rPr>
        <w:t>Señalando como acto impugnado y como razones o motivos de inconformidad:</w:t>
      </w:r>
    </w:p>
    <w:p w14:paraId="77D709AF" w14:textId="77777777" w:rsidR="00E56447" w:rsidRPr="00833366" w:rsidRDefault="00E56447" w:rsidP="00E56447">
      <w:pPr>
        <w:spacing w:before="240" w:line="360" w:lineRule="auto"/>
        <w:jc w:val="both"/>
        <w:rPr>
          <w:rFonts w:ascii="Palatino Linotype" w:hAnsi="Palatino Linotype" w:cs="Arial"/>
          <w:b/>
          <w:sz w:val="24"/>
        </w:rPr>
      </w:pPr>
      <w:r w:rsidRPr="00833366">
        <w:rPr>
          <w:rFonts w:ascii="Palatino Linotype" w:hAnsi="Palatino Linotype" w:cs="Arial"/>
          <w:b/>
          <w:sz w:val="24"/>
        </w:rPr>
        <w:t>Acto Impugnado:</w:t>
      </w:r>
    </w:p>
    <w:p w14:paraId="0F9B7F3B" w14:textId="77777777" w:rsidR="00E56447" w:rsidRPr="00833366" w:rsidRDefault="00E56447" w:rsidP="00E56447">
      <w:pPr>
        <w:pStyle w:val="Citas"/>
        <w:rPr>
          <w:b/>
          <w:bCs/>
          <w:sz w:val="24"/>
        </w:rPr>
      </w:pPr>
      <w:r w:rsidRPr="00833366">
        <w:t xml:space="preserve">“Respuesta” </w:t>
      </w:r>
      <w:r w:rsidRPr="00833366">
        <w:rPr>
          <w:b/>
          <w:bCs/>
        </w:rPr>
        <w:t>(Sic)</w:t>
      </w:r>
    </w:p>
    <w:p w14:paraId="5B6CA943" w14:textId="77777777" w:rsidR="00E56447" w:rsidRPr="00833366" w:rsidRDefault="00E56447" w:rsidP="00E56447">
      <w:pPr>
        <w:spacing w:before="240" w:line="360" w:lineRule="auto"/>
        <w:jc w:val="both"/>
        <w:rPr>
          <w:rFonts w:ascii="Palatino Linotype" w:hAnsi="Palatino Linotype" w:cs="Arial"/>
          <w:sz w:val="24"/>
        </w:rPr>
      </w:pPr>
      <w:r w:rsidRPr="00833366">
        <w:rPr>
          <w:rFonts w:ascii="Palatino Linotype" w:hAnsi="Palatino Linotype" w:cs="Arial"/>
          <w:b/>
          <w:sz w:val="24"/>
        </w:rPr>
        <w:lastRenderedPageBreak/>
        <w:t>Razones o Motivos de Inconformidad</w:t>
      </w:r>
      <w:r w:rsidRPr="00833366">
        <w:rPr>
          <w:rFonts w:ascii="Palatino Linotype" w:hAnsi="Palatino Linotype" w:cs="Arial"/>
          <w:sz w:val="24"/>
        </w:rPr>
        <w:t xml:space="preserve">: </w:t>
      </w:r>
    </w:p>
    <w:p w14:paraId="72A65D55" w14:textId="77777777" w:rsidR="00E56447" w:rsidRPr="00833366" w:rsidRDefault="00E56447" w:rsidP="00E56447">
      <w:pPr>
        <w:pStyle w:val="Citas"/>
        <w:rPr>
          <w:b/>
          <w:bCs/>
        </w:rPr>
      </w:pPr>
      <w:r w:rsidRPr="00833366">
        <w:t xml:space="preserve">“No remiten lo solicitado” </w:t>
      </w:r>
      <w:r w:rsidRPr="00833366">
        <w:rPr>
          <w:b/>
          <w:bCs/>
        </w:rPr>
        <w:t>(Sic)</w:t>
      </w:r>
    </w:p>
    <w:p w14:paraId="4CC7C381" w14:textId="77777777" w:rsidR="00E56447" w:rsidRPr="00833366" w:rsidRDefault="00E56447" w:rsidP="00C721BE">
      <w:pPr>
        <w:pStyle w:val="Prrafodelista"/>
        <w:spacing w:after="240" w:line="360" w:lineRule="auto"/>
        <w:ind w:left="0"/>
        <w:jc w:val="both"/>
        <w:rPr>
          <w:rFonts w:ascii="Palatino Linotype" w:hAnsi="Palatino Linotype"/>
          <w:lang w:val="es-MX"/>
        </w:rPr>
      </w:pPr>
    </w:p>
    <w:p w14:paraId="4B95A2CA" w14:textId="5E8414EF" w:rsidR="00C721BE" w:rsidRPr="00833366" w:rsidRDefault="00C721BE" w:rsidP="00C721BE">
      <w:pPr>
        <w:pStyle w:val="infoemcitas"/>
        <w:tabs>
          <w:tab w:val="left" w:pos="7655"/>
        </w:tabs>
        <w:ind w:left="0" w:right="0"/>
        <w:rPr>
          <w:rFonts w:cs="Arial"/>
          <w:i w:val="0"/>
          <w:color w:val="000000"/>
          <w:sz w:val="24"/>
          <w:lang w:eastAsia="es-MX"/>
        </w:rPr>
      </w:pPr>
      <w:r w:rsidRPr="00833366">
        <w:rPr>
          <w:i w:val="0"/>
          <w:sz w:val="24"/>
          <w:szCs w:val="24"/>
        </w:rPr>
        <w:t xml:space="preserve">Así las cosas, hasta aquí lo expuesto, resulta inconcuso que </w:t>
      </w:r>
      <w:r w:rsidRPr="00833366">
        <w:rPr>
          <w:b/>
          <w:i w:val="0"/>
          <w:sz w:val="24"/>
          <w:szCs w:val="24"/>
        </w:rPr>
        <w:t xml:space="preserve">El Sujeto Obligado </w:t>
      </w:r>
      <w:r w:rsidRPr="00833366">
        <w:rPr>
          <w:rFonts w:cs="Arial"/>
          <w:i w:val="0"/>
          <w:color w:val="000000"/>
          <w:sz w:val="24"/>
          <w:lang w:eastAsia="es-MX"/>
        </w:rPr>
        <w:t xml:space="preserve">no satisfizo el derecho de acceso a la información pública ejercido por </w:t>
      </w:r>
      <w:r w:rsidRPr="00833366">
        <w:rPr>
          <w:rFonts w:cs="Arial"/>
          <w:b/>
          <w:i w:val="0"/>
          <w:color w:val="000000"/>
          <w:sz w:val="24"/>
          <w:lang w:eastAsia="es-MX"/>
        </w:rPr>
        <w:t xml:space="preserve">El Recurrente, </w:t>
      </w:r>
      <w:r w:rsidRPr="00833366">
        <w:rPr>
          <w:rFonts w:cs="Arial"/>
          <w:i w:val="0"/>
          <w:color w:val="000000"/>
          <w:sz w:val="24"/>
          <w:lang w:eastAsia="es-MX"/>
        </w:rPr>
        <w:t xml:space="preserve">al tenerse por actualizada la hipótesis prevista en el artículo 179, </w:t>
      </w:r>
      <w:r w:rsidR="00E56447" w:rsidRPr="00833366">
        <w:rPr>
          <w:rFonts w:cs="Arial"/>
          <w:i w:val="0"/>
          <w:color w:val="000000"/>
          <w:sz w:val="24"/>
          <w:lang w:eastAsia="es-MX"/>
        </w:rPr>
        <w:t>fracción I</w:t>
      </w:r>
      <w:r w:rsidRPr="00833366">
        <w:rPr>
          <w:rFonts w:cs="Arial"/>
          <w:i w:val="0"/>
          <w:color w:val="000000"/>
          <w:sz w:val="24"/>
          <w:lang w:eastAsia="es-MX"/>
        </w:rPr>
        <w:t xml:space="preserve"> de la Ley de Transparencia y Acceso a la Información Pública del Estado de México y Municipios, cuyo contenido literal es el siguiente:</w:t>
      </w:r>
    </w:p>
    <w:p w14:paraId="4692F0FB" w14:textId="77777777" w:rsidR="00C721BE" w:rsidRPr="00833366" w:rsidRDefault="00C721BE" w:rsidP="00C721BE">
      <w:pPr>
        <w:pStyle w:val="Citas"/>
      </w:pPr>
      <w:r w:rsidRPr="00833366">
        <w:t>“Artículo 179. El recurso de revisión es un medio de protección que la Ley otorga a los particulares, para hacer valer su derecho de acceso a la información pública, y procederá en contra de las siguientes causas:</w:t>
      </w:r>
    </w:p>
    <w:p w14:paraId="0E339F9C" w14:textId="77777777" w:rsidR="00C721BE" w:rsidRPr="00833366" w:rsidRDefault="00C721BE" w:rsidP="00C721BE">
      <w:pPr>
        <w:pStyle w:val="Citas"/>
      </w:pPr>
      <w:r w:rsidRPr="00833366">
        <w:t>I. La negativa a la información solicitada;</w:t>
      </w:r>
    </w:p>
    <w:p w14:paraId="6D7ECFA7" w14:textId="77777777" w:rsidR="00C721BE" w:rsidRPr="00833366" w:rsidRDefault="00C721BE" w:rsidP="00C721BE">
      <w:pPr>
        <w:pStyle w:val="Citas"/>
        <w:rPr>
          <w:b/>
          <w:bCs/>
          <w:color w:val="000000"/>
          <w:sz w:val="24"/>
          <w:lang w:eastAsia="es-MX"/>
        </w:rPr>
      </w:pPr>
      <w:r w:rsidRPr="00833366">
        <w:rPr>
          <w:color w:val="000000"/>
          <w:sz w:val="24"/>
          <w:lang w:eastAsia="es-MX"/>
        </w:rPr>
        <w:t xml:space="preserve">(…)” </w:t>
      </w:r>
      <w:r w:rsidRPr="00833366">
        <w:rPr>
          <w:b/>
          <w:bCs/>
          <w:color w:val="000000"/>
          <w:sz w:val="24"/>
          <w:lang w:eastAsia="es-MX"/>
        </w:rPr>
        <w:t>(Sic)</w:t>
      </w:r>
    </w:p>
    <w:p w14:paraId="3DD18DC0" w14:textId="77777777" w:rsidR="009F00BC" w:rsidRPr="00833366" w:rsidRDefault="009F00BC" w:rsidP="00C721BE">
      <w:pPr>
        <w:tabs>
          <w:tab w:val="left" w:pos="709"/>
        </w:tabs>
        <w:spacing w:after="0" w:line="360" w:lineRule="auto"/>
        <w:jc w:val="both"/>
        <w:rPr>
          <w:rFonts w:ascii="Palatino Linotype" w:hAnsi="Palatino Linotype"/>
          <w:iCs/>
          <w:sz w:val="24"/>
          <w:szCs w:val="24"/>
        </w:rPr>
      </w:pPr>
    </w:p>
    <w:p w14:paraId="71DBF3FB" w14:textId="161D96AD" w:rsidR="00B14A17" w:rsidRPr="00833366" w:rsidRDefault="00C721BE" w:rsidP="00364A97">
      <w:pPr>
        <w:tabs>
          <w:tab w:val="left" w:pos="709"/>
        </w:tabs>
        <w:spacing w:after="0" w:line="360" w:lineRule="auto"/>
        <w:jc w:val="both"/>
        <w:rPr>
          <w:rFonts w:ascii="Palatino Linotype" w:hAnsi="Palatino Linotype"/>
          <w:iCs/>
          <w:sz w:val="24"/>
          <w:szCs w:val="24"/>
        </w:rPr>
      </w:pPr>
      <w:r w:rsidRPr="00833366">
        <w:rPr>
          <w:rFonts w:ascii="Palatino Linotype" w:hAnsi="Palatino Linotype"/>
          <w:iCs/>
          <w:sz w:val="24"/>
          <w:szCs w:val="24"/>
        </w:rPr>
        <w:t xml:space="preserve">Por otra parte, como fue referido en el antecedente </w:t>
      </w:r>
      <w:r w:rsidR="00E87FEC" w:rsidRPr="00833366">
        <w:rPr>
          <w:rFonts w:ascii="Palatino Linotype" w:hAnsi="Palatino Linotype"/>
          <w:iCs/>
          <w:sz w:val="24"/>
          <w:szCs w:val="24"/>
        </w:rPr>
        <w:t>quinto</w:t>
      </w:r>
      <w:r w:rsidRPr="00833366">
        <w:rPr>
          <w:rFonts w:ascii="Palatino Linotype" w:hAnsi="Palatino Linotype"/>
          <w:iCs/>
          <w:sz w:val="24"/>
          <w:szCs w:val="24"/>
        </w:rPr>
        <w:t xml:space="preserve">, </w:t>
      </w:r>
      <w:r w:rsidRPr="00833366">
        <w:rPr>
          <w:rFonts w:ascii="Palatino Linotype" w:hAnsi="Palatino Linotype"/>
          <w:b/>
          <w:bCs/>
          <w:iCs/>
          <w:sz w:val="24"/>
          <w:szCs w:val="24"/>
        </w:rPr>
        <w:t xml:space="preserve">El Sujeto Obligado </w:t>
      </w:r>
      <w:r w:rsidR="00364A97" w:rsidRPr="00833366">
        <w:rPr>
          <w:rFonts w:ascii="Palatino Linotype" w:hAnsi="Palatino Linotype"/>
          <w:iCs/>
          <w:sz w:val="24"/>
          <w:szCs w:val="24"/>
        </w:rPr>
        <w:t>fue omiso en rendir su informe justificado, es decir, no fue subsanada la violación al derecho de acceso a la información pública.</w:t>
      </w:r>
    </w:p>
    <w:p w14:paraId="69A33B61" w14:textId="77777777" w:rsidR="00364A97" w:rsidRPr="00833366" w:rsidRDefault="00364A97" w:rsidP="00364A97">
      <w:pPr>
        <w:tabs>
          <w:tab w:val="left" w:pos="709"/>
        </w:tabs>
        <w:spacing w:after="0" w:line="360" w:lineRule="auto"/>
        <w:jc w:val="both"/>
        <w:rPr>
          <w:rFonts w:ascii="Palatino Linotype" w:hAnsi="Palatino Linotype"/>
          <w:iCs/>
          <w:sz w:val="24"/>
          <w:szCs w:val="24"/>
        </w:rPr>
      </w:pPr>
    </w:p>
    <w:p w14:paraId="3F254FFC" w14:textId="35787813" w:rsidR="00364A97" w:rsidRPr="00833366" w:rsidRDefault="00364A97" w:rsidP="00364A97">
      <w:pPr>
        <w:tabs>
          <w:tab w:val="left" w:pos="709"/>
        </w:tabs>
        <w:spacing w:after="0" w:line="360" w:lineRule="auto"/>
        <w:jc w:val="both"/>
        <w:rPr>
          <w:rFonts w:ascii="Palatino Linotype" w:hAnsi="Palatino Linotype"/>
          <w:iCs/>
          <w:sz w:val="24"/>
          <w:szCs w:val="24"/>
        </w:rPr>
      </w:pPr>
      <w:r w:rsidRPr="00833366">
        <w:rPr>
          <w:rFonts w:ascii="Palatino Linotype" w:hAnsi="Palatino Linotype"/>
          <w:iCs/>
          <w:sz w:val="24"/>
          <w:szCs w:val="24"/>
        </w:rPr>
        <w:t>Con base en lo anteriormente expuesto, resulta procedente ordenar una búsqueda exhaustiva y razonable, a efecto de hacer entrega de la siguiente información:</w:t>
      </w:r>
    </w:p>
    <w:p w14:paraId="281BD2DB" w14:textId="20989FBD" w:rsidR="00364A97" w:rsidRPr="00833366" w:rsidRDefault="00364A97">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833366">
        <w:rPr>
          <w:rFonts w:ascii="Palatino Linotype" w:hAnsi="Palatino Linotype" w:cs="Arial"/>
        </w:rPr>
        <w:lastRenderedPageBreak/>
        <w:t>Dispersión de nómina, del periodo comprendido del uno de marzo al treinta de junio de dos mil veinticinco, remitido mediante respuesta en correcta versión pública</w:t>
      </w:r>
      <w:r w:rsidR="00BE544C" w:rsidRPr="00833366">
        <w:rPr>
          <w:rFonts w:ascii="Palatino Linotype" w:hAnsi="Palatino Linotype" w:cs="Arial"/>
        </w:rPr>
        <w:t xml:space="preserve">. </w:t>
      </w:r>
    </w:p>
    <w:p w14:paraId="475C9788" w14:textId="4C54B354" w:rsidR="005178DE" w:rsidRPr="00833366" w:rsidRDefault="00364A97">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833366">
        <w:rPr>
          <w:rFonts w:ascii="Palatino Linotype" w:hAnsi="Palatino Linotype" w:cs="Arial"/>
        </w:rPr>
        <w:t xml:space="preserve">Dispersión de nómina, del periodo comprendido del uno </w:t>
      </w:r>
      <w:r w:rsidR="005178DE" w:rsidRPr="00833366">
        <w:rPr>
          <w:rFonts w:ascii="Palatino Linotype" w:hAnsi="Palatino Linotype" w:cs="Arial"/>
        </w:rPr>
        <w:t xml:space="preserve">al treinta y uno de julio de dos mil veinticinco. </w:t>
      </w:r>
    </w:p>
    <w:p w14:paraId="077EEBF1" w14:textId="1B26CBAB" w:rsidR="00674A0D" w:rsidRPr="00833366" w:rsidRDefault="00674A0D" w:rsidP="00674A0D">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833366">
        <w:rPr>
          <w:rFonts w:ascii="Palatino Linotype" w:hAnsi="Palatino Linotype" w:cs="Arial"/>
        </w:rPr>
        <w:t>Conciliación de nómina</w:t>
      </w:r>
      <w:r w:rsidR="005178DE" w:rsidRPr="00833366">
        <w:rPr>
          <w:rFonts w:ascii="Palatino Linotype" w:hAnsi="Palatino Linotype" w:cs="Arial"/>
        </w:rPr>
        <w:t xml:space="preserve"> completa</w:t>
      </w:r>
      <w:r w:rsidRPr="00833366">
        <w:rPr>
          <w:rFonts w:ascii="Palatino Linotype" w:hAnsi="Palatino Linotype" w:cs="Arial"/>
        </w:rPr>
        <w:t xml:space="preserve">, del periodo comprendido del uno de enero al </w:t>
      </w:r>
      <w:r w:rsidR="00E87FEC" w:rsidRPr="00833366">
        <w:rPr>
          <w:rFonts w:ascii="Palatino Linotype" w:hAnsi="Palatino Linotype" w:cs="Arial"/>
        </w:rPr>
        <w:t xml:space="preserve">treinta y uno de julio de dos mil veinticinco. </w:t>
      </w:r>
      <w:r w:rsidRPr="00833366">
        <w:rPr>
          <w:rFonts w:ascii="Palatino Linotype" w:hAnsi="Palatino Linotype" w:cs="Arial"/>
        </w:rPr>
        <w:t xml:space="preserve"> </w:t>
      </w:r>
    </w:p>
    <w:p w14:paraId="42C0AE66" w14:textId="77777777" w:rsidR="00364A97" w:rsidRPr="00833366" w:rsidRDefault="00364A97" w:rsidP="00364A97">
      <w:pPr>
        <w:tabs>
          <w:tab w:val="left" w:pos="709"/>
        </w:tabs>
        <w:spacing w:after="0" w:line="360" w:lineRule="auto"/>
        <w:jc w:val="both"/>
        <w:rPr>
          <w:rFonts w:ascii="Palatino Linotype" w:hAnsi="Palatino Linotype"/>
          <w:iCs/>
          <w:sz w:val="24"/>
          <w:szCs w:val="24"/>
          <w:lang w:val="es-ES"/>
        </w:rPr>
      </w:pPr>
    </w:p>
    <w:p w14:paraId="513AA30C" w14:textId="77777777" w:rsidR="00364A97" w:rsidRPr="00833366" w:rsidRDefault="00364A97" w:rsidP="00364A97">
      <w:pPr>
        <w:tabs>
          <w:tab w:val="left" w:pos="709"/>
        </w:tabs>
        <w:spacing w:after="0" w:line="360" w:lineRule="auto"/>
        <w:jc w:val="both"/>
        <w:rPr>
          <w:rFonts w:ascii="Palatino Linotype" w:hAnsi="Palatino Linotype" w:cs="Arial"/>
          <w:b/>
          <w:bCs/>
          <w:color w:val="000000"/>
        </w:rPr>
      </w:pPr>
    </w:p>
    <w:p w14:paraId="47C8B345" w14:textId="1941315E" w:rsidR="002E2475" w:rsidRPr="00833366" w:rsidRDefault="002E2475" w:rsidP="00364A97">
      <w:pPr>
        <w:tabs>
          <w:tab w:val="left" w:pos="709"/>
        </w:tabs>
        <w:spacing w:after="0" w:line="360" w:lineRule="auto"/>
        <w:jc w:val="both"/>
        <w:rPr>
          <w:rFonts w:ascii="Palatino Linotype" w:hAnsi="Palatino Linotype" w:cs="Arial"/>
          <w:b/>
          <w:bCs/>
          <w:color w:val="000000"/>
          <w:sz w:val="24"/>
          <w:szCs w:val="24"/>
        </w:rPr>
      </w:pPr>
      <w:r w:rsidRPr="00833366">
        <w:rPr>
          <w:rFonts w:ascii="Palatino Linotype" w:hAnsi="Palatino Linotype" w:cs="Arial"/>
          <w:b/>
          <w:bCs/>
          <w:color w:val="000000"/>
          <w:sz w:val="24"/>
          <w:szCs w:val="24"/>
        </w:rPr>
        <w:t>DE LA VERSIÓN PÚBLICA</w:t>
      </w:r>
    </w:p>
    <w:p w14:paraId="454C929A" w14:textId="77777777" w:rsidR="005030F2" w:rsidRPr="00833366" w:rsidRDefault="005030F2" w:rsidP="005030F2">
      <w:pPr>
        <w:tabs>
          <w:tab w:val="left" w:pos="7938"/>
        </w:tabs>
        <w:spacing w:before="240" w:after="240" w:line="360" w:lineRule="auto"/>
        <w:jc w:val="both"/>
        <w:rPr>
          <w:rFonts w:ascii="Palatino Linotype" w:eastAsia="Arial Unicode MS" w:hAnsi="Palatino Linotype" w:cs="Arial"/>
          <w:sz w:val="24"/>
          <w:szCs w:val="24"/>
        </w:rPr>
      </w:pPr>
      <w:bookmarkStart w:id="7" w:name="_Hlk147324223"/>
      <w:r w:rsidRPr="00833366">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A0FEFB" w14:textId="77777777" w:rsidR="005030F2" w:rsidRPr="00833366" w:rsidRDefault="005030F2" w:rsidP="005030F2">
      <w:pPr>
        <w:spacing w:before="240" w:line="360" w:lineRule="auto"/>
        <w:ind w:left="851" w:right="851"/>
        <w:jc w:val="both"/>
        <w:rPr>
          <w:rFonts w:ascii="Palatino Linotype" w:hAnsi="Palatino Linotype" w:cs="Arial"/>
          <w:i/>
        </w:rPr>
      </w:pPr>
      <w:r w:rsidRPr="00833366">
        <w:rPr>
          <w:rFonts w:ascii="Palatino Linotype" w:hAnsi="Palatino Linotype" w:cs="Arial"/>
          <w:i/>
        </w:rPr>
        <w:t>“Artículo 3. Para los efectos de la presente Ley se entenderá por:</w:t>
      </w:r>
    </w:p>
    <w:p w14:paraId="2C629F47" w14:textId="77777777" w:rsidR="005030F2" w:rsidRPr="00833366" w:rsidRDefault="005030F2" w:rsidP="005030F2">
      <w:pPr>
        <w:spacing w:before="240" w:line="360" w:lineRule="auto"/>
        <w:ind w:left="851" w:right="851"/>
        <w:jc w:val="both"/>
        <w:rPr>
          <w:rFonts w:ascii="Palatino Linotype" w:hAnsi="Palatino Linotype" w:cs="Arial"/>
          <w:i/>
        </w:rPr>
      </w:pPr>
      <w:r w:rsidRPr="00833366">
        <w:rPr>
          <w:rFonts w:ascii="Palatino Linotype" w:hAnsi="Palatino Linotype" w:cs="Arial"/>
          <w:i/>
        </w:rPr>
        <w:t>(…)</w:t>
      </w:r>
    </w:p>
    <w:p w14:paraId="5E853431" w14:textId="77777777" w:rsidR="005030F2" w:rsidRPr="00833366" w:rsidRDefault="005030F2" w:rsidP="005030F2">
      <w:pPr>
        <w:spacing w:before="240" w:line="360" w:lineRule="auto"/>
        <w:ind w:left="851" w:right="851"/>
        <w:jc w:val="both"/>
        <w:rPr>
          <w:rFonts w:ascii="Palatino Linotype" w:hAnsi="Palatino Linotype" w:cs="Arial"/>
          <w:b/>
          <w:i/>
        </w:rPr>
      </w:pPr>
      <w:r w:rsidRPr="00833366">
        <w:rPr>
          <w:rFonts w:ascii="Palatino Linotype" w:hAnsi="Palatino Linotype" w:cs="Arial"/>
          <w:b/>
          <w:i/>
          <w:u w:val="single"/>
        </w:rPr>
        <w:lastRenderedPageBreak/>
        <w:t>IX. Datos personales:</w:t>
      </w:r>
      <w:r w:rsidRPr="00833366">
        <w:rPr>
          <w:rFonts w:ascii="Palatino Linotype" w:hAnsi="Palatino Linotype" w:cs="Arial"/>
          <w:b/>
          <w:i/>
        </w:rPr>
        <w:t xml:space="preserve"> </w:t>
      </w:r>
      <w:r w:rsidRPr="00833366">
        <w:rPr>
          <w:rFonts w:ascii="Palatino Linotype" w:hAnsi="Palatino Linotype" w:cs="Arial"/>
          <w:i/>
        </w:rPr>
        <w:t>La información concerniente a una persona, identificada o identificable según lo dispuesto por la Ley de Protección de Datos Personales del Estado de México;</w:t>
      </w:r>
    </w:p>
    <w:p w14:paraId="37302DFE" w14:textId="77777777" w:rsidR="005030F2" w:rsidRPr="00833366" w:rsidRDefault="005030F2" w:rsidP="005030F2">
      <w:pPr>
        <w:spacing w:before="240" w:line="360" w:lineRule="auto"/>
        <w:ind w:left="851" w:right="851"/>
        <w:jc w:val="both"/>
        <w:rPr>
          <w:rFonts w:ascii="Palatino Linotype" w:hAnsi="Palatino Linotype" w:cs="Arial"/>
          <w:b/>
          <w:i/>
        </w:rPr>
      </w:pPr>
      <w:r w:rsidRPr="00833366">
        <w:rPr>
          <w:rFonts w:ascii="Palatino Linotype" w:hAnsi="Palatino Linotype" w:cs="Arial"/>
          <w:b/>
          <w:i/>
        </w:rPr>
        <w:t>(…)</w:t>
      </w:r>
    </w:p>
    <w:p w14:paraId="4E613C38" w14:textId="77777777" w:rsidR="005030F2" w:rsidRPr="00833366" w:rsidRDefault="005030F2" w:rsidP="005030F2">
      <w:pPr>
        <w:spacing w:before="240" w:line="360" w:lineRule="auto"/>
        <w:ind w:left="851" w:right="851"/>
        <w:jc w:val="both"/>
        <w:rPr>
          <w:rFonts w:ascii="Palatino Linotype" w:hAnsi="Palatino Linotype" w:cs="Arial"/>
          <w:b/>
          <w:i/>
        </w:rPr>
      </w:pPr>
      <w:r w:rsidRPr="00833366">
        <w:rPr>
          <w:rFonts w:ascii="Palatino Linotype" w:hAnsi="Palatino Linotype" w:cs="Arial"/>
          <w:b/>
          <w:i/>
          <w:u w:val="single"/>
        </w:rPr>
        <w:t>XLV. Versión pública:</w:t>
      </w:r>
      <w:r w:rsidRPr="00833366">
        <w:rPr>
          <w:rFonts w:ascii="Palatino Linotype" w:hAnsi="Palatino Linotype" w:cs="Arial"/>
          <w:b/>
          <w:i/>
        </w:rPr>
        <w:t xml:space="preserve"> </w:t>
      </w:r>
      <w:r w:rsidRPr="00833366">
        <w:rPr>
          <w:rFonts w:ascii="Palatino Linotype" w:hAnsi="Palatino Linotype" w:cs="Arial"/>
          <w:i/>
        </w:rPr>
        <w:t>Documento en el que se elimine, suprime o borra la información clasificada como reservada o confidencial para permitir su acceso.</w:t>
      </w:r>
    </w:p>
    <w:p w14:paraId="03500D1C" w14:textId="77777777" w:rsidR="005030F2" w:rsidRPr="00833366" w:rsidRDefault="005030F2" w:rsidP="005030F2">
      <w:pPr>
        <w:spacing w:before="240" w:line="360" w:lineRule="auto"/>
        <w:ind w:left="851" w:right="851"/>
        <w:jc w:val="both"/>
        <w:rPr>
          <w:rFonts w:ascii="Palatino Linotype" w:hAnsi="Palatino Linotype" w:cs="Arial"/>
          <w:b/>
          <w:i/>
        </w:rPr>
      </w:pPr>
      <w:r w:rsidRPr="00833366">
        <w:rPr>
          <w:rFonts w:ascii="Palatino Linotype" w:hAnsi="Palatino Linotype" w:cs="Arial"/>
          <w:i/>
        </w:rPr>
        <w:t xml:space="preserve">Artículo 122. </w:t>
      </w:r>
      <w:r w:rsidRPr="00833366">
        <w:rPr>
          <w:rFonts w:ascii="Palatino Linotype" w:hAnsi="Palatino Linotype" w:cs="Arial"/>
          <w:b/>
          <w:i/>
          <w:u w:val="single"/>
        </w:rPr>
        <w:t xml:space="preserve">La clasificación es el proceso mediante el cual el sujeto obligado determina que la información en su poder </w:t>
      </w:r>
      <w:proofErr w:type="spellStart"/>
      <w:r w:rsidRPr="00833366">
        <w:rPr>
          <w:rFonts w:ascii="Palatino Linotype" w:hAnsi="Palatino Linotype" w:cs="Arial"/>
          <w:b/>
          <w:i/>
          <w:u w:val="single"/>
        </w:rPr>
        <w:t>actualiza</w:t>
      </w:r>
      <w:proofErr w:type="spellEnd"/>
      <w:r w:rsidRPr="00833366">
        <w:rPr>
          <w:rFonts w:ascii="Palatino Linotype" w:hAnsi="Palatino Linotype" w:cs="Arial"/>
          <w:b/>
          <w:i/>
          <w:u w:val="single"/>
        </w:rPr>
        <w:t xml:space="preserve"> alguno de los supuestos de reserva o confidencialidad, de conformidad con lo dispuesto en el presente título.</w:t>
      </w:r>
    </w:p>
    <w:p w14:paraId="311399B4" w14:textId="77777777" w:rsidR="005030F2" w:rsidRPr="00833366" w:rsidRDefault="005030F2" w:rsidP="005030F2">
      <w:pPr>
        <w:spacing w:before="240" w:line="360" w:lineRule="auto"/>
        <w:ind w:left="851" w:right="851"/>
        <w:jc w:val="both"/>
        <w:rPr>
          <w:rFonts w:ascii="Palatino Linotype" w:hAnsi="Palatino Linotype" w:cs="Arial"/>
          <w:i/>
        </w:rPr>
      </w:pPr>
      <w:r w:rsidRPr="00833366">
        <w:rPr>
          <w:rFonts w:ascii="Palatino Linotype" w:hAnsi="Palatino Linotype" w:cs="Arial"/>
          <w:i/>
        </w:rPr>
        <w:t>[…]</w:t>
      </w:r>
    </w:p>
    <w:p w14:paraId="57FC6083" w14:textId="77777777" w:rsidR="005030F2" w:rsidRPr="00833366" w:rsidRDefault="005030F2" w:rsidP="005030F2">
      <w:pPr>
        <w:spacing w:before="240" w:line="360" w:lineRule="auto"/>
        <w:ind w:left="851" w:right="851"/>
        <w:jc w:val="both"/>
        <w:rPr>
          <w:rFonts w:ascii="Palatino Linotype" w:hAnsi="Palatino Linotype" w:cs="Arial"/>
          <w:i/>
        </w:rPr>
      </w:pPr>
      <w:r w:rsidRPr="00833366">
        <w:rPr>
          <w:rFonts w:ascii="Palatino Linotype" w:hAnsi="Palatino Linotype" w:cs="Arial"/>
          <w:i/>
        </w:rPr>
        <w:t>Artículo 132. La clasificación de la información se llevará a cabo en el momento en que:</w:t>
      </w:r>
    </w:p>
    <w:p w14:paraId="080F756F" w14:textId="77777777" w:rsidR="005030F2" w:rsidRPr="00833366" w:rsidRDefault="005030F2" w:rsidP="005030F2">
      <w:pPr>
        <w:spacing w:before="240" w:line="360" w:lineRule="auto"/>
        <w:ind w:left="851" w:right="851"/>
        <w:jc w:val="both"/>
        <w:rPr>
          <w:rFonts w:ascii="Palatino Linotype" w:hAnsi="Palatino Linotype" w:cs="Arial"/>
          <w:i/>
        </w:rPr>
      </w:pPr>
      <w:r w:rsidRPr="00833366">
        <w:rPr>
          <w:rFonts w:ascii="Palatino Linotype" w:hAnsi="Palatino Linotype" w:cs="Arial"/>
          <w:i/>
        </w:rPr>
        <w:t>[…]</w:t>
      </w:r>
    </w:p>
    <w:p w14:paraId="5418CFC1" w14:textId="77777777" w:rsidR="005030F2" w:rsidRPr="00833366" w:rsidRDefault="005030F2" w:rsidP="005030F2">
      <w:pPr>
        <w:spacing w:before="240" w:line="360" w:lineRule="auto"/>
        <w:ind w:left="851" w:right="851"/>
        <w:jc w:val="both"/>
        <w:rPr>
          <w:rFonts w:ascii="Palatino Linotype" w:hAnsi="Palatino Linotype" w:cs="Arial"/>
          <w:b/>
          <w:i/>
          <w:u w:val="single"/>
        </w:rPr>
      </w:pPr>
      <w:r w:rsidRPr="00833366">
        <w:rPr>
          <w:rFonts w:ascii="Palatino Linotype" w:hAnsi="Palatino Linotype" w:cs="Arial"/>
          <w:b/>
          <w:i/>
          <w:u w:val="single"/>
        </w:rPr>
        <w:t>II. Se determine mediante resolución de autoridad competente; o</w:t>
      </w:r>
    </w:p>
    <w:p w14:paraId="56E7144D" w14:textId="77777777" w:rsidR="005030F2" w:rsidRPr="00833366" w:rsidRDefault="005030F2" w:rsidP="005030F2">
      <w:pPr>
        <w:spacing w:before="240" w:line="360" w:lineRule="auto"/>
        <w:ind w:left="851" w:right="851"/>
        <w:jc w:val="both"/>
        <w:rPr>
          <w:rFonts w:ascii="Palatino Linotype" w:hAnsi="Palatino Linotype" w:cs="Arial"/>
          <w:b/>
          <w:i/>
        </w:rPr>
      </w:pPr>
      <w:r w:rsidRPr="00833366">
        <w:rPr>
          <w:rFonts w:ascii="Palatino Linotype" w:hAnsi="Palatino Linotype" w:cs="Arial"/>
          <w:b/>
          <w:i/>
        </w:rPr>
        <w:t>(…)</w:t>
      </w:r>
    </w:p>
    <w:p w14:paraId="7A02AB1B" w14:textId="77777777" w:rsidR="005030F2" w:rsidRPr="00833366" w:rsidRDefault="005030F2" w:rsidP="005030F2">
      <w:pPr>
        <w:spacing w:before="240" w:line="360" w:lineRule="auto"/>
        <w:ind w:left="851" w:right="851"/>
        <w:jc w:val="both"/>
        <w:rPr>
          <w:rFonts w:ascii="Palatino Linotype" w:hAnsi="Palatino Linotype" w:cs="Arial"/>
          <w:b/>
          <w:i/>
        </w:rPr>
      </w:pPr>
      <w:r w:rsidRPr="00833366">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833366">
        <w:rPr>
          <w:rFonts w:ascii="Palatino Linotype" w:hAnsi="Palatino Linotype" w:cs="Arial"/>
          <w:i/>
        </w:rPr>
        <w:lastRenderedPageBreak/>
        <w:t>se testen las partes o secciones clasificadas, indicando su contenido</w:t>
      </w:r>
      <w:r w:rsidRPr="00833366">
        <w:rPr>
          <w:rFonts w:ascii="Palatino Linotype" w:hAnsi="Palatino Linotype" w:cs="Arial"/>
          <w:b/>
          <w:i/>
        </w:rPr>
        <w:t xml:space="preserve"> </w:t>
      </w:r>
      <w:r w:rsidRPr="00833366">
        <w:rPr>
          <w:rFonts w:ascii="Palatino Linotype" w:hAnsi="Palatino Linotype" w:cs="Arial"/>
          <w:b/>
          <w:i/>
          <w:u w:val="single"/>
        </w:rPr>
        <w:t xml:space="preserve">de manera genérica y fundando y motivando su clasificación.” </w:t>
      </w:r>
      <w:r w:rsidRPr="00833366">
        <w:rPr>
          <w:rFonts w:ascii="Palatino Linotype" w:hAnsi="Palatino Linotype" w:cs="Arial"/>
          <w:b/>
          <w:i/>
        </w:rPr>
        <w:t>[Sic]</w:t>
      </w:r>
    </w:p>
    <w:p w14:paraId="536B228B" w14:textId="77777777" w:rsidR="005030F2" w:rsidRPr="00833366" w:rsidRDefault="005030F2" w:rsidP="005030F2">
      <w:pPr>
        <w:spacing w:after="0" w:line="360" w:lineRule="auto"/>
        <w:ind w:right="51"/>
        <w:jc w:val="both"/>
        <w:rPr>
          <w:rFonts w:ascii="Palatino Linotype" w:eastAsia="Arial Unicode MS" w:hAnsi="Palatino Linotype" w:cs="Arial"/>
          <w:sz w:val="24"/>
          <w:szCs w:val="24"/>
        </w:rPr>
      </w:pPr>
    </w:p>
    <w:p w14:paraId="50191286" w14:textId="77777777" w:rsidR="005030F2" w:rsidRPr="00833366" w:rsidRDefault="005030F2" w:rsidP="005030F2">
      <w:pPr>
        <w:spacing w:after="0" w:line="360" w:lineRule="auto"/>
        <w:ind w:right="51"/>
        <w:jc w:val="both"/>
        <w:rPr>
          <w:rFonts w:ascii="Palatino Linotype" w:hAnsi="Palatino Linotype" w:cs="Arial"/>
          <w:sz w:val="24"/>
          <w:szCs w:val="24"/>
        </w:rPr>
      </w:pPr>
      <w:r w:rsidRPr="00833366">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833366">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CE88B53" w14:textId="77777777" w:rsidR="005030F2" w:rsidRPr="00833366" w:rsidRDefault="005030F2" w:rsidP="005030F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833366">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035D787" w14:textId="77777777" w:rsidR="005030F2" w:rsidRPr="00833366" w:rsidRDefault="005030F2" w:rsidP="005030F2">
      <w:pPr>
        <w:spacing w:before="240" w:after="240" w:line="360" w:lineRule="auto"/>
        <w:ind w:right="-91"/>
        <w:jc w:val="both"/>
        <w:rPr>
          <w:rFonts w:ascii="Palatino Linotype" w:eastAsia="Times New Roman" w:hAnsi="Palatino Linotype" w:cs="Arial"/>
          <w:sz w:val="24"/>
          <w:szCs w:val="24"/>
          <w:lang w:eastAsia="es-MX"/>
        </w:rPr>
      </w:pPr>
      <w:r w:rsidRPr="00833366">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C9A30EF" w14:textId="77777777" w:rsidR="005030F2" w:rsidRPr="00833366" w:rsidRDefault="005030F2" w:rsidP="005030F2">
      <w:pPr>
        <w:spacing w:before="240" w:after="240" w:line="360" w:lineRule="auto"/>
        <w:ind w:right="-91"/>
        <w:jc w:val="both"/>
        <w:rPr>
          <w:rFonts w:ascii="Palatino Linotype" w:eastAsia="Times New Roman" w:hAnsi="Palatino Linotype" w:cs="Arial"/>
          <w:sz w:val="24"/>
          <w:szCs w:val="24"/>
          <w:lang w:eastAsia="es-MX"/>
        </w:rPr>
      </w:pPr>
      <w:r w:rsidRPr="00833366">
        <w:rPr>
          <w:rFonts w:ascii="Palatino Linotype" w:eastAsia="Times New Roman" w:hAnsi="Palatino Linotype" w:cs="Arial"/>
          <w:sz w:val="24"/>
          <w:szCs w:val="24"/>
          <w:lang w:eastAsia="es-MX"/>
        </w:rPr>
        <w:t xml:space="preserve">Lo anterior es compartido por el ahora </w:t>
      </w:r>
      <w:r w:rsidRPr="00833366">
        <w:rPr>
          <w:rFonts w:ascii="Palatino Linotype" w:eastAsia="Times New Roman" w:hAnsi="Palatino Linotype" w:cs="Arial"/>
          <w:b/>
          <w:bCs/>
          <w:sz w:val="24"/>
          <w:szCs w:val="24"/>
          <w:lang w:eastAsia="es-MX"/>
        </w:rPr>
        <w:t>Instituto Nacional de Transparencia, Acceso a la Información y Protección de Datos Personales</w:t>
      </w:r>
      <w:r w:rsidRPr="00833366">
        <w:rPr>
          <w:rFonts w:ascii="Palatino Linotype" w:eastAsia="Times New Roman" w:hAnsi="Palatino Linotype" w:cs="Arial"/>
          <w:sz w:val="24"/>
          <w:szCs w:val="24"/>
          <w:lang w:eastAsia="es-MX"/>
        </w:rPr>
        <w:t xml:space="preserve"> (INAI), conforme al criterio </w:t>
      </w:r>
      <w:r w:rsidRPr="00833366">
        <w:rPr>
          <w:rFonts w:ascii="Palatino Linotype" w:eastAsia="Times New Roman" w:hAnsi="Palatino Linotype" w:cs="Arial"/>
          <w:b/>
          <w:sz w:val="24"/>
          <w:szCs w:val="24"/>
          <w:lang w:eastAsia="es-MX"/>
        </w:rPr>
        <w:t>19/17,</w:t>
      </w:r>
      <w:r w:rsidRPr="00833366">
        <w:rPr>
          <w:rFonts w:ascii="Palatino Linotype" w:eastAsia="Times New Roman" w:hAnsi="Palatino Linotype" w:cs="Arial"/>
          <w:sz w:val="24"/>
          <w:szCs w:val="24"/>
          <w:lang w:eastAsia="es-MX"/>
        </w:rPr>
        <w:t xml:space="preserve"> el cual es del tenor literal siguiente:</w:t>
      </w:r>
    </w:p>
    <w:p w14:paraId="625400F6" w14:textId="77777777" w:rsidR="005030F2" w:rsidRPr="00833366" w:rsidRDefault="005030F2" w:rsidP="005030F2">
      <w:pPr>
        <w:autoSpaceDE w:val="0"/>
        <w:autoSpaceDN w:val="0"/>
        <w:adjustRightInd w:val="0"/>
        <w:spacing w:before="240" w:line="360" w:lineRule="auto"/>
        <w:ind w:left="851" w:right="851"/>
        <w:jc w:val="center"/>
        <w:rPr>
          <w:rFonts w:ascii="Palatino Linotype" w:eastAsia="Times New Roman" w:hAnsi="Palatino Linotype" w:cs="Arial"/>
          <w:b/>
          <w:bCs/>
          <w:i/>
        </w:rPr>
      </w:pPr>
      <w:r w:rsidRPr="00833366">
        <w:rPr>
          <w:rFonts w:ascii="Palatino Linotype" w:eastAsia="Times New Roman" w:hAnsi="Palatino Linotype" w:cs="Arial"/>
          <w:bCs/>
          <w:i/>
        </w:rPr>
        <w:lastRenderedPageBreak/>
        <w:t>“</w:t>
      </w:r>
      <w:r w:rsidRPr="00833366">
        <w:rPr>
          <w:rFonts w:ascii="Palatino Linotype" w:eastAsia="Times New Roman" w:hAnsi="Palatino Linotype" w:cs="Arial"/>
          <w:b/>
          <w:bCs/>
          <w:i/>
        </w:rPr>
        <w:t>REGISTRO FEDERAL DE CONTRIBUYENTES (RFC) DE PERSONAS FÍSICAS.</w:t>
      </w:r>
    </w:p>
    <w:p w14:paraId="4BB5C9CA"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bCs/>
          <w:i/>
        </w:rPr>
      </w:pPr>
      <w:r w:rsidRPr="00833366">
        <w:rPr>
          <w:rFonts w:ascii="Palatino Linotype" w:eastAsia="Times New Roman" w:hAnsi="Palatino Linotype" w:cs="Arial"/>
          <w:bCs/>
          <w:i/>
        </w:rPr>
        <w:t xml:space="preserve">El RFC es una clave de carácter fiscal, </w:t>
      </w:r>
      <w:proofErr w:type="gramStart"/>
      <w:r w:rsidRPr="00833366">
        <w:rPr>
          <w:rFonts w:ascii="Palatino Linotype" w:eastAsia="Times New Roman" w:hAnsi="Palatino Linotype" w:cs="Arial"/>
          <w:bCs/>
          <w:i/>
        </w:rPr>
        <w:t>única</w:t>
      </w:r>
      <w:proofErr w:type="gramEnd"/>
      <w:r w:rsidRPr="00833366">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80B1DDB"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b/>
          <w:i/>
        </w:rPr>
      </w:pPr>
      <w:r w:rsidRPr="00833366">
        <w:rPr>
          <w:rFonts w:ascii="Palatino Linotype" w:eastAsia="Times New Roman" w:hAnsi="Palatino Linotype" w:cs="Arial"/>
          <w:b/>
          <w:i/>
        </w:rPr>
        <w:t>Resoluciones:</w:t>
      </w:r>
    </w:p>
    <w:p w14:paraId="7D851B5E"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833366">
        <w:rPr>
          <w:rFonts w:ascii="Palatino Linotype" w:eastAsia="Times New Roman" w:hAnsi="Palatino Linotype" w:cs="Arial"/>
          <w:b/>
          <w:i/>
        </w:rPr>
        <w:t xml:space="preserve">RRA </w:t>
      </w:r>
      <w:r w:rsidRPr="00833366">
        <w:rPr>
          <w:rFonts w:ascii="Palatino Linotype" w:eastAsia="Times New Roman" w:hAnsi="Palatino Linotype" w:cs="Arial"/>
          <w:b/>
          <w:i/>
          <w:lang w:val="es-ES"/>
        </w:rPr>
        <w:t xml:space="preserve">0189/17. </w:t>
      </w:r>
      <w:r w:rsidRPr="00833366">
        <w:rPr>
          <w:rFonts w:ascii="Palatino Linotype" w:eastAsia="Times New Roman" w:hAnsi="Palatino Linotype" w:cs="Arial"/>
          <w:i/>
          <w:lang w:val="es-ES"/>
        </w:rPr>
        <w:t xml:space="preserve">Morena. 08 de febrero de 2017. Por unanimidad. Comisionado Ponente </w:t>
      </w:r>
      <w:r w:rsidRPr="00833366">
        <w:rPr>
          <w:rFonts w:ascii="Palatino Linotype" w:eastAsia="Times New Roman" w:hAnsi="Palatino Linotype" w:cs="Arial"/>
          <w:i/>
        </w:rPr>
        <w:t>Joel Salas Suárez.</w:t>
      </w:r>
    </w:p>
    <w:p w14:paraId="7677E9EB"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833366">
        <w:rPr>
          <w:rFonts w:ascii="Palatino Linotype" w:eastAsia="Times New Roman" w:hAnsi="Palatino Linotype" w:cs="Arial"/>
          <w:b/>
          <w:i/>
        </w:rPr>
        <w:t xml:space="preserve">RRA </w:t>
      </w:r>
      <w:r w:rsidRPr="00833366">
        <w:rPr>
          <w:rFonts w:ascii="Palatino Linotype" w:eastAsia="Times New Roman" w:hAnsi="Palatino Linotype" w:cs="Arial"/>
          <w:b/>
          <w:bCs/>
          <w:i/>
        </w:rPr>
        <w:t>0677</w:t>
      </w:r>
      <w:r w:rsidRPr="00833366">
        <w:rPr>
          <w:rFonts w:ascii="Palatino Linotype" w:eastAsia="Times New Roman" w:hAnsi="Palatino Linotype" w:cs="Arial"/>
          <w:b/>
          <w:i/>
        </w:rPr>
        <w:t xml:space="preserve">/17. </w:t>
      </w:r>
      <w:r w:rsidRPr="00833366">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833366">
        <w:rPr>
          <w:rFonts w:ascii="Palatino Linotype" w:eastAsia="Times New Roman" w:hAnsi="Palatino Linotype" w:cs="Arial"/>
          <w:i/>
          <w:lang w:val="es-ES"/>
        </w:rPr>
        <w:t>Rosendoevgueni</w:t>
      </w:r>
      <w:proofErr w:type="spellEnd"/>
      <w:r w:rsidRPr="00833366">
        <w:rPr>
          <w:rFonts w:ascii="Palatino Linotype" w:eastAsia="Times New Roman" w:hAnsi="Palatino Linotype" w:cs="Arial"/>
          <w:i/>
          <w:lang w:val="es-ES"/>
        </w:rPr>
        <w:t xml:space="preserve"> Monterrey </w:t>
      </w:r>
      <w:proofErr w:type="spellStart"/>
      <w:r w:rsidRPr="00833366">
        <w:rPr>
          <w:rFonts w:ascii="Palatino Linotype" w:eastAsia="Times New Roman" w:hAnsi="Palatino Linotype" w:cs="Arial"/>
          <w:i/>
          <w:lang w:val="es-ES"/>
        </w:rPr>
        <w:t>Chepov</w:t>
      </w:r>
      <w:proofErr w:type="spellEnd"/>
      <w:r w:rsidRPr="00833366">
        <w:rPr>
          <w:rFonts w:ascii="Palatino Linotype" w:eastAsia="Times New Roman" w:hAnsi="Palatino Linotype" w:cs="Arial"/>
          <w:i/>
        </w:rPr>
        <w:t>.</w:t>
      </w:r>
      <w:r w:rsidRPr="00833366">
        <w:rPr>
          <w:rFonts w:ascii="Palatino Linotype" w:eastAsia="Times New Roman" w:hAnsi="Palatino Linotype" w:cs="Arial"/>
          <w:b/>
          <w:i/>
        </w:rPr>
        <w:t xml:space="preserve"> </w:t>
      </w:r>
    </w:p>
    <w:p w14:paraId="7155D77A"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833366">
        <w:rPr>
          <w:rFonts w:ascii="Palatino Linotype" w:eastAsia="Times New Roman" w:hAnsi="Palatino Linotype" w:cs="Arial"/>
          <w:b/>
          <w:i/>
        </w:rPr>
        <w:t>RRA</w:t>
      </w:r>
      <w:r w:rsidRPr="00833366">
        <w:rPr>
          <w:rFonts w:ascii="Palatino Linotype" w:eastAsia="Times New Roman" w:hAnsi="Palatino Linotype" w:cs="Arial"/>
          <w:i/>
          <w:lang w:val="es-ES"/>
        </w:rPr>
        <w:t xml:space="preserve"> </w:t>
      </w:r>
      <w:r w:rsidRPr="00833366">
        <w:rPr>
          <w:rFonts w:ascii="Palatino Linotype" w:eastAsia="Times New Roman" w:hAnsi="Palatino Linotype" w:cs="Arial"/>
          <w:b/>
          <w:i/>
        </w:rPr>
        <w:t xml:space="preserve">1564/17. </w:t>
      </w:r>
      <w:r w:rsidRPr="00833366">
        <w:rPr>
          <w:rFonts w:ascii="Palatino Linotype" w:eastAsia="Times New Roman" w:hAnsi="Palatino Linotype" w:cs="Arial"/>
          <w:i/>
          <w:lang w:val="es-ES"/>
        </w:rPr>
        <w:t>Tribunal Electoral del Poder Judicial de la Federación</w:t>
      </w:r>
      <w:r w:rsidRPr="00833366">
        <w:rPr>
          <w:rFonts w:ascii="Palatino Linotype" w:eastAsia="Times New Roman" w:hAnsi="Palatino Linotype" w:cs="Arial"/>
          <w:i/>
        </w:rPr>
        <w:t xml:space="preserve">. 26 de abril de 2017. Por unanimidad. Comisionado Ponente Oscar Mauricio Guerra Ford.” </w:t>
      </w:r>
      <w:r w:rsidRPr="00833366">
        <w:rPr>
          <w:rFonts w:ascii="Palatino Linotype" w:eastAsia="Times New Roman" w:hAnsi="Palatino Linotype" w:cs="Arial"/>
          <w:b/>
          <w:i/>
        </w:rPr>
        <w:t>[Sic]</w:t>
      </w:r>
    </w:p>
    <w:p w14:paraId="05384DF2" w14:textId="77777777" w:rsidR="005030F2" w:rsidRPr="00833366" w:rsidRDefault="005030F2" w:rsidP="005030F2">
      <w:pPr>
        <w:autoSpaceDE w:val="0"/>
        <w:autoSpaceDN w:val="0"/>
        <w:adjustRightInd w:val="0"/>
        <w:spacing w:before="120" w:after="120"/>
        <w:ind w:left="567" w:right="850"/>
        <w:jc w:val="both"/>
        <w:rPr>
          <w:rFonts w:ascii="Palatino Linotype" w:eastAsia="Times New Roman" w:hAnsi="Palatino Linotype" w:cs="Arial"/>
          <w:i/>
        </w:rPr>
      </w:pPr>
    </w:p>
    <w:p w14:paraId="5C1302AC" w14:textId="77777777" w:rsidR="005030F2" w:rsidRPr="00833366" w:rsidRDefault="005030F2" w:rsidP="005030F2">
      <w:pPr>
        <w:spacing w:before="240" w:after="240" w:line="360" w:lineRule="auto"/>
        <w:jc w:val="both"/>
        <w:rPr>
          <w:rFonts w:ascii="Palatino Linotype" w:hAnsi="Palatino Linotype" w:cs="Arial"/>
          <w:sz w:val="24"/>
          <w:szCs w:val="24"/>
          <w:lang w:eastAsia="es-MX"/>
        </w:rPr>
      </w:pPr>
      <w:r w:rsidRPr="00833366">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833366">
        <w:rPr>
          <w:rFonts w:ascii="Palatino Linotype" w:hAnsi="Palatino Linotype" w:cs="Arial"/>
          <w:sz w:val="24"/>
          <w:szCs w:val="24"/>
          <w:lang w:eastAsia="es-MX"/>
        </w:rPr>
        <w:t>homoclave</w:t>
      </w:r>
      <w:proofErr w:type="spellEnd"/>
      <w:r w:rsidRPr="00833366">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05A5E71" w14:textId="77777777" w:rsidR="005030F2" w:rsidRPr="00833366" w:rsidRDefault="005030F2" w:rsidP="005030F2">
      <w:pPr>
        <w:spacing w:before="240" w:after="240" w:line="360" w:lineRule="auto"/>
        <w:jc w:val="both"/>
        <w:rPr>
          <w:rFonts w:ascii="Palatino Linotype" w:eastAsia="Calibri" w:hAnsi="Palatino Linotype" w:cs="Arial"/>
          <w:sz w:val="24"/>
          <w:szCs w:val="24"/>
          <w:lang w:eastAsia="es-MX"/>
        </w:rPr>
      </w:pPr>
      <w:r w:rsidRPr="00833366">
        <w:rPr>
          <w:rFonts w:ascii="Palatino Linotype" w:hAnsi="Palatino Linotype" w:cs="Arial"/>
          <w:sz w:val="24"/>
          <w:szCs w:val="24"/>
          <w:lang w:eastAsia="es-MX"/>
        </w:rPr>
        <w:t xml:space="preserve">En cuanto a la </w:t>
      </w:r>
      <w:r w:rsidRPr="00833366">
        <w:rPr>
          <w:rFonts w:ascii="Palatino Linotype" w:hAnsi="Palatino Linotype" w:cs="Arial"/>
          <w:sz w:val="24"/>
          <w:szCs w:val="24"/>
        </w:rPr>
        <w:t xml:space="preserve">Clave Única de Registro de Población (CURP) en virtud de que éste se </w:t>
      </w:r>
      <w:r w:rsidRPr="00833366">
        <w:rPr>
          <w:rFonts w:ascii="Palatino Linotype" w:eastAsia="Calibri" w:hAnsi="Palatino Linotype" w:cs="Arial"/>
          <w:sz w:val="24"/>
          <w:szCs w:val="24"/>
          <w:lang w:eastAsia="es-MX"/>
        </w:rPr>
        <w:t xml:space="preserve">integra por datos personales que únicamente le conciernen a un particular como son </w:t>
      </w:r>
      <w:r w:rsidRPr="00833366">
        <w:rPr>
          <w:rFonts w:ascii="Palatino Linotype" w:eastAsia="Calibri" w:hAnsi="Palatino Linotype" w:cs="Arial"/>
          <w:sz w:val="24"/>
          <w:szCs w:val="24"/>
          <w:lang w:eastAsia="es-MX"/>
        </w:rPr>
        <w:lastRenderedPageBreak/>
        <w:t>su fecha de nacimiento, su nombre, sus apellidos y su lugar de nacimiento; información que permite distinguirlo del resto de los habitantes, se considera que es de carácter confidencial.</w:t>
      </w:r>
    </w:p>
    <w:p w14:paraId="05E60CB7" w14:textId="77777777" w:rsidR="005030F2" w:rsidRPr="00833366" w:rsidRDefault="005030F2" w:rsidP="005030F2">
      <w:pPr>
        <w:spacing w:before="240" w:after="240" w:line="360" w:lineRule="auto"/>
        <w:ind w:right="-91"/>
        <w:jc w:val="both"/>
        <w:rPr>
          <w:rFonts w:ascii="Palatino Linotype" w:eastAsia="Times New Roman" w:hAnsi="Palatino Linotype" w:cs="Arial"/>
          <w:sz w:val="24"/>
          <w:szCs w:val="24"/>
        </w:rPr>
      </w:pPr>
      <w:r w:rsidRPr="00833366">
        <w:rPr>
          <w:rFonts w:ascii="Palatino Linotype" w:hAnsi="Palatino Linotype" w:cs="Arial"/>
          <w:sz w:val="24"/>
          <w:szCs w:val="24"/>
        </w:rPr>
        <w:t xml:space="preserve">Argumento que es compartido por el </w:t>
      </w:r>
      <w:r w:rsidRPr="00833366">
        <w:rPr>
          <w:rStyle w:val="Textoennegrita"/>
          <w:rFonts w:ascii="Palatino Linotype" w:hAnsi="Palatino Linotype" w:cs="Arial"/>
          <w:sz w:val="24"/>
          <w:szCs w:val="24"/>
        </w:rPr>
        <w:t xml:space="preserve">Instituto Nacional de Transparencia, Acceso a la Información y Protección de Datos Personales, conforme al </w:t>
      </w:r>
      <w:r w:rsidRPr="00833366">
        <w:rPr>
          <w:rFonts w:ascii="Palatino Linotype" w:eastAsia="Times New Roman" w:hAnsi="Palatino Linotype" w:cs="Arial"/>
          <w:sz w:val="24"/>
          <w:szCs w:val="24"/>
        </w:rPr>
        <w:t xml:space="preserve">criterio número 18/17 el cual refiere: </w:t>
      </w:r>
    </w:p>
    <w:p w14:paraId="65827F07" w14:textId="77777777" w:rsidR="005030F2" w:rsidRPr="00833366" w:rsidRDefault="005030F2" w:rsidP="005030F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833366">
        <w:rPr>
          <w:rFonts w:ascii="Palatino Linotype" w:eastAsia="Times New Roman" w:hAnsi="Palatino Linotype" w:cs="Arial"/>
          <w:bCs/>
          <w:i/>
          <w:lang w:eastAsia="es-MX"/>
        </w:rPr>
        <w:t>“</w:t>
      </w:r>
      <w:r w:rsidRPr="00833366">
        <w:rPr>
          <w:rFonts w:ascii="Palatino Linotype" w:eastAsia="Times New Roman" w:hAnsi="Palatino Linotype" w:cs="Arial"/>
          <w:b/>
          <w:bCs/>
          <w:i/>
          <w:lang w:eastAsia="es-MX"/>
        </w:rPr>
        <w:t>CLAVE ÚNICA DE REGISTRO DE POBLACIÓN (CURP).</w:t>
      </w:r>
    </w:p>
    <w:p w14:paraId="5A50125F"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833366">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CDDB6C1"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33366">
        <w:rPr>
          <w:rFonts w:ascii="Palatino Linotype" w:eastAsia="Times New Roman" w:hAnsi="Palatino Linotype" w:cs="Arial"/>
          <w:i/>
          <w:lang w:eastAsia="es-MX"/>
        </w:rPr>
        <w:t xml:space="preserve"> </w:t>
      </w:r>
      <w:r w:rsidRPr="00833366">
        <w:rPr>
          <w:rFonts w:ascii="Palatino Linotype" w:eastAsia="Times New Roman" w:hAnsi="Palatino Linotype" w:cs="Arial"/>
          <w:b/>
          <w:i/>
          <w:lang w:eastAsia="es-MX"/>
        </w:rPr>
        <w:t>Resoluciones:</w:t>
      </w:r>
    </w:p>
    <w:p w14:paraId="70B8E7B2"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33366">
        <w:rPr>
          <w:rFonts w:ascii="Palatino Linotype" w:eastAsia="Times New Roman" w:hAnsi="Palatino Linotype" w:cs="Arial"/>
          <w:b/>
          <w:i/>
          <w:lang w:eastAsia="es-MX"/>
        </w:rPr>
        <w:t xml:space="preserve">RRA 3995/16. </w:t>
      </w:r>
      <w:r w:rsidRPr="00833366">
        <w:rPr>
          <w:rFonts w:ascii="Palatino Linotype" w:eastAsia="Times New Roman" w:hAnsi="Palatino Linotype" w:cs="Arial"/>
          <w:i/>
          <w:lang w:eastAsia="es-MX"/>
        </w:rPr>
        <w:t xml:space="preserve">Secretaría de la Defensa Nacional. 1 de febrero de 2017. Por unanimidad. Comisionado Ponente </w:t>
      </w:r>
      <w:proofErr w:type="spellStart"/>
      <w:r w:rsidRPr="00833366">
        <w:rPr>
          <w:rFonts w:ascii="Palatino Linotype" w:eastAsia="Times New Roman" w:hAnsi="Palatino Linotype" w:cs="Arial"/>
          <w:i/>
          <w:lang w:eastAsia="es-MX"/>
        </w:rPr>
        <w:t>Rosendoevgueni</w:t>
      </w:r>
      <w:proofErr w:type="spellEnd"/>
      <w:r w:rsidRPr="00833366">
        <w:rPr>
          <w:rFonts w:ascii="Palatino Linotype" w:eastAsia="Times New Roman" w:hAnsi="Palatino Linotype" w:cs="Arial"/>
          <w:i/>
          <w:lang w:eastAsia="es-MX"/>
        </w:rPr>
        <w:t xml:space="preserve"> Monterrey </w:t>
      </w:r>
      <w:proofErr w:type="spellStart"/>
      <w:r w:rsidRPr="00833366">
        <w:rPr>
          <w:rFonts w:ascii="Palatino Linotype" w:eastAsia="Times New Roman" w:hAnsi="Palatino Linotype" w:cs="Arial"/>
          <w:i/>
          <w:lang w:eastAsia="es-MX"/>
        </w:rPr>
        <w:t>Chepov</w:t>
      </w:r>
      <w:proofErr w:type="spellEnd"/>
      <w:r w:rsidRPr="00833366">
        <w:rPr>
          <w:rFonts w:ascii="Palatino Linotype" w:eastAsia="Times New Roman" w:hAnsi="Palatino Linotype" w:cs="Arial"/>
          <w:i/>
          <w:lang w:eastAsia="es-MX"/>
        </w:rPr>
        <w:t>.</w:t>
      </w:r>
    </w:p>
    <w:p w14:paraId="009D92DA"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33366">
        <w:rPr>
          <w:rFonts w:ascii="Palatino Linotype" w:eastAsia="Times New Roman" w:hAnsi="Palatino Linotype" w:cs="Arial"/>
          <w:b/>
          <w:i/>
          <w:lang w:eastAsia="es-MX"/>
        </w:rPr>
        <w:t xml:space="preserve">RRA </w:t>
      </w:r>
      <w:r w:rsidRPr="00833366">
        <w:rPr>
          <w:rFonts w:ascii="Palatino Linotype" w:eastAsia="Times New Roman" w:hAnsi="Palatino Linotype" w:cs="Arial"/>
          <w:b/>
          <w:bCs/>
          <w:i/>
          <w:lang w:eastAsia="es-MX"/>
        </w:rPr>
        <w:t xml:space="preserve">0937/17. </w:t>
      </w:r>
      <w:r w:rsidRPr="00833366">
        <w:rPr>
          <w:rFonts w:ascii="Palatino Linotype" w:eastAsia="Times New Roman" w:hAnsi="Palatino Linotype" w:cs="Arial"/>
          <w:bCs/>
          <w:i/>
          <w:lang w:eastAsia="es-MX"/>
        </w:rPr>
        <w:t xml:space="preserve">Senado de la República. </w:t>
      </w:r>
      <w:r w:rsidRPr="00833366">
        <w:rPr>
          <w:rFonts w:ascii="Palatino Linotype" w:eastAsia="Times New Roman" w:hAnsi="Palatino Linotype" w:cs="Arial"/>
          <w:bCs/>
          <w:i/>
          <w:lang w:val="es-ES_tradnl" w:eastAsia="es-MX"/>
        </w:rPr>
        <w:t xml:space="preserve">15 de marzo de 2017. Por unanimidad. Comisionada Ponente Ximena Puente de la Mora. </w:t>
      </w:r>
    </w:p>
    <w:p w14:paraId="381759FC" w14:textId="77777777" w:rsidR="005030F2" w:rsidRPr="00833366" w:rsidRDefault="005030F2" w:rsidP="005030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33366">
        <w:rPr>
          <w:rFonts w:ascii="Palatino Linotype" w:eastAsia="Times New Roman" w:hAnsi="Palatino Linotype" w:cs="Arial"/>
          <w:b/>
          <w:i/>
          <w:lang w:eastAsia="es-MX"/>
        </w:rPr>
        <w:t xml:space="preserve">RRA 0478/17. </w:t>
      </w:r>
      <w:r w:rsidRPr="00833366">
        <w:rPr>
          <w:rFonts w:ascii="Palatino Linotype" w:eastAsia="Times New Roman" w:hAnsi="Palatino Linotype" w:cs="Arial"/>
          <w:i/>
          <w:lang w:eastAsia="es-MX"/>
        </w:rPr>
        <w:t xml:space="preserve">Secretaría de Relaciones Exteriores. 26 de abril de 2017. Por unanimidad. Comisionada Ponente Areli Cano Guadiana.” </w:t>
      </w:r>
      <w:r w:rsidRPr="00833366">
        <w:rPr>
          <w:rFonts w:ascii="Palatino Linotype" w:eastAsia="Times New Roman" w:hAnsi="Palatino Linotype" w:cs="Arial"/>
          <w:b/>
          <w:i/>
          <w:lang w:eastAsia="es-MX"/>
        </w:rPr>
        <w:t>[Sic]</w:t>
      </w:r>
    </w:p>
    <w:p w14:paraId="72E3F981" w14:textId="77777777" w:rsidR="005030F2" w:rsidRPr="00833366" w:rsidRDefault="005030F2" w:rsidP="005030F2">
      <w:pPr>
        <w:spacing w:after="0" w:line="360" w:lineRule="auto"/>
        <w:ind w:right="51"/>
        <w:jc w:val="both"/>
        <w:rPr>
          <w:rFonts w:ascii="Palatino Linotype" w:hAnsi="Palatino Linotype" w:cs="Arial"/>
          <w:sz w:val="24"/>
          <w:szCs w:val="24"/>
        </w:rPr>
      </w:pPr>
    </w:p>
    <w:p w14:paraId="2EE7B0D1"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lastRenderedPageBreak/>
        <w:t xml:space="preserve">Por cuanto hace a la </w:t>
      </w:r>
      <w:r w:rsidRPr="00833366">
        <w:rPr>
          <w:rFonts w:ascii="Palatino Linotype" w:hAnsi="Palatino Linotype"/>
          <w:b/>
          <w:sz w:val="24"/>
          <w:szCs w:val="24"/>
        </w:rPr>
        <w:t>Clave de cualquier tipo de seguridad social</w:t>
      </w:r>
      <w:r w:rsidRPr="00833366">
        <w:rPr>
          <w:rFonts w:ascii="Palatino Linotype" w:hAnsi="Palatino Linotype"/>
          <w:sz w:val="24"/>
          <w:szCs w:val="24"/>
        </w:rPr>
        <w:t xml:space="preserve"> (ISSEMYM u otros), está integrado por una </w:t>
      </w:r>
      <w:r w:rsidRPr="00833366">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33366">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33366">
        <w:rPr>
          <w:rFonts w:ascii="Palatino Linotype" w:eastAsia="Arial Unicode MS" w:hAnsi="Palatino Linotype"/>
          <w:sz w:val="24"/>
          <w:szCs w:val="24"/>
        </w:rPr>
        <w:t>4 fracción XI de la Ley de Protección de Datos Personales en Posesión de Sujetos Obligados del Estado de México y Municipios</w:t>
      </w:r>
      <w:r w:rsidRPr="00833366">
        <w:rPr>
          <w:rFonts w:ascii="Palatino Linotype" w:hAnsi="Palatino Linotype"/>
          <w:sz w:val="24"/>
          <w:szCs w:val="24"/>
        </w:rPr>
        <w:t>.</w:t>
      </w:r>
    </w:p>
    <w:p w14:paraId="09770B95" w14:textId="77777777" w:rsidR="005030F2" w:rsidRPr="00833366" w:rsidRDefault="005030F2" w:rsidP="005030F2">
      <w:pPr>
        <w:spacing w:after="0" w:line="360" w:lineRule="auto"/>
        <w:jc w:val="both"/>
        <w:rPr>
          <w:sz w:val="24"/>
          <w:szCs w:val="24"/>
        </w:rPr>
      </w:pPr>
      <w:r w:rsidRPr="00833366">
        <w:rPr>
          <w:rFonts w:ascii="Palatino Linotype" w:eastAsia="Palatino Linotype" w:hAnsi="Palatino Linotype" w:cs="Palatino Linotype"/>
          <w:sz w:val="24"/>
          <w:szCs w:val="24"/>
        </w:rPr>
        <w:t xml:space="preserve">Resulta importante señalar que </w:t>
      </w:r>
      <w:r w:rsidRPr="00833366">
        <w:rPr>
          <w:rFonts w:ascii="Palatino Linotype" w:hAnsi="Palatino Linotype"/>
          <w:color w:val="000000"/>
          <w:sz w:val="24"/>
          <w:szCs w:val="24"/>
        </w:rPr>
        <w:t xml:space="preserve">tratándose de las cuentas bancarias o </w:t>
      </w:r>
      <w:proofErr w:type="spellStart"/>
      <w:r w:rsidRPr="00833366">
        <w:rPr>
          <w:rFonts w:ascii="Palatino Linotype" w:hAnsi="Palatino Linotype"/>
          <w:color w:val="000000"/>
          <w:sz w:val="24"/>
          <w:szCs w:val="24"/>
        </w:rPr>
        <w:t>clabes</w:t>
      </w:r>
      <w:proofErr w:type="spellEnd"/>
      <w:r w:rsidRPr="00833366">
        <w:rPr>
          <w:rFonts w:ascii="Palatino Linotype" w:hAnsi="Palatino Linotype"/>
          <w:color w:val="000000"/>
          <w:sz w:val="24"/>
          <w:szCs w:val="24"/>
        </w:rPr>
        <w:t xml:space="preserve"> interbancarias de los Sujetos Obligados ya que su publicidad cede a la rendición de cuentas al transparentar la forma en que son administrados los recursos públicos.</w:t>
      </w:r>
    </w:p>
    <w:p w14:paraId="37041BCF" w14:textId="77777777" w:rsidR="005030F2" w:rsidRPr="00833366" w:rsidRDefault="005030F2" w:rsidP="005030F2">
      <w:pPr>
        <w:spacing w:after="0" w:line="360" w:lineRule="auto"/>
        <w:jc w:val="both"/>
        <w:rPr>
          <w:sz w:val="24"/>
          <w:szCs w:val="24"/>
        </w:rPr>
      </w:pPr>
    </w:p>
    <w:p w14:paraId="33ABB562" w14:textId="77777777" w:rsidR="005030F2" w:rsidRPr="00833366" w:rsidRDefault="005030F2" w:rsidP="005030F2">
      <w:pPr>
        <w:spacing w:after="0" w:line="360" w:lineRule="auto"/>
        <w:jc w:val="both"/>
        <w:rPr>
          <w:sz w:val="24"/>
          <w:szCs w:val="24"/>
        </w:rPr>
      </w:pPr>
      <w:r w:rsidRPr="00833366">
        <w:rPr>
          <w:rFonts w:ascii="Palatino Linotype" w:hAnsi="Palatino Linotype"/>
          <w:color w:val="000000"/>
          <w:sz w:val="24"/>
          <w:szCs w:val="24"/>
        </w:rPr>
        <w:t>Lo argumentado encuentra sustento en los criterios orientadores 10/17 y 11/17 emitidos por el Instituto Nacional de Transparencia, Acceso a la Información y Protección de Datos Personales, INAI, que llevan por rubro y texto los siguientes:</w:t>
      </w:r>
    </w:p>
    <w:p w14:paraId="5D5A3AA1" w14:textId="77777777" w:rsidR="005030F2" w:rsidRPr="00833366" w:rsidRDefault="005030F2" w:rsidP="005030F2">
      <w:pPr>
        <w:pStyle w:val="Citas"/>
      </w:pPr>
      <w:r w:rsidRPr="00833366">
        <w:rPr>
          <w:b/>
          <w:bCs/>
        </w:rPr>
        <w:t>“CUENTAS BANCARIAS Y/O CLABE INTERBANCARIA DE PERSONAS FÍSICAS Y MORALES PRIVADAS.</w:t>
      </w:r>
      <w:r w:rsidRPr="00833366">
        <w:t> </w:t>
      </w:r>
    </w:p>
    <w:p w14:paraId="69881E02" w14:textId="77777777" w:rsidR="005030F2" w:rsidRPr="00833366" w:rsidRDefault="005030F2" w:rsidP="005030F2">
      <w:pPr>
        <w:pStyle w:val="Citas"/>
      </w:pPr>
      <w:r w:rsidRPr="00833366">
        <w:t xml:space="preserve">El número de cuenta bancaria y/o CLABE interbancaria de particulares es información confidencial, al tratarse de un conjunto de caracteres numéricos utilizados por los grupos financieros para identificar las cuentas de sus clientes, a </w:t>
      </w:r>
      <w:r w:rsidRPr="00833366">
        <w:lastRenderedPageBreak/>
        <w:t>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5F425AB" w14:textId="77777777" w:rsidR="005030F2" w:rsidRPr="00833366" w:rsidRDefault="005030F2" w:rsidP="005030F2">
      <w:pPr>
        <w:pStyle w:val="Citas"/>
      </w:pPr>
    </w:p>
    <w:p w14:paraId="2255DD07" w14:textId="77777777" w:rsidR="005030F2" w:rsidRPr="00833366" w:rsidRDefault="005030F2" w:rsidP="005030F2">
      <w:pPr>
        <w:pStyle w:val="Citas"/>
      </w:pPr>
      <w:r w:rsidRPr="00833366">
        <w:rPr>
          <w:b/>
          <w:bCs/>
        </w:rPr>
        <w:t>CUENTAS BANCARIAS Y/O CLABE INTERBANCARIA DE SUJETOS OBLIGADOS QUE RECIBEN Y/O TRANSFIEREN RECURSOS PÚBLICOS, SON INFORMACIÓN PÚBLICA</w:t>
      </w:r>
      <w:r w:rsidRPr="00833366">
        <w:t>.</w:t>
      </w:r>
    </w:p>
    <w:p w14:paraId="530D0918" w14:textId="77777777" w:rsidR="005030F2" w:rsidRPr="00833366" w:rsidRDefault="005030F2" w:rsidP="005030F2">
      <w:pPr>
        <w:pStyle w:val="Citas"/>
        <w:rPr>
          <w:b/>
          <w:bCs/>
        </w:rPr>
      </w:pPr>
      <w:r w:rsidRPr="00833366">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r w:rsidRPr="00833366">
        <w:rPr>
          <w:b/>
          <w:bCs/>
        </w:rPr>
        <w:t>(Sic)</w:t>
      </w:r>
    </w:p>
    <w:p w14:paraId="3622B65C" w14:textId="77777777" w:rsidR="005030F2" w:rsidRPr="00833366" w:rsidRDefault="005030F2" w:rsidP="005030F2">
      <w:pPr>
        <w:spacing w:line="360" w:lineRule="auto"/>
        <w:jc w:val="both"/>
        <w:rPr>
          <w:rFonts w:ascii="Palatino Linotype" w:hAnsi="Palatino Linotype"/>
          <w:sz w:val="24"/>
          <w:szCs w:val="24"/>
        </w:rPr>
      </w:pPr>
    </w:p>
    <w:p w14:paraId="6CBABCB0"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 xml:space="preserve">Respecto de los </w:t>
      </w:r>
      <w:r w:rsidRPr="00833366">
        <w:rPr>
          <w:rFonts w:ascii="Palatino Linotype" w:hAnsi="Palatino Linotype"/>
          <w:b/>
          <w:sz w:val="24"/>
          <w:szCs w:val="24"/>
        </w:rPr>
        <w:t>préstamos o descuentos</w:t>
      </w:r>
      <w:r w:rsidRPr="00833366">
        <w:rPr>
          <w:rFonts w:ascii="Palatino Linotype" w:hAnsi="Palatino Linotype"/>
          <w:sz w:val="24"/>
          <w:szCs w:val="24"/>
        </w:rPr>
        <w:t xml:space="preserve"> </w:t>
      </w:r>
      <w:r w:rsidRPr="00833366">
        <w:rPr>
          <w:rFonts w:ascii="Palatino Linotype" w:hAnsi="Palatino Linotype"/>
          <w:b/>
          <w:sz w:val="24"/>
          <w:szCs w:val="24"/>
        </w:rPr>
        <w:t>de carácter personal</w:t>
      </w:r>
      <w:r w:rsidRPr="00833366">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2E5A0E6"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lastRenderedPageBreak/>
        <w:t>Por su parte, el artículo 84 de la Ley del Trabajo de los Servidores Públicos del Estado y Municipios, señala:</w:t>
      </w:r>
    </w:p>
    <w:p w14:paraId="4E5A8639" w14:textId="77777777" w:rsidR="005030F2" w:rsidRPr="00833366" w:rsidRDefault="005030F2" w:rsidP="005030F2">
      <w:pPr>
        <w:pStyle w:val="Citas"/>
        <w:rPr>
          <w:noProof/>
        </w:rPr>
      </w:pPr>
      <w:r w:rsidRPr="00833366">
        <w:rPr>
          <w:b/>
          <w:noProof/>
        </w:rPr>
        <w:t>“ARTÍCULO 84.</w:t>
      </w:r>
      <w:r w:rsidRPr="00833366">
        <w:rPr>
          <w:noProof/>
        </w:rPr>
        <w:t xml:space="preserve"> Sólo podrán hacerse retenciones, descuentos o deducciones al sueldo de los servidores públicos por concepto de:</w:t>
      </w:r>
    </w:p>
    <w:p w14:paraId="01DC1D6A" w14:textId="77777777" w:rsidR="005030F2" w:rsidRPr="00833366" w:rsidRDefault="005030F2" w:rsidP="005030F2">
      <w:pPr>
        <w:pStyle w:val="Citas"/>
        <w:rPr>
          <w:noProof/>
        </w:rPr>
      </w:pPr>
      <w:r w:rsidRPr="00833366">
        <w:rPr>
          <w:noProof/>
        </w:rPr>
        <w:t>I. Gravámenes fiscales relacionados con el sueldo;</w:t>
      </w:r>
    </w:p>
    <w:p w14:paraId="746123C7" w14:textId="77777777" w:rsidR="005030F2" w:rsidRPr="00833366" w:rsidRDefault="005030F2" w:rsidP="005030F2">
      <w:pPr>
        <w:pStyle w:val="Citas"/>
        <w:rPr>
          <w:noProof/>
        </w:rPr>
      </w:pPr>
      <w:r w:rsidRPr="00833366">
        <w:rPr>
          <w:noProof/>
        </w:rPr>
        <w:t>II. Deudas contraídas con las instituciones públicas o dependencias por concepto de anticipos de sueldo, pagos hechos con exceso, errores o pérdidas debidamente comprobados;</w:t>
      </w:r>
    </w:p>
    <w:p w14:paraId="4DA672F2" w14:textId="77777777" w:rsidR="005030F2" w:rsidRPr="00833366" w:rsidRDefault="005030F2" w:rsidP="005030F2">
      <w:pPr>
        <w:pStyle w:val="Citas"/>
        <w:rPr>
          <w:noProof/>
        </w:rPr>
      </w:pPr>
      <w:r w:rsidRPr="00833366">
        <w:rPr>
          <w:noProof/>
        </w:rPr>
        <w:t>III. Cuotas sindicales;</w:t>
      </w:r>
    </w:p>
    <w:p w14:paraId="05947CD1" w14:textId="77777777" w:rsidR="005030F2" w:rsidRPr="00833366" w:rsidRDefault="005030F2" w:rsidP="005030F2">
      <w:pPr>
        <w:pStyle w:val="Citas"/>
        <w:rPr>
          <w:noProof/>
        </w:rPr>
      </w:pPr>
      <w:r w:rsidRPr="00833366">
        <w:rPr>
          <w:noProof/>
        </w:rPr>
        <w:t>IV. Cuotas de aportación a fondos para la constitución de cooperativas y de cajas de ahorro, siempre que el servidor público hubiese manifestado previamente, de manera expresa, su conformidad;</w:t>
      </w:r>
    </w:p>
    <w:p w14:paraId="2C851BAB" w14:textId="77777777" w:rsidR="005030F2" w:rsidRPr="00833366" w:rsidRDefault="005030F2" w:rsidP="005030F2">
      <w:pPr>
        <w:pStyle w:val="Citas"/>
        <w:rPr>
          <w:noProof/>
        </w:rPr>
      </w:pPr>
      <w:r w:rsidRPr="00833366">
        <w:rPr>
          <w:noProof/>
        </w:rPr>
        <w:t>V. Descuentos ordenados por el Instituto de Seguridad Social del Estado de México y Municipios, con motivo de cuotas y obligaciones contraídas con éste por los servidores públicos;</w:t>
      </w:r>
    </w:p>
    <w:p w14:paraId="09833C60" w14:textId="77777777" w:rsidR="005030F2" w:rsidRPr="00833366" w:rsidRDefault="005030F2" w:rsidP="005030F2">
      <w:pPr>
        <w:pStyle w:val="Citas"/>
        <w:rPr>
          <w:noProof/>
        </w:rPr>
      </w:pPr>
      <w:r w:rsidRPr="00833366">
        <w:rPr>
          <w:noProof/>
        </w:rPr>
        <w:t>VI. Obligaciones a cargo del servidor público con las que haya consentido, derivadas de la adquisición o del uso de habitaciones consideradas como de interés social;</w:t>
      </w:r>
    </w:p>
    <w:p w14:paraId="0AAFECC5" w14:textId="77777777" w:rsidR="005030F2" w:rsidRPr="00833366" w:rsidRDefault="005030F2" w:rsidP="005030F2">
      <w:pPr>
        <w:pStyle w:val="Citas"/>
        <w:rPr>
          <w:noProof/>
        </w:rPr>
      </w:pPr>
      <w:r w:rsidRPr="00833366">
        <w:rPr>
          <w:noProof/>
        </w:rPr>
        <w:t>VII. Faltas de puntualidad o de asistencia injustificadas;</w:t>
      </w:r>
    </w:p>
    <w:p w14:paraId="1A1AF665" w14:textId="77777777" w:rsidR="005030F2" w:rsidRPr="00833366" w:rsidRDefault="005030F2" w:rsidP="005030F2">
      <w:pPr>
        <w:pStyle w:val="Citas"/>
        <w:rPr>
          <w:noProof/>
        </w:rPr>
      </w:pPr>
      <w:r w:rsidRPr="00833366">
        <w:rPr>
          <w:noProof/>
        </w:rPr>
        <w:t>VIII. Pensiones alimenticias ordenadas por la autoridad judicial; o</w:t>
      </w:r>
    </w:p>
    <w:p w14:paraId="176B3658" w14:textId="77777777" w:rsidR="005030F2" w:rsidRPr="00833366" w:rsidRDefault="005030F2" w:rsidP="005030F2">
      <w:pPr>
        <w:pStyle w:val="Citas"/>
        <w:rPr>
          <w:noProof/>
        </w:rPr>
      </w:pPr>
      <w:r w:rsidRPr="00833366">
        <w:rPr>
          <w:noProof/>
        </w:rPr>
        <w:lastRenderedPageBreak/>
        <w:t>IX. Cualquier otro convenido con instituciones de servicios y aceptado por el servidor público.</w:t>
      </w:r>
    </w:p>
    <w:p w14:paraId="0710838C" w14:textId="77777777" w:rsidR="005030F2" w:rsidRPr="00833366" w:rsidRDefault="005030F2" w:rsidP="005030F2">
      <w:pPr>
        <w:pStyle w:val="Citas"/>
        <w:rPr>
          <w:b/>
          <w:bCs/>
        </w:rPr>
      </w:pPr>
      <w:r w:rsidRPr="00833366">
        <w:rPr>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r w:rsidRPr="00833366">
        <w:rPr>
          <w:b/>
          <w:bCs/>
          <w:noProof/>
        </w:rPr>
        <w:t>(Sic)</w:t>
      </w:r>
    </w:p>
    <w:p w14:paraId="1F934078" w14:textId="77777777" w:rsidR="005030F2" w:rsidRPr="00833366" w:rsidRDefault="005030F2" w:rsidP="005030F2">
      <w:pPr>
        <w:pStyle w:val="Citas"/>
        <w:rPr>
          <w:szCs w:val="24"/>
        </w:rPr>
      </w:pPr>
    </w:p>
    <w:p w14:paraId="6F1CEE51"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3EF9881"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 xml:space="preserve">No obstante, el denominado </w:t>
      </w:r>
      <w:r w:rsidRPr="00833366">
        <w:rPr>
          <w:rFonts w:ascii="Palatino Linotype" w:hAnsi="Palatino Linotype"/>
          <w:b/>
          <w:sz w:val="24"/>
          <w:szCs w:val="24"/>
        </w:rPr>
        <w:t>Sistema de Capitalización Individual</w:t>
      </w:r>
      <w:r w:rsidRPr="00833366">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w:t>
      </w:r>
      <w:r w:rsidRPr="00833366">
        <w:rPr>
          <w:rFonts w:ascii="Palatino Linotype" w:hAnsi="Palatino Linotype"/>
          <w:sz w:val="24"/>
          <w:szCs w:val="24"/>
        </w:rPr>
        <w:lastRenderedPageBreak/>
        <w:t>descuento establecido por Ley y no debe considerarse como un dato personal, ya que no encuadra en ninguno de los supuestos referidos en el párrafo anterior.</w:t>
      </w:r>
    </w:p>
    <w:p w14:paraId="59BA6919"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F5ED4EC"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833366">
        <w:rPr>
          <w:rFonts w:ascii="Palatino Linotype" w:hAnsi="Palatino Linotype"/>
          <w:sz w:val="24"/>
          <w:szCs w:val="24"/>
        </w:rPr>
        <w:lastRenderedPageBreak/>
        <w:t>información se debe señalar el artículo, fracción, inciso, párrafo o numeral de la Ley que expresamente le otorga el carácter de confidencial.</w:t>
      </w:r>
    </w:p>
    <w:p w14:paraId="541B50B4"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6F3E39B" w14:textId="77777777" w:rsidR="005030F2" w:rsidRPr="00833366" w:rsidRDefault="005030F2" w:rsidP="005030F2">
      <w:pPr>
        <w:pStyle w:val="Citas"/>
      </w:pPr>
      <w:r w:rsidRPr="00833366">
        <w:rPr>
          <w:b/>
        </w:rPr>
        <w:t xml:space="preserve">“Artículo 49. </w:t>
      </w:r>
      <w:r w:rsidRPr="00833366">
        <w:t>Los Comités de Transparencia tendrán las siguientes atribuciones:</w:t>
      </w:r>
    </w:p>
    <w:p w14:paraId="456F7F75" w14:textId="77777777" w:rsidR="005030F2" w:rsidRPr="00833366" w:rsidRDefault="005030F2" w:rsidP="005030F2">
      <w:pPr>
        <w:pStyle w:val="Citas"/>
        <w:rPr>
          <w:bCs/>
        </w:rPr>
      </w:pPr>
      <w:r w:rsidRPr="00833366">
        <w:rPr>
          <w:bCs/>
        </w:rPr>
        <w:t>(…)</w:t>
      </w:r>
    </w:p>
    <w:p w14:paraId="617996A6" w14:textId="77777777" w:rsidR="005030F2" w:rsidRPr="00833366" w:rsidRDefault="005030F2" w:rsidP="005030F2">
      <w:pPr>
        <w:pStyle w:val="Citas"/>
      </w:pPr>
      <w:r w:rsidRPr="00833366">
        <w:rPr>
          <w:b/>
        </w:rPr>
        <w:t>VIII.</w:t>
      </w:r>
      <w:r w:rsidRPr="00833366">
        <w:t xml:space="preserve"> Aprobar, modificar o revocar la clasificación de la información;</w:t>
      </w:r>
    </w:p>
    <w:p w14:paraId="109554C5" w14:textId="77777777" w:rsidR="005030F2" w:rsidRPr="00833366" w:rsidRDefault="005030F2" w:rsidP="005030F2">
      <w:pPr>
        <w:pStyle w:val="Citas"/>
        <w:rPr>
          <w:bCs/>
        </w:rPr>
      </w:pPr>
      <w:r w:rsidRPr="00833366">
        <w:rPr>
          <w:bCs/>
        </w:rPr>
        <w:t>(…)</w:t>
      </w:r>
    </w:p>
    <w:p w14:paraId="4BE1C3B6" w14:textId="77777777" w:rsidR="005030F2" w:rsidRPr="00833366" w:rsidRDefault="005030F2" w:rsidP="005030F2">
      <w:pPr>
        <w:pStyle w:val="Citas"/>
      </w:pPr>
      <w:r w:rsidRPr="00833366">
        <w:rPr>
          <w:b/>
        </w:rPr>
        <w:t>Artículo 132.</w:t>
      </w:r>
      <w:r w:rsidRPr="00833366">
        <w:t xml:space="preserve"> La clasificación de la información se llevará a cabo en el momento en que:</w:t>
      </w:r>
    </w:p>
    <w:p w14:paraId="2F1DF529" w14:textId="77777777" w:rsidR="005030F2" w:rsidRPr="00833366" w:rsidRDefault="005030F2" w:rsidP="005030F2">
      <w:pPr>
        <w:pStyle w:val="Citas"/>
      </w:pPr>
      <w:r w:rsidRPr="00833366">
        <w:rPr>
          <w:b/>
        </w:rPr>
        <w:t>I.</w:t>
      </w:r>
      <w:r w:rsidRPr="00833366">
        <w:t xml:space="preserve"> Se reciba una solicitud de acceso a la información;</w:t>
      </w:r>
    </w:p>
    <w:p w14:paraId="2B52E9C8" w14:textId="77777777" w:rsidR="005030F2" w:rsidRPr="00833366" w:rsidRDefault="005030F2" w:rsidP="005030F2">
      <w:pPr>
        <w:pStyle w:val="Citas"/>
      </w:pPr>
      <w:r w:rsidRPr="00833366">
        <w:rPr>
          <w:b/>
        </w:rPr>
        <w:t>II.</w:t>
      </w:r>
      <w:r w:rsidRPr="00833366">
        <w:t xml:space="preserve"> Se determine mediante resolución de autoridad competente; o</w:t>
      </w:r>
    </w:p>
    <w:p w14:paraId="26DF66DD" w14:textId="77777777" w:rsidR="005030F2" w:rsidRPr="00833366" w:rsidRDefault="005030F2" w:rsidP="005030F2">
      <w:pPr>
        <w:pStyle w:val="Citas"/>
        <w:rPr>
          <w:b/>
        </w:rPr>
      </w:pPr>
      <w:r w:rsidRPr="00833366">
        <w:rPr>
          <w:b/>
          <w:bCs/>
        </w:rPr>
        <w:t>III.</w:t>
      </w:r>
      <w:r w:rsidRPr="00833366">
        <w:t xml:space="preserve"> Se generen versiones públicas para dar cumplimiento a las obligaciones de transparencia previstas en esta Ley.</w:t>
      </w:r>
      <w:r w:rsidRPr="00833366">
        <w:rPr>
          <w:b/>
        </w:rPr>
        <w:t>”</w:t>
      </w:r>
    </w:p>
    <w:p w14:paraId="6379F184" w14:textId="77777777" w:rsidR="005030F2" w:rsidRPr="00833366" w:rsidRDefault="005030F2" w:rsidP="005030F2">
      <w:pPr>
        <w:pStyle w:val="Citas"/>
      </w:pPr>
      <w:r w:rsidRPr="00833366">
        <w:rPr>
          <w:b/>
        </w:rPr>
        <w:lastRenderedPageBreak/>
        <w:t>Segundo.-</w:t>
      </w:r>
      <w:r w:rsidRPr="00833366">
        <w:t xml:space="preserve"> Para efectos de los presentes Lineamientos Generales, se entenderá por:</w:t>
      </w:r>
    </w:p>
    <w:p w14:paraId="58334EDC" w14:textId="77777777" w:rsidR="005030F2" w:rsidRPr="00833366" w:rsidRDefault="005030F2" w:rsidP="005030F2">
      <w:pPr>
        <w:pStyle w:val="Citas"/>
      </w:pPr>
      <w:r w:rsidRPr="00833366">
        <w:t>(…)</w:t>
      </w:r>
    </w:p>
    <w:p w14:paraId="43653C11" w14:textId="77777777" w:rsidR="005030F2" w:rsidRPr="00833366" w:rsidRDefault="005030F2" w:rsidP="005030F2">
      <w:pPr>
        <w:pStyle w:val="Citas"/>
      </w:pPr>
      <w:r w:rsidRPr="00833366">
        <w:rPr>
          <w:b/>
        </w:rPr>
        <w:t>XVIII.</w:t>
      </w:r>
      <w:r w:rsidRPr="00833366">
        <w:t xml:space="preserve"> </w:t>
      </w:r>
      <w:r w:rsidRPr="00833366">
        <w:rPr>
          <w:b/>
        </w:rPr>
        <w:t>Versión pública:</w:t>
      </w:r>
      <w:r w:rsidRPr="00833366">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DBE3277" w14:textId="77777777" w:rsidR="005030F2" w:rsidRPr="00833366" w:rsidRDefault="005030F2" w:rsidP="005030F2">
      <w:pPr>
        <w:pStyle w:val="Citas"/>
      </w:pPr>
      <w:r w:rsidRPr="00833366">
        <w:rPr>
          <w:b/>
        </w:rPr>
        <w:t>Cuarto.</w:t>
      </w:r>
      <w:r w:rsidRPr="00833366">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A2D45A" w14:textId="77777777" w:rsidR="005030F2" w:rsidRPr="00833366" w:rsidRDefault="005030F2" w:rsidP="005030F2">
      <w:pPr>
        <w:pStyle w:val="Citas"/>
      </w:pPr>
      <w:r w:rsidRPr="00833366">
        <w:t>Los sujetos obligados deberán aplicar, de manera estricta, las excepciones al derecho de acceso a la información y sólo podrán invocarlas cuando acrediten su procedencia.</w:t>
      </w:r>
    </w:p>
    <w:p w14:paraId="15B9415D" w14:textId="77777777" w:rsidR="005030F2" w:rsidRPr="00833366" w:rsidRDefault="005030F2" w:rsidP="005030F2">
      <w:pPr>
        <w:pStyle w:val="Citas"/>
      </w:pPr>
      <w:r w:rsidRPr="00833366">
        <w:rPr>
          <w:b/>
        </w:rPr>
        <w:t>Quinto.</w:t>
      </w:r>
      <w:r w:rsidRPr="0083336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0D36E4" w14:textId="77777777" w:rsidR="005030F2" w:rsidRPr="00833366" w:rsidRDefault="005030F2" w:rsidP="005030F2">
      <w:pPr>
        <w:pStyle w:val="Citas"/>
      </w:pPr>
      <w:r w:rsidRPr="00833366">
        <w:rPr>
          <w:b/>
        </w:rPr>
        <w:t>Séptimo.</w:t>
      </w:r>
      <w:r w:rsidRPr="00833366">
        <w:t xml:space="preserve"> La clasificación de la información se llevará a cabo en el momento en que:</w:t>
      </w:r>
    </w:p>
    <w:p w14:paraId="38FFCC2E" w14:textId="77777777" w:rsidR="005030F2" w:rsidRPr="00833366" w:rsidRDefault="005030F2" w:rsidP="005030F2">
      <w:pPr>
        <w:pStyle w:val="Citas"/>
      </w:pPr>
      <w:r w:rsidRPr="00833366">
        <w:rPr>
          <w:b/>
        </w:rPr>
        <w:lastRenderedPageBreak/>
        <w:t>I.</w:t>
      </w:r>
      <w:r w:rsidRPr="00833366">
        <w:t xml:space="preserve"> Se reciba una solicitud de acceso a la información;</w:t>
      </w:r>
    </w:p>
    <w:p w14:paraId="4848C439" w14:textId="77777777" w:rsidR="005030F2" w:rsidRPr="00833366" w:rsidRDefault="005030F2" w:rsidP="005030F2">
      <w:pPr>
        <w:pStyle w:val="Citas"/>
      </w:pPr>
      <w:r w:rsidRPr="00833366">
        <w:rPr>
          <w:b/>
        </w:rPr>
        <w:t>II.</w:t>
      </w:r>
      <w:r w:rsidRPr="00833366">
        <w:t xml:space="preserve"> Se determine mediante resolución del Comité de </w:t>
      </w:r>
      <w:proofErr w:type="spellStart"/>
      <w:r w:rsidRPr="00833366">
        <w:t>Transparnecia</w:t>
      </w:r>
      <w:proofErr w:type="spellEnd"/>
      <w:r w:rsidRPr="00833366">
        <w:t>, el órgano garante competente, o en cumplimiento a una sentencia del Poder Judicial; o</w:t>
      </w:r>
    </w:p>
    <w:p w14:paraId="2A9C8B6F" w14:textId="77777777" w:rsidR="005030F2" w:rsidRPr="00833366" w:rsidRDefault="005030F2" w:rsidP="005030F2">
      <w:pPr>
        <w:pStyle w:val="Citas"/>
      </w:pPr>
      <w:r w:rsidRPr="00833366">
        <w:rPr>
          <w:b/>
        </w:rPr>
        <w:t>III.</w:t>
      </w:r>
      <w:r w:rsidRPr="00833366">
        <w:t xml:space="preserve"> Se generen versiones públicas para dar cumplimiento a las obligaciones de transparencia previstas en la Ley General, la Ley Federal y las correspondientes de las entidades federativas.</w:t>
      </w:r>
    </w:p>
    <w:p w14:paraId="529DFB2A" w14:textId="77777777" w:rsidR="005030F2" w:rsidRPr="00833366" w:rsidRDefault="005030F2" w:rsidP="005030F2">
      <w:pPr>
        <w:pStyle w:val="Citas"/>
      </w:pPr>
      <w:r w:rsidRPr="00833366">
        <w:t>Los titulares de las áreas deberán revisar la información requerida al momento de la recepción de una solicitud de acceso, para verificar si encuadra en una causal de reserva o de confidencialidad.</w:t>
      </w:r>
    </w:p>
    <w:p w14:paraId="11B94BEF" w14:textId="77777777" w:rsidR="005030F2" w:rsidRPr="00833366" w:rsidRDefault="005030F2" w:rsidP="005030F2">
      <w:pPr>
        <w:pStyle w:val="Citas"/>
      </w:pPr>
      <w:r w:rsidRPr="00833366">
        <w:rPr>
          <w:b/>
        </w:rPr>
        <w:t>Octavo.</w:t>
      </w:r>
      <w:r w:rsidRPr="0083336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CA2C2DB" w14:textId="77777777" w:rsidR="005030F2" w:rsidRPr="00833366" w:rsidRDefault="005030F2" w:rsidP="005030F2">
      <w:pPr>
        <w:pStyle w:val="Citas"/>
      </w:pPr>
      <w:r w:rsidRPr="00833366">
        <w:t>Para motivar la clasificación se deberán señalar las razones o circunstancias especiales que lo llevaron a concluir que el caso particular se ajusta al supuesto previsto por la norma legal invocada como fundamento.</w:t>
      </w:r>
    </w:p>
    <w:p w14:paraId="5B19F36B" w14:textId="77777777" w:rsidR="005030F2" w:rsidRPr="00833366" w:rsidRDefault="005030F2" w:rsidP="005030F2">
      <w:pPr>
        <w:pStyle w:val="Citas"/>
      </w:pPr>
      <w:r w:rsidRPr="00833366">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D9C41FE" w14:textId="77777777" w:rsidR="005030F2" w:rsidRPr="00833366" w:rsidRDefault="005030F2" w:rsidP="005030F2">
      <w:pPr>
        <w:pStyle w:val="Citas"/>
      </w:pPr>
      <w:r w:rsidRPr="00833366">
        <w:rPr>
          <w:b/>
        </w:rPr>
        <w:lastRenderedPageBreak/>
        <w:t>Noveno.</w:t>
      </w:r>
      <w:r w:rsidRPr="0083336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9C52E3" w14:textId="77777777" w:rsidR="005030F2" w:rsidRPr="00833366" w:rsidRDefault="005030F2" w:rsidP="005030F2">
      <w:pPr>
        <w:pStyle w:val="Citas"/>
      </w:pPr>
      <w:r w:rsidRPr="00833366">
        <w:rPr>
          <w:b/>
        </w:rPr>
        <w:t>Décimo.</w:t>
      </w:r>
      <w:r w:rsidRPr="0083336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E24AF5A" w14:textId="77777777" w:rsidR="005030F2" w:rsidRPr="00833366" w:rsidRDefault="005030F2" w:rsidP="005030F2">
      <w:pPr>
        <w:pStyle w:val="Citas"/>
      </w:pPr>
      <w:r w:rsidRPr="00833366">
        <w:t>En ausencia de los titulares de las áreas, la información será clasificada o desclasificada por la persona que lo supla, en términos de la normativa que rija la actuación del sujeto obligado.</w:t>
      </w:r>
    </w:p>
    <w:p w14:paraId="3067BDDA" w14:textId="77777777" w:rsidR="005030F2" w:rsidRPr="00833366" w:rsidRDefault="005030F2" w:rsidP="005030F2">
      <w:pPr>
        <w:pStyle w:val="Citas"/>
        <w:rPr>
          <w:b/>
          <w:bCs/>
        </w:rPr>
      </w:pPr>
      <w:r w:rsidRPr="00833366">
        <w:rPr>
          <w:b/>
        </w:rPr>
        <w:t>Décimo primero.</w:t>
      </w:r>
      <w:r w:rsidRPr="00833366">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833366">
        <w:rPr>
          <w:b/>
          <w:bCs/>
        </w:rPr>
        <w:t>(Sic)</w:t>
      </w:r>
    </w:p>
    <w:p w14:paraId="16EB29D7" w14:textId="77777777" w:rsidR="005030F2" w:rsidRPr="00833366" w:rsidRDefault="005030F2" w:rsidP="005030F2">
      <w:pPr>
        <w:rPr>
          <w:rFonts w:cs="Arial"/>
          <w:i/>
          <w:szCs w:val="24"/>
        </w:rPr>
      </w:pPr>
    </w:p>
    <w:p w14:paraId="56B0E82F"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833366">
        <w:rPr>
          <w:rFonts w:ascii="Palatino Linotype" w:hAnsi="Palatino Linotype"/>
          <w:sz w:val="24"/>
          <w:szCs w:val="24"/>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BC82D10"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29759E6C"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Al respecto, el máximo tribunal del país ha establecido jurisprudencia respecto a qué debe entenderse por fundamentación y motivación, en los siguientes términos:</w:t>
      </w:r>
    </w:p>
    <w:p w14:paraId="204B6662" w14:textId="77777777" w:rsidR="005030F2" w:rsidRPr="00833366" w:rsidRDefault="005030F2" w:rsidP="005030F2">
      <w:pPr>
        <w:pStyle w:val="Citas"/>
        <w:rPr>
          <w:b/>
          <w:bCs/>
        </w:rPr>
      </w:pPr>
      <w:r w:rsidRPr="00833366">
        <w:rPr>
          <w:b/>
          <w:bCs/>
        </w:rPr>
        <w:t xml:space="preserve">“FUNDAMENTACIÓN Y MOTIVACIÓN. </w:t>
      </w:r>
    </w:p>
    <w:p w14:paraId="07A38C94" w14:textId="77777777" w:rsidR="005030F2" w:rsidRPr="00833366" w:rsidRDefault="005030F2" w:rsidP="005030F2">
      <w:pPr>
        <w:pStyle w:val="Citas"/>
        <w:rPr>
          <w:b/>
          <w:bCs/>
        </w:rPr>
      </w:pPr>
      <w:r w:rsidRPr="00833366">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833366">
        <w:rPr>
          <w:b/>
          <w:bCs/>
        </w:rPr>
        <w:t>(Sic)</w:t>
      </w:r>
    </w:p>
    <w:p w14:paraId="2854CE7A" w14:textId="77777777" w:rsidR="005030F2" w:rsidRPr="00833366" w:rsidRDefault="005030F2" w:rsidP="005030F2">
      <w:pPr>
        <w:rPr>
          <w:szCs w:val="24"/>
        </w:rPr>
      </w:pPr>
    </w:p>
    <w:p w14:paraId="5881E773"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 xml:space="preserve">Así, en un acto de autoridad se surte la debida fundamentación cuando se cita el precepto legal aplicable al caso concreto y la debida motivación cuando se expresan </w:t>
      </w:r>
      <w:r w:rsidRPr="00833366">
        <w:rPr>
          <w:rFonts w:ascii="Palatino Linotype" w:hAnsi="Palatino Linotype"/>
          <w:sz w:val="24"/>
          <w:szCs w:val="24"/>
        </w:rPr>
        <w:lastRenderedPageBreak/>
        <w:t>las razones, motivos o circunstancias que tomó en cuenta la autoridad para adecuar el hecho a los fundamentos de derecho.</w:t>
      </w:r>
    </w:p>
    <w:p w14:paraId="0A990B69"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576C73" w14:textId="77777777" w:rsidR="005030F2" w:rsidRPr="00833366" w:rsidRDefault="005030F2" w:rsidP="005030F2">
      <w:pPr>
        <w:pStyle w:val="Citas"/>
        <w:rPr>
          <w:b/>
          <w:bCs/>
        </w:rPr>
      </w:pPr>
      <w:r w:rsidRPr="00833366">
        <w:rPr>
          <w:b/>
          <w:bCs/>
        </w:rPr>
        <w:t xml:space="preserve">“FUNDAMENTACIÓN Y MOTIVACIÓN. EL ASPECTO FORMAL DE LA GARANTÍA Y SU FINALIDAD SE TRADUCEN EN EXPLICAR, JUSTIFICAR, POSIBILITAR LA DEFENSA Y COMUNICAR LA DECISIÓN. </w:t>
      </w:r>
    </w:p>
    <w:p w14:paraId="30E83F2F" w14:textId="77777777" w:rsidR="005030F2" w:rsidRPr="00833366" w:rsidRDefault="005030F2" w:rsidP="005030F2">
      <w:pPr>
        <w:pStyle w:val="Citas"/>
      </w:pPr>
      <w:r w:rsidRPr="00833366">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833366">
        <w:lastRenderedPageBreak/>
        <w:t>mínimo pero suficiente para acreditar el razonamiento del que se deduzca la relación de pertenencia lógica de los hechos al derecho invocado, que es la subsunción.</w:t>
      </w:r>
    </w:p>
    <w:p w14:paraId="58CCCBE2" w14:textId="77777777" w:rsidR="005030F2" w:rsidRPr="00833366" w:rsidRDefault="005030F2" w:rsidP="005030F2">
      <w:pPr>
        <w:spacing w:line="360" w:lineRule="auto"/>
        <w:jc w:val="both"/>
        <w:rPr>
          <w:rFonts w:ascii="Palatino Linotype" w:hAnsi="Palatino Linotype"/>
          <w:sz w:val="24"/>
          <w:szCs w:val="24"/>
        </w:rPr>
      </w:pPr>
    </w:p>
    <w:p w14:paraId="43B686D3" w14:textId="31F3F73C"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 xml:space="preserve">En consecuencia, la fundamentación y motivación implica </w:t>
      </w:r>
      <w:r w:rsidR="0038524E" w:rsidRPr="00833366">
        <w:rPr>
          <w:rFonts w:ascii="Palatino Linotype" w:hAnsi="Palatino Linotype"/>
          <w:sz w:val="24"/>
          <w:szCs w:val="24"/>
        </w:rPr>
        <w:t>que,</w:t>
      </w:r>
      <w:r w:rsidRPr="00833366">
        <w:rPr>
          <w:rFonts w:ascii="Palatino Linotype" w:hAnsi="Palatino Linotype"/>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C5F31CE" w14:textId="77777777" w:rsidR="005030F2" w:rsidRPr="00833366" w:rsidRDefault="005030F2" w:rsidP="005030F2">
      <w:pPr>
        <w:spacing w:line="360" w:lineRule="auto"/>
        <w:jc w:val="both"/>
        <w:rPr>
          <w:rFonts w:ascii="Palatino Linotype" w:hAnsi="Palatino Linotype"/>
          <w:sz w:val="24"/>
          <w:szCs w:val="24"/>
        </w:rPr>
      </w:pPr>
      <w:r w:rsidRPr="00833366">
        <w:rPr>
          <w:rFonts w:ascii="Palatino Linotype" w:hAnsi="Palatino Linotype"/>
          <w:sz w:val="24"/>
          <w:szCs w:val="24"/>
        </w:rPr>
        <w:t>Por lo tanto, la entrega de documentos en su versión pública debe acompañarse necesariamente del Acuerdo del Comité de Transparencia del Sujeto Obligado</w:t>
      </w:r>
      <w:r w:rsidRPr="00833366">
        <w:rPr>
          <w:rFonts w:ascii="Palatino Linotype" w:hAnsi="Palatino Linotype"/>
          <w:b/>
          <w:sz w:val="24"/>
          <w:szCs w:val="24"/>
        </w:rPr>
        <w:t xml:space="preserve"> </w:t>
      </w:r>
      <w:r w:rsidRPr="00833366">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C27B496" w14:textId="77777777" w:rsidR="005030F2" w:rsidRPr="00833366" w:rsidRDefault="005030F2" w:rsidP="00B14A17">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2C240A4E" w14:textId="77777777" w:rsidR="005030F2" w:rsidRPr="00833366" w:rsidRDefault="005030F2" w:rsidP="00B14A17">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5B3A8971" w14:textId="2B3A0349" w:rsidR="00B14A17" w:rsidRPr="00833366" w:rsidRDefault="00B14A17" w:rsidP="00B14A17">
      <w:pPr>
        <w:tabs>
          <w:tab w:val="left" w:pos="709"/>
        </w:tabs>
        <w:spacing w:before="240" w:line="360" w:lineRule="auto"/>
        <w:ind w:right="51"/>
        <w:jc w:val="both"/>
        <w:rPr>
          <w:rFonts w:ascii="Palatino Linotype" w:hAnsi="Palatino Linotype"/>
          <w:b/>
          <w:sz w:val="24"/>
          <w:szCs w:val="24"/>
        </w:rPr>
      </w:pPr>
      <w:r w:rsidRPr="00833366">
        <w:rPr>
          <w:rFonts w:ascii="Palatino Linotype" w:eastAsia="Times New Roman" w:hAnsi="Palatino Linotype" w:cs="Times New Roman"/>
          <w:sz w:val="24"/>
          <w:szCs w:val="24"/>
          <w:lang w:eastAsia="es-ES"/>
        </w:rPr>
        <w:lastRenderedPageBreak/>
        <w:t>En mérito de lo expuesto en líneas anteriores,</w:t>
      </w:r>
      <w:r w:rsidRPr="00833366">
        <w:rPr>
          <w:rFonts w:ascii="Palatino Linotype" w:eastAsia="Times New Roman" w:hAnsi="Palatino Linotype" w:cs="Times New Roman"/>
          <w:b/>
          <w:sz w:val="24"/>
          <w:szCs w:val="24"/>
          <w:lang w:eastAsia="es-ES"/>
        </w:rPr>
        <w:t xml:space="preserve"> </w:t>
      </w:r>
      <w:r w:rsidRPr="00833366">
        <w:rPr>
          <w:rFonts w:ascii="Palatino Linotype" w:hAnsi="Palatino Linotype"/>
          <w:sz w:val="24"/>
          <w:szCs w:val="24"/>
        </w:rPr>
        <w:t xml:space="preserve">resultan parcialmente fundados los motivos de inconformidad vertidos por </w:t>
      </w:r>
      <w:r w:rsidRPr="00833366">
        <w:rPr>
          <w:rFonts w:ascii="Palatino Linotype" w:hAnsi="Palatino Linotype"/>
          <w:b/>
          <w:sz w:val="24"/>
          <w:szCs w:val="24"/>
        </w:rPr>
        <w:t xml:space="preserve">El Recurrente, </w:t>
      </w:r>
      <w:r w:rsidRPr="00833366">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833366">
        <w:rPr>
          <w:rFonts w:ascii="Palatino Linotype" w:hAnsi="Palatino Linotype"/>
          <w:b/>
          <w:sz w:val="24"/>
          <w:szCs w:val="24"/>
        </w:rPr>
        <w:t xml:space="preserve">MODIFICA </w:t>
      </w:r>
      <w:r w:rsidRPr="00833366">
        <w:rPr>
          <w:rFonts w:ascii="Palatino Linotype" w:hAnsi="Palatino Linotype"/>
          <w:bCs/>
          <w:sz w:val="24"/>
          <w:szCs w:val="24"/>
        </w:rPr>
        <w:t xml:space="preserve">la respuesta a la solicitud de información </w:t>
      </w:r>
      <w:r w:rsidR="0093133B" w:rsidRPr="00833366">
        <w:rPr>
          <w:rFonts w:ascii="Palatino Linotype" w:hAnsi="Palatino Linotype"/>
          <w:b/>
          <w:sz w:val="24"/>
          <w:szCs w:val="24"/>
        </w:rPr>
        <w:t xml:space="preserve">00012/DIFATIZAPAN/IP/2025. </w:t>
      </w:r>
      <w:r w:rsidRPr="00833366">
        <w:rPr>
          <w:rFonts w:ascii="Palatino Linotype" w:hAnsi="Palatino Linotype"/>
          <w:b/>
          <w:sz w:val="24"/>
          <w:szCs w:val="24"/>
        </w:rPr>
        <w:t xml:space="preserve">  </w:t>
      </w:r>
    </w:p>
    <w:p w14:paraId="71E79D2F" w14:textId="4BFD3325" w:rsidR="00B14A17" w:rsidRPr="00833366" w:rsidRDefault="00B14A17" w:rsidP="00833366">
      <w:pPr>
        <w:pStyle w:val="Prrafodelista"/>
        <w:spacing w:before="240" w:after="240" w:line="360" w:lineRule="auto"/>
        <w:ind w:left="0"/>
        <w:jc w:val="both"/>
        <w:rPr>
          <w:rFonts w:ascii="Palatino Linotype" w:hAnsi="Palatino Linotype"/>
        </w:rPr>
      </w:pPr>
      <w:r w:rsidRPr="00833366">
        <w:rPr>
          <w:rFonts w:ascii="Palatino Linotype" w:hAnsi="Palatino Linotype"/>
        </w:rPr>
        <w:t xml:space="preserve">Por lo antes expuesto y fundado es de resolverse y, </w:t>
      </w:r>
    </w:p>
    <w:p w14:paraId="5D860C7C" w14:textId="77777777" w:rsidR="00B14A17" w:rsidRPr="00833366" w:rsidRDefault="00B14A17" w:rsidP="00B14A17">
      <w:pPr>
        <w:spacing w:before="240" w:line="360" w:lineRule="auto"/>
        <w:jc w:val="center"/>
        <w:rPr>
          <w:rFonts w:ascii="Palatino Linotype" w:eastAsia="Times New Roman" w:hAnsi="Palatino Linotype"/>
          <w:b/>
          <w:bCs/>
          <w:spacing w:val="60"/>
          <w:sz w:val="24"/>
          <w:szCs w:val="24"/>
          <w:lang w:val="es-ES_tradnl"/>
        </w:rPr>
      </w:pPr>
      <w:r w:rsidRPr="00833366">
        <w:rPr>
          <w:rFonts w:ascii="Palatino Linotype" w:eastAsia="Times New Roman" w:hAnsi="Palatino Linotype"/>
          <w:b/>
          <w:bCs/>
          <w:spacing w:val="60"/>
          <w:sz w:val="24"/>
          <w:szCs w:val="24"/>
          <w:lang w:val="es-ES_tradnl"/>
        </w:rPr>
        <w:t>SE    RESUELVE</w:t>
      </w:r>
    </w:p>
    <w:p w14:paraId="7A99C6FD" w14:textId="6F8C4DDF" w:rsidR="00B14A17" w:rsidRPr="00833366" w:rsidRDefault="00B14A17" w:rsidP="00B14A17">
      <w:pPr>
        <w:tabs>
          <w:tab w:val="left" w:pos="8647"/>
        </w:tabs>
        <w:spacing w:line="360" w:lineRule="auto"/>
        <w:ind w:right="51"/>
        <w:jc w:val="both"/>
        <w:rPr>
          <w:rFonts w:ascii="Palatino Linotype" w:hAnsi="Palatino Linotype" w:cs="Arial"/>
          <w:sz w:val="24"/>
        </w:rPr>
      </w:pPr>
      <w:r w:rsidRPr="00833366">
        <w:rPr>
          <w:rFonts w:ascii="Palatino Linotype" w:eastAsiaTheme="minorEastAsia" w:hAnsi="Palatino Linotype" w:cs="Arial"/>
          <w:b/>
          <w:sz w:val="24"/>
          <w:szCs w:val="24"/>
          <w:lang w:val="es-ES_tradnl"/>
        </w:rPr>
        <w:t>PRIMERO.</w:t>
      </w:r>
      <w:r w:rsidRPr="00833366">
        <w:rPr>
          <w:rFonts w:ascii="Palatino Linotype" w:eastAsiaTheme="minorEastAsia" w:hAnsi="Palatino Linotype" w:cs="Arial"/>
          <w:sz w:val="24"/>
          <w:szCs w:val="24"/>
          <w:lang w:val="es-ES_tradnl"/>
        </w:rPr>
        <w:t xml:space="preserve"> </w:t>
      </w:r>
      <w:r w:rsidRPr="00833366">
        <w:rPr>
          <w:rFonts w:ascii="Palatino Linotype" w:hAnsi="Palatino Linotype" w:cs="Arial"/>
          <w:sz w:val="24"/>
          <w:szCs w:val="24"/>
        </w:rPr>
        <w:t xml:space="preserve">Se </w:t>
      </w:r>
      <w:r w:rsidRPr="00833366">
        <w:rPr>
          <w:rFonts w:ascii="Palatino Linotype" w:hAnsi="Palatino Linotype" w:cs="Arial"/>
          <w:b/>
          <w:sz w:val="24"/>
          <w:szCs w:val="24"/>
        </w:rPr>
        <w:t xml:space="preserve">MODIFICA </w:t>
      </w:r>
      <w:r w:rsidRPr="00833366">
        <w:rPr>
          <w:rFonts w:ascii="Palatino Linotype" w:hAnsi="Palatino Linotype" w:cs="Arial"/>
          <w:sz w:val="24"/>
          <w:szCs w:val="24"/>
        </w:rPr>
        <w:t xml:space="preserve">la respuesta entregada por </w:t>
      </w:r>
      <w:r w:rsidRPr="00833366">
        <w:rPr>
          <w:rFonts w:ascii="Palatino Linotype" w:hAnsi="Palatino Linotype" w:cs="Arial"/>
          <w:b/>
          <w:sz w:val="24"/>
          <w:szCs w:val="24"/>
        </w:rPr>
        <w:t xml:space="preserve">EL SUJETO OBLIGADO, </w:t>
      </w:r>
      <w:r w:rsidRPr="00833366">
        <w:rPr>
          <w:rFonts w:ascii="Palatino Linotype" w:hAnsi="Palatino Linotype" w:cs="Arial"/>
          <w:sz w:val="24"/>
          <w:szCs w:val="24"/>
        </w:rPr>
        <w:t xml:space="preserve">a la solicitud de información número </w:t>
      </w:r>
      <w:r w:rsidR="0093133B" w:rsidRPr="00833366">
        <w:rPr>
          <w:rFonts w:ascii="Palatino Linotype" w:hAnsi="Palatino Linotype"/>
          <w:b/>
          <w:sz w:val="24"/>
          <w:szCs w:val="24"/>
        </w:rPr>
        <w:t>00012/DIFATIZAPAN/IP/2025</w:t>
      </w:r>
      <w:r w:rsidRPr="00833366">
        <w:rPr>
          <w:rFonts w:ascii="Palatino Linotype" w:hAnsi="Palatino Linotype"/>
          <w:b/>
          <w:bCs/>
          <w:sz w:val="24"/>
          <w:szCs w:val="24"/>
        </w:rPr>
        <w:t xml:space="preserve">, </w:t>
      </w:r>
      <w:r w:rsidRPr="00833366">
        <w:rPr>
          <w:rFonts w:ascii="Palatino Linotype" w:hAnsi="Palatino Linotype" w:cs="Arial"/>
          <w:sz w:val="24"/>
          <w:szCs w:val="24"/>
        </w:rPr>
        <w:t xml:space="preserve">por resultar parcialmente fundados los motivos de inconformidad que arguye </w:t>
      </w:r>
      <w:r w:rsidRPr="00833366">
        <w:rPr>
          <w:rFonts w:ascii="Palatino Linotype" w:hAnsi="Palatino Linotype" w:cs="Arial"/>
          <w:b/>
          <w:bCs/>
          <w:sz w:val="24"/>
          <w:szCs w:val="24"/>
        </w:rPr>
        <w:t xml:space="preserve">EL RECURRENTE, </w:t>
      </w:r>
      <w:r w:rsidRPr="00833366">
        <w:rPr>
          <w:rFonts w:ascii="Palatino Linotype" w:hAnsi="Palatino Linotype" w:cs="Arial"/>
          <w:sz w:val="24"/>
        </w:rPr>
        <w:t xml:space="preserve">en términos del </w:t>
      </w:r>
      <w:r w:rsidRPr="00833366">
        <w:rPr>
          <w:rFonts w:ascii="Palatino Linotype" w:hAnsi="Palatino Linotype" w:cs="Arial"/>
          <w:b/>
          <w:sz w:val="24"/>
        </w:rPr>
        <w:t xml:space="preserve">Considerando CUARTO </w:t>
      </w:r>
      <w:r w:rsidRPr="00833366">
        <w:rPr>
          <w:rFonts w:ascii="Palatino Linotype" w:hAnsi="Palatino Linotype" w:cs="Arial"/>
          <w:sz w:val="24"/>
        </w:rPr>
        <w:t xml:space="preserve">de la presente resolución. </w:t>
      </w:r>
    </w:p>
    <w:p w14:paraId="3C77173A" w14:textId="77777777" w:rsidR="009624B9" w:rsidRPr="00833366" w:rsidRDefault="009624B9" w:rsidP="00B14A17">
      <w:pPr>
        <w:tabs>
          <w:tab w:val="left" w:pos="8647"/>
        </w:tabs>
        <w:spacing w:line="360" w:lineRule="auto"/>
        <w:ind w:right="51"/>
        <w:jc w:val="both"/>
        <w:rPr>
          <w:rFonts w:ascii="Palatino Linotype" w:hAnsi="Palatino Linotype" w:cs="Arial"/>
          <w:sz w:val="24"/>
        </w:rPr>
      </w:pPr>
    </w:p>
    <w:p w14:paraId="0B6DEDF1" w14:textId="01B75657" w:rsidR="00B14A17" w:rsidRPr="00833366" w:rsidRDefault="00B14A17" w:rsidP="00B14A17">
      <w:pPr>
        <w:autoSpaceDE w:val="0"/>
        <w:autoSpaceDN w:val="0"/>
        <w:adjustRightInd w:val="0"/>
        <w:spacing w:before="240" w:line="360" w:lineRule="auto"/>
        <w:ind w:right="49"/>
        <w:jc w:val="both"/>
        <w:rPr>
          <w:rFonts w:ascii="Palatino Linotype" w:hAnsi="Palatino Linotype" w:cs="Arial"/>
          <w:sz w:val="24"/>
          <w:szCs w:val="24"/>
        </w:rPr>
      </w:pPr>
      <w:r w:rsidRPr="00833366">
        <w:rPr>
          <w:rFonts w:ascii="Palatino Linotype" w:hAnsi="Palatino Linotype" w:cs="Arial"/>
          <w:b/>
          <w:sz w:val="24"/>
          <w:szCs w:val="24"/>
        </w:rPr>
        <w:t>SEGUNDO.</w:t>
      </w:r>
      <w:r w:rsidRPr="00833366">
        <w:rPr>
          <w:rFonts w:ascii="Palatino Linotype" w:hAnsi="Palatino Linotype" w:cs="Arial"/>
          <w:sz w:val="24"/>
          <w:szCs w:val="24"/>
        </w:rPr>
        <w:t xml:space="preserve"> Se </w:t>
      </w:r>
      <w:r w:rsidRPr="00833366">
        <w:rPr>
          <w:rFonts w:ascii="Palatino Linotype" w:hAnsi="Palatino Linotype" w:cs="Arial"/>
          <w:b/>
          <w:sz w:val="24"/>
          <w:szCs w:val="24"/>
        </w:rPr>
        <w:t>ORDENA</w:t>
      </w:r>
      <w:r w:rsidRPr="00833366">
        <w:rPr>
          <w:rFonts w:ascii="Palatino Linotype" w:hAnsi="Palatino Linotype" w:cs="Arial"/>
          <w:sz w:val="24"/>
          <w:szCs w:val="24"/>
        </w:rPr>
        <w:t xml:space="preserve"> al </w:t>
      </w:r>
      <w:r w:rsidRPr="00833366">
        <w:rPr>
          <w:rFonts w:ascii="Palatino Linotype" w:hAnsi="Palatino Linotype" w:cs="Arial"/>
          <w:b/>
          <w:sz w:val="24"/>
          <w:szCs w:val="24"/>
        </w:rPr>
        <w:t>SUJETO OBLIGADO</w:t>
      </w:r>
      <w:r w:rsidRPr="00833366">
        <w:rPr>
          <w:rFonts w:ascii="Palatino Linotype" w:hAnsi="Palatino Linotype" w:cs="Arial"/>
          <w:sz w:val="24"/>
          <w:szCs w:val="24"/>
        </w:rPr>
        <w:t xml:space="preserve"> </w:t>
      </w:r>
      <w:r w:rsidR="00596C62" w:rsidRPr="00833366">
        <w:rPr>
          <w:rFonts w:ascii="Palatino Linotype" w:hAnsi="Palatino Linotype" w:cs="Arial"/>
          <w:sz w:val="24"/>
          <w:szCs w:val="24"/>
        </w:rPr>
        <w:t>haga entrega al</w:t>
      </w:r>
      <w:r w:rsidRPr="00833366">
        <w:rPr>
          <w:rFonts w:ascii="Palatino Linotype" w:hAnsi="Palatino Linotype" w:cs="Arial"/>
          <w:sz w:val="24"/>
          <w:szCs w:val="24"/>
        </w:rPr>
        <w:t xml:space="preserve"> </w:t>
      </w:r>
      <w:r w:rsidRPr="00833366">
        <w:rPr>
          <w:rFonts w:ascii="Palatino Linotype" w:hAnsi="Palatino Linotype" w:cs="Arial"/>
          <w:b/>
          <w:bCs/>
          <w:sz w:val="24"/>
          <w:szCs w:val="24"/>
        </w:rPr>
        <w:t xml:space="preserve">RECURRENTE, </w:t>
      </w:r>
      <w:r w:rsidRPr="00833366">
        <w:rPr>
          <w:rFonts w:ascii="Palatino Linotype" w:eastAsia="Times New Roman" w:hAnsi="Palatino Linotype" w:cs="Arial"/>
          <w:bCs/>
          <w:sz w:val="24"/>
          <w:szCs w:val="24"/>
          <w:lang w:eastAsia="es-ES"/>
        </w:rPr>
        <w:t>vía</w:t>
      </w:r>
      <w:r w:rsidRPr="00833366">
        <w:rPr>
          <w:rFonts w:ascii="Palatino Linotype" w:eastAsia="Times New Roman" w:hAnsi="Palatino Linotype" w:cs="Arial"/>
          <w:b/>
          <w:sz w:val="24"/>
          <w:szCs w:val="24"/>
          <w:lang w:eastAsia="es-ES"/>
        </w:rPr>
        <w:t xml:space="preserve"> </w:t>
      </w:r>
      <w:r w:rsidRPr="00833366">
        <w:rPr>
          <w:rFonts w:ascii="Palatino Linotype" w:hAnsi="Palatino Linotype" w:cs="Arial"/>
          <w:sz w:val="24"/>
          <w:szCs w:val="24"/>
        </w:rPr>
        <w:t xml:space="preserve">Sistema de Acceso a la Información Mexiquense </w:t>
      </w:r>
      <w:r w:rsidRPr="00833366">
        <w:rPr>
          <w:rFonts w:ascii="Palatino Linotype" w:hAnsi="Palatino Linotype" w:cs="Arial"/>
          <w:b/>
          <w:sz w:val="24"/>
          <w:szCs w:val="24"/>
        </w:rPr>
        <w:t>(SAIMEX),</w:t>
      </w:r>
      <w:r w:rsidRPr="00833366">
        <w:rPr>
          <w:rFonts w:ascii="Palatino Linotype" w:hAnsi="Palatino Linotype" w:cs="Arial"/>
          <w:b/>
          <w:bCs/>
          <w:sz w:val="24"/>
          <w:szCs w:val="24"/>
        </w:rPr>
        <w:t xml:space="preserve"> </w:t>
      </w:r>
      <w:r w:rsidR="0084078D" w:rsidRPr="00833366">
        <w:rPr>
          <w:rFonts w:ascii="Palatino Linotype" w:hAnsi="Palatino Linotype" w:cs="Arial"/>
          <w:sz w:val="24"/>
          <w:szCs w:val="24"/>
        </w:rPr>
        <w:t xml:space="preserve">en versión pública, </w:t>
      </w:r>
      <w:r w:rsidRPr="00833366">
        <w:rPr>
          <w:rFonts w:ascii="Palatino Linotype" w:hAnsi="Palatino Linotype" w:cs="Arial"/>
          <w:sz w:val="24"/>
          <w:szCs w:val="24"/>
        </w:rPr>
        <w:t xml:space="preserve">en términos del Considerando </w:t>
      </w:r>
      <w:r w:rsidRPr="00833366">
        <w:rPr>
          <w:rFonts w:ascii="Palatino Linotype" w:hAnsi="Palatino Linotype" w:cs="Arial"/>
          <w:b/>
          <w:sz w:val="24"/>
          <w:szCs w:val="24"/>
        </w:rPr>
        <w:t xml:space="preserve">CUARTO </w:t>
      </w:r>
      <w:r w:rsidRPr="00833366">
        <w:rPr>
          <w:rFonts w:ascii="Palatino Linotype" w:hAnsi="Palatino Linotype" w:cs="Arial"/>
          <w:sz w:val="24"/>
          <w:szCs w:val="24"/>
        </w:rPr>
        <w:t>de esta resolución</w:t>
      </w:r>
      <w:r w:rsidRPr="00833366">
        <w:rPr>
          <w:rFonts w:ascii="Palatino Linotype" w:hAnsi="Palatino Linotype" w:cs="Arial"/>
          <w:b/>
          <w:sz w:val="24"/>
          <w:szCs w:val="24"/>
        </w:rPr>
        <w:t xml:space="preserve">, </w:t>
      </w:r>
      <w:r w:rsidRPr="00833366">
        <w:rPr>
          <w:rFonts w:ascii="Palatino Linotype" w:hAnsi="Palatino Linotype" w:cs="Arial"/>
          <w:sz w:val="24"/>
          <w:szCs w:val="24"/>
        </w:rPr>
        <w:t>de lo siguiente:</w:t>
      </w:r>
    </w:p>
    <w:p w14:paraId="26E4EEC4" w14:textId="77777777" w:rsidR="00E87FEC" w:rsidRPr="00833366" w:rsidRDefault="00E87FEC" w:rsidP="00E87FEC">
      <w:pPr>
        <w:pStyle w:val="Prrafodelista"/>
        <w:numPr>
          <w:ilvl w:val="0"/>
          <w:numId w:val="3"/>
        </w:numPr>
        <w:autoSpaceDE w:val="0"/>
        <w:autoSpaceDN w:val="0"/>
        <w:adjustRightInd w:val="0"/>
        <w:spacing w:before="240" w:line="360" w:lineRule="auto"/>
        <w:jc w:val="both"/>
        <w:rPr>
          <w:rFonts w:ascii="Palatino Linotype" w:hAnsi="Palatino Linotype" w:cs="Arial"/>
          <w:i/>
          <w:iCs/>
        </w:rPr>
      </w:pPr>
      <w:r w:rsidRPr="00833366">
        <w:rPr>
          <w:rFonts w:ascii="Palatino Linotype" w:hAnsi="Palatino Linotype" w:cs="Arial"/>
          <w:i/>
          <w:iCs/>
        </w:rPr>
        <w:t xml:space="preserve">Dispersión de nómina, del periodo comprendido del uno de marzo al treinta de junio de dos mil veinticinco, remitido mediante respuesta en correcta versión pública. </w:t>
      </w:r>
    </w:p>
    <w:p w14:paraId="37A8AC0C" w14:textId="77777777" w:rsidR="00E87FEC" w:rsidRPr="00833366" w:rsidRDefault="00E87FEC" w:rsidP="00E87FEC">
      <w:pPr>
        <w:pStyle w:val="Prrafodelista"/>
        <w:numPr>
          <w:ilvl w:val="0"/>
          <w:numId w:val="3"/>
        </w:numPr>
        <w:autoSpaceDE w:val="0"/>
        <w:autoSpaceDN w:val="0"/>
        <w:adjustRightInd w:val="0"/>
        <w:spacing w:before="240" w:line="360" w:lineRule="auto"/>
        <w:jc w:val="both"/>
        <w:rPr>
          <w:rFonts w:ascii="Palatino Linotype" w:hAnsi="Palatino Linotype" w:cs="Arial"/>
          <w:i/>
          <w:iCs/>
        </w:rPr>
      </w:pPr>
      <w:r w:rsidRPr="00833366">
        <w:rPr>
          <w:rFonts w:ascii="Palatino Linotype" w:hAnsi="Palatino Linotype" w:cs="Arial"/>
          <w:i/>
          <w:iCs/>
        </w:rPr>
        <w:t xml:space="preserve">Dispersión de nómina, del periodo comprendido del uno al treinta y uno de julio de dos mil veinticinco. </w:t>
      </w:r>
    </w:p>
    <w:p w14:paraId="5CDD0FD7" w14:textId="77777777" w:rsidR="00E87FEC" w:rsidRPr="00833366" w:rsidRDefault="00E87FEC" w:rsidP="00E87FEC">
      <w:pPr>
        <w:pStyle w:val="Prrafodelista"/>
        <w:numPr>
          <w:ilvl w:val="0"/>
          <w:numId w:val="3"/>
        </w:numPr>
        <w:autoSpaceDE w:val="0"/>
        <w:autoSpaceDN w:val="0"/>
        <w:adjustRightInd w:val="0"/>
        <w:spacing w:before="240" w:line="360" w:lineRule="auto"/>
        <w:jc w:val="both"/>
        <w:rPr>
          <w:rFonts w:ascii="Palatino Linotype" w:hAnsi="Palatino Linotype" w:cs="Arial"/>
          <w:i/>
          <w:iCs/>
        </w:rPr>
      </w:pPr>
      <w:r w:rsidRPr="00833366">
        <w:rPr>
          <w:rFonts w:ascii="Palatino Linotype" w:hAnsi="Palatino Linotype" w:cs="Arial"/>
          <w:i/>
          <w:iCs/>
        </w:rPr>
        <w:lastRenderedPageBreak/>
        <w:t xml:space="preserve">Conciliación de nómina completa, del periodo comprendido del uno de enero al treinta y uno de julio de dos mil veinticinco.  </w:t>
      </w:r>
    </w:p>
    <w:p w14:paraId="7777923E" w14:textId="77777777" w:rsidR="00EA304C" w:rsidRPr="00833366" w:rsidRDefault="00EA304C" w:rsidP="0093133B">
      <w:pPr>
        <w:pStyle w:val="Sinespaciado"/>
        <w:spacing w:line="360" w:lineRule="auto"/>
        <w:ind w:left="782"/>
        <w:jc w:val="both"/>
        <w:rPr>
          <w:rFonts w:ascii="Palatino Linotype" w:hAnsi="Palatino Linotype" w:cs="Arial"/>
          <w:i/>
        </w:rPr>
      </w:pPr>
    </w:p>
    <w:p w14:paraId="1C222C92" w14:textId="1E1A7141" w:rsidR="0093133B" w:rsidRPr="00833366" w:rsidRDefault="0093133B" w:rsidP="0093133B">
      <w:pPr>
        <w:pStyle w:val="Sinespaciado"/>
        <w:spacing w:line="360" w:lineRule="auto"/>
        <w:ind w:left="782"/>
        <w:jc w:val="both"/>
        <w:rPr>
          <w:rFonts w:ascii="Palatino Linotype" w:hAnsi="Palatino Linotype" w:cs="Arial"/>
          <w:i/>
        </w:rPr>
      </w:pPr>
      <w:r w:rsidRPr="00833366">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674A0D" w:rsidRPr="00833366">
        <w:rPr>
          <w:rFonts w:ascii="Palatino Linotype" w:hAnsi="Palatino Linotype" w:cs="Arial"/>
          <w:i/>
        </w:rPr>
        <w:t xml:space="preserve">. </w:t>
      </w:r>
    </w:p>
    <w:p w14:paraId="6E10FC92" w14:textId="77777777" w:rsidR="00596C62" w:rsidRPr="00833366" w:rsidRDefault="00596C62" w:rsidP="00596C62">
      <w:pPr>
        <w:pStyle w:val="Prrafodelista"/>
        <w:autoSpaceDE w:val="0"/>
        <w:autoSpaceDN w:val="0"/>
        <w:adjustRightInd w:val="0"/>
        <w:spacing w:before="240" w:after="160" w:line="360" w:lineRule="auto"/>
        <w:ind w:left="720"/>
        <w:jc w:val="both"/>
        <w:rPr>
          <w:rFonts w:ascii="Palatino Linotype" w:hAnsi="Palatino Linotype" w:cs="Arial"/>
          <w:i/>
          <w:iCs/>
        </w:rPr>
      </w:pPr>
    </w:p>
    <w:p w14:paraId="12BD91EA" w14:textId="77777777" w:rsidR="00B14A17" w:rsidRPr="00833366" w:rsidRDefault="00B14A17" w:rsidP="00B14A17">
      <w:pPr>
        <w:autoSpaceDE w:val="0"/>
        <w:autoSpaceDN w:val="0"/>
        <w:adjustRightInd w:val="0"/>
        <w:spacing w:line="360" w:lineRule="auto"/>
        <w:ind w:right="49"/>
        <w:jc w:val="both"/>
        <w:rPr>
          <w:rFonts w:ascii="Palatino Linotype" w:hAnsi="Palatino Linotype" w:cstheme="minorHAnsi"/>
          <w:sz w:val="24"/>
          <w:szCs w:val="24"/>
        </w:rPr>
      </w:pPr>
      <w:r w:rsidRPr="00833366">
        <w:rPr>
          <w:rFonts w:ascii="Palatino Linotype" w:hAnsi="Palatino Linotype" w:cs="Arial"/>
          <w:b/>
          <w:sz w:val="28"/>
          <w:szCs w:val="28"/>
        </w:rPr>
        <w:t>TERCERO.</w:t>
      </w:r>
      <w:r w:rsidRPr="00833366">
        <w:rPr>
          <w:rFonts w:ascii="Palatino Linotype" w:hAnsi="Palatino Linotype" w:cs="Arial"/>
          <w:b/>
          <w:sz w:val="24"/>
          <w:szCs w:val="24"/>
        </w:rPr>
        <w:t xml:space="preserve"> </w:t>
      </w:r>
      <w:r w:rsidRPr="00833366">
        <w:rPr>
          <w:rFonts w:ascii="Palatino Linotype" w:hAnsi="Palatino Linotype" w:cstheme="minorHAnsi"/>
          <w:b/>
          <w:sz w:val="24"/>
          <w:szCs w:val="24"/>
        </w:rPr>
        <w:t>NOTIFÍQUESE</w:t>
      </w:r>
      <w:r w:rsidRPr="00833366">
        <w:rPr>
          <w:rFonts w:ascii="Palatino Linotype" w:hAnsi="Palatino Linotype" w:cstheme="minorHAnsi"/>
          <w:i/>
          <w:sz w:val="24"/>
          <w:szCs w:val="24"/>
        </w:rPr>
        <w:t xml:space="preserve"> </w:t>
      </w:r>
      <w:r w:rsidRPr="00833366">
        <w:rPr>
          <w:rFonts w:ascii="Palatino Linotype" w:hAnsi="Palatino Linotype" w:cstheme="minorHAnsi"/>
          <w:sz w:val="24"/>
          <w:szCs w:val="24"/>
        </w:rPr>
        <w:t xml:space="preserve">la presente resolución al Titular de la Unidad de Transparencia del Sujeto Obligado, </w:t>
      </w:r>
      <w:r w:rsidRPr="00833366">
        <w:rPr>
          <w:rFonts w:ascii="Palatino Linotype" w:eastAsia="Times New Roman" w:hAnsi="Palatino Linotype" w:cs="Arial"/>
          <w:b/>
          <w:sz w:val="24"/>
          <w:szCs w:val="24"/>
          <w:lang w:eastAsia="es-ES"/>
        </w:rPr>
        <w:t xml:space="preserve">vía </w:t>
      </w:r>
      <w:r w:rsidRPr="00833366">
        <w:rPr>
          <w:rFonts w:ascii="Palatino Linotype" w:hAnsi="Palatino Linotype" w:cs="Arial"/>
          <w:sz w:val="24"/>
          <w:szCs w:val="24"/>
        </w:rPr>
        <w:t xml:space="preserve">Sistema de Acceso a la Información Mexiquense </w:t>
      </w:r>
      <w:r w:rsidRPr="00833366">
        <w:rPr>
          <w:rFonts w:ascii="Palatino Linotype" w:hAnsi="Palatino Linotype" w:cs="Arial"/>
          <w:b/>
          <w:sz w:val="24"/>
          <w:szCs w:val="24"/>
        </w:rPr>
        <w:t xml:space="preserve">(SAIMEX), </w:t>
      </w:r>
      <w:r w:rsidRPr="00833366">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E3D6EC" w14:textId="77777777" w:rsidR="00596C62" w:rsidRPr="00833366" w:rsidRDefault="00596C62" w:rsidP="00B14A17">
      <w:pPr>
        <w:autoSpaceDE w:val="0"/>
        <w:autoSpaceDN w:val="0"/>
        <w:adjustRightInd w:val="0"/>
        <w:spacing w:line="360" w:lineRule="auto"/>
        <w:ind w:right="49"/>
        <w:jc w:val="both"/>
        <w:rPr>
          <w:rFonts w:ascii="Palatino Linotype" w:hAnsi="Palatino Linotype" w:cstheme="minorHAnsi"/>
          <w:sz w:val="24"/>
          <w:szCs w:val="24"/>
        </w:rPr>
      </w:pPr>
    </w:p>
    <w:p w14:paraId="0D936CEB" w14:textId="77777777" w:rsidR="00B14A17" w:rsidRPr="00833366" w:rsidRDefault="00B14A17" w:rsidP="00B14A17">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3366">
        <w:rPr>
          <w:rFonts w:ascii="Palatino Linotype" w:eastAsia="Times New Roman" w:hAnsi="Palatino Linotype" w:cs="Arial"/>
          <w:b/>
          <w:sz w:val="28"/>
          <w:szCs w:val="28"/>
          <w:lang w:eastAsia="es-ES"/>
        </w:rPr>
        <w:lastRenderedPageBreak/>
        <w:t>CUARTO.</w:t>
      </w:r>
      <w:r w:rsidRPr="00833366">
        <w:rPr>
          <w:rFonts w:ascii="Palatino Linotype" w:eastAsia="Times New Roman" w:hAnsi="Palatino Linotype" w:cs="Arial"/>
          <w:b/>
          <w:sz w:val="24"/>
          <w:szCs w:val="24"/>
          <w:lang w:eastAsia="es-ES"/>
        </w:rPr>
        <w:t xml:space="preserve"> </w:t>
      </w:r>
      <w:r w:rsidRPr="00833366">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833366">
        <w:rPr>
          <w:rFonts w:ascii="Palatino Linotype" w:eastAsia="Times New Roman" w:hAnsi="Palatino Linotype" w:cs="Arial"/>
          <w:b/>
          <w:sz w:val="24"/>
          <w:szCs w:val="24"/>
          <w:lang w:eastAsia="es-ES"/>
        </w:rPr>
        <w:t>Sujeto Obligado</w:t>
      </w:r>
      <w:r w:rsidRPr="00833366">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6BC61B9B" w14:textId="77777777" w:rsidR="00B14A17" w:rsidRPr="00833366" w:rsidRDefault="00B14A17" w:rsidP="00B14A1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A1DF7E8" w14:textId="77777777" w:rsidR="00B14A17" w:rsidRPr="00833366" w:rsidRDefault="00B14A17" w:rsidP="00B14A17">
      <w:pPr>
        <w:spacing w:after="0" w:line="360" w:lineRule="auto"/>
        <w:jc w:val="both"/>
        <w:rPr>
          <w:rFonts w:ascii="Palatino Linotype" w:hAnsi="Palatino Linotype"/>
          <w:sz w:val="24"/>
          <w:szCs w:val="24"/>
        </w:rPr>
      </w:pPr>
      <w:r w:rsidRPr="00833366">
        <w:rPr>
          <w:rFonts w:ascii="Palatino Linotype" w:eastAsia="Times New Roman" w:hAnsi="Palatino Linotype" w:cs="Arial"/>
          <w:b/>
          <w:sz w:val="28"/>
          <w:szCs w:val="28"/>
          <w:lang w:eastAsia="es-ES"/>
        </w:rPr>
        <w:t>QUINTO.</w:t>
      </w:r>
      <w:r w:rsidRPr="00833366">
        <w:rPr>
          <w:rFonts w:ascii="Palatino Linotype" w:eastAsia="Times New Roman" w:hAnsi="Palatino Linotype" w:cs="Arial"/>
          <w:b/>
          <w:sz w:val="24"/>
          <w:szCs w:val="24"/>
          <w:lang w:eastAsia="es-ES"/>
        </w:rPr>
        <w:t xml:space="preserve"> NOTIFÍQUESE </w:t>
      </w:r>
      <w:r w:rsidRPr="00833366">
        <w:rPr>
          <w:rFonts w:ascii="Palatino Linotype" w:eastAsia="Times New Roman" w:hAnsi="Palatino Linotype" w:cs="Arial"/>
          <w:sz w:val="24"/>
          <w:szCs w:val="24"/>
          <w:lang w:eastAsia="es-ES"/>
        </w:rPr>
        <w:t xml:space="preserve">la presente resolución al </w:t>
      </w:r>
      <w:r w:rsidRPr="00833366">
        <w:rPr>
          <w:rFonts w:ascii="Palatino Linotype" w:eastAsia="Times New Roman" w:hAnsi="Palatino Linotype" w:cs="Arial"/>
          <w:b/>
          <w:sz w:val="24"/>
          <w:szCs w:val="24"/>
          <w:lang w:eastAsia="es-ES"/>
        </w:rPr>
        <w:t xml:space="preserve">RECURRENTE vía </w:t>
      </w:r>
      <w:r w:rsidRPr="00833366">
        <w:rPr>
          <w:rFonts w:ascii="Palatino Linotype" w:hAnsi="Palatino Linotype" w:cs="Arial"/>
          <w:sz w:val="24"/>
          <w:szCs w:val="24"/>
        </w:rPr>
        <w:t xml:space="preserve">Sistema de Acceso a la Información Mexiquense </w:t>
      </w:r>
      <w:r w:rsidRPr="00833366">
        <w:rPr>
          <w:rFonts w:ascii="Palatino Linotype" w:hAnsi="Palatino Linotype" w:cs="Arial"/>
          <w:b/>
          <w:sz w:val="24"/>
          <w:szCs w:val="24"/>
        </w:rPr>
        <w:t xml:space="preserve">(SAIMEX) </w:t>
      </w:r>
      <w:r w:rsidRPr="00833366">
        <w:rPr>
          <w:rFonts w:ascii="Palatino Linotype" w:eastAsia="Times New Roman" w:hAnsi="Palatino Linotype" w:cs="Arial"/>
          <w:sz w:val="24"/>
          <w:szCs w:val="24"/>
          <w:lang w:eastAsia="es-ES"/>
        </w:rPr>
        <w:t xml:space="preserve">y hágase de su conocimiento que, </w:t>
      </w:r>
      <w:r w:rsidRPr="00833366">
        <w:rPr>
          <w:rFonts w:ascii="Palatino Linotype" w:eastAsia="Times New Roman" w:hAnsi="Palatino Linotype" w:cs="Times New Roman"/>
          <w:color w:val="222222"/>
          <w:sz w:val="24"/>
          <w:szCs w:val="24"/>
          <w:shd w:val="clear" w:color="auto" w:fill="FFFFFF"/>
          <w:lang w:eastAsia="es-ES"/>
        </w:rPr>
        <w:t xml:space="preserve">de conformidad con lo </w:t>
      </w:r>
      <w:r w:rsidRPr="00833366">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833366">
        <w:rPr>
          <w:rFonts w:ascii="Palatino Linotype" w:eastAsia="Times New Roman" w:hAnsi="Palatino Linotype" w:cs="Times New Roman"/>
          <w:color w:val="222222"/>
          <w:sz w:val="24"/>
          <w:szCs w:val="24"/>
          <w:shd w:val="clear" w:color="auto" w:fill="FFFFFF"/>
          <w:lang w:eastAsia="es-ES"/>
        </w:rPr>
        <w:t xml:space="preserve">leyes </w:t>
      </w:r>
      <w:r w:rsidRPr="00833366">
        <w:rPr>
          <w:rFonts w:ascii="Palatino Linotype" w:eastAsia="Times New Roman" w:hAnsi="Palatino Linotype" w:cs="Times New Roman"/>
          <w:color w:val="222222"/>
          <w:sz w:val="24"/>
          <w:szCs w:val="24"/>
          <w:lang w:eastAsia="es-ES"/>
        </w:rPr>
        <w:t>aplicables.</w:t>
      </w:r>
    </w:p>
    <w:p w14:paraId="5ABC36A7" w14:textId="77777777" w:rsidR="00B14A17" w:rsidRPr="00833366" w:rsidRDefault="00B14A17" w:rsidP="00B14A17">
      <w:pPr>
        <w:pStyle w:val="Citas"/>
        <w:ind w:left="0" w:right="-18"/>
        <w:rPr>
          <w:bCs/>
          <w:i w:val="0"/>
          <w:iCs/>
          <w:sz w:val="18"/>
          <w:szCs w:val="18"/>
        </w:rPr>
      </w:pPr>
    </w:p>
    <w:p w14:paraId="65D6F246" w14:textId="3C1D52C5" w:rsidR="0068554E" w:rsidRPr="00833366" w:rsidRDefault="00833366" w:rsidP="0068554E">
      <w:pPr>
        <w:pStyle w:val="Prrafodelista"/>
        <w:autoSpaceDE w:val="0"/>
        <w:autoSpaceDN w:val="0"/>
        <w:adjustRightInd w:val="0"/>
        <w:spacing w:before="240" w:after="160" w:line="360" w:lineRule="auto"/>
        <w:ind w:left="0"/>
        <w:jc w:val="both"/>
        <w:rPr>
          <w:rFonts w:ascii="Palatino Linotype" w:hAnsi="Palatino Linotype" w:cs="Arial"/>
          <w:lang w:val="es-MX"/>
        </w:rPr>
      </w:pPr>
      <w:r w:rsidRPr="00833366">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68554E" w:rsidRPr="00833366">
        <w:rPr>
          <w:rFonts w:ascii="Palatino Linotype" w:hAnsi="Palatino Linotype" w:cs="Arial"/>
          <w:lang w:val="es-MX"/>
        </w:rPr>
        <w:t xml:space="preserve">. </w:t>
      </w:r>
    </w:p>
    <w:p w14:paraId="58B5416B" w14:textId="02194432" w:rsidR="007A7656" w:rsidRDefault="0068554E" w:rsidP="0068554E">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833366">
        <w:rPr>
          <w:rFonts w:ascii="Palatino Linotype" w:hAnsi="Palatino Linotype"/>
          <w:bCs/>
          <w:sz w:val="18"/>
          <w:szCs w:val="18"/>
          <w:lang w:val="es-MX"/>
        </w:rPr>
        <w:t>CCR/JCMA</w:t>
      </w:r>
    </w:p>
    <w:p w14:paraId="35E0CAE2" w14:textId="4B9FFBA4" w:rsidR="007A7656" w:rsidRDefault="007A7656" w:rsidP="007A765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1A97318" w14:textId="77777777" w:rsidR="007A7656" w:rsidRDefault="007A7656" w:rsidP="007A765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F0FDFC" w14:textId="77777777" w:rsidR="007A7656" w:rsidRDefault="007A7656" w:rsidP="007A765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0A2E6E0" w14:textId="77777777" w:rsidR="007A7656" w:rsidRDefault="007A7656" w:rsidP="007A765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FCFDEE4" w14:textId="77777777" w:rsidR="007A7656" w:rsidRDefault="007A7656" w:rsidP="007A765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6C08CE3" w14:textId="77777777" w:rsidR="007A7656" w:rsidRDefault="007A7656" w:rsidP="007A7656">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bookmarkEnd w:id="7"/>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3B8C4" w14:textId="77777777" w:rsidR="00A330E1" w:rsidRDefault="00A330E1" w:rsidP="006168E4">
      <w:pPr>
        <w:spacing w:after="0" w:line="240" w:lineRule="auto"/>
      </w:pPr>
      <w:r>
        <w:separator/>
      </w:r>
    </w:p>
  </w:endnote>
  <w:endnote w:type="continuationSeparator" w:id="0">
    <w:p w14:paraId="253E5E34" w14:textId="77777777" w:rsidR="00A330E1" w:rsidRDefault="00A330E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3BEBD9D0"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690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6905">
      <w:rPr>
        <w:rFonts w:ascii="Palatino Linotype" w:hAnsi="Palatino Linotype"/>
        <w:bCs/>
        <w:noProof/>
        <w:sz w:val="20"/>
      </w:rPr>
      <w:t>66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432BDDE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69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6905">
      <w:rPr>
        <w:rFonts w:ascii="Palatino Linotype" w:hAnsi="Palatino Linotype"/>
        <w:bCs/>
        <w:noProof/>
        <w:sz w:val="20"/>
      </w:rPr>
      <w:t>66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CB404" w14:textId="77777777" w:rsidR="00A330E1" w:rsidRDefault="00A330E1" w:rsidP="006168E4">
      <w:pPr>
        <w:spacing w:after="0" w:line="240" w:lineRule="auto"/>
      </w:pPr>
      <w:r>
        <w:separator/>
      </w:r>
    </w:p>
  </w:footnote>
  <w:footnote w:type="continuationSeparator" w:id="0">
    <w:p w14:paraId="05B23673" w14:textId="77777777" w:rsidR="00A330E1" w:rsidRDefault="00A330E1" w:rsidP="006168E4">
      <w:pPr>
        <w:spacing w:after="0" w:line="240" w:lineRule="auto"/>
      </w:pPr>
      <w:r>
        <w:continuationSeparator/>
      </w:r>
    </w:p>
  </w:footnote>
  <w:footnote w:id="1">
    <w:p w14:paraId="388B9146" w14:textId="77777777" w:rsidR="007868E3" w:rsidRDefault="007868E3" w:rsidP="007868E3">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14:paraId="5D50EEEA" w14:textId="77777777" w:rsidR="007868E3" w:rsidRDefault="007868E3" w:rsidP="007868E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2F84AB26" w:rsidR="00D338F0" w:rsidRPr="00B4142F" w:rsidRDefault="00A96E4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10305</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5CD1058D" w:rsidR="00D338F0" w:rsidRPr="00F06FED" w:rsidRDefault="00A96E4F" w:rsidP="00F4623D">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Atizapán</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560CE9FA" w:rsidR="00D338F0" w:rsidRPr="00B4142F" w:rsidRDefault="00A96E4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10305</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5E617D98" w:rsidR="00D338F0" w:rsidRPr="00F06FED" w:rsidRDefault="00046905"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48A5E36D" w:rsidR="00D338F0" w:rsidRDefault="00A96E4F"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Atizapán</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7A49"/>
    <w:multiLevelType w:val="hybridMultilevel"/>
    <w:tmpl w:val="941CA274"/>
    <w:lvl w:ilvl="0" w:tplc="080A0001">
      <w:start w:val="1"/>
      <w:numFmt w:val="bullet"/>
      <w:lvlText w:val=""/>
      <w:lvlJc w:val="left"/>
      <w:pPr>
        <w:ind w:left="784" w:hanging="360"/>
      </w:pPr>
      <w:rPr>
        <w:rFonts w:ascii="Symbol" w:hAnsi="Symbol" w:hint="default"/>
      </w:r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 w15:restartNumberingAfterBreak="0">
    <w:nsid w:val="16C5337A"/>
    <w:multiLevelType w:val="hybridMultilevel"/>
    <w:tmpl w:val="3056AEBA"/>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2" w15:restartNumberingAfterBreak="0">
    <w:nsid w:val="283369E8"/>
    <w:multiLevelType w:val="hybridMultilevel"/>
    <w:tmpl w:val="E958703E"/>
    <w:lvl w:ilvl="0" w:tplc="2792568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2A579E"/>
    <w:multiLevelType w:val="hybridMultilevel"/>
    <w:tmpl w:val="8DFEE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A04B2"/>
    <w:multiLevelType w:val="hybridMultilevel"/>
    <w:tmpl w:val="F550C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5"/>
  </w:num>
  <w:num w:numId="6">
    <w:abstractNumId w:val="3"/>
  </w:num>
  <w:num w:numId="7">
    <w:abstractNumId w:val="8"/>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1665F"/>
    <w:rsid w:val="000213BA"/>
    <w:rsid w:val="00022EAF"/>
    <w:rsid w:val="00023875"/>
    <w:rsid w:val="000271CC"/>
    <w:rsid w:val="000306A7"/>
    <w:rsid w:val="00031605"/>
    <w:rsid w:val="00032CE7"/>
    <w:rsid w:val="0004190A"/>
    <w:rsid w:val="00041F04"/>
    <w:rsid w:val="000426E3"/>
    <w:rsid w:val="00045379"/>
    <w:rsid w:val="00045B3C"/>
    <w:rsid w:val="0004682D"/>
    <w:rsid w:val="00046905"/>
    <w:rsid w:val="00047EAF"/>
    <w:rsid w:val="00051C0D"/>
    <w:rsid w:val="00055224"/>
    <w:rsid w:val="00061821"/>
    <w:rsid w:val="000623F9"/>
    <w:rsid w:val="00063A10"/>
    <w:rsid w:val="00063AE3"/>
    <w:rsid w:val="000662F8"/>
    <w:rsid w:val="00066B01"/>
    <w:rsid w:val="00071571"/>
    <w:rsid w:val="00073CC6"/>
    <w:rsid w:val="00073E78"/>
    <w:rsid w:val="0008135B"/>
    <w:rsid w:val="00090745"/>
    <w:rsid w:val="00091552"/>
    <w:rsid w:val="00091B14"/>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9A6"/>
    <w:rsid w:val="00115A39"/>
    <w:rsid w:val="00115F16"/>
    <w:rsid w:val="001164A1"/>
    <w:rsid w:val="001179DB"/>
    <w:rsid w:val="00121ED7"/>
    <w:rsid w:val="00122EC2"/>
    <w:rsid w:val="00124855"/>
    <w:rsid w:val="001254F5"/>
    <w:rsid w:val="001257F6"/>
    <w:rsid w:val="001269A0"/>
    <w:rsid w:val="00136FAD"/>
    <w:rsid w:val="0014029B"/>
    <w:rsid w:val="00146C08"/>
    <w:rsid w:val="00146F0A"/>
    <w:rsid w:val="00152C2B"/>
    <w:rsid w:val="0015319B"/>
    <w:rsid w:val="0015468D"/>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52EA"/>
    <w:rsid w:val="0018726A"/>
    <w:rsid w:val="00193784"/>
    <w:rsid w:val="0019396C"/>
    <w:rsid w:val="00194B4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67B5"/>
    <w:rsid w:val="001D7575"/>
    <w:rsid w:val="001E456C"/>
    <w:rsid w:val="001E5ECE"/>
    <w:rsid w:val="001F3F3C"/>
    <w:rsid w:val="001F402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530E"/>
    <w:rsid w:val="0024638F"/>
    <w:rsid w:val="00246807"/>
    <w:rsid w:val="00247537"/>
    <w:rsid w:val="00247D10"/>
    <w:rsid w:val="00250470"/>
    <w:rsid w:val="00252985"/>
    <w:rsid w:val="00257319"/>
    <w:rsid w:val="002577FE"/>
    <w:rsid w:val="00266DEC"/>
    <w:rsid w:val="00266E00"/>
    <w:rsid w:val="002674C9"/>
    <w:rsid w:val="00271798"/>
    <w:rsid w:val="00271EED"/>
    <w:rsid w:val="002725E3"/>
    <w:rsid w:val="00273D0E"/>
    <w:rsid w:val="00283BF1"/>
    <w:rsid w:val="00285A23"/>
    <w:rsid w:val="0028788A"/>
    <w:rsid w:val="00290B68"/>
    <w:rsid w:val="002915F2"/>
    <w:rsid w:val="00292885"/>
    <w:rsid w:val="002942AD"/>
    <w:rsid w:val="00296A44"/>
    <w:rsid w:val="00297140"/>
    <w:rsid w:val="00297368"/>
    <w:rsid w:val="00297870"/>
    <w:rsid w:val="002A0104"/>
    <w:rsid w:val="002A1DB9"/>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A1A"/>
    <w:rsid w:val="002E1E52"/>
    <w:rsid w:val="002E2475"/>
    <w:rsid w:val="002E2D7B"/>
    <w:rsid w:val="002E3488"/>
    <w:rsid w:val="002E5721"/>
    <w:rsid w:val="002E5E6A"/>
    <w:rsid w:val="002F0D76"/>
    <w:rsid w:val="002F37BE"/>
    <w:rsid w:val="002F5A7C"/>
    <w:rsid w:val="002F5BA9"/>
    <w:rsid w:val="002F700B"/>
    <w:rsid w:val="00300689"/>
    <w:rsid w:val="00300D0B"/>
    <w:rsid w:val="00301522"/>
    <w:rsid w:val="0030471E"/>
    <w:rsid w:val="00306096"/>
    <w:rsid w:val="00306848"/>
    <w:rsid w:val="00311566"/>
    <w:rsid w:val="003135F0"/>
    <w:rsid w:val="0031645D"/>
    <w:rsid w:val="00320A67"/>
    <w:rsid w:val="0032220E"/>
    <w:rsid w:val="00324C2A"/>
    <w:rsid w:val="003266DA"/>
    <w:rsid w:val="00326AAA"/>
    <w:rsid w:val="003272FB"/>
    <w:rsid w:val="00330F3C"/>
    <w:rsid w:val="00334158"/>
    <w:rsid w:val="003349F3"/>
    <w:rsid w:val="003406C5"/>
    <w:rsid w:val="003410F2"/>
    <w:rsid w:val="00342A8E"/>
    <w:rsid w:val="0034677F"/>
    <w:rsid w:val="0035016E"/>
    <w:rsid w:val="003507D3"/>
    <w:rsid w:val="00353C25"/>
    <w:rsid w:val="00356E3E"/>
    <w:rsid w:val="00357457"/>
    <w:rsid w:val="0036022B"/>
    <w:rsid w:val="00361B9C"/>
    <w:rsid w:val="0036339F"/>
    <w:rsid w:val="00364209"/>
    <w:rsid w:val="00364A97"/>
    <w:rsid w:val="00365DA0"/>
    <w:rsid w:val="00367CC7"/>
    <w:rsid w:val="003733F5"/>
    <w:rsid w:val="003749D9"/>
    <w:rsid w:val="00375BBA"/>
    <w:rsid w:val="00376CEC"/>
    <w:rsid w:val="00380010"/>
    <w:rsid w:val="00380758"/>
    <w:rsid w:val="00381214"/>
    <w:rsid w:val="003812E0"/>
    <w:rsid w:val="0038524E"/>
    <w:rsid w:val="003869DF"/>
    <w:rsid w:val="00394800"/>
    <w:rsid w:val="00394A1E"/>
    <w:rsid w:val="003969CB"/>
    <w:rsid w:val="00397C0C"/>
    <w:rsid w:val="003A378D"/>
    <w:rsid w:val="003A61F9"/>
    <w:rsid w:val="003B171C"/>
    <w:rsid w:val="003B1E88"/>
    <w:rsid w:val="003B4030"/>
    <w:rsid w:val="003B5FD0"/>
    <w:rsid w:val="003C4F65"/>
    <w:rsid w:val="003C5DEB"/>
    <w:rsid w:val="003D08E9"/>
    <w:rsid w:val="003D2D99"/>
    <w:rsid w:val="003D78A3"/>
    <w:rsid w:val="003E05A5"/>
    <w:rsid w:val="003E128A"/>
    <w:rsid w:val="003E16E1"/>
    <w:rsid w:val="003E329D"/>
    <w:rsid w:val="003E5144"/>
    <w:rsid w:val="003E70DA"/>
    <w:rsid w:val="003F0C01"/>
    <w:rsid w:val="003F3A54"/>
    <w:rsid w:val="004012CF"/>
    <w:rsid w:val="00402831"/>
    <w:rsid w:val="00402A46"/>
    <w:rsid w:val="00402FF3"/>
    <w:rsid w:val="00403A1E"/>
    <w:rsid w:val="004069EB"/>
    <w:rsid w:val="004071A7"/>
    <w:rsid w:val="00410789"/>
    <w:rsid w:val="00412901"/>
    <w:rsid w:val="00417E4F"/>
    <w:rsid w:val="00423213"/>
    <w:rsid w:val="00423ECD"/>
    <w:rsid w:val="0042416D"/>
    <w:rsid w:val="00426B98"/>
    <w:rsid w:val="0042798A"/>
    <w:rsid w:val="00433D7C"/>
    <w:rsid w:val="00433F2D"/>
    <w:rsid w:val="00442582"/>
    <w:rsid w:val="00442C1A"/>
    <w:rsid w:val="004469CB"/>
    <w:rsid w:val="00447864"/>
    <w:rsid w:val="004512DF"/>
    <w:rsid w:val="004516EB"/>
    <w:rsid w:val="004529B6"/>
    <w:rsid w:val="004535E8"/>
    <w:rsid w:val="00453DBD"/>
    <w:rsid w:val="00454CE6"/>
    <w:rsid w:val="00455C30"/>
    <w:rsid w:val="00462881"/>
    <w:rsid w:val="004639CF"/>
    <w:rsid w:val="004668C1"/>
    <w:rsid w:val="00472678"/>
    <w:rsid w:val="00472E7A"/>
    <w:rsid w:val="00473342"/>
    <w:rsid w:val="00475F48"/>
    <w:rsid w:val="00477CC2"/>
    <w:rsid w:val="0048180A"/>
    <w:rsid w:val="00481C7A"/>
    <w:rsid w:val="004855D1"/>
    <w:rsid w:val="004857CF"/>
    <w:rsid w:val="0049054A"/>
    <w:rsid w:val="004906C8"/>
    <w:rsid w:val="004924B8"/>
    <w:rsid w:val="004967E2"/>
    <w:rsid w:val="00496868"/>
    <w:rsid w:val="004A290F"/>
    <w:rsid w:val="004A5FFD"/>
    <w:rsid w:val="004A7CE2"/>
    <w:rsid w:val="004B15D1"/>
    <w:rsid w:val="004B38AC"/>
    <w:rsid w:val="004B7109"/>
    <w:rsid w:val="004C39DC"/>
    <w:rsid w:val="004D08EB"/>
    <w:rsid w:val="004D0C64"/>
    <w:rsid w:val="004D2B23"/>
    <w:rsid w:val="004D2C8F"/>
    <w:rsid w:val="004D2D18"/>
    <w:rsid w:val="004D5AD4"/>
    <w:rsid w:val="004E0136"/>
    <w:rsid w:val="004E1318"/>
    <w:rsid w:val="004E2371"/>
    <w:rsid w:val="004E5994"/>
    <w:rsid w:val="004E6BE9"/>
    <w:rsid w:val="004E7234"/>
    <w:rsid w:val="004F17FE"/>
    <w:rsid w:val="005030F2"/>
    <w:rsid w:val="00503655"/>
    <w:rsid w:val="0050372B"/>
    <w:rsid w:val="005037B3"/>
    <w:rsid w:val="005039A0"/>
    <w:rsid w:val="00504FB2"/>
    <w:rsid w:val="00505B5B"/>
    <w:rsid w:val="00506846"/>
    <w:rsid w:val="00512DA7"/>
    <w:rsid w:val="00513476"/>
    <w:rsid w:val="00514719"/>
    <w:rsid w:val="00515090"/>
    <w:rsid w:val="005178DE"/>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0E2E"/>
    <w:rsid w:val="005520FE"/>
    <w:rsid w:val="005523D5"/>
    <w:rsid w:val="00556513"/>
    <w:rsid w:val="005575CB"/>
    <w:rsid w:val="0056015B"/>
    <w:rsid w:val="0056134C"/>
    <w:rsid w:val="00561837"/>
    <w:rsid w:val="00562653"/>
    <w:rsid w:val="00567998"/>
    <w:rsid w:val="00572979"/>
    <w:rsid w:val="005733EB"/>
    <w:rsid w:val="00575651"/>
    <w:rsid w:val="005759BB"/>
    <w:rsid w:val="00576BCC"/>
    <w:rsid w:val="005803A1"/>
    <w:rsid w:val="00580802"/>
    <w:rsid w:val="00581A22"/>
    <w:rsid w:val="00582A33"/>
    <w:rsid w:val="0058505F"/>
    <w:rsid w:val="0058671A"/>
    <w:rsid w:val="00590020"/>
    <w:rsid w:val="00593E91"/>
    <w:rsid w:val="00596C62"/>
    <w:rsid w:val="005A0B49"/>
    <w:rsid w:val="005A5930"/>
    <w:rsid w:val="005A6D57"/>
    <w:rsid w:val="005A7F1F"/>
    <w:rsid w:val="005B36D5"/>
    <w:rsid w:val="005B5B70"/>
    <w:rsid w:val="005B5F05"/>
    <w:rsid w:val="005B60F0"/>
    <w:rsid w:val="005C04BB"/>
    <w:rsid w:val="005C123F"/>
    <w:rsid w:val="005C6605"/>
    <w:rsid w:val="005C6982"/>
    <w:rsid w:val="005D15A3"/>
    <w:rsid w:val="005D1602"/>
    <w:rsid w:val="005D2B59"/>
    <w:rsid w:val="005D362F"/>
    <w:rsid w:val="005D370F"/>
    <w:rsid w:val="005D436E"/>
    <w:rsid w:val="005E2749"/>
    <w:rsid w:val="005E46D0"/>
    <w:rsid w:val="005E48E4"/>
    <w:rsid w:val="005E4D7C"/>
    <w:rsid w:val="005E5834"/>
    <w:rsid w:val="005E65F2"/>
    <w:rsid w:val="005F048E"/>
    <w:rsid w:val="005F4734"/>
    <w:rsid w:val="005F57F0"/>
    <w:rsid w:val="005F7598"/>
    <w:rsid w:val="00607168"/>
    <w:rsid w:val="0061042F"/>
    <w:rsid w:val="00610C37"/>
    <w:rsid w:val="006114BA"/>
    <w:rsid w:val="00613C9F"/>
    <w:rsid w:val="006168E4"/>
    <w:rsid w:val="00624EB5"/>
    <w:rsid w:val="00626A70"/>
    <w:rsid w:val="006323CA"/>
    <w:rsid w:val="006329AB"/>
    <w:rsid w:val="00633DE8"/>
    <w:rsid w:val="006360F3"/>
    <w:rsid w:val="00636327"/>
    <w:rsid w:val="006369B4"/>
    <w:rsid w:val="00637512"/>
    <w:rsid w:val="00640EE4"/>
    <w:rsid w:val="00641150"/>
    <w:rsid w:val="006466F5"/>
    <w:rsid w:val="0064761A"/>
    <w:rsid w:val="00650C5E"/>
    <w:rsid w:val="00651322"/>
    <w:rsid w:val="0065263E"/>
    <w:rsid w:val="00652A6B"/>
    <w:rsid w:val="00654718"/>
    <w:rsid w:val="00657DAD"/>
    <w:rsid w:val="00660C59"/>
    <w:rsid w:val="00661753"/>
    <w:rsid w:val="006620AC"/>
    <w:rsid w:val="00667DD9"/>
    <w:rsid w:val="00674A0D"/>
    <w:rsid w:val="00677379"/>
    <w:rsid w:val="006816EF"/>
    <w:rsid w:val="006848B7"/>
    <w:rsid w:val="0068554E"/>
    <w:rsid w:val="00686FD5"/>
    <w:rsid w:val="00697278"/>
    <w:rsid w:val="006A02AC"/>
    <w:rsid w:val="006A04CA"/>
    <w:rsid w:val="006A2BEC"/>
    <w:rsid w:val="006A4785"/>
    <w:rsid w:val="006B10D7"/>
    <w:rsid w:val="006B13DA"/>
    <w:rsid w:val="006B1953"/>
    <w:rsid w:val="006B1BF1"/>
    <w:rsid w:val="006B26E3"/>
    <w:rsid w:val="006B34A6"/>
    <w:rsid w:val="006B4B63"/>
    <w:rsid w:val="006B5DDC"/>
    <w:rsid w:val="006B68FC"/>
    <w:rsid w:val="006B7294"/>
    <w:rsid w:val="006B7444"/>
    <w:rsid w:val="006C698B"/>
    <w:rsid w:val="006D1F6B"/>
    <w:rsid w:val="006D23FC"/>
    <w:rsid w:val="006D7FD9"/>
    <w:rsid w:val="006E21BB"/>
    <w:rsid w:val="006E7563"/>
    <w:rsid w:val="006F04F5"/>
    <w:rsid w:val="006F3C14"/>
    <w:rsid w:val="006F5F55"/>
    <w:rsid w:val="00701033"/>
    <w:rsid w:val="00701B61"/>
    <w:rsid w:val="00702C82"/>
    <w:rsid w:val="00703614"/>
    <w:rsid w:val="007164CD"/>
    <w:rsid w:val="007172F5"/>
    <w:rsid w:val="00717E41"/>
    <w:rsid w:val="007205AE"/>
    <w:rsid w:val="00725A90"/>
    <w:rsid w:val="0072689F"/>
    <w:rsid w:val="007316B6"/>
    <w:rsid w:val="00732104"/>
    <w:rsid w:val="00736C2C"/>
    <w:rsid w:val="00736D41"/>
    <w:rsid w:val="00741327"/>
    <w:rsid w:val="00742EAF"/>
    <w:rsid w:val="00744DA2"/>
    <w:rsid w:val="00744EEF"/>
    <w:rsid w:val="007456B7"/>
    <w:rsid w:val="00754CAE"/>
    <w:rsid w:val="007550F3"/>
    <w:rsid w:val="007568AD"/>
    <w:rsid w:val="00763C1A"/>
    <w:rsid w:val="0076529A"/>
    <w:rsid w:val="00770CD1"/>
    <w:rsid w:val="00770FCE"/>
    <w:rsid w:val="00771AC2"/>
    <w:rsid w:val="00772E31"/>
    <w:rsid w:val="007748C4"/>
    <w:rsid w:val="00774A9C"/>
    <w:rsid w:val="007770C2"/>
    <w:rsid w:val="00777164"/>
    <w:rsid w:val="00780B57"/>
    <w:rsid w:val="00781530"/>
    <w:rsid w:val="007830E9"/>
    <w:rsid w:val="007835B9"/>
    <w:rsid w:val="00783A07"/>
    <w:rsid w:val="007851D5"/>
    <w:rsid w:val="007868E3"/>
    <w:rsid w:val="00787D06"/>
    <w:rsid w:val="007929FA"/>
    <w:rsid w:val="0079486A"/>
    <w:rsid w:val="00794F80"/>
    <w:rsid w:val="0079735D"/>
    <w:rsid w:val="007A1C9E"/>
    <w:rsid w:val="007A3206"/>
    <w:rsid w:val="007A4692"/>
    <w:rsid w:val="007A7656"/>
    <w:rsid w:val="007B0046"/>
    <w:rsid w:val="007B2303"/>
    <w:rsid w:val="007B2C77"/>
    <w:rsid w:val="007B3414"/>
    <w:rsid w:val="007B403C"/>
    <w:rsid w:val="007B68F7"/>
    <w:rsid w:val="007C1116"/>
    <w:rsid w:val="007C13DD"/>
    <w:rsid w:val="007C4168"/>
    <w:rsid w:val="007C45D8"/>
    <w:rsid w:val="007D1A27"/>
    <w:rsid w:val="007D1B24"/>
    <w:rsid w:val="007D1F15"/>
    <w:rsid w:val="007D25B1"/>
    <w:rsid w:val="007D2878"/>
    <w:rsid w:val="007D3203"/>
    <w:rsid w:val="007D4303"/>
    <w:rsid w:val="007D43D3"/>
    <w:rsid w:val="007D6183"/>
    <w:rsid w:val="007E6161"/>
    <w:rsid w:val="007E7BAB"/>
    <w:rsid w:val="007E7DCE"/>
    <w:rsid w:val="007F1441"/>
    <w:rsid w:val="007F20AC"/>
    <w:rsid w:val="007F269B"/>
    <w:rsid w:val="007F53A0"/>
    <w:rsid w:val="007F7A92"/>
    <w:rsid w:val="00800649"/>
    <w:rsid w:val="0080158F"/>
    <w:rsid w:val="008024BA"/>
    <w:rsid w:val="00802C56"/>
    <w:rsid w:val="00807A3D"/>
    <w:rsid w:val="00811205"/>
    <w:rsid w:val="0081126B"/>
    <w:rsid w:val="00811D55"/>
    <w:rsid w:val="00812C48"/>
    <w:rsid w:val="0081447E"/>
    <w:rsid w:val="008146F9"/>
    <w:rsid w:val="00817A08"/>
    <w:rsid w:val="00822215"/>
    <w:rsid w:val="00824DCD"/>
    <w:rsid w:val="00825E6C"/>
    <w:rsid w:val="00832CE7"/>
    <w:rsid w:val="00833011"/>
    <w:rsid w:val="00833366"/>
    <w:rsid w:val="00836B8D"/>
    <w:rsid w:val="0084078D"/>
    <w:rsid w:val="008427E4"/>
    <w:rsid w:val="00843314"/>
    <w:rsid w:val="00844569"/>
    <w:rsid w:val="008466EC"/>
    <w:rsid w:val="008474E1"/>
    <w:rsid w:val="00847D23"/>
    <w:rsid w:val="0085196B"/>
    <w:rsid w:val="00853188"/>
    <w:rsid w:val="00853BED"/>
    <w:rsid w:val="00855266"/>
    <w:rsid w:val="008602F9"/>
    <w:rsid w:val="00863327"/>
    <w:rsid w:val="00866F25"/>
    <w:rsid w:val="00870F44"/>
    <w:rsid w:val="00871DC1"/>
    <w:rsid w:val="008724F6"/>
    <w:rsid w:val="00884054"/>
    <w:rsid w:val="00887CDA"/>
    <w:rsid w:val="00891C7A"/>
    <w:rsid w:val="008936E7"/>
    <w:rsid w:val="00895089"/>
    <w:rsid w:val="008951ED"/>
    <w:rsid w:val="008A0A23"/>
    <w:rsid w:val="008A68CA"/>
    <w:rsid w:val="008A75BE"/>
    <w:rsid w:val="008B02FB"/>
    <w:rsid w:val="008B0679"/>
    <w:rsid w:val="008B1E28"/>
    <w:rsid w:val="008B3A59"/>
    <w:rsid w:val="008B42B1"/>
    <w:rsid w:val="008B5224"/>
    <w:rsid w:val="008B6116"/>
    <w:rsid w:val="008B7382"/>
    <w:rsid w:val="008C0375"/>
    <w:rsid w:val="008C32A8"/>
    <w:rsid w:val="008C55A3"/>
    <w:rsid w:val="008C5A03"/>
    <w:rsid w:val="008C5E94"/>
    <w:rsid w:val="008D038F"/>
    <w:rsid w:val="008D1D2A"/>
    <w:rsid w:val="008D34EC"/>
    <w:rsid w:val="008D3703"/>
    <w:rsid w:val="008D4154"/>
    <w:rsid w:val="008D4EB7"/>
    <w:rsid w:val="008D6297"/>
    <w:rsid w:val="008D6D04"/>
    <w:rsid w:val="008E3791"/>
    <w:rsid w:val="008E5FDA"/>
    <w:rsid w:val="008E6375"/>
    <w:rsid w:val="008F0117"/>
    <w:rsid w:val="008F4C65"/>
    <w:rsid w:val="008F7199"/>
    <w:rsid w:val="00905422"/>
    <w:rsid w:val="00913133"/>
    <w:rsid w:val="00913221"/>
    <w:rsid w:val="0091548A"/>
    <w:rsid w:val="00920128"/>
    <w:rsid w:val="00921DB9"/>
    <w:rsid w:val="0092403D"/>
    <w:rsid w:val="009268BB"/>
    <w:rsid w:val="00926D4D"/>
    <w:rsid w:val="00927858"/>
    <w:rsid w:val="00930238"/>
    <w:rsid w:val="0093133B"/>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24B9"/>
    <w:rsid w:val="00964DA7"/>
    <w:rsid w:val="00965B02"/>
    <w:rsid w:val="00965FEE"/>
    <w:rsid w:val="0096643B"/>
    <w:rsid w:val="009706B5"/>
    <w:rsid w:val="00970CB5"/>
    <w:rsid w:val="00972BDF"/>
    <w:rsid w:val="0098182D"/>
    <w:rsid w:val="00984A57"/>
    <w:rsid w:val="00990C92"/>
    <w:rsid w:val="00991F20"/>
    <w:rsid w:val="009923E0"/>
    <w:rsid w:val="009950AD"/>
    <w:rsid w:val="00996BFF"/>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5F77"/>
    <w:rsid w:val="009C7074"/>
    <w:rsid w:val="009D25FE"/>
    <w:rsid w:val="009D26D2"/>
    <w:rsid w:val="009E0867"/>
    <w:rsid w:val="009E0A25"/>
    <w:rsid w:val="009E1411"/>
    <w:rsid w:val="009E45A0"/>
    <w:rsid w:val="009E49A3"/>
    <w:rsid w:val="009E52F2"/>
    <w:rsid w:val="009E6CE0"/>
    <w:rsid w:val="009F00BC"/>
    <w:rsid w:val="009F0515"/>
    <w:rsid w:val="009F1A4C"/>
    <w:rsid w:val="009F3C1F"/>
    <w:rsid w:val="009F51E1"/>
    <w:rsid w:val="009F614E"/>
    <w:rsid w:val="009F6571"/>
    <w:rsid w:val="009F762B"/>
    <w:rsid w:val="00A00E96"/>
    <w:rsid w:val="00A02047"/>
    <w:rsid w:val="00A029FC"/>
    <w:rsid w:val="00A036BE"/>
    <w:rsid w:val="00A12205"/>
    <w:rsid w:val="00A155B9"/>
    <w:rsid w:val="00A214B4"/>
    <w:rsid w:val="00A32D63"/>
    <w:rsid w:val="00A330E1"/>
    <w:rsid w:val="00A334E0"/>
    <w:rsid w:val="00A345F6"/>
    <w:rsid w:val="00A348B5"/>
    <w:rsid w:val="00A34DDD"/>
    <w:rsid w:val="00A3528E"/>
    <w:rsid w:val="00A37DAA"/>
    <w:rsid w:val="00A4436A"/>
    <w:rsid w:val="00A453DC"/>
    <w:rsid w:val="00A45721"/>
    <w:rsid w:val="00A457D1"/>
    <w:rsid w:val="00A47E87"/>
    <w:rsid w:val="00A516E8"/>
    <w:rsid w:val="00A520C9"/>
    <w:rsid w:val="00A525D9"/>
    <w:rsid w:val="00A52BA3"/>
    <w:rsid w:val="00A565E7"/>
    <w:rsid w:val="00A60BFE"/>
    <w:rsid w:val="00A6118E"/>
    <w:rsid w:val="00A6185A"/>
    <w:rsid w:val="00A625E2"/>
    <w:rsid w:val="00A67B13"/>
    <w:rsid w:val="00A71080"/>
    <w:rsid w:val="00A72465"/>
    <w:rsid w:val="00A72792"/>
    <w:rsid w:val="00A72DCB"/>
    <w:rsid w:val="00A75001"/>
    <w:rsid w:val="00A75790"/>
    <w:rsid w:val="00A80C92"/>
    <w:rsid w:val="00A82461"/>
    <w:rsid w:val="00A83323"/>
    <w:rsid w:val="00A85006"/>
    <w:rsid w:val="00A851D8"/>
    <w:rsid w:val="00A86352"/>
    <w:rsid w:val="00A90295"/>
    <w:rsid w:val="00A91E94"/>
    <w:rsid w:val="00A9227B"/>
    <w:rsid w:val="00A924F5"/>
    <w:rsid w:val="00A93540"/>
    <w:rsid w:val="00A953BA"/>
    <w:rsid w:val="00A9628F"/>
    <w:rsid w:val="00A96E4F"/>
    <w:rsid w:val="00AA1A2C"/>
    <w:rsid w:val="00AA207C"/>
    <w:rsid w:val="00AA5D62"/>
    <w:rsid w:val="00AB3710"/>
    <w:rsid w:val="00AB37EB"/>
    <w:rsid w:val="00AB4B0F"/>
    <w:rsid w:val="00AB6C3B"/>
    <w:rsid w:val="00AB7525"/>
    <w:rsid w:val="00AC1971"/>
    <w:rsid w:val="00AC5D43"/>
    <w:rsid w:val="00AD0575"/>
    <w:rsid w:val="00AD15A7"/>
    <w:rsid w:val="00AD6BEE"/>
    <w:rsid w:val="00AE008F"/>
    <w:rsid w:val="00AE1EF2"/>
    <w:rsid w:val="00AE33FE"/>
    <w:rsid w:val="00AF1248"/>
    <w:rsid w:val="00AF549F"/>
    <w:rsid w:val="00AF55AC"/>
    <w:rsid w:val="00AF78A7"/>
    <w:rsid w:val="00B07D6D"/>
    <w:rsid w:val="00B1003A"/>
    <w:rsid w:val="00B103E0"/>
    <w:rsid w:val="00B10FCB"/>
    <w:rsid w:val="00B11E08"/>
    <w:rsid w:val="00B12E48"/>
    <w:rsid w:val="00B13C33"/>
    <w:rsid w:val="00B14A17"/>
    <w:rsid w:val="00B2478C"/>
    <w:rsid w:val="00B26C37"/>
    <w:rsid w:val="00B27983"/>
    <w:rsid w:val="00B32CD3"/>
    <w:rsid w:val="00B35834"/>
    <w:rsid w:val="00B35A93"/>
    <w:rsid w:val="00B3635B"/>
    <w:rsid w:val="00B3672D"/>
    <w:rsid w:val="00B36D2B"/>
    <w:rsid w:val="00B4261D"/>
    <w:rsid w:val="00B452AF"/>
    <w:rsid w:val="00B45924"/>
    <w:rsid w:val="00B47192"/>
    <w:rsid w:val="00B4745C"/>
    <w:rsid w:val="00B477AC"/>
    <w:rsid w:val="00B6107A"/>
    <w:rsid w:val="00B61D75"/>
    <w:rsid w:val="00B62F0D"/>
    <w:rsid w:val="00B66DB3"/>
    <w:rsid w:val="00B7258D"/>
    <w:rsid w:val="00B72B0F"/>
    <w:rsid w:val="00B72D1B"/>
    <w:rsid w:val="00B741B2"/>
    <w:rsid w:val="00B75A86"/>
    <w:rsid w:val="00B7668E"/>
    <w:rsid w:val="00B80028"/>
    <w:rsid w:val="00B833EA"/>
    <w:rsid w:val="00B85271"/>
    <w:rsid w:val="00B85EF3"/>
    <w:rsid w:val="00B9223B"/>
    <w:rsid w:val="00B94422"/>
    <w:rsid w:val="00B97604"/>
    <w:rsid w:val="00BA11EC"/>
    <w:rsid w:val="00BA4D1F"/>
    <w:rsid w:val="00BA7AD1"/>
    <w:rsid w:val="00BB04EC"/>
    <w:rsid w:val="00BB2250"/>
    <w:rsid w:val="00BB4A68"/>
    <w:rsid w:val="00BB58EE"/>
    <w:rsid w:val="00BB739A"/>
    <w:rsid w:val="00BC0FDD"/>
    <w:rsid w:val="00BC14E6"/>
    <w:rsid w:val="00BC22E0"/>
    <w:rsid w:val="00BD001D"/>
    <w:rsid w:val="00BD30FE"/>
    <w:rsid w:val="00BD65B1"/>
    <w:rsid w:val="00BE0E4A"/>
    <w:rsid w:val="00BE0F79"/>
    <w:rsid w:val="00BE21EF"/>
    <w:rsid w:val="00BE28ED"/>
    <w:rsid w:val="00BE3165"/>
    <w:rsid w:val="00BE3E18"/>
    <w:rsid w:val="00BE544C"/>
    <w:rsid w:val="00BE673B"/>
    <w:rsid w:val="00BE688D"/>
    <w:rsid w:val="00BE7C9B"/>
    <w:rsid w:val="00BF01A7"/>
    <w:rsid w:val="00BF0A4C"/>
    <w:rsid w:val="00BF0D34"/>
    <w:rsid w:val="00BF1ECA"/>
    <w:rsid w:val="00BF3A47"/>
    <w:rsid w:val="00BF3F7C"/>
    <w:rsid w:val="00BF4BF4"/>
    <w:rsid w:val="00BF54BF"/>
    <w:rsid w:val="00C00463"/>
    <w:rsid w:val="00C0147E"/>
    <w:rsid w:val="00C03F20"/>
    <w:rsid w:val="00C04FE4"/>
    <w:rsid w:val="00C1588F"/>
    <w:rsid w:val="00C219E6"/>
    <w:rsid w:val="00C25084"/>
    <w:rsid w:val="00C30A4F"/>
    <w:rsid w:val="00C31401"/>
    <w:rsid w:val="00C378D4"/>
    <w:rsid w:val="00C41665"/>
    <w:rsid w:val="00C41758"/>
    <w:rsid w:val="00C429E1"/>
    <w:rsid w:val="00C462F8"/>
    <w:rsid w:val="00C70B66"/>
    <w:rsid w:val="00C70E6A"/>
    <w:rsid w:val="00C71CD1"/>
    <w:rsid w:val="00C721BE"/>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164"/>
    <w:rsid w:val="00CC2F3D"/>
    <w:rsid w:val="00CC3508"/>
    <w:rsid w:val="00CC5144"/>
    <w:rsid w:val="00CC5FF3"/>
    <w:rsid w:val="00CD08E2"/>
    <w:rsid w:val="00CD422C"/>
    <w:rsid w:val="00CD6726"/>
    <w:rsid w:val="00CD783C"/>
    <w:rsid w:val="00CE2766"/>
    <w:rsid w:val="00CE2ADF"/>
    <w:rsid w:val="00CE3713"/>
    <w:rsid w:val="00CF0807"/>
    <w:rsid w:val="00CF1976"/>
    <w:rsid w:val="00CF1D7D"/>
    <w:rsid w:val="00CF45D3"/>
    <w:rsid w:val="00CF5787"/>
    <w:rsid w:val="00CF6B6C"/>
    <w:rsid w:val="00D01197"/>
    <w:rsid w:val="00D01397"/>
    <w:rsid w:val="00D01B5E"/>
    <w:rsid w:val="00D021DD"/>
    <w:rsid w:val="00D042BB"/>
    <w:rsid w:val="00D058B0"/>
    <w:rsid w:val="00D05C8E"/>
    <w:rsid w:val="00D06CA0"/>
    <w:rsid w:val="00D11F7D"/>
    <w:rsid w:val="00D11FC3"/>
    <w:rsid w:val="00D1275E"/>
    <w:rsid w:val="00D13098"/>
    <w:rsid w:val="00D17789"/>
    <w:rsid w:val="00D1789C"/>
    <w:rsid w:val="00D17B5C"/>
    <w:rsid w:val="00D17EDC"/>
    <w:rsid w:val="00D20AC2"/>
    <w:rsid w:val="00D21565"/>
    <w:rsid w:val="00D226BE"/>
    <w:rsid w:val="00D25860"/>
    <w:rsid w:val="00D2737E"/>
    <w:rsid w:val="00D274A9"/>
    <w:rsid w:val="00D32347"/>
    <w:rsid w:val="00D32644"/>
    <w:rsid w:val="00D33229"/>
    <w:rsid w:val="00D33619"/>
    <w:rsid w:val="00D338F0"/>
    <w:rsid w:val="00D40FD4"/>
    <w:rsid w:val="00D4693D"/>
    <w:rsid w:val="00D52AC7"/>
    <w:rsid w:val="00D53772"/>
    <w:rsid w:val="00D54CA9"/>
    <w:rsid w:val="00D556EC"/>
    <w:rsid w:val="00D56D67"/>
    <w:rsid w:val="00D6340F"/>
    <w:rsid w:val="00D72D16"/>
    <w:rsid w:val="00D72EAA"/>
    <w:rsid w:val="00D74213"/>
    <w:rsid w:val="00D747F4"/>
    <w:rsid w:val="00D758A9"/>
    <w:rsid w:val="00D7792E"/>
    <w:rsid w:val="00D8049E"/>
    <w:rsid w:val="00D804D4"/>
    <w:rsid w:val="00D81032"/>
    <w:rsid w:val="00D81914"/>
    <w:rsid w:val="00D8195B"/>
    <w:rsid w:val="00D8561C"/>
    <w:rsid w:val="00D8619F"/>
    <w:rsid w:val="00D86764"/>
    <w:rsid w:val="00D90DA7"/>
    <w:rsid w:val="00D91093"/>
    <w:rsid w:val="00D924C9"/>
    <w:rsid w:val="00D92F0C"/>
    <w:rsid w:val="00D957E3"/>
    <w:rsid w:val="00D970E2"/>
    <w:rsid w:val="00DA5ABC"/>
    <w:rsid w:val="00DB0873"/>
    <w:rsid w:val="00DB235D"/>
    <w:rsid w:val="00DB2772"/>
    <w:rsid w:val="00DB5528"/>
    <w:rsid w:val="00DB5C0A"/>
    <w:rsid w:val="00DB5E40"/>
    <w:rsid w:val="00DC0C93"/>
    <w:rsid w:val="00DC0E09"/>
    <w:rsid w:val="00DC168A"/>
    <w:rsid w:val="00DC56A5"/>
    <w:rsid w:val="00DC68EB"/>
    <w:rsid w:val="00DD13E2"/>
    <w:rsid w:val="00DD4351"/>
    <w:rsid w:val="00DE153B"/>
    <w:rsid w:val="00DE3B70"/>
    <w:rsid w:val="00DF003C"/>
    <w:rsid w:val="00DF4501"/>
    <w:rsid w:val="00DF719A"/>
    <w:rsid w:val="00DF723C"/>
    <w:rsid w:val="00DF783E"/>
    <w:rsid w:val="00DF78AE"/>
    <w:rsid w:val="00E01ADB"/>
    <w:rsid w:val="00E029A8"/>
    <w:rsid w:val="00E117EC"/>
    <w:rsid w:val="00E11E2E"/>
    <w:rsid w:val="00E15602"/>
    <w:rsid w:val="00E173AC"/>
    <w:rsid w:val="00E20084"/>
    <w:rsid w:val="00E24CF4"/>
    <w:rsid w:val="00E26A43"/>
    <w:rsid w:val="00E27279"/>
    <w:rsid w:val="00E31699"/>
    <w:rsid w:val="00E316D8"/>
    <w:rsid w:val="00E32707"/>
    <w:rsid w:val="00E32BF3"/>
    <w:rsid w:val="00E348A5"/>
    <w:rsid w:val="00E371EC"/>
    <w:rsid w:val="00E422D7"/>
    <w:rsid w:val="00E469E1"/>
    <w:rsid w:val="00E56447"/>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87FEC"/>
    <w:rsid w:val="00E94A60"/>
    <w:rsid w:val="00EA1F89"/>
    <w:rsid w:val="00EA304C"/>
    <w:rsid w:val="00EA5BCC"/>
    <w:rsid w:val="00EB117B"/>
    <w:rsid w:val="00EB15E0"/>
    <w:rsid w:val="00EB39C0"/>
    <w:rsid w:val="00EB40D6"/>
    <w:rsid w:val="00EB5F75"/>
    <w:rsid w:val="00EB79CD"/>
    <w:rsid w:val="00EB7F18"/>
    <w:rsid w:val="00EC305D"/>
    <w:rsid w:val="00EC3BF2"/>
    <w:rsid w:val="00EC3C36"/>
    <w:rsid w:val="00EC49AF"/>
    <w:rsid w:val="00EC4A96"/>
    <w:rsid w:val="00ED613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1520"/>
    <w:rsid w:val="00F22566"/>
    <w:rsid w:val="00F22963"/>
    <w:rsid w:val="00F259B7"/>
    <w:rsid w:val="00F25D50"/>
    <w:rsid w:val="00F2654F"/>
    <w:rsid w:val="00F37993"/>
    <w:rsid w:val="00F403EA"/>
    <w:rsid w:val="00F42753"/>
    <w:rsid w:val="00F45BE8"/>
    <w:rsid w:val="00F4623D"/>
    <w:rsid w:val="00F47DEC"/>
    <w:rsid w:val="00F510DB"/>
    <w:rsid w:val="00F54525"/>
    <w:rsid w:val="00F56B30"/>
    <w:rsid w:val="00F64643"/>
    <w:rsid w:val="00F647F3"/>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4D25"/>
    <w:rsid w:val="00FD65FE"/>
    <w:rsid w:val="00FD68C0"/>
    <w:rsid w:val="00FD6B1B"/>
    <w:rsid w:val="00FE08B8"/>
    <w:rsid w:val="00FE0C67"/>
    <w:rsid w:val="00FE3D5E"/>
    <w:rsid w:val="00FE4640"/>
    <w:rsid w:val="00FF14EB"/>
    <w:rsid w:val="00FF1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3">
    <w:name w:val="heading 3"/>
    <w:basedOn w:val="Normal"/>
    <w:next w:val="Normal"/>
    <w:link w:val="Ttulo3Car"/>
    <w:uiPriority w:val="9"/>
    <w:unhideWhenUsed/>
    <w:qFormat/>
    <w:rsid w:val="007868E3"/>
    <w:pPr>
      <w:keepNext/>
      <w:keepLines/>
      <w:spacing w:before="160" w:after="80" w:line="360" w:lineRule="auto"/>
      <w:jc w:val="both"/>
      <w:outlineLvl w:val="2"/>
    </w:pPr>
    <w:rPr>
      <w:rFonts w:ascii="Palatino Linotype" w:eastAsiaTheme="majorEastAsia" w:hAnsi="Palatino Linotype" w:cstheme="majorBidi"/>
      <w:color w:val="2E74B5" w:themeColor="accent1" w:themeShade="BF"/>
      <w:sz w:val="28"/>
      <w:szCs w:val="28"/>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 w:type="paragraph" w:customStyle="1" w:styleId="CitasINFOEM">
    <w:name w:val="Citas INFOEM"/>
    <w:basedOn w:val="Normal"/>
    <w:qFormat/>
    <w:rsid w:val="00A334E0"/>
    <w:pPr>
      <w:spacing w:before="240" w:line="360" w:lineRule="auto"/>
      <w:ind w:left="851" w:right="851"/>
      <w:jc w:val="both"/>
    </w:pPr>
    <w:rPr>
      <w:rFonts w:ascii="Palatino Linotype" w:eastAsia="Times New Roman" w:hAnsi="Palatino Linotype" w:cs="Times New Roman"/>
      <w:i/>
      <w:szCs w:val="24"/>
    </w:rPr>
  </w:style>
  <w:style w:type="character" w:customStyle="1" w:styleId="Ttulo3Car">
    <w:name w:val="Título 3 Car"/>
    <w:basedOn w:val="Fuentedeprrafopredeter"/>
    <w:link w:val="Ttulo3"/>
    <w:uiPriority w:val="9"/>
    <w:rsid w:val="007868E3"/>
    <w:rPr>
      <w:rFonts w:ascii="Palatino Linotype" w:eastAsiaTheme="majorEastAsia" w:hAnsi="Palatino Linotype" w:cstheme="majorBidi"/>
      <w:color w:val="2E74B5" w:themeColor="accent1" w:themeShade="BF"/>
      <w:sz w:val="28"/>
      <w:szCs w:val="28"/>
      <w:lang w:val="es-ES_tradnl" w:eastAsia="es-MX"/>
    </w:rPr>
  </w:style>
  <w:style w:type="paragraph" w:styleId="Puesto">
    <w:name w:val="Title"/>
    <w:aliases w:val="Cita textual"/>
    <w:basedOn w:val="Normal"/>
    <w:next w:val="Normal"/>
    <w:link w:val="PuestoCar"/>
    <w:uiPriority w:val="10"/>
    <w:qFormat/>
    <w:rsid w:val="00E56447"/>
    <w:pPr>
      <w:pBdr>
        <w:top w:val="nil"/>
        <w:left w:val="nil"/>
        <w:bottom w:val="nil"/>
        <w:right w:val="nil"/>
        <w:between w:val="nil"/>
      </w:pBdr>
      <w:spacing w:after="0" w:line="240" w:lineRule="auto"/>
      <w:ind w:left="567" w:right="567" w:hanging="567"/>
      <w:jc w:val="both"/>
    </w:pPr>
    <w:rPr>
      <w:rFonts w:ascii="Palatino Linotype" w:eastAsia="Palatino Linotype" w:hAnsi="Palatino Linotype" w:cs="Palatino Linotype"/>
      <w:i/>
      <w:color w:val="000000"/>
      <w:lang w:eastAsia="es-MX"/>
    </w:rPr>
  </w:style>
  <w:style w:type="character" w:customStyle="1" w:styleId="PuestoCar">
    <w:name w:val="Puesto Car"/>
    <w:aliases w:val="Cita textual Car"/>
    <w:basedOn w:val="Fuentedeprrafopredeter"/>
    <w:link w:val="Puesto"/>
    <w:uiPriority w:val="10"/>
    <w:rsid w:val="00E56447"/>
    <w:rPr>
      <w:rFonts w:ascii="Palatino Linotype" w:eastAsia="Palatino Linotype" w:hAnsi="Palatino Linotype" w:cs="Palatino Linotype"/>
      <w:i/>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36A7-747C-45DF-BB12-B3DEC395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66</Pages>
  <Words>12803</Words>
  <Characters>70420</Characters>
  <Application>Microsoft Office Word</Application>
  <DocSecurity>0</DocSecurity>
  <Lines>586</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58</cp:revision>
  <cp:lastPrinted>2025-11-06T19:15:00Z</cp:lastPrinted>
  <dcterms:created xsi:type="dcterms:W3CDTF">2025-02-24T16:46:00Z</dcterms:created>
  <dcterms:modified xsi:type="dcterms:W3CDTF">2025-12-16T16:14:00Z</dcterms:modified>
</cp:coreProperties>
</file>