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47A4DC" w14:textId="77777777" w:rsidR="00881807" w:rsidRDefault="00881807" w:rsidP="00630240">
      <w:pPr>
        <w:widowControl w:val="0"/>
        <w:pBdr>
          <w:top w:val="nil"/>
          <w:left w:val="nil"/>
          <w:bottom w:val="nil"/>
          <w:right w:val="nil"/>
          <w:between w:val="nil"/>
        </w:pBdr>
        <w:spacing w:after="0" w:line="360" w:lineRule="auto"/>
        <w:jc w:val="left"/>
      </w:pPr>
    </w:p>
    <w:p w14:paraId="4A155DE9" w14:textId="77777777" w:rsidR="0061734D" w:rsidRDefault="0061734D" w:rsidP="00630240">
      <w:pPr>
        <w:widowControl w:val="0"/>
        <w:pBdr>
          <w:top w:val="nil"/>
          <w:left w:val="nil"/>
          <w:bottom w:val="nil"/>
          <w:right w:val="nil"/>
          <w:between w:val="nil"/>
        </w:pBdr>
        <w:spacing w:after="0" w:line="360" w:lineRule="auto"/>
        <w:jc w:val="left"/>
      </w:pPr>
    </w:p>
    <w:p w14:paraId="7EF85809" w14:textId="3003986F" w:rsidR="008E65B3" w:rsidRPr="002A6E4B" w:rsidRDefault="008E65B3" w:rsidP="00630240">
      <w:pPr>
        <w:pStyle w:val="TtuloTDC"/>
        <w:spacing w:before="0" w:line="360" w:lineRule="auto"/>
        <w:rPr>
          <w:rFonts w:ascii="Palatino Linotype" w:hAnsi="Palatino Linotype"/>
          <w:b/>
          <w:bCs/>
          <w:color w:val="auto"/>
          <w:sz w:val="22"/>
          <w:szCs w:val="22"/>
        </w:rPr>
      </w:pPr>
      <w:r w:rsidRPr="002A6E4B">
        <w:rPr>
          <w:rFonts w:ascii="Palatino Linotype" w:hAnsi="Palatino Linotype"/>
          <w:b/>
          <w:bCs/>
          <w:color w:val="auto"/>
          <w:sz w:val="22"/>
          <w:szCs w:val="22"/>
        </w:rPr>
        <w:t>Contenido</w:t>
      </w:r>
    </w:p>
    <w:p w14:paraId="01DEC16E" w14:textId="63DF7551" w:rsidR="00DE3524" w:rsidRPr="002A6E4B" w:rsidRDefault="008E65B3" w:rsidP="00630240">
      <w:pPr>
        <w:pStyle w:val="TDC1"/>
        <w:tabs>
          <w:tab w:val="right" w:leader="dot" w:pos="9204"/>
        </w:tabs>
        <w:spacing w:after="0" w:line="360" w:lineRule="auto"/>
        <w:rPr>
          <w:rFonts w:asciiTheme="minorHAnsi" w:eastAsiaTheme="minorEastAsia" w:hAnsiTheme="minorHAnsi" w:cstheme="minorBidi"/>
          <w:noProof/>
          <w:color w:val="auto"/>
        </w:rPr>
      </w:pPr>
      <w:r w:rsidRPr="002A6E4B">
        <w:fldChar w:fldCharType="begin"/>
      </w:r>
      <w:r w:rsidRPr="002A6E4B">
        <w:instrText xml:space="preserve"> TOC \o "1-3" \h \z \u </w:instrText>
      </w:r>
      <w:r w:rsidRPr="002A6E4B">
        <w:fldChar w:fldCharType="separate"/>
      </w:r>
      <w:hyperlink w:anchor="_Toc206593567" w:history="1">
        <w:r w:rsidR="00DE3524" w:rsidRPr="002A6E4B">
          <w:rPr>
            <w:rStyle w:val="Hipervnculo"/>
            <w:noProof/>
          </w:rPr>
          <w:t>A N T E C E D E N T E S</w:t>
        </w:r>
        <w:r w:rsidR="00DE3524" w:rsidRPr="002A6E4B">
          <w:rPr>
            <w:noProof/>
            <w:webHidden/>
          </w:rPr>
          <w:tab/>
        </w:r>
        <w:r w:rsidR="00DE3524" w:rsidRPr="002A6E4B">
          <w:rPr>
            <w:noProof/>
            <w:webHidden/>
          </w:rPr>
          <w:fldChar w:fldCharType="begin"/>
        </w:r>
        <w:r w:rsidR="00DE3524" w:rsidRPr="002A6E4B">
          <w:rPr>
            <w:noProof/>
            <w:webHidden/>
          </w:rPr>
          <w:instrText xml:space="preserve"> PAGEREF _Toc206593567 \h </w:instrText>
        </w:r>
        <w:r w:rsidR="00DE3524" w:rsidRPr="002A6E4B">
          <w:rPr>
            <w:noProof/>
            <w:webHidden/>
          </w:rPr>
        </w:r>
        <w:r w:rsidR="00DE3524" w:rsidRPr="002A6E4B">
          <w:rPr>
            <w:noProof/>
            <w:webHidden/>
          </w:rPr>
          <w:fldChar w:fldCharType="separate"/>
        </w:r>
        <w:r w:rsidR="00D67504">
          <w:rPr>
            <w:noProof/>
            <w:webHidden/>
          </w:rPr>
          <w:t>2</w:t>
        </w:r>
        <w:r w:rsidR="00DE3524" w:rsidRPr="002A6E4B">
          <w:rPr>
            <w:noProof/>
            <w:webHidden/>
          </w:rPr>
          <w:fldChar w:fldCharType="end"/>
        </w:r>
      </w:hyperlink>
    </w:p>
    <w:p w14:paraId="59AF3834" w14:textId="26CB34C3" w:rsidR="00DE3524" w:rsidRPr="002A6E4B" w:rsidRDefault="00DE3524" w:rsidP="00630240">
      <w:pPr>
        <w:pStyle w:val="TDC2"/>
        <w:tabs>
          <w:tab w:val="right" w:leader="dot" w:pos="9204"/>
        </w:tabs>
        <w:spacing w:after="0" w:line="360" w:lineRule="auto"/>
        <w:rPr>
          <w:rFonts w:asciiTheme="minorHAnsi" w:eastAsiaTheme="minorEastAsia" w:hAnsiTheme="minorHAnsi" w:cstheme="minorBidi"/>
          <w:noProof/>
          <w:color w:val="auto"/>
        </w:rPr>
      </w:pPr>
      <w:hyperlink w:anchor="_Toc206593568" w:history="1">
        <w:r w:rsidRPr="002A6E4B">
          <w:rPr>
            <w:rStyle w:val="Hipervnculo"/>
            <w:noProof/>
          </w:rPr>
          <w:t>I. Presentación de la solicitud de información</w:t>
        </w:r>
        <w:r w:rsidRPr="002A6E4B">
          <w:rPr>
            <w:noProof/>
            <w:webHidden/>
          </w:rPr>
          <w:tab/>
        </w:r>
        <w:r w:rsidRPr="002A6E4B">
          <w:rPr>
            <w:noProof/>
            <w:webHidden/>
          </w:rPr>
          <w:fldChar w:fldCharType="begin"/>
        </w:r>
        <w:r w:rsidRPr="002A6E4B">
          <w:rPr>
            <w:noProof/>
            <w:webHidden/>
          </w:rPr>
          <w:instrText xml:space="preserve"> PAGEREF _Toc206593568 \h </w:instrText>
        </w:r>
        <w:r w:rsidRPr="002A6E4B">
          <w:rPr>
            <w:noProof/>
            <w:webHidden/>
          </w:rPr>
        </w:r>
        <w:r w:rsidRPr="002A6E4B">
          <w:rPr>
            <w:noProof/>
            <w:webHidden/>
          </w:rPr>
          <w:fldChar w:fldCharType="separate"/>
        </w:r>
        <w:r w:rsidR="00D67504">
          <w:rPr>
            <w:noProof/>
            <w:webHidden/>
          </w:rPr>
          <w:t>2</w:t>
        </w:r>
        <w:r w:rsidRPr="002A6E4B">
          <w:rPr>
            <w:noProof/>
            <w:webHidden/>
          </w:rPr>
          <w:fldChar w:fldCharType="end"/>
        </w:r>
      </w:hyperlink>
    </w:p>
    <w:p w14:paraId="320C1948" w14:textId="7D451750" w:rsidR="00DE3524" w:rsidRPr="002A6E4B" w:rsidRDefault="00DE3524" w:rsidP="00630240">
      <w:pPr>
        <w:pStyle w:val="TDC2"/>
        <w:tabs>
          <w:tab w:val="right" w:leader="dot" w:pos="9204"/>
        </w:tabs>
        <w:spacing w:after="0" w:line="360" w:lineRule="auto"/>
        <w:rPr>
          <w:rFonts w:asciiTheme="minorHAnsi" w:eastAsiaTheme="minorEastAsia" w:hAnsiTheme="minorHAnsi" w:cstheme="minorBidi"/>
          <w:noProof/>
          <w:color w:val="auto"/>
        </w:rPr>
      </w:pPr>
      <w:hyperlink w:anchor="_Toc206593569" w:history="1">
        <w:r w:rsidRPr="002A6E4B">
          <w:rPr>
            <w:rStyle w:val="Hipervnculo"/>
            <w:noProof/>
          </w:rPr>
          <w:t>II. Respuesta del Sujeto Obligado</w:t>
        </w:r>
        <w:r w:rsidRPr="002A6E4B">
          <w:rPr>
            <w:noProof/>
            <w:webHidden/>
          </w:rPr>
          <w:tab/>
        </w:r>
        <w:r w:rsidRPr="002A6E4B">
          <w:rPr>
            <w:noProof/>
            <w:webHidden/>
          </w:rPr>
          <w:fldChar w:fldCharType="begin"/>
        </w:r>
        <w:r w:rsidRPr="002A6E4B">
          <w:rPr>
            <w:noProof/>
            <w:webHidden/>
          </w:rPr>
          <w:instrText xml:space="preserve"> PAGEREF _Toc206593569 \h </w:instrText>
        </w:r>
        <w:r w:rsidRPr="002A6E4B">
          <w:rPr>
            <w:noProof/>
            <w:webHidden/>
          </w:rPr>
        </w:r>
        <w:r w:rsidRPr="002A6E4B">
          <w:rPr>
            <w:noProof/>
            <w:webHidden/>
          </w:rPr>
          <w:fldChar w:fldCharType="separate"/>
        </w:r>
        <w:r w:rsidR="00D67504">
          <w:rPr>
            <w:noProof/>
            <w:webHidden/>
          </w:rPr>
          <w:t>2</w:t>
        </w:r>
        <w:r w:rsidRPr="002A6E4B">
          <w:rPr>
            <w:noProof/>
            <w:webHidden/>
          </w:rPr>
          <w:fldChar w:fldCharType="end"/>
        </w:r>
      </w:hyperlink>
    </w:p>
    <w:p w14:paraId="1532A957" w14:textId="2EB97D0A" w:rsidR="00DE3524" w:rsidRPr="002A6E4B" w:rsidRDefault="00DE3524" w:rsidP="00630240">
      <w:pPr>
        <w:pStyle w:val="TDC2"/>
        <w:tabs>
          <w:tab w:val="right" w:leader="dot" w:pos="9204"/>
        </w:tabs>
        <w:spacing w:after="0" w:line="360" w:lineRule="auto"/>
        <w:rPr>
          <w:rFonts w:asciiTheme="minorHAnsi" w:eastAsiaTheme="minorEastAsia" w:hAnsiTheme="minorHAnsi" w:cstheme="minorBidi"/>
          <w:noProof/>
          <w:color w:val="auto"/>
        </w:rPr>
      </w:pPr>
      <w:hyperlink w:anchor="_Toc206593570" w:history="1">
        <w:r w:rsidRPr="002A6E4B">
          <w:rPr>
            <w:rStyle w:val="Hipervnculo"/>
            <w:noProof/>
          </w:rPr>
          <w:t>III. Interposición del Recurso de Revisión</w:t>
        </w:r>
        <w:r w:rsidRPr="002A6E4B">
          <w:rPr>
            <w:noProof/>
            <w:webHidden/>
          </w:rPr>
          <w:tab/>
        </w:r>
        <w:r w:rsidRPr="002A6E4B">
          <w:rPr>
            <w:noProof/>
            <w:webHidden/>
          </w:rPr>
          <w:fldChar w:fldCharType="begin"/>
        </w:r>
        <w:r w:rsidRPr="002A6E4B">
          <w:rPr>
            <w:noProof/>
            <w:webHidden/>
          </w:rPr>
          <w:instrText xml:space="preserve"> PAGEREF _Toc206593570 \h </w:instrText>
        </w:r>
        <w:r w:rsidRPr="002A6E4B">
          <w:rPr>
            <w:noProof/>
            <w:webHidden/>
          </w:rPr>
        </w:r>
        <w:r w:rsidRPr="002A6E4B">
          <w:rPr>
            <w:noProof/>
            <w:webHidden/>
          </w:rPr>
          <w:fldChar w:fldCharType="separate"/>
        </w:r>
        <w:r w:rsidR="00D67504">
          <w:rPr>
            <w:noProof/>
            <w:webHidden/>
          </w:rPr>
          <w:t>3</w:t>
        </w:r>
        <w:r w:rsidRPr="002A6E4B">
          <w:rPr>
            <w:noProof/>
            <w:webHidden/>
          </w:rPr>
          <w:fldChar w:fldCharType="end"/>
        </w:r>
      </w:hyperlink>
    </w:p>
    <w:p w14:paraId="53971B56" w14:textId="708C3AC3" w:rsidR="00DE3524" w:rsidRPr="002A6E4B" w:rsidRDefault="00DE3524" w:rsidP="00630240">
      <w:pPr>
        <w:pStyle w:val="TDC2"/>
        <w:tabs>
          <w:tab w:val="right" w:leader="dot" w:pos="9204"/>
        </w:tabs>
        <w:spacing w:after="0" w:line="360" w:lineRule="auto"/>
        <w:rPr>
          <w:rFonts w:asciiTheme="minorHAnsi" w:eastAsiaTheme="minorEastAsia" w:hAnsiTheme="minorHAnsi" w:cstheme="minorBidi"/>
          <w:noProof/>
          <w:color w:val="auto"/>
        </w:rPr>
      </w:pPr>
      <w:hyperlink w:anchor="_Toc206593571" w:history="1">
        <w:r w:rsidRPr="002A6E4B">
          <w:rPr>
            <w:rStyle w:val="Hipervnculo"/>
            <w:noProof/>
          </w:rPr>
          <w:t>IV. Trámite del Recurso de Revisión ante este Instituto</w:t>
        </w:r>
        <w:r w:rsidRPr="002A6E4B">
          <w:rPr>
            <w:noProof/>
            <w:webHidden/>
          </w:rPr>
          <w:tab/>
        </w:r>
        <w:r w:rsidRPr="002A6E4B">
          <w:rPr>
            <w:noProof/>
            <w:webHidden/>
          </w:rPr>
          <w:fldChar w:fldCharType="begin"/>
        </w:r>
        <w:r w:rsidRPr="002A6E4B">
          <w:rPr>
            <w:noProof/>
            <w:webHidden/>
          </w:rPr>
          <w:instrText xml:space="preserve"> PAGEREF _Toc206593571 \h </w:instrText>
        </w:r>
        <w:r w:rsidRPr="002A6E4B">
          <w:rPr>
            <w:noProof/>
            <w:webHidden/>
          </w:rPr>
        </w:r>
        <w:r w:rsidRPr="002A6E4B">
          <w:rPr>
            <w:noProof/>
            <w:webHidden/>
          </w:rPr>
          <w:fldChar w:fldCharType="separate"/>
        </w:r>
        <w:r w:rsidR="00D67504">
          <w:rPr>
            <w:noProof/>
            <w:webHidden/>
          </w:rPr>
          <w:t>4</w:t>
        </w:r>
        <w:r w:rsidRPr="002A6E4B">
          <w:rPr>
            <w:noProof/>
            <w:webHidden/>
          </w:rPr>
          <w:fldChar w:fldCharType="end"/>
        </w:r>
      </w:hyperlink>
    </w:p>
    <w:p w14:paraId="67009CF0" w14:textId="65C73932" w:rsidR="00DE3524" w:rsidRPr="002A6E4B" w:rsidRDefault="00DE3524" w:rsidP="00630240">
      <w:pPr>
        <w:pStyle w:val="TDC3"/>
        <w:tabs>
          <w:tab w:val="right" w:leader="dot" w:pos="9204"/>
        </w:tabs>
        <w:spacing w:after="0" w:line="360" w:lineRule="auto"/>
        <w:rPr>
          <w:rFonts w:asciiTheme="minorHAnsi" w:eastAsiaTheme="minorEastAsia" w:hAnsiTheme="minorHAnsi" w:cstheme="minorBidi"/>
          <w:noProof/>
          <w:color w:val="auto"/>
        </w:rPr>
      </w:pPr>
      <w:hyperlink w:anchor="_Toc206593572" w:history="1">
        <w:r w:rsidRPr="002A6E4B">
          <w:rPr>
            <w:rStyle w:val="Hipervnculo"/>
            <w:noProof/>
          </w:rPr>
          <w:t>a) Turno del Medio de Impugnación</w:t>
        </w:r>
        <w:r w:rsidRPr="002A6E4B">
          <w:rPr>
            <w:noProof/>
            <w:webHidden/>
          </w:rPr>
          <w:tab/>
        </w:r>
        <w:r w:rsidRPr="002A6E4B">
          <w:rPr>
            <w:noProof/>
            <w:webHidden/>
          </w:rPr>
          <w:fldChar w:fldCharType="begin"/>
        </w:r>
        <w:r w:rsidRPr="002A6E4B">
          <w:rPr>
            <w:noProof/>
            <w:webHidden/>
          </w:rPr>
          <w:instrText xml:space="preserve"> PAGEREF _Toc206593572 \h </w:instrText>
        </w:r>
        <w:r w:rsidRPr="002A6E4B">
          <w:rPr>
            <w:noProof/>
            <w:webHidden/>
          </w:rPr>
        </w:r>
        <w:r w:rsidRPr="002A6E4B">
          <w:rPr>
            <w:noProof/>
            <w:webHidden/>
          </w:rPr>
          <w:fldChar w:fldCharType="separate"/>
        </w:r>
        <w:r w:rsidR="00D67504">
          <w:rPr>
            <w:noProof/>
            <w:webHidden/>
          </w:rPr>
          <w:t>4</w:t>
        </w:r>
        <w:r w:rsidRPr="002A6E4B">
          <w:rPr>
            <w:noProof/>
            <w:webHidden/>
          </w:rPr>
          <w:fldChar w:fldCharType="end"/>
        </w:r>
      </w:hyperlink>
    </w:p>
    <w:p w14:paraId="1D919634" w14:textId="7FDBA4AC" w:rsidR="00DE3524" w:rsidRPr="002A6E4B" w:rsidRDefault="00DE3524" w:rsidP="00630240">
      <w:pPr>
        <w:pStyle w:val="TDC3"/>
        <w:tabs>
          <w:tab w:val="right" w:leader="dot" w:pos="9204"/>
        </w:tabs>
        <w:spacing w:after="0" w:line="360" w:lineRule="auto"/>
        <w:rPr>
          <w:rFonts w:asciiTheme="minorHAnsi" w:eastAsiaTheme="minorEastAsia" w:hAnsiTheme="minorHAnsi" w:cstheme="minorBidi"/>
          <w:noProof/>
          <w:color w:val="auto"/>
        </w:rPr>
      </w:pPr>
      <w:hyperlink w:anchor="_Toc206593573" w:history="1">
        <w:r w:rsidRPr="002A6E4B">
          <w:rPr>
            <w:rStyle w:val="Hipervnculo"/>
            <w:noProof/>
          </w:rPr>
          <w:t>b) Admisión del Recurso de Revisión</w:t>
        </w:r>
        <w:r w:rsidRPr="002A6E4B">
          <w:rPr>
            <w:noProof/>
            <w:webHidden/>
          </w:rPr>
          <w:tab/>
        </w:r>
        <w:r w:rsidRPr="002A6E4B">
          <w:rPr>
            <w:noProof/>
            <w:webHidden/>
          </w:rPr>
          <w:fldChar w:fldCharType="begin"/>
        </w:r>
        <w:r w:rsidRPr="002A6E4B">
          <w:rPr>
            <w:noProof/>
            <w:webHidden/>
          </w:rPr>
          <w:instrText xml:space="preserve"> PAGEREF _Toc206593573 \h </w:instrText>
        </w:r>
        <w:r w:rsidRPr="002A6E4B">
          <w:rPr>
            <w:noProof/>
            <w:webHidden/>
          </w:rPr>
        </w:r>
        <w:r w:rsidRPr="002A6E4B">
          <w:rPr>
            <w:noProof/>
            <w:webHidden/>
          </w:rPr>
          <w:fldChar w:fldCharType="separate"/>
        </w:r>
        <w:r w:rsidR="00D67504">
          <w:rPr>
            <w:noProof/>
            <w:webHidden/>
          </w:rPr>
          <w:t>4</w:t>
        </w:r>
        <w:r w:rsidRPr="002A6E4B">
          <w:rPr>
            <w:noProof/>
            <w:webHidden/>
          </w:rPr>
          <w:fldChar w:fldCharType="end"/>
        </w:r>
      </w:hyperlink>
    </w:p>
    <w:p w14:paraId="753C1BC2" w14:textId="21FABA2C" w:rsidR="00DE3524" w:rsidRPr="002A6E4B" w:rsidRDefault="00DE3524" w:rsidP="00630240">
      <w:pPr>
        <w:pStyle w:val="TDC3"/>
        <w:tabs>
          <w:tab w:val="right" w:leader="dot" w:pos="9204"/>
        </w:tabs>
        <w:spacing w:after="0" w:line="360" w:lineRule="auto"/>
        <w:rPr>
          <w:rFonts w:asciiTheme="minorHAnsi" w:eastAsiaTheme="minorEastAsia" w:hAnsiTheme="minorHAnsi" w:cstheme="minorBidi"/>
          <w:noProof/>
          <w:color w:val="auto"/>
        </w:rPr>
      </w:pPr>
      <w:hyperlink w:anchor="_Toc206593574" w:history="1">
        <w:r w:rsidRPr="002A6E4B">
          <w:rPr>
            <w:rStyle w:val="Hipervnculo"/>
            <w:noProof/>
          </w:rPr>
          <w:t>c) Informe Justificado y manifestaciones de la parte Recurrente</w:t>
        </w:r>
        <w:r w:rsidRPr="002A6E4B">
          <w:rPr>
            <w:noProof/>
            <w:webHidden/>
          </w:rPr>
          <w:tab/>
        </w:r>
        <w:r w:rsidRPr="002A6E4B">
          <w:rPr>
            <w:noProof/>
            <w:webHidden/>
          </w:rPr>
          <w:fldChar w:fldCharType="begin"/>
        </w:r>
        <w:r w:rsidRPr="002A6E4B">
          <w:rPr>
            <w:noProof/>
            <w:webHidden/>
          </w:rPr>
          <w:instrText xml:space="preserve"> PAGEREF _Toc206593574 \h </w:instrText>
        </w:r>
        <w:r w:rsidRPr="002A6E4B">
          <w:rPr>
            <w:noProof/>
            <w:webHidden/>
          </w:rPr>
        </w:r>
        <w:r w:rsidRPr="002A6E4B">
          <w:rPr>
            <w:noProof/>
            <w:webHidden/>
          </w:rPr>
          <w:fldChar w:fldCharType="separate"/>
        </w:r>
        <w:r w:rsidR="00D67504">
          <w:rPr>
            <w:noProof/>
            <w:webHidden/>
          </w:rPr>
          <w:t>5</w:t>
        </w:r>
        <w:r w:rsidRPr="002A6E4B">
          <w:rPr>
            <w:noProof/>
            <w:webHidden/>
          </w:rPr>
          <w:fldChar w:fldCharType="end"/>
        </w:r>
      </w:hyperlink>
    </w:p>
    <w:p w14:paraId="1E01DDA3" w14:textId="5E485FD7" w:rsidR="00DE3524" w:rsidRPr="002A6E4B" w:rsidRDefault="00DE3524" w:rsidP="00630240">
      <w:pPr>
        <w:pStyle w:val="TDC3"/>
        <w:tabs>
          <w:tab w:val="right" w:leader="dot" w:pos="9204"/>
        </w:tabs>
        <w:spacing w:after="0" w:line="360" w:lineRule="auto"/>
        <w:rPr>
          <w:rFonts w:asciiTheme="minorHAnsi" w:eastAsiaTheme="minorEastAsia" w:hAnsiTheme="minorHAnsi" w:cstheme="minorBidi"/>
          <w:noProof/>
          <w:color w:val="auto"/>
        </w:rPr>
      </w:pPr>
      <w:hyperlink w:anchor="_Toc206593575" w:history="1">
        <w:r w:rsidRPr="002A6E4B">
          <w:rPr>
            <w:rStyle w:val="Hipervnculo"/>
            <w:noProof/>
          </w:rPr>
          <w:t>d) Ampliación de plazo</w:t>
        </w:r>
        <w:r w:rsidRPr="002A6E4B">
          <w:rPr>
            <w:noProof/>
            <w:webHidden/>
          </w:rPr>
          <w:tab/>
        </w:r>
        <w:r w:rsidRPr="002A6E4B">
          <w:rPr>
            <w:noProof/>
            <w:webHidden/>
          </w:rPr>
          <w:fldChar w:fldCharType="begin"/>
        </w:r>
        <w:r w:rsidRPr="002A6E4B">
          <w:rPr>
            <w:noProof/>
            <w:webHidden/>
          </w:rPr>
          <w:instrText xml:space="preserve"> PAGEREF _Toc206593575 \h </w:instrText>
        </w:r>
        <w:r w:rsidRPr="002A6E4B">
          <w:rPr>
            <w:noProof/>
            <w:webHidden/>
          </w:rPr>
        </w:r>
        <w:r w:rsidRPr="002A6E4B">
          <w:rPr>
            <w:noProof/>
            <w:webHidden/>
          </w:rPr>
          <w:fldChar w:fldCharType="separate"/>
        </w:r>
        <w:r w:rsidR="00D67504">
          <w:rPr>
            <w:noProof/>
            <w:webHidden/>
          </w:rPr>
          <w:t>5</w:t>
        </w:r>
        <w:r w:rsidRPr="002A6E4B">
          <w:rPr>
            <w:noProof/>
            <w:webHidden/>
          </w:rPr>
          <w:fldChar w:fldCharType="end"/>
        </w:r>
      </w:hyperlink>
    </w:p>
    <w:p w14:paraId="48A068F1" w14:textId="00A73E1E" w:rsidR="00DE3524" w:rsidRPr="002A6E4B" w:rsidRDefault="00DE3524" w:rsidP="00630240">
      <w:pPr>
        <w:pStyle w:val="TDC3"/>
        <w:tabs>
          <w:tab w:val="right" w:leader="dot" w:pos="9204"/>
        </w:tabs>
        <w:spacing w:after="0" w:line="360" w:lineRule="auto"/>
        <w:rPr>
          <w:rFonts w:asciiTheme="minorHAnsi" w:eastAsiaTheme="minorEastAsia" w:hAnsiTheme="minorHAnsi" w:cstheme="minorBidi"/>
          <w:noProof/>
          <w:color w:val="auto"/>
        </w:rPr>
      </w:pPr>
      <w:hyperlink w:anchor="_Toc206593576" w:history="1">
        <w:r w:rsidRPr="002A6E4B">
          <w:rPr>
            <w:rStyle w:val="Hipervnculo"/>
            <w:noProof/>
          </w:rPr>
          <w:t>e) Cierre de instrucción</w:t>
        </w:r>
        <w:r w:rsidRPr="002A6E4B">
          <w:rPr>
            <w:noProof/>
            <w:webHidden/>
          </w:rPr>
          <w:tab/>
        </w:r>
        <w:r w:rsidRPr="002A6E4B">
          <w:rPr>
            <w:noProof/>
            <w:webHidden/>
          </w:rPr>
          <w:fldChar w:fldCharType="begin"/>
        </w:r>
        <w:r w:rsidRPr="002A6E4B">
          <w:rPr>
            <w:noProof/>
            <w:webHidden/>
          </w:rPr>
          <w:instrText xml:space="preserve"> PAGEREF _Toc206593576 \h </w:instrText>
        </w:r>
        <w:r w:rsidRPr="002A6E4B">
          <w:rPr>
            <w:noProof/>
            <w:webHidden/>
          </w:rPr>
        </w:r>
        <w:r w:rsidRPr="002A6E4B">
          <w:rPr>
            <w:noProof/>
            <w:webHidden/>
          </w:rPr>
          <w:fldChar w:fldCharType="separate"/>
        </w:r>
        <w:r w:rsidR="00D67504">
          <w:rPr>
            <w:noProof/>
            <w:webHidden/>
          </w:rPr>
          <w:t>5</w:t>
        </w:r>
        <w:r w:rsidRPr="002A6E4B">
          <w:rPr>
            <w:noProof/>
            <w:webHidden/>
          </w:rPr>
          <w:fldChar w:fldCharType="end"/>
        </w:r>
      </w:hyperlink>
    </w:p>
    <w:p w14:paraId="4CE6BE44" w14:textId="3A693D3B" w:rsidR="00DE3524" w:rsidRPr="002A6E4B" w:rsidRDefault="00DE3524" w:rsidP="00630240">
      <w:pPr>
        <w:pStyle w:val="TDC1"/>
        <w:tabs>
          <w:tab w:val="right" w:leader="dot" w:pos="9204"/>
        </w:tabs>
        <w:spacing w:after="0" w:line="360" w:lineRule="auto"/>
        <w:rPr>
          <w:rFonts w:asciiTheme="minorHAnsi" w:eastAsiaTheme="minorEastAsia" w:hAnsiTheme="minorHAnsi" w:cstheme="minorBidi"/>
          <w:noProof/>
          <w:color w:val="auto"/>
        </w:rPr>
      </w:pPr>
      <w:hyperlink w:anchor="_Toc206593577" w:history="1">
        <w:r w:rsidRPr="002A6E4B">
          <w:rPr>
            <w:rStyle w:val="Hipervnculo"/>
            <w:noProof/>
          </w:rPr>
          <w:t>C O N S I D E R A N D O S</w:t>
        </w:r>
        <w:r w:rsidRPr="002A6E4B">
          <w:rPr>
            <w:noProof/>
            <w:webHidden/>
          </w:rPr>
          <w:tab/>
        </w:r>
        <w:r w:rsidRPr="002A6E4B">
          <w:rPr>
            <w:noProof/>
            <w:webHidden/>
          </w:rPr>
          <w:fldChar w:fldCharType="begin"/>
        </w:r>
        <w:r w:rsidRPr="002A6E4B">
          <w:rPr>
            <w:noProof/>
            <w:webHidden/>
          </w:rPr>
          <w:instrText xml:space="preserve"> PAGEREF _Toc206593577 \h </w:instrText>
        </w:r>
        <w:r w:rsidRPr="002A6E4B">
          <w:rPr>
            <w:noProof/>
            <w:webHidden/>
          </w:rPr>
        </w:r>
        <w:r w:rsidRPr="002A6E4B">
          <w:rPr>
            <w:noProof/>
            <w:webHidden/>
          </w:rPr>
          <w:fldChar w:fldCharType="separate"/>
        </w:r>
        <w:r w:rsidR="00D67504">
          <w:rPr>
            <w:noProof/>
            <w:webHidden/>
          </w:rPr>
          <w:t>6</w:t>
        </w:r>
        <w:r w:rsidRPr="002A6E4B">
          <w:rPr>
            <w:noProof/>
            <w:webHidden/>
          </w:rPr>
          <w:fldChar w:fldCharType="end"/>
        </w:r>
      </w:hyperlink>
    </w:p>
    <w:p w14:paraId="4B1E12F1" w14:textId="3CBEA76E" w:rsidR="00DE3524" w:rsidRPr="002A6E4B" w:rsidRDefault="00DE3524" w:rsidP="00630240">
      <w:pPr>
        <w:pStyle w:val="TDC2"/>
        <w:tabs>
          <w:tab w:val="right" w:leader="dot" w:pos="9204"/>
        </w:tabs>
        <w:spacing w:after="0" w:line="360" w:lineRule="auto"/>
        <w:rPr>
          <w:rFonts w:asciiTheme="minorHAnsi" w:eastAsiaTheme="minorEastAsia" w:hAnsiTheme="minorHAnsi" w:cstheme="minorBidi"/>
          <w:noProof/>
          <w:color w:val="auto"/>
        </w:rPr>
      </w:pPr>
      <w:hyperlink w:anchor="_Toc206593578" w:history="1">
        <w:r w:rsidRPr="002A6E4B">
          <w:rPr>
            <w:rStyle w:val="Hipervnculo"/>
            <w:noProof/>
          </w:rPr>
          <w:t>PRIMERO. Competencia</w:t>
        </w:r>
        <w:r w:rsidRPr="002A6E4B">
          <w:rPr>
            <w:noProof/>
            <w:webHidden/>
          </w:rPr>
          <w:tab/>
        </w:r>
        <w:r w:rsidRPr="002A6E4B">
          <w:rPr>
            <w:noProof/>
            <w:webHidden/>
          </w:rPr>
          <w:fldChar w:fldCharType="begin"/>
        </w:r>
        <w:r w:rsidRPr="002A6E4B">
          <w:rPr>
            <w:noProof/>
            <w:webHidden/>
          </w:rPr>
          <w:instrText xml:space="preserve"> PAGEREF _Toc206593578 \h </w:instrText>
        </w:r>
        <w:r w:rsidRPr="002A6E4B">
          <w:rPr>
            <w:noProof/>
            <w:webHidden/>
          </w:rPr>
        </w:r>
        <w:r w:rsidRPr="002A6E4B">
          <w:rPr>
            <w:noProof/>
            <w:webHidden/>
          </w:rPr>
          <w:fldChar w:fldCharType="separate"/>
        </w:r>
        <w:r w:rsidR="00D67504">
          <w:rPr>
            <w:noProof/>
            <w:webHidden/>
          </w:rPr>
          <w:t>6</w:t>
        </w:r>
        <w:r w:rsidRPr="002A6E4B">
          <w:rPr>
            <w:noProof/>
            <w:webHidden/>
          </w:rPr>
          <w:fldChar w:fldCharType="end"/>
        </w:r>
      </w:hyperlink>
    </w:p>
    <w:p w14:paraId="5BC97207" w14:textId="5AD810DE" w:rsidR="00DE3524" w:rsidRPr="002A6E4B" w:rsidRDefault="00DE3524" w:rsidP="00630240">
      <w:pPr>
        <w:pStyle w:val="TDC2"/>
        <w:tabs>
          <w:tab w:val="right" w:leader="dot" w:pos="9204"/>
        </w:tabs>
        <w:spacing w:after="0" w:line="360" w:lineRule="auto"/>
        <w:rPr>
          <w:rFonts w:asciiTheme="minorHAnsi" w:eastAsiaTheme="minorEastAsia" w:hAnsiTheme="minorHAnsi" w:cstheme="minorBidi"/>
          <w:noProof/>
          <w:color w:val="auto"/>
        </w:rPr>
      </w:pPr>
      <w:hyperlink w:anchor="_Toc206593579" w:history="1">
        <w:r w:rsidRPr="002A6E4B">
          <w:rPr>
            <w:rStyle w:val="Hipervnculo"/>
            <w:noProof/>
          </w:rPr>
          <w:t>SEGUNDO. Causales de improcedencia y sobreseimiento</w:t>
        </w:r>
        <w:r w:rsidRPr="002A6E4B">
          <w:rPr>
            <w:noProof/>
            <w:webHidden/>
          </w:rPr>
          <w:tab/>
        </w:r>
        <w:r w:rsidRPr="002A6E4B">
          <w:rPr>
            <w:noProof/>
            <w:webHidden/>
          </w:rPr>
          <w:fldChar w:fldCharType="begin"/>
        </w:r>
        <w:r w:rsidRPr="002A6E4B">
          <w:rPr>
            <w:noProof/>
            <w:webHidden/>
          </w:rPr>
          <w:instrText xml:space="preserve"> PAGEREF _Toc206593579 \h </w:instrText>
        </w:r>
        <w:r w:rsidRPr="002A6E4B">
          <w:rPr>
            <w:noProof/>
            <w:webHidden/>
          </w:rPr>
        </w:r>
        <w:r w:rsidRPr="002A6E4B">
          <w:rPr>
            <w:noProof/>
            <w:webHidden/>
          </w:rPr>
          <w:fldChar w:fldCharType="separate"/>
        </w:r>
        <w:r w:rsidR="00D67504">
          <w:rPr>
            <w:noProof/>
            <w:webHidden/>
          </w:rPr>
          <w:t>6</w:t>
        </w:r>
        <w:r w:rsidRPr="002A6E4B">
          <w:rPr>
            <w:noProof/>
            <w:webHidden/>
          </w:rPr>
          <w:fldChar w:fldCharType="end"/>
        </w:r>
      </w:hyperlink>
    </w:p>
    <w:p w14:paraId="5A286583" w14:textId="1E1BDCCE" w:rsidR="00DE3524" w:rsidRPr="002A6E4B" w:rsidRDefault="00DE3524" w:rsidP="00630240">
      <w:pPr>
        <w:pStyle w:val="TDC2"/>
        <w:tabs>
          <w:tab w:val="right" w:leader="dot" w:pos="9204"/>
        </w:tabs>
        <w:spacing w:after="0" w:line="360" w:lineRule="auto"/>
        <w:rPr>
          <w:rFonts w:asciiTheme="minorHAnsi" w:eastAsiaTheme="minorEastAsia" w:hAnsiTheme="minorHAnsi" w:cstheme="minorBidi"/>
          <w:noProof/>
          <w:color w:val="auto"/>
        </w:rPr>
      </w:pPr>
      <w:hyperlink w:anchor="_Toc206593580" w:history="1">
        <w:r w:rsidRPr="002A6E4B">
          <w:rPr>
            <w:rStyle w:val="Hipervnculo"/>
            <w:noProof/>
          </w:rPr>
          <w:t>TERCERO. Determinación de la Controversia</w:t>
        </w:r>
        <w:r w:rsidRPr="002A6E4B">
          <w:rPr>
            <w:noProof/>
            <w:webHidden/>
          </w:rPr>
          <w:tab/>
        </w:r>
        <w:r w:rsidRPr="002A6E4B">
          <w:rPr>
            <w:noProof/>
            <w:webHidden/>
          </w:rPr>
          <w:fldChar w:fldCharType="begin"/>
        </w:r>
        <w:r w:rsidRPr="002A6E4B">
          <w:rPr>
            <w:noProof/>
            <w:webHidden/>
          </w:rPr>
          <w:instrText xml:space="preserve"> PAGEREF _Toc206593580 \h </w:instrText>
        </w:r>
        <w:r w:rsidRPr="002A6E4B">
          <w:rPr>
            <w:noProof/>
            <w:webHidden/>
          </w:rPr>
        </w:r>
        <w:r w:rsidRPr="002A6E4B">
          <w:rPr>
            <w:noProof/>
            <w:webHidden/>
          </w:rPr>
          <w:fldChar w:fldCharType="separate"/>
        </w:r>
        <w:r w:rsidR="00D67504">
          <w:rPr>
            <w:noProof/>
            <w:webHidden/>
          </w:rPr>
          <w:t>7</w:t>
        </w:r>
        <w:r w:rsidRPr="002A6E4B">
          <w:rPr>
            <w:noProof/>
            <w:webHidden/>
          </w:rPr>
          <w:fldChar w:fldCharType="end"/>
        </w:r>
      </w:hyperlink>
    </w:p>
    <w:p w14:paraId="5ACB2CCD" w14:textId="4BFE480F" w:rsidR="00DE3524" w:rsidRPr="002A6E4B" w:rsidRDefault="00DE3524" w:rsidP="00630240">
      <w:pPr>
        <w:pStyle w:val="TDC2"/>
        <w:tabs>
          <w:tab w:val="right" w:leader="dot" w:pos="9204"/>
        </w:tabs>
        <w:spacing w:after="0" w:line="360" w:lineRule="auto"/>
        <w:rPr>
          <w:rFonts w:asciiTheme="minorHAnsi" w:eastAsiaTheme="minorEastAsia" w:hAnsiTheme="minorHAnsi" w:cstheme="minorBidi"/>
          <w:noProof/>
          <w:color w:val="auto"/>
        </w:rPr>
      </w:pPr>
      <w:hyperlink w:anchor="_Toc206593581" w:history="1">
        <w:r w:rsidRPr="002A6E4B">
          <w:rPr>
            <w:rStyle w:val="Hipervnculo"/>
            <w:noProof/>
          </w:rPr>
          <w:t>CUARTO. Marco normativo aplicable en materia de transparencia y acceso a la información pública</w:t>
        </w:r>
        <w:r w:rsidRPr="002A6E4B">
          <w:rPr>
            <w:noProof/>
            <w:webHidden/>
          </w:rPr>
          <w:tab/>
        </w:r>
        <w:r w:rsidRPr="002A6E4B">
          <w:rPr>
            <w:noProof/>
            <w:webHidden/>
          </w:rPr>
          <w:fldChar w:fldCharType="begin"/>
        </w:r>
        <w:r w:rsidRPr="002A6E4B">
          <w:rPr>
            <w:noProof/>
            <w:webHidden/>
          </w:rPr>
          <w:instrText xml:space="preserve"> PAGEREF _Toc206593581 \h </w:instrText>
        </w:r>
        <w:r w:rsidRPr="002A6E4B">
          <w:rPr>
            <w:noProof/>
            <w:webHidden/>
          </w:rPr>
        </w:r>
        <w:r w:rsidRPr="002A6E4B">
          <w:rPr>
            <w:noProof/>
            <w:webHidden/>
          </w:rPr>
          <w:fldChar w:fldCharType="separate"/>
        </w:r>
        <w:r w:rsidR="00D67504">
          <w:rPr>
            <w:noProof/>
            <w:webHidden/>
          </w:rPr>
          <w:t>8</w:t>
        </w:r>
        <w:r w:rsidRPr="002A6E4B">
          <w:rPr>
            <w:noProof/>
            <w:webHidden/>
          </w:rPr>
          <w:fldChar w:fldCharType="end"/>
        </w:r>
      </w:hyperlink>
    </w:p>
    <w:p w14:paraId="3F82A8FD" w14:textId="4DBEE709" w:rsidR="00DE3524" w:rsidRPr="002A6E4B" w:rsidRDefault="00DE3524" w:rsidP="00630240">
      <w:pPr>
        <w:pStyle w:val="TDC2"/>
        <w:tabs>
          <w:tab w:val="right" w:leader="dot" w:pos="9204"/>
        </w:tabs>
        <w:spacing w:after="0" w:line="360" w:lineRule="auto"/>
        <w:rPr>
          <w:rFonts w:asciiTheme="minorHAnsi" w:eastAsiaTheme="minorEastAsia" w:hAnsiTheme="minorHAnsi" w:cstheme="minorBidi"/>
          <w:noProof/>
          <w:color w:val="auto"/>
        </w:rPr>
      </w:pPr>
      <w:hyperlink w:anchor="_Toc206593582" w:history="1">
        <w:r w:rsidRPr="002A6E4B">
          <w:rPr>
            <w:rStyle w:val="Hipervnculo"/>
            <w:noProof/>
          </w:rPr>
          <w:t>QUINTO. Estudio de Fondo</w:t>
        </w:r>
        <w:r w:rsidRPr="002A6E4B">
          <w:rPr>
            <w:noProof/>
            <w:webHidden/>
          </w:rPr>
          <w:tab/>
        </w:r>
        <w:r w:rsidRPr="002A6E4B">
          <w:rPr>
            <w:noProof/>
            <w:webHidden/>
          </w:rPr>
          <w:fldChar w:fldCharType="begin"/>
        </w:r>
        <w:r w:rsidRPr="002A6E4B">
          <w:rPr>
            <w:noProof/>
            <w:webHidden/>
          </w:rPr>
          <w:instrText xml:space="preserve"> PAGEREF _Toc206593582 \h </w:instrText>
        </w:r>
        <w:r w:rsidRPr="002A6E4B">
          <w:rPr>
            <w:noProof/>
            <w:webHidden/>
          </w:rPr>
        </w:r>
        <w:r w:rsidRPr="002A6E4B">
          <w:rPr>
            <w:noProof/>
            <w:webHidden/>
          </w:rPr>
          <w:fldChar w:fldCharType="separate"/>
        </w:r>
        <w:r w:rsidR="00D67504">
          <w:rPr>
            <w:noProof/>
            <w:webHidden/>
          </w:rPr>
          <w:t>9</w:t>
        </w:r>
        <w:r w:rsidRPr="002A6E4B">
          <w:rPr>
            <w:noProof/>
            <w:webHidden/>
          </w:rPr>
          <w:fldChar w:fldCharType="end"/>
        </w:r>
      </w:hyperlink>
    </w:p>
    <w:p w14:paraId="1299B6B3" w14:textId="5D2901A3" w:rsidR="00DE3524" w:rsidRPr="002A6E4B" w:rsidRDefault="00DE3524" w:rsidP="00630240">
      <w:pPr>
        <w:pStyle w:val="TDC2"/>
        <w:tabs>
          <w:tab w:val="right" w:leader="dot" w:pos="9204"/>
        </w:tabs>
        <w:spacing w:after="0" w:line="360" w:lineRule="auto"/>
        <w:rPr>
          <w:rFonts w:asciiTheme="minorHAnsi" w:eastAsiaTheme="minorEastAsia" w:hAnsiTheme="minorHAnsi" w:cstheme="minorBidi"/>
          <w:noProof/>
          <w:color w:val="auto"/>
        </w:rPr>
      </w:pPr>
      <w:hyperlink w:anchor="_Toc206593583" w:history="1">
        <w:r w:rsidRPr="002A6E4B">
          <w:rPr>
            <w:rStyle w:val="Hipervnculo"/>
            <w:noProof/>
          </w:rPr>
          <w:t>SEXTO. Decisión.</w:t>
        </w:r>
        <w:r w:rsidRPr="002A6E4B">
          <w:rPr>
            <w:noProof/>
            <w:webHidden/>
          </w:rPr>
          <w:tab/>
        </w:r>
        <w:r w:rsidRPr="002A6E4B">
          <w:rPr>
            <w:noProof/>
            <w:webHidden/>
          </w:rPr>
          <w:fldChar w:fldCharType="begin"/>
        </w:r>
        <w:r w:rsidRPr="002A6E4B">
          <w:rPr>
            <w:noProof/>
            <w:webHidden/>
          </w:rPr>
          <w:instrText xml:space="preserve"> PAGEREF _Toc206593583 \h </w:instrText>
        </w:r>
        <w:r w:rsidRPr="002A6E4B">
          <w:rPr>
            <w:noProof/>
            <w:webHidden/>
          </w:rPr>
        </w:r>
        <w:r w:rsidRPr="002A6E4B">
          <w:rPr>
            <w:noProof/>
            <w:webHidden/>
          </w:rPr>
          <w:fldChar w:fldCharType="separate"/>
        </w:r>
        <w:r w:rsidR="00D67504">
          <w:rPr>
            <w:noProof/>
            <w:webHidden/>
          </w:rPr>
          <w:t>24</w:t>
        </w:r>
        <w:r w:rsidRPr="002A6E4B">
          <w:rPr>
            <w:noProof/>
            <w:webHidden/>
          </w:rPr>
          <w:fldChar w:fldCharType="end"/>
        </w:r>
      </w:hyperlink>
    </w:p>
    <w:p w14:paraId="2E029AC4" w14:textId="2E680CD7" w:rsidR="00DE3524" w:rsidRPr="002A6E4B" w:rsidRDefault="00DE3524" w:rsidP="00630240">
      <w:pPr>
        <w:pStyle w:val="TDC1"/>
        <w:tabs>
          <w:tab w:val="right" w:leader="dot" w:pos="9204"/>
        </w:tabs>
        <w:spacing w:after="0" w:line="360" w:lineRule="auto"/>
        <w:rPr>
          <w:rFonts w:asciiTheme="minorHAnsi" w:eastAsiaTheme="minorEastAsia" w:hAnsiTheme="minorHAnsi" w:cstheme="minorBidi"/>
          <w:noProof/>
          <w:color w:val="auto"/>
        </w:rPr>
      </w:pPr>
      <w:hyperlink w:anchor="_Toc206593584" w:history="1">
        <w:r w:rsidRPr="002A6E4B">
          <w:rPr>
            <w:rStyle w:val="Hipervnculo"/>
            <w:noProof/>
          </w:rPr>
          <w:t>R E S U E L V E</w:t>
        </w:r>
        <w:r w:rsidRPr="002A6E4B">
          <w:rPr>
            <w:noProof/>
            <w:webHidden/>
          </w:rPr>
          <w:tab/>
        </w:r>
        <w:r w:rsidRPr="002A6E4B">
          <w:rPr>
            <w:noProof/>
            <w:webHidden/>
          </w:rPr>
          <w:fldChar w:fldCharType="begin"/>
        </w:r>
        <w:r w:rsidRPr="002A6E4B">
          <w:rPr>
            <w:noProof/>
            <w:webHidden/>
          </w:rPr>
          <w:instrText xml:space="preserve"> PAGEREF _Toc206593584 \h </w:instrText>
        </w:r>
        <w:r w:rsidRPr="002A6E4B">
          <w:rPr>
            <w:noProof/>
            <w:webHidden/>
          </w:rPr>
        </w:r>
        <w:r w:rsidRPr="002A6E4B">
          <w:rPr>
            <w:noProof/>
            <w:webHidden/>
          </w:rPr>
          <w:fldChar w:fldCharType="separate"/>
        </w:r>
        <w:r w:rsidR="00D67504">
          <w:rPr>
            <w:noProof/>
            <w:webHidden/>
          </w:rPr>
          <w:t>25</w:t>
        </w:r>
        <w:r w:rsidRPr="002A6E4B">
          <w:rPr>
            <w:noProof/>
            <w:webHidden/>
          </w:rPr>
          <w:fldChar w:fldCharType="end"/>
        </w:r>
      </w:hyperlink>
    </w:p>
    <w:p w14:paraId="18565F1D" w14:textId="1DBB283E" w:rsidR="008E65B3" w:rsidRPr="002A6E4B" w:rsidRDefault="008E65B3" w:rsidP="00630240">
      <w:pPr>
        <w:spacing w:after="0" w:line="360" w:lineRule="auto"/>
      </w:pPr>
      <w:r w:rsidRPr="002A6E4B">
        <w:rPr>
          <w:b/>
          <w:bCs/>
        </w:rPr>
        <w:fldChar w:fldCharType="end"/>
      </w:r>
    </w:p>
    <w:p w14:paraId="2D861644" w14:textId="77777777" w:rsidR="00881807" w:rsidRPr="002A6E4B" w:rsidRDefault="0095797A" w:rsidP="00630240">
      <w:pPr>
        <w:spacing w:after="0" w:line="360" w:lineRule="auto"/>
        <w:ind w:right="142"/>
      </w:pPr>
      <w:r w:rsidRPr="002A6E4B">
        <w:br w:type="page"/>
      </w:r>
    </w:p>
    <w:p w14:paraId="0020809C" w14:textId="0149C73B" w:rsidR="00881807" w:rsidRPr="002A6E4B" w:rsidRDefault="0095797A" w:rsidP="00630240">
      <w:pPr>
        <w:spacing w:after="0" w:line="360" w:lineRule="auto"/>
        <w:ind w:right="142"/>
      </w:pPr>
      <w:r w:rsidRPr="002A6E4B">
        <w:lastRenderedPageBreak/>
        <w:t xml:space="preserve">Resolución del Pleno del Instituto de Transparencia, Acceso a la Información Pública y Protección de Datos Personales del Estado de México y Municipios, con domicilio en Metepec, Estado de México, de fecha </w:t>
      </w:r>
      <w:r w:rsidR="00511105" w:rsidRPr="002A6E4B">
        <w:t>veintisiete</w:t>
      </w:r>
      <w:r w:rsidRPr="002A6E4B">
        <w:t xml:space="preserve"> de </w:t>
      </w:r>
      <w:r w:rsidR="000F7A6E" w:rsidRPr="002A6E4B">
        <w:t>agosto</w:t>
      </w:r>
      <w:r w:rsidRPr="002A6E4B">
        <w:t xml:space="preserve"> de dos mil veinticinco.</w:t>
      </w:r>
    </w:p>
    <w:p w14:paraId="79F28FA6" w14:textId="77777777" w:rsidR="00881807" w:rsidRPr="002A6E4B" w:rsidRDefault="00881807" w:rsidP="00630240">
      <w:pPr>
        <w:spacing w:after="0" w:line="360" w:lineRule="auto"/>
        <w:ind w:right="142"/>
        <w:rPr>
          <w:b/>
        </w:rPr>
      </w:pPr>
    </w:p>
    <w:p w14:paraId="697DCF3C" w14:textId="58D57F5F" w:rsidR="00881807" w:rsidRPr="002A6E4B" w:rsidRDefault="0095797A" w:rsidP="00630240">
      <w:pPr>
        <w:spacing w:after="0" w:line="360" w:lineRule="auto"/>
        <w:ind w:right="142"/>
      </w:pPr>
      <w:r w:rsidRPr="002A6E4B">
        <w:rPr>
          <w:b/>
        </w:rPr>
        <w:t>VISTO</w:t>
      </w:r>
      <w:r w:rsidRPr="002A6E4B">
        <w:t xml:space="preserve"> el expediente conformado con motivo </w:t>
      </w:r>
      <w:r w:rsidR="00142E20" w:rsidRPr="002A6E4B">
        <w:t>del</w:t>
      </w:r>
      <w:r w:rsidRPr="002A6E4B">
        <w:t xml:space="preserve"> Recurso de Revisión </w:t>
      </w:r>
      <w:r w:rsidR="00511105" w:rsidRPr="002A6E4B">
        <w:t>05821/INFOEM/IP/RR/2025</w:t>
      </w:r>
      <w:r w:rsidRPr="002A6E4B">
        <w:t xml:space="preserve">, interpuesto </w:t>
      </w:r>
      <w:r w:rsidR="00F3151C" w:rsidRPr="002A6E4B">
        <w:t xml:space="preserve">por </w:t>
      </w:r>
      <w:r w:rsidR="00630240" w:rsidRPr="002A6E4B">
        <w:t>l</w:t>
      </w:r>
      <w:r w:rsidRPr="002A6E4B">
        <w:t xml:space="preserve">a persona Recurrente o </w:t>
      </w:r>
      <w:r w:rsidR="00602079" w:rsidRPr="002A6E4B">
        <w:t xml:space="preserve">el </w:t>
      </w:r>
      <w:r w:rsidRPr="002A6E4B">
        <w:t>Particular, en contra de la respuesta del Sujeto Obligado</w:t>
      </w:r>
      <w:r w:rsidR="008869DA" w:rsidRPr="002A6E4B">
        <w:t xml:space="preserve">, </w:t>
      </w:r>
      <w:r w:rsidR="00466865" w:rsidRPr="002A6E4B">
        <w:t xml:space="preserve">Ayuntamiento de </w:t>
      </w:r>
      <w:r w:rsidR="00DE3524" w:rsidRPr="002A6E4B">
        <w:t>Cocotitlán</w:t>
      </w:r>
      <w:r w:rsidR="00466865" w:rsidRPr="002A6E4B">
        <w:t>,</w:t>
      </w:r>
      <w:r w:rsidR="00FB2526" w:rsidRPr="002A6E4B">
        <w:t xml:space="preserve"> a </w:t>
      </w:r>
      <w:r w:rsidR="007641BF" w:rsidRPr="002A6E4B">
        <w:t>la solicitud</w:t>
      </w:r>
      <w:r w:rsidR="00FB2526" w:rsidRPr="002A6E4B">
        <w:t xml:space="preserve"> </w:t>
      </w:r>
      <w:r w:rsidR="00511105" w:rsidRPr="002A6E4B">
        <w:t>00309/COCOTIT/IP/2025</w:t>
      </w:r>
      <w:r w:rsidRPr="002A6E4B">
        <w:t>, se emite la presente Resolución, con base en los antecedentes y considerandos que se exponen a continuación:</w:t>
      </w:r>
    </w:p>
    <w:p w14:paraId="1A8429A9" w14:textId="77777777" w:rsidR="00881807" w:rsidRPr="002A6E4B" w:rsidRDefault="00881807" w:rsidP="00630240">
      <w:pPr>
        <w:spacing w:after="0" w:line="360" w:lineRule="auto"/>
        <w:ind w:right="142"/>
      </w:pPr>
    </w:p>
    <w:p w14:paraId="5B3EEB58" w14:textId="77777777" w:rsidR="00881807" w:rsidRPr="002A6E4B" w:rsidRDefault="0095797A" w:rsidP="00630240">
      <w:pPr>
        <w:pStyle w:val="Ttulo1"/>
        <w:spacing w:before="0" w:after="0"/>
        <w:ind w:right="142"/>
        <w:rPr>
          <w:szCs w:val="22"/>
        </w:rPr>
      </w:pPr>
      <w:bookmarkStart w:id="0" w:name="_Toc206593567"/>
      <w:r w:rsidRPr="002A6E4B">
        <w:rPr>
          <w:szCs w:val="22"/>
        </w:rPr>
        <w:t>A N T E C E D E N T E S</w:t>
      </w:r>
      <w:bookmarkEnd w:id="0"/>
    </w:p>
    <w:p w14:paraId="17D77C97" w14:textId="77777777" w:rsidR="00881807" w:rsidRPr="002A6E4B" w:rsidRDefault="00881807" w:rsidP="00630240">
      <w:pPr>
        <w:spacing w:after="0" w:line="360" w:lineRule="auto"/>
        <w:ind w:right="142"/>
      </w:pPr>
    </w:p>
    <w:p w14:paraId="40D37CBB" w14:textId="6A26CCE6" w:rsidR="00881807" w:rsidRPr="002A6E4B" w:rsidRDefault="0095797A" w:rsidP="00630240">
      <w:pPr>
        <w:pStyle w:val="Ttulo2"/>
        <w:spacing w:before="0" w:after="0" w:line="360" w:lineRule="auto"/>
        <w:ind w:right="142"/>
      </w:pPr>
      <w:bookmarkStart w:id="1" w:name="_Toc206593568"/>
      <w:r w:rsidRPr="002A6E4B">
        <w:t xml:space="preserve">I. Presentación </w:t>
      </w:r>
      <w:r w:rsidR="00361A1A" w:rsidRPr="002A6E4B">
        <w:t>de la solicitud de información</w:t>
      </w:r>
      <w:bookmarkEnd w:id="1"/>
    </w:p>
    <w:p w14:paraId="0C64DD8A" w14:textId="77777777" w:rsidR="00881807" w:rsidRPr="002A6E4B" w:rsidRDefault="00881807" w:rsidP="00630240">
      <w:pPr>
        <w:tabs>
          <w:tab w:val="left" w:pos="567"/>
        </w:tabs>
        <w:spacing w:after="0" w:line="360" w:lineRule="auto"/>
        <w:ind w:right="142"/>
      </w:pPr>
    </w:p>
    <w:p w14:paraId="1493B52D" w14:textId="307A5BD0" w:rsidR="00881807" w:rsidRPr="002A6E4B" w:rsidRDefault="0095797A" w:rsidP="00630240">
      <w:pPr>
        <w:spacing w:after="0" w:line="360" w:lineRule="auto"/>
        <w:ind w:right="142"/>
      </w:pPr>
      <w:r w:rsidRPr="002A6E4B">
        <w:t xml:space="preserve">Con fecha </w:t>
      </w:r>
      <w:r w:rsidR="00511105" w:rsidRPr="002A6E4B">
        <w:t>treinta</w:t>
      </w:r>
      <w:r w:rsidR="00466865" w:rsidRPr="002A6E4B">
        <w:t xml:space="preserve"> de </w:t>
      </w:r>
      <w:r w:rsidR="00511105" w:rsidRPr="002A6E4B">
        <w:t>abril</w:t>
      </w:r>
      <w:r w:rsidRPr="002A6E4B">
        <w:t xml:space="preserve"> de dos mil </w:t>
      </w:r>
      <w:r w:rsidR="00A30E25" w:rsidRPr="002A6E4B">
        <w:t>veinticinco</w:t>
      </w:r>
      <w:r w:rsidRPr="002A6E4B">
        <w:t xml:space="preserve">, </w:t>
      </w:r>
      <w:r w:rsidR="00602079" w:rsidRPr="002A6E4B">
        <w:t xml:space="preserve">el Particular </w:t>
      </w:r>
      <w:r w:rsidRPr="002A6E4B">
        <w:t xml:space="preserve">presentó </w:t>
      </w:r>
      <w:r w:rsidR="00466865" w:rsidRPr="002A6E4B">
        <w:t>una solicitud</w:t>
      </w:r>
      <w:r w:rsidRPr="002A6E4B">
        <w:t xml:space="preserve"> de acceso a la información pública</w:t>
      </w:r>
      <w:r w:rsidR="00FB2526" w:rsidRPr="002A6E4B">
        <w:t xml:space="preserve"> con </w:t>
      </w:r>
      <w:r w:rsidR="00466865" w:rsidRPr="002A6E4B">
        <w:t>número</w:t>
      </w:r>
      <w:r w:rsidR="00602079" w:rsidRPr="002A6E4B">
        <w:t xml:space="preserve"> de folio</w:t>
      </w:r>
      <w:r w:rsidR="00FB2526" w:rsidRPr="002A6E4B">
        <w:rPr>
          <w:b/>
          <w:bCs/>
        </w:rPr>
        <w:t xml:space="preserve"> </w:t>
      </w:r>
      <w:r w:rsidR="00511105" w:rsidRPr="002A6E4B">
        <w:rPr>
          <w:b/>
          <w:bCs/>
        </w:rPr>
        <w:t>00309/COCOTIT/IP/2025</w:t>
      </w:r>
      <w:r w:rsidRPr="002A6E4B">
        <w:t xml:space="preserve">, a través del Sistema de Acceso a la Información Mexiquense, en lo sucesivo el SAIMEX, ante </w:t>
      </w:r>
      <w:r w:rsidR="003E2552" w:rsidRPr="002A6E4B">
        <w:t xml:space="preserve">el Ayuntamiento de </w:t>
      </w:r>
      <w:r w:rsidR="00DE3524" w:rsidRPr="002A6E4B">
        <w:t>Cocotitlán</w:t>
      </w:r>
      <w:r w:rsidRPr="002A6E4B">
        <w:t>, en la</w:t>
      </w:r>
      <w:r w:rsidR="002B27E2" w:rsidRPr="002A6E4B">
        <w:t xml:space="preserve"> </w:t>
      </w:r>
      <w:r w:rsidRPr="002A6E4B">
        <w:t>que requirió lo siguiente:</w:t>
      </w:r>
    </w:p>
    <w:p w14:paraId="15E6FFF2" w14:textId="0E813834" w:rsidR="00881807" w:rsidRPr="002A6E4B" w:rsidRDefault="00881807" w:rsidP="00630240">
      <w:pPr>
        <w:tabs>
          <w:tab w:val="left" w:pos="567"/>
        </w:tabs>
        <w:spacing w:after="0" w:line="360" w:lineRule="auto"/>
        <w:ind w:right="709"/>
        <w:rPr>
          <w:b/>
          <w:sz w:val="20"/>
          <w:szCs w:val="20"/>
        </w:rPr>
      </w:pPr>
    </w:p>
    <w:p w14:paraId="38A9B585" w14:textId="378D5D75" w:rsidR="009679BC" w:rsidRPr="002A6E4B" w:rsidRDefault="000E1456" w:rsidP="00630240">
      <w:pPr>
        <w:tabs>
          <w:tab w:val="left" w:pos="567"/>
        </w:tabs>
        <w:spacing w:after="0" w:line="360" w:lineRule="auto"/>
        <w:ind w:left="567" w:right="567"/>
        <w:rPr>
          <w:i/>
          <w:iCs/>
          <w:sz w:val="20"/>
          <w:szCs w:val="20"/>
        </w:rPr>
      </w:pPr>
      <w:bookmarkStart w:id="2" w:name="_Hlk189495642"/>
      <w:bookmarkStart w:id="3" w:name="_Hlk190688879"/>
      <w:r w:rsidRPr="002A6E4B">
        <w:rPr>
          <w:i/>
          <w:iCs/>
          <w:sz w:val="20"/>
          <w:szCs w:val="20"/>
        </w:rPr>
        <w:t>facturas pagadas por conceptos de compras de regalos del día del niño y desglose de otros gastos que allá implicado dicho evento de la actual administración.</w:t>
      </w:r>
    </w:p>
    <w:p w14:paraId="45471264" w14:textId="77777777" w:rsidR="000E1456" w:rsidRPr="002A6E4B" w:rsidRDefault="000E1456" w:rsidP="00630240">
      <w:pPr>
        <w:tabs>
          <w:tab w:val="left" w:pos="567"/>
        </w:tabs>
        <w:spacing w:after="0" w:line="360" w:lineRule="auto"/>
        <w:ind w:right="709"/>
        <w:rPr>
          <w:b/>
          <w:bCs/>
        </w:rPr>
      </w:pPr>
    </w:p>
    <w:bookmarkEnd w:id="2"/>
    <w:bookmarkEnd w:id="3"/>
    <w:p w14:paraId="4074708A" w14:textId="3BAFD13B" w:rsidR="00881807" w:rsidRPr="002A6E4B" w:rsidRDefault="0095797A" w:rsidP="00630240">
      <w:pPr>
        <w:spacing w:after="0" w:line="360" w:lineRule="auto"/>
        <w:ind w:right="709"/>
        <w:rPr>
          <w:i/>
          <w:sz w:val="20"/>
          <w:szCs w:val="20"/>
        </w:rPr>
      </w:pPr>
      <w:r w:rsidRPr="002A6E4B">
        <w:rPr>
          <w:b/>
          <w:sz w:val="20"/>
          <w:szCs w:val="20"/>
        </w:rPr>
        <w:t>MODALIDAD DE ENTREGA</w:t>
      </w:r>
      <w:r w:rsidR="00602079" w:rsidRPr="002A6E4B">
        <w:rPr>
          <w:b/>
          <w:sz w:val="20"/>
          <w:szCs w:val="20"/>
        </w:rPr>
        <w:t xml:space="preserve"> </w:t>
      </w:r>
      <w:r w:rsidRPr="002A6E4B">
        <w:rPr>
          <w:i/>
          <w:sz w:val="20"/>
          <w:szCs w:val="20"/>
        </w:rPr>
        <w:t>A través del SAIMEX</w:t>
      </w:r>
      <w:r w:rsidR="0058219B" w:rsidRPr="002A6E4B">
        <w:rPr>
          <w:i/>
          <w:sz w:val="20"/>
          <w:szCs w:val="20"/>
        </w:rPr>
        <w:t>.</w:t>
      </w:r>
    </w:p>
    <w:p w14:paraId="537C9260" w14:textId="77777777" w:rsidR="00F13532" w:rsidRPr="002A6E4B" w:rsidRDefault="00F13532" w:rsidP="00630240">
      <w:pPr>
        <w:spacing w:after="0" w:line="360" w:lineRule="auto"/>
        <w:ind w:right="709"/>
        <w:rPr>
          <w:i/>
          <w:sz w:val="20"/>
          <w:szCs w:val="20"/>
        </w:rPr>
      </w:pPr>
    </w:p>
    <w:p w14:paraId="4E0E3D11" w14:textId="1D013BC3" w:rsidR="00881807" w:rsidRPr="002A6E4B" w:rsidRDefault="0095797A" w:rsidP="00630240">
      <w:pPr>
        <w:pStyle w:val="Ttulo2"/>
        <w:spacing w:before="0" w:after="0" w:line="360" w:lineRule="auto"/>
        <w:ind w:right="142"/>
      </w:pPr>
      <w:bookmarkStart w:id="4" w:name="_Toc206593569"/>
      <w:r w:rsidRPr="002A6E4B">
        <w:t>II. Respuest</w:t>
      </w:r>
      <w:r w:rsidR="00996971" w:rsidRPr="002A6E4B">
        <w:t>a</w:t>
      </w:r>
      <w:r w:rsidRPr="002A6E4B">
        <w:t xml:space="preserve"> del Sujeto Obligado</w:t>
      </w:r>
      <w:bookmarkEnd w:id="4"/>
    </w:p>
    <w:p w14:paraId="13499456" w14:textId="77777777" w:rsidR="00881807" w:rsidRPr="002A6E4B" w:rsidRDefault="00881807" w:rsidP="00630240">
      <w:pPr>
        <w:spacing w:after="0" w:line="360" w:lineRule="auto"/>
        <w:ind w:right="142"/>
      </w:pPr>
    </w:p>
    <w:p w14:paraId="08CC74F2" w14:textId="5BAF68E5" w:rsidR="00881807" w:rsidRPr="002A6E4B" w:rsidRDefault="0095797A" w:rsidP="00630240">
      <w:pPr>
        <w:spacing w:after="0" w:line="360" w:lineRule="auto"/>
        <w:ind w:right="142"/>
      </w:pPr>
      <w:r w:rsidRPr="002A6E4B">
        <w:lastRenderedPageBreak/>
        <w:t xml:space="preserve">El </w:t>
      </w:r>
      <w:r w:rsidR="000E1456" w:rsidRPr="002A6E4B">
        <w:t>veintidós</w:t>
      </w:r>
      <w:r w:rsidRPr="002A6E4B">
        <w:t xml:space="preserve"> de </w:t>
      </w:r>
      <w:r w:rsidR="000E1456" w:rsidRPr="002A6E4B">
        <w:t>mayo</w:t>
      </w:r>
      <w:r w:rsidRPr="002A6E4B">
        <w:t xml:space="preserve"> de dos mil </w:t>
      </w:r>
      <w:r w:rsidR="00E80DFE" w:rsidRPr="002A6E4B">
        <w:t>veinticinco</w:t>
      </w:r>
      <w:r w:rsidRPr="002A6E4B">
        <w:t xml:space="preserve">, el Sujeto Obligado otorgó </w:t>
      </w:r>
      <w:r w:rsidR="00996971" w:rsidRPr="002A6E4B">
        <w:t>respuesta</w:t>
      </w:r>
      <w:r w:rsidRPr="002A6E4B">
        <w:t xml:space="preserve"> a través de SAIMEX, </w:t>
      </w:r>
      <w:r w:rsidR="00201FEC" w:rsidRPr="002A6E4B">
        <w:t>en los siguientes términos</w:t>
      </w:r>
      <w:r w:rsidR="00D4309F" w:rsidRPr="002A6E4B">
        <w:t>:</w:t>
      </w:r>
      <w:r w:rsidRPr="002A6E4B">
        <w:t xml:space="preserve"> </w:t>
      </w:r>
    </w:p>
    <w:p w14:paraId="26AF2941" w14:textId="77777777" w:rsidR="00881807" w:rsidRPr="002A6E4B" w:rsidRDefault="00881807" w:rsidP="00630240">
      <w:pPr>
        <w:spacing w:after="0" w:line="360" w:lineRule="auto"/>
        <w:ind w:right="142"/>
      </w:pPr>
    </w:p>
    <w:p w14:paraId="0566B101" w14:textId="09E2806D" w:rsidR="00892159" w:rsidRPr="002A6E4B" w:rsidRDefault="000E1456" w:rsidP="00630240">
      <w:pPr>
        <w:spacing w:after="0" w:line="360" w:lineRule="auto"/>
        <w:ind w:left="567" w:right="567"/>
        <w:rPr>
          <w:i/>
          <w:iCs/>
          <w:sz w:val="20"/>
          <w:szCs w:val="20"/>
        </w:rPr>
      </w:pPr>
      <w:r w:rsidRPr="002A6E4B">
        <w:rPr>
          <w:i/>
          <w:iCs/>
          <w:sz w:val="20"/>
          <w:szCs w:val="20"/>
        </w:rPr>
        <w:t xml:space="preserve">El que suscribe C.P HECTOR HERNANDEZ VALENCIA, Tesorero del Municipio de </w:t>
      </w:r>
      <w:proofErr w:type="spellStart"/>
      <w:r w:rsidRPr="002A6E4B">
        <w:rPr>
          <w:i/>
          <w:iCs/>
          <w:sz w:val="20"/>
          <w:szCs w:val="20"/>
        </w:rPr>
        <w:t>Cocotitlan</w:t>
      </w:r>
      <w:proofErr w:type="spellEnd"/>
      <w:r w:rsidRPr="002A6E4B">
        <w:rPr>
          <w:i/>
          <w:iCs/>
          <w:sz w:val="20"/>
          <w:szCs w:val="20"/>
        </w:rPr>
        <w:t xml:space="preserve">, 2025-2027; En atención a las solicitudes presentadas el 2 de mayo de 2025, con números de folio de turno 00309/COCOTIT/IP/2025/TSP/0001; a través de las cuales se requiere: En atención a la solicitud presentada el día 2 de mayo de 2025, en la que se solicita: “Facturas pagadas por conceptos de compras de regalos del Día del Niño y desglose de otros gastos que haya implicado dicho evento de la actual administración.” Se informa lo siguiente: Con fundamento en los artículos 1, 2 fracción II, 4, 7, 11, 12, 16, y 23 fracciones IV y X de la Ley de Transparencia y Acceso a la Información Pública del Estado de México y Municipios, se proporciona la siguiente relación informativa, elaborada a partir de la documentación contable disponible en los archivos de la Tesorería Municipal, relacionada con el evento conmemorativo del Día del Niño 2025: Fecha Concepto Monto (MXN) 26/04/2025 Alquiler de lonas, mesas y sillas – Delegación San Andrés </w:t>
      </w:r>
      <w:proofErr w:type="spellStart"/>
      <w:r w:rsidRPr="002A6E4B">
        <w:rPr>
          <w:i/>
          <w:iCs/>
          <w:sz w:val="20"/>
          <w:szCs w:val="20"/>
        </w:rPr>
        <w:t>Metla</w:t>
      </w:r>
      <w:proofErr w:type="spellEnd"/>
      <w:r w:rsidRPr="002A6E4B">
        <w:rPr>
          <w:i/>
          <w:iCs/>
          <w:sz w:val="20"/>
          <w:szCs w:val="20"/>
        </w:rPr>
        <w:t xml:space="preserve"> $13,920.00 27/04/2025 Alquiler de lonas, mesas y sillas – Explanada Municipal $25,520.00 29/04/2025 Adquisición de juguetes para el evento $438,528.00 Esta información se entrega en el estado en que se encuentra, conforme al artículo 12 de la Ley, cumpliendo con el principio de máxima publicidad. Observaciones: Las facturas que respaldan estos montos se encuentran debidamente archivadas en la Tesorería Municipal y disponibles para su consulta, previa solicitud fundada. Esta modalidad cumple con los PRINCIPIOS DE CERTEZA, MÁXIMA PUBLICIDAD Y ECONOMÍA PROCESAL, Sin más por el momento agradezco su atención.</w:t>
      </w:r>
    </w:p>
    <w:p w14:paraId="2213411B" w14:textId="77777777" w:rsidR="00892159" w:rsidRPr="002A6E4B" w:rsidRDefault="00892159" w:rsidP="00630240">
      <w:pPr>
        <w:spacing w:after="0" w:line="360" w:lineRule="auto"/>
        <w:ind w:right="142"/>
      </w:pPr>
    </w:p>
    <w:p w14:paraId="6A8A20D1" w14:textId="011FE8D1" w:rsidR="00E60D6B" w:rsidRPr="002A6E4B" w:rsidRDefault="00E0682A" w:rsidP="00630240">
      <w:pPr>
        <w:spacing w:after="0" w:line="360" w:lineRule="auto"/>
        <w:ind w:right="142"/>
        <w:rPr>
          <w:b/>
          <w:bCs/>
        </w:rPr>
      </w:pPr>
      <w:r w:rsidRPr="002A6E4B">
        <w:t xml:space="preserve">A esta </w:t>
      </w:r>
      <w:r w:rsidR="00892159" w:rsidRPr="002A6E4B">
        <w:t>respuesta</w:t>
      </w:r>
      <w:r w:rsidR="000E1456" w:rsidRPr="002A6E4B">
        <w:t xml:space="preserve"> no adjuntó documento alguno.</w:t>
      </w:r>
    </w:p>
    <w:p w14:paraId="29B1487D" w14:textId="77777777" w:rsidR="00E251DD" w:rsidRPr="002A6E4B" w:rsidRDefault="00E251DD" w:rsidP="00630240">
      <w:pPr>
        <w:spacing w:after="0" w:line="360" w:lineRule="auto"/>
        <w:ind w:right="142"/>
        <w:rPr>
          <w:b/>
          <w:bCs/>
        </w:rPr>
      </w:pPr>
    </w:p>
    <w:p w14:paraId="19741A47" w14:textId="43D8415C" w:rsidR="00881807" w:rsidRPr="002A6E4B" w:rsidRDefault="007D786E" w:rsidP="00630240">
      <w:pPr>
        <w:pStyle w:val="Ttulo2"/>
        <w:spacing w:before="0" w:after="0" w:line="360" w:lineRule="auto"/>
      </w:pPr>
      <w:r w:rsidRPr="002A6E4B">
        <w:t xml:space="preserve"> </w:t>
      </w:r>
      <w:bookmarkStart w:id="5" w:name="_Toc206593570"/>
      <w:r w:rsidR="0095797A" w:rsidRPr="002A6E4B">
        <w:t>III. Interposición del Recurso de Revisión</w:t>
      </w:r>
      <w:bookmarkEnd w:id="5"/>
    </w:p>
    <w:p w14:paraId="1620D1AA" w14:textId="77777777" w:rsidR="00881807" w:rsidRPr="002A6E4B" w:rsidRDefault="00881807" w:rsidP="00630240">
      <w:pPr>
        <w:spacing w:after="0" w:line="360" w:lineRule="auto"/>
        <w:ind w:right="142"/>
        <w:rPr>
          <w:b/>
        </w:rPr>
      </w:pPr>
    </w:p>
    <w:p w14:paraId="04181F42" w14:textId="1019ADD0" w:rsidR="00881807" w:rsidRPr="002A6E4B" w:rsidRDefault="00CF7184" w:rsidP="00630240">
      <w:pPr>
        <w:spacing w:after="0" w:line="360" w:lineRule="auto"/>
        <w:ind w:right="142"/>
      </w:pPr>
      <w:bookmarkStart w:id="6" w:name="_heading=h.2et92p0" w:colFirst="0" w:colLast="0"/>
      <w:bookmarkEnd w:id="6"/>
      <w:r w:rsidRPr="002A6E4B">
        <w:lastRenderedPageBreak/>
        <w:t xml:space="preserve">El </w:t>
      </w:r>
      <w:r w:rsidR="000E1456" w:rsidRPr="002A6E4B">
        <w:t>veintidós</w:t>
      </w:r>
      <w:r w:rsidRPr="002A6E4B">
        <w:t xml:space="preserve"> de </w:t>
      </w:r>
      <w:r w:rsidR="000E1456" w:rsidRPr="002A6E4B">
        <w:t>mayo</w:t>
      </w:r>
      <w:r w:rsidRPr="002A6E4B">
        <w:t xml:space="preserve"> de dos mil veinticinco</w:t>
      </w:r>
      <w:r w:rsidR="0095797A" w:rsidRPr="002A6E4B">
        <w:t xml:space="preserve">, se </w:t>
      </w:r>
      <w:r w:rsidR="00C64F67" w:rsidRPr="002A6E4B">
        <w:t>recibieron</w:t>
      </w:r>
      <w:r w:rsidR="0095797A" w:rsidRPr="002A6E4B">
        <w:t xml:space="preserve"> en este Instituto, a través del SAIMEX, </w:t>
      </w:r>
      <w:r w:rsidR="008071B5" w:rsidRPr="002A6E4B">
        <w:t>el Recurso de Revisión interpuesto</w:t>
      </w:r>
      <w:r w:rsidR="0095797A" w:rsidRPr="002A6E4B">
        <w:t xml:space="preserve"> por la persona Recurrente, en los siguientes términos:</w:t>
      </w:r>
    </w:p>
    <w:p w14:paraId="050CE8C6" w14:textId="629392EB" w:rsidR="00BD619C" w:rsidRPr="002A6E4B" w:rsidRDefault="00BD619C" w:rsidP="00630240">
      <w:pPr>
        <w:spacing w:after="0" w:line="360" w:lineRule="auto"/>
        <w:ind w:right="142"/>
      </w:pPr>
    </w:p>
    <w:p w14:paraId="735128A8" w14:textId="77777777" w:rsidR="00881807" w:rsidRPr="002A6E4B" w:rsidRDefault="0095797A" w:rsidP="00630240">
      <w:pPr>
        <w:spacing w:after="0" w:line="360" w:lineRule="auto"/>
        <w:ind w:left="567" w:right="709"/>
        <w:rPr>
          <w:b/>
          <w:sz w:val="20"/>
          <w:szCs w:val="20"/>
        </w:rPr>
      </w:pPr>
      <w:r w:rsidRPr="002A6E4B">
        <w:rPr>
          <w:b/>
          <w:sz w:val="20"/>
          <w:szCs w:val="20"/>
        </w:rPr>
        <w:t>ACTO IMPUGNADO</w:t>
      </w:r>
      <w:r w:rsidRPr="002A6E4B">
        <w:rPr>
          <w:b/>
          <w:sz w:val="20"/>
          <w:szCs w:val="20"/>
        </w:rPr>
        <w:tab/>
      </w:r>
    </w:p>
    <w:p w14:paraId="32F1096A" w14:textId="551FF7DE" w:rsidR="00C4226D" w:rsidRPr="002A6E4B" w:rsidRDefault="000E1456" w:rsidP="00630240">
      <w:pPr>
        <w:spacing w:after="0" w:line="360" w:lineRule="auto"/>
        <w:ind w:left="567" w:right="709"/>
        <w:rPr>
          <w:i/>
          <w:sz w:val="20"/>
          <w:szCs w:val="20"/>
        </w:rPr>
      </w:pPr>
      <w:r w:rsidRPr="002A6E4B">
        <w:rPr>
          <w:i/>
          <w:sz w:val="20"/>
          <w:szCs w:val="20"/>
        </w:rPr>
        <w:t>no se entrega lo que se le solicitó.</w:t>
      </w:r>
    </w:p>
    <w:p w14:paraId="2DCFE1AA" w14:textId="77777777" w:rsidR="00355592" w:rsidRPr="002A6E4B" w:rsidRDefault="00355592" w:rsidP="00630240">
      <w:pPr>
        <w:spacing w:after="0" w:line="360" w:lineRule="auto"/>
        <w:ind w:left="567" w:right="709"/>
        <w:rPr>
          <w:rFonts w:ascii="Verdana" w:hAnsi="Verdana"/>
          <w:sz w:val="14"/>
          <w:szCs w:val="14"/>
        </w:rPr>
      </w:pPr>
    </w:p>
    <w:p w14:paraId="5E7EB127" w14:textId="2C3CC8D3" w:rsidR="00881807" w:rsidRPr="002A6E4B" w:rsidRDefault="0095797A" w:rsidP="00630240">
      <w:pPr>
        <w:spacing w:after="0" w:line="360" w:lineRule="auto"/>
        <w:ind w:left="567" w:right="709"/>
        <w:rPr>
          <w:b/>
          <w:sz w:val="20"/>
          <w:szCs w:val="20"/>
        </w:rPr>
      </w:pPr>
      <w:r w:rsidRPr="002A6E4B">
        <w:rPr>
          <w:b/>
          <w:sz w:val="20"/>
          <w:szCs w:val="20"/>
        </w:rPr>
        <w:t>RAZONES O MOTIVOS DE LA INCONFORMIDAD</w:t>
      </w:r>
      <w:r w:rsidRPr="002A6E4B">
        <w:rPr>
          <w:b/>
          <w:sz w:val="20"/>
          <w:szCs w:val="20"/>
        </w:rPr>
        <w:tab/>
      </w:r>
    </w:p>
    <w:p w14:paraId="6FD29723" w14:textId="5739445A" w:rsidR="00B1325E" w:rsidRPr="002A6E4B" w:rsidRDefault="000E1456" w:rsidP="00630240">
      <w:pPr>
        <w:spacing w:after="0" w:line="360" w:lineRule="auto"/>
        <w:ind w:left="567" w:right="709"/>
        <w:rPr>
          <w:i/>
          <w:sz w:val="20"/>
          <w:szCs w:val="20"/>
        </w:rPr>
      </w:pPr>
      <w:r w:rsidRPr="002A6E4B">
        <w:rPr>
          <w:i/>
          <w:sz w:val="20"/>
          <w:szCs w:val="20"/>
        </w:rPr>
        <w:t>El tesorero municipal de Cocotitlán se niega a entregar las copias de las facturas pagadas por concepto de gastos que genero el evento del día del niño en la presidencia municipal de Cocotitlán.</w:t>
      </w:r>
    </w:p>
    <w:p w14:paraId="4B001121" w14:textId="77777777" w:rsidR="000E1456" w:rsidRPr="002A6E4B" w:rsidRDefault="000E1456" w:rsidP="00630240">
      <w:pPr>
        <w:spacing w:after="0" w:line="360" w:lineRule="auto"/>
        <w:ind w:right="709"/>
        <w:rPr>
          <w:i/>
          <w:sz w:val="20"/>
          <w:szCs w:val="20"/>
        </w:rPr>
      </w:pPr>
    </w:p>
    <w:p w14:paraId="7DAFB3C3" w14:textId="77777777" w:rsidR="00881807" w:rsidRPr="002A6E4B" w:rsidRDefault="0095797A" w:rsidP="00630240">
      <w:pPr>
        <w:pStyle w:val="Ttulo2"/>
        <w:spacing w:before="0" w:after="0" w:line="360" w:lineRule="auto"/>
        <w:ind w:right="142"/>
      </w:pPr>
      <w:bookmarkStart w:id="7" w:name="_Toc206593571"/>
      <w:r w:rsidRPr="002A6E4B">
        <w:t>IV. Trámite del Recurso de Revisión ante este Instituto</w:t>
      </w:r>
      <w:bookmarkEnd w:id="7"/>
    </w:p>
    <w:p w14:paraId="58902B23" w14:textId="77777777" w:rsidR="00881807" w:rsidRPr="002A6E4B" w:rsidRDefault="00881807" w:rsidP="00630240">
      <w:pPr>
        <w:spacing w:after="0" w:line="360" w:lineRule="auto"/>
        <w:ind w:right="142"/>
        <w:rPr>
          <w:b/>
        </w:rPr>
      </w:pPr>
    </w:p>
    <w:p w14:paraId="23E1CFA7" w14:textId="0DC96CD4" w:rsidR="00AA2A5E" w:rsidRPr="002A6E4B" w:rsidRDefault="0095797A" w:rsidP="00630240">
      <w:pPr>
        <w:pStyle w:val="Ttulo3"/>
        <w:spacing w:before="0" w:after="0"/>
      </w:pPr>
      <w:bookmarkStart w:id="8" w:name="_Toc206593572"/>
      <w:r w:rsidRPr="002A6E4B">
        <w:t>a) Turno del Medio de Impugnación</w:t>
      </w:r>
      <w:bookmarkEnd w:id="8"/>
    </w:p>
    <w:p w14:paraId="5BA9BF63" w14:textId="77777777" w:rsidR="00AA2A5E" w:rsidRPr="002A6E4B" w:rsidRDefault="00AA2A5E" w:rsidP="00630240">
      <w:pPr>
        <w:spacing w:after="0" w:line="360" w:lineRule="auto"/>
        <w:ind w:right="142"/>
      </w:pPr>
    </w:p>
    <w:p w14:paraId="2DD3D2D4" w14:textId="3CA02DBA" w:rsidR="00881807" w:rsidRPr="002A6E4B" w:rsidRDefault="0095797A" w:rsidP="00630240">
      <w:pPr>
        <w:spacing w:after="0" w:line="360" w:lineRule="auto"/>
        <w:ind w:right="142"/>
      </w:pPr>
      <w:r w:rsidRPr="002A6E4B">
        <w:t xml:space="preserve">El </w:t>
      </w:r>
      <w:r w:rsidR="000E1456" w:rsidRPr="002A6E4B">
        <w:t>veintidós</w:t>
      </w:r>
      <w:r w:rsidR="00E03377" w:rsidRPr="002A6E4B">
        <w:t xml:space="preserve"> de </w:t>
      </w:r>
      <w:r w:rsidR="000E1456" w:rsidRPr="002A6E4B">
        <w:t>mayo</w:t>
      </w:r>
      <w:r w:rsidR="00E03377" w:rsidRPr="002A6E4B">
        <w:t xml:space="preserve"> de dos mil veinticinco</w:t>
      </w:r>
      <w:r w:rsidRPr="002A6E4B">
        <w:t xml:space="preserve">, el SAIMEX, asignó </w:t>
      </w:r>
      <w:r w:rsidR="00C64AEA" w:rsidRPr="002A6E4B">
        <w:t>el</w:t>
      </w:r>
      <w:r w:rsidR="009864AE" w:rsidRPr="002A6E4B">
        <w:t xml:space="preserve"> número</w:t>
      </w:r>
      <w:r w:rsidRPr="002A6E4B">
        <w:t xml:space="preserve"> de expediente</w:t>
      </w:r>
      <w:r w:rsidR="00C539AA" w:rsidRPr="002A6E4B">
        <w:t xml:space="preserve"> </w:t>
      </w:r>
      <w:r w:rsidR="00511105" w:rsidRPr="002A6E4B">
        <w:rPr>
          <w:b/>
        </w:rPr>
        <w:t>05821/INFOEM/IP/RR/2025</w:t>
      </w:r>
      <w:r w:rsidR="00CC00CC" w:rsidRPr="002A6E4B">
        <w:rPr>
          <w:b/>
        </w:rPr>
        <w:t xml:space="preserve"> </w:t>
      </w:r>
      <w:r w:rsidR="00CC00CC" w:rsidRPr="002A6E4B">
        <w:rPr>
          <w:bCs/>
        </w:rPr>
        <w:t>al</w:t>
      </w:r>
      <w:r w:rsidR="00CC00CC" w:rsidRPr="002A6E4B">
        <w:rPr>
          <w:b/>
        </w:rPr>
        <w:t xml:space="preserve"> medio de impugnación</w:t>
      </w:r>
      <w:r w:rsidRPr="002A6E4B">
        <w:t xml:space="preserve"> que nos ocupa, con base en el sistema aprobado por el Pleno de este </w:t>
      </w:r>
      <w:r w:rsidR="0058219B" w:rsidRPr="002A6E4B">
        <w:t>Instituto</w:t>
      </w:r>
      <w:r w:rsidR="00CC00CC" w:rsidRPr="002A6E4B">
        <w:t xml:space="preserve"> y lo turnó </w:t>
      </w:r>
      <w:r w:rsidR="00F50534" w:rsidRPr="002A6E4B">
        <w:rPr>
          <w:bCs/>
        </w:rPr>
        <w:t>al Comisionado Luis Gustavo Parra Noriega</w:t>
      </w:r>
      <w:r w:rsidR="00106ABB" w:rsidRPr="002A6E4B">
        <w:t>,</w:t>
      </w:r>
      <w:r w:rsidR="00606D43" w:rsidRPr="002A6E4B">
        <w:t xml:space="preserve"> </w:t>
      </w:r>
      <w:r w:rsidRPr="002A6E4B">
        <w:t>para los efectos del artículo 185, fracción I de la Ley de Transparencia y Acceso a la Información Pública del Estado de México y Municipios.</w:t>
      </w:r>
    </w:p>
    <w:p w14:paraId="324BE52F" w14:textId="77777777" w:rsidR="00881807" w:rsidRPr="002A6E4B" w:rsidRDefault="00881807" w:rsidP="00630240">
      <w:pPr>
        <w:spacing w:after="0" w:line="360" w:lineRule="auto"/>
        <w:ind w:right="142"/>
      </w:pPr>
    </w:p>
    <w:p w14:paraId="504C8D7D" w14:textId="6EC09DA6" w:rsidR="00AA2A5E" w:rsidRPr="002A6E4B" w:rsidRDefault="0095797A" w:rsidP="00630240">
      <w:pPr>
        <w:pStyle w:val="Ttulo3"/>
        <w:spacing w:before="0" w:after="0"/>
      </w:pPr>
      <w:bookmarkStart w:id="9" w:name="_Toc206593573"/>
      <w:r w:rsidRPr="002A6E4B">
        <w:t>b) Admisión del Recurso de Revisión</w:t>
      </w:r>
      <w:bookmarkEnd w:id="9"/>
    </w:p>
    <w:p w14:paraId="6A0C3178" w14:textId="77777777" w:rsidR="00AA2A5E" w:rsidRPr="002A6E4B" w:rsidRDefault="00AA2A5E" w:rsidP="00630240">
      <w:pPr>
        <w:spacing w:after="0" w:line="360" w:lineRule="auto"/>
        <w:ind w:right="142"/>
      </w:pPr>
    </w:p>
    <w:p w14:paraId="3BA532FB" w14:textId="25DAC93E" w:rsidR="0099458B" w:rsidRPr="002A6E4B" w:rsidRDefault="009C38D8" w:rsidP="00630240">
      <w:pPr>
        <w:spacing w:after="0" w:line="360" w:lineRule="auto"/>
        <w:ind w:right="142"/>
      </w:pPr>
      <w:r w:rsidRPr="002A6E4B">
        <w:t xml:space="preserve">A través de </w:t>
      </w:r>
      <w:r w:rsidR="00355592" w:rsidRPr="002A6E4B">
        <w:t>acuerdo</w:t>
      </w:r>
      <w:r w:rsidR="00540D39" w:rsidRPr="002A6E4B">
        <w:t xml:space="preserve"> de </w:t>
      </w:r>
      <w:r w:rsidR="000E1456" w:rsidRPr="002A6E4B">
        <w:t>veintisiete</w:t>
      </w:r>
      <w:r w:rsidR="00E53AC2" w:rsidRPr="002A6E4B">
        <w:t xml:space="preserve"> de</w:t>
      </w:r>
      <w:r w:rsidR="00540D39" w:rsidRPr="002A6E4B">
        <w:t xml:space="preserve"> </w:t>
      </w:r>
      <w:r w:rsidR="000E1456" w:rsidRPr="002A6E4B">
        <w:t>mayo</w:t>
      </w:r>
      <w:r w:rsidR="00540D39" w:rsidRPr="002A6E4B">
        <w:t xml:space="preserve"> de dos mil</w:t>
      </w:r>
      <w:r w:rsidR="00376D9A" w:rsidRPr="002A6E4B">
        <w:t xml:space="preserve"> veinticinco, se acordó la admisión </w:t>
      </w:r>
      <w:r w:rsidR="00E53AC2" w:rsidRPr="002A6E4B">
        <w:t>del Recurso de Revisión</w:t>
      </w:r>
      <w:r w:rsidR="00376D9A" w:rsidRPr="002A6E4B">
        <w:t xml:space="preserve"> </w:t>
      </w:r>
      <w:r w:rsidR="00511105" w:rsidRPr="002A6E4B">
        <w:rPr>
          <w:b/>
        </w:rPr>
        <w:t>05821/INFOEM/IP/RR/2025</w:t>
      </w:r>
      <w:r w:rsidR="006E371F" w:rsidRPr="002A6E4B">
        <w:rPr>
          <w:bCs/>
        </w:rPr>
        <w:t xml:space="preserve">, </w:t>
      </w:r>
      <w:r w:rsidR="0095797A" w:rsidRPr="002A6E4B">
        <w:rPr>
          <w:bCs/>
        </w:rPr>
        <w:t>interpuesto</w:t>
      </w:r>
      <w:r w:rsidR="00904400" w:rsidRPr="002A6E4B">
        <w:rPr>
          <w:bCs/>
        </w:rPr>
        <w:t xml:space="preserve"> </w:t>
      </w:r>
      <w:r w:rsidR="0095797A" w:rsidRPr="002A6E4B">
        <w:t>por la persona Recurrente en contra del Sujeto Obligado</w:t>
      </w:r>
      <w:r w:rsidR="008E107E" w:rsidRPr="002A6E4B">
        <w:t>, esto,</w:t>
      </w:r>
      <w:r w:rsidR="0095797A" w:rsidRPr="002A6E4B">
        <w:t xml:space="preserve"> en términos del artículo 185, fracciones I y II de la Ley de Transparencia y Acceso a la Información Pública del Estado de México y Municipios, en </w:t>
      </w:r>
      <w:r w:rsidR="00880A79" w:rsidRPr="002A6E4B">
        <w:t>los</w:t>
      </w:r>
      <w:r w:rsidR="0095797A" w:rsidRPr="002A6E4B">
        <w:t xml:space="preserve"> </w:t>
      </w:r>
      <w:r w:rsidR="0095797A" w:rsidRPr="002A6E4B">
        <w:lastRenderedPageBreak/>
        <w:t>que se otorgó un plazo de siete días hábiles posteriores a la misma, para que manifestaran lo que a su derecho conviniera y formularan alegatos.</w:t>
      </w:r>
    </w:p>
    <w:p w14:paraId="140FA4D1" w14:textId="77777777" w:rsidR="0099458B" w:rsidRPr="002A6E4B" w:rsidRDefault="0099458B" w:rsidP="00630240">
      <w:pPr>
        <w:spacing w:after="0" w:line="360" w:lineRule="auto"/>
      </w:pPr>
    </w:p>
    <w:p w14:paraId="63CDE4DA" w14:textId="6BFC3C11" w:rsidR="00AA2A5E" w:rsidRPr="002A6E4B" w:rsidRDefault="00904400" w:rsidP="00630240">
      <w:pPr>
        <w:pStyle w:val="Ttulo3"/>
        <w:spacing w:before="0" w:after="0"/>
      </w:pPr>
      <w:bookmarkStart w:id="10" w:name="_Toc206593574"/>
      <w:r w:rsidRPr="002A6E4B">
        <w:t>c</w:t>
      </w:r>
      <w:r w:rsidR="0095797A" w:rsidRPr="002A6E4B">
        <w:t>) Informe Justificado y manifestaciones de la parte Recurrente</w:t>
      </w:r>
      <w:bookmarkEnd w:id="10"/>
    </w:p>
    <w:p w14:paraId="3800B802" w14:textId="77777777" w:rsidR="00AA2A5E" w:rsidRPr="002A6E4B" w:rsidRDefault="00AA2A5E" w:rsidP="00630240">
      <w:pPr>
        <w:spacing w:after="0" w:line="360" w:lineRule="auto"/>
        <w:ind w:right="142"/>
        <w:rPr>
          <w:b/>
        </w:rPr>
      </w:pPr>
    </w:p>
    <w:p w14:paraId="1714D108" w14:textId="1F903E42" w:rsidR="005C1BD0" w:rsidRPr="002A6E4B" w:rsidRDefault="000E1456" w:rsidP="00630240">
      <w:pPr>
        <w:spacing w:after="0" w:line="360" w:lineRule="auto"/>
        <w:ind w:right="142"/>
      </w:pPr>
      <w:r w:rsidRPr="002A6E4B">
        <w:t>Trascurrido el plazo para la emisión de manifestaciones, remitir documentos o aportar informe justificado, el Sujeto Obligado y el Particular, fueron omisos en realizar pronunciamiento alguno.</w:t>
      </w:r>
    </w:p>
    <w:p w14:paraId="427549C4" w14:textId="77777777" w:rsidR="004D1B25" w:rsidRPr="002A6E4B" w:rsidRDefault="004D1B25" w:rsidP="00630240">
      <w:pPr>
        <w:spacing w:after="0" w:line="360" w:lineRule="auto"/>
        <w:ind w:right="142"/>
      </w:pPr>
    </w:p>
    <w:p w14:paraId="506B30A1" w14:textId="76829E4B" w:rsidR="000E1456" w:rsidRPr="002A6E4B" w:rsidRDefault="000E1456" w:rsidP="00630240">
      <w:pPr>
        <w:pStyle w:val="Ttulo3"/>
        <w:spacing w:before="0" w:after="0"/>
      </w:pPr>
      <w:bookmarkStart w:id="11" w:name="_Toc206593575"/>
      <w:r w:rsidRPr="002A6E4B">
        <w:t>d) Ampliación de plazo</w:t>
      </w:r>
      <w:bookmarkEnd w:id="11"/>
    </w:p>
    <w:p w14:paraId="67278CDB" w14:textId="77777777" w:rsidR="000E1456" w:rsidRPr="002A6E4B" w:rsidRDefault="000E1456" w:rsidP="00630240">
      <w:pPr>
        <w:spacing w:after="0" w:line="360" w:lineRule="auto"/>
        <w:ind w:right="142"/>
      </w:pPr>
    </w:p>
    <w:p w14:paraId="0BFFAA32" w14:textId="5B55C52E" w:rsidR="000E1456" w:rsidRPr="002A6E4B" w:rsidRDefault="000E1456" w:rsidP="00630240">
      <w:pPr>
        <w:spacing w:after="0" w:line="360" w:lineRule="auto"/>
        <w:ind w:right="142"/>
      </w:pPr>
      <w:r w:rsidRPr="002A6E4B">
        <w:t>Por acuerdo de dieciséis de julio de dos mil veinticinco, notificado en la misma fecha, se notificó a las partes el acuerdo de ampliación de plazo para resolver el presente medio de impugnación.</w:t>
      </w:r>
    </w:p>
    <w:p w14:paraId="7353A4FE" w14:textId="77777777" w:rsidR="000E1456" w:rsidRPr="002A6E4B" w:rsidRDefault="000E1456" w:rsidP="00630240">
      <w:pPr>
        <w:spacing w:after="0" w:line="360" w:lineRule="auto"/>
        <w:ind w:right="142"/>
      </w:pPr>
    </w:p>
    <w:p w14:paraId="3566D1B0" w14:textId="54AF9DB8" w:rsidR="00AA2A5E" w:rsidRPr="002A6E4B" w:rsidRDefault="000E1456" w:rsidP="00630240">
      <w:pPr>
        <w:pStyle w:val="Ttulo3"/>
        <w:spacing w:before="0" w:after="0"/>
      </w:pPr>
      <w:bookmarkStart w:id="12" w:name="_Toc206593576"/>
      <w:r w:rsidRPr="002A6E4B">
        <w:t>e</w:t>
      </w:r>
      <w:r w:rsidR="0095797A" w:rsidRPr="002A6E4B">
        <w:t>) Cierre de instrucción</w:t>
      </w:r>
      <w:bookmarkEnd w:id="12"/>
    </w:p>
    <w:p w14:paraId="1099A9F3" w14:textId="77777777" w:rsidR="00AA2A5E" w:rsidRPr="002A6E4B" w:rsidRDefault="00AA2A5E" w:rsidP="00630240">
      <w:pPr>
        <w:spacing w:after="0" w:line="360" w:lineRule="auto"/>
        <w:ind w:right="142"/>
      </w:pPr>
    </w:p>
    <w:p w14:paraId="30EA8D56" w14:textId="2ABE0D8D" w:rsidR="00881807" w:rsidRPr="002A6E4B" w:rsidRDefault="0095797A" w:rsidP="00630240">
      <w:pPr>
        <w:spacing w:after="0" w:line="360" w:lineRule="auto"/>
        <w:ind w:right="142"/>
        <w:rPr>
          <w:b/>
        </w:rPr>
      </w:pPr>
      <w:r w:rsidRPr="002A6E4B">
        <w:t xml:space="preserve">El </w:t>
      </w:r>
      <w:r w:rsidR="000E1456" w:rsidRPr="002A6E4B">
        <w:t>dieciséis</w:t>
      </w:r>
      <w:r w:rsidRPr="002A6E4B">
        <w:t xml:space="preserve"> de </w:t>
      </w:r>
      <w:r w:rsidR="000E1456" w:rsidRPr="002A6E4B">
        <w:t>julio</w:t>
      </w:r>
      <w:r w:rsidRPr="002A6E4B">
        <w:t xml:space="preserv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w:t>
      </w:r>
      <w:r w:rsidR="00C723D3" w:rsidRPr="002A6E4B">
        <w:t>partes en la misma fecha</w:t>
      </w:r>
      <w:r w:rsidRPr="002A6E4B">
        <w:t>, mediante el Sistema de Acceso a la Información Mexiquense (SAIMEX).</w:t>
      </w:r>
    </w:p>
    <w:p w14:paraId="313CEE11" w14:textId="77777777" w:rsidR="00881807" w:rsidRPr="002A6E4B" w:rsidRDefault="00881807" w:rsidP="00630240">
      <w:pPr>
        <w:spacing w:after="0" w:line="360" w:lineRule="auto"/>
        <w:ind w:right="142"/>
      </w:pPr>
    </w:p>
    <w:p w14:paraId="0985C324" w14:textId="77777777" w:rsidR="00881807" w:rsidRPr="002A6E4B" w:rsidRDefault="0095797A" w:rsidP="00630240">
      <w:pPr>
        <w:spacing w:after="0" w:line="360" w:lineRule="auto"/>
        <w:ind w:right="142"/>
      </w:pPr>
      <w:r w:rsidRPr="002A6E4B">
        <w:t xml:space="preserve">En razón de que fue debidamente sustanciado e integrado el expediente electrónico y no existir diligencia pendiente de desahogo, se emite la resolución que conforme a Derecho proceda, de acuerdo a los siguientes: </w:t>
      </w:r>
    </w:p>
    <w:p w14:paraId="6B9C020F" w14:textId="77777777" w:rsidR="00881807" w:rsidRPr="002A6E4B" w:rsidRDefault="00881807" w:rsidP="00630240">
      <w:pPr>
        <w:spacing w:after="0" w:line="360" w:lineRule="auto"/>
        <w:ind w:right="142"/>
      </w:pPr>
    </w:p>
    <w:p w14:paraId="5B07EC50" w14:textId="77777777" w:rsidR="00881807" w:rsidRPr="002A6E4B" w:rsidRDefault="0095797A" w:rsidP="00630240">
      <w:pPr>
        <w:pStyle w:val="Ttulo1"/>
        <w:spacing w:before="0" w:after="0"/>
        <w:ind w:right="142"/>
        <w:rPr>
          <w:szCs w:val="22"/>
        </w:rPr>
      </w:pPr>
      <w:bookmarkStart w:id="13" w:name="_Toc206593577"/>
      <w:r w:rsidRPr="002A6E4B">
        <w:rPr>
          <w:szCs w:val="22"/>
        </w:rPr>
        <w:t>C O N S I D E R A N D O S</w:t>
      </w:r>
      <w:bookmarkEnd w:id="13"/>
    </w:p>
    <w:p w14:paraId="5A01A46F" w14:textId="77777777" w:rsidR="00881807" w:rsidRPr="002A6E4B" w:rsidRDefault="00881807" w:rsidP="00630240">
      <w:pPr>
        <w:spacing w:after="0" w:line="360" w:lineRule="auto"/>
        <w:ind w:right="142"/>
        <w:rPr>
          <w:b/>
        </w:rPr>
      </w:pPr>
    </w:p>
    <w:p w14:paraId="0C0E1B55" w14:textId="77777777" w:rsidR="00881807" w:rsidRPr="002A6E4B" w:rsidRDefault="0095797A" w:rsidP="00630240">
      <w:pPr>
        <w:pStyle w:val="Ttulo2"/>
        <w:spacing w:before="0" w:after="0" w:line="360" w:lineRule="auto"/>
      </w:pPr>
      <w:bookmarkStart w:id="14" w:name="_Toc206593578"/>
      <w:r w:rsidRPr="002A6E4B">
        <w:t>PRIMERO. Competencia</w:t>
      </w:r>
      <w:bookmarkEnd w:id="14"/>
    </w:p>
    <w:p w14:paraId="143B39AA" w14:textId="77777777" w:rsidR="00881807" w:rsidRPr="002A6E4B" w:rsidRDefault="00881807" w:rsidP="00630240">
      <w:pPr>
        <w:spacing w:after="0" w:line="360" w:lineRule="auto"/>
        <w:ind w:right="142"/>
        <w:rPr>
          <w:b/>
        </w:rPr>
      </w:pPr>
    </w:p>
    <w:p w14:paraId="3F1FE18F" w14:textId="6712E871" w:rsidR="00881807" w:rsidRPr="002A6E4B" w:rsidRDefault="0095797A" w:rsidP="00630240">
      <w:pPr>
        <w:spacing w:after="0" w:line="360" w:lineRule="auto"/>
        <w:ind w:right="142"/>
      </w:pPr>
      <w:r w:rsidRPr="002A6E4B">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trigésimo </w:t>
      </w:r>
      <w:r w:rsidR="003B4A7B" w:rsidRPr="002A6E4B">
        <w:t>noveno, cuadragésimo y cuadragésimo primero</w:t>
      </w:r>
      <w:r w:rsidRPr="002A6E4B">
        <w:t>,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51D0AA2" w14:textId="77777777" w:rsidR="00881807" w:rsidRPr="002A6E4B" w:rsidRDefault="00881807" w:rsidP="00630240">
      <w:pPr>
        <w:spacing w:after="0" w:line="360" w:lineRule="auto"/>
        <w:ind w:right="142"/>
      </w:pPr>
    </w:p>
    <w:p w14:paraId="062DC0F9" w14:textId="77777777" w:rsidR="00881807" w:rsidRPr="002A6E4B" w:rsidRDefault="0095797A" w:rsidP="00630240">
      <w:pPr>
        <w:pStyle w:val="Ttulo2"/>
        <w:spacing w:before="0" w:after="0" w:line="360" w:lineRule="auto"/>
      </w:pPr>
      <w:bookmarkStart w:id="15" w:name="_Toc206593579"/>
      <w:r w:rsidRPr="002A6E4B">
        <w:t>SEGUNDO. Causales de improcedencia y sobreseimiento</w:t>
      </w:r>
      <w:bookmarkEnd w:id="15"/>
    </w:p>
    <w:p w14:paraId="2450B4F3" w14:textId="77777777" w:rsidR="00881807" w:rsidRPr="002A6E4B" w:rsidRDefault="00881807" w:rsidP="00630240">
      <w:pPr>
        <w:spacing w:after="0" w:line="360" w:lineRule="auto"/>
        <w:ind w:right="142"/>
      </w:pPr>
    </w:p>
    <w:p w14:paraId="473A935C" w14:textId="77777777" w:rsidR="00881807" w:rsidRPr="002A6E4B" w:rsidRDefault="0095797A" w:rsidP="00630240">
      <w:pPr>
        <w:spacing w:after="0" w:line="360" w:lineRule="auto"/>
        <w:ind w:right="142"/>
      </w:pPr>
      <w:r w:rsidRPr="002A6E4B">
        <w:t xml:space="preserve">De las constancias que forman parte del Recurso de Revisión que se analiza, se advierte que previo al estudio del fondo de la </w:t>
      </w:r>
      <w:r w:rsidRPr="002A6E4B">
        <w:rPr>
          <w:i/>
        </w:rPr>
        <w:t>litis</w:t>
      </w:r>
      <w:r w:rsidRPr="002A6E4B">
        <w:t>, es necesario estudiar las causales de improcedencia y sobreseimiento que se adviertan, para determinar lo que en Derecho proceda.</w:t>
      </w:r>
    </w:p>
    <w:p w14:paraId="2D341C65" w14:textId="77777777" w:rsidR="00881807" w:rsidRPr="002A6E4B" w:rsidRDefault="00881807" w:rsidP="00630240">
      <w:pPr>
        <w:spacing w:after="0" w:line="360" w:lineRule="auto"/>
        <w:ind w:right="142"/>
      </w:pPr>
    </w:p>
    <w:p w14:paraId="43321EB7" w14:textId="77777777" w:rsidR="00881807" w:rsidRPr="002A6E4B" w:rsidRDefault="0095797A" w:rsidP="00630240">
      <w:pPr>
        <w:spacing w:after="0" w:line="360" w:lineRule="auto"/>
        <w:ind w:right="142"/>
        <w:rPr>
          <w:b/>
        </w:rPr>
      </w:pPr>
      <w:r w:rsidRPr="002A6E4B">
        <w:rPr>
          <w:b/>
        </w:rPr>
        <w:t>Causales de improcedencia</w:t>
      </w:r>
    </w:p>
    <w:p w14:paraId="7BEA6883" w14:textId="77777777" w:rsidR="00602079" w:rsidRPr="002A6E4B" w:rsidRDefault="00602079" w:rsidP="00630240">
      <w:pPr>
        <w:spacing w:after="0" w:line="360" w:lineRule="auto"/>
        <w:ind w:right="142"/>
        <w:rPr>
          <w:b/>
        </w:rPr>
      </w:pPr>
    </w:p>
    <w:p w14:paraId="179297FB" w14:textId="77777777" w:rsidR="00881807" w:rsidRPr="002A6E4B" w:rsidRDefault="0095797A" w:rsidP="00630240">
      <w:pPr>
        <w:spacing w:after="0" w:line="360" w:lineRule="auto"/>
        <w:ind w:right="142"/>
      </w:pPr>
      <w:r w:rsidRPr="002A6E4B">
        <w:t xml:space="preserve">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w:t>
      </w:r>
      <w:r w:rsidRPr="002A6E4B">
        <w:lastRenderedPageBreak/>
        <w:t>1a./J. 163/2005</w:t>
      </w:r>
      <w:r w:rsidRPr="002A6E4B">
        <w:rPr>
          <w:b/>
        </w:rPr>
        <w:t xml:space="preserve"> </w:t>
      </w:r>
      <w:r w:rsidRPr="002A6E4B">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6DDD3BD7" w14:textId="77777777" w:rsidR="00881807" w:rsidRPr="002A6E4B" w:rsidRDefault="00881807" w:rsidP="00630240">
      <w:pPr>
        <w:spacing w:after="0" w:line="360" w:lineRule="auto"/>
        <w:ind w:right="142"/>
      </w:pPr>
    </w:p>
    <w:p w14:paraId="5B4DA821" w14:textId="77777777" w:rsidR="00881807" w:rsidRPr="002A6E4B" w:rsidRDefault="0095797A" w:rsidP="00630240">
      <w:pPr>
        <w:spacing w:after="0" w:line="360" w:lineRule="auto"/>
        <w:ind w:right="142"/>
      </w:pPr>
      <w:r w:rsidRPr="002A6E4B">
        <w:t xml:space="preserve">En el presente caso, </w:t>
      </w:r>
      <w:r w:rsidRPr="002A6E4B">
        <w:rPr>
          <w:b/>
        </w:rPr>
        <w:t>no se actualiza ninguna de las causales de improcedencia</w:t>
      </w:r>
      <w:r w:rsidRPr="002A6E4B">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4D37F219" w14:textId="77777777" w:rsidR="00881807" w:rsidRPr="002A6E4B" w:rsidRDefault="00881807" w:rsidP="00630240">
      <w:pPr>
        <w:spacing w:after="0" w:line="360" w:lineRule="auto"/>
        <w:ind w:right="142"/>
        <w:rPr>
          <w:b/>
        </w:rPr>
      </w:pPr>
    </w:p>
    <w:p w14:paraId="764F8970" w14:textId="77777777" w:rsidR="00881807" w:rsidRPr="002A6E4B" w:rsidRDefault="0095797A" w:rsidP="00630240">
      <w:pPr>
        <w:spacing w:after="0" w:line="360" w:lineRule="auto"/>
        <w:ind w:right="142"/>
        <w:rPr>
          <w:b/>
        </w:rPr>
      </w:pPr>
      <w:r w:rsidRPr="002A6E4B">
        <w:rPr>
          <w:b/>
        </w:rPr>
        <w:t>Causales de sobreseimiento</w:t>
      </w:r>
    </w:p>
    <w:p w14:paraId="298C076A" w14:textId="77777777" w:rsidR="00515CDD" w:rsidRPr="002A6E4B" w:rsidRDefault="00515CDD" w:rsidP="00630240">
      <w:pPr>
        <w:spacing w:after="0" w:line="360" w:lineRule="auto"/>
        <w:ind w:right="142"/>
        <w:rPr>
          <w:color w:val="0D0D0D"/>
        </w:rPr>
      </w:pPr>
    </w:p>
    <w:p w14:paraId="31EC90BC" w14:textId="640EDEF3" w:rsidR="00881807" w:rsidRPr="002A6E4B" w:rsidRDefault="0095797A" w:rsidP="00630240">
      <w:pPr>
        <w:spacing w:after="0" w:line="360" w:lineRule="auto"/>
        <w:ind w:right="142"/>
      </w:pPr>
      <w:r w:rsidRPr="002A6E4B">
        <w:rPr>
          <w:color w:val="0D0D0D"/>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2A6E4B">
        <w:rPr>
          <w:b/>
          <w:color w:val="0D0D0D"/>
        </w:rPr>
        <w:t xml:space="preserve"> </w:t>
      </w:r>
      <w:r w:rsidRPr="002A6E4B">
        <w:rPr>
          <w:color w:val="0D0D0D"/>
        </w:rPr>
        <w:t>toda vez que no hay constancias en el expediente en que se actúa, de que la persona Recurrente se haya desistido, fallecido, que el Sujeto Obligado hubiese modificado o revocado el acto impugnado o bien,</w:t>
      </w:r>
      <w:r w:rsidRPr="002A6E4B">
        <w:t xml:space="preserve"> </w:t>
      </w:r>
      <w:r w:rsidRPr="002A6E4B">
        <w:rPr>
          <w:color w:val="0D0D0D"/>
        </w:rPr>
        <w:t>que admitido una vez admitido el Recurso de Revisión, aparezca alguna causal de improcedencia o haya quedado sin materia.</w:t>
      </w:r>
    </w:p>
    <w:p w14:paraId="5B794BB8" w14:textId="77777777" w:rsidR="00881807" w:rsidRPr="002A6E4B" w:rsidRDefault="00881807" w:rsidP="00630240">
      <w:pPr>
        <w:spacing w:after="0" w:line="360" w:lineRule="auto"/>
        <w:ind w:right="142"/>
      </w:pPr>
    </w:p>
    <w:p w14:paraId="575AC05D" w14:textId="77777777" w:rsidR="00881807" w:rsidRPr="002A6E4B" w:rsidRDefault="0095797A" w:rsidP="00630240">
      <w:pPr>
        <w:pStyle w:val="Ttulo2"/>
        <w:spacing w:before="0" w:after="0" w:line="360" w:lineRule="auto"/>
      </w:pPr>
      <w:bookmarkStart w:id="16" w:name="_Toc206593580"/>
      <w:r w:rsidRPr="002A6E4B">
        <w:t>TERCERO. Determinación de la Controversia</w:t>
      </w:r>
      <w:bookmarkEnd w:id="16"/>
    </w:p>
    <w:p w14:paraId="4F92868D" w14:textId="77777777" w:rsidR="00881807" w:rsidRPr="002A6E4B" w:rsidRDefault="00881807" w:rsidP="00630240">
      <w:pPr>
        <w:tabs>
          <w:tab w:val="left" w:pos="4962"/>
        </w:tabs>
        <w:spacing w:after="0" w:line="360" w:lineRule="auto"/>
        <w:ind w:right="142"/>
      </w:pPr>
    </w:p>
    <w:p w14:paraId="7A391ABA" w14:textId="08F84E3F" w:rsidR="0019106C" w:rsidRPr="002A6E4B" w:rsidRDefault="0095797A" w:rsidP="00630240">
      <w:pPr>
        <w:spacing w:after="0" w:line="360" w:lineRule="auto"/>
        <w:ind w:right="142"/>
        <w:rPr>
          <w:i/>
          <w:iCs/>
          <w:sz w:val="20"/>
          <w:szCs w:val="20"/>
        </w:rPr>
      </w:pPr>
      <w:r w:rsidRPr="002A6E4B">
        <w:lastRenderedPageBreak/>
        <w:t>La Solicitante</w:t>
      </w:r>
      <w:r w:rsidR="00515CDD" w:rsidRPr="002A6E4B">
        <w:t xml:space="preserve">, requirió </w:t>
      </w:r>
      <w:r w:rsidR="00E35765" w:rsidRPr="002A6E4B">
        <w:t xml:space="preserve">en el ejercicio de su derecho de acceso </w:t>
      </w:r>
      <w:r w:rsidR="001A7319" w:rsidRPr="002A6E4B">
        <w:t>a la información, l</w:t>
      </w:r>
      <w:r w:rsidR="0019106C" w:rsidRPr="002A6E4B">
        <w:t xml:space="preserve">as </w:t>
      </w:r>
      <w:r w:rsidR="0019106C" w:rsidRPr="002A6E4B">
        <w:rPr>
          <w:iCs/>
        </w:rPr>
        <w:t>facturas pagadas por conceptos de compras de regalos del día del niño y desglose de otros gastos que allá implicado dicho evento de la actual administración.</w:t>
      </w:r>
    </w:p>
    <w:p w14:paraId="269DECCD" w14:textId="137A08C3" w:rsidR="003D5FF7" w:rsidRPr="002A6E4B" w:rsidRDefault="003D5FF7" w:rsidP="00630240">
      <w:pPr>
        <w:tabs>
          <w:tab w:val="left" w:pos="567"/>
        </w:tabs>
        <w:spacing w:after="0" w:line="360" w:lineRule="auto"/>
        <w:ind w:right="567"/>
        <w:rPr>
          <w:i/>
          <w:iCs/>
          <w:sz w:val="20"/>
          <w:szCs w:val="20"/>
        </w:rPr>
      </w:pPr>
    </w:p>
    <w:p w14:paraId="52CD3510" w14:textId="3E0E9C0C" w:rsidR="007B00A7" w:rsidRPr="002A6E4B" w:rsidRDefault="007B00A7" w:rsidP="00630240">
      <w:pPr>
        <w:spacing w:after="0" w:line="360" w:lineRule="auto"/>
        <w:ind w:right="142"/>
      </w:pPr>
    </w:p>
    <w:p w14:paraId="3F4BF87F" w14:textId="175463D0" w:rsidR="00C44E14" w:rsidRPr="002A6E4B" w:rsidRDefault="00C44E14" w:rsidP="00630240">
      <w:pPr>
        <w:spacing w:after="0" w:line="360" w:lineRule="auto"/>
        <w:ind w:right="142"/>
      </w:pPr>
      <w:r w:rsidRPr="002A6E4B">
        <w:t>En respuesta, el Sujeto Obligado</w:t>
      </w:r>
      <w:r w:rsidR="0019106C" w:rsidRPr="002A6E4B">
        <w:t xml:space="preserve"> entregó los montos erogados, lo que generó inconformidad en el Particular, quien se inconformó de que no se le entregaron copias de las facturas pagadas.</w:t>
      </w:r>
    </w:p>
    <w:p w14:paraId="25D4B77B" w14:textId="77777777" w:rsidR="0019106C" w:rsidRPr="002A6E4B" w:rsidRDefault="0019106C" w:rsidP="00630240">
      <w:pPr>
        <w:spacing w:after="0" w:line="360" w:lineRule="auto"/>
        <w:ind w:right="142"/>
      </w:pPr>
    </w:p>
    <w:p w14:paraId="691FC76D" w14:textId="3FC2D7A3" w:rsidR="00881807" w:rsidRPr="002A6E4B" w:rsidRDefault="006B420A" w:rsidP="00630240">
      <w:pPr>
        <w:spacing w:after="0" w:line="360" w:lineRule="auto"/>
        <w:ind w:right="142"/>
        <w:rPr>
          <w:b/>
          <w:bCs/>
        </w:rPr>
      </w:pPr>
      <w:r w:rsidRPr="002A6E4B">
        <w:t xml:space="preserve">En este contexto, </w:t>
      </w:r>
      <w:r w:rsidR="009D381C" w:rsidRPr="002A6E4B">
        <w:t xml:space="preserve">los motivos de inconformidad actualizaron la causal de procedencia del artículo 179, </w:t>
      </w:r>
      <w:r w:rsidR="004A6291" w:rsidRPr="002A6E4B">
        <w:t xml:space="preserve">fracciones </w:t>
      </w:r>
      <w:r w:rsidR="005E1533" w:rsidRPr="002A6E4B">
        <w:t>I</w:t>
      </w:r>
      <w:r w:rsidR="0058219B" w:rsidRPr="002A6E4B">
        <w:t>,</w:t>
      </w:r>
      <w:r w:rsidR="009D381C" w:rsidRPr="002A6E4B">
        <w:t xml:space="preserve"> de la Ley de Transparencia y Acceso a la Información Pública del Estado de México y Municipios, que contempla que </w:t>
      </w:r>
      <w:r w:rsidR="00B23851" w:rsidRPr="002A6E4B">
        <w:t xml:space="preserve">el recurso de revisión es un medio de protección que la Ley otorga a los particulares, para hacer valer su derecho de acceso a la información pública, y procede en contra de </w:t>
      </w:r>
      <w:r w:rsidR="00B23851" w:rsidRPr="002A6E4B">
        <w:rPr>
          <w:b/>
          <w:bCs/>
        </w:rPr>
        <w:t>-</w:t>
      </w:r>
      <w:r w:rsidR="005E1533" w:rsidRPr="002A6E4B">
        <w:rPr>
          <w:b/>
          <w:bCs/>
        </w:rPr>
        <w:t>la negativa a la información proporcionada</w:t>
      </w:r>
      <w:r w:rsidR="00B23851" w:rsidRPr="002A6E4B">
        <w:rPr>
          <w:b/>
          <w:bCs/>
        </w:rPr>
        <w:t>-.</w:t>
      </w:r>
    </w:p>
    <w:p w14:paraId="69E87A18" w14:textId="77777777" w:rsidR="0058219B" w:rsidRPr="002A6E4B" w:rsidRDefault="0058219B" w:rsidP="00630240">
      <w:pPr>
        <w:spacing w:after="0" w:line="360" w:lineRule="auto"/>
        <w:ind w:right="142"/>
      </w:pPr>
    </w:p>
    <w:p w14:paraId="03328D53" w14:textId="77777777" w:rsidR="00881807" w:rsidRPr="002A6E4B" w:rsidRDefault="0095797A" w:rsidP="00630240">
      <w:pPr>
        <w:pStyle w:val="Ttulo2"/>
        <w:spacing w:before="0" w:after="0" w:line="360" w:lineRule="auto"/>
      </w:pPr>
      <w:bookmarkStart w:id="17" w:name="_Toc206593581"/>
      <w:r w:rsidRPr="002A6E4B">
        <w:t>CUARTO. Marco normativo aplicable en materia de transparencia y acceso a la información pública</w:t>
      </w:r>
      <w:bookmarkEnd w:id="17"/>
    </w:p>
    <w:p w14:paraId="45644BC5" w14:textId="77777777" w:rsidR="00881807" w:rsidRPr="002A6E4B" w:rsidRDefault="00881807" w:rsidP="00630240">
      <w:pPr>
        <w:spacing w:after="0" w:line="360" w:lineRule="auto"/>
        <w:ind w:right="142"/>
      </w:pPr>
    </w:p>
    <w:p w14:paraId="785D525A" w14:textId="220F4762" w:rsidR="00881807" w:rsidRPr="002A6E4B" w:rsidRDefault="00484AF2" w:rsidP="00630240">
      <w:pPr>
        <w:spacing w:after="0" w:line="360" w:lineRule="auto"/>
        <w:ind w:right="142"/>
      </w:pPr>
      <w:r w:rsidRPr="002A6E4B">
        <w:t>E</w:t>
      </w:r>
      <w:r w:rsidR="0095797A" w:rsidRPr="002A6E4B">
        <w:t>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F2D4780" w14:textId="77777777" w:rsidR="00881807" w:rsidRPr="002A6E4B" w:rsidRDefault="00881807" w:rsidP="00630240">
      <w:pPr>
        <w:spacing w:after="0" w:line="360" w:lineRule="auto"/>
        <w:ind w:right="142"/>
      </w:pPr>
    </w:p>
    <w:p w14:paraId="771CB644" w14:textId="77777777" w:rsidR="00881807" w:rsidRPr="002A6E4B" w:rsidRDefault="0095797A" w:rsidP="00630240">
      <w:pPr>
        <w:spacing w:after="0" w:line="360" w:lineRule="auto"/>
        <w:ind w:right="142"/>
      </w:pPr>
      <w:r w:rsidRPr="002A6E4B">
        <w:t>Por su parte, la Ley de Transparencia y Acceso a la Información Pública del Estado de México y Municipios (Reglamentaria del artículo 5° de la Constitución Local), establece lo siguiente:</w:t>
      </w:r>
    </w:p>
    <w:p w14:paraId="23893475" w14:textId="77777777" w:rsidR="00881807" w:rsidRPr="002A6E4B" w:rsidRDefault="00881807" w:rsidP="00630240">
      <w:pPr>
        <w:spacing w:after="0" w:line="360" w:lineRule="auto"/>
        <w:ind w:right="142"/>
      </w:pPr>
    </w:p>
    <w:p w14:paraId="61AE39C1" w14:textId="77777777" w:rsidR="00881807" w:rsidRPr="002A6E4B" w:rsidRDefault="0095797A" w:rsidP="00630240">
      <w:pPr>
        <w:spacing w:after="0" w:line="360" w:lineRule="auto"/>
        <w:ind w:right="142"/>
      </w:pPr>
      <w:r w:rsidRPr="002A6E4B">
        <w:lastRenderedPageBreak/>
        <w:t>El artículo 12 dice que, quienes generen, recopilen, administren, manejen, procesen, archiven o conserven información pública serán responsables de la misma.</w:t>
      </w:r>
    </w:p>
    <w:p w14:paraId="3A56512D" w14:textId="77777777" w:rsidR="00484AF2" w:rsidRPr="002A6E4B" w:rsidRDefault="00484AF2" w:rsidP="00630240">
      <w:pPr>
        <w:widowControl w:val="0"/>
        <w:spacing w:after="0" w:line="360" w:lineRule="auto"/>
        <w:ind w:right="142"/>
      </w:pPr>
    </w:p>
    <w:p w14:paraId="73EA855D" w14:textId="6F055337" w:rsidR="00881807" w:rsidRPr="002A6E4B" w:rsidRDefault="0095797A" w:rsidP="00630240">
      <w:pPr>
        <w:widowControl w:val="0"/>
        <w:spacing w:after="0" w:line="360" w:lineRule="auto"/>
        <w:ind w:right="142"/>
      </w:pPr>
      <w:r w:rsidRPr="002A6E4B">
        <w:t>El artículo 18, que, los Sujetos Obligados deberán documentar todo acto que derive del ejercicio de sus facultades, competencias o funciones, considerando desde su origen la eventual publicidad y reutilización de la información que generen.</w:t>
      </w:r>
    </w:p>
    <w:p w14:paraId="070B4257" w14:textId="77777777" w:rsidR="00881807" w:rsidRPr="002A6E4B" w:rsidRDefault="00881807" w:rsidP="00630240">
      <w:pPr>
        <w:spacing w:after="0" w:line="360" w:lineRule="auto"/>
        <w:ind w:right="142"/>
      </w:pPr>
    </w:p>
    <w:p w14:paraId="55FCB954" w14:textId="0AFEAAF7" w:rsidR="00881807" w:rsidRPr="002A6E4B" w:rsidRDefault="0095797A" w:rsidP="00630240">
      <w:pPr>
        <w:spacing w:after="0" w:line="360" w:lineRule="auto"/>
        <w:ind w:right="142"/>
      </w:pPr>
      <w:r w:rsidRPr="002A6E4B">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79BE2A3" w14:textId="77777777" w:rsidR="00C952BE" w:rsidRPr="002A6E4B" w:rsidRDefault="00C952BE" w:rsidP="00630240">
      <w:pPr>
        <w:spacing w:after="0" w:line="360" w:lineRule="auto"/>
        <w:ind w:right="142"/>
      </w:pPr>
    </w:p>
    <w:p w14:paraId="609BD6C0" w14:textId="5100EED3" w:rsidR="0052044B" w:rsidRPr="002A6E4B" w:rsidRDefault="0095797A" w:rsidP="00630240">
      <w:pPr>
        <w:pStyle w:val="Ttulo2"/>
        <w:spacing w:before="0" w:after="0" w:line="360" w:lineRule="auto"/>
      </w:pPr>
      <w:bookmarkStart w:id="18" w:name="_Toc206593582"/>
      <w:r w:rsidRPr="002A6E4B">
        <w:t>QUINTO. Estudio de Fondo</w:t>
      </w:r>
      <w:bookmarkEnd w:id="18"/>
    </w:p>
    <w:p w14:paraId="21970360" w14:textId="3695780A" w:rsidR="00DF10F7" w:rsidRPr="002A6E4B" w:rsidRDefault="00DF10F7" w:rsidP="00630240">
      <w:pPr>
        <w:tabs>
          <w:tab w:val="left" w:pos="4962"/>
        </w:tabs>
        <w:spacing w:after="0" w:line="360" w:lineRule="auto"/>
        <w:ind w:right="142"/>
      </w:pPr>
    </w:p>
    <w:p w14:paraId="0D3C8FDA" w14:textId="31357533" w:rsidR="00A14A52" w:rsidRPr="002A6E4B" w:rsidRDefault="00A95161" w:rsidP="00630240">
      <w:pPr>
        <w:tabs>
          <w:tab w:val="left" w:pos="4962"/>
        </w:tabs>
        <w:spacing w:after="0" w:line="360" w:lineRule="auto"/>
        <w:ind w:right="142"/>
      </w:pPr>
      <w:r w:rsidRPr="002A6E4B">
        <w:t xml:space="preserve">El Particular, </w:t>
      </w:r>
      <w:r w:rsidR="009B0FB9" w:rsidRPr="002A6E4B">
        <w:t xml:space="preserve">requirió </w:t>
      </w:r>
      <w:r w:rsidR="00AE056E" w:rsidRPr="002A6E4B">
        <w:t>información que puede ser dividida en dos puntos:</w:t>
      </w:r>
    </w:p>
    <w:p w14:paraId="765DEF2E" w14:textId="77777777" w:rsidR="009B0FB9" w:rsidRPr="002A6E4B" w:rsidRDefault="009B0FB9" w:rsidP="00630240">
      <w:pPr>
        <w:tabs>
          <w:tab w:val="left" w:pos="4962"/>
        </w:tabs>
        <w:spacing w:after="0" w:line="360" w:lineRule="auto"/>
        <w:ind w:right="142"/>
      </w:pPr>
    </w:p>
    <w:p w14:paraId="6ADDF699" w14:textId="5D6CB998" w:rsidR="00AE056E" w:rsidRPr="002A6E4B" w:rsidRDefault="00AE056E" w:rsidP="00630240">
      <w:pPr>
        <w:pStyle w:val="Prrafodelista"/>
        <w:numPr>
          <w:ilvl w:val="0"/>
          <w:numId w:val="21"/>
        </w:numPr>
        <w:spacing w:line="360" w:lineRule="auto"/>
        <w:ind w:right="142"/>
        <w:rPr>
          <w:iCs/>
        </w:rPr>
      </w:pPr>
      <w:r w:rsidRPr="002A6E4B">
        <w:t xml:space="preserve">Las </w:t>
      </w:r>
      <w:r w:rsidRPr="002A6E4B">
        <w:rPr>
          <w:iCs/>
        </w:rPr>
        <w:t xml:space="preserve">facturas pagadas por conceptos de compras de regalos del día del niño </w:t>
      </w:r>
    </w:p>
    <w:p w14:paraId="1BE02E07" w14:textId="30DE232E" w:rsidR="00AE056E" w:rsidRPr="002A6E4B" w:rsidRDefault="00AE056E" w:rsidP="00630240">
      <w:pPr>
        <w:pStyle w:val="Prrafodelista"/>
        <w:numPr>
          <w:ilvl w:val="0"/>
          <w:numId w:val="21"/>
        </w:numPr>
        <w:spacing w:line="360" w:lineRule="auto"/>
        <w:ind w:right="142"/>
        <w:rPr>
          <w:i/>
          <w:iCs/>
          <w:sz w:val="20"/>
          <w:szCs w:val="20"/>
        </w:rPr>
      </w:pPr>
      <w:r w:rsidRPr="002A6E4B">
        <w:rPr>
          <w:iCs/>
        </w:rPr>
        <w:t>Desglose de otros gastos que allá implicado dicho evento de la actual administración.</w:t>
      </w:r>
    </w:p>
    <w:p w14:paraId="0E52AE71" w14:textId="77777777" w:rsidR="009B0FB9" w:rsidRPr="002A6E4B" w:rsidRDefault="009B0FB9" w:rsidP="00630240">
      <w:pPr>
        <w:tabs>
          <w:tab w:val="left" w:pos="4962"/>
        </w:tabs>
        <w:spacing w:after="0" w:line="360" w:lineRule="auto"/>
        <w:ind w:right="142"/>
        <w:rPr>
          <w:rFonts w:cs="Tahoma"/>
          <w:iCs/>
        </w:rPr>
      </w:pPr>
    </w:p>
    <w:p w14:paraId="45C2674B" w14:textId="3F07932E" w:rsidR="00CA1DBB" w:rsidRPr="002A6E4B" w:rsidRDefault="00AE056E" w:rsidP="00630240">
      <w:pPr>
        <w:spacing w:after="0" w:line="360" w:lineRule="auto"/>
        <w:contextualSpacing/>
        <w:rPr>
          <w:rFonts w:eastAsia="Calibri" w:cs="Tahoma"/>
          <w:iCs/>
          <w:lang w:val="es-ES" w:eastAsia="es-ES_tradnl"/>
        </w:rPr>
      </w:pPr>
      <w:r w:rsidRPr="002A6E4B">
        <w:rPr>
          <w:rFonts w:eastAsia="Calibri" w:cs="Tahoma"/>
          <w:iCs/>
          <w:lang w:val="es-ES" w:eastAsia="es-ES_tradnl"/>
        </w:rPr>
        <w:t>En respuesta, el Sujeto Obligado, refirió que la documentación contable se encuentra resguardad en la Tesorería Municipal y entregó el desglose de gastos que es el siguiente, con la precisión que refiere al evento del año 2025:</w:t>
      </w:r>
    </w:p>
    <w:p w14:paraId="0C1576CF" w14:textId="77777777" w:rsidR="00AE056E" w:rsidRPr="002A6E4B" w:rsidRDefault="00AE056E" w:rsidP="00630240">
      <w:pPr>
        <w:spacing w:after="0" w:line="360" w:lineRule="auto"/>
        <w:contextualSpacing/>
        <w:rPr>
          <w:rFonts w:eastAsia="Calibri" w:cs="Tahoma"/>
          <w:iCs/>
          <w:lang w:val="es-ES" w:eastAsia="es-ES_tradnl"/>
        </w:rPr>
      </w:pPr>
    </w:p>
    <w:p w14:paraId="20A632E4" w14:textId="77777777" w:rsidR="00AE056E" w:rsidRPr="002A6E4B" w:rsidRDefault="00AE056E" w:rsidP="00630240">
      <w:pPr>
        <w:pStyle w:val="Prrafodelista"/>
        <w:numPr>
          <w:ilvl w:val="0"/>
          <w:numId w:val="22"/>
        </w:numPr>
        <w:spacing w:line="360" w:lineRule="auto"/>
        <w:rPr>
          <w:iCs/>
          <w:szCs w:val="22"/>
        </w:rPr>
      </w:pPr>
      <w:r w:rsidRPr="002A6E4B">
        <w:rPr>
          <w:iCs/>
          <w:szCs w:val="22"/>
        </w:rPr>
        <w:t xml:space="preserve">Alquiler de lonas, mesas y sillas – Delegación San Andrés </w:t>
      </w:r>
      <w:proofErr w:type="spellStart"/>
      <w:r w:rsidRPr="002A6E4B">
        <w:rPr>
          <w:iCs/>
          <w:szCs w:val="22"/>
        </w:rPr>
        <w:t>Metla</w:t>
      </w:r>
      <w:proofErr w:type="spellEnd"/>
      <w:r w:rsidRPr="002A6E4B">
        <w:rPr>
          <w:iCs/>
          <w:szCs w:val="22"/>
        </w:rPr>
        <w:t xml:space="preserve"> $13,920.00 27/04/2025 </w:t>
      </w:r>
    </w:p>
    <w:p w14:paraId="1429C21F" w14:textId="77777777" w:rsidR="00AE056E" w:rsidRPr="002A6E4B" w:rsidRDefault="00AE056E" w:rsidP="00630240">
      <w:pPr>
        <w:pStyle w:val="Prrafodelista"/>
        <w:numPr>
          <w:ilvl w:val="0"/>
          <w:numId w:val="22"/>
        </w:numPr>
        <w:spacing w:line="360" w:lineRule="auto"/>
        <w:rPr>
          <w:iCs/>
          <w:szCs w:val="22"/>
        </w:rPr>
      </w:pPr>
      <w:r w:rsidRPr="002A6E4B">
        <w:rPr>
          <w:iCs/>
          <w:szCs w:val="22"/>
        </w:rPr>
        <w:t xml:space="preserve">Alquiler de lonas, mesas y sillas – Explanada Municipal $25,520.00 29/04/2025 </w:t>
      </w:r>
    </w:p>
    <w:p w14:paraId="2E7B8E49" w14:textId="2108E373" w:rsidR="00AE056E" w:rsidRPr="002A6E4B" w:rsidRDefault="00AE056E" w:rsidP="00630240">
      <w:pPr>
        <w:pStyle w:val="Prrafodelista"/>
        <w:numPr>
          <w:ilvl w:val="0"/>
          <w:numId w:val="22"/>
        </w:numPr>
        <w:spacing w:line="360" w:lineRule="auto"/>
        <w:rPr>
          <w:rFonts w:eastAsia="Calibri" w:cs="Tahoma"/>
          <w:iCs/>
          <w:szCs w:val="22"/>
          <w:lang w:val="es-ES" w:eastAsia="es-ES_tradnl"/>
        </w:rPr>
      </w:pPr>
      <w:r w:rsidRPr="002A6E4B">
        <w:rPr>
          <w:iCs/>
          <w:szCs w:val="22"/>
        </w:rPr>
        <w:t>Adquisición de juguetes para el evento $438,528.00</w:t>
      </w:r>
    </w:p>
    <w:p w14:paraId="2DC4131A" w14:textId="77777777" w:rsidR="00AE056E" w:rsidRPr="002A6E4B" w:rsidRDefault="00AE056E" w:rsidP="00630240">
      <w:pPr>
        <w:spacing w:after="0" w:line="360" w:lineRule="auto"/>
        <w:contextualSpacing/>
        <w:rPr>
          <w:rFonts w:eastAsia="Calibri" w:cs="Tahoma"/>
          <w:iCs/>
          <w:lang w:val="es-ES" w:eastAsia="es-ES_tradnl"/>
        </w:rPr>
      </w:pPr>
    </w:p>
    <w:p w14:paraId="3D6AA424" w14:textId="383E8407" w:rsidR="00AE056E" w:rsidRPr="002A6E4B" w:rsidRDefault="00630240" w:rsidP="00630240">
      <w:pPr>
        <w:spacing w:after="0" w:line="360" w:lineRule="auto"/>
        <w:contextualSpacing/>
        <w:rPr>
          <w:rFonts w:eastAsia="Calibri" w:cs="Tahoma"/>
          <w:iCs/>
          <w:lang w:val="es-ES" w:eastAsia="es-ES_tradnl"/>
        </w:rPr>
      </w:pPr>
      <w:r w:rsidRPr="002A6E4B">
        <w:rPr>
          <w:rFonts w:eastAsia="Calibri" w:cs="Tahoma"/>
          <w:iCs/>
          <w:lang w:val="es-ES" w:eastAsia="es-ES_tradnl"/>
        </w:rPr>
        <w:lastRenderedPageBreak/>
        <w:t>Ahora bien, del agravió del</w:t>
      </w:r>
      <w:r w:rsidR="00AE056E" w:rsidRPr="002A6E4B">
        <w:rPr>
          <w:rFonts w:eastAsia="Calibri" w:cs="Tahoma"/>
          <w:iCs/>
          <w:lang w:val="es-ES" w:eastAsia="es-ES_tradnl"/>
        </w:rPr>
        <w:t xml:space="preserve"> Particular, </w:t>
      </w:r>
      <w:r w:rsidRPr="002A6E4B">
        <w:rPr>
          <w:rFonts w:eastAsia="Calibri" w:cs="Tahoma"/>
          <w:iCs/>
          <w:lang w:val="es-ES" w:eastAsia="es-ES_tradnl"/>
        </w:rPr>
        <w:t>se logra vislumbrar que únicamente se inconformó de la falta de entrega de las facturas</w:t>
      </w:r>
      <w:r w:rsidR="00AE056E" w:rsidRPr="002A6E4B">
        <w:rPr>
          <w:rFonts w:eastAsia="Calibri" w:cs="Tahoma"/>
          <w:iCs/>
          <w:lang w:val="es-ES" w:eastAsia="es-ES_tradnl"/>
        </w:rPr>
        <w:t xml:space="preserve">, las cuales, exclusivamente se requirieron sobre la compra de regalos para el día del niño, por lo que debemos entender que la informidad únicamente es sobre uno de los puntos de información, por lo que es necesario invocar el criterio de interpretación con clave de control </w:t>
      </w:r>
      <w:r w:rsidRPr="002A6E4B">
        <w:rPr>
          <w:rFonts w:eastAsia="Calibri" w:cs="Tahoma"/>
          <w:iCs/>
          <w:lang w:val="es-ES" w:eastAsia="es-ES_tradnl"/>
        </w:rPr>
        <w:t>SO/0</w:t>
      </w:r>
      <w:r w:rsidR="00AE056E" w:rsidRPr="002A6E4B">
        <w:rPr>
          <w:rFonts w:eastAsia="Calibri" w:cs="Tahoma"/>
          <w:iCs/>
          <w:lang w:val="es-ES" w:eastAsia="es-ES_tradnl"/>
        </w:rPr>
        <w:t>01/</w:t>
      </w:r>
      <w:r w:rsidRPr="002A6E4B">
        <w:rPr>
          <w:rFonts w:eastAsia="Calibri" w:cs="Tahoma"/>
          <w:iCs/>
          <w:lang w:val="es-ES" w:eastAsia="es-ES_tradnl"/>
        </w:rPr>
        <w:t>20</w:t>
      </w:r>
      <w:r w:rsidR="00AE056E" w:rsidRPr="002A6E4B">
        <w:rPr>
          <w:rFonts w:eastAsia="Calibri" w:cs="Tahoma"/>
          <w:iCs/>
          <w:lang w:val="es-ES" w:eastAsia="es-ES_tradnl"/>
        </w:rPr>
        <w:t>20, emitido por el otrora Instituto Nacional de Transparencia, Acceso a la Información Pública y Protección de Datos Personales (INAI), aplicable al presente asunto, que contempla:</w:t>
      </w:r>
    </w:p>
    <w:p w14:paraId="7F90D80A" w14:textId="77777777" w:rsidR="00AE056E" w:rsidRPr="002A6E4B" w:rsidRDefault="00AE056E" w:rsidP="00630240">
      <w:pPr>
        <w:spacing w:after="0" w:line="360" w:lineRule="auto"/>
        <w:contextualSpacing/>
        <w:rPr>
          <w:rFonts w:eastAsia="Calibri" w:cs="Tahoma"/>
          <w:iCs/>
          <w:lang w:val="es-ES" w:eastAsia="es-ES_tradnl"/>
        </w:rPr>
      </w:pPr>
    </w:p>
    <w:p w14:paraId="72BD04CC" w14:textId="46E9AA90" w:rsidR="00AE056E" w:rsidRPr="002A6E4B" w:rsidRDefault="00AE056E" w:rsidP="00630240">
      <w:pPr>
        <w:spacing w:after="0" w:line="360" w:lineRule="auto"/>
        <w:ind w:left="567" w:right="567"/>
        <w:contextualSpacing/>
        <w:rPr>
          <w:rFonts w:eastAsia="Calibri" w:cs="Tahoma"/>
          <w:i/>
          <w:iCs/>
          <w:sz w:val="20"/>
          <w:szCs w:val="20"/>
          <w:lang w:val="es-ES" w:eastAsia="es-ES_tradnl"/>
        </w:rPr>
      </w:pPr>
      <w:r w:rsidRPr="002A6E4B">
        <w:rPr>
          <w:b/>
          <w:i/>
          <w:sz w:val="20"/>
          <w:szCs w:val="20"/>
        </w:rPr>
        <w:t>Actos consentidos tácitamente. Improcedencia de su análisis</w:t>
      </w:r>
      <w:r w:rsidRPr="002A6E4B">
        <w:rPr>
          <w:i/>
          <w:sz w:val="20"/>
          <w:szCs w:val="20"/>
        </w:rPr>
        <w:t>. 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6A07ACE5" w14:textId="77777777" w:rsidR="00AE056E" w:rsidRPr="002A6E4B" w:rsidRDefault="00AE056E" w:rsidP="00630240">
      <w:pPr>
        <w:spacing w:after="0" w:line="360" w:lineRule="auto"/>
        <w:contextualSpacing/>
        <w:rPr>
          <w:rFonts w:eastAsia="Calibri" w:cs="Tahoma"/>
          <w:iCs/>
          <w:lang w:val="es-ES" w:eastAsia="es-ES_tradnl"/>
        </w:rPr>
      </w:pPr>
    </w:p>
    <w:p w14:paraId="0D413D31" w14:textId="0DD773AF" w:rsidR="00AE056E" w:rsidRPr="002A6E4B" w:rsidRDefault="00AE056E" w:rsidP="00630240">
      <w:pPr>
        <w:spacing w:after="0" w:line="360" w:lineRule="auto"/>
        <w:contextualSpacing/>
        <w:rPr>
          <w:rFonts w:eastAsia="Calibri" w:cs="Tahoma"/>
          <w:iCs/>
          <w:lang w:val="es-ES" w:eastAsia="es-ES_tradnl"/>
        </w:rPr>
      </w:pPr>
      <w:r w:rsidRPr="002A6E4B">
        <w:rPr>
          <w:rFonts w:eastAsia="Calibri" w:cs="Tahoma"/>
          <w:iCs/>
          <w:lang w:val="es-ES" w:eastAsia="es-ES_tradnl"/>
        </w:rPr>
        <w:t>Esto implica que toda vez que el Particular, no se inconformó del total de la información, únicamente es procedente entrar al estudio de los puntos controvertidos</w:t>
      </w:r>
      <w:r w:rsidR="00630240" w:rsidRPr="002A6E4B">
        <w:rPr>
          <w:rFonts w:eastAsia="Calibri" w:cs="Tahoma"/>
          <w:iCs/>
          <w:lang w:val="es-ES" w:eastAsia="es-ES_tradnl"/>
        </w:rPr>
        <w:t>, en el presente caso, de las facturas pagadas por concepto de compra de regalos.</w:t>
      </w:r>
    </w:p>
    <w:p w14:paraId="52DA54B5" w14:textId="77777777" w:rsidR="005A5C0E" w:rsidRPr="002A6E4B" w:rsidRDefault="005A5C0E" w:rsidP="00630240">
      <w:pPr>
        <w:spacing w:after="0" w:line="360" w:lineRule="auto"/>
        <w:contextualSpacing/>
        <w:rPr>
          <w:rFonts w:eastAsia="Calibri" w:cs="Tahoma"/>
          <w:iCs/>
          <w:lang w:val="es-ES" w:eastAsia="es-ES_tradnl"/>
        </w:rPr>
      </w:pPr>
    </w:p>
    <w:p w14:paraId="50290C3C" w14:textId="77777777" w:rsidR="005A5C0E" w:rsidRPr="002A6E4B" w:rsidRDefault="005A5C0E" w:rsidP="00630240">
      <w:pPr>
        <w:spacing w:after="0" w:line="360" w:lineRule="auto"/>
        <w:rPr>
          <w:rFonts w:eastAsia="Times New Roman" w:cs="Tahoma"/>
          <w:bCs/>
          <w:iCs/>
          <w:lang w:eastAsia="es-ES"/>
        </w:rPr>
      </w:pPr>
      <w:r w:rsidRPr="002A6E4B">
        <w:rPr>
          <w:rFonts w:eastAsia="Times New Roman" w:cs="Tahoma"/>
          <w:bCs/>
          <w:iCs/>
          <w:lang w:eastAsia="es-ES"/>
        </w:rPr>
        <w:t xml:space="preserve">Sobre el tema, López Olvera, Miguel Alejandro </w:t>
      </w:r>
      <w:proofErr w:type="spellStart"/>
      <w:r w:rsidRPr="002A6E4B">
        <w:rPr>
          <w:rFonts w:eastAsia="Times New Roman" w:cs="Tahoma"/>
          <w:bCs/>
          <w:iCs/>
          <w:lang w:eastAsia="es-ES"/>
        </w:rPr>
        <w:t>Cancino</w:t>
      </w:r>
      <w:proofErr w:type="spellEnd"/>
      <w:r w:rsidRPr="002A6E4B">
        <w:rPr>
          <w:rFonts w:eastAsia="Times New Roman" w:cs="Tahoma"/>
          <w:bCs/>
          <w:iCs/>
          <w:lang w:eastAsia="es-ES"/>
        </w:rPr>
        <w:t xml:space="preserve"> Gómez, Rodolfo. (2020). “La Contratación Pública y el Sistema Nacional Anticorrupción”. (p. 4) la contratación pública, es el procedimiento de carácter administrativo, por medio del cual, un ente público selecciona y posteriormente, celebra un acuerdo de voluntades, con una persona física o jurídica colectiva, para que ésta, entregue o arrende un bien, preste algún servicio público o lleve a cabo la ejecución de una obra pública, con recursos públicos del Estado y en beneficio de la colectividad.</w:t>
      </w:r>
    </w:p>
    <w:p w14:paraId="51C749F7" w14:textId="77777777" w:rsidR="005A5C0E" w:rsidRPr="002A6E4B" w:rsidRDefault="005A5C0E" w:rsidP="00630240">
      <w:pPr>
        <w:spacing w:after="0" w:line="360" w:lineRule="auto"/>
        <w:rPr>
          <w:rFonts w:eastAsia="Times New Roman" w:cs="Tahoma"/>
          <w:bCs/>
          <w:iCs/>
          <w:lang w:eastAsia="es-ES"/>
        </w:rPr>
      </w:pPr>
    </w:p>
    <w:p w14:paraId="656D5F58" w14:textId="77777777" w:rsidR="005A5C0E" w:rsidRPr="002A6E4B" w:rsidRDefault="005A5C0E" w:rsidP="00630240">
      <w:pPr>
        <w:spacing w:after="0" w:line="360" w:lineRule="auto"/>
        <w:rPr>
          <w:rFonts w:eastAsia="Times New Roman" w:cs="Tahoma"/>
          <w:bCs/>
          <w:iCs/>
          <w:lang w:eastAsia="es-ES"/>
        </w:rPr>
      </w:pPr>
      <w:r w:rsidRPr="002A6E4B">
        <w:rPr>
          <w:rFonts w:eastAsia="Times New Roman" w:cs="Tahoma"/>
          <w:bCs/>
          <w:iCs/>
          <w:lang w:eastAsia="es-ES"/>
        </w:rPr>
        <w:t xml:space="preserve">Por otra parte, los artículos 1°, fracción III, y 4°de la Ley de la de Contratación Pública del Estado de México y Municipios, especifica que los Ayuntamientos serán los encargados de realizar los actos relativos a la planeación, programación, presupuestación, ejecución y control de la </w:t>
      </w:r>
      <w:r w:rsidRPr="002A6E4B">
        <w:rPr>
          <w:rFonts w:eastAsia="Times New Roman" w:cs="Tahoma"/>
          <w:bCs/>
          <w:iCs/>
          <w:lang w:eastAsia="es-ES"/>
        </w:rPr>
        <w:lastRenderedPageBreak/>
        <w:t xml:space="preserve">adquisición (bienes muebles e inmuebles), arrendamiento (bienes muebles e inmuebles), y la contratación de servicios de cualquier naturaleza. </w:t>
      </w:r>
    </w:p>
    <w:p w14:paraId="2FEFB246" w14:textId="77777777" w:rsidR="005A5C0E" w:rsidRPr="002A6E4B" w:rsidRDefault="005A5C0E" w:rsidP="00630240">
      <w:pPr>
        <w:spacing w:after="0" w:line="360" w:lineRule="auto"/>
        <w:rPr>
          <w:rFonts w:eastAsia="Times New Roman" w:cs="Tahoma"/>
          <w:bCs/>
          <w:iCs/>
          <w:lang w:eastAsia="es-ES"/>
        </w:rPr>
      </w:pPr>
    </w:p>
    <w:p w14:paraId="1996F236" w14:textId="396403F3" w:rsidR="005A5C0E" w:rsidRPr="002A6E4B" w:rsidRDefault="00DE3524" w:rsidP="00630240">
      <w:pPr>
        <w:spacing w:after="0" w:line="360" w:lineRule="auto"/>
        <w:rPr>
          <w:rFonts w:eastAsia="Times New Roman" w:cs="Tahoma"/>
          <w:bCs/>
          <w:iCs/>
          <w:lang w:eastAsia="es-ES"/>
        </w:rPr>
      </w:pPr>
      <w:r w:rsidRPr="002A6E4B">
        <w:rPr>
          <w:rFonts w:eastAsia="Times New Roman" w:cs="Tahoma"/>
          <w:bCs/>
          <w:iCs/>
          <w:lang w:eastAsia="es-ES"/>
        </w:rPr>
        <w:t>C</w:t>
      </w:r>
      <w:r w:rsidR="005A5C0E" w:rsidRPr="002A6E4B">
        <w:rPr>
          <w:rFonts w:eastAsia="Times New Roman" w:cs="Tahoma"/>
          <w:bCs/>
          <w:iCs/>
          <w:lang w:eastAsia="es-ES"/>
        </w:rPr>
        <w:t>onforme a los artículos 26 y 27 de dicho ordenamiento jurídico, las adquisiciones, arrendamientos y servicios, se adjudicarán a través de procedimientos de licitación pública, invitación restringida y adjudicación directa.</w:t>
      </w:r>
    </w:p>
    <w:p w14:paraId="34F80B59" w14:textId="77777777" w:rsidR="00DE3524" w:rsidRPr="002A6E4B" w:rsidRDefault="00DE3524" w:rsidP="00630240">
      <w:pPr>
        <w:spacing w:after="0" w:line="360" w:lineRule="auto"/>
        <w:rPr>
          <w:rFonts w:eastAsia="Times New Roman" w:cs="Tahoma"/>
          <w:bCs/>
          <w:iCs/>
          <w:lang w:eastAsia="es-ES"/>
        </w:rPr>
      </w:pPr>
    </w:p>
    <w:p w14:paraId="4ED6BFBB" w14:textId="77777777" w:rsidR="005A5C0E" w:rsidRPr="002A6E4B" w:rsidRDefault="005A5C0E" w:rsidP="00630240">
      <w:pPr>
        <w:spacing w:after="0" w:line="360" w:lineRule="auto"/>
        <w:rPr>
          <w:rFonts w:eastAsia="Times New Roman" w:cs="Tahoma"/>
          <w:bCs/>
          <w:iCs/>
          <w:lang w:eastAsia="es-ES"/>
        </w:rPr>
      </w:pPr>
      <w:r w:rsidRPr="002A6E4B">
        <w:rPr>
          <w:rFonts w:eastAsia="Times New Roman" w:cs="Tahoma"/>
          <w:bCs/>
          <w:iCs/>
          <w:lang w:eastAsia="es-ES"/>
        </w:rPr>
        <w:t>En ese orden de ideas, conforme al artículo 65 de la Ley de Contratación Pública del Estado de México y Municipios, la adjudicación de un procedimiento de adquisición y arrendamiento de bienes y contratación de servicios se realizará mediante la suscripción de un contrato, entre el Ayuntamiento y la persona a la cual haya ganado el procedimiento respectivo, dentro de los diez días hábiles siguientes a la notificación del fallo.</w:t>
      </w:r>
    </w:p>
    <w:p w14:paraId="1F865907" w14:textId="77777777" w:rsidR="005A5C0E" w:rsidRPr="002A6E4B" w:rsidRDefault="005A5C0E" w:rsidP="00630240">
      <w:pPr>
        <w:spacing w:after="0" w:line="360" w:lineRule="auto"/>
        <w:rPr>
          <w:rFonts w:eastAsia="Times New Roman" w:cs="Tahoma"/>
          <w:bCs/>
          <w:iCs/>
          <w:lang w:eastAsia="es-ES"/>
        </w:rPr>
      </w:pPr>
    </w:p>
    <w:p w14:paraId="00123132" w14:textId="77777777" w:rsidR="005A5C0E" w:rsidRPr="002A6E4B" w:rsidRDefault="005A5C0E" w:rsidP="00630240">
      <w:pPr>
        <w:spacing w:after="0" w:line="360" w:lineRule="auto"/>
        <w:rPr>
          <w:rFonts w:eastAsia="Times New Roman" w:cs="Tahoma"/>
          <w:bCs/>
          <w:iCs/>
          <w:lang w:eastAsia="es-ES"/>
        </w:rPr>
      </w:pPr>
      <w:r w:rsidRPr="002A6E4B">
        <w:rPr>
          <w:rFonts w:eastAsia="Times New Roman" w:cs="Tahoma"/>
          <w:bCs/>
          <w:iCs/>
          <w:lang w:eastAsia="es-ES"/>
        </w:rPr>
        <w:t>Ahora bien, conforme al artículo 120 del Reglamento de la Ley de Contratación Pública del Estado de México y Municipios, dichos actos jurídicos se conforman por diversos datos, entre los cuales, se encuentran los datos de identificación de las partes y del contrato, así como el importe total.</w:t>
      </w:r>
    </w:p>
    <w:p w14:paraId="54F601DC" w14:textId="77777777" w:rsidR="005A5C0E" w:rsidRPr="002A6E4B" w:rsidRDefault="005A5C0E" w:rsidP="00630240">
      <w:pPr>
        <w:spacing w:after="0" w:line="360" w:lineRule="auto"/>
        <w:rPr>
          <w:rFonts w:eastAsia="Times New Roman" w:cs="Tahoma"/>
          <w:bCs/>
          <w:iCs/>
          <w:lang w:eastAsia="es-ES"/>
        </w:rPr>
      </w:pPr>
    </w:p>
    <w:p w14:paraId="7CB245B0" w14:textId="77777777" w:rsidR="005A5C0E" w:rsidRPr="002A6E4B" w:rsidRDefault="005A5C0E" w:rsidP="00630240">
      <w:pPr>
        <w:spacing w:after="0" w:line="360" w:lineRule="auto"/>
        <w:rPr>
          <w:rFonts w:eastAsia="Times New Roman" w:cs="Tahoma"/>
          <w:bCs/>
          <w:iCs/>
          <w:lang w:eastAsia="es-ES"/>
        </w:rPr>
      </w:pPr>
      <w:r w:rsidRPr="002A6E4B">
        <w:rPr>
          <w:rFonts w:eastAsia="Times New Roman" w:cs="Tahoma"/>
          <w:bCs/>
          <w:iCs/>
          <w:lang w:eastAsia="es-ES"/>
        </w:rPr>
        <w:t xml:space="preserve">Así mismo, el artículo 92 fracción XXIX, de la Ley de Transparencia y Acceso a la Información Pública del Estado de México y Municipios, precisa que es información que es pública de oficio, la información sobre los procesos y resultados sobre procedimientos de adjudicación directa, invitación restringida y licitación de cualquier naturaleza, que incluye la versión pública del expediente respectivo y de los contratos celebrados. </w:t>
      </w:r>
    </w:p>
    <w:p w14:paraId="5E286693" w14:textId="77777777" w:rsidR="005A5C0E" w:rsidRPr="002A6E4B" w:rsidRDefault="005A5C0E" w:rsidP="00630240">
      <w:pPr>
        <w:spacing w:after="0" w:line="360" w:lineRule="auto"/>
        <w:rPr>
          <w:rFonts w:eastAsia="Times New Roman" w:cs="Tahoma"/>
          <w:bCs/>
          <w:iCs/>
          <w:lang w:eastAsia="es-ES"/>
        </w:rPr>
      </w:pPr>
    </w:p>
    <w:p w14:paraId="4EF3F622" w14:textId="77777777" w:rsidR="005A5C0E" w:rsidRPr="002A6E4B" w:rsidRDefault="005A5C0E" w:rsidP="00630240">
      <w:pPr>
        <w:spacing w:after="0" w:line="360" w:lineRule="auto"/>
        <w:rPr>
          <w:rFonts w:eastAsia="Times New Roman" w:cs="Tahoma"/>
          <w:bCs/>
          <w:iCs/>
          <w:lang w:eastAsia="es-ES"/>
        </w:rPr>
      </w:pPr>
      <w:r w:rsidRPr="002A6E4B">
        <w:rPr>
          <w:rFonts w:eastAsia="Times New Roman" w:cs="Tahoma"/>
          <w:bCs/>
          <w:iCs/>
          <w:lang w:eastAsia="es-ES"/>
        </w:rPr>
        <w:t xml:space="preserve">En ese orden de ideas, por lo que hace al monto erogado, el artículo 4°, fracción XVIII, de la Ley General de Contabilidad Gubernamental, establece que la información financiera consiste en información presupuestaria y contable que se expresa en unidades monetarias las transacciones </w:t>
      </w:r>
      <w:r w:rsidRPr="002A6E4B">
        <w:rPr>
          <w:rFonts w:eastAsia="Times New Roman" w:cs="Tahoma"/>
          <w:bCs/>
          <w:iCs/>
          <w:lang w:eastAsia="es-ES"/>
        </w:rPr>
        <w:lastRenderedPageBreak/>
        <w:t xml:space="preserve">que realiza un ente público y los eventos económicos identificables y cuantificable la cual puede representarse por reportes, informes, estados y notas que expresan su situación financiera, los resultados de su operación y los cambios en su patrimonio. </w:t>
      </w:r>
    </w:p>
    <w:p w14:paraId="0036634D" w14:textId="77777777" w:rsidR="005A5C0E" w:rsidRPr="002A6E4B" w:rsidRDefault="005A5C0E" w:rsidP="00630240">
      <w:pPr>
        <w:spacing w:after="0" w:line="360" w:lineRule="auto"/>
        <w:rPr>
          <w:rFonts w:eastAsia="Times New Roman" w:cs="Tahoma"/>
          <w:bCs/>
          <w:iCs/>
          <w:lang w:eastAsia="es-ES"/>
        </w:rPr>
      </w:pPr>
    </w:p>
    <w:p w14:paraId="418C387F" w14:textId="77777777" w:rsidR="005A5C0E" w:rsidRPr="002A6E4B" w:rsidRDefault="005A5C0E" w:rsidP="00630240">
      <w:pPr>
        <w:spacing w:after="0" w:line="360" w:lineRule="auto"/>
        <w:rPr>
          <w:rFonts w:eastAsia="Times New Roman" w:cs="Tahoma"/>
          <w:bCs/>
          <w:iCs/>
          <w:lang w:eastAsia="es-ES"/>
        </w:rPr>
      </w:pPr>
      <w:r w:rsidRPr="002A6E4B">
        <w:rPr>
          <w:rFonts w:eastAsia="Times New Roman" w:cs="Tahoma"/>
          <w:bCs/>
          <w:iCs/>
          <w:lang w:eastAsia="es-ES"/>
        </w:rPr>
        <w:t>En esa misma tesitura, los artículos 16, 18, 19, fracción V, y 34 de la Ley General en comento, estableen que los entes públicos deben contar con un sistema de contabilidad gubernamental en el cual se registrarán operaciones presupuestarias y contables derivadas de la gestión pública, así como otros flujos económicos, los cuales serán expresados en términos monetarios. Dichos registros contables se llevarán con base acumulativa, por lo que contabilización de las transacciones de gasto se hará conforme a la fecha de su realización, independientemente de la de su pago, y la del ingreso se registrará cuando exista jurídicamente el derecho de cobro.</w:t>
      </w:r>
    </w:p>
    <w:p w14:paraId="3B602A78" w14:textId="77777777" w:rsidR="005A5C0E" w:rsidRPr="002A6E4B" w:rsidRDefault="005A5C0E" w:rsidP="00630240">
      <w:pPr>
        <w:spacing w:after="0" w:line="360" w:lineRule="auto"/>
        <w:rPr>
          <w:rFonts w:eastAsia="Times New Roman" w:cs="Tahoma"/>
          <w:bCs/>
          <w:iCs/>
          <w:lang w:eastAsia="es-ES"/>
        </w:rPr>
      </w:pPr>
    </w:p>
    <w:p w14:paraId="734A06A5" w14:textId="77777777" w:rsidR="005A5C0E" w:rsidRPr="002A6E4B" w:rsidRDefault="005A5C0E" w:rsidP="00630240">
      <w:pPr>
        <w:spacing w:after="0" w:line="360" w:lineRule="auto"/>
        <w:rPr>
          <w:rFonts w:eastAsia="Times New Roman" w:cs="Tahoma"/>
          <w:bCs/>
          <w:iCs/>
          <w:lang w:eastAsia="es-ES"/>
        </w:rPr>
      </w:pPr>
      <w:r w:rsidRPr="002A6E4B">
        <w:rPr>
          <w:rFonts w:eastAsia="Times New Roman" w:cs="Tahoma"/>
          <w:bCs/>
          <w:iCs/>
          <w:lang w:eastAsia="es-ES"/>
        </w:rPr>
        <w:t>En ese contexto, la Guía técnica 05 “La contabilidad y la cuenta pública municipal”, emitida por el Instituto Nacional de Administración Pública, define a la contabilidad municipal como la técnica que permite registrar en forma ordenada, completa y detallada de los ingresos y gastos, con el fin de poder determinar en cualquier momento la situación financiera de la hacienda pública municipal.</w:t>
      </w:r>
    </w:p>
    <w:p w14:paraId="79EDEBF6" w14:textId="77777777" w:rsidR="005A5C0E" w:rsidRPr="002A6E4B" w:rsidRDefault="005A5C0E" w:rsidP="00630240">
      <w:pPr>
        <w:spacing w:after="0" w:line="360" w:lineRule="auto"/>
        <w:rPr>
          <w:rFonts w:eastAsia="Times New Roman" w:cs="Tahoma"/>
          <w:bCs/>
          <w:iCs/>
          <w:lang w:eastAsia="es-ES"/>
        </w:rPr>
      </w:pPr>
    </w:p>
    <w:p w14:paraId="37823EAB" w14:textId="77777777" w:rsidR="005A5C0E" w:rsidRPr="002A6E4B" w:rsidRDefault="005A5C0E" w:rsidP="00630240">
      <w:pPr>
        <w:spacing w:after="0" w:line="360" w:lineRule="auto"/>
        <w:rPr>
          <w:rFonts w:eastAsia="Times New Roman" w:cs="Tahoma"/>
          <w:bCs/>
          <w:iCs/>
          <w:lang w:eastAsia="es-ES"/>
        </w:rPr>
      </w:pPr>
      <w:r w:rsidRPr="002A6E4B">
        <w:rPr>
          <w:rFonts w:eastAsia="Times New Roman" w:cs="Tahoma"/>
          <w:bCs/>
          <w:iCs/>
          <w:lang w:eastAsia="es-ES"/>
        </w:rPr>
        <w:t>De este modo, de acuerdo a la naturaleza de información solicitada, resulta necesario traer a colación, la Resolución Miscelánea Fiscal para el 2025, establece que la factura es lo mismo, que un Comprobante Fiscal Digital por Internet, por lo que, se puede considerar como el documento que comprueba la realización de una transacción comercial, entre un comprador y un vendedor, mediante el cual, el primero queda obligado a realizar un pago, mientras que el segundo, a entregar o brindar un producto o servicio.</w:t>
      </w:r>
    </w:p>
    <w:p w14:paraId="1AAAFB2B" w14:textId="77777777" w:rsidR="005A5C0E" w:rsidRPr="002A6E4B" w:rsidRDefault="005A5C0E" w:rsidP="00630240">
      <w:pPr>
        <w:spacing w:after="0" w:line="360" w:lineRule="auto"/>
        <w:rPr>
          <w:rFonts w:eastAsia="Times New Roman" w:cs="Tahoma"/>
          <w:bCs/>
          <w:iCs/>
          <w:lang w:eastAsia="es-ES"/>
        </w:rPr>
      </w:pPr>
    </w:p>
    <w:p w14:paraId="2C725A51" w14:textId="77777777" w:rsidR="005A5C0E" w:rsidRPr="002A6E4B" w:rsidRDefault="005A5C0E" w:rsidP="00630240">
      <w:pPr>
        <w:spacing w:after="0" w:line="360" w:lineRule="auto"/>
        <w:rPr>
          <w:rFonts w:eastAsia="Times New Roman" w:cs="Tahoma"/>
          <w:bCs/>
          <w:iCs/>
          <w:lang w:eastAsia="es-ES"/>
        </w:rPr>
      </w:pPr>
      <w:r w:rsidRPr="002A6E4B">
        <w:rPr>
          <w:rFonts w:eastAsia="Times New Roman" w:cs="Tahoma"/>
          <w:bCs/>
          <w:iCs/>
          <w:lang w:eastAsia="es-ES"/>
        </w:rPr>
        <w:t xml:space="preserve">En ese orden de ideas, los Lineamientos para la Integración, Presentación y Envió de los Informes Trimestrales Municipales del ejercicio fiscal dos mil veinticinco, entre los formatos que </w:t>
      </w:r>
      <w:r w:rsidRPr="002A6E4B">
        <w:rPr>
          <w:rFonts w:eastAsia="Times New Roman" w:cs="Tahoma"/>
          <w:bCs/>
          <w:iCs/>
          <w:lang w:eastAsia="es-ES"/>
        </w:rPr>
        <w:lastRenderedPageBreak/>
        <w:t>maneja en el Módulo 1, se advierte que se encuentran Póliza de Egresos y Póliza Cheque, con los documentos comprobatorios, mismos que serán entregados al Órgano Superior de Fiscalización del Estado de México. Además, se precisa que dichos documentos deberán contener las imágenes de la documentación comprobatoria y justificativa de los egresos y de las respectivas pólizas, los cuales incluyen los Comprobantes Fiscales Digitales por Internet, facturas o recibos.</w:t>
      </w:r>
    </w:p>
    <w:p w14:paraId="269BECF8" w14:textId="77777777" w:rsidR="00630240" w:rsidRPr="002A6E4B" w:rsidRDefault="00630240" w:rsidP="00630240">
      <w:pPr>
        <w:spacing w:after="0" w:line="360" w:lineRule="auto"/>
        <w:rPr>
          <w:rFonts w:eastAsia="Times New Roman" w:cs="Tahoma"/>
          <w:bCs/>
          <w:iCs/>
          <w:lang w:eastAsia="es-ES"/>
        </w:rPr>
      </w:pPr>
    </w:p>
    <w:p w14:paraId="54B98A8F" w14:textId="77777777" w:rsidR="00630240" w:rsidRPr="002A6E4B" w:rsidRDefault="00630240" w:rsidP="00630240">
      <w:pPr>
        <w:spacing w:after="0" w:line="360" w:lineRule="auto"/>
        <w:contextualSpacing/>
        <w:rPr>
          <w:rFonts w:eastAsia="Calibri" w:cs="Tahoma"/>
          <w:iCs/>
          <w:lang w:val="es-ES" w:eastAsia="es-ES_tradnl"/>
        </w:rPr>
      </w:pPr>
      <w:r w:rsidRPr="002A6E4B">
        <w:rPr>
          <w:rFonts w:eastAsia="Calibri" w:cs="Tahoma"/>
          <w:iCs/>
          <w:lang w:val="es-ES" w:eastAsia="es-ES_tradnl"/>
        </w:rPr>
        <w:t>Debemos señalar que por su naturaleza, es un documento de índole fiscal, detallado en sus partes, conforme al artículo 29-A del Código Fiscal de la Federación, que regula las partes que deben tener los comprobantes fiscales y que otorga los elementos mínimos para definir a la factura como un documento fiscal emitido por un proveedor autorizado, que sirve para registrar y comprobar una operación de compraventa de bienes o prestación de servicios, detallando el concepto, monto, impuestos y datos del emisor y receptor.</w:t>
      </w:r>
    </w:p>
    <w:p w14:paraId="6D057F11" w14:textId="77777777" w:rsidR="00630240" w:rsidRPr="002A6E4B" w:rsidRDefault="00630240" w:rsidP="00630240">
      <w:pPr>
        <w:spacing w:after="0" w:line="360" w:lineRule="auto"/>
        <w:contextualSpacing/>
        <w:rPr>
          <w:rFonts w:eastAsia="Calibri" w:cs="Tahoma"/>
          <w:iCs/>
          <w:lang w:val="es-ES" w:eastAsia="es-ES_tradnl"/>
        </w:rPr>
      </w:pPr>
    </w:p>
    <w:p w14:paraId="06E89754" w14:textId="77777777" w:rsidR="00630240" w:rsidRPr="002A6E4B" w:rsidRDefault="00630240" w:rsidP="00630240">
      <w:pPr>
        <w:spacing w:after="0" w:line="360" w:lineRule="auto"/>
        <w:contextualSpacing/>
        <w:rPr>
          <w:rFonts w:eastAsia="Calibri" w:cs="Tahoma"/>
          <w:iCs/>
          <w:lang w:val="es-ES" w:eastAsia="es-ES_tradnl"/>
        </w:rPr>
      </w:pPr>
      <w:r w:rsidRPr="002A6E4B">
        <w:rPr>
          <w:rFonts w:eastAsia="Calibri" w:cs="Tahoma"/>
          <w:iCs/>
          <w:lang w:val="es-ES" w:eastAsia="es-ES_tradnl"/>
        </w:rPr>
        <w:t>En el caso del gasto público municipal, la factura (o CFDI) es un requisito obligatorio para justificar una erogación, pero por sí sola no demuestra que el bien o servicio fue efectivamente recibido o realizado. Por ello, debe ir acompañada de otras pruebas (como contratos, actas, fotografías o entregas-recepción) para que el gasto sea válido ante la auditoría.</w:t>
      </w:r>
    </w:p>
    <w:p w14:paraId="24023793" w14:textId="77777777" w:rsidR="00630240" w:rsidRPr="002A6E4B" w:rsidRDefault="00630240" w:rsidP="00630240">
      <w:pPr>
        <w:spacing w:after="0" w:line="360" w:lineRule="auto"/>
        <w:contextualSpacing/>
        <w:rPr>
          <w:rFonts w:eastAsia="Calibri" w:cs="Tahoma"/>
          <w:iCs/>
          <w:lang w:val="es-ES" w:eastAsia="es-ES_tradnl"/>
        </w:rPr>
      </w:pPr>
    </w:p>
    <w:p w14:paraId="041AD5E0" w14:textId="77777777" w:rsidR="00630240" w:rsidRPr="002A6E4B" w:rsidRDefault="00630240" w:rsidP="00630240">
      <w:pPr>
        <w:spacing w:after="0" w:line="360" w:lineRule="auto"/>
        <w:contextualSpacing/>
        <w:rPr>
          <w:rFonts w:eastAsia="Calibri" w:cs="Tahoma"/>
          <w:iCs/>
          <w:lang w:val="es-ES" w:eastAsia="es-ES_tradnl"/>
        </w:rPr>
      </w:pPr>
      <w:r w:rsidRPr="002A6E4B">
        <w:rPr>
          <w:rFonts w:eastAsia="Calibri" w:cs="Tahoma"/>
          <w:iCs/>
          <w:lang w:val="es-ES" w:eastAsia="es-ES_tradnl"/>
        </w:rPr>
        <w:t>Al respecto, incluso el propio Sujeto Obligado, ya manifestó contar con la información, que está en resguardo de la Tesorería Municipal, por lo que de manera expresa, aceptó contar con la misma, por lo que las mismas deberán ser entregadas, con la precisión de que toda vez que no se conoce el contenido de las mismas, de ser procedente se deberán entregar en versión pública.</w:t>
      </w:r>
    </w:p>
    <w:p w14:paraId="148BB331" w14:textId="77777777" w:rsidR="00630240" w:rsidRPr="002A6E4B" w:rsidRDefault="00630240" w:rsidP="00630240">
      <w:pPr>
        <w:spacing w:after="0" w:line="360" w:lineRule="auto"/>
        <w:contextualSpacing/>
      </w:pPr>
    </w:p>
    <w:p w14:paraId="4E6616D9" w14:textId="77777777" w:rsidR="00630240" w:rsidRPr="002A6E4B" w:rsidRDefault="00630240" w:rsidP="00630240">
      <w:pPr>
        <w:spacing w:after="0" w:line="360" w:lineRule="auto"/>
        <w:ind w:right="-28"/>
        <w:contextualSpacing/>
        <w:rPr>
          <w:rFonts w:eastAsia="Times New Roman" w:cs="Times New Roman"/>
          <w:color w:val="auto"/>
          <w:lang w:eastAsia="es-ES"/>
        </w:rPr>
      </w:pPr>
      <w:r w:rsidRPr="002A6E4B">
        <w:rPr>
          <w:rFonts w:eastAsia="Times New Roman" w:cs="Times New Roman"/>
          <w:color w:val="auto"/>
          <w:lang w:eastAsia="es-ES"/>
        </w:rPr>
        <w:t xml:space="preserve">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w:t>
      </w:r>
      <w:r w:rsidRPr="002A6E4B">
        <w:rPr>
          <w:rFonts w:eastAsia="Times New Roman" w:cs="Times New Roman"/>
          <w:color w:val="auto"/>
          <w:lang w:eastAsia="es-ES"/>
        </w:rPr>
        <w:lastRenderedPageBreak/>
        <w:t>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3D875794" w14:textId="77777777" w:rsidR="00630240" w:rsidRPr="002A6E4B" w:rsidRDefault="00630240" w:rsidP="00630240">
      <w:pPr>
        <w:spacing w:after="0" w:line="360" w:lineRule="auto"/>
        <w:ind w:right="-28"/>
        <w:contextualSpacing/>
        <w:rPr>
          <w:rFonts w:eastAsia="Times New Roman" w:cs="Times New Roman"/>
          <w:color w:val="auto"/>
          <w:lang w:eastAsia="es-ES"/>
        </w:rPr>
      </w:pPr>
    </w:p>
    <w:p w14:paraId="0C378CF4" w14:textId="77777777" w:rsidR="00630240" w:rsidRPr="002A6E4B" w:rsidRDefault="00630240" w:rsidP="00630240">
      <w:pPr>
        <w:spacing w:after="0" w:line="360" w:lineRule="auto"/>
        <w:ind w:right="-28"/>
        <w:contextualSpacing/>
        <w:rPr>
          <w:rFonts w:eastAsia="Times New Roman" w:cs="Times New Roman"/>
          <w:color w:val="auto"/>
          <w:lang w:eastAsia="es-ES"/>
        </w:rPr>
      </w:pPr>
      <w:r w:rsidRPr="002A6E4B">
        <w:rPr>
          <w:rFonts w:eastAsia="Times New Roman" w:cs="Times New Roman"/>
          <w:color w:val="auto"/>
          <w:lang w:eastAsia="es-ES"/>
        </w:rPr>
        <w:t>En términos de lo expuesto, la documentación y aquellos datos que se consideren confidenciales, serán una limitante del derecho de acceso a la información, siempre y cuando:</w:t>
      </w:r>
    </w:p>
    <w:p w14:paraId="4A272B5B" w14:textId="77777777" w:rsidR="00630240" w:rsidRPr="002A6E4B" w:rsidRDefault="00630240" w:rsidP="00630240">
      <w:pPr>
        <w:spacing w:after="0" w:line="360" w:lineRule="auto"/>
        <w:ind w:right="-28"/>
        <w:contextualSpacing/>
        <w:rPr>
          <w:rFonts w:eastAsia="Times New Roman" w:cs="Times New Roman"/>
          <w:color w:val="auto"/>
          <w:lang w:eastAsia="es-ES"/>
        </w:rPr>
      </w:pPr>
    </w:p>
    <w:p w14:paraId="5BB71D2C" w14:textId="77777777" w:rsidR="00630240" w:rsidRPr="002A6E4B" w:rsidRDefault="00630240" w:rsidP="00630240">
      <w:pPr>
        <w:pStyle w:val="Prrafodelista"/>
        <w:numPr>
          <w:ilvl w:val="0"/>
          <w:numId w:val="23"/>
        </w:numPr>
        <w:spacing w:line="360" w:lineRule="auto"/>
        <w:ind w:right="-28"/>
        <w:rPr>
          <w:color w:val="auto"/>
        </w:rPr>
      </w:pPr>
      <w:r w:rsidRPr="002A6E4B">
        <w:rPr>
          <w:color w:val="auto"/>
        </w:rPr>
        <w:t xml:space="preserve">Se trate de datos personales o información privada; esto es, información concerniente a una persona física o jurídico colectiva y que esta sea identificada o identificable. </w:t>
      </w:r>
    </w:p>
    <w:p w14:paraId="1AE6F608" w14:textId="77777777" w:rsidR="00630240" w:rsidRPr="002A6E4B" w:rsidRDefault="00630240" w:rsidP="00630240">
      <w:pPr>
        <w:pStyle w:val="Prrafodelista"/>
        <w:numPr>
          <w:ilvl w:val="0"/>
          <w:numId w:val="23"/>
        </w:numPr>
        <w:spacing w:line="360" w:lineRule="auto"/>
        <w:ind w:right="-28"/>
        <w:rPr>
          <w:color w:val="auto"/>
        </w:rPr>
      </w:pPr>
      <w:r w:rsidRPr="002A6E4B">
        <w:rPr>
          <w:color w:val="auto"/>
        </w:rPr>
        <w:t xml:space="preserve">Para la difusión de los datos, se requiera el consentimiento del titular. </w:t>
      </w:r>
    </w:p>
    <w:p w14:paraId="29794A9A" w14:textId="77777777" w:rsidR="00630240" w:rsidRPr="002A6E4B" w:rsidRDefault="00630240" w:rsidP="00630240">
      <w:pPr>
        <w:spacing w:after="0" w:line="360" w:lineRule="auto"/>
        <w:ind w:right="-28"/>
        <w:contextualSpacing/>
        <w:rPr>
          <w:rFonts w:eastAsia="Times New Roman" w:cs="Times New Roman"/>
          <w:color w:val="auto"/>
          <w:lang w:eastAsia="es-ES"/>
        </w:rPr>
      </w:pPr>
    </w:p>
    <w:p w14:paraId="2D2FCA8A" w14:textId="77777777" w:rsidR="00630240" w:rsidRPr="002A6E4B" w:rsidRDefault="00630240" w:rsidP="00630240">
      <w:pPr>
        <w:spacing w:after="0" w:line="360" w:lineRule="auto"/>
        <w:ind w:right="-28"/>
        <w:contextualSpacing/>
        <w:rPr>
          <w:rFonts w:eastAsia="Times New Roman" w:cs="Times New Roman"/>
          <w:color w:val="auto"/>
          <w:lang w:eastAsia="es-ES"/>
        </w:rPr>
      </w:pPr>
      <w:r w:rsidRPr="002A6E4B">
        <w:rPr>
          <w:rFonts w:eastAsia="Times New Roman" w:cs="Times New Roman"/>
          <w:color w:val="auto"/>
          <w:lang w:eastAsia="es-E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1D79ECBF" w14:textId="77777777" w:rsidR="00630240" w:rsidRPr="002A6E4B" w:rsidRDefault="00630240" w:rsidP="00630240">
      <w:pPr>
        <w:spacing w:after="0" w:line="360" w:lineRule="auto"/>
        <w:ind w:right="-28"/>
        <w:contextualSpacing/>
        <w:rPr>
          <w:rFonts w:eastAsia="Times New Roman" w:cs="Times New Roman"/>
          <w:color w:val="auto"/>
          <w:lang w:eastAsia="es-ES"/>
        </w:rPr>
      </w:pPr>
    </w:p>
    <w:p w14:paraId="697C2257" w14:textId="77777777" w:rsidR="00630240" w:rsidRPr="002A6E4B" w:rsidRDefault="00630240" w:rsidP="00630240">
      <w:pPr>
        <w:spacing w:after="0" w:line="360" w:lineRule="auto"/>
        <w:ind w:right="-28"/>
        <w:contextualSpacing/>
        <w:rPr>
          <w:rFonts w:eastAsia="Times New Roman" w:cs="Times New Roman"/>
          <w:color w:val="auto"/>
          <w:lang w:eastAsia="es-ES"/>
        </w:rPr>
      </w:pPr>
      <w:r w:rsidRPr="002A6E4B">
        <w:rPr>
          <w:rFonts w:eastAsia="Times New Roman" w:cs="Times New Roman"/>
          <w:color w:val="auto"/>
          <w:lang w:eastAsia="es-ES"/>
        </w:rPr>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14:paraId="575B9F40" w14:textId="77777777" w:rsidR="00630240" w:rsidRPr="002A6E4B" w:rsidRDefault="00630240" w:rsidP="00630240">
      <w:pPr>
        <w:spacing w:after="0" w:line="360" w:lineRule="auto"/>
        <w:rPr>
          <w:rFonts w:eastAsia="Times New Roman" w:cs="Tahoma"/>
          <w:bCs/>
          <w:iCs/>
          <w:lang w:eastAsia="es-ES"/>
        </w:rPr>
      </w:pPr>
    </w:p>
    <w:p w14:paraId="4217A805" w14:textId="77777777" w:rsidR="00630240" w:rsidRPr="002A6E4B" w:rsidRDefault="00630240" w:rsidP="00630240">
      <w:pPr>
        <w:numPr>
          <w:ilvl w:val="0"/>
          <w:numId w:val="26"/>
        </w:numPr>
        <w:spacing w:after="0" w:line="360" w:lineRule="auto"/>
        <w:contextualSpacing/>
        <w:rPr>
          <w:rFonts w:eastAsia="Times New Roman" w:cs="Tahoma"/>
          <w:b/>
          <w:iCs/>
          <w:color w:val="auto"/>
          <w:szCs w:val="24"/>
          <w:lang w:val="es-ES" w:eastAsia="es-ES"/>
        </w:rPr>
      </w:pPr>
      <w:r w:rsidRPr="002A6E4B">
        <w:rPr>
          <w:rFonts w:eastAsia="Calibri" w:cs="Times New Roman"/>
          <w:b/>
          <w:bCs/>
          <w:szCs w:val="24"/>
          <w:lang w:eastAsia="es-ES"/>
        </w:rPr>
        <w:lastRenderedPageBreak/>
        <w:t>Registro Federal de Contribuyentes de proveedor.</w:t>
      </w:r>
    </w:p>
    <w:p w14:paraId="2095A315" w14:textId="77777777" w:rsidR="00630240" w:rsidRPr="002A6E4B" w:rsidRDefault="00630240" w:rsidP="00630240">
      <w:pPr>
        <w:spacing w:after="0" w:line="360" w:lineRule="auto"/>
        <w:jc w:val="left"/>
        <w:rPr>
          <w:rFonts w:eastAsia="Calibri" w:cs="Tahoma"/>
          <w:b/>
          <w:bCs/>
          <w:iCs/>
          <w:color w:val="auto"/>
          <w:lang w:val="es-ES" w:eastAsia="en-US"/>
        </w:rPr>
      </w:pPr>
    </w:p>
    <w:p w14:paraId="279E193F" w14:textId="77777777" w:rsidR="00630240" w:rsidRPr="002A6E4B" w:rsidRDefault="00630240" w:rsidP="00630240">
      <w:pPr>
        <w:spacing w:after="0" w:line="360" w:lineRule="auto"/>
        <w:jc w:val="left"/>
        <w:rPr>
          <w:rFonts w:eastAsia="Calibri" w:cs="Tahoma"/>
          <w:b/>
          <w:bCs/>
          <w:color w:val="auto"/>
          <w:lang w:val="es-ES_tradnl" w:eastAsia="en-US"/>
        </w:rPr>
      </w:pPr>
      <w:r w:rsidRPr="002A6E4B">
        <w:rPr>
          <w:rFonts w:eastAsia="Calibri" w:cs="Tahoma"/>
          <w:b/>
          <w:bCs/>
          <w:color w:val="auto"/>
          <w:lang w:val="es-ES_tradnl" w:eastAsia="en-US"/>
        </w:rPr>
        <w:t>Persona física:</w:t>
      </w:r>
    </w:p>
    <w:p w14:paraId="773B5DB3" w14:textId="77777777" w:rsidR="00630240" w:rsidRPr="002A6E4B" w:rsidRDefault="00630240" w:rsidP="00630240">
      <w:pPr>
        <w:spacing w:after="0" w:line="360" w:lineRule="auto"/>
        <w:jc w:val="left"/>
        <w:rPr>
          <w:rFonts w:eastAsia="Calibri" w:cs="Tahoma"/>
          <w:b/>
          <w:bCs/>
          <w:color w:val="auto"/>
          <w:lang w:val="es-ES_tradnl" w:eastAsia="en-US"/>
        </w:rPr>
      </w:pPr>
    </w:p>
    <w:p w14:paraId="3B8697BC" w14:textId="77777777" w:rsidR="00630240" w:rsidRPr="002A6E4B" w:rsidRDefault="00630240" w:rsidP="00630240">
      <w:pPr>
        <w:spacing w:after="0" w:line="360" w:lineRule="auto"/>
        <w:rPr>
          <w:rFonts w:eastAsia="Times New Roman" w:cs="Tahoma"/>
          <w:color w:val="auto"/>
        </w:rPr>
      </w:pPr>
      <w:r w:rsidRPr="002A6E4B">
        <w:rPr>
          <w:rFonts w:eastAsia="Times New Roman" w:cs="Tahoma"/>
          <w:color w:val="auto"/>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3577DCF1" w14:textId="77777777" w:rsidR="00630240" w:rsidRPr="002A6E4B" w:rsidRDefault="00630240" w:rsidP="00630240">
      <w:pPr>
        <w:spacing w:after="0" w:line="360" w:lineRule="auto"/>
        <w:jc w:val="left"/>
        <w:rPr>
          <w:rFonts w:eastAsia="Calibri" w:cs="Tahoma"/>
          <w:b/>
          <w:bCs/>
          <w:color w:val="auto"/>
          <w:lang w:val="es-ES_tradnl" w:eastAsia="en-US"/>
        </w:rPr>
      </w:pPr>
    </w:p>
    <w:p w14:paraId="5263D4A1" w14:textId="77777777" w:rsidR="00630240" w:rsidRPr="002A6E4B" w:rsidRDefault="00630240" w:rsidP="00630240">
      <w:pPr>
        <w:spacing w:after="0" w:line="360" w:lineRule="auto"/>
        <w:rPr>
          <w:rFonts w:eastAsia="Times New Roman" w:cs="Tahoma"/>
          <w:color w:val="auto"/>
        </w:rPr>
      </w:pPr>
      <w:r w:rsidRPr="002A6E4B">
        <w:rPr>
          <w:rFonts w:eastAsia="Times New Roman" w:cs="Tahoma"/>
          <w:color w:val="auto"/>
        </w:rPr>
        <w:t>En ese orden de ideas,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5AE0FE7A" w14:textId="77777777" w:rsidR="00630240" w:rsidRPr="002A6E4B" w:rsidRDefault="00630240" w:rsidP="00630240">
      <w:pPr>
        <w:spacing w:after="0" w:line="360" w:lineRule="auto"/>
        <w:rPr>
          <w:rFonts w:eastAsia="Times New Roman" w:cs="Tahoma"/>
          <w:color w:val="auto"/>
        </w:rPr>
      </w:pPr>
    </w:p>
    <w:p w14:paraId="048F6DEF" w14:textId="77777777" w:rsidR="00630240" w:rsidRPr="002A6E4B" w:rsidRDefault="00630240" w:rsidP="00630240">
      <w:pPr>
        <w:spacing w:after="0" w:line="360" w:lineRule="auto"/>
        <w:rPr>
          <w:rFonts w:eastAsia="Calibri" w:cs="Tahoma"/>
          <w:bCs/>
          <w:color w:val="auto"/>
        </w:rPr>
      </w:pPr>
      <w:r w:rsidRPr="002A6E4B">
        <w:rPr>
          <w:rFonts w:eastAsia="Times New Roman" w:cs="Tahoma"/>
          <w:color w:val="auto"/>
        </w:rPr>
        <w:t>Conforme a lo expuesto, el Registro Federal de Contribuyentes, es un dato personal, ya que hace a las personas físicas identificas e identificables, además de que las relaciona como contribuyentes de las autoridades fiscales. L</w:t>
      </w:r>
      <w:r w:rsidRPr="002A6E4B">
        <w:rPr>
          <w:rFonts w:eastAsia="Calibri" w:cs="Tahoma"/>
          <w:bCs/>
          <w:color w:val="auto"/>
        </w:rPr>
        <w:t xml:space="preserve">o anterior, resulta congruente con el </w:t>
      </w:r>
      <w:r w:rsidRPr="002A6E4B">
        <w:rPr>
          <w:rFonts w:eastAsia="Calibri" w:cs="Tahoma"/>
          <w:bCs/>
          <w:color w:val="auto"/>
          <w:lang w:val="es-ES" w:eastAsia="en-US"/>
        </w:rPr>
        <w:t xml:space="preserve">Criterio de Interpretación, de la Segunda Época, con número de registro </w:t>
      </w:r>
      <w:r w:rsidRPr="002A6E4B">
        <w:rPr>
          <w:rFonts w:eastAsia="Calibri" w:cs="Tahoma"/>
          <w:bCs/>
          <w:color w:val="auto"/>
          <w:lang w:eastAsia="en-US"/>
        </w:rPr>
        <w:t>SO/019/2017</w:t>
      </w:r>
      <w:r w:rsidRPr="002A6E4B">
        <w:rPr>
          <w:rFonts w:eastAsia="Calibri" w:cs="Tahoma"/>
          <w:bCs/>
          <w:color w:val="auto"/>
        </w:rPr>
        <w:t>, emitido por el Instituto Nacional de Transparencia, Acceso a la Información y Protección de Datos Personales, en el cual se señala lo siguiente:</w:t>
      </w:r>
    </w:p>
    <w:p w14:paraId="0D79149D" w14:textId="77777777" w:rsidR="00630240" w:rsidRPr="002A6E4B" w:rsidRDefault="00630240" w:rsidP="00630240">
      <w:pPr>
        <w:spacing w:after="0" w:line="360" w:lineRule="auto"/>
        <w:rPr>
          <w:rFonts w:eastAsia="Times New Roman" w:cs="Tahoma"/>
          <w:color w:val="auto"/>
        </w:rPr>
      </w:pPr>
    </w:p>
    <w:p w14:paraId="791873A5" w14:textId="77777777" w:rsidR="00630240" w:rsidRPr="002A6E4B" w:rsidRDefault="00630240" w:rsidP="00630240">
      <w:pPr>
        <w:spacing w:after="0" w:line="360" w:lineRule="auto"/>
        <w:ind w:left="567" w:right="567"/>
        <w:contextualSpacing/>
        <w:rPr>
          <w:rFonts w:eastAsia="Times New Roman" w:cs="Tahoma"/>
          <w:i/>
          <w:color w:val="auto"/>
          <w:sz w:val="20"/>
          <w:szCs w:val="20"/>
          <w:lang w:eastAsia="es-ES"/>
        </w:rPr>
      </w:pPr>
      <w:r w:rsidRPr="002A6E4B">
        <w:rPr>
          <w:rFonts w:eastAsia="Times New Roman" w:cs="Tahoma"/>
          <w:b/>
          <w:i/>
          <w:color w:val="auto"/>
          <w:sz w:val="20"/>
          <w:szCs w:val="20"/>
          <w:lang w:eastAsia="es-ES"/>
        </w:rPr>
        <w:t>“Registro Federal de Contribuyentes (RFC) de personas físicas.</w:t>
      </w:r>
      <w:r w:rsidRPr="002A6E4B">
        <w:rPr>
          <w:rFonts w:eastAsia="Times New Roman" w:cs="Tahoma"/>
          <w:i/>
          <w:color w:val="auto"/>
          <w:sz w:val="20"/>
          <w:szCs w:val="20"/>
          <w:lang w:eastAsia="es-ES"/>
        </w:rPr>
        <w:t xml:space="preserve"> El RFC es una clave de carácter fiscal, única e irrepetible, que permite identificar al titular, su edad y fecha de nacimiento, por lo que es un dato personal de carácter confidencial.”</w:t>
      </w:r>
    </w:p>
    <w:p w14:paraId="3A196C04" w14:textId="77777777" w:rsidR="00630240" w:rsidRPr="002A6E4B" w:rsidRDefault="00630240" w:rsidP="00630240">
      <w:pPr>
        <w:spacing w:after="0" w:line="360" w:lineRule="auto"/>
        <w:ind w:left="567" w:right="567"/>
        <w:contextualSpacing/>
        <w:rPr>
          <w:rFonts w:eastAsia="Times New Roman" w:cs="Tahoma"/>
          <w:color w:val="auto"/>
          <w:lang w:eastAsia="es-ES"/>
        </w:rPr>
      </w:pPr>
    </w:p>
    <w:p w14:paraId="7C519EA8" w14:textId="77777777" w:rsidR="00630240" w:rsidRPr="002A6E4B" w:rsidRDefault="00630240" w:rsidP="00630240">
      <w:pPr>
        <w:spacing w:after="0" w:line="360" w:lineRule="auto"/>
        <w:ind w:right="-93"/>
        <w:rPr>
          <w:rFonts w:eastAsia="Calibri" w:cs="Tahoma"/>
          <w:bCs/>
          <w:color w:val="auto"/>
          <w:lang w:eastAsia="en-US"/>
        </w:rPr>
      </w:pPr>
      <w:r w:rsidRPr="002A6E4B">
        <w:rPr>
          <w:rFonts w:eastAsia="Calibri" w:cs="Tahoma"/>
          <w:bCs/>
          <w:color w:val="auto"/>
          <w:lang w:val="es-ES_tradnl" w:eastAsia="en-US"/>
        </w:rPr>
        <w:t xml:space="preserve">No obstante lo anterior, </w:t>
      </w:r>
      <w:r w:rsidRPr="002A6E4B">
        <w:rPr>
          <w:rFonts w:eastAsia="Calibri" w:cs="Tahoma"/>
          <w:bCs/>
          <w:color w:val="auto"/>
          <w:lang w:eastAsia="en-US"/>
        </w:rPr>
        <w:t xml:space="preserve">el proveedor de cualquier Sujeto Obligado de la Ley de la materia, sea una persona física, debe cumplir con los requisitos establecidos en los artículos 29 y 32 del Reglamento de la Ley de Contratación Pública del Estado de México y Municipios; es decir, para que los individuos puedan participar en actos de adquisición o de contratación de servicios que requieran las dependencias, organismos auxiliares y tribunales administrativos, así como los Gobiernos Municipales, deberán presentar, entre otras cosas, </w:t>
      </w:r>
      <w:r w:rsidRPr="002A6E4B">
        <w:rPr>
          <w:rFonts w:eastAsia="Calibri" w:cs="Tahoma"/>
          <w:b/>
          <w:bCs/>
          <w:color w:val="auto"/>
          <w:lang w:eastAsia="en-US"/>
        </w:rPr>
        <w:t>la cédula de identificación fiscal (Registro Federal de Contribuyentes);</w:t>
      </w:r>
      <w:r w:rsidRPr="002A6E4B">
        <w:rPr>
          <w:rFonts w:eastAsia="Calibri" w:cs="Tahoma"/>
          <w:bCs/>
          <w:color w:val="auto"/>
          <w:lang w:eastAsia="en-US"/>
        </w:rPr>
        <w:t xml:space="preserve"> por lo que la entrega de dicho dato permite verificar cumplimiento de esta disposición legal.</w:t>
      </w:r>
    </w:p>
    <w:p w14:paraId="62407EA0" w14:textId="77777777" w:rsidR="00630240" w:rsidRPr="002A6E4B" w:rsidRDefault="00630240" w:rsidP="00630240">
      <w:pPr>
        <w:spacing w:after="0" w:line="360" w:lineRule="auto"/>
        <w:ind w:right="-93"/>
        <w:rPr>
          <w:rFonts w:eastAsia="Calibri" w:cs="Tahoma"/>
          <w:bCs/>
          <w:color w:val="auto"/>
          <w:lang w:eastAsia="en-US"/>
        </w:rPr>
      </w:pPr>
    </w:p>
    <w:p w14:paraId="5F46BA08" w14:textId="77777777" w:rsidR="00630240" w:rsidRPr="002A6E4B" w:rsidRDefault="00630240" w:rsidP="00630240">
      <w:pPr>
        <w:spacing w:after="0" w:line="360" w:lineRule="auto"/>
        <w:ind w:right="-93"/>
        <w:rPr>
          <w:rFonts w:eastAsia="Calibri" w:cs="Tahoma"/>
          <w:b/>
          <w:bCs/>
          <w:color w:val="auto"/>
          <w:lang w:eastAsia="en-US"/>
        </w:rPr>
      </w:pPr>
      <w:r w:rsidRPr="002A6E4B">
        <w:rPr>
          <w:rFonts w:eastAsia="Calibri" w:cs="Tahoma"/>
          <w:bCs/>
          <w:color w:val="auto"/>
          <w:lang w:eastAsia="en-US"/>
        </w:rPr>
        <w:t xml:space="preserve">Por lo tanto, </w:t>
      </w:r>
      <w:r w:rsidRPr="002A6E4B">
        <w:rPr>
          <w:rFonts w:eastAsia="Calibri" w:cs="Tahoma"/>
          <w:b/>
          <w:bCs/>
          <w:color w:val="auto"/>
          <w:lang w:eastAsia="en-US"/>
        </w:rPr>
        <w:t>en el presente caso, si bien el Registro Federal de Contribuyentes de personas físicas es un dato personal, también lo es, que corresponde a un requisito indispensable para ser proveedor y poder llevar a cabo actividades comerciales con la Entidad</w:t>
      </w:r>
      <w:r w:rsidRPr="002A6E4B">
        <w:rPr>
          <w:rFonts w:eastAsia="Calibri" w:cs="Tahoma"/>
          <w:bCs/>
          <w:color w:val="auto"/>
          <w:lang w:eastAsia="en-US"/>
        </w:rPr>
        <w:t xml:space="preserve">, ya que, sin este, no se pueden realizar dichas acciones, </w:t>
      </w:r>
      <w:r w:rsidRPr="002A6E4B">
        <w:rPr>
          <w:rFonts w:eastAsia="Calibri" w:cs="Tahoma"/>
          <w:b/>
          <w:bCs/>
          <w:color w:val="auto"/>
          <w:lang w:eastAsia="en-US"/>
        </w:rPr>
        <w:t>por lo que su entrega es un elemento adicional que respalda la legalidad de los procesos adquisitivos.</w:t>
      </w:r>
    </w:p>
    <w:p w14:paraId="375BB30D" w14:textId="77777777" w:rsidR="00630240" w:rsidRPr="002A6E4B" w:rsidRDefault="00630240" w:rsidP="00630240">
      <w:pPr>
        <w:spacing w:after="0" w:line="360" w:lineRule="auto"/>
        <w:ind w:right="-93"/>
        <w:rPr>
          <w:rFonts w:eastAsia="Calibri" w:cs="Tahoma"/>
          <w:b/>
          <w:bCs/>
          <w:color w:val="auto"/>
          <w:lang w:eastAsia="en-US"/>
        </w:rPr>
      </w:pPr>
    </w:p>
    <w:p w14:paraId="53F0D403" w14:textId="77777777" w:rsidR="00630240" w:rsidRPr="002A6E4B" w:rsidRDefault="00630240" w:rsidP="00630240">
      <w:pPr>
        <w:spacing w:after="0" w:line="360" w:lineRule="auto"/>
        <w:ind w:right="-93"/>
        <w:rPr>
          <w:rFonts w:eastAsia="Calibri" w:cs="Tahoma"/>
          <w:bCs/>
          <w:color w:val="auto"/>
          <w:lang w:eastAsia="en-US"/>
        </w:rPr>
      </w:pPr>
      <w:r w:rsidRPr="002A6E4B">
        <w:rPr>
          <w:rFonts w:eastAsia="Calibri" w:cs="Tahoma"/>
          <w:bCs/>
          <w:color w:val="auto"/>
          <w:lang w:eastAsia="en-US"/>
        </w:rPr>
        <w:t xml:space="preserve">En ese contexto, entregar el Registro Federal de Contribuyentes aún de personas físicas cuando son proveedores de instituciones públicas, </w:t>
      </w:r>
      <w:r w:rsidRPr="002A6E4B">
        <w:rPr>
          <w:rFonts w:eastAsia="Calibri" w:cs="Tahoma"/>
          <w:b/>
          <w:bCs/>
          <w:color w:val="auto"/>
          <w:lang w:eastAsia="en-US"/>
        </w:rPr>
        <w:t>propiciaría la rendición de cuentas</w:t>
      </w:r>
      <w:r w:rsidRPr="002A6E4B">
        <w:rPr>
          <w:rFonts w:eastAsia="Calibri" w:cs="Tahoma"/>
          <w:bCs/>
          <w:color w:val="auto"/>
          <w:lang w:eastAsia="en-US"/>
        </w:rPr>
        <w:t>, al permitir verificar que se cumplió con uno de los requisitos necesarios conforme a la normatividad aplicable en materia de contrataciones, lo cual, transparenta el correcto ejercicio de recursos públicos por parte de los sujetos obligados, lo que es acorde con el principio de máxima publicidad.</w:t>
      </w:r>
    </w:p>
    <w:p w14:paraId="59024C35" w14:textId="77777777" w:rsidR="00630240" w:rsidRPr="002A6E4B" w:rsidRDefault="00630240" w:rsidP="00630240">
      <w:pPr>
        <w:spacing w:after="0" w:line="360" w:lineRule="auto"/>
        <w:ind w:right="-93"/>
        <w:rPr>
          <w:rFonts w:eastAsia="Calibri" w:cs="Tahoma"/>
          <w:bCs/>
          <w:color w:val="auto"/>
          <w:lang w:eastAsia="en-US"/>
        </w:rPr>
      </w:pPr>
    </w:p>
    <w:p w14:paraId="48327448" w14:textId="77777777" w:rsidR="00630240" w:rsidRPr="002A6E4B" w:rsidRDefault="00630240" w:rsidP="00630240">
      <w:pPr>
        <w:spacing w:after="0" w:line="360" w:lineRule="auto"/>
        <w:rPr>
          <w:rFonts w:eastAsia="Calibri" w:cs="Tahoma"/>
          <w:bCs/>
          <w:color w:val="auto"/>
        </w:rPr>
      </w:pPr>
      <w:r w:rsidRPr="002A6E4B">
        <w:rPr>
          <w:rFonts w:eastAsia="Calibri" w:cs="Tahoma"/>
          <w:bCs/>
          <w:color w:val="auto"/>
          <w:lang w:eastAsia="en-US"/>
        </w:rPr>
        <w:t xml:space="preserve">Lo anterior, se robustece con </w:t>
      </w:r>
      <w:r w:rsidRPr="002A6E4B">
        <w:rPr>
          <w:rFonts w:eastAsia="Calibri" w:cs="Tahoma"/>
          <w:bCs/>
          <w:color w:val="auto"/>
        </w:rPr>
        <w:t xml:space="preserve">el </w:t>
      </w:r>
      <w:r w:rsidRPr="002A6E4B">
        <w:rPr>
          <w:rFonts w:eastAsia="Calibri" w:cs="Tahoma"/>
          <w:bCs/>
          <w:color w:val="auto"/>
          <w:lang w:val="es-ES" w:eastAsia="en-US"/>
        </w:rPr>
        <w:t xml:space="preserve">Criterio de Interpretación, de la Segunda Época, con número de registro </w:t>
      </w:r>
      <w:r w:rsidRPr="002A6E4B">
        <w:rPr>
          <w:rFonts w:eastAsia="Calibri" w:cs="Tahoma"/>
          <w:bCs/>
          <w:color w:val="auto"/>
          <w:lang w:eastAsia="en-US"/>
        </w:rPr>
        <w:t>SO/004/2021</w:t>
      </w:r>
      <w:r w:rsidRPr="002A6E4B">
        <w:rPr>
          <w:rFonts w:eastAsia="Calibri" w:cs="Tahoma"/>
          <w:bCs/>
          <w:color w:val="auto"/>
        </w:rPr>
        <w:t>, emitido por el Instituto Nacional de Transparencia, Acceso a la Información y Protección de Datos Personales, en el cual se señala lo siguiente:</w:t>
      </w:r>
    </w:p>
    <w:p w14:paraId="52A3BEA1" w14:textId="77777777" w:rsidR="00630240" w:rsidRPr="002A6E4B" w:rsidRDefault="00630240" w:rsidP="00630240">
      <w:pPr>
        <w:spacing w:after="0" w:line="360" w:lineRule="auto"/>
        <w:rPr>
          <w:rFonts w:eastAsia="Calibri" w:cs="Tahoma"/>
          <w:bCs/>
          <w:color w:val="auto"/>
        </w:rPr>
      </w:pPr>
    </w:p>
    <w:p w14:paraId="6ED50379" w14:textId="77777777" w:rsidR="00630240" w:rsidRPr="002A6E4B" w:rsidRDefault="00630240" w:rsidP="00630240">
      <w:pPr>
        <w:spacing w:after="0" w:line="360" w:lineRule="auto"/>
        <w:ind w:left="567" w:right="567"/>
        <w:rPr>
          <w:rFonts w:eastAsia="Times New Roman" w:cs="Tahoma"/>
          <w:bCs/>
          <w:i/>
          <w:color w:val="auto"/>
          <w:sz w:val="20"/>
          <w:szCs w:val="20"/>
          <w:lang w:eastAsia="es-ES"/>
        </w:rPr>
      </w:pPr>
      <w:r w:rsidRPr="002A6E4B">
        <w:rPr>
          <w:rFonts w:eastAsia="Times New Roman" w:cs="Tahoma"/>
          <w:b/>
          <w:i/>
          <w:color w:val="auto"/>
          <w:sz w:val="20"/>
          <w:szCs w:val="20"/>
          <w:lang w:eastAsia="es-ES"/>
        </w:rPr>
        <w:lastRenderedPageBreak/>
        <w:t xml:space="preserve">“Registro Federal de Contribuyentes (RFC) de personas físicas proveedores o contratistas. </w:t>
      </w:r>
      <w:r w:rsidRPr="002A6E4B">
        <w:rPr>
          <w:rFonts w:eastAsia="Times New Roman" w:cs="Tahoma"/>
          <w:bCs/>
          <w:i/>
          <w:color w:val="auto"/>
          <w:sz w:val="20"/>
          <w:szCs w:val="20"/>
          <w:lang w:eastAsia="es-ES"/>
        </w:rPr>
        <w:t>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7CF322C1" w14:textId="77777777" w:rsidR="00630240" w:rsidRPr="002A6E4B" w:rsidRDefault="00630240" w:rsidP="00630240">
      <w:pPr>
        <w:spacing w:after="0" w:line="360" w:lineRule="auto"/>
        <w:ind w:right="-93"/>
        <w:rPr>
          <w:rFonts w:eastAsia="Calibri" w:cs="Tahoma"/>
          <w:bCs/>
          <w:color w:val="auto"/>
          <w:lang w:eastAsia="en-US"/>
        </w:rPr>
      </w:pPr>
    </w:p>
    <w:p w14:paraId="1689323D" w14:textId="77777777" w:rsidR="00630240" w:rsidRPr="002A6E4B" w:rsidRDefault="00630240" w:rsidP="00630240">
      <w:pPr>
        <w:spacing w:after="0" w:line="360" w:lineRule="auto"/>
        <w:rPr>
          <w:rFonts w:eastAsia="Times New Roman" w:cs="Times New Roman"/>
          <w:b/>
          <w:color w:val="auto"/>
          <w:u w:val="single"/>
          <w:lang w:eastAsia="es-ES"/>
        </w:rPr>
      </w:pPr>
      <w:r w:rsidRPr="002A6E4B">
        <w:rPr>
          <w:rFonts w:eastAsia="Calibri" w:cs="Tahoma"/>
          <w:bCs/>
          <w:color w:val="auto"/>
          <w:lang w:eastAsia="en-US"/>
        </w:rPr>
        <w:t>En conclusión, toda vez, que el Registro Federal de Contribuyentes de proveedores, es un requisito indispensable, para poder participar en adquisiciones públicas y contracción de servicios y que abona a la transparencia con la que deben administrarse los recursos públicos, no actualiza la causal de clasificación prevista en el artículo 143, fracción I de la Ley de Transparencia y Acceso a la Información Pública del Estado de México y Municipios.</w:t>
      </w:r>
    </w:p>
    <w:p w14:paraId="285905D5" w14:textId="77777777" w:rsidR="00630240" w:rsidRPr="002A6E4B" w:rsidRDefault="00630240" w:rsidP="00630240">
      <w:pPr>
        <w:spacing w:after="0" w:line="360" w:lineRule="auto"/>
        <w:rPr>
          <w:rFonts w:cs="Tahoma"/>
          <w:bCs/>
          <w:iCs/>
          <w:color w:val="FF0000"/>
        </w:rPr>
      </w:pPr>
    </w:p>
    <w:p w14:paraId="7A4194A4" w14:textId="77777777" w:rsidR="00630240" w:rsidRPr="002A6E4B" w:rsidRDefault="00630240" w:rsidP="00630240">
      <w:pPr>
        <w:spacing w:after="0" w:line="360" w:lineRule="auto"/>
        <w:rPr>
          <w:rFonts w:eastAsia="Calibri" w:cs="Tahoma"/>
          <w:b/>
          <w:color w:val="auto"/>
          <w:lang w:eastAsia="en-US"/>
        </w:rPr>
      </w:pPr>
      <w:r w:rsidRPr="002A6E4B">
        <w:rPr>
          <w:rFonts w:eastAsia="Calibri" w:cs="Tahoma"/>
          <w:b/>
          <w:color w:val="auto"/>
          <w:lang w:eastAsia="en-US"/>
        </w:rPr>
        <w:t>Persona Moral.</w:t>
      </w:r>
    </w:p>
    <w:p w14:paraId="40F056BB" w14:textId="77777777" w:rsidR="00630240" w:rsidRPr="002A6E4B" w:rsidRDefault="00630240" w:rsidP="00630240">
      <w:pPr>
        <w:spacing w:after="0" w:line="360" w:lineRule="auto"/>
        <w:rPr>
          <w:rFonts w:eastAsia="Calibri" w:cs="Tahoma"/>
          <w:bCs/>
          <w:color w:val="auto"/>
          <w:lang w:eastAsia="en-US"/>
        </w:rPr>
      </w:pPr>
    </w:p>
    <w:p w14:paraId="5F3C2736" w14:textId="77777777" w:rsidR="00630240" w:rsidRPr="002A6E4B" w:rsidRDefault="00630240" w:rsidP="00630240">
      <w:pPr>
        <w:spacing w:after="0" w:line="360" w:lineRule="auto"/>
        <w:rPr>
          <w:rFonts w:eastAsia="Calibri" w:cs="Tahoma"/>
          <w:bCs/>
          <w:color w:val="auto"/>
          <w:lang w:eastAsia="en-US"/>
        </w:rPr>
      </w:pPr>
      <w:r w:rsidRPr="002A6E4B">
        <w:rPr>
          <w:rFonts w:eastAsia="Calibri" w:cs="Tahoma"/>
          <w:bCs/>
          <w:color w:val="auto"/>
          <w:lang w:eastAsia="en-US"/>
        </w:rPr>
        <w:t>Al respecto, el Registro Federal de Contribuyentes, inicia con un preinscripción por Internet y se concluye en cualquier Administración Desconcentrada de Servicios al Contribuyente, en donde aquellas personas que realicen el trámite tendrán que entregar ciertos documentos, que para las personas jurídico colectivas, serán, entre otros, la copia certificada del documento constitutivo debidamente protocolizado, comprobante de domicilio, identificación personal, número de folio asignado que se le proporcionó al realizar el envío de su preinscripción y copia certificada del poder notarial con el que se acredite la personalidad del representante legal, o carta poder firmada ante dos testigos y ratificadas las firmas ante las autoridades fiscales o ante notario o fedatario público. Derivado del trámite se obtiene, entre otros, la cédula de identificación fiscal o constancia de registro.</w:t>
      </w:r>
    </w:p>
    <w:p w14:paraId="21B9364F" w14:textId="77777777" w:rsidR="00630240" w:rsidRPr="002A6E4B" w:rsidRDefault="00630240" w:rsidP="00630240">
      <w:pPr>
        <w:spacing w:after="0" w:line="360" w:lineRule="auto"/>
        <w:rPr>
          <w:rFonts w:eastAsia="Calibri" w:cs="Tahoma"/>
          <w:bCs/>
          <w:color w:val="auto"/>
          <w:lang w:eastAsia="en-US"/>
        </w:rPr>
      </w:pPr>
    </w:p>
    <w:p w14:paraId="5965398F" w14:textId="77777777" w:rsidR="00630240" w:rsidRPr="002A6E4B" w:rsidRDefault="00630240" w:rsidP="00630240">
      <w:pPr>
        <w:spacing w:after="0" w:line="360" w:lineRule="auto"/>
        <w:rPr>
          <w:rFonts w:eastAsia="Calibri" w:cs="Tahoma"/>
          <w:bCs/>
          <w:color w:val="auto"/>
          <w:lang w:eastAsia="en-US"/>
        </w:rPr>
      </w:pPr>
      <w:r w:rsidRPr="002A6E4B">
        <w:rPr>
          <w:rFonts w:eastAsia="Calibri" w:cs="Tahoma"/>
          <w:bCs/>
          <w:color w:val="auto"/>
          <w:lang w:eastAsia="en-US"/>
        </w:rPr>
        <w:lastRenderedPageBreak/>
        <w:t>Por ende, la información correspondiente al Registro Federal de Contribuyentes de una persona moral da cuenta del cumplimiento o no en sus obligaciones fiscales; por tanto, no se actualiza su clasificación como confidencial.</w:t>
      </w:r>
    </w:p>
    <w:p w14:paraId="1B5DFA05" w14:textId="77777777" w:rsidR="00630240" w:rsidRPr="002A6E4B" w:rsidRDefault="00630240" w:rsidP="00630240">
      <w:pPr>
        <w:spacing w:after="0" w:line="360" w:lineRule="auto"/>
        <w:rPr>
          <w:rFonts w:eastAsia="Calibri" w:cs="Tahoma"/>
          <w:bCs/>
          <w:color w:val="auto"/>
          <w:lang w:eastAsia="en-US"/>
        </w:rPr>
      </w:pPr>
    </w:p>
    <w:p w14:paraId="7F4D47D6" w14:textId="77777777" w:rsidR="00630240" w:rsidRPr="002A6E4B" w:rsidRDefault="00630240" w:rsidP="00630240">
      <w:pPr>
        <w:spacing w:after="0" w:line="360" w:lineRule="auto"/>
        <w:rPr>
          <w:rFonts w:eastAsia="Calibri" w:cs="Tahoma"/>
          <w:bCs/>
          <w:color w:val="auto"/>
          <w:lang w:eastAsia="en-US"/>
        </w:rPr>
      </w:pPr>
      <w:r w:rsidRPr="002A6E4B">
        <w:rPr>
          <w:rFonts w:eastAsia="Calibri" w:cs="Tahoma"/>
          <w:bCs/>
          <w:color w:val="auto"/>
          <w:lang w:eastAsia="en-US"/>
        </w:rPr>
        <w:t xml:space="preserve">Además, resulta aplicable por analogía el </w:t>
      </w:r>
      <w:r w:rsidRPr="002A6E4B">
        <w:rPr>
          <w:rFonts w:eastAsia="Calibri" w:cs="Tahoma"/>
          <w:bCs/>
          <w:color w:val="auto"/>
          <w:lang w:val="es-ES" w:eastAsia="en-US"/>
        </w:rPr>
        <w:t xml:space="preserve">Criterio de Interpretación, de la Segunda Época, con número de registro </w:t>
      </w:r>
      <w:r w:rsidRPr="002A6E4B">
        <w:rPr>
          <w:rFonts w:eastAsia="Calibri" w:cs="Tahoma"/>
          <w:bCs/>
          <w:color w:val="auto"/>
          <w:lang w:eastAsia="en-US"/>
        </w:rPr>
        <w:t>SO/008/2019</w:t>
      </w:r>
      <w:r w:rsidRPr="002A6E4B">
        <w:rPr>
          <w:rFonts w:eastAsia="Calibri" w:cs="Tahoma"/>
          <w:bCs/>
          <w:color w:val="auto"/>
        </w:rPr>
        <w:t xml:space="preserve">, emitido por el Instituto Nacional de Transparencia, Acceso a la Información y Protección de Datos Personales, </w:t>
      </w:r>
      <w:r w:rsidRPr="002A6E4B">
        <w:rPr>
          <w:rFonts w:eastAsia="Calibri" w:cs="Tahoma"/>
          <w:bCs/>
          <w:color w:val="auto"/>
          <w:lang w:eastAsia="en-US"/>
        </w:rPr>
        <w:t>que precisa que el Registro Federal de Contribuyentes de personas morales, es público, al no referir a hechos o actos de carácter económico, contable, jurídico o administrativo que sean útiles o representen una ventaja a sus competidores.</w:t>
      </w:r>
    </w:p>
    <w:p w14:paraId="52C9DB85" w14:textId="77777777" w:rsidR="00630240" w:rsidRPr="002A6E4B" w:rsidRDefault="00630240" w:rsidP="00630240">
      <w:pPr>
        <w:spacing w:after="0" w:line="360" w:lineRule="auto"/>
        <w:rPr>
          <w:rFonts w:eastAsia="Calibri" w:cs="Tahoma"/>
          <w:bCs/>
          <w:color w:val="auto"/>
          <w:lang w:eastAsia="en-US"/>
        </w:rPr>
      </w:pPr>
    </w:p>
    <w:p w14:paraId="24F7640C" w14:textId="77777777" w:rsidR="00630240" w:rsidRPr="002A6E4B" w:rsidRDefault="00630240" w:rsidP="00630240">
      <w:pPr>
        <w:spacing w:after="0" w:line="360" w:lineRule="auto"/>
        <w:rPr>
          <w:rFonts w:eastAsia="Calibri" w:cs="Tahoma"/>
          <w:bCs/>
          <w:color w:val="auto"/>
          <w:lang w:eastAsia="en-US"/>
        </w:rPr>
      </w:pPr>
      <w:r w:rsidRPr="002A6E4B">
        <w:rPr>
          <w:rFonts w:eastAsia="Calibri" w:cs="Tahoma"/>
          <w:bCs/>
          <w:color w:val="auto"/>
          <w:lang w:eastAsia="en-US"/>
        </w:rPr>
        <w:t>De tales circunstancias, el Registro Federal de Contribuyentes de personas morales, no actualizan la causal de clasificación, prevista en el artículo 143, fracción I de la Ley de Transparencia y Acceso a la Información Pública del Estado de México y Municipios, al ser de naturaleza pública.</w:t>
      </w:r>
    </w:p>
    <w:p w14:paraId="41C5D4F6" w14:textId="77777777" w:rsidR="00630240" w:rsidRPr="002A6E4B" w:rsidRDefault="00630240" w:rsidP="00630240">
      <w:pPr>
        <w:spacing w:after="0" w:line="360" w:lineRule="auto"/>
        <w:rPr>
          <w:rFonts w:cs="Tahoma"/>
          <w:bCs/>
          <w:iCs/>
          <w:color w:val="FF0000"/>
        </w:rPr>
      </w:pPr>
    </w:p>
    <w:p w14:paraId="5D87A879" w14:textId="77777777" w:rsidR="00630240" w:rsidRPr="002A6E4B" w:rsidRDefault="00630240" w:rsidP="00630240">
      <w:pPr>
        <w:numPr>
          <w:ilvl w:val="0"/>
          <w:numId w:val="26"/>
        </w:numPr>
        <w:spacing w:after="0" w:line="360" w:lineRule="auto"/>
        <w:contextualSpacing/>
        <w:rPr>
          <w:rFonts w:eastAsia="Times New Roman" w:cs="Times New Roman"/>
          <w:b/>
          <w:lang w:eastAsia="es-ES"/>
        </w:rPr>
      </w:pPr>
      <w:r w:rsidRPr="002A6E4B">
        <w:rPr>
          <w:rFonts w:eastAsia="Calibri" w:cs="Times New Roman"/>
          <w:b/>
          <w:lang w:eastAsia="en-US"/>
        </w:rPr>
        <w:t>Código Bidimensional o QR</w:t>
      </w:r>
    </w:p>
    <w:p w14:paraId="38571242" w14:textId="77777777" w:rsidR="00630240" w:rsidRPr="002A6E4B" w:rsidRDefault="00630240" w:rsidP="00630240">
      <w:pPr>
        <w:spacing w:line="360" w:lineRule="auto"/>
        <w:contextualSpacing/>
        <w:rPr>
          <w:rFonts w:eastAsia="Calibri" w:cs="Times New Roman"/>
          <w:lang w:eastAsia="en-US"/>
        </w:rPr>
      </w:pPr>
    </w:p>
    <w:p w14:paraId="7F6441D1" w14:textId="77777777" w:rsidR="00630240" w:rsidRPr="002A6E4B" w:rsidRDefault="00630240" w:rsidP="00630240">
      <w:pPr>
        <w:spacing w:line="360" w:lineRule="auto"/>
        <w:contextualSpacing/>
        <w:rPr>
          <w:rFonts w:eastAsia="Calibri" w:cs="Times New Roman"/>
          <w:lang w:eastAsia="en-US"/>
        </w:rPr>
      </w:pPr>
      <w:r w:rsidRPr="002A6E4B">
        <w:rPr>
          <w:rFonts w:eastAsia="Calibri" w:cs="Times New Roman"/>
          <w:lang w:eastAsia="en-US"/>
        </w:rPr>
        <w:t xml:space="preserve">En principio, resulta necesario señalar que los comprobantes fiscales digitales por Internet, deben de incluir un código bidimensional conforme al formato QR </w:t>
      </w:r>
      <w:proofErr w:type="spellStart"/>
      <w:r w:rsidRPr="002A6E4B">
        <w:rPr>
          <w:rFonts w:eastAsia="Calibri" w:cs="Times New Roman"/>
          <w:lang w:eastAsia="en-US"/>
        </w:rPr>
        <w:t>Code</w:t>
      </w:r>
      <w:proofErr w:type="spellEnd"/>
      <w:r w:rsidRPr="002A6E4B">
        <w:rPr>
          <w:rFonts w:eastAsia="Calibri" w:cs="Times New Roman"/>
          <w:lang w:eastAsia="en-US"/>
        </w:rPr>
        <w:t xml:space="preserve"> (Quick Response </w:t>
      </w:r>
      <w:proofErr w:type="spellStart"/>
      <w:r w:rsidRPr="002A6E4B">
        <w:rPr>
          <w:rFonts w:eastAsia="Calibri" w:cs="Times New Roman"/>
          <w:lang w:eastAsia="en-US"/>
        </w:rPr>
        <w:t>Code</w:t>
      </w:r>
      <w:proofErr w:type="spellEnd"/>
      <w:r w:rsidRPr="002A6E4B">
        <w:rPr>
          <w:rFonts w:eastAsia="Calibri" w:cs="Times New Roman"/>
          <w:lang w:eastAsia="en-US"/>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9" w:history="1">
        <w:r w:rsidRPr="002A6E4B">
          <w:rPr>
            <w:rFonts w:eastAsia="Calibri" w:cs="Times New Roman"/>
            <w:color w:val="0000FF"/>
            <w:u w:val="single"/>
            <w:lang w:eastAsia="en-US"/>
          </w:rPr>
          <w:t>http://dof.gob.mx/nota_detalle.php?codigo=5492254&amp;fecha=28/07/2017</w:t>
        </w:r>
      </w:hyperlink>
      <w:r w:rsidRPr="002A6E4B">
        <w:rPr>
          <w:rFonts w:eastAsia="Calibri" w:cs="Times New Roman"/>
          <w:lang w:eastAsia="en-US"/>
        </w:rPr>
        <w:t xml:space="preserve">.  Incluso con la captura de dicho código, a través de la aplicación móvil del Servicio de Administración Tributaria, permite el acceso al Registro Federal de Contribuyentes, como del Sujeto Obligado, como del proveedor, persona física o moral. En ese orden de ideas, toda vez que el código bidimensional </w:t>
      </w:r>
      <w:r w:rsidRPr="002A6E4B">
        <w:rPr>
          <w:rFonts w:eastAsia="Calibri" w:cs="Times New Roman"/>
          <w:lang w:eastAsia="en-US"/>
        </w:rPr>
        <w:lastRenderedPageBreak/>
        <w:t>sólo permite el acceso al Registro Federal de Contribuyentes del proveedor y del Sujeto Obligado, los cuales guardan la naturaleza pública, se considera que no se actualiza la causal de clasificación prevista en el artículo 143, fracción I de la Ley de la materia, toda vez que únicamente da cuenta de datos que como se analizó en párrafos anteriores, no son susceptibles a testar.</w:t>
      </w:r>
    </w:p>
    <w:p w14:paraId="51E10CAD" w14:textId="77777777" w:rsidR="005A5C0E" w:rsidRPr="002A6E4B" w:rsidRDefault="005A5C0E" w:rsidP="00630240">
      <w:pPr>
        <w:spacing w:after="0" w:line="360" w:lineRule="auto"/>
        <w:ind w:right="-28"/>
        <w:contextualSpacing/>
        <w:rPr>
          <w:rFonts w:eastAsia="Times New Roman" w:cs="Times New Roman"/>
          <w:color w:val="auto"/>
          <w:lang w:eastAsia="es-ES"/>
        </w:rPr>
      </w:pPr>
    </w:p>
    <w:p w14:paraId="41B0380B" w14:textId="77777777" w:rsidR="005A5C0E" w:rsidRPr="002A6E4B" w:rsidRDefault="005A5C0E" w:rsidP="00630240">
      <w:pPr>
        <w:pStyle w:val="Prrafodelista"/>
        <w:numPr>
          <w:ilvl w:val="0"/>
          <w:numId w:val="24"/>
        </w:numPr>
        <w:spacing w:line="360" w:lineRule="auto"/>
        <w:ind w:right="-28"/>
        <w:rPr>
          <w:b/>
          <w:color w:val="auto"/>
        </w:rPr>
      </w:pPr>
      <w:r w:rsidRPr="002A6E4B">
        <w:rPr>
          <w:b/>
          <w:color w:val="auto"/>
        </w:rPr>
        <w:t>Cuenta bancaria y clave interbancaria del prestador de servicios</w:t>
      </w:r>
    </w:p>
    <w:p w14:paraId="2062C6C1" w14:textId="77777777" w:rsidR="005A5C0E" w:rsidRPr="002A6E4B" w:rsidRDefault="005A5C0E" w:rsidP="00630240">
      <w:pPr>
        <w:pStyle w:val="Prrafodelista"/>
        <w:spacing w:line="360" w:lineRule="auto"/>
        <w:ind w:right="-28"/>
        <w:rPr>
          <w:b/>
          <w:color w:val="auto"/>
        </w:rPr>
      </w:pPr>
    </w:p>
    <w:p w14:paraId="086F9BE7" w14:textId="77777777" w:rsidR="005A5C0E" w:rsidRPr="002A6E4B" w:rsidRDefault="005A5C0E" w:rsidP="00630240">
      <w:pPr>
        <w:spacing w:after="0" w:line="360" w:lineRule="auto"/>
        <w:ind w:right="-28"/>
        <w:contextualSpacing/>
        <w:rPr>
          <w:rFonts w:eastAsia="Times New Roman" w:cs="Times New Roman"/>
          <w:color w:val="auto"/>
          <w:lang w:eastAsia="es-ES"/>
        </w:rPr>
      </w:pPr>
      <w:r w:rsidRPr="002A6E4B">
        <w:rPr>
          <w:rFonts w:eastAsia="Times New Roman" w:cs="Times New Roman"/>
          <w:color w:val="auto"/>
          <w:lang w:eastAsia="es-ES"/>
        </w:rPr>
        <w:t>Al respecto, se estima que dichos datos se relacionan con hechos y actos de carácter económico, pues los mismos darían cuenta, de la relación que tiene una institución financiero con un particular, ya sea persona física o moral; además, que con dicha información se podría obtener los recursos enviados a las órdenes de cargo, pago o a las transferencias electrónicas e fondos interbancarios, entre otros movimientos que sean utilizados exclusivamente en la cuenta señalada por el cliente y, por lo tanto, los datos bancarios corresponden a información que se encuentra relacionada con el patrimonio de la persona titular de la cuenta.</w:t>
      </w:r>
    </w:p>
    <w:p w14:paraId="3CBCB2D4" w14:textId="77777777" w:rsidR="005A5C0E" w:rsidRPr="002A6E4B" w:rsidRDefault="005A5C0E" w:rsidP="00630240">
      <w:pPr>
        <w:spacing w:after="0" w:line="360" w:lineRule="auto"/>
        <w:ind w:right="-28"/>
        <w:contextualSpacing/>
        <w:rPr>
          <w:rFonts w:eastAsia="Times New Roman" w:cs="Times New Roman"/>
          <w:color w:val="auto"/>
          <w:lang w:eastAsia="es-ES"/>
        </w:rPr>
      </w:pPr>
      <w:r w:rsidRPr="002A6E4B">
        <w:rPr>
          <w:rFonts w:eastAsia="Times New Roman" w:cs="Times New Roman"/>
          <w:color w:val="auto"/>
          <w:lang w:eastAsia="es-ES"/>
        </w:rPr>
        <w:t xml:space="preserve"> </w:t>
      </w:r>
    </w:p>
    <w:p w14:paraId="2E25348D" w14:textId="77777777" w:rsidR="005A5C0E" w:rsidRPr="002A6E4B" w:rsidRDefault="005A5C0E" w:rsidP="00630240">
      <w:pPr>
        <w:spacing w:after="0" w:line="360" w:lineRule="auto"/>
        <w:ind w:right="-28"/>
        <w:contextualSpacing/>
        <w:rPr>
          <w:rFonts w:eastAsia="Times New Roman" w:cs="Times New Roman"/>
          <w:color w:val="auto"/>
          <w:lang w:eastAsia="es-ES"/>
        </w:rPr>
      </w:pPr>
      <w:r w:rsidRPr="002A6E4B">
        <w:rPr>
          <w:rFonts w:eastAsia="Times New Roman" w:cs="Times New Roman"/>
          <w:color w:val="auto"/>
          <w:lang w:eastAsia="es-ES"/>
        </w:rPr>
        <w:t>A mayor abundamiento, resulta necesario traer a colación el Criterio Orientador, de la Segunda Época, con número de registro SO/010/2017, emitido por el entonces Instituto Nacional de Transparencia, Acceso a la Información y Protección de Datos Personales, mismo que establece lo siguiente:</w:t>
      </w:r>
    </w:p>
    <w:p w14:paraId="645DCE47" w14:textId="77777777" w:rsidR="005A5C0E" w:rsidRPr="002A6E4B" w:rsidRDefault="005A5C0E" w:rsidP="00630240">
      <w:pPr>
        <w:spacing w:after="0" w:line="360" w:lineRule="auto"/>
        <w:ind w:right="-28"/>
        <w:contextualSpacing/>
        <w:rPr>
          <w:rFonts w:eastAsia="Times New Roman" w:cs="Times New Roman"/>
          <w:color w:val="auto"/>
          <w:lang w:eastAsia="es-ES"/>
        </w:rPr>
      </w:pPr>
      <w:r w:rsidRPr="002A6E4B">
        <w:rPr>
          <w:rFonts w:eastAsia="Times New Roman" w:cs="Times New Roman"/>
          <w:color w:val="auto"/>
          <w:lang w:eastAsia="es-ES"/>
        </w:rPr>
        <w:t xml:space="preserve"> </w:t>
      </w:r>
    </w:p>
    <w:p w14:paraId="7DBF5773" w14:textId="77777777" w:rsidR="005A5C0E" w:rsidRPr="002A6E4B" w:rsidRDefault="005A5C0E" w:rsidP="00630240">
      <w:pPr>
        <w:spacing w:after="0" w:line="360" w:lineRule="auto"/>
        <w:ind w:left="720" w:right="-28"/>
        <w:contextualSpacing/>
        <w:rPr>
          <w:rFonts w:eastAsia="Times New Roman" w:cs="Times New Roman"/>
          <w:i/>
          <w:color w:val="auto"/>
          <w:sz w:val="20"/>
          <w:lang w:eastAsia="es-ES"/>
        </w:rPr>
      </w:pPr>
      <w:r w:rsidRPr="002A6E4B">
        <w:rPr>
          <w:rFonts w:eastAsia="Times New Roman" w:cs="Times New Roman"/>
          <w:b/>
          <w:bCs/>
          <w:i/>
          <w:color w:val="auto"/>
          <w:sz w:val="20"/>
          <w:lang w:eastAsia="es-ES"/>
        </w:rPr>
        <w:t>“Cuentas bancarias y/o CLABE interbancaria de personas físicas y morales privadas.</w:t>
      </w:r>
      <w:r w:rsidRPr="002A6E4B">
        <w:rPr>
          <w:rFonts w:eastAsia="Times New Roman" w:cs="Times New Roman"/>
          <w:i/>
          <w:color w:val="auto"/>
          <w:sz w:val="20"/>
          <w:lang w:eastAsia="es-ES"/>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w:t>
      </w:r>
      <w:r w:rsidRPr="002A6E4B">
        <w:rPr>
          <w:rFonts w:eastAsia="Times New Roman" w:cs="Times New Roman"/>
          <w:i/>
          <w:color w:val="auto"/>
          <w:sz w:val="20"/>
          <w:lang w:eastAsia="es-ES"/>
        </w:rPr>
        <w:lastRenderedPageBreak/>
        <w:t>de la Ley General de Transparencia y Acceso a la Información Pública y 113 de la Ley Federal de Transparencia y Acceso a la Información Pública.”</w:t>
      </w:r>
    </w:p>
    <w:p w14:paraId="308AD8EE" w14:textId="77777777" w:rsidR="005A5C0E" w:rsidRPr="002A6E4B" w:rsidRDefault="005A5C0E" w:rsidP="00630240">
      <w:pPr>
        <w:spacing w:after="0" w:line="360" w:lineRule="auto"/>
        <w:ind w:right="-28"/>
        <w:contextualSpacing/>
        <w:rPr>
          <w:rFonts w:eastAsia="Times New Roman" w:cs="Times New Roman"/>
          <w:color w:val="auto"/>
          <w:lang w:eastAsia="es-ES"/>
        </w:rPr>
      </w:pPr>
      <w:r w:rsidRPr="002A6E4B">
        <w:rPr>
          <w:rFonts w:eastAsia="Times New Roman" w:cs="Times New Roman"/>
          <w:color w:val="auto"/>
          <w:lang w:eastAsia="es-ES"/>
        </w:rPr>
        <w:t xml:space="preserve"> </w:t>
      </w:r>
    </w:p>
    <w:p w14:paraId="59B0E991" w14:textId="77777777" w:rsidR="005A5C0E" w:rsidRPr="002A6E4B" w:rsidRDefault="005A5C0E" w:rsidP="00630240">
      <w:pPr>
        <w:spacing w:after="0" w:line="360" w:lineRule="auto"/>
        <w:ind w:right="-28"/>
        <w:contextualSpacing/>
        <w:rPr>
          <w:rFonts w:eastAsia="Times New Roman" w:cs="Times New Roman"/>
          <w:color w:val="auto"/>
          <w:lang w:eastAsia="es-ES"/>
        </w:rPr>
      </w:pPr>
      <w:r w:rsidRPr="002A6E4B">
        <w:rPr>
          <w:rFonts w:eastAsia="Times New Roman" w:cs="Times New Roman"/>
          <w:color w:val="auto"/>
          <w:lang w:eastAsia="es-ES"/>
        </w:rPr>
        <w:t xml:space="preserve">Por lo cual, se puede colegir que dichos datos no guardan relación con el servicio público ni con los recursos públicos, pues solo corresponde a información, que le atañe a la institución financiera y al cliente; por lo que este número constituye información confidencial al pertenecer exclusivamente al ámbito de la vida privada del prestador de servicios y procede su eliminación de conformidad con el artículo 143, fracción I, de la Ley de Transparencia y Acceso a la Información Pública del Estado de México y Municipios. </w:t>
      </w:r>
    </w:p>
    <w:p w14:paraId="72FD47F9" w14:textId="77777777" w:rsidR="005A5C0E" w:rsidRPr="002A6E4B" w:rsidRDefault="005A5C0E" w:rsidP="00630240">
      <w:pPr>
        <w:spacing w:after="0" w:line="360" w:lineRule="auto"/>
        <w:ind w:right="-28"/>
        <w:contextualSpacing/>
        <w:rPr>
          <w:rFonts w:eastAsia="Times New Roman" w:cs="Times New Roman"/>
          <w:color w:val="auto"/>
          <w:lang w:eastAsia="es-ES"/>
        </w:rPr>
      </w:pPr>
    </w:p>
    <w:p w14:paraId="79BF15A9" w14:textId="77777777" w:rsidR="005A5C0E" w:rsidRPr="002A6E4B" w:rsidRDefault="005A5C0E" w:rsidP="00630240">
      <w:pPr>
        <w:pStyle w:val="Prrafodelista"/>
        <w:numPr>
          <w:ilvl w:val="0"/>
          <w:numId w:val="24"/>
        </w:numPr>
        <w:spacing w:line="360" w:lineRule="auto"/>
        <w:ind w:right="-28"/>
        <w:rPr>
          <w:b/>
          <w:color w:val="auto"/>
        </w:rPr>
      </w:pPr>
      <w:r w:rsidRPr="002A6E4B">
        <w:rPr>
          <w:b/>
          <w:color w:val="auto"/>
        </w:rPr>
        <w:t>Nombre de institución bancaria</w:t>
      </w:r>
    </w:p>
    <w:p w14:paraId="32AEFE7D" w14:textId="77777777" w:rsidR="005A5C0E" w:rsidRPr="002A6E4B" w:rsidRDefault="005A5C0E" w:rsidP="00630240">
      <w:pPr>
        <w:spacing w:after="0" w:line="360" w:lineRule="auto"/>
        <w:ind w:right="-28"/>
        <w:contextualSpacing/>
        <w:rPr>
          <w:rFonts w:eastAsia="Times New Roman" w:cs="Times New Roman"/>
          <w:color w:val="auto"/>
          <w:lang w:eastAsia="es-ES"/>
        </w:rPr>
      </w:pPr>
    </w:p>
    <w:p w14:paraId="7E65D241" w14:textId="77777777" w:rsidR="005A5C0E" w:rsidRPr="002A6E4B" w:rsidRDefault="005A5C0E" w:rsidP="00630240">
      <w:pPr>
        <w:spacing w:after="0" w:line="360" w:lineRule="auto"/>
        <w:ind w:right="-28"/>
        <w:contextualSpacing/>
        <w:rPr>
          <w:rFonts w:eastAsia="Times New Roman" w:cs="Times New Roman"/>
          <w:color w:val="auto"/>
          <w:lang w:eastAsia="es-ES"/>
        </w:rPr>
      </w:pPr>
      <w:r w:rsidRPr="002A6E4B">
        <w:rPr>
          <w:rFonts w:eastAsia="Times New Roman" w:cs="Times New Roman"/>
          <w:color w:val="auto"/>
          <w:lang w:eastAsia="es-ES"/>
        </w:rPr>
        <w:t xml:space="preserve">En principio, es necesario señalar que conforme al artículo 2°, fracción IV  de la Ley de Protección y Defensa al Usuario de Servicios Financieros, establece que una institución financiera, se le denomina a las sociedades controladoras, instituciones de crédito, sociedades financieras de objeto múltiple, sociedades de información crediticia, casas de bolsa, especialistas bursátiles,  fondos de inversión, almacenes generales de depósito, uniones de crédito, casas de cambio, instituciones de seguros, sociedades mutualistas de seguros, instituciones de fianzas, administradoras de fondos para el retiro, PENSIONISSSTE, empresas operadoras de la base de datos nacional del sistema de ahorro para el retiro, Instituto del Fondo Nacional para el Consumo de los Trabajadores, sociedades cooperativas de ahorro y préstamo, sociedades financieras populares, sociedades financieras comunitarias, y cualquiera otra sociedad que requiera de la autorización de la Secretaría de Hacienda y Crédito Público o de cualesquiera de las Comisiones Nacionales para constituirse y funcionar como tales y ofrecer un producto o servicio financiero a los usuarios. </w:t>
      </w:r>
    </w:p>
    <w:p w14:paraId="23400771" w14:textId="77777777" w:rsidR="005A5C0E" w:rsidRPr="002A6E4B" w:rsidRDefault="005A5C0E" w:rsidP="00630240">
      <w:pPr>
        <w:spacing w:after="0" w:line="360" w:lineRule="auto"/>
        <w:ind w:right="-28"/>
        <w:contextualSpacing/>
        <w:rPr>
          <w:rFonts w:eastAsia="Times New Roman" w:cs="Times New Roman"/>
          <w:color w:val="auto"/>
          <w:lang w:eastAsia="es-ES"/>
        </w:rPr>
      </w:pPr>
    </w:p>
    <w:p w14:paraId="6A6A4F64" w14:textId="77777777" w:rsidR="005A5C0E" w:rsidRPr="002A6E4B" w:rsidRDefault="005A5C0E" w:rsidP="00630240">
      <w:pPr>
        <w:spacing w:after="0" w:line="360" w:lineRule="auto"/>
        <w:ind w:right="-28"/>
        <w:contextualSpacing/>
        <w:rPr>
          <w:rFonts w:eastAsia="Times New Roman" w:cs="Times New Roman"/>
          <w:color w:val="auto"/>
          <w:lang w:eastAsia="es-ES"/>
        </w:rPr>
      </w:pPr>
      <w:r w:rsidRPr="002A6E4B">
        <w:rPr>
          <w:rFonts w:eastAsia="Times New Roman" w:cs="Times New Roman"/>
          <w:color w:val="auto"/>
          <w:lang w:eastAsia="es-ES"/>
        </w:rPr>
        <w:lastRenderedPageBreak/>
        <w:t>En ese orden de ideas, en el portal de la Comisión Nacional para la Protección y Defensa de los Usuarios de Servicios Financieros (consultadas el dieciocho de enero de dos mil veintitrés), en https://www.condusef.gob.mx/Revista/index.php/usuario-inteligente/condusef-responde/777-la-condusef-te-puede-ayudar), se establece que los bancos son instituciones financieras; conforme a lo anterior, se puede advertir que las instituciones bancarias, son personas morales.</w:t>
      </w:r>
    </w:p>
    <w:p w14:paraId="0B74AB43" w14:textId="77777777" w:rsidR="005A5C0E" w:rsidRPr="002A6E4B" w:rsidRDefault="005A5C0E" w:rsidP="00630240">
      <w:pPr>
        <w:spacing w:after="0" w:line="360" w:lineRule="auto"/>
        <w:ind w:right="-28"/>
        <w:contextualSpacing/>
        <w:rPr>
          <w:rFonts w:eastAsia="Times New Roman" w:cs="Times New Roman"/>
          <w:color w:val="auto"/>
          <w:lang w:eastAsia="es-ES"/>
        </w:rPr>
      </w:pPr>
    </w:p>
    <w:p w14:paraId="15DAED74" w14:textId="77777777" w:rsidR="005A5C0E" w:rsidRPr="002A6E4B" w:rsidRDefault="005A5C0E" w:rsidP="00630240">
      <w:pPr>
        <w:spacing w:after="0" w:line="360" w:lineRule="auto"/>
        <w:ind w:right="-28"/>
        <w:contextualSpacing/>
        <w:rPr>
          <w:rFonts w:eastAsia="Times New Roman" w:cs="Times New Roman"/>
          <w:color w:val="auto"/>
          <w:lang w:eastAsia="es-ES"/>
        </w:rPr>
      </w:pPr>
      <w:r w:rsidRPr="002A6E4B">
        <w:rPr>
          <w:rFonts w:eastAsia="Times New Roman" w:cs="Times New Roman"/>
          <w:color w:val="auto"/>
          <w:lang w:eastAsia="es-ES"/>
        </w:rPr>
        <w:t>En ese orden de ideas, se considera que la denominación o razón social de una persona moral, es pública, pues dichos datos se encuentran inscritos en el Registro Público del Comercio; lo anterior, toma sustento en el Criterio Orientador, de la Segunda Época, con número de registro SO/008/2019, emitido por el entonces Instituto Nacional de Transparencia, Acceso a la Información y Protección de Datos Personales, previamente referido.</w:t>
      </w:r>
    </w:p>
    <w:p w14:paraId="0B8F0301" w14:textId="77777777" w:rsidR="005A5C0E" w:rsidRPr="002A6E4B" w:rsidRDefault="005A5C0E" w:rsidP="00630240">
      <w:pPr>
        <w:spacing w:after="0" w:line="360" w:lineRule="auto"/>
        <w:ind w:right="-28"/>
        <w:contextualSpacing/>
        <w:rPr>
          <w:rFonts w:eastAsia="Times New Roman" w:cs="Times New Roman"/>
          <w:color w:val="auto"/>
          <w:lang w:eastAsia="es-ES"/>
        </w:rPr>
      </w:pPr>
    </w:p>
    <w:p w14:paraId="0AD432E4" w14:textId="77777777" w:rsidR="005A5C0E" w:rsidRPr="002A6E4B" w:rsidRDefault="005A5C0E" w:rsidP="00630240">
      <w:pPr>
        <w:spacing w:after="0" w:line="360" w:lineRule="auto"/>
        <w:ind w:right="-28"/>
        <w:contextualSpacing/>
        <w:rPr>
          <w:rFonts w:eastAsia="Times New Roman" w:cs="Times New Roman"/>
          <w:color w:val="auto"/>
          <w:lang w:eastAsia="es-ES"/>
        </w:rPr>
      </w:pPr>
      <w:r w:rsidRPr="002A6E4B">
        <w:rPr>
          <w:rFonts w:eastAsia="Times New Roman" w:cs="Times New Roman"/>
          <w:color w:val="auto"/>
          <w:lang w:eastAsia="es-ES"/>
        </w:rPr>
        <w:t xml:space="preserve">Lo anterior, se robustece con el hecho de que existe el Sistema de Registro de Prestadores de Servicios Financieros (consultadas el dieciocho de enero de dos mil veintitrés), a las trece horas, en la liga </w:t>
      </w:r>
      <w:hyperlink r:id="rId10" w:history="1">
        <w:r w:rsidRPr="002A6E4B">
          <w:rPr>
            <w:rStyle w:val="Hipervnculo"/>
            <w:rFonts w:eastAsia="Times New Roman" w:cs="Times New Roman"/>
            <w:lang w:eastAsia="es-ES"/>
          </w:rPr>
          <w:t>https://webapps.condusef.gob.mx/SIPRES/jsp/pub/index.jsp</w:t>
        </w:r>
      </w:hyperlink>
      <w:r w:rsidRPr="002A6E4B">
        <w:rPr>
          <w:rFonts w:eastAsia="Times New Roman" w:cs="Times New Roman"/>
          <w:color w:val="auto"/>
          <w:lang w:eastAsia="es-ES"/>
        </w:rPr>
        <w:t xml:space="preserve">), que es un registro de carácter público, cuyo objetivo principal, consiste en proporcionar información corporativa y general de las instituciones financieras; además, que permite conocer al público general, información de dichos entes, se muestra un ejemplo a continuación: </w:t>
      </w:r>
    </w:p>
    <w:p w14:paraId="09B10DB4" w14:textId="77777777" w:rsidR="005A5C0E" w:rsidRPr="002A6E4B" w:rsidRDefault="005A5C0E" w:rsidP="00630240">
      <w:pPr>
        <w:spacing w:after="0" w:line="360" w:lineRule="auto"/>
        <w:ind w:right="-28"/>
        <w:contextualSpacing/>
        <w:rPr>
          <w:rFonts w:eastAsia="Times New Roman" w:cs="Times New Roman"/>
          <w:color w:val="auto"/>
          <w:lang w:eastAsia="es-ES"/>
        </w:rPr>
      </w:pPr>
    </w:p>
    <w:p w14:paraId="686760B2" w14:textId="77777777" w:rsidR="005A5C0E" w:rsidRPr="002A6E4B" w:rsidRDefault="005A5C0E" w:rsidP="00630240">
      <w:pPr>
        <w:spacing w:after="0" w:line="360" w:lineRule="auto"/>
        <w:ind w:right="-28"/>
        <w:contextualSpacing/>
        <w:rPr>
          <w:rFonts w:eastAsia="Times New Roman" w:cs="Times New Roman"/>
          <w:color w:val="auto"/>
          <w:lang w:eastAsia="es-ES"/>
        </w:rPr>
      </w:pPr>
      <w:r w:rsidRPr="002A6E4B">
        <w:rPr>
          <w:rFonts w:eastAsia="Times New Roman" w:cs="Times New Roman"/>
          <w:color w:val="auto"/>
          <w:lang w:eastAsia="es-ES"/>
        </w:rPr>
        <w:t>Conforme a lo anterior, se logra vislumbrar que el nombre de las instituciones bancarias en primera instancia es de naturaleza pública; sin embargo, en el presente caso, se relacionada con el hecho de que corresponde al banco en el cual un prestador de servicios decidió recibir el pago por el cumplimiento de un contrato; es decir, daría cuenta de la decisión voluntaria de recibir el pago de sus servicios en una determinada institución; lo cual se relaciona con la cuenta y clave interbancaria, mismos que son confidenciales.</w:t>
      </w:r>
    </w:p>
    <w:p w14:paraId="60F5703E" w14:textId="77777777" w:rsidR="005A5C0E" w:rsidRPr="002A6E4B" w:rsidRDefault="005A5C0E" w:rsidP="00630240">
      <w:pPr>
        <w:spacing w:after="0" w:line="360" w:lineRule="auto"/>
        <w:ind w:right="-28"/>
        <w:contextualSpacing/>
        <w:rPr>
          <w:rFonts w:eastAsia="Times New Roman" w:cs="Times New Roman"/>
          <w:color w:val="auto"/>
          <w:lang w:eastAsia="es-ES"/>
        </w:rPr>
      </w:pPr>
    </w:p>
    <w:p w14:paraId="42DFE3B9" w14:textId="77777777" w:rsidR="005A5C0E" w:rsidRPr="002A6E4B" w:rsidRDefault="005A5C0E" w:rsidP="00630240">
      <w:pPr>
        <w:spacing w:after="0" w:line="360" w:lineRule="auto"/>
        <w:ind w:right="-28"/>
        <w:contextualSpacing/>
        <w:rPr>
          <w:rFonts w:eastAsia="Times New Roman" w:cs="Times New Roman"/>
          <w:color w:val="auto"/>
          <w:lang w:eastAsia="es-ES"/>
        </w:rPr>
      </w:pPr>
      <w:r w:rsidRPr="002A6E4B">
        <w:rPr>
          <w:rFonts w:eastAsia="Times New Roman" w:cs="Times New Roman"/>
          <w:color w:val="auto"/>
          <w:lang w:eastAsia="es-ES"/>
        </w:rPr>
        <w:lastRenderedPageBreak/>
        <w:t>Además, revelaría el lugar en donde el proveedor recibió los recursos por prestar sus servicios, lo cual únicamente está relacionado a su vida íntima o privada de la persona moral; por lo que, este Instituto considera que el nombre de la institución bancaria, actualiza la causal de clasificación prevista en el artículo 143, fracción I, de la Ley de Transparencia y Acceso a la Información Pública del Estado de México y Municipios.</w:t>
      </w:r>
    </w:p>
    <w:p w14:paraId="02CA94FC" w14:textId="77777777" w:rsidR="00B53CD7" w:rsidRPr="002A6E4B" w:rsidRDefault="00B53CD7" w:rsidP="00630240">
      <w:pPr>
        <w:spacing w:after="0" w:line="360" w:lineRule="auto"/>
        <w:ind w:right="-28"/>
        <w:contextualSpacing/>
        <w:rPr>
          <w:rFonts w:eastAsia="Times New Roman" w:cs="Times New Roman"/>
          <w:color w:val="auto"/>
          <w:lang w:eastAsia="es-ES"/>
        </w:rPr>
      </w:pPr>
    </w:p>
    <w:p w14:paraId="181F46BD" w14:textId="77777777" w:rsidR="00B53CD7" w:rsidRPr="002A6E4B" w:rsidRDefault="00B53CD7" w:rsidP="00630240">
      <w:pPr>
        <w:numPr>
          <w:ilvl w:val="0"/>
          <w:numId w:val="25"/>
        </w:numPr>
        <w:spacing w:after="0" w:line="360" w:lineRule="auto"/>
        <w:contextualSpacing/>
        <w:rPr>
          <w:rFonts w:eastAsia="Times New Roman" w:cs="Tahoma"/>
          <w:bCs/>
          <w:lang w:eastAsia="es-ES"/>
        </w:rPr>
      </w:pPr>
      <w:r w:rsidRPr="002A6E4B">
        <w:rPr>
          <w:rFonts w:eastAsia="Times New Roman" w:cs="Tahoma"/>
          <w:b/>
          <w:bCs/>
          <w:szCs w:val="24"/>
          <w:lang w:eastAsia="es-ES"/>
        </w:rPr>
        <w:t>Sellos digitales del emisor y del Servicio de Administración Tributaria y cadena original del complemento de certificación digital del organismo previamente señalado</w:t>
      </w:r>
    </w:p>
    <w:p w14:paraId="02E97C62" w14:textId="77777777" w:rsidR="00B53CD7" w:rsidRPr="002A6E4B" w:rsidRDefault="00B53CD7" w:rsidP="00630240">
      <w:pPr>
        <w:spacing w:after="0" w:line="360" w:lineRule="auto"/>
        <w:ind w:left="720"/>
        <w:contextualSpacing/>
        <w:rPr>
          <w:rFonts w:eastAsia="Times New Roman" w:cs="Tahoma"/>
          <w:b/>
          <w:lang w:eastAsia="es-ES"/>
        </w:rPr>
      </w:pPr>
    </w:p>
    <w:p w14:paraId="52556629" w14:textId="77777777" w:rsidR="00B53CD7" w:rsidRPr="002A6E4B" w:rsidRDefault="00B53CD7" w:rsidP="00630240">
      <w:pPr>
        <w:spacing w:after="0" w:line="360" w:lineRule="auto"/>
        <w:contextualSpacing/>
        <w:rPr>
          <w:rFonts w:eastAsia="Times New Roman" w:cs="Tahoma"/>
          <w:bCs/>
          <w:lang w:val="es-ES" w:eastAsia="es-ES"/>
        </w:rPr>
      </w:pPr>
      <w:r w:rsidRPr="002A6E4B">
        <w:rPr>
          <w:rFonts w:eastAsia="Times New Roman" w:cs="Tahoma"/>
          <w:bCs/>
          <w:lang w:val="es-ES" w:eastAsia="es-ES"/>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313D1355" w14:textId="77777777" w:rsidR="00B53CD7" w:rsidRPr="002A6E4B" w:rsidRDefault="00B53CD7" w:rsidP="00630240">
      <w:pPr>
        <w:spacing w:after="0" w:line="360" w:lineRule="auto"/>
        <w:contextualSpacing/>
        <w:rPr>
          <w:rFonts w:eastAsia="Times New Roman" w:cs="Tahoma"/>
          <w:bCs/>
          <w:lang w:val="es-ES" w:eastAsia="es-ES"/>
        </w:rPr>
      </w:pPr>
      <w:r w:rsidRPr="002A6E4B">
        <w:rPr>
          <w:rFonts w:eastAsia="Times New Roman" w:cs="Tahoma"/>
          <w:bCs/>
          <w:lang w:val="es-ES" w:eastAsia="es-ES"/>
        </w:rPr>
        <w:t> </w:t>
      </w:r>
    </w:p>
    <w:p w14:paraId="0F1B6598" w14:textId="591F388A" w:rsidR="00B53CD7" w:rsidRPr="002A6E4B" w:rsidRDefault="00B53CD7" w:rsidP="00630240">
      <w:pPr>
        <w:spacing w:after="0" w:line="360" w:lineRule="auto"/>
        <w:contextualSpacing/>
        <w:rPr>
          <w:rFonts w:eastAsia="Times New Roman" w:cs="Tahoma"/>
          <w:bCs/>
          <w:lang w:val="es-ES" w:eastAsia="es-ES"/>
        </w:rPr>
      </w:pPr>
      <w:r w:rsidRPr="002A6E4B">
        <w:rPr>
          <w:rFonts w:eastAsia="Times New Roman" w:cs="Tahoma"/>
          <w:lang w:val="es-ES" w:eastAsia="es-ES"/>
        </w:rPr>
        <w:t>Las cadenas originales y sellos que se agregan a las facturas</w:t>
      </w:r>
      <w:r w:rsidRPr="002A6E4B">
        <w:rPr>
          <w:rFonts w:eastAsia="Times New Roman" w:cs="Tahoma"/>
          <w:b/>
          <w:bCs/>
          <w:lang w:val="es-ES" w:eastAsia="es-ES"/>
        </w:rPr>
        <w:t>,</w:t>
      </w:r>
      <w:r w:rsidRPr="002A6E4B">
        <w:rPr>
          <w:rFonts w:eastAsia="Times New Roman" w:cs="Tahoma"/>
          <w:bCs/>
          <w:lang w:val="es-ES" w:eastAsia="es-ES"/>
        </w:rPr>
        <w:t xml:space="preserve"> tienen una secuencia de generación, determinados con base en el ANEXO 20 de la Segunda Resolución de modificaciones a la Resolución Miscelánea Fiscal, que precisa los datos de los que se componen los elementos de seguridad y se puntualiza que dicha información está encriptada.</w:t>
      </w:r>
    </w:p>
    <w:p w14:paraId="29153729" w14:textId="77777777" w:rsidR="00B53CD7" w:rsidRPr="002A6E4B" w:rsidRDefault="00B53CD7" w:rsidP="00630240">
      <w:pPr>
        <w:spacing w:after="0" w:line="360" w:lineRule="auto"/>
        <w:contextualSpacing/>
        <w:rPr>
          <w:rFonts w:eastAsia="Times New Roman" w:cs="Tahoma"/>
          <w:bCs/>
          <w:lang w:val="es-ES" w:eastAsia="es-ES"/>
        </w:rPr>
      </w:pPr>
      <w:r w:rsidRPr="002A6E4B">
        <w:rPr>
          <w:rFonts w:eastAsia="Times New Roman" w:cs="Tahoma"/>
          <w:bCs/>
          <w:lang w:val="es-ES" w:eastAsia="es-ES"/>
        </w:rPr>
        <w:t> </w:t>
      </w:r>
    </w:p>
    <w:p w14:paraId="2DF1E98D" w14:textId="77777777" w:rsidR="00B53CD7" w:rsidRPr="002A6E4B" w:rsidRDefault="00B53CD7" w:rsidP="00630240">
      <w:pPr>
        <w:spacing w:after="0" w:line="360" w:lineRule="auto"/>
        <w:ind w:left="567" w:right="539"/>
        <w:contextualSpacing/>
        <w:rPr>
          <w:rFonts w:eastAsia="Calibri" w:cs="Tahoma"/>
          <w:bCs/>
          <w:i/>
          <w:sz w:val="20"/>
          <w:szCs w:val="20"/>
          <w:lang w:val="es-ES"/>
        </w:rPr>
      </w:pPr>
      <w:r w:rsidRPr="002A6E4B">
        <w:rPr>
          <w:rFonts w:eastAsia="Calibri" w:cs="Tahoma"/>
          <w:bCs/>
          <w:i/>
          <w:sz w:val="20"/>
          <w:szCs w:val="20"/>
          <w:lang w:val="es-ES"/>
        </w:rPr>
        <w:lastRenderedPageBreak/>
        <w:t>“…</w:t>
      </w:r>
    </w:p>
    <w:p w14:paraId="34998EE7" w14:textId="77777777" w:rsidR="00B53CD7" w:rsidRPr="002A6E4B" w:rsidRDefault="00B53CD7" w:rsidP="00630240">
      <w:pPr>
        <w:spacing w:after="0" w:line="360" w:lineRule="auto"/>
        <w:ind w:left="567" w:right="539"/>
        <w:contextualSpacing/>
        <w:rPr>
          <w:rFonts w:eastAsia="Calibri" w:cs="Tahoma"/>
          <w:bCs/>
          <w:i/>
          <w:sz w:val="20"/>
          <w:szCs w:val="20"/>
          <w:lang w:val="es-ES"/>
        </w:rPr>
      </w:pPr>
      <w:r w:rsidRPr="002A6E4B">
        <w:rPr>
          <w:rFonts w:eastAsia="Calibri" w:cs="Tahoma"/>
          <w:bCs/>
          <w:i/>
          <w:sz w:val="20"/>
          <w:szCs w:val="20"/>
          <w:lang w:val="es-ES"/>
        </w:rPr>
        <w:t>Elementos utilizados en la generación de Sellos Digitales:</w:t>
      </w:r>
    </w:p>
    <w:p w14:paraId="020C151B" w14:textId="77777777" w:rsidR="00B53CD7" w:rsidRPr="002A6E4B" w:rsidRDefault="00B53CD7" w:rsidP="00630240">
      <w:pPr>
        <w:spacing w:after="0" w:line="360" w:lineRule="auto"/>
        <w:ind w:left="567" w:right="539"/>
        <w:contextualSpacing/>
        <w:rPr>
          <w:rFonts w:eastAsia="Calibri" w:cs="Tahoma"/>
          <w:bCs/>
          <w:i/>
          <w:sz w:val="20"/>
          <w:szCs w:val="20"/>
          <w:lang w:val="es-ES"/>
        </w:rPr>
      </w:pPr>
    </w:p>
    <w:p w14:paraId="2492507A" w14:textId="77777777" w:rsidR="00B53CD7" w:rsidRPr="002A6E4B" w:rsidRDefault="00B53CD7" w:rsidP="00630240">
      <w:pPr>
        <w:spacing w:after="0" w:line="360" w:lineRule="auto"/>
        <w:ind w:left="567" w:right="539"/>
        <w:contextualSpacing/>
        <w:rPr>
          <w:rFonts w:eastAsia="Calibri" w:cs="Tahoma"/>
          <w:bCs/>
          <w:i/>
          <w:sz w:val="20"/>
          <w:szCs w:val="20"/>
          <w:lang w:val="es-ES"/>
        </w:rPr>
      </w:pPr>
      <w:r w:rsidRPr="002A6E4B">
        <w:rPr>
          <w:rFonts w:eastAsia="Calibri" w:cs="Tahoma"/>
          <w:bCs/>
          <w:i/>
          <w:sz w:val="20"/>
          <w:szCs w:val="20"/>
          <w:lang w:val="es-ES"/>
        </w:rPr>
        <w:t>•</w:t>
      </w:r>
      <w:r w:rsidRPr="002A6E4B">
        <w:rPr>
          <w:rFonts w:eastAsia="Calibri" w:cs="Tahoma"/>
          <w:bCs/>
          <w:i/>
          <w:sz w:val="20"/>
          <w:szCs w:val="20"/>
          <w:lang w:val="es-ES"/>
        </w:rPr>
        <w:tab/>
        <w:t>Cadena Original, el elemento a sellar, en este caso de un comprobante fiscal digital a través de Internet.</w:t>
      </w:r>
    </w:p>
    <w:p w14:paraId="1C261D7C" w14:textId="77777777" w:rsidR="00B53CD7" w:rsidRPr="002A6E4B" w:rsidRDefault="00B53CD7" w:rsidP="00630240">
      <w:pPr>
        <w:spacing w:after="0" w:line="360" w:lineRule="auto"/>
        <w:ind w:left="567" w:right="539"/>
        <w:contextualSpacing/>
        <w:rPr>
          <w:rFonts w:eastAsia="Calibri" w:cs="Tahoma"/>
          <w:bCs/>
          <w:i/>
          <w:sz w:val="20"/>
          <w:szCs w:val="20"/>
          <w:lang w:val="es-ES"/>
        </w:rPr>
      </w:pPr>
      <w:r w:rsidRPr="002A6E4B">
        <w:rPr>
          <w:rFonts w:eastAsia="Calibri" w:cs="Tahoma"/>
          <w:bCs/>
          <w:i/>
          <w:sz w:val="20"/>
          <w:szCs w:val="20"/>
          <w:lang w:val="es-ES"/>
        </w:rPr>
        <w:t>•</w:t>
      </w:r>
      <w:r w:rsidRPr="002A6E4B">
        <w:rPr>
          <w:rFonts w:eastAsia="Calibri" w:cs="Tahoma"/>
          <w:bCs/>
          <w:i/>
          <w:sz w:val="20"/>
          <w:szCs w:val="20"/>
          <w:lang w:val="es-ES"/>
        </w:rPr>
        <w:tab/>
        <w:t>Certificado de Sello Digital y su correspondiente clave privada.</w:t>
      </w:r>
    </w:p>
    <w:p w14:paraId="7D45DB43" w14:textId="77777777" w:rsidR="00B53CD7" w:rsidRPr="002A6E4B" w:rsidRDefault="00B53CD7" w:rsidP="00630240">
      <w:pPr>
        <w:spacing w:after="0" w:line="360" w:lineRule="auto"/>
        <w:ind w:left="567" w:right="539"/>
        <w:contextualSpacing/>
        <w:rPr>
          <w:rFonts w:eastAsia="Calibri" w:cs="Tahoma"/>
          <w:bCs/>
          <w:i/>
          <w:sz w:val="20"/>
          <w:szCs w:val="20"/>
          <w:lang w:val="es-ES"/>
        </w:rPr>
      </w:pPr>
      <w:r w:rsidRPr="002A6E4B">
        <w:rPr>
          <w:rFonts w:eastAsia="Calibri" w:cs="Tahoma"/>
          <w:bCs/>
          <w:i/>
          <w:sz w:val="20"/>
          <w:szCs w:val="20"/>
          <w:lang w:val="es-ES"/>
        </w:rPr>
        <w:t>•</w:t>
      </w:r>
      <w:r w:rsidRPr="002A6E4B">
        <w:rPr>
          <w:rFonts w:eastAsia="Calibri" w:cs="Tahoma"/>
          <w:bCs/>
          <w:i/>
          <w:sz w:val="20"/>
          <w:szCs w:val="20"/>
          <w:lang w:val="es-ES"/>
        </w:rPr>
        <w:tab/>
        <w:t>Algoritmos de criptografía de clave pública para firma electrónica avanzada.</w:t>
      </w:r>
    </w:p>
    <w:p w14:paraId="7BF98289" w14:textId="77777777" w:rsidR="00B53CD7" w:rsidRPr="002A6E4B" w:rsidRDefault="00B53CD7" w:rsidP="00630240">
      <w:pPr>
        <w:spacing w:after="0" w:line="360" w:lineRule="auto"/>
        <w:ind w:left="567" w:right="539"/>
        <w:contextualSpacing/>
        <w:rPr>
          <w:rFonts w:eastAsia="Calibri" w:cs="Tahoma"/>
          <w:bCs/>
          <w:i/>
          <w:sz w:val="20"/>
          <w:szCs w:val="20"/>
          <w:lang w:val="es-ES"/>
        </w:rPr>
      </w:pPr>
      <w:r w:rsidRPr="002A6E4B">
        <w:rPr>
          <w:rFonts w:eastAsia="Calibri" w:cs="Tahoma"/>
          <w:bCs/>
          <w:i/>
          <w:sz w:val="20"/>
          <w:szCs w:val="20"/>
          <w:lang w:val="es-ES"/>
        </w:rPr>
        <w:t>•</w:t>
      </w:r>
      <w:r w:rsidRPr="002A6E4B">
        <w:rPr>
          <w:rFonts w:eastAsia="Calibri" w:cs="Tahoma"/>
          <w:bCs/>
          <w:i/>
          <w:sz w:val="20"/>
          <w:szCs w:val="20"/>
          <w:lang w:val="es-ES"/>
        </w:rPr>
        <w:tab/>
        <w:t>Especificaciones de conversión de la firma electrónica avanzada a Base 64.</w:t>
      </w:r>
    </w:p>
    <w:p w14:paraId="2E11C2DF" w14:textId="77777777" w:rsidR="00B53CD7" w:rsidRPr="002A6E4B" w:rsidRDefault="00B53CD7" w:rsidP="00630240">
      <w:pPr>
        <w:spacing w:after="0" w:line="360" w:lineRule="auto"/>
        <w:ind w:left="567" w:right="539"/>
        <w:contextualSpacing/>
        <w:rPr>
          <w:rFonts w:eastAsia="Calibri" w:cs="Tahoma"/>
          <w:bCs/>
          <w:i/>
          <w:sz w:val="20"/>
          <w:szCs w:val="20"/>
          <w:lang w:val="es-ES"/>
        </w:rPr>
      </w:pPr>
      <w:r w:rsidRPr="002A6E4B">
        <w:rPr>
          <w:rFonts w:eastAsia="Calibri" w:cs="Tahoma"/>
          <w:bCs/>
          <w:i/>
          <w:sz w:val="20"/>
          <w:szCs w:val="20"/>
          <w:lang w:val="es-ES"/>
        </w:rPr>
        <w:t>Para la generación de sellos digitales se utiliza criptografía de clave pública aplicada a una cadena original.</w:t>
      </w:r>
    </w:p>
    <w:p w14:paraId="7A6DBDA6" w14:textId="77777777" w:rsidR="00B53CD7" w:rsidRPr="002A6E4B" w:rsidRDefault="00B53CD7" w:rsidP="00630240">
      <w:pPr>
        <w:spacing w:after="0" w:line="360" w:lineRule="auto"/>
        <w:ind w:left="567" w:right="539"/>
        <w:contextualSpacing/>
        <w:rPr>
          <w:rFonts w:eastAsia="Calibri" w:cs="Tahoma"/>
          <w:bCs/>
          <w:i/>
          <w:sz w:val="20"/>
          <w:szCs w:val="20"/>
          <w:lang w:val="es-ES"/>
        </w:rPr>
      </w:pPr>
    </w:p>
    <w:p w14:paraId="5F1184EF" w14:textId="77777777" w:rsidR="00B53CD7" w:rsidRPr="002A6E4B" w:rsidRDefault="00B53CD7" w:rsidP="00630240">
      <w:pPr>
        <w:spacing w:after="0" w:line="360" w:lineRule="auto"/>
        <w:ind w:left="567" w:right="539"/>
        <w:contextualSpacing/>
        <w:rPr>
          <w:rFonts w:eastAsia="Calibri" w:cs="Tahoma"/>
          <w:bCs/>
          <w:i/>
          <w:sz w:val="20"/>
          <w:szCs w:val="20"/>
          <w:lang w:val="es-ES"/>
        </w:rPr>
      </w:pPr>
      <w:r w:rsidRPr="002A6E4B">
        <w:rPr>
          <w:rFonts w:eastAsia="Calibri" w:cs="Tahoma"/>
          <w:bCs/>
          <w:i/>
          <w:sz w:val="20"/>
          <w:szCs w:val="20"/>
          <w:lang w:val="es-ES"/>
        </w:rPr>
        <w:t>Criptografía de la Clave Pública</w:t>
      </w:r>
    </w:p>
    <w:p w14:paraId="3E25B9F0" w14:textId="77777777" w:rsidR="00B53CD7" w:rsidRPr="002A6E4B" w:rsidRDefault="00B53CD7" w:rsidP="00630240">
      <w:pPr>
        <w:spacing w:after="0" w:line="360" w:lineRule="auto"/>
        <w:ind w:left="567" w:right="539"/>
        <w:contextualSpacing/>
        <w:rPr>
          <w:rFonts w:eastAsia="Calibri" w:cs="Tahoma"/>
          <w:bCs/>
          <w:i/>
          <w:sz w:val="20"/>
          <w:szCs w:val="20"/>
          <w:lang w:val="es-ES"/>
        </w:rPr>
      </w:pPr>
      <w:r w:rsidRPr="002A6E4B">
        <w:rPr>
          <w:rFonts w:eastAsia="Calibri" w:cs="Tahoma"/>
          <w:bCs/>
          <w:i/>
          <w:sz w:val="20"/>
          <w:szCs w:val="20"/>
          <w:lang w:val="es-ES"/>
        </w:rPr>
        <w:t xml:space="preserve">La criptografía de Clave Pública se basa en la generación de una pareja de números muy grandes relacionados íntimamente entre sí, de tal manera que una operación de </w:t>
      </w:r>
      <w:proofErr w:type="spellStart"/>
      <w:r w:rsidRPr="002A6E4B">
        <w:rPr>
          <w:rFonts w:eastAsia="Calibri" w:cs="Tahoma"/>
          <w:bCs/>
          <w:i/>
          <w:sz w:val="20"/>
          <w:szCs w:val="20"/>
          <w:lang w:val="es-ES"/>
        </w:rPr>
        <w:t>encripción</w:t>
      </w:r>
      <w:proofErr w:type="spellEnd"/>
      <w:r w:rsidRPr="002A6E4B">
        <w:rPr>
          <w:rFonts w:eastAsia="Calibri" w:cs="Tahoma"/>
          <w:bCs/>
          <w:i/>
          <w:sz w:val="20"/>
          <w:szCs w:val="20"/>
          <w:lang w:val="es-ES"/>
        </w:rPr>
        <w:t xml:space="preserve"> sobre un mensaje tomando como clave de </w:t>
      </w:r>
      <w:proofErr w:type="spellStart"/>
      <w:r w:rsidRPr="002A6E4B">
        <w:rPr>
          <w:rFonts w:eastAsia="Calibri" w:cs="Tahoma"/>
          <w:bCs/>
          <w:i/>
          <w:sz w:val="20"/>
          <w:szCs w:val="20"/>
          <w:lang w:val="es-ES"/>
        </w:rPr>
        <w:t>encripción</w:t>
      </w:r>
      <w:proofErr w:type="spellEnd"/>
      <w:r w:rsidRPr="002A6E4B">
        <w:rPr>
          <w:rFonts w:eastAsia="Calibri" w:cs="Tahoma"/>
          <w:bCs/>
          <w:i/>
          <w:sz w:val="20"/>
          <w:szCs w:val="20"/>
          <w:lang w:val="es-ES"/>
        </w:rPr>
        <w:t xml:space="preserve"> a uno de los dos números, produce un mensaje alterado en su significado que solo puede ser devuelto a su estado original mediante la operación de </w:t>
      </w:r>
      <w:proofErr w:type="spellStart"/>
      <w:r w:rsidRPr="002A6E4B">
        <w:rPr>
          <w:rFonts w:eastAsia="Calibri" w:cs="Tahoma"/>
          <w:bCs/>
          <w:i/>
          <w:sz w:val="20"/>
          <w:szCs w:val="20"/>
          <w:lang w:val="es-ES"/>
        </w:rPr>
        <w:t>desencripción</w:t>
      </w:r>
      <w:proofErr w:type="spellEnd"/>
      <w:r w:rsidRPr="002A6E4B">
        <w:rPr>
          <w:rFonts w:eastAsia="Calibri" w:cs="Tahoma"/>
          <w:bCs/>
          <w:i/>
          <w:sz w:val="20"/>
          <w:szCs w:val="20"/>
          <w:lang w:val="es-ES"/>
        </w:rPr>
        <w:t xml:space="preserve"> correspondiente tomando como clave de </w:t>
      </w:r>
      <w:proofErr w:type="spellStart"/>
      <w:r w:rsidRPr="002A6E4B">
        <w:rPr>
          <w:rFonts w:eastAsia="Calibri" w:cs="Tahoma"/>
          <w:bCs/>
          <w:i/>
          <w:sz w:val="20"/>
          <w:szCs w:val="20"/>
          <w:lang w:val="es-ES"/>
        </w:rPr>
        <w:t>desencripción</w:t>
      </w:r>
      <w:proofErr w:type="spellEnd"/>
      <w:r w:rsidRPr="002A6E4B">
        <w:rPr>
          <w:rFonts w:eastAsia="Calibri" w:cs="Tahoma"/>
          <w:bCs/>
          <w:i/>
          <w:sz w:val="20"/>
          <w:szCs w:val="20"/>
          <w:lang w:val="es-ES"/>
        </w:rPr>
        <w:t xml:space="preserve"> al otro número de la pareja.</w:t>
      </w:r>
    </w:p>
    <w:p w14:paraId="485B025B" w14:textId="77777777" w:rsidR="00B53CD7" w:rsidRPr="002A6E4B" w:rsidRDefault="00B53CD7" w:rsidP="00630240">
      <w:pPr>
        <w:spacing w:after="0" w:line="360" w:lineRule="auto"/>
        <w:ind w:left="567" w:right="539"/>
        <w:contextualSpacing/>
        <w:rPr>
          <w:rFonts w:eastAsia="Calibri" w:cs="Tahoma"/>
          <w:bCs/>
          <w:i/>
          <w:sz w:val="20"/>
          <w:szCs w:val="20"/>
          <w:lang w:val="es-ES"/>
        </w:rPr>
      </w:pPr>
      <w:r w:rsidRPr="002A6E4B">
        <w:rPr>
          <w:rFonts w:eastAsia="Calibri" w:cs="Tahoma"/>
          <w:bCs/>
          <w:i/>
          <w:sz w:val="20"/>
          <w:szCs w:val="20"/>
          <w:lang w:val="es-ES"/>
        </w:rPr>
        <w:t>…”</w:t>
      </w:r>
    </w:p>
    <w:p w14:paraId="6676328D" w14:textId="77777777" w:rsidR="00B53CD7" w:rsidRPr="002A6E4B" w:rsidRDefault="00B53CD7" w:rsidP="00630240">
      <w:pPr>
        <w:spacing w:after="0" w:line="360" w:lineRule="auto"/>
        <w:contextualSpacing/>
        <w:rPr>
          <w:rFonts w:eastAsia="Times New Roman" w:cs="Tahoma"/>
          <w:bCs/>
          <w:lang w:val="es-ES" w:eastAsia="es-ES"/>
        </w:rPr>
      </w:pPr>
      <w:r w:rsidRPr="002A6E4B">
        <w:rPr>
          <w:rFonts w:eastAsia="Times New Roman" w:cs="Tahoma"/>
          <w:bCs/>
          <w:lang w:val="es-ES" w:eastAsia="es-ES"/>
        </w:rPr>
        <w:t> </w:t>
      </w:r>
    </w:p>
    <w:p w14:paraId="5F7E2EBA" w14:textId="77777777" w:rsidR="00B53CD7" w:rsidRPr="002A6E4B" w:rsidRDefault="00B53CD7" w:rsidP="00630240">
      <w:pPr>
        <w:spacing w:after="0" w:line="360" w:lineRule="auto"/>
        <w:contextualSpacing/>
        <w:rPr>
          <w:rFonts w:eastAsia="Times New Roman" w:cs="Tahoma"/>
          <w:bCs/>
          <w:lang w:val="es-ES" w:eastAsia="es-ES"/>
        </w:rPr>
      </w:pPr>
      <w:r w:rsidRPr="002A6E4B">
        <w:rPr>
          <w:rFonts w:eastAsia="Times New Roman" w:cs="Tahoma"/>
          <w:bCs/>
          <w:lang w:val="es-ES" w:eastAsia="es-ES"/>
        </w:rPr>
        <w:t>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06D377CE" w14:textId="77777777" w:rsidR="00B53CD7" w:rsidRPr="002A6E4B" w:rsidRDefault="00B53CD7" w:rsidP="00630240">
      <w:pPr>
        <w:spacing w:after="0" w:line="360" w:lineRule="auto"/>
        <w:contextualSpacing/>
        <w:rPr>
          <w:rFonts w:eastAsia="Times New Roman" w:cs="Tahoma"/>
          <w:bCs/>
          <w:lang w:val="es-ES" w:eastAsia="es-ES"/>
        </w:rPr>
      </w:pPr>
    </w:p>
    <w:p w14:paraId="79A7D254" w14:textId="77777777" w:rsidR="00B53CD7" w:rsidRPr="002A6E4B" w:rsidRDefault="00B53CD7" w:rsidP="00630240">
      <w:pPr>
        <w:spacing w:after="0" w:line="360" w:lineRule="auto"/>
        <w:contextualSpacing/>
        <w:rPr>
          <w:rFonts w:eastAsia="Times New Roman" w:cs="Tahoma"/>
          <w:bCs/>
          <w:lang w:val="es-ES" w:eastAsia="es-ES"/>
        </w:rPr>
      </w:pPr>
      <w:r w:rsidRPr="002A6E4B">
        <w:rPr>
          <w:rFonts w:eastAsia="Times New Roman" w:cs="Tahoma"/>
          <w:bCs/>
          <w:lang w:val="es-ES" w:eastAsia="es-ES"/>
        </w:rPr>
        <w:t xml:space="preserve">Sin embargo, existen ocasiones que las cadenas y sellos se conforman de datos personales, tales como, la Clave Única de Registro de Población, el Registro Federal de Contribuyentes o el </w:t>
      </w:r>
      <w:r w:rsidRPr="002A6E4B">
        <w:rPr>
          <w:rFonts w:eastAsia="Times New Roman" w:cs="Tahoma"/>
          <w:bCs/>
          <w:lang w:val="es-ES" w:eastAsia="es-ES"/>
        </w:rPr>
        <w:lastRenderedPageBreak/>
        <w:t>número de seguridad social, por lo que, en el caso de que alguno de los datos analizados se conforme de información confidencial, deberá clasificarlo en términos del artículo referido.</w:t>
      </w:r>
    </w:p>
    <w:p w14:paraId="363CDF12" w14:textId="77777777" w:rsidR="00B53CD7" w:rsidRPr="002A6E4B" w:rsidRDefault="00B53CD7" w:rsidP="00630240">
      <w:pPr>
        <w:spacing w:after="0" w:line="360" w:lineRule="auto"/>
        <w:contextualSpacing/>
        <w:rPr>
          <w:rFonts w:eastAsia="Times New Roman" w:cs="Tahoma"/>
          <w:bCs/>
          <w:lang w:val="es-ES" w:eastAsia="es-ES"/>
        </w:rPr>
      </w:pPr>
    </w:p>
    <w:p w14:paraId="5846876F" w14:textId="77777777" w:rsidR="00B53CD7" w:rsidRPr="002A6E4B" w:rsidRDefault="00B53CD7" w:rsidP="00630240">
      <w:pPr>
        <w:tabs>
          <w:tab w:val="left" w:pos="4962"/>
        </w:tabs>
        <w:spacing w:after="0" w:line="360" w:lineRule="auto"/>
        <w:rPr>
          <w:rFonts w:eastAsia="Times New Roman" w:cs="Tahoma"/>
          <w:szCs w:val="24"/>
          <w:lang w:eastAsia="es-ES"/>
        </w:rPr>
      </w:pPr>
      <w:r w:rsidRPr="002A6E4B">
        <w:rPr>
          <w:rFonts w:eastAsia="Times New Roman" w:cs="Tahoma"/>
          <w:szCs w:val="24"/>
          <w:lang w:eastAsia="es-ES"/>
        </w:rPr>
        <w:t>De tal circunstancia, el Sujeto Obligado al entregar la información, deberá tomar en cuenta lo establecido en párrafos anteriores, para que únicamente clasifique aquellos datos que sean confidenciales, considerando también que el documento de seguridad debe proteger las medidas de seguridad, que también deberán ser confidenciales.</w:t>
      </w:r>
    </w:p>
    <w:p w14:paraId="22300AF3" w14:textId="77777777" w:rsidR="005A5C0E" w:rsidRPr="002A6E4B" w:rsidRDefault="005A5C0E" w:rsidP="00630240">
      <w:pPr>
        <w:spacing w:after="0" w:line="360" w:lineRule="auto"/>
        <w:ind w:right="-28"/>
        <w:contextualSpacing/>
        <w:rPr>
          <w:rFonts w:eastAsia="Times New Roman" w:cs="Times New Roman"/>
          <w:color w:val="auto"/>
          <w:lang w:eastAsia="es-ES"/>
        </w:rPr>
      </w:pPr>
    </w:p>
    <w:p w14:paraId="2820BE7B" w14:textId="77777777" w:rsidR="005A5C0E" w:rsidRPr="002A6E4B" w:rsidRDefault="005A5C0E" w:rsidP="00630240">
      <w:pPr>
        <w:spacing w:after="0" w:line="360" w:lineRule="auto"/>
        <w:ind w:right="-28"/>
        <w:contextualSpacing/>
        <w:rPr>
          <w:rFonts w:eastAsia="Times New Roman" w:cs="Times New Roman"/>
          <w:color w:val="auto"/>
          <w:lang w:eastAsia="es-ES"/>
        </w:rPr>
      </w:pPr>
      <w:r w:rsidRPr="002A6E4B">
        <w:rPr>
          <w:rFonts w:eastAsia="Times New Roman" w:cs="Times New Roman"/>
          <w:color w:val="auto"/>
          <w:lang w:eastAsia="es-ES"/>
        </w:rPr>
        <w:t xml:space="preserve">Finalmente, el Sujeto Obligado, deberá elaborar la versión pública respectiva, tomando en consideración los datos analizados;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0B3842FD" w14:textId="77777777" w:rsidR="005A5C0E" w:rsidRPr="002A6E4B" w:rsidRDefault="005A5C0E" w:rsidP="00630240">
      <w:pPr>
        <w:spacing w:after="0" w:line="360" w:lineRule="auto"/>
        <w:ind w:right="-28"/>
        <w:contextualSpacing/>
        <w:rPr>
          <w:rFonts w:eastAsia="Times New Roman" w:cs="Times New Roman"/>
          <w:color w:val="auto"/>
          <w:lang w:eastAsia="es-ES"/>
        </w:rPr>
      </w:pPr>
    </w:p>
    <w:p w14:paraId="086E9045" w14:textId="77777777" w:rsidR="005A5C0E" w:rsidRPr="002A6E4B" w:rsidRDefault="005A5C0E" w:rsidP="00630240">
      <w:pPr>
        <w:spacing w:after="0" w:line="360" w:lineRule="auto"/>
        <w:ind w:right="-28"/>
        <w:contextualSpacing/>
        <w:rPr>
          <w:rFonts w:eastAsia="Times New Roman" w:cs="Times New Roman"/>
          <w:color w:val="auto"/>
          <w:lang w:eastAsia="es-ES"/>
        </w:rPr>
      </w:pPr>
      <w:r w:rsidRPr="002A6E4B">
        <w:rPr>
          <w:rFonts w:eastAsia="Times New Roman" w:cs="Times New Roman"/>
          <w:color w:val="auto"/>
          <w:lang w:eastAsia="es-E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4380B62B" w14:textId="77777777" w:rsidR="00AE056E" w:rsidRPr="002A6E4B" w:rsidRDefault="00AE056E" w:rsidP="00630240">
      <w:pPr>
        <w:spacing w:after="0" w:line="360" w:lineRule="auto"/>
        <w:contextualSpacing/>
        <w:rPr>
          <w:rFonts w:eastAsia="Calibri" w:cs="Tahoma"/>
          <w:iCs/>
          <w:lang w:val="es-ES" w:eastAsia="es-ES_tradnl"/>
        </w:rPr>
      </w:pPr>
    </w:p>
    <w:p w14:paraId="4E01787E" w14:textId="77777777" w:rsidR="00CA1DBB" w:rsidRPr="002A6E4B" w:rsidRDefault="00CA1DBB" w:rsidP="00630240">
      <w:pPr>
        <w:pStyle w:val="Ttulo2"/>
        <w:spacing w:before="0" w:after="0" w:line="360" w:lineRule="auto"/>
      </w:pPr>
      <w:bookmarkStart w:id="19" w:name="_Toc206593583"/>
      <w:r w:rsidRPr="002A6E4B">
        <w:t>SEXTO. Decisión.</w:t>
      </w:r>
      <w:bookmarkEnd w:id="19"/>
      <w:r w:rsidRPr="002A6E4B">
        <w:t xml:space="preserve"> </w:t>
      </w:r>
    </w:p>
    <w:p w14:paraId="29786838" w14:textId="77777777" w:rsidR="00CA1DBB" w:rsidRPr="002A6E4B" w:rsidRDefault="00CA1DBB" w:rsidP="00630240">
      <w:pPr>
        <w:spacing w:after="0" w:line="360" w:lineRule="auto"/>
        <w:ind w:right="-93"/>
        <w:contextualSpacing/>
        <w:rPr>
          <w:rFonts w:cs="Tahoma"/>
          <w:b/>
        </w:rPr>
      </w:pPr>
    </w:p>
    <w:p w14:paraId="0B42FC25" w14:textId="13CB3E99" w:rsidR="00CA1DBB" w:rsidRPr="002A6E4B" w:rsidRDefault="00CA1DBB" w:rsidP="00630240">
      <w:pPr>
        <w:spacing w:after="0" w:line="360" w:lineRule="auto"/>
        <w:ind w:right="-93"/>
        <w:contextualSpacing/>
        <w:rPr>
          <w:rFonts w:cs="Tahoma"/>
        </w:rPr>
      </w:pPr>
      <w:r w:rsidRPr="002A6E4B">
        <w:rPr>
          <w:rFonts w:cs="Tahoma"/>
        </w:rPr>
        <w:t xml:space="preserve">Con fundamento en el artículo 186, fracción III, de la Ley de Transparencia y Acceso a la Información Pública del Estado de México y Municipios, este Instituto considera procedente </w:t>
      </w:r>
      <w:r w:rsidRPr="002A6E4B">
        <w:rPr>
          <w:rFonts w:cs="Tahoma"/>
          <w:b/>
        </w:rPr>
        <w:t>MODIFICAR</w:t>
      </w:r>
      <w:r w:rsidRPr="002A6E4B">
        <w:rPr>
          <w:rFonts w:cs="Tahoma"/>
        </w:rPr>
        <w:t xml:space="preserve"> la respuesta otorgada por el Sujeto Obligado a la solicitud de información </w:t>
      </w:r>
      <w:r w:rsidR="00511105" w:rsidRPr="002A6E4B">
        <w:rPr>
          <w:rFonts w:cs="Tahoma"/>
          <w:b/>
          <w:bCs/>
        </w:rPr>
        <w:t>00309/COCOTIT/IP/2025</w:t>
      </w:r>
      <w:r w:rsidRPr="002A6E4B">
        <w:rPr>
          <w:rFonts w:cs="Tahoma"/>
        </w:rPr>
        <w:t xml:space="preserve">, por resultar parcialmente fundadas las razones o motivos de </w:t>
      </w:r>
      <w:r w:rsidRPr="002A6E4B">
        <w:rPr>
          <w:rFonts w:cs="Tahoma"/>
        </w:rPr>
        <w:lastRenderedPageBreak/>
        <w:t xml:space="preserve">inconformidad hechos valer por el Recurrente, en el Recurso de Revisión </w:t>
      </w:r>
      <w:r w:rsidR="00511105" w:rsidRPr="002A6E4B">
        <w:rPr>
          <w:rFonts w:cs="Tahoma"/>
          <w:b/>
        </w:rPr>
        <w:t>05821/INFOEM/IP/RR/2025</w:t>
      </w:r>
      <w:r w:rsidRPr="002A6E4B">
        <w:rPr>
          <w:rFonts w:cs="Tahoma"/>
        </w:rPr>
        <w:t xml:space="preserve">, en consecuencia procede </w:t>
      </w:r>
      <w:r w:rsidRPr="002A6E4B">
        <w:rPr>
          <w:rFonts w:cs="Tahoma"/>
          <w:b/>
        </w:rPr>
        <w:t>ORDENAR</w:t>
      </w:r>
      <w:r w:rsidRPr="002A6E4B">
        <w:rPr>
          <w:rFonts w:cs="Tahoma"/>
        </w:rPr>
        <w:t>, conceda en su caso en versión pública a través del Sistema de Acceso a la Información Mexiquense (SAIMEX), lo requerido por el Particular.</w:t>
      </w:r>
    </w:p>
    <w:p w14:paraId="23CFDC14" w14:textId="77777777" w:rsidR="00CA1DBB" w:rsidRPr="002A6E4B" w:rsidRDefault="00CA1DBB" w:rsidP="00630240">
      <w:pPr>
        <w:spacing w:after="0" w:line="360" w:lineRule="auto"/>
        <w:ind w:right="-93"/>
      </w:pPr>
    </w:p>
    <w:p w14:paraId="783AAD6D" w14:textId="77777777" w:rsidR="00CA1DBB" w:rsidRPr="002A6E4B" w:rsidRDefault="00CA1DBB" w:rsidP="00630240">
      <w:pPr>
        <w:spacing w:after="0" w:line="360" w:lineRule="auto"/>
        <w:contextualSpacing/>
        <w:rPr>
          <w:rFonts w:eastAsia="Calibri" w:cs="Tahoma"/>
          <w:b/>
          <w:bCs/>
          <w:iCs/>
          <w:u w:val="single"/>
          <w:lang w:val="es-ES" w:eastAsia="es-ES_tradnl"/>
        </w:rPr>
      </w:pPr>
      <w:r w:rsidRPr="002A6E4B">
        <w:rPr>
          <w:rFonts w:eastAsia="Calibri" w:cs="Tahoma"/>
          <w:b/>
          <w:bCs/>
          <w:iCs/>
          <w:u w:val="single"/>
          <w:lang w:val="es-ES" w:eastAsia="es-ES_tradnl"/>
        </w:rPr>
        <w:t>Términos de la Resolución para el Recurrente:</w:t>
      </w:r>
    </w:p>
    <w:p w14:paraId="7E1C1758" w14:textId="77777777" w:rsidR="00CA1DBB" w:rsidRPr="002A6E4B" w:rsidRDefault="00CA1DBB" w:rsidP="00630240">
      <w:pPr>
        <w:spacing w:after="0" w:line="360" w:lineRule="auto"/>
        <w:rPr>
          <w:rFonts w:eastAsia="Calibri" w:cs="Tahoma"/>
          <w:iCs/>
          <w:lang w:eastAsia="es-ES_tradnl"/>
        </w:rPr>
      </w:pPr>
    </w:p>
    <w:p w14:paraId="16B888C7" w14:textId="77777777" w:rsidR="00CA1DBB" w:rsidRPr="002A6E4B" w:rsidRDefault="00CA1DBB" w:rsidP="00630240">
      <w:pPr>
        <w:spacing w:after="0" w:line="360" w:lineRule="auto"/>
        <w:rPr>
          <w:rFonts w:cs="Tahoma"/>
          <w:bCs/>
        </w:rPr>
      </w:pPr>
      <w:r w:rsidRPr="002A6E4B">
        <w:rPr>
          <w:rFonts w:cs="Tahoma"/>
          <w:bCs/>
        </w:rPr>
        <w:t>Se hace del conocimiento del Recurrente la determinación de este Organismo Garante a su inconformidad:</w:t>
      </w:r>
    </w:p>
    <w:p w14:paraId="4063ECDF" w14:textId="77777777" w:rsidR="00CA1DBB" w:rsidRPr="002A6E4B" w:rsidRDefault="00CA1DBB" w:rsidP="00630240">
      <w:pPr>
        <w:spacing w:after="0" w:line="360" w:lineRule="auto"/>
        <w:rPr>
          <w:rFonts w:cs="Tahoma"/>
          <w:bCs/>
        </w:rPr>
      </w:pPr>
    </w:p>
    <w:p w14:paraId="5482F1CA" w14:textId="08AACCBB" w:rsidR="00CA1DBB" w:rsidRPr="002A6E4B" w:rsidRDefault="00CA1DBB" w:rsidP="00630240">
      <w:pPr>
        <w:spacing w:after="0" w:line="360" w:lineRule="auto"/>
        <w:rPr>
          <w:rFonts w:cs="Tahoma"/>
          <w:bCs/>
        </w:rPr>
      </w:pPr>
      <w:r w:rsidRPr="002A6E4B">
        <w:rPr>
          <w:rFonts w:cs="Tahoma"/>
          <w:bCs/>
        </w:rPr>
        <w:t xml:space="preserve">Este Instituto, determinó modificar la respuesta que le entregó el Sujeto Obligado a su solicitud de acceso, toda vez que </w:t>
      </w:r>
      <w:r w:rsidR="00DE3524" w:rsidRPr="002A6E4B">
        <w:rPr>
          <w:rFonts w:cs="Tahoma"/>
          <w:bCs/>
        </w:rPr>
        <w:t>no hizo entrega de las facturas solicitadas por el Particular.</w:t>
      </w:r>
    </w:p>
    <w:p w14:paraId="3E82B6DD" w14:textId="77777777" w:rsidR="00CA1DBB" w:rsidRPr="002A6E4B" w:rsidRDefault="00CA1DBB" w:rsidP="00630240">
      <w:pPr>
        <w:spacing w:after="0" w:line="360" w:lineRule="auto"/>
        <w:rPr>
          <w:rFonts w:cs="Tahoma"/>
          <w:bCs/>
          <w:u w:val="single"/>
        </w:rPr>
      </w:pPr>
    </w:p>
    <w:p w14:paraId="37AE0604" w14:textId="77777777" w:rsidR="00CA1DBB" w:rsidRPr="002A6E4B" w:rsidRDefault="00CA1DBB" w:rsidP="00630240">
      <w:pPr>
        <w:spacing w:after="0" w:line="360" w:lineRule="auto"/>
        <w:ind w:right="-93"/>
        <w:rPr>
          <w:rFonts w:cs="Tahoma"/>
          <w:bCs/>
          <w:u w:val="single"/>
        </w:rPr>
      </w:pPr>
      <w:r w:rsidRPr="002A6E4B">
        <w:rPr>
          <w:rFonts w:cs="Tahoma"/>
          <w:bCs/>
          <w:u w:val="single"/>
        </w:rPr>
        <w:t>La labor del INFOEM, es apoyar a la población para acceder a la información pública y garantizar la protección de sus datos personales.</w:t>
      </w:r>
    </w:p>
    <w:p w14:paraId="2A29971B" w14:textId="77777777" w:rsidR="00CA1DBB" w:rsidRPr="002A6E4B" w:rsidRDefault="00CA1DBB" w:rsidP="00630240">
      <w:pPr>
        <w:spacing w:after="0" w:line="360" w:lineRule="auto"/>
        <w:ind w:right="-91"/>
        <w:jc w:val="center"/>
        <w:rPr>
          <w:rFonts w:eastAsia="Calibri" w:cs="Tahoma"/>
          <w:b/>
          <w:bCs/>
          <w:lang w:eastAsia="en-US"/>
        </w:rPr>
      </w:pPr>
    </w:p>
    <w:p w14:paraId="18969D82" w14:textId="77777777" w:rsidR="00CA1DBB" w:rsidRPr="002A6E4B" w:rsidRDefault="00CA1DBB" w:rsidP="00630240">
      <w:pPr>
        <w:pStyle w:val="Ttulo1"/>
        <w:spacing w:before="0" w:after="0"/>
        <w:ind w:right="142"/>
        <w:rPr>
          <w:rFonts w:eastAsia="Calibri" w:cs="Tahoma"/>
          <w:b w:val="0"/>
          <w:bCs/>
          <w:szCs w:val="22"/>
          <w:lang w:eastAsia="en-US"/>
        </w:rPr>
      </w:pPr>
      <w:bookmarkStart w:id="20" w:name="_Toc206593584"/>
      <w:r w:rsidRPr="002A6E4B">
        <w:rPr>
          <w:szCs w:val="22"/>
        </w:rPr>
        <w:t>R E S U E L V E</w:t>
      </w:r>
      <w:bookmarkEnd w:id="20"/>
    </w:p>
    <w:p w14:paraId="65254EA1" w14:textId="77777777" w:rsidR="00CA1DBB" w:rsidRPr="002A6E4B" w:rsidRDefault="00CA1DBB" w:rsidP="00630240">
      <w:pPr>
        <w:spacing w:after="0" w:line="360" w:lineRule="auto"/>
        <w:ind w:right="-91"/>
        <w:jc w:val="center"/>
        <w:rPr>
          <w:rFonts w:eastAsia="Calibri" w:cs="Tahoma"/>
          <w:b/>
          <w:bCs/>
          <w:lang w:eastAsia="en-US"/>
        </w:rPr>
      </w:pPr>
    </w:p>
    <w:p w14:paraId="63465E7D" w14:textId="3A0A3732" w:rsidR="00CA1DBB" w:rsidRPr="002A6E4B" w:rsidRDefault="00CA1DBB" w:rsidP="00630240">
      <w:pPr>
        <w:spacing w:after="0" w:line="360" w:lineRule="auto"/>
        <w:contextualSpacing/>
        <w:rPr>
          <w:rFonts w:eastAsia="Calibri" w:cs="Tahoma"/>
          <w:bCs/>
          <w:lang w:eastAsia="en-US"/>
        </w:rPr>
      </w:pPr>
      <w:r w:rsidRPr="002A6E4B">
        <w:rPr>
          <w:rFonts w:cs="Tahoma"/>
          <w:b/>
          <w:bCs/>
        </w:rPr>
        <w:t xml:space="preserve">PRIMERO. </w:t>
      </w:r>
      <w:r w:rsidRPr="002A6E4B">
        <w:rPr>
          <w:rFonts w:cs="Tahoma"/>
          <w:bCs/>
        </w:rPr>
        <w:t xml:space="preserve">Se </w:t>
      </w:r>
      <w:r w:rsidRPr="002A6E4B">
        <w:rPr>
          <w:rFonts w:cs="Tahoma"/>
          <w:b/>
          <w:bCs/>
        </w:rPr>
        <w:t>MODIFICA</w:t>
      </w:r>
      <w:r w:rsidRPr="002A6E4B">
        <w:rPr>
          <w:rFonts w:cs="Tahoma"/>
          <w:bCs/>
        </w:rPr>
        <w:t xml:space="preserve"> la respuesta entregada por el </w:t>
      </w:r>
      <w:r w:rsidRPr="002A6E4B">
        <w:rPr>
          <w:rFonts w:cs="Tahoma"/>
          <w:b/>
          <w:bCs/>
        </w:rPr>
        <w:t xml:space="preserve">Ayuntamiento de </w:t>
      </w:r>
      <w:r w:rsidR="00DE3524" w:rsidRPr="002A6E4B">
        <w:rPr>
          <w:rFonts w:cs="Tahoma"/>
          <w:b/>
          <w:bCs/>
        </w:rPr>
        <w:t>Cocotitlán</w:t>
      </w:r>
      <w:r w:rsidRPr="002A6E4B">
        <w:rPr>
          <w:rFonts w:cs="Tahoma"/>
          <w:b/>
          <w:bCs/>
        </w:rPr>
        <w:t xml:space="preserve"> </w:t>
      </w:r>
      <w:r w:rsidRPr="002A6E4B">
        <w:rPr>
          <w:rFonts w:eastAsia="Calibri" w:cs="Tahoma"/>
          <w:bCs/>
          <w:lang w:eastAsia="en-US"/>
        </w:rPr>
        <w:t>a</w:t>
      </w:r>
      <w:r w:rsidRPr="002A6E4B">
        <w:rPr>
          <w:rFonts w:cs="Tahoma"/>
          <w:bCs/>
        </w:rPr>
        <w:t xml:space="preserve"> la solicitud de información </w:t>
      </w:r>
      <w:r w:rsidR="00511105" w:rsidRPr="002A6E4B">
        <w:rPr>
          <w:b/>
          <w:bCs/>
        </w:rPr>
        <w:t>00309/COCOTIT/IP/2025</w:t>
      </w:r>
      <w:r w:rsidR="000D4494" w:rsidRPr="002A6E4B">
        <w:rPr>
          <w:b/>
          <w:bCs/>
        </w:rPr>
        <w:t xml:space="preserve"> </w:t>
      </w:r>
      <w:r w:rsidRPr="002A6E4B">
        <w:rPr>
          <w:bCs/>
        </w:rPr>
        <w:t xml:space="preserve">por resultar parcialmente </w:t>
      </w:r>
      <w:r w:rsidRPr="002A6E4B">
        <w:t>fundadas</w:t>
      </w:r>
      <w:r w:rsidRPr="002A6E4B">
        <w:rPr>
          <w:rFonts w:cs="Tahoma"/>
          <w:bCs/>
        </w:rPr>
        <w:t xml:space="preserve"> </w:t>
      </w:r>
      <w:r w:rsidRPr="002A6E4B">
        <w:rPr>
          <w:rFonts w:eastAsia="Calibri" w:cs="Tahoma"/>
          <w:bCs/>
          <w:lang w:eastAsia="en-US"/>
        </w:rPr>
        <w:t xml:space="preserve">las razones o motivos de inconformidad hechos valer por el Recurrente en el Recurso de Revisión </w:t>
      </w:r>
      <w:r w:rsidR="00DE3524" w:rsidRPr="002A6E4B">
        <w:rPr>
          <w:rFonts w:cs="Tahoma"/>
          <w:b/>
          <w:bCs/>
          <w:color w:val="0D0D0D" w:themeColor="text1" w:themeTint="F2"/>
        </w:rPr>
        <w:t>05821</w:t>
      </w:r>
      <w:r w:rsidRPr="002A6E4B">
        <w:rPr>
          <w:rFonts w:cs="Tahoma"/>
          <w:b/>
          <w:bCs/>
          <w:color w:val="0D0D0D" w:themeColor="text1" w:themeTint="F2"/>
        </w:rPr>
        <w:t>/INFOEM/IP/RR/202</w:t>
      </w:r>
      <w:r w:rsidR="002A6E4B">
        <w:rPr>
          <w:rFonts w:cs="Tahoma"/>
          <w:b/>
          <w:bCs/>
          <w:color w:val="0D0D0D" w:themeColor="text1" w:themeTint="F2"/>
        </w:rPr>
        <w:t>5</w:t>
      </w:r>
      <w:r w:rsidRPr="002A6E4B">
        <w:rPr>
          <w:rFonts w:eastAsia="Calibri" w:cs="Tahoma"/>
          <w:bCs/>
          <w:lang w:eastAsia="en-US"/>
        </w:rPr>
        <w:t>, en términos de los considerandos QUINTO y SEXTO de la presente Resolución.</w:t>
      </w:r>
    </w:p>
    <w:p w14:paraId="1DA3BFBF" w14:textId="77777777" w:rsidR="00CA1DBB" w:rsidRPr="002A6E4B" w:rsidRDefault="00CA1DBB" w:rsidP="00630240">
      <w:pPr>
        <w:spacing w:after="0" w:line="360" w:lineRule="auto"/>
        <w:contextualSpacing/>
        <w:rPr>
          <w:rFonts w:cs="Tahoma"/>
          <w:bCs/>
        </w:rPr>
      </w:pPr>
    </w:p>
    <w:p w14:paraId="2DFFD02A" w14:textId="73B5118B" w:rsidR="00CA1DBB" w:rsidRPr="002A6E4B" w:rsidRDefault="00CA1DBB" w:rsidP="00630240">
      <w:pPr>
        <w:tabs>
          <w:tab w:val="left" w:pos="7938"/>
        </w:tabs>
        <w:spacing w:after="0" w:line="360" w:lineRule="auto"/>
        <w:ind w:right="-93"/>
        <w:contextualSpacing/>
        <w:rPr>
          <w:rFonts w:cs="Arial"/>
          <w:lang w:val="es-ES"/>
        </w:rPr>
      </w:pPr>
      <w:r w:rsidRPr="002A6E4B">
        <w:rPr>
          <w:rFonts w:cs="Tahoma"/>
          <w:b/>
          <w:bCs/>
        </w:rPr>
        <w:t xml:space="preserve">SEGUNDO. </w:t>
      </w:r>
      <w:r w:rsidRPr="002A6E4B">
        <w:rPr>
          <w:rFonts w:cs="Tahoma"/>
        </w:rPr>
        <w:t xml:space="preserve">Se </w:t>
      </w:r>
      <w:r w:rsidRPr="002A6E4B">
        <w:rPr>
          <w:rFonts w:cs="Tahoma"/>
          <w:b/>
        </w:rPr>
        <w:t xml:space="preserve">ORDENA </w:t>
      </w:r>
      <w:r w:rsidRPr="002A6E4B">
        <w:rPr>
          <w:rFonts w:cs="Tahoma"/>
        </w:rPr>
        <w:t xml:space="preserve">al </w:t>
      </w:r>
      <w:r w:rsidRPr="002A6E4B">
        <w:rPr>
          <w:rFonts w:eastAsia="Calibri" w:cs="Tahoma"/>
          <w:b/>
          <w:bCs/>
          <w:lang w:eastAsia="en-US"/>
        </w:rPr>
        <w:t xml:space="preserve">Ayuntamiento de </w:t>
      </w:r>
      <w:r w:rsidR="00DE3524" w:rsidRPr="002A6E4B">
        <w:rPr>
          <w:rFonts w:eastAsia="Calibri" w:cs="Tahoma"/>
          <w:b/>
          <w:bCs/>
          <w:lang w:eastAsia="en-US"/>
        </w:rPr>
        <w:t>Cocotitlán</w:t>
      </w:r>
      <w:r w:rsidRPr="002A6E4B">
        <w:rPr>
          <w:rFonts w:cs="Tahoma"/>
        </w:rPr>
        <w:t>, a efecto de que, previa búsqueda exhaustiva y razonable en los archivos de sus áreas competentes, remita</w:t>
      </w:r>
      <w:r w:rsidRPr="002A6E4B">
        <w:rPr>
          <w:rFonts w:cs="Tahoma"/>
          <w:bCs/>
          <w:iCs/>
          <w:lang w:val="es-ES_tradnl"/>
        </w:rPr>
        <w:t xml:space="preserve">, a través del Sistema de </w:t>
      </w:r>
      <w:r w:rsidRPr="002A6E4B">
        <w:rPr>
          <w:rFonts w:cs="Tahoma"/>
          <w:bCs/>
          <w:iCs/>
          <w:lang w:val="es-ES_tradnl"/>
        </w:rPr>
        <w:lastRenderedPageBreak/>
        <w:t>Acceso a la Información Mexiquense (SAIMEX)</w:t>
      </w:r>
      <w:r w:rsidRPr="002A6E4B">
        <w:rPr>
          <w:rFonts w:cs="Arial"/>
          <w:lang w:val="es-ES"/>
        </w:rPr>
        <w:t xml:space="preserve">, de ser procedente en versión pública, los documentos en donde conste los siguiente </w:t>
      </w:r>
    </w:p>
    <w:p w14:paraId="49E1A390" w14:textId="77777777" w:rsidR="00CA1DBB" w:rsidRPr="002A6E4B" w:rsidRDefault="00CA1DBB" w:rsidP="00630240">
      <w:pPr>
        <w:tabs>
          <w:tab w:val="left" w:pos="7938"/>
        </w:tabs>
        <w:spacing w:after="0" w:line="360" w:lineRule="auto"/>
        <w:ind w:right="-93"/>
        <w:contextualSpacing/>
        <w:rPr>
          <w:rFonts w:cs="Arial"/>
          <w:lang w:val="es-ES"/>
        </w:rPr>
      </w:pPr>
    </w:p>
    <w:p w14:paraId="7C32050E" w14:textId="74D41923" w:rsidR="00892C57" w:rsidRPr="002A6E4B" w:rsidRDefault="00DE3524" w:rsidP="00630240">
      <w:pPr>
        <w:pStyle w:val="Prrafodelista"/>
        <w:numPr>
          <w:ilvl w:val="0"/>
          <w:numId w:val="19"/>
        </w:numPr>
        <w:tabs>
          <w:tab w:val="left" w:pos="567"/>
        </w:tabs>
        <w:spacing w:line="360" w:lineRule="auto"/>
        <w:ind w:right="567"/>
      </w:pPr>
      <w:r w:rsidRPr="002A6E4B">
        <w:t xml:space="preserve">Las facturas </w:t>
      </w:r>
      <w:r w:rsidRPr="002A6E4B">
        <w:rPr>
          <w:iCs/>
        </w:rPr>
        <w:t>pagadas por conceptos de compras de regalos del día del niño para el año 2025.</w:t>
      </w:r>
    </w:p>
    <w:p w14:paraId="69715C85" w14:textId="77777777" w:rsidR="00CA1DBB" w:rsidRPr="002A6E4B" w:rsidRDefault="00CA1DBB" w:rsidP="00630240">
      <w:pPr>
        <w:spacing w:after="0" w:line="360" w:lineRule="auto"/>
        <w:ind w:right="-93"/>
        <w:rPr>
          <w:rFonts w:cs="Tahoma"/>
          <w:lang w:val="es-ES"/>
        </w:rPr>
      </w:pPr>
    </w:p>
    <w:p w14:paraId="3CF74278" w14:textId="77777777" w:rsidR="00CA1DBB" w:rsidRPr="002A6E4B" w:rsidRDefault="00CA1DBB" w:rsidP="00630240">
      <w:pPr>
        <w:spacing w:after="0" w:line="360" w:lineRule="auto"/>
        <w:ind w:right="-93"/>
        <w:rPr>
          <w:rFonts w:eastAsia="Calibri" w:cs="Tahoma"/>
          <w:bCs/>
          <w:lang w:eastAsia="en-US"/>
        </w:rPr>
      </w:pPr>
      <w:r w:rsidRPr="002A6E4B">
        <w:rPr>
          <w:rFonts w:eastAsia="Calibri" w:cs="Tahoma"/>
          <w:bCs/>
          <w:lang w:eastAsia="en-US"/>
        </w:rPr>
        <w:t>Junto con las versiones públicas, se deberá proporcionar el Acuerdo de Clasificación donde el Comité de Transparencia, confirme la eliminación de los datos confidenciales, de conformidad con los artículos 49, fracciones II y VIII y 132, fracción II de la Ley de Transparencia y Acceso a la Información Pública del Estado de México y Municipios.</w:t>
      </w:r>
    </w:p>
    <w:p w14:paraId="7AA8571B" w14:textId="77777777" w:rsidR="00CA1DBB" w:rsidRPr="002A6E4B" w:rsidRDefault="00CA1DBB" w:rsidP="00630240">
      <w:pPr>
        <w:spacing w:after="0" w:line="360" w:lineRule="auto"/>
        <w:contextualSpacing/>
        <w:rPr>
          <w:rFonts w:eastAsia="Calibri" w:cs="Tahoma"/>
          <w:b/>
          <w:bCs/>
          <w:lang w:eastAsia="en-US"/>
        </w:rPr>
      </w:pPr>
    </w:p>
    <w:p w14:paraId="2722AAD6" w14:textId="0EE7DF31" w:rsidR="00CA1DBB" w:rsidRPr="002A6E4B" w:rsidRDefault="00CA1DBB" w:rsidP="00630240">
      <w:pPr>
        <w:spacing w:after="0" w:line="360" w:lineRule="auto"/>
        <w:contextualSpacing/>
        <w:rPr>
          <w:rFonts w:eastAsia="Calibri" w:cs="Tahoma"/>
          <w:bCs/>
          <w:lang w:eastAsia="en-US"/>
        </w:rPr>
      </w:pPr>
      <w:r w:rsidRPr="002A6E4B">
        <w:rPr>
          <w:rFonts w:eastAsia="Calibri" w:cs="Tahoma"/>
          <w:b/>
          <w:bCs/>
          <w:lang w:eastAsia="en-US"/>
        </w:rPr>
        <w:t xml:space="preserve">TERCERO. NOTIFÍQUESE </w:t>
      </w:r>
      <w:r w:rsidR="00AC713E">
        <w:rPr>
          <w:rFonts w:eastAsia="Calibri" w:cs="Tahoma"/>
          <w:b/>
          <w:bCs/>
          <w:lang w:eastAsia="en-US"/>
        </w:rPr>
        <w:t xml:space="preserve"> POR SAIMEX </w:t>
      </w:r>
      <w:r w:rsidRPr="002A6E4B">
        <w:rPr>
          <w:rFonts w:eastAsia="Calibri" w:cs="Tahoma"/>
          <w:bCs/>
          <w:lang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78008950" w14:textId="77777777" w:rsidR="00CA1DBB" w:rsidRPr="002A6E4B" w:rsidRDefault="00CA1DBB" w:rsidP="00630240">
      <w:pPr>
        <w:spacing w:after="0" w:line="360" w:lineRule="auto"/>
        <w:contextualSpacing/>
        <w:rPr>
          <w:rFonts w:cs="Tahoma"/>
        </w:rPr>
      </w:pPr>
    </w:p>
    <w:p w14:paraId="47A0BD65" w14:textId="77777777" w:rsidR="00CA1DBB" w:rsidRPr="002A6E4B" w:rsidRDefault="00CA1DBB" w:rsidP="00630240">
      <w:pPr>
        <w:spacing w:after="0" w:line="360" w:lineRule="auto"/>
        <w:contextualSpacing/>
        <w:rPr>
          <w:rFonts w:cs="Tahoma"/>
          <w:iCs/>
        </w:rPr>
      </w:pPr>
      <w:r w:rsidRPr="002A6E4B">
        <w:rPr>
          <w:rFonts w:cs="Tahoma"/>
          <w:i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C8EA4ED" w14:textId="77777777" w:rsidR="00CA1DBB" w:rsidRPr="002A6E4B" w:rsidRDefault="00CA1DBB" w:rsidP="00630240">
      <w:pPr>
        <w:spacing w:after="0" w:line="360" w:lineRule="auto"/>
        <w:contextualSpacing/>
        <w:rPr>
          <w:rFonts w:eastAsia="Calibri" w:cs="Tahoma"/>
          <w:lang w:val="es-ES"/>
        </w:rPr>
      </w:pPr>
    </w:p>
    <w:p w14:paraId="075A251E" w14:textId="77777777" w:rsidR="00CA1DBB" w:rsidRPr="002A6E4B" w:rsidRDefault="00CA1DBB" w:rsidP="00630240">
      <w:pPr>
        <w:spacing w:after="0" w:line="360" w:lineRule="auto"/>
        <w:contextualSpacing/>
        <w:rPr>
          <w:rFonts w:cs="Tahoma"/>
          <w:color w:val="000000" w:themeColor="text1"/>
        </w:rPr>
      </w:pPr>
      <w:r w:rsidRPr="002A6E4B">
        <w:rPr>
          <w:rFonts w:eastAsia="Calibri" w:cs="Tahoma"/>
          <w:b/>
          <w:color w:val="000000" w:themeColor="text1"/>
        </w:rPr>
        <w:t>CUARTO</w:t>
      </w:r>
      <w:r w:rsidRPr="002A6E4B">
        <w:rPr>
          <w:rFonts w:eastAsia="Calibri" w:cs="Tahoma"/>
          <w:b/>
          <w:bCs/>
          <w:color w:val="000000" w:themeColor="text1"/>
          <w:lang w:eastAsia="en-US"/>
        </w:rPr>
        <w:t xml:space="preserve">. </w:t>
      </w:r>
      <w:r w:rsidRPr="002A6E4B">
        <w:rPr>
          <w:rFonts w:cs="Tahoma"/>
          <w:b/>
          <w:color w:val="000000" w:themeColor="text1"/>
        </w:rPr>
        <w:t>NOTIFÍQUESE</w:t>
      </w:r>
      <w:r w:rsidRPr="002A6E4B">
        <w:rPr>
          <w:rFonts w:cs="Tahoma"/>
          <w:color w:val="000000" w:themeColor="text1"/>
        </w:rPr>
        <w:t xml:space="preserve"> al Recurrente la presente Resolución a través del </w:t>
      </w:r>
      <w:r w:rsidRPr="002A6E4B">
        <w:rPr>
          <w:rFonts w:eastAsia="Calibri" w:cs="Tahoma"/>
          <w:bCs/>
          <w:color w:val="000000" w:themeColor="text1"/>
          <w:lang w:eastAsia="en-US"/>
        </w:rPr>
        <w:t>Sistema de Acceso a la Información Mexiquense (SAIMEX)</w:t>
      </w:r>
      <w:r w:rsidRPr="002A6E4B">
        <w:rPr>
          <w:rFonts w:cs="Tahoma"/>
          <w:color w:val="000000" w:themeColor="text1"/>
        </w:rPr>
        <w:t xml:space="preserve">, asimismo, se hace de su conocimiento que de </w:t>
      </w:r>
      <w:r w:rsidRPr="002A6E4B">
        <w:rPr>
          <w:rFonts w:cs="Tahoma"/>
          <w:color w:val="000000" w:themeColor="text1"/>
        </w:rPr>
        <w:lastRenderedPageBreak/>
        <w:t>conformidad con lo establecido en el artículo 196 de la Ley de Transparencia y Acceso a la Información Pública del Estado de México y Municipios podrá promover el Juicio de Amparo en los términos de las leyes aplicables.</w:t>
      </w:r>
    </w:p>
    <w:p w14:paraId="3CF2D908" w14:textId="77777777" w:rsidR="00634BE8" w:rsidRPr="002A6E4B" w:rsidRDefault="00634BE8" w:rsidP="00630240">
      <w:pPr>
        <w:tabs>
          <w:tab w:val="left" w:pos="4962"/>
        </w:tabs>
        <w:spacing w:after="0" w:line="360" w:lineRule="auto"/>
        <w:ind w:right="142"/>
      </w:pPr>
    </w:p>
    <w:p w14:paraId="4B7CE26B" w14:textId="6D980A38" w:rsidR="00634BE8" w:rsidRPr="00AF0FDD" w:rsidRDefault="00634BE8" w:rsidP="00630240">
      <w:pPr>
        <w:tabs>
          <w:tab w:val="left" w:pos="4962"/>
        </w:tabs>
        <w:spacing w:after="0" w:line="360" w:lineRule="auto"/>
        <w:ind w:right="142"/>
        <w:rPr>
          <w:rFonts w:eastAsiaTheme="minorHAnsi" w:cstheme="minorBidi"/>
          <w:color w:val="000000" w:themeColor="text1"/>
          <w:lang w:eastAsia="en-US"/>
        </w:rPr>
      </w:pPr>
      <w:r w:rsidRPr="002A6E4B">
        <w:rPr>
          <w:rFonts w:eastAsiaTheme="minorHAnsi" w:cstheme="minorBidi"/>
          <w:color w:val="000000" w:themeColor="text1"/>
          <w:lang w:eastAsia="en-US"/>
        </w:rPr>
        <w:t xml:space="preserve">ASÍ LO RESUELVE, POR </w:t>
      </w:r>
      <w:r w:rsidRPr="002A6E4B">
        <w:rPr>
          <w:rFonts w:eastAsiaTheme="minorHAnsi" w:cstheme="minorBidi"/>
          <w:b/>
          <w:bCs/>
          <w:color w:val="000000" w:themeColor="text1"/>
          <w:lang w:eastAsia="en-US"/>
        </w:rPr>
        <w:t>UNANIMIDAD</w:t>
      </w:r>
      <w:r w:rsidRPr="002A6E4B">
        <w:rPr>
          <w:rFonts w:eastAsiaTheme="minorHAnsi" w:cstheme="minorBidi"/>
          <w:color w:val="000000" w:themeColor="text1"/>
          <w:lang w:eastAsia="en-U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w:t>
      </w:r>
      <w:r w:rsidR="009D6EB5" w:rsidRPr="002A6E4B">
        <w:rPr>
          <w:rFonts w:eastAsiaTheme="minorHAnsi" w:cstheme="minorBidi"/>
          <w:color w:val="000000" w:themeColor="text1"/>
          <w:lang w:eastAsia="en-US"/>
        </w:rPr>
        <w:t xml:space="preserve"> NORIEGA</w:t>
      </w:r>
      <w:r w:rsidR="00CD18A5" w:rsidRPr="002A6E4B">
        <w:rPr>
          <w:rFonts w:eastAsiaTheme="minorHAnsi" w:cstheme="minorBidi"/>
          <w:color w:val="000000" w:themeColor="text1"/>
          <w:lang w:eastAsia="en-US"/>
        </w:rPr>
        <w:t>,</w:t>
      </w:r>
      <w:r w:rsidRPr="002A6E4B">
        <w:rPr>
          <w:rFonts w:eastAsiaTheme="minorHAnsi" w:cstheme="minorBidi"/>
          <w:color w:val="000000" w:themeColor="text1"/>
          <w:lang w:eastAsia="en-US"/>
        </w:rPr>
        <w:t xml:space="preserve"> GUADALUPE RAMÍREZ PEÑA</w:t>
      </w:r>
      <w:r w:rsidR="00ED2ED2">
        <w:rPr>
          <w:rFonts w:eastAsiaTheme="minorHAnsi" w:cstheme="minorBidi"/>
          <w:color w:val="000000" w:themeColor="text1"/>
          <w:lang w:eastAsia="en-US"/>
        </w:rPr>
        <w:t>,</w:t>
      </w:r>
      <w:r w:rsidR="009B4682" w:rsidRPr="002A6E4B">
        <w:rPr>
          <w:rFonts w:eastAsiaTheme="minorHAnsi" w:cstheme="minorBidi"/>
          <w:color w:val="000000" w:themeColor="text1"/>
          <w:lang w:eastAsia="en-US"/>
        </w:rPr>
        <w:t xml:space="preserve"> </w:t>
      </w:r>
      <w:r w:rsidRPr="002A6E4B">
        <w:rPr>
          <w:rFonts w:eastAsiaTheme="minorHAnsi" w:cstheme="minorBidi"/>
          <w:color w:val="000000" w:themeColor="text1"/>
          <w:lang w:eastAsia="en-US"/>
        </w:rPr>
        <w:t xml:space="preserve">EN LA </w:t>
      </w:r>
      <w:r w:rsidR="00DE3524" w:rsidRPr="002A6E4B">
        <w:rPr>
          <w:rFonts w:eastAsiaTheme="minorHAnsi" w:cstheme="minorBidi"/>
          <w:color w:val="000000" w:themeColor="text1"/>
          <w:lang w:eastAsia="en-US"/>
        </w:rPr>
        <w:t>TRIGÉSIMA</w:t>
      </w:r>
      <w:r w:rsidR="00100298" w:rsidRPr="002A6E4B">
        <w:rPr>
          <w:rFonts w:eastAsiaTheme="minorHAnsi" w:cstheme="minorBidi"/>
          <w:color w:val="000000" w:themeColor="text1"/>
          <w:lang w:eastAsia="en-US"/>
        </w:rPr>
        <w:t xml:space="preserve"> </w:t>
      </w:r>
      <w:r w:rsidRPr="002A6E4B">
        <w:rPr>
          <w:rFonts w:eastAsiaTheme="minorHAnsi" w:cstheme="minorBidi"/>
          <w:color w:val="000000" w:themeColor="text1"/>
          <w:lang w:eastAsia="en-US"/>
        </w:rPr>
        <w:t xml:space="preserve">SESIÓN ORDINARIA, CELEBRADA EL </w:t>
      </w:r>
      <w:r w:rsidR="00DE3524" w:rsidRPr="002A6E4B">
        <w:rPr>
          <w:rFonts w:eastAsiaTheme="minorHAnsi" w:cstheme="minorBidi"/>
          <w:color w:val="000000" w:themeColor="text1"/>
          <w:lang w:eastAsia="en-US"/>
        </w:rPr>
        <w:t>VEINTISIETE</w:t>
      </w:r>
      <w:r w:rsidRPr="002A6E4B">
        <w:rPr>
          <w:rFonts w:eastAsiaTheme="minorHAnsi" w:cstheme="minorBidi"/>
          <w:color w:val="000000" w:themeColor="text1"/>
          <w:lang w:eastAsia="en-US"/>
        </w:rPr>
        <w:t xml:space="preserve"> DE </w:t>
      </w:r>
      <w:r w:rsidR="00077951" w:rsidRPr="002A6E4B">
        <w:rPr>
          <w:rFonts w:eastAsiaTheme="minorHAnsi" w:cstheme="minorBidi"/>
          <w:color w:val="000000" w:themeColor="text1"/>
          <w:lang w:eastAsia="en-US"/>
        </w:rPr>
        <w:t>AGOSTO</w:t>
      </w:r>
      <w:r w:rsidRPr="002A6E4B">
        <w:rPr>
          <w:rFonts w:eastAsiaTheme="minorHAnsi" w:cstheme="minorBidi"/>
          <w:color w:val="000000" w:themeColor="text1"/>
          <w:lang w:eastAsia="en-US"/>
        </w:rPr>
        <w:t xml:space="preserve"> DE DOS MIL VEINTICINCO, ANTE EL SECRETARIO TÉCNICO DEL PLENO, ALEXIS TAPIA RAMÍREZ.</w:t>
      </w:r>
    </w:p>
    <w:p w14:paraId="65A6A14A" w14:textId="1C7AE8E6" w:rsidR="00881807" w:rsidRDefault="00881807" w:rsidP="00630240">
      <w:pPr>
        <w:tabs>
          <w:tab w:val="left" w:pos="4962"/>
        </w:tabs>
        <w:spacing w:after="0" w:line="360" w:lineRule="auto"/>
        <w:ind w:right="142"/>
      </w:pPr>
    </w:p>
    <w:p w14:paraId="4486748A" w14:textId="77777777" w:rsidR="00881807" w:rsidRDefault="00881807" w:rsidP="00630240">
      <w:pPr>
        <w:widowControl w:val="0"/>
        <w:spacing w:after="0" w:line="360" w:lineRule="auto"/>
        <w:ind w:right="142"/>
        <w:rPr>
          <w:b/>
        </w:rPr>
      </w:pPr>
    </w:p>
    <w:p w14:paraId="774A6E48" w14:textId="177EAB85" w:rsidR="00100298" w:rsidRDefault="00100298" w:rsidP="00630240">
      <w:pPr>
        <w:spacing w:after="0" w:line="360" w:lineRule="auto"/>
        <w:rPr>
          <w:b/>
        </w:rPr>
      </w:pPr>
    </w:p>
    <w:p w14:paraId="71B3AEAC" w14:textId="77777777" w:rsidR="00881807" w:rsidRDefault="00881807" w:rsidP="00630240">
      <w:pPr>
        <w:widowControl w:val="0"/>
        <w:spacing w:after="0" w:line="360" w:lineRule="auto"/>
        <w:ind w:right="142"/>
        <w:rPr>
          <w:b/>
        </w:rPr>
      </w:pPr>
    </w:p>
    <w:p w14:paraId="7D75C753" w14:textId="77777777" w:rsidR="00881807" w:rsidRDefault="00881807" w:rsidP="00630240">
      <w:pPr>
        <w:widowControl w:val="0"/>
        <w:spacing w:after="0" w:line="360" w:lineRule="auto"/>
        <w:ind w:right="142"/>
        <w:rPr>
          <w:b/>
        </w:rPr>
      </w:pPr>
    </w:p>
    <w:p w14:paraId="2A6CAF11" w14:textId="77777777" w:rsidR="00881807" w:rsidRDefault="00881807" w:rsidP="00630240">
      <w:pPr>
        <w:widowControl w:val="0"/>
        <w:spacing w:after="0" w:line="360" w:lineRule="auto"/>
        <w:ind w:right="142"/>
        <w:rPr>
          <w:b/>
        </w:rPr>
      </w:pPr>
    </w:p>
    <w:p w14:paraId="6306B44C" w14:textId="77777777" w:rsidR="00881807" w:rsidRDefault="00881807" w:rsidP="00630240">
      <w:pPr>
        <w:widowControl w:val="0"/>
        <w:spacing w:after="0" w:line="360" w:lineRule="auto"/>
        <w:ind w:right="142"/>
        <w:rPr>
          <w:b/>
        </w:rPr>
      </w:pPr>
    </w:p>
    <w:p w14:paraId="133FAA85" w14:textId="77777777" w:rsidR="00881807" w:rsidRDefault="00881807" w:rsidP="00630240">
      <w:pPr>
        <w:widowControl w:val="0"/>
        <w:spacing w:after="0" w:line="360" w:lineRule="auto"/>
        <w:ind w:right="142"/>
        <w:rPr>
          <w:b/>
        </w:rPr>
      </w:pPr>
    </w:p>
    <w:p w14:paraId="0C7D5ACE" w14:textId="34F453C1" w:rsidR="002A6E4B" w:rsidRDefault="002A6E4B">
      <w:pPr>
        <w:spacing w:after="0" w:line="240" w:lineRule="auto"/>
        <w:jc w:val="left"/>
        <w:rPr>
          <w:b/>
        </w:rPr>
      </w:pPr>
      <w:r>
        <w:rPr>
          <w:b/>
        </w:rPr>
        <w:br w:type="page"/>
      </w:r>
    </w:p>
    <w:p w14:paraId="1C3DDDBF" w14:textId="77777777" w:rsidR="00881807" w:rsidRDefault="00881807" w:rsidP="00630240">
      <w:pPr>
        <w:widowControl w:val="0"/>
        <w:spacing w:after="0" w:line="360" w:lineRule="auto"/>
        <w:ind w:right="142"/>
        <w:rPr>
          <w:b/>
        </w:rPr>
      </w:pPr>
    </w:p>
    <w:p w14:paraId="401143F0" w14:textId="77777777" w:rsidR="00881807" w:rsidRDefault="00881807" w:rsidP="00630240">
      <w:pPr>
        <w:widowControl w:val="0"/>
        <w:spacing w:after="0" w:line="360" w:lineRule="auto"/>
        <w:ind w:right="142"/>
        <w:rPr>
          <w:b/>
        </w:rPr>
      </w:pPr>
    </w:p>
    <w:p w14:paraId="21CBFAB1" w14:textId="1538AA2A" w:rsidR="00DF5C79" w:rsidRPr="00DF5C79" w:rsidRDefault="00DF5C79" w:rsidP="00630240">
      <w:pPr>
        <w:widowControl w:val="0"/>
        <w:spacing w:after="0" w:line="360" w:lineRule="auto"/>
        <w:ind w:right="142"/>
        <w:rPr>
          <w:bCs/>
        </w:rPr>
      </w:pPr>
    </w:p>
    <w:sectPr w:rsidR="00DF5C79" w:rsidRPr="00DF5C79">
      <w:headerReference w:type="even" r:id="rId11"/>
      <w:headerReference w:type="default" r:id="rId12"/>
      <w:footerReference w:type="even" r:id="rId13"/>
      <w:footerReference w:type="default" r:id="rId14"/>
      <w:headerReference w:type="first" r:id="rId15"/>
      <w:footerReference w:type="first" r:id="rId16"/>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204E04" w14:textId="77777777" w:rsidR="00EF5754" w:rsidRDefault="00EF5754">
      <w:pPr>
        <w:spacing w:after="0" w:line="240" w:lineRule="auto"/>
      </w:pPr>
      <w:r>
        <w:separator/>
      </w:r>
    </w:p>
  </w:endnote>
  <w:endnote w:type="continuationSeparator" w:id="0">
    <w:p w14:paraId="31E42EC3" w14:textId="77777777" w:rsidR="00EF5754" w:rsidRDefault="00EF5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C6CC0975-A2E2-4D85-91EC-7AF596FFFCFE}"/>
    <w:embedBold r:id="rId2" w:fontKey="{4D521D25-C0B0-4D2C-89D2-B9DFA8DA6F56}"/>
    <w:embedItalic r:id="rId3" w:fontKey="{6ABB0B6C-5D8A-4F3A-BE8E-1384A4170A4A}"/>
    <w:embedBoldItalic r:id="rId4" w:fontKey="{B714CBC2-DB79-4E10-A5E2-2E140B210AE0}"/>
  </w:font>
  <w:font w:name="Tahoma">
    <w:panose1 w:val="020B0604030504040204"/>
    <w:charset w:val="00"/>
    <w:family w:val="swiss"/>
    <w:pitch w:val="variable"/>
    <w:sig w:usb0="E1002EFF" w:usb1="C000605B" w:usb2="00000029" w:usb3="00000000" w:csb0="000101FF" w:csb1="00000000"/>
    <w:embedRegular r:id="rId5" w:fontKey="{3B91FC9C-A530-43D9-BA63-DBABD11A8932}"/>
    <w:embedBold r:id="rId6" w:fontKey="{D15C54D1-FC24-431B-9B20-36CABC1A5C99}"/>
    <w:embedItalic r:id="rId7" w:fontKey="{3060239E-425F-4E33-BD87-63AA330CACEC}"/>
    <w:embedBoldItalic r:id="rId8" w:fontKey="{7360E16A-F82D-4DD4-A361-966EA9F78308}"/>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CD2D52B0-797F-4078-B2EF-4CFE54A6AA79}"/>
    <w:embedItalic r:id="rId10" w:fontKey="{1BB79C1C-1213-4F6F-878F-6D30E6A8FBDB}"/>
  </w:font>
  <w:font w:name="Calibri Light">
    <w:panose1 w:val="020F0302020204030204"/>
    <w:charset w:val="00"/>
    <w:family w:val="swiss"/>
    <w:pitch w:val="variable"/>
    <w:sig w:usb0="E4002EFF" w:usb1="C000247B" w:usb2="00000009" w:usb3="00000000" w:csb0="000001FF" w:csb1="00000000"/>
    <w:embedRegular r:id="rId11" w:fontKey="{DD8BF574-78AC-4044-A9CB-04B196E1CF86}"/>
  </w:font>
  <w:font w:name="Segoe UI">
    <w:panose1 w:val="020B0502040204020203"/>
    <w:charset w:val="00"/>
    <w:family w:val="swiss"/>
    <w:pitch w:val="variable"/>
    <w:sig w:usb0="E4002EFF" w:usb1="C000E47F" w:usb2="00000009" w:usb3="00000000" w:csb0="000001FF" w:csb1="00000000"/>
    <w:embedRegular r:id="rId12" w:fontKey="{DDC9C2AF-E1C6-46EE-8128-A8FD92734E1F}"/>
  </w:font>
  <w:font w:name="Calibri">
    <w:panose1 w:val="020F0502020204030204"/>
    <w:charset w:val="00"/>
    <w:family w:val="swiss"/>
    <w:pitch w:val="variable"/>
    <w:sig w:usb0="E4002EFF" w:usb1="C000247B" w:usb2="00000009" w:usb3="00000000" w:csb0="000001FF" w:csb1="00000000"/>
    <w:embedRegular r:id="rId13" w:fontKey="{488E8FB4-06FA-420E-B9F4-F2B136267DE9}"/>
    <w:embedBold r:id="rId14" w:fontKey="{59B587C6-BA36-49D8-B1DD-01A5A3874E17}"/>
    <w:embedItalic r:id="rId15" w:fontKey="{64E8576B-872C-439D-BF2E-CFE81731C88A}"/>
  </w:font>
  <w:font w:name="Verdana">
    <w:panose1 w:val="020B0604030504040204"/>
    <w:charset w:val="00"/>
    <w:family w:val="swiss"/>
    <w:pitch w:val="variable"/>
    <w:sig w:usb0="A00006FF" w:usb1="4000205B" w:usb2="00000010" w:usb3="00000000" w:csb0="0000019F" w:csb1="00000000"/>
    <w:embedRegular r:id="rId16" w:fontKey="{7B562AEF-F1FA-4A7D-BC9E-0B441E8B3E39}"/>
  </w:font>
  <w:font w:name="Garamond">
    <w:panose1 w:val="02020404030301010803"/>
    <w:charset w:val="00"/>
    <w:family w:val="roman"/>
    <w:pitch w:val="variable"/>
    <w:sig w:usb0="00000287" w:usb1="00000000" w:usb2="00000000" w:usb3="00000000" w:csb0="0000009F" w:csb1="00000000"/>
    <w:embedRegular r:id="rId17" w:fontKey="{9F7834BD-C244-4670-99F2-AB364FED96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763A6" w14:textId="565B2F53" w:rsidR="00AE056E" w:rsidRDefault="00AE056E">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end"/>
    </w:r>
    <w:r>
      <w:t xml:space="preserve"> de </w:t>
    </w:r>
    <w:r>
      <w:rPr>
        <w:b/>
        <w:sz w:val="24"/>
        <w:szCs w:val="24"/>
      </w:rPr>
      <w:fldChar w:fldCharType="begin"/>
    </w:r>
    <w:r>
      <w:rPr>
        <w:b/>
        <w:sz w:val="24"/>
        <w:szCs w:val="24"/>
      </w:rPr>
      <w:instrText>NUMPAGES</w:instrText>
    </w:r>
    <w:r w:rsidR="00D67504">
      <w:rPr>
        <w:b/>
        <w:sz w:val="24"/>
        <w:szCs w:val="24"/>
      </w:rPr>
      <w:fldChar w:fldCharType="separate"/>
    </w:r>
    <w:r w:rsidR="00D67504">
      <w:rPr>
        <w:b/>
        <w:noProof/>
        <w:sz w:val="24"/>
        <w:szCs w:val="24"/>
      </w:rPr>
      <w:t>28</w:t>
    </w:r>
    <w:r>
      <w:rPr>
        <w:b/>
        <w:sz w:val="24"/>
        <w:szCs w:val="24"/>
      </w:rPr>
      <w:fldChar w:fldCharType="end"/>
    </w:r>
  </w:p>
  <w:p w14:paraId="3DA6C021" w14:textId="77777777" w:rsidR="00AE056E" w:rsidRDefault="00AE056E">
    <w:pPr>
      <w:pBdr>
        <w:top w:val="nil"/>
        <w:left w:val="nil"/>
        <w:bottom w:val="nil"/>
        <w:right w:val="nil"/>
        <w:between w:val="nil"/>
      </w:pBdr>
      <w:tabs>
        <w:tab w:val="center" w:pos="4419"/>
        <w:tab w:val="right" w:pos="8838"/>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E8DED" w14:textId="77777777" w:rsidR="00AE056E" w:rsidRDefault="00AE056E">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separate"/>
    </w:r>
    <w:r w:rsidR="00AC713E">
      <w:rPr>
        <w:b/>
        <w:noProof/>
        <w:sz w:val="24"/>
        <w:szCs w:val="24"/>
      </w:rPr>
      <w:t>27</w:t>
    </w:r>
    <w:r>
      <w:rPr>
        <w:b/>
        <w:sz w:val="24"/>
        <w:szCs w:val="24"/>
      </w:rPr>
      <w:fldChar w:fldCharType="end"/>
    </w:r>
    <w:r>
      <w:t xml:space="preserve"> de </w:t>
    </w:r>
    <w:r>
      <w:rPr>
        <w:b/>
        <w:sz w:val="24"/>
        <w:szCs w:val="24"/>
      </w:rPr>
      <w:fldChar w:fldCharType="begin"/>
    </w:r>
    <w:r>
      <w:rPr>
        <w:b/>
        <w:sz w:val="24"/>
        <w:szCs w:val="24"/>
      </w:rPr>
      <w:instrText>NUMPAGES</w:instrText>
    </w:r>
    <w:r>
      <w:rPr>
        <w:b/>
        <w:sz w:val="24"/>
        <w:szCs w:val="24"/>
      </w:rPr>
      <w:fldChar w:fldCharType="separate"/>
    </w:r>
    <w:r w:rsidR="00AC713E">
      <w:rPr>
        <w:b/>
        <w:noProof/>
        <w:sz w:val="24"/>
        <w:szCs w:val="24"/>
      </w:rPr>
      <w:t>28</w:t>
    </w:r>
    <w:r>
      <w:rPr>
        <w:b/>
        <w:sz w:val="24"/>
        <w:szCs w:val="24"/>
      </w:rPr>
      <w:fldChar w:fldCharType="end"/>
    </w:r>
  </w:p>
  <w:p w14:paraId="0437ABC5" w14:textId="77777777" w:rsidR="00AE056E" w:rsidRDefault="00AE056E">
    <w:pPr>
      <w:pBdr>
        <w:top w:val="nil"/>
        <w:left w:val="nil"/>
        <w:bottom w:val="nil"/>
        <w:right w:val="nil"/>
        <w:between w:val="nil"/>
      </w:pBdr>
      <w:tabs>
        <w:tab w:val="center" w:pos="4419"/>
        <w:tab w:val="right" w:pos="8838"/>
      </w:tabs>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2F53F" w14:textId="77777777" w:rsidR="00AE056E" w:rsidRDefault="00AE056E">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separate"/>
    </w:r>
    <w:r w:rsidR="00AC713E">
      <w:rPr>
        <w:b/>
        <w:noProof/>
        <w:sz w:val="24"/>
        <w:szCs w:val="24"/>
      </w:rPr>
      <w:t>1</w:t>
    </w:r>
    <w:r>
      <w:rPr>
        <w:b/>
        <w:sz w:val="24"/>
        <w:szCs w:val="24"/>
      </w:rPr>
      <w:fldChar w:fldCharType="end"/>
    </w:r>
    <w:r>
      <w:t xml:space="preserve"> de </w:t>
    </w:r>
    <w:r>
      <w:rPr>
        <w:b/>
        <w:sz w:val="24"/>
        <w:szCs w:val="24"/>
      </w:rPr>
      <w:fldChar w:fldCharType="begin"/>
    </w:r>
    <w:r>
      <w:rPr>
        <w:b/>
        <w:sz w:val="24"/>
        <w:szCs w:val="24"/>
      </w:rPr>
      <w:instrText>NUMPAGES</w:instrText>
    </w:r>
    <w:r>
      <w:rPr>
        <w:b/>
        <w:sz w:val="24"/>
        <w:szCs w:val="24"/>
      </w:rPr>
      <w:fldChar w:fldCharType="separate"/>
    </w:r>
    <w:r w:rsidR="00AC713E">
      <w:rPr>
        <w:b/>
        <w:noProof/>
        <w:sz w:val="24"/>
        <w:szCs w:val="24"/>
      </w:rPr>
      <w:t>28</w:t>
    </w:r>
    <w:r>
      <w:rPr>
        <w:b/>
        <w:sz w:val="24"/>
        <w:szCs w:val="24"/>
      </w:rPr>
      <w:fldChar w:fldCharType="end"/>
    </w:r>
  </w:p>
  <w:p w14:paraId="6227224A" w14:textId="77777777" w:rsidR="00AE056E" w:rsidRDefault="00AE056E">
    <w:pPr>
      <w:pBdr>
        <w:top w:val="nil"/>
        <w:left w:val="nil"/>
        <w:bottom w:val="nil"/>
        <w:right w:val="nil"/>
        <w:between w:val="nil"/>
      </w:pBdr>
      <w:tabs>
        <w:tab w:val="center" w:pos="4419"/>
        <w:tab w:val="right" w:pos="8838"/>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3EBFB1" w14:textId="77777777" w:rsidR="00EF5754" w:rsidRDefault="00EF5754">
      <w:pPr>
        <w:spacing w:after="0" w:line="240" w:lineRule="auto"/>
      </w:pPr>
      <w:r>
        <w:separator/>
      </w:r>
    </w:p>
  </w:footnote>
  <w:footnote w:type="continuationSeparator" w:id="0">
    <w:p w14:paraId="3CD9B375" w14:textId="77777777" w:rsidR="00EF5754" w:rsidRDefault="00EF57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0E841" w14:textId="77777777" w:rsidR="00AE056E" w:rsidRDefault="00AE056E">
    <w:pPr>
      <w:widowControl w:val="0"/>
      <w:pBdr>
        <w:top w:val="nil"/>
        <w:left w:val="nil"/>
        <w:bottom w:val="nil"/>
        <w:right w:val="nil"/>
        <w:between w:val="nil"/>
      </w:pBdr>
      <w:spacing w:after="0" w:line="276" w:lineRule="auto"/>
      <w:jc w:val="left"/>
    </w:pPr>
  </w:p>
  <w:tbl>
    <w:tblPr>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AE056E" w:rsidRPr="00CB769C" w14:paraId="69F0F6B4" w14:textId="77777777" w:rsidTr="00CB769C">
      <w:trPr>
        <w:trHeight w:val="141"/>
      </w:trPr>
      <w:tc>
        <w:tcPr>
          <w:tcW w:w="2404" w:type="dxa"/>
        </w:tcPr>
        <w:p w14:paraId="184AE7D9" w14:textId="77777777" w:rsidR="00AE056E" w:rsidRPr="00CB769C" w:rsidRDefault="00AE056E" w:rsidP="00CB769C">
          <w:pPr>
            <w:tabs>
              <w:tab w:val="right" w:pos="8838"/>
            </w:tabs>
            <w:spacing w:after="0" w:line="240" w:lineRule="auto"/>
            <w:ind w:right="-105"/>
            <w:rPr>
              <w:b/>
            </w:rPr>
          </w:pPr>
          <w:r w:rsidRPr="00CB769C">
            <w:rPr>
              <w:b/>
            </w:rPr>
            <w:t>Recurso de Revisión:</w:t>
          </w:r>
        </w:p>
      </w:tc>
      <w:tc>
        <w:tcPr>
          <w:tcW w:w="3587" w:type="dxa"/>
        </w:tcPr>
        <w:p w14:paraId="0CAD2855" w14:textId="77777777" w:rsidR="00AE056E" w:rsidRPr="00CB769C" w:rsidRDefault="00AE056E" w:rsidP="00CB769C">
          <w:pPr>
            <w:tabs>
              <w:tab w:val="right" w:pos="8838"/>
            </w:tabs>
            <w:spacing w:after="0" w:line="240" w:lineRule="auto"/>
            <w:ind w:left="-28" w:right="683"/>
          </w:pPr>
          <w:r w:rsidRPr="00CB769C">
            <w:t>04196/INFOEM/IP/RR/2020</w:t>
          </w:r>
        </w:p>
      </w:tc>
    </w:tr>
    <w:tr w:rsidR="00AE056E" w:rsidRPr="00CB769C" w14:paraId="585B48EA" w14:textId="77777777" w:rsidTr="00CB769C">
      <w:trPr>
        <w:trHeight w:val="276"/>
      </w:trPr>
      <w:tc>
        <w:tcPr>
          <w:tcW w:w="2404" w:type="dxa"/>
        </w:tcPr>
        <w:p w14:paraId="5C354F93" w14:textId="77777777" w:rsidR="00AE056E" w:rsidRPr="00CB769C" w:rsidRDefault="00AE056E" w:rsidP="00CB769C">
          <w:pPr>
            <w:tabs>
              <w:tab w:val="right" w:pos="8838"/>
            </w:tabs>
            <w:spacing w:after="0" w:line="240" w:lineRule="auto"/>
            <w:ind w:right="-105"/>
            <w:rPr>
              <w:b/>
            </w:rPr>
          </w:pPr>
          <w:r w:rsidRPr="00CB769C">
            <w:rPr>
              <w:b/>
            </w:rPr>
            <w:t>Sujeto Obligado:</w:t>
          </w:r>
        </w:p>
      </w:tc>
      <w:tc>
        <w:tcPr>
          <w:tcW w:w="3587" w:type="dxa"/>
        </w:tcPr>
        <w:p w14:paraId="043AA1BC" w14:textId="77777777" w:rsidR="00AE056E" w:rsidRPr="00CB769C" w:rsidRDefault="00AE056E" w:rsidP="00CB769C">
          <w:pPr>
            <w:tabs>
              <w:tab w:val="right" w:pos="8838"/>
            </w:tabs>
            <w:spacing w:after="0" w:line="240" w:lineRule="auto"/>
            <w:ind w:right="116"/>
          </w:pPr>
          <w:r w:rsidRPr="00CB769C">
            <w:t>Ayuntamiento de Chapultepec</w:t>
          </w:r>
        </w:p>
      </w:tc>
    </w:tr>
    <w:tr w:rsidR="00AE056E" w:rsidRPr="00CB769C" w14:paraId="45A3B5BC" w14:textId="77777777" w:rsidTr="00CB769C">
      <w:trPr>
        <w:trHeight w:val="276"/>
      </w:trPr>
      <w:tc>
        <w:tcPr>
          <w:tcW w:w="2404" w:type="dxa"/>
        </w:tcPr>
        <w:p w14:paraId="41092BE0" w14:textId="77777777" w:rsidR="00AE056E" w:rsidRPr="00CB769C" w:rsidRDefault="00AE056E" w:rsidP="00CB769C">
          <w:pPr>
            <w:tabs>
              <w:tab w:val="right" w:pos="8838"/>
            </w:tabs>
            <w:spacing w:after="0" w:line="240" w:lineRule="auto"/>
            <w:ind w:right="-105"/>
            <w:rPr>
              <w:b/>
            </w:rPr>
          </w:pPr>
          <w:r w:rsidRPr="00CB769C">
            <w:rPr>
              <w:b/>
            </w:rPr>
            <w:t>Comisionado Ponente:</w:t>
          </w:r>
        </w:p>
      </w:tc>
      <w:tc>
        <w:tcPr>
          <w:tcW w:w="3587" w:type="dxa"/>
        </w:tcPr>
        <w:p w14:paraId="17E4F550" w14:textId="77777777" w:rsidR="00AE056E" w:rsidRPr="00CB769C" w:rsidRDefault="00AE056E" w:rsidP="00CB769C">
          <w:pPr>
            <w:tabs>
              <w:tab w:val="right" w:pos="8838"/>
            </w:tabs>
            <w:spacing w:after="0" w:line="240" w:lineRule="auto"/>
            <w:ind w:right="-32"/>
          </w:pPr>
          <w:r w:rsidRPr="00CB769C">
            <w:t>Luis Gustavo Parra Noriega</w:t>
          </w:r>
        </w:p>
      </w:tc>
    </w:tr>
  </w:tbl>
  <w:p w14:paraId="347FC590" w14:textId="77777777" w:rsidR="00AE056E" w:rsidRDefault="00000000">
    <w:pPr>
      <w:pBdr>
        <w:top w:val="nil"/>
        <w:left w:val="nil"/>
        <w:bottom w:val="nil"/>
        <w:right w:val="nil"/>
        <w:between w:val="nil"/>
      </w:pBdr>
      <w:tabs>
        <w:tab w:val="center" w:pos="4419"/>
        <w:tab w:val="right" w:pos="8838"/>
      </w:tabs>
      <w:spacing w:after="0" w:line="240" w:lineRule="auto"/>
    </w:pPr>
    <w:r>
      <w:pict w14:anchorId="768FC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30EA7" w14:textId="77777777" w:rsidR="00AE056E" w:rsidRDefault="00AE056E">
    <w:pPr>
      <w:rPr>
        <w:sz w:val="16"/>
        <w:szCs w:val="16"/>
      </w:rPr>
    </w:pPr>
  </w:p>
  <w:tbl>
    <w:tblPr>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AE056E" w:rsidRPr="00CB769C" w14:paraId="1A4B8760" w14:textId="77777777" w:rsidTr="00CB769C">
      <w:trPr>
        <w:trHeight w:val="141"/>
      </w:trPr>
      <w:tc>
        <w:tcPr>
          <w:tcW w:w="2409" w:type="dxa"/>
        </w:tcPr>
        <w:p w14:paraId="30D5E307" w14:textId="77777777" w:rsidR="00AE056E" w:rsidRPr="00CB769C" w:rsidRDefault="00AE056E" w:rsidP="00CB769C">
          <w:pPr>
            <w:tabs>
              <w:tab w:val="right" w:pos="8838"/>
            </w:tabs>
            <w:spacing w:after="0" w:line="240" w:lineRule="auto"/>
            <w:ind w:left="-395" w:right="-105" w:firstLine="395"/>
            <w:rPr>
              <w:b/>
            </w:rPr>
          </w:pPr>
          <w:r w:rsidRPr="00CB769C">
            <w:rPr>
              <w:b/>
            </w:rPr>
            <w:t>Recurso de Revisión:</w:t>
          </w:r>
        </w:p>
      </w:tc>
      <w:tc>
        <w:tcPr>
          <w:tcW w:w="3686" w:type="dxa"/>
        </w:tcPr>
        <w:p w14:paraId="18734C87" w14:textId="7CA5FE17" w:rsidR="00AE056E" w:rsidRPr="00CB769C" w:rsidRDefault="00AE056E" w:rsidP="00CB769C">
          <w:pPr>
            <w:tabs>
              <w:tab w:val="right" w:pos="8838"/>
            </w:tabs>
            <w:spacing w:after="0" w:line="240" w:lineRule="auto"/>
            <w:ind w:left="-28" w:right="176"/>
            <w:rPr>
              <w:bCs/>
            </w:rPr>
          </w:pPr>
          <w:r w:rsidRPr="00511105">
            <w:rPr>
              <w:bCs/>
            </w:rPr>
            <w:t>05821/INFOEM/IP/RR/2025</w:t>
          </w:r>
        </w:p>
      </w:tc>
    </w:tr>
    <w:tr w:rsidR="00AE056E" w:rsidRPr="00CB769C" w14:paraId="3AF8AFAF" w14:textId="77777777" w:rsidTr="00CB769C">
      <w:trPr>
        <w:trHeight w:val="276"/>
      </w:trPr>
      <w:tc>
        <w:tcPr>
          <w:tcW w:w="2409" w:type="dxa"/>
        </w:tcPr>
        <w:p w14:paraId="5E95276B" w14:textId="77777777" w:rsidR="00AE056E" w:rsidRPr="00CB769C" w:rsidRDefault="00AE056E" w:rsidP="00CB769C">
          <w:pPr>
            <w:tabs>
              <w:tab w:val="right" w:pos="8838"/>
            </w:tabs>
            <w:spacing w:after="0" w:line="240" w:lineRule="auto"/>
            <w:ind w:right="-105"/>
            <w:rPr>
              <w:b/>
            </w:rPr>
          </w:pPr>
          <w:r w:rsidRPr="00CB769C">
            <w:rPr>
              <w:b/>
            </w:rPr>
            <w:t>Sujeto Obligado:</w:t>
          </w:r>
        </w:p>
      </w:tc>
      <w:tc>
        <w:tcPr>
          <w:tcW w:w="3686" w:type="dxa"/>
        </w:tcPr>
        <w:p w14:paraId="1B1620E5" w14:textId="36FB345D" w:rsidR="00AE056E" w:rsidRPr="00CB769C" w:rsidRDefault="00AE056E" w:rsidP="00CB769C">
          <w:pPr>
            <w:tabs>
              <w:tab w:val="right" w:pos="8838"/>
            </w:tabs>
            <w:spacing w:after="0" w:line="240" w:lineRule="auto"/>
            <w:ind w:right="33"/>
            <w:rPr>
              <w:bCs/>
            </w:rPr>
          </w:pPr>
          <w:r w:rsidRPr="00511105">
            <w:rPr>
              <w:bCs/>
            </w:rPr>
            <w:t>Ayuntamiento de Cocotitlán</w:t>
          </w:r>
        </w:p>
      </w:tc>
    </w:tr>
    <w:tr w:rsidR="00AE056E" w:rsidRPr="00CB769C" w14:paraId="5F7118BF" w14:textId="77777777" w:rsidTr="00CB769C">
      <w:trPr>
        <w:trHeight w:val="276"/>
      </w:trPr>
      <w:tc>
        <w:tcPr>
          <w:tcW w:w="2409" w:type="dxa"/>
        </w:tcPr>
        <w:p w14:paraId="717892C8" w14:textId="77777777" w:rsidR="00AE056E" w:rsidRPr="00CB769C" w:rsidRDefault="00AE056E" w:rsidP="00CB769C">
          <w:pPr>
            <w:tabs>
              <w:tab w:val="right" w:pos="8838"/>
            </w:tabs>
            <w:spacing w:after="0" w:line="240" w:lineRule="auto"/>
            <w:ind w:right="-105"/>
            <w:rPr>
              <w:b/>
            </w:rPr>
          </w:pPr>
          <w:r w:rsidRPr="00CB769C">
            <w:rPr>
              <w:b/>
            </w:rPr>
            <w:t>Comisionado Ponente:</w:t>
          </w:r>
        </w:p>
      </w:tc>
      <w:tc>
        <w:tcPr>
          <w:tcW w:w="3686" w:type="dxa"/>
        </w:tcPr>
        <w:p w14:paraId="3205E396" w14:textId="77777777" w:rsidR="00AE056E" w:rsidRPr="00CB769C" w:rsidRDefault="00AE056E" w:rsidP="00CB769C">
          <w:pPr>
            <w:tabs>
              <w:tab w:val="right" w:pos="8838"/>
            </w:tabs>
            <w:spacing w:after="0" w:line="240" w:lineRule="auto"/>
            <w:ind w:right="176"/>
          </w:pPr>
          <w:r w:rsidRPr="00CB769C">
            <w:t>Luis Gustavo Parra Noriega</w:t>
          </w:r>
        </w:p>
        <w:p w14:paraId="39A3E410" w14:textId="77777777" w:rsidR="00AE056E" w:rsidRPr="00CB769C" w:rsidRDefault="00AE056E" w:rsidP="00CB769C">
          <w:pPr>
            <w:tabs>
              <w:tab w:val="right" w:pos="8838"/>
            </w:tabs>
            <w:spacing w:after="0" w:line="240" w:lineRule="auto"/>
            <w:ind w:right="176"/>
          </w:pPr>
        </w:p>
      </w:tc>
    </w:tr>
  </w:tbl>
  <w:p w14:paraId="10CF368D" w14:textId="77777777" w:rsidR="00AE056E" w:rsidRDefault="00000000">
    <w:pPr>
      <w:pBdr>
        <w:top w:val="nil"/>
        <w:left w:val="nil"/>
        <w:bottom w:val="nil"/>
        <w:right w:val="nil"/>
        <w:between w:val="nil"/>
      </w:pBdr>
      <w:tabs>
        <w:tab w:val="center" w:pos="4419"/>
        <w:tab w:val="right" w:pos="8838"/>
      </w:tabs>
      <w:spacing w:after="0" w:line="240" w:lineRule="auto"/>
    </w:pPr>
    <w:r>
      <w:pict w14:anchorId="04AFBC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03CEB" w14:textId="1B4F110A" w:rsidR="00AE056E" w:rsidRDefault="00AE056E">
    <w:pPr>
      <w:widowControl w:val="0"/>
      <w:pBdr>
        <w:top w:val="nil"/>
        <w:left w:val="nil"/>
        <w:bottom w:val="nil"/>
        <w:right w:val="nil"/>
        <w:between w:val="nil"/>
      </w:pBdr>
      <w:spacing w:after="0" w:line="276" w:lineRule="auto"/>
      <w:jc w:val="left"/>
    </w:pPr>
  </w:p>
  <w:tbl>
    <w:tblPr>
      <w:tblW w:w="9214" w:type="dxa"/>
      <w:tblLayout w:type="fixed"/>
      <w:tblLook w:val="0400" w:firstRow="0" w:lastRow="0" w:firstColumn="0" w:lastColumn="0" w:noHBand="0" w:noVBand="1"/>
    </w:tblPr>
    <w:tblGrid>
      <w:gridCol w:w="2127"/>
      <w:gridCol w:w="7087"/>
    </w:tblGrid>
    <w:tr w:rsidR="00AE056E" w:rsidRPr="00CB769C" w14:paraId="08481A56" w14:textId="77777777" w:rsidTr="00CB769C">
      <w:trPr>
        <w:trHeight w:val="1546"/>
      </w:trPr>
      <w:tc>
        <w:tcPr>
          <w:tcW w:w="2127" w:type="dxa"/>
        </w:tcPr>
        <w:p w14:paraId="15DDC6A9" w14:textId="77777777" w:rsidR="00AE056E" w:rsidRPr="00CB769C" w:rsidRDefault="00AE056E" w:rsidP="00CB769C">
          <w:pPr>
            <w:tabs>
              <w:tab w:val="right" w:pos="4273"/>
            </w:tabs>
            <w:spacing w:after="0" w:line="240" w:lineRule="auto"/>
            <w:rPr>
              <w:rFonts w:ascii="Garamond" w:eastAsia="Garamond" w:hAnsi="Garamond" w:cs="Garamond"/>
              <w:sz w:val="16"/>
              <w:szCs w:val="16"/>
            </w:rPr>
          </w:pPr>
        </w:p>
      </w:tc>
      <w:tc>
        <w:tcPr>
          <w:tcW w:w="7087" w:type="dxa"/>
        </w:tcPr>
        <w:p w14:paraId="781AF937" w14:textId="77777777" w:rsidR="00AE056E" w:rsidRPr="00CB769C" w:rsidRDefault="00AE056E" w:rsidP="00CB769C">
          <w:pPr>
            <w:spacing w:after="0" w:line="240" w:lineRule="auto"/>
            <w:rPr>
              <w:sz w:val="10"/>
              <w:szCs w:val="10"/>
            </w:rPr>
          </w:pPr>
        </w:p>
        <w:tbl>
          <w:tblPr>
            <w:tblW w:w="5812" w:type="dxa"/>
            <w:tblInd w:w="1167" w:type="dxa"/>
            <w:tblLayout w:type="fixed"/>
            <w:tblLook w:val="0400" w:firstRow="0" w:lastRow="0" w:firstColumn="0" w:lastColumn="0" w:noHBand="0" w:noVBand="1"/>
          </w:tblPr>
          <w:tblGrid>
            <w:gridCol w:w="2440"/>
            <w:gridCol w:w="3372"/>
          </w:tblGrid>
          <w:tr w:rsidR="00AE056E" w:rsidRPr="00CB769C" w14:paraId="7AACBD28" w14:textId="77777777" w:rsidTr="00CB769C">
            <w:trPr>
              <w:trHeight w:val="427"/>
            </w:trPr>
            <w:tc>
              <w:tcPr>
                <w:tcW w:w="2440" w:type="dxa"/>
                <w:vAlign w:val="bottom"/>
              </w:tcPr>
              <w:p w14:paraId="3DD7992F" w14:textId="64BCA500" w:rsidR="00AE056E" w:rsidRPr="00CB769C" w:rsidRDefault="00AE056E" w:rsidP="00CB769C">
                <w:pPr>
                  <w:tabs>
                    <w:tab w:val="right" w:pos="8838"/>
                  </w:tabs>
                  <w:spacing w:after="0" w:line="240" w:lineRule="auto"/>
                  <w:ind w:right="-105"/>
                  <w:rPr>
                    <w:b/>
                  </w:rPr>
                </w:pPr>
                <w:r w:rsidRPr="00CB769C">
                  <w:rPr>
                    <w:b/>
                  </w:rPr>
                  <w:t>Recurso de Revisión:</w:t>
                </w:r>
              </w:p>
            </w:tc>
            <w:tc>
              <w:tcPr>
                <w:tcW w:w="3372" w:type="dxa"/>
              </w:tcPr>
              <w:p w14:paraId="131C70A0" w14:textId="77777777" w:rsidR="00AE056E" w:rsidRPr="00CB769C" w:rsidRDefault="00AE056E" w:rsidP="00CB769C">
                <w:pPr>
                  <w:tabs>
                    <w:tab w:val="right" w:pos="8838"/>
                  </w:tabs>
                  <w:spacing w:after="0" w:line="240" w:lineRule="auto"/>
                  <w:ind w:left="-28" w:right="-107"/>
                  <w:rPr>
                    <w:bCs/>
                  </w:rPr>
                </w:pPr>
              </w:p>
              <w:p w14:paraId="451967B7" w14:textId="4DBCB9A4" w:rsidR="00AE056E" w:rsidRPr="00CB769C" w:rsidRDefault="00AE056E" w:rsidP="00CB769C">
                <w:pPr>
                  <w:tabs>
                    <w:tab w:val="right" w:pos="8838"/>
                  </w:tabs>
                  <w:spacing w:after="0" w:line="240" w:lineRule="auto"/>
                  <w:ind w:left="-28" w:right="-107"/>
                  <w:rPr>
                    <w:bCs/>
                  </w:rPr>
                </w:pPr>
                <w:r w:rsidRPr="00511105">
                  <w:rPr>
                    <w:bCs/>
                  </w:rPr>
                  <w:t>05821/INFOEM/IP/RR/2025</w:t>
                </w:r>
              </w:p>
            </w:tc>
          </w:tr>
          <w:tr w:rsidR="00AE056E" w:rsidRPr="00CB769C" w14:paraId="2DC4423D" w14:textId="77777777" w:rsidTr="00CB769C">
            <w:trPr>
              <w:trHeight w:val="141"/>
            </w:trPr>
            <w:tc>
              <w:tcPr>
                <w:tcW w:w="2440" w:type="dxa"/>
              </w:tcPr>
              <w:p w14:paraId="4FE19407" w14:textId="77777777" w:rsidR="00AE056E" w:rsidRPr="00CB769C" w:rsidRDefault="00AE056E" w:rsidP="00CB769C">
                <w:pPr>
                  <w:tabs>
                    <w:tab w:val="right" w:pos="8838"/>
                  </w:tabs>
                  <w:spacing w:after="0" w:line="240" w:lineRule="auto"/>
                  <w:ind w:right="-105"/>
                  <w:rPr>
                    <w:b/>
                  </w:rPr>
                </w:pPr>
                <w:r w:rsidRPr="00CB769C">
                  <w:rPr>
                    <w:b/>
                  </w:rPr>
                  <w:t>Recurrente:</w:t>
                </w:r>
              </w:p>
            </w:tc>
            <w:tc>
              <w:tcPr>
                <w:tcW w:w="3372" w:type="dxa"/>
              </w:tcPr>
              <w:p w14:paraId="1BF8AAFC" w14:textId="1CFC4F5D" w:rsidR="00AE056E" w:rsidRPr="00CB769C" w:rsidRDefault="00AE056E" w:rsidP="00CB769C">
                <w:pPr>
                  <w:tabs>
                    <w:tab w:val="right" w:pos="8838"/>
                  </w:tabs>
                  <w:spacing w:after="0" w:line="240" w:lineRule="auto"/>
                  <w:ind w:right="-107"/>
                  <w:rPr>
                    <w:bCs/>
                  </w:rPr>
                </w:pPr>
              </w:p>
            </w:tc>
          </w:tr>
          <w:tr w:rsidR="00AE056E" w:rsidRPr="00CB769C" w14:paraId="652B91A8" w14:textId="77777777" w:rsidTr="00CB769C">
            <w:trPr>
              <w:trHeight w:val="276"/>
            </w:trPr>
            <w:tc>
              <w:tcPr>
                <w:tcW w:w="2440" w:type="dxa"/>
              </w:tcPr>
              <w:p w14:paraId="5D2DFCF1" w14:textId="77777777" w:rsidR="00AE056E" w:rsidRPr="00CB769C" w:rsidRDefault="00AE056E" w:rsidP="00CB769C">
                <w:pPr>
                  <w:tabs>
                    <w:tab w:val="right" w:pos="8838"/>
                  </w:tabs>
                  <w:spacing w:after="0" w:line="240" w:lineRule="auto"/>
                  <w:ind w:right="-105"/>
                  <w:rPr>
                    <w:b/>
                  </w:rPr>
                </w:pPr>
                <w:r w:rsidRPr="00CB769C">
                  <w:rPr>
                    <w:b/>
                  </w:rPr>
                  <w:t>Sujeto Obligado:</w:t>
                </w:r>
              </w:p>
            </w:tc>
            <w:tc>
              <w:tcPr>
                <w:tcW w:w="3372" w:type="dxa"/>
              </w:tcPr>
              <w:p w14:paraId="484DA123" w14:textId="6B1D7EFA" w:rsidR="00AE056E" w:rsidRPr="00CB769C" w:rsidRDefault="00AE056E" w:rsidP="00CB769C">
                <w:pPr>
                  <w:tabs>
                    <w:tab w:val="right" w:pos="8838"/>
                  </w:tabs>
                  <w:spacing w:after="0" w:line="240" w:lineRule="auto"/>
                  <w:ind w:right="33"/>
                  <w:rPr>
                    <w:bCs/>
                  </w:rPr>
                </w:pPr>
                <w:r w:rsidRPr="00511105">
                  <w:rPr>
                    <w:bCs/>
                  </w:rPr>
                  <w:t>Ayuntamiento de Cocotitlán</w:t>
                </w:r>
              </w:p>
            </w:tc>
          </w:tr>
          <w:tr w:rsidR="00AE056E" w:rsidRPr="00CB769C" w14:paraId="1D67CCD5" w14:textId="77777777" w:rsidTr="00CB769C">
            <w:trPr>
              <w:trHeight w:val="276"/>
            </w:trPr>
            <w:tc>
              <w:tcPr>
                <w:tcW w:w="2440" w:type="dxa"/>
              </w:tcPr>
              <w:p w14:paraId="537FC0FB" w14:textId="77777777" w:rsidR="00AE056E" w:rsidRPr="00CB769C" w:rsidRDefault="00AE056E" w:rsidP="00CB769C">
                <w:pPr>
                  <w:tabs>
                    <w:tab w:val="right" w:pos="8838"/>
                  </w:tabs>
                  <w:spacing w:after="0" w:line="240" w:lineRule="auto"/>
                  <w:ind w:right="-105"/>
                  <w:rPr>
                    <w:b/>
                  </w:rPr>
                </w:pPr>
                <w:r w:rsidRPr="00CB769C">
                  <w:rPr>
                    <w:b/>
                  </w:rPr>
                  <w:t>Comisionado Ponente:</w:t>
                </w:r>
              </w:p>
            </w:tc>
            <w:tc>
              <w:tcPr>
                <w:tcW w:w="3372" w:type="dxa"/>
              </w:tcPr>
              <w:p w14:paraId="671B4D0D" w14:textId="77777777" w:rsidR="00AE056E" w:rsidRPr="00CB769C" w:rsidRDefault="00AE056E" w:rsidP="00CB769C">
                <w:pPr>
                  <w:tabs>
                    <w:tab w:val="right" w:pos="8838"/>
                  </w:tabs>
                  <w:spacing w:after="0" w:line="240" w:lineRule="auto"/>
                  <w:ind w:right="-107"/>
                </w:pPr>
                <w:r w:rsidRPr="00CB769C">
                  <w:t>Luis Gustavo Parra Noriega</w:t>
                </w:r>
              </w:p>
            </w:tc>
          </w:tr>
        </w:tbl>
        <w:p w14:paraId="3229CA71" w14:textId="77777777" w:rsidR="00AE056E" w:rsidRPr="00CB769C" w:rsidRDefault="00AE056E" w:rsidP="00CB769C">
          <w:pPr>
            <w:tabs>
              <w:tab w:val="right" w:pos="8838"/>
            </w:tabs>
            <w:spacing w:after="0" w:line="240" w:lineRule="auto"/>
            <w:ind w:left="-28"/>
            <w:rPr>
              <w:rFonts w:ascii="Arial" w:eastAsia="Arial" w:hAnsi="Arial" w:cs="Arial"/>
              <w:b/>
            </w:rPr>
          </w:pPr>
        </w:p>
      </w:tc>
    </w:tr>
  </w:tbl>
  <w:p w14:paraId="5126FB15" w14:textId="77777777" w:rsidR="00AE056E" w:rsidRDefault="00000000">
    <w:pPr>
      <w:pBdr>
        <w:top w:val="nil"/>
        <w:left w:val="nil"/>
        <w:bottom w:val="nil"/>
        <w:right w:val="nil"/>
        <w:between w:val="nil"/>
      </w:pBdr>
      <w:tabs>
        <w:tab w:val="center" w:pos="4419"/>
        <w:tab w:val="right" w:pos="8838"/>
      </w:tabs>
      <w:spacing w:after="0" w:line="240" w:lineRule="auto"/>
    </w:pPr>
    <w:r>
      <w:pict w14:anchorId="64DF2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left:0;text-align:left;margin-left:-97.1pt;margin-top:-127.6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E0B31"/>
    <w:multiLevelType w:val="hybridMultilevel"/>
    <w:tmpl w:val="E1BA5A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C756A7"/>
    <w:multiLevelType w:val="hybridMultilevel"/>
    <w:tmpl w:val="C70A5AA8"/>
    <w:lvl w:ilvl="0" w:tplc="C82A9C1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1EBD7B00"/>
    <w:multiLevelType w:val="hybridMultilevel"/>
    <w:tmpl w:val="18BC5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BA60E1"/>
    <w:multiLevelType w:val="hybridMultilevel"/>
    <w:tmpl w:val="6E7AA488"/>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8C1F7A"/>
    <w:multiLevelType w:val="hybridMultilevel"/>
    <w:tmpl w:val="05C24EA4"/>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A839AF"/>
    <w:multiLevelType w:val="hybridMultilevel"/>
    <w:tmpl w:val="718A189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2DF41842"/>
    <w:multiLevelType w:val="hybridMultilevel"/>
    <w:tmpl w:val="1B14111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FF57862"/>
    <w:multiLevelType w:val="hybridMultilevel"/>
    <w:tmpl w:val="4D86962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3F2761B"/>
    <w:multiLevelType w:val="multilevel"/>
    <w:tmpl w:val="73200F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6C15563"/>
    <w:multiLevelType w:val="hybridMultilevel"/>
    <w:tmpl w:val="C70A5AA8"/>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1"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E5F089B"/>
    <w:multiLevelType w:val="hybridMultilevel"/>
    <w:tmpl w:val="277AEF12"/>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43D92306"/>
    <w:multiLevelType w:val="hybridMultilevel"/>
    <w:tmpl w:val="1B14111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C104E4E"/>
    <w:multiLevelType w:val="hybridMultilevel"/>
    <w:tmpl w:val="0410523E"/>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D4E66E1"/>
    <w:multiLevelType w:val="hybridMultilevel"/>
    <w:tmpl w:val="0F685CC4"/>
    <w:lvl w:ilvl="0" w:tplc="080A000F">
      <w:start w:val="1"/>
      <w:numFmt w:val="decimal"/>
      <w:lvlText w:val="%1."/>
      <w:lvlJc w:val="left"/>
      <w:pPr>
        <w:ind w:left="720" w:hanging="360"/>
      </w:pPr>
      <w:rPr>
        <w:rFonts w:hint="default"/>
      </w:rPr>
    </w:lvl>
    <w:lvl w:ilvl="1" w:tplc="5C6ABE9E">
      <w:start w:val="1"/>
      <w:numFmt w:val="decimal"/>
      <w:lvlText w:val="%2."/>
      <w:lvlJc w:val="left"/>
      <w:pPr>
        <w:ind w:left="1440" w:hanging="360"/>
      </w:pPr>
      <w:rPr>
        <w:rFonts w:ascii="Palatino Linotype" w:eastAsia="Palatino Linotype" w:hAnsi="Palatino Linotype" w:cs="Palatino Linotype"/>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72F78DE"/>
    <w:multiLevelType w:val="hybridMultilevel"/>
    <w:tmpl w:val="CA1C333E"/>
    <w:lvl w:ilvl="0" w:tplc="547A3520">
      <w:start w:val="1"/>
      <w:numFmt w:val="decimal"/>
      <w:lvlText w:val="%1."/>
      <w:lvlJc w:val="left"/>
      <w:pPr>
        <w:ind w:left="720" w:hanging="360"/>
      </w:pPr>
      <w:rPr>
        <w:rFonts w:ascii="Palatino Linotype" w:eastAsia="Palatino Linotype" w:hAnsi="Palatino Linotype" w:cs="Palatino Linotype"/>
        <w:i w:val="0"/>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AAF3A10"/>
    <w:multiLevelType w:val="hybridMultilevel"/>
    <w:tmpl w:val="742A13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 w15:restartNumberingAfterBreak="0">
    <w:nsid w:val="5C0D1D37"/>
    <w:multiLevelType w:val="hybridMultilevel"/>
    <w:tmpl w:val="A67C8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11D6851"/>
    <w:multiLevelType w:val="hybridMultilevel"/>
    <w:tmpl w:val="96B04CC0"/>
    <w:lvl w:ilvl="0" w:tplc="080A0001">
      <w:start w:val="1"/>
      <w:numFmt w:val="bullet"/>
      <w:lvlText w:val=""/>
      <w:lvlJc w:val="left"/>
      <w:pPr>
        <w:ind w:left="1335" w:hanging="360"/>
      </w:pPr>
      <w:rPr>
        <w:rFonts w:ascii="Symbol" w:hAnsi="Symbol" w:hint="default"/>
      </w:rPr>
    </w:lvl>
    <w:lvl w:ilvl="1" w:tplc="080A0003" w:tentative="1">
      <w:start w:val="1"/>
      <w:numFmt w:val="bullet"/>
      <w:lvlText w:val="o"/>
      <w:lvlJc w:val="left"/>
      <w:pPr>
        <w:ind w:left="2055" w:hanging="360"/>
      </w:pPr>
      <w:rPr>
        <w:rFonts w:ascii="Courier New" w:hAnsi="Courier New" w:cs="Courier New" w:hint="default"/>
      </w:rPr>
    </w:lvl>
    <w:lvl w:ilvl="2" w:tplc="080A0005" w:tentative="1">
      <w:start w:val="1"/>
      <w:numFmt w:val="bullet"/>
      <w:lvlText w:val=""/>
      <w:lvlJc w:val="left"/>
      <w:pPr>
        <w:ind w:left="2775" w:hanging="360"/>
      </w:pPr>
      <w:rPr>
        <w:rFonts w:ascii="Wingdings" w:hAnsi="Wingdings" w:hint="default"/>
      </w:rPr>
    </w:lvl>
    <w:lvl w:ilvl="3" w:tplc="080A0001" w:tentative="1">
      <w:start w:val="1"/>
      <w:numFmt w:val="bullet"/>
      <w:lvlText w:val=""/>
      <w:lvlJc w:val="left"/>
      <w:pPr>
        <w:ind w:left="3495" w:hanging="360"/>
      </w:pPr>
      <w:rPr>
        <w:rFonts w:ascii="Symbol" w:hAnsi="Symbol" w:hint="default"/>
      </w:rPr>
    </w:lvl>
    <w:lvl w:ilvl="4" w:tplc="080A0003" w:tentative="1">
      <w:start w:val="1"/>
      <w:numFmt w:val="bullet"/>
      <w:lvlText w:val="o"/>
      <w:lvlJc w:val="left"/>
      <w:pPr>
        <w:ind w:left="4215" w:hanging="360"/>
      </w:pPr>
      <w:rPr>
        <w:rFonts w:ascii="Courier New" w:hAnsi="Courier New" w:cs="Courier New" w:hint="default"/>
      </w:rPr>
    </w:lvl>
    <w:lvl w:ilvl="5" w:tplc="080A0005" w:tentative="1">
      <w:start w:val="1"/>
      <w:numFmt w:val="bullet"/>
      <w:lvlText w:val=""/>
      <w:lvlJc w:val="left"/>
      <w:pPr>
        <w:ind w:left="4935" w:hanging="360"/>
      </w:pPr>
      <w:rPr>
        <w:rFonts w:ascii="Wingdings" w:hAnsi="Wingdings" w:hint="default"/>
      </w:rPr>
    </w:lvl>
    <w:lvl w:ilvl="6" w:tplc="080A0001" w:tentative="1">
      <w:start w:val="1"/>
      <w:numFmt w:val="bullet"/>
      <w:lvlText w:val=""/>
      <w:lvlJc w:val="left"/>
      <w:pPr>
        <w:ind w:left="5655" w:hanging="360"/>
      </w:pPr>
      <w:rPr>
        <w:rFonts w:ascii="Symbol" w:hAnsi="Symbol" w:hint="default"/>
      </w:rPr>
    </w:lvl>
    <w:lvl w:ilvl="7" w:tplc="080A0003" w:tentative="1">
      <w:start w:val="1"/>
      <w:numFmt w:val="bullet"/>
      <w:lvlText w:val="o"/>
      <w:lvlJc w:val="left"/>
      <w:pPr>
        <w:ind w:left="6375" w:hanging="360"/>
      </w:pPr>
      <w:rPr>
        <w:rFonts w:ascii="Courier New" w:hAnsi="Courier New" w:cs="Courier New" w:hint="default"/>
      </w:rPr>
    </w:lvl>
    <w:lvl w:ilvl="8" w:tplc="080A0005" w:tentative="1">
      <w:start w:val="1"/>
      <w:numFmt w:val="bullet"/>
      <w:lvlText w:val=""/>
      <w:lvlJc w:val="left"/>
      <w:pPr>
        <w:ind w:left="7095" w:hanging="360"/>
      </w:pPr>
      <w:rPr>
        <w:rFonts w:ascii="Wingdings" w:hAnsi="Wingdings" w:hint="default"/>
      </w:rPr>
    </w:lvl>
  </w:abstractNum>
  <w:abstractNum w:abstractNumId="21" w15:restartNumberingAfterBreak="0">
    <w:nsid w:val="627F658B"/>
    <w:multiLevelType w:val="hybridMultilevel"/>
    <w:tmpl w:val="89621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47244B4"/>
    <w:multiLevelType w:val="hybridMultilevel"/>
    <w:tmpl w:val="E00E1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8135B99"/>
    <w:multiLevelType w:val="hybridMultilevel"/>
    <w:tmpl w:val="D320154C"/>
    <w:lvl w:ilvl="0" w:tplc="D2B8748E">
      <w:numFmt w:val="bullet"/>
      <w:lvlText w:val="-"/>
      <w:lvlJc w:val="left"/>
      <w:pPr>
        <w:ind w:left="927" w:hanging="360"/>
      </w:pPr>
      <w:rPr>
        <w:rFonts w:ascii="Palatino Linotype" w:eastAsia="Palatino Linotype" w:hAnsi="Palatino Linotype" w:cs="Palatino Linotype"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4" w15:restartNumberingAfterBreak="0">
    <w:nsid w:val="68B37154"/>
    <w:multiLevelType w:val="hybridMultilevel"/>
    <w:tmpl w:val="DDD01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D0944B0"/>
    <w:multiLevelType w:val="hybridMultilevel"/>
    <w:tmpl w:val="9A7AB3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8254090">
    <w:abstractNumId w:val="4"/>
  </w:num>
  <w:num w:numId="2" w16cid:durableId="595216695">
    <w:abstractNumId w:val="21"/>
  </w:num>
  <w:num w:numId="3" w16cid:durableId="2098519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30449489">
    <w:abstractNumId w:val="6"/>
  </w:num>
  <w:num w:numId="5" w16cid:durableId="524320667">
    <w:abstractNumId w:val="1"/>
  </w:num>
  <w:num w:numId="6" w16cid:durableId="355892118">
    <w:abstractNumId w:val="10"/>
  </w:num>
  <w:num w:numId="7" w16cid:durableId="1789615731">
    <w:abstractNumId w:val="24"/>
  </w:num>
  <w:num w:numId="8" w16cid:durableId="492796265">
    <w:abstractNumId w:val="23"/>
  </w:num>
  <w:num w:numId="9" w16cid:durableId="2040278639">
    <w:abstractNumId w:val="7"/>
  </w:num>
  <w:num w:numId="10" w16cid:durableId="1247882852">
    <w:abstractNumId w:val="13"/>
  </w:num>
  <w:num w:numId="11" w16cid:durableId="1891526548">
    <w:abstractNumId w:val="16"/>
  </w:num>
  <w:num w:numId="12" w16cid:durableId="1677803914">
    <w:abstractNumId w:val="2"/>
  </w:num>
  <w:num w:numId="13" w16cid:durableId="1369720946">
    <w:abstractNumId w:val="22"/>
  </w:num>
  <w:num w:numId="14" w16cid:durableId="1866674239">
    <w:abstractNumId w:val="18"/>
  </w:num>
  <w:num w:numId="15" w16cid:durableId="96296058">
    <w:abstractNumId w:val="19"/>
  </w:num>
  <w:num w:numId="16" w16cid:durableId="1473209897">
    <w:abstractNumId w:val="14"/>
  </w:num>
  <w:num w:numId="17" w16cid:durableId="656687168">
    <w:abstractNumId w:val="11"/>
  </w:num>
  <w:num w:numId="18" w16cid:durableId="454834832">
    <w:abstractNumId w:val="5"/>
  </w:num>
  <w:num w:numId="19" w16cid:durableId="554127252">
    <w:abstractNumId w:val="0"/>
  </w:num>
  <w:num w:numId="20" w16cid:durableId="506602147">
    <w:abstractNumId w:val="20"/>
  </w:num>
  <w:num w:numId="21" w16cid:durableId="1438519558">
    <w:abstractNumId w:val="17"/>
  </w:num>
  <w:num w:numId="22" w16cid:durableId="687950356">
    <w:abstractNumId w:val="25"/>
  </w:num>
  <w:num w:numId="23" w16cid:durableId="394621262">
    <w:abstractNumId w:val="8"/>
  </w:num>
  <w:num w:numId="24" w16cid:durableId="141166415">
    <w:abstractNumId w:val="15"/>
  </w:num>
  <w:num w:numId="25" w16cid:durableId="131560418">
    <w:abstractNumId w:val="3"/>
  </w:num>
  <w:num w:numId="26" w16cid:durableId="1402410423">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807"/>
    <w:rsid w:val="00000BF7"/>
    <w:rsid w:val="00000C6A"/>
    <w:rsid w:val="00001F9A"/>
    <w:rsid w:val="00002676"/>
    <w:rsid w:val="00002693"/>
    <w:rsid w:val="0000314A"/>
    <w:rsid w:val="00005126"/>
    <w:rsid w:val="00006AE3"/>
    <w:rsid w:val="00007712"/>
    <w:rsid w:val="00011280"/>
    <w:rsid w:val="00012F27"/>
    <w:rsid w:val="000159D6"/>
    <w:rsid w:val="00016205"/>
    <w:rsid w:val="00016AAB"/>
    <w:rsid w:val="00017FD2"/>
    <w:rsid w:val="00020EFA"/>
    <w:rsid w:val="00022649"/>
    <w:rsid w:val="00024475"/>
    <w:rsid w:val="00030F11"/>
    <w:rsid w:val="000323A4"/>
    <w:rsid w:val="00033732"/>
    <w:rsid w:val="00033814"/>
    <w:rsid w:val="0003532E"/>
    <w:rsid w:val="00035EC2"/>
    <w:rsid w:val="00036443"/>
    <w:rsid w:val="00036729"/>
    <w:rsid w:val="0004046A"/>
    <w:rsid w:val="00040571"/>
    <w:rsid w:val="00040BF2"/>
    <w:rsid w:val="00040D51"/>
    <w:rsid w:val="00042071"/>
    <w:rsid w:val="000429F0"/>
    <w:rsid w:val="00043410"/>
    <w:rsid w:val="000442D6"/>
    <w:rsid w:val="000455F6"/>
    <w:rsid w:val="0005004E"/>
    <w:rsid w:val="00050C7F"/>
    <w:rsid w:val="00051B30"/>
    <w:rsid w:val="00053C4A"/>
    <w:rsid w:val="00054361"/>
    <w:rsid w:val="00054764"/>
    <w:rsid w:val="00057369"/>
    <w:rsid w:val="000603CA"/>
    <w:rsid w:val="000614AF"/>
    <w:rsid w:val="00067583"/>
    <w:rsid w:val="00070855"/>
    <w:rsid w:val="00071B2F"/>
    <w:rsid w:val="00071F24"/>
    <w:rsid w:val="00072838"/>
    <w:rsid w:val="00073D4F"/>
    <w:rsid w:val="00076AAF"/>
    <w:rsid w:val="00077951"/>
    <w:rsid w:val="00077C2D"/>
    <w:rsid w:val="00077E24"/>
    <w:rsid w:val="0008027E"/>
    <w:rsid w:val="0008133A"/>
    <w:rsid w:val="00081AA3"/>
    <w:rsid w:val="00086123"/>
    <w:rsid w:val="00086245"/>
    <w:rsid w:val="00086675"/>
    <w:rsid w:val="00087199"/>
    <w:rsid w:val="00090B17"/>
    <w:rsid w:val="000916E9"/>
    <w:rsid w:val="0009215C"/>
    <w:rsid w:val="00093453"/>
    <w:rsid w:val="00094087"/>
    <w:rsid w:val="00095CB7"/>
    <w:rsid w:val="00097AF4"/>
    <w:rsid w:val="00097ED3"/>
    <w:rsid w:val="000A22C9"/>
    <w:rsid w:val="000A588E"/>
    <w:rsid w:val="000B1BF8"/>
    <w:rsid w:val="000B3C6A"/>
    <w:rsid w:val="000B4C33"/>
    <w:rsid w:val="000B4C47"/>
    <w:rsid w:val="000B6568"/>
    <w:rsid w:val="000B682E"/>
    <w:rsid w:val="000B7C27"/>
    <w:rsid w:val="000C02C8"/>
    <w:rsid w:val="000C0EAA"/>
    <w:rsid w:val="000C28C7"/>
    <w:rsid w:val="000C3256"/>
    <w:rsid w:val="000C3466"/>
    <w:rsid w:val="000C3EC0"/>
    <w:rsid w:val="000C45F2"/>
    <w:rsid w:val="000C4FFD"/>
    <w:rsid w:val="000D0851"/>
    <w:rsid w:val="000D0C8A"/>
    <w:rsid w:val="000D151C"/>
    <w:rsid w:val="000D292D"/>
    <w:rsid w:val="000D2D8C"/>
    <w:rsid w:val="000D2EB5"/>
    <w:rsid w:val="000D3D93"/>
    <w:rsid w:val="000D4494"/>
    <w:rsid w:val="000D4DA4"/>
    <w:rsid w:val="000D6480"/>
    <w:rsid w:val="000D7A7A"/>
    <w:rsid w:val="000D7E7A"/>
    <w:rsid w:val="000E0B48"/>
    <w:rsid w:val="000E101B"/>
    <w:rsid w:val="000E1456"/>
    <w:rsid w:val="000E33B6"/>
    <w:rsid w:val="000F11B6"/>
    <w:rsid w:val="000F6D90"/>
    <w:rsid w:val="000F7447"/>
    <w:rsid w:val="000F7723"/>
    <w:rsid w:val="000F7A6E"/>
    <w:rsid w:val="00100298"/>
    <w:rsid w:val="00100323"/>
    <w:rsid w:val="00104219"/>
    <w:rsid w:val="00104335"/>
    <w:rsid w:val="0010487C"/>
    <w:rsid w:val="00106ABB"/>
    <w:rsid w:val="00110A26"/>
    <w:rsid w:val="00115051"/>
    <w:rsid w:val="001157F1"/>
    <w:rsid w:val="00116670"/>
    <w:rsid w:val="001172D9"/>
    <w:rsid w:val="001212DE"/>
    <w:rsid w:val="00123CA6"/>
    <w:rsid w:val="001255A2"/>
    <w:rsid w:val="00127F06"/>
    <w:rsid w:val="001360C1"/>
    <w:rsid w:val="001409AF"/>
    <w:rsid w:val="00141727"/>
    <w:rsid w:val="00142E20"/>
    <w:rsid w:val="001437ED"/>
    <w:rsid w:val="00144AD4"/>
    <w:rsid w:val="00145151"/>
    <w:rsid w:val="001458E9"/>
    <w:rsid w:val="00147232"/>
    <w:rsid w:val="001516B9"/>
    <w:rsid w:val="00151A25"/>
    <w:rsid w:val="0015395C"/>
    <w:rsid w:val="00155454"/>
    <w:rsid w:val="001565D6"/>
    <w:rsid w:val="001572EC"/>
    <w:rsid w:val="001607F5"/>
    <w:rsid w:val="001613B7"/>
    <w:rsid w:val="001622DB"/>
    <w:rsid w:val="00162CD9"/>
    <w:rsid w:val="00166288"/>
    <w:rsid w:val="00167A71"/>
    <w:rsid w:val="00171129"/>
    <w:rsid w:val="001726FF"/>
    <w:rsid w:val="0017378A"/>
    <w:rsid w:val="001740A1"/>
    <w:rsid w:val="00174E61"/>
    <w:rsid w:val="001765B7"/>
    <w:rsid w:val="001766F8"/>
    <w:rsid w:val="00176E12"/>
    <w:rsid w:val="0018195D"/>
    <w:rsid w:val="001828B9"/>
    <w:rsid w:val="00184219"/>
    <w:rsid w:val="001864D7"/>
    <w:rsid w:val="00187291"/>
    <w:rsid w:val="00187CC3"/>
    <w:rsid w:val="0019106C"/>
    <w:rsid w:val="00191826"/>
    <w:rsid w:val="00191DEB"/>
    <w:rsid w:val="0019372B"/>
    <w:rsid w:val="001945B0"/>
    <w:rsid w:val="00194712"/>
    <w:rsid w:val="001A0490"/>
    <w:rsid w:val="001A29F3"/>
    <w:rsid w:val="001A7319"/>
    <w:rsid w:val="001B11F1"/>
    <w:rsid w:val="001B1961"/>
    <w:rsid w:val="001B42EF"/>
    <w:rsid w:val="001B5C70"/>
    <w:rsid w:val="001B76DB"/>
    <w:rsid w:val="001B7F99"/>
    <w:rsid w:val="001C0303"/>
    <w:rsid w:val="001C0767"/>
    <w:rsid w:val="001C21B5"/>
    <w:rsid w:val="001C2592"/>
    <w:rsid w:val="001C35EF"/>
    <w:rsid w:val="001C476E"/>
    <w:rsid w:val="001C70FE"/>
    <w:rsid w:val="001C7109"/>
    <w:rsid w:val="001C76D3"/>
    <w:rsid w:val="001D0127"/>
    <w:rsid w:val="001D2734"/>
    <w:rsid w:val="001D2B09"/>
    <w:rsid w:val="001D2D20"/>
    <w:rsid w:val="001D3217"/>
    <w:rsid w:val="001D4C3D"/>
    <w:rsid w:val="001D5742"/>
    <w:rsid w:val="001D6250"/>
    <w:rsid w:val="001D65E7"/>
    <w:rsid w:val="001E1EB5"/>
    <w:rsid w:val="001E2B81"/>
    <w:rsid w:val="001E32EA"/>
    <w:rsid w:val="001E365F"/>
    <w:rsid w:val="001E4C03"/>
    <w:rsid w:val="001E557A"/>
    <w:rsid w:val="001E7D58"/>
    <w:rsid w:val="001F001A"/>
    <w:rsid w:val="001F45AD"/>
    <w:rsid w:val="001F4E50"/>
    <w:rsid w:val="002009EA"/>
    <w:rsid w:val="00200AB4"/>
    <w:rsid w:val="00200DBB"/>
    <w:rsid w:val="002010CF"/>
    <w:rsid w:val="00201FEC"/>
    <w:rsid w:val="00202FBA"/>
    <w:rsid w:val="00203679"/>
    <w:rsid w:val="00203DB3"/>
    <w:rsid w:val="00207006"/>
    <w:rsid w:val="0021075A"/>
    <w:rsid w:val="00211B14"/>
    <w:rsid w:val="00211EC4"/>
    <w:rsid w:val="00213149"/>
    <w:rsid w:val="00213E23"/>
    <w:rsid w:val="00214031"/>
    <w:rsid w:val="00216FAF"/>
    <w:rsid w:val="00224433"/>
    <w:rsid w:val="002257AF"/>
    <w:rsid w:val="00226442"/>
    <w:rsid w:val="00230315"/>
    <w:rsid w:val="00230E1D"/>
    <w:rsid w:val="00231732"/>
    <w:rsid w:val="00231873"/>
    <w:rsid w:val="002333F2"/>
    <w:rsid w:val="002336BF"/>
    <w:rsid w:val="00233734"/>
    <w:rsid w:val="0023770B"/>
    <w:rsid w:val="002420C9"/>
    <w:rsid w:val="002435A8"/>
    <w:rsid w:val="0024408E"/>
    <w:rsid w:val="00244E50"/>
    <w:rsid w:val="00247AB1"/>
    <w:rsid w:val="00250EF0"/>
    <w:rsid w:val="002510C0"/>
    <w:rsid w:val="00254B50"/>
    <w:rsid w:val="002556F9"/>
    <w:rsid w:val="002578AD"/>
    <w:rsid w:val="00257C30"/>
    <w:rsid w:val="00257FCA"/>
    <w:rsid w:val="00263DA0"/>
    <w:rsid w:val="00264C12"/>
    <w:rsid w:val="002655F0"/>
    <w:rsid w:val="00265DE1"/>
    <w:rsid w:val="00266F61"/>
    <w:rsid w:val="0026768F"/>
    <w:rsid w:val="00267779"/>
    <w:rsid w:val="00267C7B"/>
    <w:rsid w:val="0027000F"/>
    <w:rsid w:val="002703EC"/>
    <w:rsid w:val="0027143D"/>
    <w:rsid w:val="002724C4"/>
    <w:rsid w:val="0027295C"/>
    <w:rsid w:val="00273D38"/>
    <w:rsid w:val="002750AD"/>
    <w:rsid w:val="0027683A"/>
    <w:rsid w:val="00280F91"/>
    <w:rsid w:val="00281137"/>
    <w:rsid w:val="00281598"/>
    <w:rsid w:val="00281B00"/>
    <w:rsid w:val="00282005"/>
    <w:rsid w:val="002822E0"/>
    <w:rsid w:val="00282626"/>
    <w:rsid w:val="00284C35"/>
    <w:rsid w:val="00285A95"/>
    <w:rsid w:val="00287A20"/>
    <w:rsid w:val="00290E17"/>
    <w:rsid w:val="00292577"/>
    <w:rsid w:val="0029555D"/>
    <w:rsid w:val="00295A1D"/>
    <w:rsid w:val="00296D43"/>
    <w:rsid w:val="002A09EB"/>
    <w:rsid w:val="002A12CF"/>
    <w:rsid w:val="002A1557"/>
    <w:rsid w:val="002A41B2"/>
    <w:rsid w:val="002A47FB"/>
    <w:rsid w:val="002A574B"/>
    <w:rsid w:val="002A6E4B"/>
    <w:rsid w:val="002A7A68"/>
    <w:rsid w:val="002B134F"/>
    <w:rsid w:val="002B27E2"/>
    <w:rsid w:val="002B2CAC"/>
    <w:rsid w:val="002B2D42"/>
    <w:rsid w:val="002B40F4"/>
    <w:rsid w:val="002C02A3"/>
    <w:rsid w:val="002C0942"/>
    <w:rsid w:val="002C24C9"/>
    <w:rsid w:val="002C3E61"/>
    <w:rsid w:val="002C44E9"/>
    <w:rsid w:val="002C7DF7"/>
    <w:rsid w:val="002D039D"/>
    <w:rsid w:val="002D04B1"/>
    <w:rsid w:val="002D05EF"/>
    <w:rsid w:val="002D1027"/>
    <w:rsid w:val="002D22DA"/>
    <w:rsid w:val="002D255B"/>
    <w:rsid w:val="002D7BA9"/>
    <w:rsid w:val="002E0161"/>
    <w:rsid w:val="002E0A51"/>
    <w:rsid w:val="002E193F"/>
    <w:rsid w:val="002E3E0D"/>
    <w:rsid w:val="002E3F7F"/>
    <w:rsid w:val="002F1530"/>
    <w:rsid w:val="002F21D6"/>
    <w:rsid w:val="002F24F6"/>
    <w:rsid w:val="002F2656"/>
    <w:rsid w:val="002F41EA"/>
    <w:rsid w:val="002F4D94"/>
    <w:rsid w:val="002F6BF4"/>
    <w:rsid w:val="002F75C1"/>
    <w:rsid w:val="0030025C"/>
    <w:rsid w:val="003033D5"/>
    <w:rsid w:val="00307183"/>
    <w:rsid w:val="00313AD4"/>
    <w:rsid w:val="003145F2"/>
    <w:rsid w:val="003146ED"/>
    <w:rsid w:val="0031715C"/>
    <w:rsid w:val="00321100"/>
    <w:rsid w:val="00323374"/>
    <w:rsid w:val="00325343"/>
    <w:rsid w:val="00326131"/>
    <w:rsid w:val="00326691"/>
    <w:rsid w:val="00327AD1"/>
    <w:rsid w:val="00331211"/>
    <w:rsid w:val="00332451"/>
    <w:rsid w:val="0033283A"/>
    <w:rsid w:val="0033300F"/>
    <w:rsid w:val="0033352E"/>
    <w:rsid w:val="00333903"/>
    <w:rsid w:val="00334F9E"/>
    <w:rsid w:val="00335732"/>
    <w:rsid w:val="00335ABB"/>
    <w:rsid w:val="00335CAD"/>
    <w:rsid w:val="0033648E"/>
    <w:rsid w:val="0033784A"/>
    <w:rsid w:val="00337EAE"/>
    <w:rsid w:val="003415A3"/>
    <w:rsid w:val="0034314B"/>
    <w:rsid w:val="00343967"/>
    <w:rsid w:val="003468C2"/>
    <w:rsid w:val="00347923"/>
    <w:rsid w:val="00350B96"/>
    <w:rsid w:val="00352AA4"/>
    <w:rsid w:val="00355047"/>
    <w:rsid w:val="00355592"/>
    <w:rsid w:val="00355982"/>
    <w:rsid w:val="00355F31"/>
    <w:rsid w:val="003563C4"/>
    <w:rsid w:val="003566FE"/>
    <w:rsid w:val="00357668"/>
    <w:rsid w:val="00357873"/>
    <w:rsid w:val="00361A1A"/>
    <w:rsid w:val="00362012"/>
    <w:rsid w:val="00362824"/>
    <w:rsid w:val="00365A82"/>
    <w:rsid w:val="003666AD"/>
    <w:rsid w:val="003704F8"/>
    <w:rsid w:val="003710AA"/>
    <w:rsid w:val="003711D7"/>
    <w:rsid w:val="00371D39"/>
    <w:rsid w:val="00372691"/>
    <w:rsid w:val="003741E1"/>
    <w:rsid w:val="00375C52"/>
    <w:rsid w:val="00376D9A"/>
    <w:rsid w:val="00376EC1"/>
    <w:rsid w:val="00376EE1"/>
    <w:rsid w:val="00384B3B"/>
    <w:rsid w:val="0038563B"/>
    <w:rsid w:val="00385FD3"/>
    <w:rsid w:val="003865E1"/>
    <w:rsid w:val="00386A0E"/>
    <w:rsid w:val="00386EB6"/>
    <w:rsid w:val="00387435"/>
    <w:rsid w:val="0039151D"/>
    <w:rsid w:val="00393502"/>
    <w:rsid w:val="0039507D"/>
    <w:rsid w:val="003969AF"/>
    <w:rsid w:val="00396B84"/>
    <w:rsid w:val="00396F67"/>
    <w:rsid w:val="003A087A"/>
    <w:rsid w:val="003A0D9A"/>
    <w:rsid w:val="003A3691"/>
    <w:rsid w:val="003A3F7C"/>
    <w:rsid w:val="003A5A68"/>
    <w:rsid w:val="003A7EE8"/>
    <w:rsid w:val="003B083F"/>
    <w:rsid w:val="003B0A4A"/>
    <w:rsid w:val="003B0E25"/>
    <w:rsid w:val="003B4750"/>
    <w:rsid w:val="003B4A7B"/>
    <w:rsid w:val="003B55F2"/>
    <w:rsid w:val="003B562B"/>
    <w:rsid w:val="003B662C"/>
    <w:rsid w:val="003C047C"/>
    <w:rsid w:val="003C37DE"/>
    <w:rsid w:val="003C59B7"/>
    <w:rsid w:val="003C6450"/>
    <w:rsid w:val="003D0338"/>
    <w:rsid w:val="003D1C40"/>
    <w:rsid w:val="003D2AA1"/>
    <w:rsid w:val="003D2C27"/>
    <w:rsid w:val="003D413C"/>
    <w:rsid w:val="003D5FF7"/>
    <w:rsid w:val="003D60A3"/>
    <w:rsid w:val="003D6258"/>
    <w:rsid w:val="003D7F84"/>
    <w:rsid w:val="003D7F9E"/>
    <w:rsid w:val="003E0901"/>
    <w:rsid w:val="003E0FF4"/>
    <w:rsid w:val="003E2405"/>
    <w:rsid w:val="003E2552"/>
    <w:rsid w:val="003E2598"/>
    <w:rsid w:val="003E2FD3"/>
    <w:rsid w:val="003E43F0"/>
    <w:rsid w:val="003E44FE"/>
    <w:rsid w:val="003E5CBB"/>
    <w:rsid w:val="003E710A"/>
    <w:rsid w:val="003F1921"/>
    <w:rsid w:val="003F287E"/>
    <w:rsid w:val="003F2B28"/>
    <w:rsid w:val="003F3DC8"/>
    <w:rsid w:val="003F447C"/>
    <w:rsid w:val="003F6499"/>
    <w:rsid w:val="003F6656"/>
    <w:rsid w:val="003F672A"/>
    <w:rsid w:val="003F7620"/>
    <w:rsid w:val="003F7831"/>
    <w:rsid w:val="003F7D6D"/>
    <w:rsid w:val="004002A3"/>
    <w:rsid w:val="0040136C"/>
    <w:rsid w:val="00401822"/>
    <w:rsid w:val="0040420C"/>
    <w:rsid w:val="00406172"/>
    <w:rsid w:val="00410B0C"/>
    <w:rsid w:val="00410D18"/>
    <w:rsid w:val="00411174"/>
    <w:rsid w:val="00411F26"/>
    <w:rsid w:val="00412347"/>
    <w:rsid w:val="00412602"/>
    <w:rsid w:val="004131AE"/>
    <w:rsid w:val="00413A25"/>
    <w:rsid w:val="00414549"/>
    <w:rsid w:val="00416191"/>
    <w:rsid w:val="0041723D"/>
    <w:rsid w:val="00423AEE"/>
    <w:rsid w:val="00431607"/>
    <w:rsid w:val="00432104"/>
    <w:rsid w:val="00432243"/>
    <w:rsid w:val="00435051"/>
    <w:rsid w:val="004362AC"/>
    <w:rsid w:val="00437256"/>
    <w:rsid w:val="00437393"/>
    <w:rsid w:val="004406BB"/>
    <w:rsid w:val="004415C8"/>
    <w:rsid w:val="00442887"/>
    <w:rsid w:val="00445504"/>
    <w:rsid w:val="004524F7"/>
    <w:rsid w:val="00455C3D"/>
    <w:rsid w:val="004565A6"/>
    <w:rsid w:val="00457D68"/>
    <w:rsid w:val="0046166D"/>
    <w:rsid w:val="00462515"/>
    <w:rsid w:val="00463A2D"/>
    <w:rsid w:val="00465270"/>
    <w:rsid w:val="00466865"/>
    <w:rsid w:val="00466C03"/>
    <w:rsid w:val="00466D16"/>
    <w:rsid w:val="004723CE"/>
    <w:rsid w:val="004723FA"/>
    <w:rsid w:val="004728CC"/>
    <w:rsid w:val="00474CC3"/>
    <w:rsid w:val="004757E7"/>
    <w:rsid w:val="00480E94"/>
    <w:rsid w:val="00484AF2"/>
    <w:rsid w:val="00485F96"/>
    <w:rsid w:val="00492B82"/>
    <w:rsid w:val="00494509"/>
    <w:rsid w:val="00494CCA"/>
    <w:rsid w:val="00495446"/>
    <w:rsid w:val="004959F6"/>
    <w:rsid w:val="00495FE0"/>
    <w:rsid w:val="004A1FAC"/>
    <w:rsid w:val="004A26D6"/>
    <w:rsid w:val="004A2EB9"/>
    <w:rsid w:val="004A3829"/>
    <w:rsid w:val="004A485A"/>
    <w:rsid w:val="004A6114"/>
    <w:rsid w:val="004A6291"/>
    <w:rsid w:val="004A723E"/>
    <w:rsid w:val="004A7749"/>
    <w:rsid w:val="004B2DC7"/>
    <w:rsid w:val="004B3A84"/>
    <w:rsid w:val="004B42D4"/>
    <w:rsid w:val="004B4D1A"/>
    <w:rsid w:val="004B4EAF"/>
    <w:rsid w:val="004B53BE"/>
    <w:rsid w:val="004B5AB1"/>
    <w:rsid w:val="004B5CCF"/>
    <w:rsid w:val="004B68C5"/>
    <w:rsid w:val="004C039C"/>
    <w:rsid w:val="004C1CD8"/>
    <w:rsid w:val="004C1EE4"/>
    <w:rsid w:val="004C288B"/>
    <w:rsid w:val="004C5B61"/>
    <w:rsid w:val="004C793C"/>
    <w:rsid w:val="004D0850"/>
    <w:rsid w:val="004D0BCB"/>
    <w:rsid w:val="004D169A"/>
    <w:rsid w:val="004D1B25"/>
    <w:rsid w:val="004D3C21"/>
    <w:rsid w:val="004D48D0"/>
    <w:rsid w:val="004D4E44"/>
    <w:rsid w:val="004D50F4"/>
    <w:rsid w:val="004D618A"/>
    <w:rsid w:val="004D707D"/>
    <w:rsid w:val="004D790B"/>
    <w:rsid w:val="004E26EE"/>
    <w:rsid w:val="004E44ED"/>
    <w:rsid w:val="004E4F4E"/>
    <w:rsid w:val="004E724F"/>
    <w:rsid w:val="004F1501"/>
    <w:rsid w:val="004F19D6"/>
    <w:rsid w:val="004F2D3D"/>
    <w:rsid w:val="004F3E30"/>
    <w:rsid w:val="004F50CF"/>
    <w:rsid w:val="00500362"/>
    <w:rsid w:val="005007FD"/>
    <w:rsid w:val="00503185"/>
    <w:rsid w:val="005032CB"/>
    <w:rsid w:val="0050346B"/>
    <w:rsid w:val="00506CA9"/>
    <w:rsid w:val="0051008D"/>
    <w:rsid w:val="00511105"/>
    <w:rsid w:val="00511640"/>
    <w:rsid w:val="00512E7F"/>
    <w:rsid w:val="005140E0"/>
    <w:rsid w:val="0051490C"/>
    <w:rsid w:val="00515CDD"/>
    <w:rsid w:val="005163C8"/>
    <w:rsid w:val="005167D6"/>
    <w:rsid w:val="00516DF2"/>
    <w:rsid w:val="005179DF"/>
    <w:rsid w:val="0052044B"/>
    <w:rsid w:val="00522506"/>
    <w:rsid w:val="0052327D"/>
    <w:rsid w:val="005232E8"/>
    <w:rsid w:val="00523454"/>
    <w:rsid w:val="005253C9"/>
    <w:rsid w:val="00525869"/>
    <w:rsid w:val="0052653A"/>
    <w:rsid w:val="00526EC7"/>
    <w:rsid w:val="00532195"/>
    <w:rsid w:val="0053316A"/>
    <w:rsid w:val="00534024"/>
    <w:rsid w:val="00534123"/>
    <w:rsid w:val="005348CC"/>
    <w:rsid w:val="00535437"/>
    <w:rsid w:val="00535A90"/>
    <w:rsid w:val="00540D39"/>
    <w:rsid w:val="0054250A"/>
    <w:rsid w:val="005427E5"/>
    <w:rsid w:val="00543704"/>
    <w:rsid w:val="00546D45"/>
    <w:rsid w:val="00550FB3"/>
    <w:rsid w:val="005522DB"/>
    <w:rsid w:val="0055478D"/>
    <w:rsid w:val="005553C7"/>
    <w:rsid w:val="00556A49"/>
    <w:rsid w:val="00560A3A"/>
    <w:rsid w:val="00560E4D"/>
    <w:rsid w:val="005611FB"/>
    <w:rsid w:val="00563D7F"/>
    <w:rsid w:val="005654A3"/>
    <w:rsid w:val="00566D1B"/>
    <w:rsid w:val="0056724F"/>
    <w:rsid w:val="005676C2"/>
    <w:rsid w:val="00567EDE"/>
    <w:rsid w:val="005703ED"/>
    <w:rsid w:val="00570BE2"/>
    <w:rsid w:val="00574BBA"/>
    <w:rsid w:val="00576199"/>
    <w:rsid w:val="00576487"/>
    <w:rsid w:val="00580754"/>
    <w:rsid w:val="005816D3"/>
    <w:rsid w:val="0058219B"/>
    <w:rsid w:val="0058222D"/>
    <w:rsid w:val="00582235"/>
    <w:rsid w:val="00582313"/>
    <w:rsid w:val="005825E5"/>
    <w:rsid w:val="00582FD8"/>
    <w:rsid w:val="0058613D"/>
    <w:rsid w:val="00591F71"/>
    <w:rsid w:val="005933C9"/>
    <w:rsid w:val="0059466F"/>
    <w:rsid w:val="00594F5F"/>
    <w:rsid w:val="0059567F"/>
    <w:rsid w:val="00595C8E"/>
    <w:rsid w:val="00596369"/>
    <w:rsid w:val="00596540"/>
    <w:rsid w:val="005965A6"/>
    <w:rsid w:val="005A1858"/>
    <w:rsid w:val="005A1A24"/>
    <w:rsid w:val="005A1B95"/>
    <w:rsid w:val="005A2920"/>
    <w:rsid w:val="005A2F22"/>
    <w:rsid w:val="005A3167"/>
    <w:rsid w:val="005A5922"/>
    <w:rsid w:val="005A5C0E"/>
    <w:rsid w:val="005A5DD3"/>
    <w:rsid w:val="005A7EC9"/>
    <w:rsid w:val="005B2CA5"/>
    <w:rsid w:val="005B3604"/>
    <w:rsid w:val="005B6102"/>
    <w:rsid w:val="005B6857"/>
    <w:rsid w:val="005B75E0"/>
    <w:rsid w:val="005C0557"/>
    <w:rsid w:val="005C0C79"/>
    <w:rsid w:val="005C1393"/>
    <w:rsid w:val="005C1BD0"/>
    <w:rsid w:val="005C326A"/>
    <w:rsid w:val="005C470B"/>
    <w:rsid w:val="005C6FE8"/>
    <w:rsid w:val="005D2452"/>
    <w:rsid w:val="005D27DB"/>
    <w:rsid w:val="005D3D61"/>
    <w:rsid w:val="005D45EB"/>
    <w:rsid w:val="005D4D0D"/>
    <w:rsid w:val="005D6937"/>
    <w:rsid w:val="005D6C25"/>
    <w:rsid w:val="005D6FF7"/>
    <w:rsid w:val="005D7429"/>
    <w:rsid w:val="005D7D68"/>
    <w:rsid w:val="005E0665"/>
    <w:rsid w:val="005E1533"/>
    <w:rsid w:val="005E170E"/>
    <w:rsid w:val="005E1BF5"/>
    <w:rsid w:val="005F77A5"/>
    <w:rsid w:val="005F7D1B"/>
    <w:rsid w:val="006011B3"/>
    <w:rsid w:val="0060201C"/>
    <w:rsid w:val="00602079"/>
    <w:rsid w:val="00604BFD"/>
    <w:rsid w:val="00606D43"/>
    <w:rsid w:val="00610AC7"/>
    <w:rsid w:val="0061107D"/>
    <w:rsid w:val="0061226D"/>
    <w:rsid w:val="00612451"/>
    <w:rsid w:val="00614CA8"/>
    <w:rsid w:val="0061734D"/>
    <w:rsid w:val="00621FBC"/>
    <w:rsid w:val="006231DE"/>
    <w:rsid w:val="00625353"/>
    <w:rsid w:val="00626578"/>
    <w:rsid w:val="006267D5"/>
    <w:rsid w:val="00630074"/>
    <w:rsid w:val="00630240"/>
    <w:rsid w:val="00632562"/>
    <w:rsid w:val="00633032"/>
    <w:rsid w:val="00633039"/>
    <w:rsid w:val="006333C7"/>
    <w:rsid w:val="00634591"/>
    <w:rsid w:val="00634BE8"/>
    <w:rsid w:val="00637A76"/>
    <w:rsid w:val="0064044C"/>
    <w:rsid w:val="0064162A"/>
    <w:rsid w:val="006423E7"/>
    <w:rsid w:val="00643290"/>
    <w:rsid w:val="00643921"/>
    <w:rsid w:val="00644364"/>
    <w:rsid w:val="0064521A"/>
    <w:rsid w:val="00646250"/>
    <w:rsid w:val="00646B4E"/>
    <w:rsid w:val="006537AE"/>
    <w:rsid w:val="00653E5F"/>
    <w:rsid w:val="0066578E"/>
    <w:rsid w:val="00665F94"/>
    <w:rsid w:val="00666941"/>
    <w:rsid w:val="00666D57"/>
    <w:rsid w:val="00667E7C"/>
    <w:rsid w:val="0067084F"/>
    <w:rsid w:val="00671078"/>
    <w:rsid w:val="00672D05"/>
    <w:rsid w:val="0067427E"/>
    <w:rsid w:val="00675FB2"/>
    <w:rsid w:val="0068007D"/>
    <w:rsid w:val="00680548"/>
    <w:rsid w:val="00680A3C"/>
    <w:rsid w:val="006821D9"/>
    <w:rsid w:val="006822F6"/>
    <w:rsid w:val="00682BAB"/>
    <w:rsid w:val="00683628"/>
    <w:rsid w:val="00683A3D"/>
    <w:rsid w:val="00690BD4"/>
    <w:rsid w:val="00692BF1"/>
    <w:rsid w:val="00692FCB"/>
    <w:rsid w:val="00693763"/>
    <w:rsid w:val="006941A1"/>
    <w:rsid w:val="006948FF"/>
    <w:rsid w:val="00694C18"/>
    <w:rsid w:val="00696D23"/>
    <w:rsid w:val="006A0247"/>
    <w:rsid w:val="006A09D7"/>
    <w:rsid w:val="006A190A"/>
    <w:rsid w:val="006A3C18"/>
    <w:rsid w:val="006B0ABA"/>
    <w:rsid w:val="006B21E5"/>
    <w:rsid w:val="006B420A"/>
    <w:rsid w:val="006B68A1"/>
    <w:rsid w:val="006C033D"/>
    <w:rsid w:val="006C03F9"/>
    <w:rsid w:val="006C0673"/>
    <w:rsid w:val="006C327E"/>
    <w:rsid w:val="006C7A32"/>
    <w:rsid w:val="006D129D"/>
    <w:rsid w:val="006D61F2"/>
    <w:rsid w:val="006D6B7A"/>
    <w:rsid w:val="006D7DE6"/>
    <w:rsid w:val="006E16C7"/>
    <w:rsid w:val="006E24DE"/>
    <w:rsid w:val="006E371F"/>
    <w:rsid w:val="006E3CF7"/>
    <w:rsid w:val="006F0175"/>
    <w:rsid w:val="006F01A8"/>
    <w:rsid w:val="006F1210"/>
    <w:rsid w:val="006F1518"/>
    <w:rsid w:val="006F39F9"/>
    <w:rsid w:val="006F47F8"/>
    <w:rsid w:val="006F6879"/>
    <w:rsid w:val="006F6C9D"/>
    <w:rsid w:val="006F748A"/>
    <w:rsid w:val="006F7E2D"/>
    <w:rsid w:val="00701511"/>
    <w:rsid w:val="0070341B"/>
    <w:rsid w:val="00703ADD"/>
    <w:rsid w:val="0070647E"/>
    <w:rsid w:val="0070679A"/>
    <w:rsid w:val="00706A72"/>
    <w:rsid w:val="0070747D"/>
    <w:rsid w:val="007108AA"/>
    <w:rsid w:val="00711690"/>
    <w:rsid w:val="0071306D"/>
    <w:rsid w:val="00713E3D"/>
    <w:rsid w:val="007142A6"/>
    <w:rsid w:val="00715D4F"/>
    <w:rsid w:val="0071679F"/>
    <w:rsid w:val="007170B9"/>
    <w:rsid w:val="007172EA"/>
    <w:rsid w:val="0072176F"/>
    <w:rsid w:val="007220ED"/>
    <w:rsid w:val="00722215"/>
    <w:rsid w:val="0072464B"/>
    <w:rsid w:val="0072617A"/>
    <w:rsid w:val="007266B1"/>
    <w:rsid w:val="00727F23"/>
    <w:rsid w:val="0073183D"/>
    <w:rsid w:val="0073193C"/>
    <w:rsid w:val="00734A3A"/>
    <w:rsid w:val="00734F83"/>
    <w:rsid w:val="00735ABC"/>
    <w:rsid w:val="00735F03"/>
    <w:rsid w:val="00742F6B"/>
    <w:rsid w:val="00742FB4"/>
    <w:rsid w:val="007432B0"/>
    <w:rsid w:val="007442D6"/>
    <w:rsid w:val="00746316"/>
    <w:rsid w:val="0075009C"/>
    <w:rsid w:val="00752BE5"/>
    <w:rsid w:val="00760944"/>
    <w:rsid w:val="007632C7"/>
    <w:rsid w:val="0076395C"/>
    <w:rsid w:val="007641BF"/>
    <w:rsid w:val="0076542C"/>
    <w:rsid w:val="007726A8"/>
    <w:rsid w:val="00773A53"/>
    <w:rsid w:val="00774452"/>
    <w:rsid w:val="007745F3"/>
    <w:rsid w:val="00777E93"/>
    <w:rsid w:val="00780A5C"/>
    <w:rsid w:val="0078205D"/>
    <w:rsid w:val="0078453A"/>
    <w:rsid w:val="00785447"/>
    <w:rsid w:val="007858E2"/>
    <w:rsid w:val="00785CEA"/>
    <w:rsid w:val="00786B14"/>
    <w:rsid w:val="007875C1"/>
    <w:rsid w:val="0078798B"/>
    <w:rsid w:val="007914F7"/>
    <w:rsid w:val="00791964"/>
    <w:rsid w:val="007936C8"/>
    <w:rsid w:val="007963D4"/>
    <w:rsid w:val="007968EC"/>
    <w:rsid w:val="007972EB"/>
    <w:rsid w:val="007978DA"/>
    <w:rsid w:val="007A1A55"/>
    <w:rsid w:val="007A3870"/>
    <w:rsid w:val="007A4692"/>
    <w:rsid w:val="007A65A9"/>
    <w:rsid w:val="007A6DCD"/>
    <w:rsid w:val="007A6F7A"/>
    <w:rsid w:val="007A7E86"/>
    <w:rsid w:val="007B00A7"/>
    <w:rsid w:val="007B026E"/>
    <w:rsid w:val="007B1C41"/>
    <w:rsid w:val="007B241E"/>
    <w:rsid w:val="007B3D99"/>
    <w:rsid w:val="007B3E44"/>
    <w:rsid w:val="007B3FA7"/>
    <w:rsid w:val="007B4804"/>
    <w:rsid w:val="007B59FE"/>
    <w:rsid w:val="007B5F7B"/>
    <w:rsid w:val="007B67B3"/>
    <w:rsid w:val="007C2BE4"/>
    <w:rsid w:val="007C30DA"/>
    <w:rsid w:val="007C4499"/>
    <w:rsid w:val="007C5722"/>
    <w:rsid w:val="007C6992"/>
    <w:rsid w:val="007D46ED"/>
    <w:rsid w:val="007D57C0"/>
    <w:rsid w:val="007D6985"/>
    <w:rsid w:val="007D72FA"/>
    <w:rsid w:val="007D786E"/>
    <w:rsid w:val="007D7C77"/>
    <w:rsid w:val="007D7F23"/>
    <w:rsid w:val="007E02AB"/>
    <w:rsid w:val="007E27E4"/>
    <w:rsid w:val="007E2D23"/>
    <w:rsid w:val="007E2E9E"/>
    <w:rsid w:val="007E3366"/>
    <w:rsid w:val="007E39EB"/>
    <w:rsid w:val="007F0BC4"/>
    <w:rsid w:val="007F0FD5"/>
    <w:rsid w:val="007F142F"/>
    <w:rsid w:val="007F16C9"/>
    <w:rsid w:val="007F3506"/>
    <w:rsid w:val="008004BA"/>
    <w:rsid w:val="00800606"/>
    <w:rsid w:val="008009DB"/>
    <w:rsid w:val="00800EFB"/>
    <w:rsid w:val="00802C43"/>
    <w:rsid w:val="00805029"/>
    <w:rsid w:val="00805289"/>
    <w:rsid w:val="00806F5B"/>
    <w:rsid w:val="008071B5"/>
    <w:rsid w:val="008109DA"/>
    <w:rsid w:val="008119B2"/>
    <w:rsid w:val="008124F6"/>
    <w:rsid w:val="00812F83"/>
    <w:rsid w:val="0081699D"/>
    <w:rsid w:val="008271C1"/>
    <w:rsid w:val="00827DF0"/>
    <w:rsid w:val="00830844"/>
    <w:rsid w:val="008327CD"/>
    <w:rsid w:val="008337A4"/>
    <w:rsid w:val="0083385A"/>
    <w:rsid w:val="00835085"/>
    <w:rsid w:val="00836AA2"/>
    <w:rsid w:val="00837C2A"/>
    <w:rsid w:val="00841AA0"/>
    <w:rsid w:val="00844969"/>
    <w:rsid w:val="008474CC"/>
    <w:rsid w:val="00847C66"/>
    <w:rsid w:val="00851C44"/>
    <w:rsid w:val="00852FD6"/>
    <w:rsid w:val="008578A4"/>
    <w:rsid w:val="0086184C"/>
    <w:rsid w:val="0086254F"/>
    <w:rsid w:val="008654B4"/>
    <w:rsid w:val="00865FB8"/>
    <w:rsid w:val="00866496"/>
    <w:rsid w:val="00872666"/>
    <w:rsid w:val="008740B5"/>
    <w:rsid w:val="00880A79"/>
    <w:rsid w:val="00881807"/>
    <w:rsid w:val="00882678"/>
    <w:rsid w:val="00882AED"/>
    <w:rsid w:val="0088304B"/>
    <w:rsid w:val="00883C69"/>
    <w:rsid w:val="008855F3"/>
    <w:rsid w:val="00885F7E"/>
    <w:rsid w:val="008869DA"/>
    <w:rsid w:val="008878EA"/>
    <w:rsid w:val="00890E0A"/>
    <w:rsid w:val="00890F85"/>
    <w:rsid w:val="00892159"/>
    <w:rsid w:val="00892691"/>
    <w:rsid w:val="00892C57"/>
    <w:rsid w:val="008946F6"/>
    <w:rsid w:val="008A027D"/>
    <w:rsid w:val="008A2153"/>
    <w:rsid w:val="008A3357"/>
    <w:rsid w:val="008A34D8"/>
    <w:rsid w:val="008A4FDE"/>
    <w:rsid w:val="008A52B4"/>
    <w:rsid w:val="008A555F"/>
    <w:rsid w:val="008A5BD3"/>
    <w:rsid w:val="008A6E7D"/>
    <w:rsid w:val="008A78A8"/>
    <w:rsid w:val="008B0D06"/>
    <w:rsid w:val="008B5FD0"/>
    <w:rsid w:val="008B7A84"/>
    <w:rsid w:val="008C0E14"/>
    <w:rsid w:val="008C175E"/>
    <w:rsid w:val="008C214C"/>
    <w:rsid w:val="008C3F7F"/>
    <w:rsid w:val="008C4A3A"/>
    <w:rsid w:val="008C695D"/>
    <w:rsid w:val="008D0112"/>
    <w:rsid w:val="008D0B50"/>
    <w:rsid w:val="008D53C6"/>
    <w:rsid w:val="008D5AB5"/>
    <w:rsid w:val="008D67FA"/>
    <w:rsid w:val="008D6B50"/>
    <w:rsid w:val="008E03DE"/>
    <w:rsid w:val="008E107E"/>
    <w:rsid w:val="008E2ECD"/>
    <w:rsid w:val="008E38A2"/>
    <w:rsid w:val="008E51EC"/>
    <w:rsid w:val="008E5294"/>
    <w:rsid w:val="008E65B3"/>
    <w:rsid w:val="008F0AE9"/>
    <w:rsid w:val="008F1E55"/>
    <w:rsid w:val="008F2C72"/>
    <w:rsid w:val="008F54CD"/>
    <w:rsid w:val="00902807"/>
    <w:rsid w:val="009034F5"/>
    <w:rsid w:val="00903BAB"/>
    <w:rsid w:val="00904231"/>
    <w:rsid w:val="00904400"/>
    <w:rsid w:val="009053BD"/>
    <w:rsid w:val="00906FED"/>
    <w:rsid w:val="00907527"/>
    <w:rsid w:val="009116B7"/>
    <w:rsid w:val="00911AEA"/>
    <w:rsid w:val="009123EF"/>
    <w:rsid w:val="00912420"/>
    <w:rsid w:val="0091276B"/>
    <w:rsid w:val="00912B52"/>
    <w:rsid w:val="009132FC"/>
    <w:rsid w:val="00913FE7"/>
    <w:rsid w:val="00920844"/>
    <w:rsid w:val="00921D61"/>
    <w:rsid w:val="009221B3"/>
    <w:rsid w:val="0092468E"/>
    <w:rsid w:val="00925B46"/>
    <w:rsid w:val="00927B95"/>
    <w:rsid w:val="00932E96"/>
    <w:rsid w:val="00933631"/>
    <w:rsid w:val="00933859"/>
    <w:rsid w:val="00933C9A"/>
    <w:rsid w:val="009348FD"/>
    <w:rsid w:val="009349CD"/>
    <w:rsid w:val="00935340"/>
    <w:rsid w:val="0093779C"/>
    <w:rsid w:val="00940560"/>
    <w:rsid w:val="00941104"/>
    <w:rsid w:val="0094188F"/>
    <w:rsid w:val="0094484D"/>
    <w:rsid w:val="00945FCC"/>
    <w:rsid w:val="009466FE"/>
    <w:rsid w:val="00946D28"/>
    <w:rsid w:val="00950590"/>
    <w:rsid w:val="0095089C"/>
    <w:rsid w:val="00953F87"/>
    <w:rsid w:val="0095438B"/>
    <w:rsid w:val="00954E8F"/>
    <w:rsid w:val="00955B88"/>
    <w:rsid w:val="00957101"/>
    <w:rsid w:val="0095797A"/>
    <w:rsid w:val="00957D64"/>
    <w:rsid w:val="0096093E"/>
    <w:rsid w:val="00963164"/>
    <w:rsid w:val="00964D48"/>
    <w:rsid w:val="009679BC"/>
    <w:rsid w:val="00970941"/>
    <w:rsid w:val="00971119"/>
    <w:rsid w:val="00973C0B"/>
    <w:rsid w:val="00974374"/>
    <w:rsid w:val="0097453C"/>
    <w:rsid w:val="009758FB"/>
    <w:rsid w:val="009764AF"/>
    <w:rsid w:val="00977793"/>
    <w:rsid w:val="00977E3C"/>
    <w:rsid w:val="00981EAA"/>
    <w:rsid w:val="009826DC"/>
    <w:rsid w:val="00982B1B"/>
    <w:rsid w:val="009864AE"/>
    <w:rsid w:val="0099074A"/>
    <w:rsid w:val="00990A6C"/>
    <w:rsid w:val="00992FCA"/>
    <w:rsid w:val="009934BD"/>
    <w:rsid w:val="009941FB"/>
    <w:rsid w:val="0099458B"/>
    <w:rsid w:val="00994FC1"/>
    <w:rsid w:val="00995973"/>
    <w:rsid w:val="00996046"/>
    <w:rsid w:val="00996276"/>
    <w:rsid w:val="00996971"/>
    <w:rsid w:val="00996E63"/>
    <w:rsid w:val="00997A16"/>
    <w:rsid w:val="00997B68"/>
    <w:rsid w:val="009A0611"/>
    <w:rsid w:val="009A08A1"/>
    <w:rsid w:val="009A7F97"/>
    <w:rsid w:val="009B0FB9"/>
    <w:rsid w:val="009B15BB"/>
    <w:rsid w:val="009B2746"/>
    <w:rsid w:val="009B2931"/>
    <w:rsid w:val="009B2D54"/>
    <w:rsid w:val="009B3D89"/>
    <w:rsid w:val="009B4682"/>
    <w:rsid w:val="009B5891"/>
    <w:rsid w:val="009B6815"/>
    <w:rsid w:val="009B696A"/>
    <w:rsid w:val="009B6C89"/>
    <w:rsid w:val="009B7748"/>
    <w:rsid w:val="009C24AE"/>
    <w:rsid w:val="009C2C92"/>
    <w:rsid w:val="009C340D"/>
    <w:rsid w:val="009C38D8"/>
    <w:rsid w:val="009C3931"/>
    <w:rsid w:val="009C4A26"/>
    <w:rsid w:val="009C762A"/>
    <w:rsid w:val="009C7704"/>
    <w:rsid w:val="009D35BB"/>
    <w:rsid w:val="009D381C"/>
    <w:rsid w:val="009D42A2"/>
    <w:rsid w:val="009D6EB5"/>
    <w:rsid w:val="009D778F"/>
    <w:rsid w:val="009E04B9"/>
    <w:rsid w:val="009E5BDF"/>
    <w:rsid w:val="009F0463"/>
    <w:rsid w:val="009F1760"/>
    <w:rsid w:val="009F324B"/>
    <w:rsid w:val="009F329B"/>
    <w:rsid w:val="009F3793"/>
    <w:rsid w:val="009F3865"/>
    <w:rsid w:val="009F4640"/>
    <w:rsid w:val="009F4F36"/>
    <w:rsid w:val="009F64AE"/>
    <w:rsid w:val="00A03CF7"/>
    <w:rsid w:val="00A043B1"/>
    <w:rsid w:val="00A04451"/>
    <w:rsid w:val="00A047B5"/>
    <w:rsid w:val="00A06EE3"/>
    <w:rsid w:val="00A12263"/>
    <w:rsid w:val="00A14474"/>
    <w:rsid w:val="00A14A52"/>
    <w:rsid w:val="00A16A24"/>
    <w:rsid w:val="00A16A91"/>
    <w:rsid w:val="00A1755F"/>
    <w:rsid w:val="00A175B0"/>
    <w:rsid w:val="00A21189"/>
    <w:rsid w:val="00A22EE2"/>
    <w:rsid w:val="00A23027"/>
    <w:rsid w:val="00A235EE"/>
    <w:rsid w:val="00A23859"/>
    <w:rsid w:val="00A24B96"/>
    <w:rsid w:val="00A25776"/>
    <w:rsid w:val="00A30E25"/>
    <w:rsid w:val="00A3261F"/>
    <w:rsid w:val="00A34694"/>
    <w:rsid w:val="00A34E7F"/>
    <w:rsid w:val="00A35D73"/>
    <w:rsid w:val="00A4188E"/>
    <w:rsid w:val="00A4602B"/>
    <w:rsid w:val="00A463C1"/>
    <w:rsid w:val="00A52829"/>
    <w:rsid w:val="00A5371F"/>
    <w:rsid w:val="00A544DF"/>
    <w:rsid w:val="00A54D4B"/>
    <w:rsid w:val="00A55897"/>
    <w:rsid w:val="00A558FB"/>
    <w:rsid w:val="00A574EE"/>
    <w:rsid w:val="00A608E0"/>
    <w:rsid w:val="00A629E3"/>
    <w:rsid w:val="00A63FA7"/>
    <w:rsid w:val="00A669D6"/>
    <w:rsid w:val="00A66CD5"/>
    <w:rsid w:val="00A70593"/>
    <w:rsid w:val="00A7288E"/>
    <w:rsid w:val="00A74191"/>
    <w:rsid w:val="00A763F4"/>
    <w:rsid w:val="00A806BC"/>
    <w:rsid w:val="00A81469"/>
    <w:rsid w:val="00A82083"/>
    <w:rsid w:val="00A8219B"/>
    <w:rsid w:val="00A8241A"/>
    <w:rsid w:val="00A85B55"/>
    <w:rsid w:val="00A863F1"/>
    <w:rsid w:val="00A8716D"/>
    <w:rsid w:val="00A90D1F"/>
    <w:rsid w:val="00A91789"/>
    <w:rsid w:val="00A91972"/>
    <w:rsid w:val="00A927EC"/>
    <w:rsid w:val="00A9350C"/>
    <w:rsid w:val="00A94938"/>
    <w:rsid w:val="00A94A10"/>
    <w:rsid w:val="00A95161"/>
    <w:rsid w:val="00A96310"/>
    <w:rsid w:val="00A96B1B"/>
    <w:rsid w:val="00A976E8"/>
    <w:rsid w:val="00AA1DA0"/>
    <w:rsid w:val="00AA1DE4"/>
    <w:rsid w:val="00AA2A5E"/>
    <w:rsid w:val="00AA2DD4"/>
    <w:rsid w:val="00AA2EB7"/>
    <w:rsid w:val="00AA3D28"/>
    <w:rsid w:val="00AA4FFB"/>
    <w:rsid w:val="00AA6F73"/>
    <w:rsid w:val="00AA7217"/>
    <w:rsid w:val="00AB1374"/>
    <w:rsid w:val="00AB2CEA"/>
    <w:rsid w:val="00AB3146"/>
    <w:rsid w:val="00AB454A"/>
    <w:rsid w:val="00AB4C69"/>
    <w:rsid w:val="00AB52B2"/>
    <w:rsid w:val="00AB5985"/>
    <w:rsid w:val="00AB599B"/>
    <w:rsid w:val="00AC137C"/>
    <w:rsid w:val="00AC23CD"/>
    <w:rsid w:val="00AC56B1"/>
    <w:rsid w:val="00AC713E"/>
    <w:rsid w:val="00AD0F83"/>
    <w:rsid w:val="00AD2028"/>
    <w:rsid w:val="00AD3965"/>
    <w:rsid w:val="00AD4957"/>
    <w:rsid w:val="00AD6765"/>
    <w:rsid w:val="00AE056E"/>
    <w:rsid w:val="00AE18A4"/>
    <w:rsid w:val="00AE214B"/>
    <w:rsid w:val="00AE3010"/>
    <w:rsid w:val="00AE3FF5"/>
    <w:rsid w:val="00AE4E89"/>
    <w:rsid w:val="00AE5483"/>
    <w:rsid w:val="00AE6B91"/>
    <w:rsid w:val="00AE799B"/>
    <w:rsid w:val="00AE7C8D"/>
    <w:rsid w:val="00AF0FDD"/>
    <w:rsid w:val="00AF1052"/>
    <w:rsid w:val="00AF1EE3"/>
    <w:rsid w:val="00AF1FBA"/>
    <w:rsid w:val="00AF2010"/>
    <w:rsid w:val="00AF2895"/>
    <w:rsid w:val="00AF45A9"/>
    <w:rsid w:val="00AF5B21"/>
    <w:rsid w:val="00AF5E71"/>
    <w:rsid w:val="00B00056"/>
    <w:rsid w:val="00B007DB"/>
    <w:rsid w:val="00B0152D"/>
    <w:rsid w:val="00B02EAC"/>
    <w:rsid w:val="00B04F15"/>
    <w:rsid w:val="00B05430"/>
    <w:rsid w:val="00B05AB1"/>
    <w:rsid w:val="00B0630E"/>
    <w:rsid w:val="00B06E10"/>
    <w:rsid w:val="00B074F1"/>
    <w:rsid w:val="00B126A4"/>
    <w:rsid w:val="00B1325E"/>
    <w:rsid w:val="00B1446E"/>
    <w:rsid w:val="00B203B7"/>
    <w:rsid w:val="00B20FEB"/>
    <w:rsid w:val="00B23851"/>
    <w:rsid w:val="00B23D99"/>
    <w:rsid w:val="00B23F00"/>
    <w:rsid w:val="00B250C1"/>
    <w:rsid w:val="00B259C9"/>
    <w:rsid w:val="00B27843"/>
    <w:rsid w:val="00B31F6C"/>
    <w:rsid w:val="00B322C8"/>
    <w:rsid w:val="00B33C04"/>
    <w:rsid w:val="00B33ECA"/>
    <w:rsid w:val="00B344DD"/>
    <w:rsid w:val="00B34EDD"/>
    <w:rsid w:val="00B35198"/>
    <w:rsid w:val="00B404A4"/>
    <w:rsid w:val="00B41767"/>
    <w:rsid w:val="00B41BB0"/>
    <w:rsid w:val="00B41E68"/>
    <w:rsid w:val="00B42154"/>
    <w:rsid w:val="00B4310C"/>
    <w:rsid w:val="00B454D1"/>
    <w:rsid w:val="00B45B5D"/>
    <w:rsid w:val="00B4635E"/>
    <w:rsid w:val="00B505F1"/>
    <w:rsid w:val="00B5151D"/>
    <w:rsid w:val="00B53CD7"/>
    <w:rsid w:val="00B5433C"/>
    <w:rsid w:val="00B56800"/>
    <w:rsid w:val="00B56B5C"/>
    <w:rsid w:val="00B57633"/>
    <w:rsid w:val="00B61564"/>
    <w:rsid w:val="00B63BE0"/>
    <w:rsid w:val="00B66CC7"/>
    <w:rsid w:val="00B66FB2"/>
    <w:rsid w:val="00B73529"/>
    <w:rsid w:val="00B74952"/>
    <w:rsid w:val="00B762E9"/>
    <w:rsid w:val="00B77611"/>
    <w:rsid w:val="00B802D8"/>
    <w:rsid w:val="00B8070D"/>
    <w:rsid w:val="00B8125F"/>
    <w:rsid w:val="00B81632"/>
    <w:rsid w:val="00B82CC4"/>
    <w:rsid w:val="00B90A50"/>
    <w:rsid w:val="00B92DEC"/>
    <w:rsid w:val="00B93ECB"/>
    <w:rsid w:val="00BA0183"/>
    <w:rsid w:val="00BA1B8C"/>
    <w:rsid w:val="00BA2501"/>
    <w:rsid w:val="00BA3125"/>
    <w:rsid w:val="00BA5D07"/>
    <w:rsid w:val="00BA5F3D"/>
    <w:rsid w:val="00BA60EA"/>
    <w:rsid w:val="00BA6CB1"/>
    <w:rsid w:val="00BB221C"/>
    <w:rsid w:val="00BC03CE"/>
    <w:rsid w:val="00BC0DE3"/>
    <w:rsid w:val="00BC0F1A"/>
    <w:rsid w:val="00BC29AD"/>
    <w:rsid w:val="00BC39D4"/>
    <w:rsid w:val="00BC44B4"/>
    <w:rsid w:val="00BC4D2E"/>
    <w:rsid w:val="00BC4F5B"/>
    <w:rsid w:val="00BC7C29"/>
    <w:rsid w:val="00BD58D5"/>
    <w:rsid w:val="00BD5E5D"/>
    <w:rsid w:val="00BD619C"/>
    <w:rsid w:val="00BD7922"/>
    <w:rsid w:val="00BE1139"/>
    <w:rsid w:val="00BE1494"/>
    <w:rsid w:val="00BE191B"/>
    <w:rsid w:val="00BE44F8"/>
    <w:rsid w:val="00BE6F57"/>
    <w:rsid w:val="00BE723F"/>
    <w:rsid w:val="00BE7F77"/>
    <w:rsid w:val="00BF3648"/>
    <w:rsid w:val="00BF4212"/>
    <w:rsid w:val="00BF49D9"/>
    <w:rsid w:val="00BF5CD8"/>
    <w:rsid w:val="00BF652A"/>
    <w:rsid w:val="00BF6AF2"/>
    <w:rsid w:val="00BF71FC"/>
    <w:rsid w:val="00BF7294"/>
    <w:rsid w:val="00BF7908"/>
    <w:rsid w:val="00C014E0"/>
    <w:rsid w:val="00C026DB"/>
    <w:rsid w:val="00C03CB2"/>
    <w:rsid w:val="00C04BE4"/>
    <w:rsid w:val="00C04F5D"/>
    <w:rsid w:val="00C0673E"/>
    <w:rsid w:val="00C06BCE"/>
    <w:rsid w:val="00C06FED"/>
    <w:rsid w:val="00C070C8"/>
    <w:rsid w:val="00C07562"/>
    <w:rsid w:val="00C11014"/>
    <w:rsid w:val="00C12702"/>
    <w:rsid w:val="00C16CD2"/>
    <w:rsid w:val="00C16CD6"/>
    <w:rsid w:val="00C20169"/>
    <w:rsid w:val="00C22BB7"/>
    <w:rsid w:val="00C27BC4"/>
    <w:rsid w:val="00C317E1"/>
    <w:rsid w:val="00C3218D"/>
    <w:rsid w:val="00C36EB5"/>
    <w:rsid w:val="00C37198"/>
    <w:rsid w:val="00C37631"/>
    <w:rsid w:val="00C4226D"/>
    <w:rsid w:val="00C434F0"/>
    <w:rsid w:val="00C44E14"/>
    <w:rsid w:val="00C456C4"/>
    <w:rsid w:val="00C4664F"/>
    <w:rsid w:val="00C50E8C"/>
    <w:rsid w:val="00C53054"/>
    <w:rsid w:val="00C537D0"/>
    <w:rsid w:val="00C53878"/>
    <w:rsid w:val="00C539AA"/>
    <w:rsid w:val="00C54164"/>
    <w:rsid w:val="00C54385"/>
    <w:rsid w:val="00C54FB2"/>
    <w:rsid w:val="00C550CD"/>
    <w:rsid w:val="00C60188"/>
    <w:rsid w:val="00C6301D"/>
    <w:rsid w:val="00C63B21"/>
    <w:rsid w:val="00C647C3"/>
    <w:rsid w:val="00C64AEA"/>
    <w:rsid w:val="00C64F67"/>
    <w:rsid w:val="00C66280"/>
    <w:rsid w:val="00C705D3"/>
    <w:rsid w:val="00C70931"/>
    <w:rsid w:val="00C723D3"/>
    <w:rsid w:val="00C73075"/>
    <w:rsid w:val="00C77FC8"/>
    <w:rsid w:val="00C82798"/>
    <w:rsid w:val="00C828FD"/>
    <w:rsid w:val="00C82BF3"/>
    <w:rsid w:val="00C832E3"/>
    <w:rsid w:val="00C83909"/>
    <w:rsid w:val="00C83A68"/>
    <w:rsid w:val="00C859FC"/>
    <w:rsid w:val="00C86BA4"/>
    <w:rsid w:val="00C8728A"/>
    <w:rsid w:val="00C903FA"/>
    <w:rsid w:val="00C91D26"/>
    <w:rsid w:val="00C92949"/>
    <w:rsid w:val="00C93544"/>
    <w:rsid w:val="00C94613"/>
    <w:rsid w:val="00C94A1D"/>
    <w:rsid w:val="00C952BE"/>
    <w:rsid w:val="00C95EAF"/>
    <w:rsid w:val="00C975DB"/>
    <w:rsid w:val="00CA0721"/>
    <w:rsid w:val="00CA0F70"/>
    <w:rsid w:val="00CA1DBB"/>
    <w:rsid w:val="00CA2DCF"/>
    <w:rsid w:val="00CA3181"/>
    <w:rsid w:val="00CA3629"/>
    <w:rsid w:val="00CA429C"/>
    <w:rsid w:val="00CA5A2B"/>
    <w:rsid w:val="00CA61FD"/>
    <w:rsid w:val="00CB25EF"/>
    <w:rsid w:val="00CB3A61"/>
    <w:rsid w:val="00CB4223"/>
    <w:rsid w:val="00CB4384"/>
    <w:rsid w:val="00CB54A0"/>
    <w:rsid w:val="00CB5C01"/>
    <w:rsid w:val="00CB61FC"/>
    <w:rsid w:val="00CB769C"/>
    <w:rsid w:val="00CC00CC"/>
    <w:rsid w:val="00CC1202"/>
    <w:rsid w:val="00CC7CBA"/>
    <w:rsid w:val="00CD1371"/>
    <w:rsid w:val="00CD18A5"/>
    <w:rsid w:val="00CD2812"/>
    <w:rsid w:val="00CD3CEF"/>
    <w:rsid w:val="00CD46A4"/>
    <w:rsid w:val="00CD4C4F"/>
    <w:rsid w:val="00CD522A"/>
    <w:rsid w:val="00CD70B9"/>
    <w:rsid w:val="00CE027E"/>
    <w:rsid w:val="00CE0D21"/>
    <w:rsid w:val="00CE135E"/>
    <w:rsid w:val="00CE3AE1"/>
    <w:rsid w:val="00CE436A"/>
    <w:rsid w:val="00CE43E6"/>
    <w:rsid w:val="00CE49E5"/>
    <w:rsid w:val="00CE6FC5"/>
    <w:rsid w:val="00CE7362"/>
    <w:rsid w:val="00CE73AC"/>
    <w:rsid w:val="00CF0D90"/>
    <w:rsid w:val="00CF1ED7"/>
    <w:rsid w:val="00CF2612"/>
    <w:rsid w:val="00CF4EE4"/>
    <w:rsid w:val="00CF54E5"/>
    <w:rsid w:val="00CF5D81"/>
    <w:rsid w:val="00CF7184"/>
    <w:rsid w:val="00D01437"/>
    <w:rsid w:val="00D05364"/>
    <w:rsid w:val="00D074FA"/>
    <w:rsid w:val="00D1547F"/>
    <w:rsid w:val="00D1630E"/>
    <w:rsid w:val="00D1743B"/>
    <w:rsid w:val="00D1755B"/>
    <w:rsid w:val="00D20911"/>
    <w:rsid w:val="00D20C0F"/>
    <w:rsid w:val="00D20C93"/>
    <w:rsid w:val="00D20DE7"/>
    <w:rsid w:val="00D2124B"/>
    <w:rsid w:val="00D21481"/>
    <w:rsid w:val="00D21F59"/>
    <w:rsid w:val="00D22633"/>
    <w:rsid w:val="00D233D4"/>
    <w:rsid w:val="00D23673"/>
    <w:rsid w:val="00D23F89"/>
    <w:rsid w:val="00D23F98"/>
    <w:rsid w:val="00D24B33"/>
    <w:rsid w:val="00D34826"/>
    <w:rsid w:val="00D34AEC"/>
    <w:rsid w:val="00D3624F"/>
    <w:rsid w:val="00D37E2D"/>
    <w:rsid w:val="00D4048F"/>
    <w:rsid w:val="00D404C5"/>
    <w:rsid w:val="00D427F2"/>
    <w:rsid w:val="00D4309F"/>
    <w:rsid w:val="00D44309"/>
    <w:rsid w:val="00D4513B"/>
    <w:rsid w:val="00D4525E"/>
    <w:rsid w:val="00D4582D"/>
    <w:rsid w:val="00D4725E"/>
    <w:rsid w:val="00D47E5C"/>
    <w:rsid w:val="00D521AD"/>
    <w:rsid w:val="00D617B5"/>
    <w:rsid w:val="00D66F00"/>
    <w:rsid w:val="00D67504"/>
    <w:rsid w:val="00D67835"/>
    <w:rsid w:val="00D67B8A"/>
    <w:rsid w:val="00D7147A"/>
    <w:rsid w:val="00D71B2D"/>
    <w:rsid w:val="00D725F9"/>
    <w:rsid w:val="00D744EA"/>
    <w:rsid w:val="00D74D8D"/>
    <w:rsid w:val="00D74F5B"/>
    <w:rsid w:val="00D75098"/>
    <w:rsid w:val="00D76C94"/>
    <w:rsid w:val="00D821BB"/>
    <w:rsid w:val="00D83029"/>
    <w:rsid w:val="00D837B9"/>
    <w:rsid w:val="00D85610"/>
    <w:rsid w:val="00D85D26"/>
    <w:rsid w:val="00D86190"/>
    <w:rsid w:val="00D874CD"/>
    <w:rsid w:val="00D92C6A"/>
    <w:rsid w:val="00D9366A"/>
    <w:rsid w:val="00D93B13"/>
    <w:rsid w:val="00D93D16"/>
    <w:rsid w:val="00D9460D"/>
    <w:rsid w:val="00D95562"/>
    <w:rsid w:val="00D95B5F"/>
    <w:rsid w:val="00D97987"/>
    <w:rsid w:val="00D97B70"/>
    <w:rsid w:val="00DA1370"/>
    <w:rsid w:val="00DA1D0B"/>
    <w:rsid w:val="00DA3728"/>
    <w:rsid w:val="00DA3FF0"/>
    <w:rsid w:val="00DA5302"/>
    <w:rsid w:val="00DA604F"/>
    <w:rsid w:val="00DA627D"/>
    <w:rsid w:val="00DA67BF"/>
    <w:rsid w:val="00DA6C44"/>
    <w:rsid w:val="00DA71D1"/>
    <w:rsid w:val="00DA7EAE"/>
    <w:rsid w:val="00DB1760"/>
    <w:rsid w:val="00DB17F4"/>
    <w:rsid w:val="00DB20D9"/>
    <w:rsid w:val="00DB3297"/>
    <w:rsid w:val="00DB37ED"/>
    <w:rsid w:val="00DB4210"/>
    <w:rsid w:val="00DB5471"/>
    <w:rsid w:val="00DB553A"/>
    <w:rsid w:val="00DB583D"/>
    <w:rsid w:val="00DC07B3"/>
    <w:rsid w:val="00DC7F39"/>
    <w:rsid w:val="00DD3999"/>
    <w:rsid w:val="00DD3CFC"/>
    <w:rsid w:val="00DD510D"/>
    <w:rsid w:val="00DD5CAB"/>
    <w:rsid w:val="00DE1457"/>
    <w:rsid w:val="00DE15F4"/>
    <w:rsid w:val="00DE1736"/>
    <w:rsid w:val="00DE2298"/>
    <w:rsid w:val="00DE3130"/>
    <w:rsid w:val="00DE3524"/>
    <w:rsid w:val="00DE3F99"/>
    <w:rsid w:val="00DE4390"/>
    <w:rsid w:val="00DE5527"/>
    <w:rsid w:val="00DE6D93"/>
    <w:rsid w:val="00DE7338"/>
    <w:rsid w:val="00DE73E4"/>
    <w:rsid w:val="00DE78B3"/>
    <w:rsid w:val="00DF0F31"/>
    <w:rsid w:val="00DF10F7"/>
    <w:rsid w:val="00DF20FB"/>
    <w:rsid w:val="00DF5C79"/>
    <w:rsid w:val="00DF5F3C"/>
    <w:rsid w:val="00DF6D1A"/>
    <w:rsid w:val="00DF7033"/>
    <w:rsid w:val="00E00BC5"/>
    <w:rsid w:val="00E01CC0"/>
    <w:rsid w:val="00E0253F"/>
    <w:rsid w:val="00E03377"/>
    <w:rsid w:val="00E04D50"/>
    <w:rsid w:val="00E05278"/>
    <w:rsid w:val="00E05478"/>
    <w:rsid w:val="00E0639A"/>
    <w:rsid w:val="00E0648C"/>
    <w:rsid w:val="00E06513"/>
    <w:rsid w:val="00E0682A"/>
    <w:rsid w:val="00E06C21"/>
    <w:rsid w:val="00E07AA9"/>
    <w:rsid w:val="00E10260"/>
    <w:rsid w:val="00E11E65"/>
    <w:rsid w:val="00E12D57"/>
    <w:rsid w:val="00E13B97"/>
    <w:rsid w:val="00E14487"/>
    <w:rsid w:val="00E147FD"/>
    <w:rsid w:val="00E17642"/>
    <w:rsid w:val="00E21BB5"/>
    <w:rsid w:val="00E222CF"/>
    <w:rsid w:val="00E227AB"/>
    <w:rsid w:val="00E23F23"/>
    <w:rsid w:val="00E251DD"/>
    <w:rsid w:val="00E25A25"/>
    <w:rsid w:val="00E25E88"/>
    <w:rsid w:val="00E30479"/>
    <w:rsid w:val="00E32038"/>
    <w:rsid w:val="00E32C34"/>
    <w:rsid w:val="00E32D19"/>
    <w:rsid w:val="00E33583"/>
    <w:rsid w:val="00E33B47"/>
    <w:rsid w:val="00E34540"/>
    <w:rsid w:val="00E34709"/>
    <w:rsid w:val="00E35765"/>
    <w:rsid w:val="00E37828"/>
    <w:rsid w:val="00E37CB2"/>
    <w:rsid w:val="00E41E9E"/>
    <w:rsid w:val="00E4457F"/>
    <w:rsid w:val="00E4496F"/>
    <w:rsid w:val="00E44BD9"/>
    <w:rsid w:val="00E45FDA"/>
    <w:rsid w:val="00E4638F"/>
    <w:rsid w:val="00E46397"/>
    <w:rsid w:val="00E47190"/>
    <w:rsid w:val="00E4750E"/>
    <w:rsid w:val="00E477D3"/>
    <w:rsid w:val="00E509CB"/>
    <w:rsid w:val="00E512BE"/>
    <w:rsid w:val="00E5374E"/>
    <w:rsid w:val="00E53AC2"/>
    <w:rsid w:val="00E54170"/>
    <w:rsid w:val="00E57FF8"/>
    <w:rsid w:val="00E60D6B"/>
    <w:rsid w:val="00E61B4D"/>
    <w:rsid w:val="00E629A6"/>
    <w:rsid w:val="00E62BD2"/>
    <w:rsid w:val="00E630DC"/>
    <w:rsid w:val="00E6372A"/>
    <w:rsid w:val="00E63B1E"/>
    <w:rsid w:val="00E647EA"/>
    <w:rsid w:val="00E65305"/>
    <w:rsid w:val="00E7021B"/>
    <w:rsid w:val="00E70475"/>
    <w:rsid w:val="00E71E11"/>
    <w:rsid w:val="00E73DC9"/>
    <w:rsid w:val="00E76CB6"/>
    <w:rsid w:val="00E76E16"/>
    <w:rsid w:val="00E76F07"/>
    <w:rsid w:val="00E8071F"/>
    <w:rsid w:val="00E80889"/>
    <w:rsid w:val="00E80DFE"/>
    <w:rsid w:val="00E81D7D"/>
    <w:rsid w:val="00E837BB"/>
    <w:rsid w:val="00E8688C"/>
    <w:rsid w:val="00E91E66"/>
    <w:rsid w:val="00E952A9"/>
    <w:rsid w:val="00E95F34"/>
    <w:rsid w:val="00E979CA"/>
    <w:rsid w:val="00EA3D1E"/>
    <w:rsid w:val="00EA459F"/>
    <w:rsid w:val="00EA4DD3"/>
    <w:rsid w:val="00EA6CB4"/>
    <w:rsid w:val="00EB1928"/>
    <w:rsid w:val="00EB1A7B"/>
    <w:rsid w:val="00EB22C9"/>
    <w:rsid w:val="00EB29CF"/>
    <w:rsid w:val="00EB6630"/>
    <w:rsid w:val="00EB6B15"/>
    <w:rsid w:val="00EC0D4D"/>
    <w:rsid w:val="00EC1897"/>
    <w:rsid w:val="00EC2BA9"/>
    <w:rsid w:val="00EC3672"/>
    <w:rsid w:val="00ED0228"/>
    <w:rsid w:val="00ED2050"/>
    <w:rsid w:val="00ED2ED2"/>
    <w:rsid w:val="00ED5537"/>
    <w:rsid w:val="00ED7B34"/>
    <w:rsid w:val="00EE1E2D"/>
    <w:rsid w:val="00EE26BD"/>
    <w:rsid w:val="00EE4460"/>
    <w:rsid w:val="00EE5555"/>
    <w:rsid w:val="00EE5B09"/>
    <w:rsid w:val="00EE6194"/>
    <w:rsid w:val="00EE6EED"/>
    <w:rsid w:val="00EE74DA"/>
    <w:rsid w:val="00EF1AA9"/>
    <w:rsid w:val="00EF50CF"/>
    <w:rsid w:val="00EF5754"/>
    <w:rsid w:val="00EF608E"/>
    <w:rsid w:val="00F03620"/>
    <w:rsid w:val="00F04720"/>
    <w:rsid w:val="00F06983"/>
    <w:rsid w:val="00F06C03"/>
    <w:rsid w:val="00F06C22"/>
    <w:rsid w:val="00F073F7"/>
    <w:rsid w:val="00F10AE5"/>
    <w:rsid w:val="00F110BD"/>
    <w:rsid w:val="00F120D2"/>
    <w:rsid w:val="00F13532"/>
    <w:rsid w:val="00F13A34"/>
    <w:rsid w:val="00F13E70"/>
    <w:rsid w:val="00F13EF3"/>
    <w:rsid w:val="00F1413A"/>
    <w:rsid w:val="00F141FC"/>
    <w:rsid w:val="00F179F2"/>
    <w:rsid w:val="00F23858"/>
    <w:rsid w:val="00F27AA9"/>
    <w:rsid w:val="00F27C71"/>
    <w:rsid w:val="00F31246"/>
    <w:rsid w:val="00F3151C"/>
    <w:rsid w:val="00F35EE9"/>
    <w:rsid w:val="00F37C86"/>
    <w:rsid w:val="00F37E8A"/>
    <w:rsid w:val="00F413B8"/>
    <w:rsid w:val="00F419E4"/>
    <w:rsid w:val="00F41D69"/>
    <w:rsid w:val="00F42946"/>
    <w:rsid w:val="00F46B3B"/>
    <w:rsid w:val="00F46F67"/>
    <w:rsid w:val="00F47341"/>
    <w:rsid w:val="00F50534"/>
    <w:rsid w:val="00F52423"/>
    <w:rsid w:val="00F56A22"/>
    <w:rsid w:val="00F576E5"/>
    <w:rsid w:val="00F61BD9"/>
    <w:rsid w:val="00F61BE1"/>
    <w:rsid w:val="00F66F51"/>
    <w:rsid w:val="00F672FA"/>
    <w:rsid w:val="00F719CB"/>
    <w:rsid w:val="00F72D95"/>
    <w:rsid w:val="00F73BCB"/>
    <w:rsid w:val="00F7471E"/>
    <w:rsid w:val="00F747CD"/>
    <w:rsid w:val="00F74D53"/>
    <w:rsid w:val="00F75B7E"/>
    <w:rsid w:val="00F77309"/>
    <w:rsid w:val="00F776D2"/>
    <w:rsid w:val="00F8067D"/>
    <w:rsid w:val="00F81AAA"/>
    <w:rsid w:val="00F82747"/>
    <w:rsid w:val="00F83B29"/>
    <w:rsid w:val="00F86239"/>
    <w:rsid w:val="00F873FF"/>
    <w:rsid w:val="00F90324"/>
    <w:rsid w:val="00F91694"/>
    <w:rsid w:val="00F93A03"/>
    <w:rsid w:val="00F95860"/>
    <w:rsid w:val="00F9794D"/>
    <w:rsid w:val="00F97B75"/>
    <w:rsid w:val="00FA1057"/>
    <w:rsid w:val="00FA1BC3"/>
    <w:rsid w:val="00FA26F1"/>
    <w:rsid w:val="00FA318D"/>
    <w:rsid w:val="00FA41B4"/>
    <w:rsid w:val="00FA4ABC"/>
    <w:rsid w:val="00FA5CA8"/>
    <w:rsid w:val="00FA6B73"/>
    <w:rsid w:val="00FA6B9D"/>
    <w:rsid w:val="00FA73AB"/>
    <w:rsid w:val="00FA7F69"/>
    <w:rsid w:val="00FA7FE9"/>
    <w:rsid w:val="00FB2526"/>
    <w:rsid w:val="00FB3323"/>
    <w:rsid w:val="00FB36E3"/>
    <w:rsid w:val="00FB3957"/>
    <w:rsid w:val="00FB4060"/>
    <w:rsid w:val="00FB56B3"/>
    <w:rsid w:val="00FC0D9A"/>
    <w:rsid w:val="00FC112A"/>
    <w:rsid w:val="00FC175E"/>
    <w:rsid w:val="00FC2BF0"/>
    <w:rsid w:val="00FC4DDB"/>
    <w:rsid w:val="00FC52CA"/>
    <w:rsid w:val="00FC6349"/>
    <w:rsid w:val="00FC68D1"/>
    <w:rsid w:val="00FC6D87"/>
    <w:rsid w:val="00FD4185"/>
    <w:rsid w:val="00FD578E"/>
    <w:rsid w:val="00FD74EE"/>
    <w:rsid w:val="00FD75DE"/>
    <w:rsid w:val="00FD772E"/>
    <w:rsid w:val="00FE3164"/>
    <w:rsid w:val="00FE4065"/>
    <w:rsid w:val="00FE40AE"/>
    <w:rsid w:val="00FE52FF"/>
    <w:rsid w:val="00FE5BE4"/>
    <w:rsid w:val="00FE610A"/>
    <w:rsid w:val="00FE7C1B"/>
    <w:rsid w:val="00FF04EB"/>
    <w:rsid w:val="00FF0772"/>
    <w:rsid w:val="00FF1727"/>
    <w:rsid w:val="00FF237F"/>
    <w:rsid w:val="00FF2982"/>
    <w:rsid w:val="00FF5A14"/>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3812F8"/>
  <w15:docId w15:val="{A4CD0DCF-25FE-40D2-942E-5F82A7440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FB9"/>
    <w:pPr>
      <w:spacing w:after="160" w:line="259" w:lineRule="auto"/>
      <w:jc w:val="both"/>
    </w:pPr>
    <w:rPr>
      <w:color w:val="000000"/>
      <w:sz w:val="22"/>
      <w:szCs w:val="22"/>
    </w:rPr>
  </w:style>
  <w:style w:type="paragraph" w:styleId="Ttulo1">
    <w:name w:val="heading 1"/>
    <w:basedOn w:val="Normal"/>
    <w:next w:val="Normal"/>
    <w:uiPriority w:val="9"/>
    <w:qFormat/>
    <w:rsid w:val="008D5AB5"/>
    <w:pPr>
      <w:keepNext/>
      <w:keepLines/>
      <w:spacing w:before="480" w:after="120" w:line="360" w:lineRule="auto"/>
      <w:jc w:val="center"/>
      <w:outlineLvl w:val="0"/>
    </w:pPr>
    <w:rPr>
      <w:b/>
      <w:szCs w:val="48"/>
    </w:rPr>
  </w:style>
  <w:style w:type="paragraph" w:styleId="Ttulo2">
    <w:name w:val="heading 2"/>
    <w:basedOn w:val="Normal"/>
    <w:next w:val="Normal"/>
    <w:uiPriority w:val="9"/>
    <w:unhideWhenUsed/>
    <w:qFormat/>
    <w:rsid w:val="00FC68D1"/>
    <w:pPr>
      <w:keepNext/>
      <w:keepLines/>
      <w:spacing w:before="360" w:after="80" w:line="240" w:lineRule="auto"/>
      <w:jc w:val="left"/>
      <w:outlineLvl w:val="1"/>
    </w:pPr>
    <w:rPr>
      <w:b/>
      <w:szCs w:val="36"/>
    </w:rPr>
  </w:style>
  <w:style w:type="paragraph" w:styleId="Ttulo3">
    <w:name w:val="heading 3"/>
    <w:basedOn w:val="Normal"/>
    <w:next w:val="Normal"/>
    <w:uiPriority w:val="9"/>
    <w:unhideWhenUsed/>
    <w:qFormat/>
    <w:rsid w:val="00AA2A5E"/>
    <w:pPr>
      <w:keepNext/>
      <w:keepLines/>
      <w:spacing w:before="280" w:after="80" w:line="360" w:lineRule="auto"/>
      <w:outlineLvl w:val="2"/>
    </w:pPr>
    <w:rPr>
      <w:b/>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pPr>
      <w:spacing w:after="160" w:line="259" w:lineRule="auto"/>
      <w:jc w:val="both"/>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pPr>
      <w:spacing w:after="160" w:line="259" w:lineRule="auto"/>
      <w:jc w:val="both"/>
    </w:pPr>
    <w:rPr>
      <w:sz w:val="22"/>
      <w:szCs w:val="22"/>
    </w:rPr>
    <w:tblPr>
      <w:tblCellMar>
        <w:top w:w="0" w:type="dxa"/>
        <w:left w:w="0" w:type="dxa"/>
        <w:bottom w:w="0" w:type="dxa"/>
        <w:right w:w="0" w:type="dxa"/>
      </w:tblCellMar>
    </w:tblPr>
  </w:style>
  <w:style w:type="table" w:customStyle="1" w:styleId="TableNormal1">
    <w:name w:val="Table Normal"/>
    <w:pPr>
      <w:spacing w:after="160" w:line="259" w:lineRule="auto"/>
      <w:jc w:val="both"/>
    </w:pPr>
    <w:rPr>
      <w:sz w:val="22"/>
      <w:szCs w:val="22"/>
    </w:rPr>
    <w:tblPr>
      <w:tblCellMar>
        <w:top w:w="0" w:type="dxa"/>
        <w:left w:w="0" w:type="dxa"/>
        <w:bottom w:w="0" w:type="dxa"/>
        <w:right w:w="0" w:type="dxa"/>
      </w:tblCellMar>
    </w:tblPr>
  </w:style>
  <w:style w:type="table" w:customStyle="1" w:styleId="TableNormal2">
    <w:name w:val="Table Normal"/>
    <w:pPr>
      <w:spacing w:after="160" w:line="259" w:lineRule="auto"/>
      <w:jc w:val="both"/>
    </w:pPr>
    <w:rPr>
      <w:sz w:val="22"/>
      <w:szCs w:val="22"/>
    </w:rPr>
    <w:tblPr>
      <w:tblCellMar>
        <w:top w:w="0" w:type="dxa"/>
        <w:left w:w="0" w:type="dxa"/>
        <w:bottom w:w="0" w:type="dxa"/>
        <w:right w:w="0" w:type="dxa"/>
      </w:tblCellMar>
    </w:tblPr>
  </w:style>
  <w:style w:type="table" w:customStyle="1" w:styleId="TableNormal3">
    <w:name w:val="Table Normal"/>
    <w:pPr>
      <w:spacing w:after="160" w:line="259" w:lineRule="auto"/>
      <w:jc w:val="both"/>
    </w:pPr>
    <w:rPr>
      <w:sz w:val="22"/>
      <w:szCs w:val="22"/>
    </w:rPr>
    <w:tblPr>
      <w:tblCellMar>
        <w:top w:w="0" w:type="dxa"/>
        <w:left w:w="0" w:type="dxa"/>
        <w:bottom w:w="0" w:type="dxa"/>
        <w:right w:w="0" w:type="dxa"/>
      </w:tblCellMar>
    </w:tblPr>
  </w:style>
  <w:style w:type="table" w:customStyle="1" w:styleId="TableNormal4">
    <w:name w:val="Table Normal"/>
    <w:pPr>
      <w:spacing w:after="160" w:line="259" w:lineRule="auto"/>
      <w:jc w:val="both"/>
    </w:pPr>
    <w:rPr>
      <w:sz w:val="22"/>
      <w:szCs w:val="22"/>
    </w:rPr>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link w:val="Encabezado"/>
    <w:uiPriority w:val="99"/>
    <w:rsid w:val="00C853D1"/>
    <w:rPr>
      <w:rFonts w:ascii="Palatino Linotype" w:hAnsi="Palatino Linotype"/>
      <w:color w:val="000000"/>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link w:val="Piedepgina"/>
    <w:uiPriority w:val="99"/>
    <w:rsid w:val="00C853D1"/>
    <w:rPr>
      <w:rFonts w:ascii="Palatino Linotype" w:hAnsi="Palatino Linotype"/>
      <w:color w:val="000000"/>
    </w:rPr>
  </w:style>
  <w:style w:type="table" w:styleId="Tablaconcuadrcula">
    <w:name w:val="Table Grid"/>
    <w:basedOn w:val="Tablanormal"/>
    <w:uiPriority w:val="39"/>
    <w:rsid w:val="00C853D1"/>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uiPriority w:val="99"/>
    <w:unhideWhenUsed/>
    <w:qFormat/>
    <w:rsid w:val="00C853D1"/>
    <w:rPr>
      <w:color w:val="0563C1"/>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5686A"/>
    <w:rPr>
      <w:rFonts w:ascii="Palatino Linotype" w:eastAsia="Times New Roman" w:hAnsi="Palatino Linotype" w:cs="Times New Roman"/>
      <w:color w:val="000000"/>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uiPriority w:val="99"/>
    <w:semiHidden/>
    <w:unhideWhenUsed/>
    <w:rsid w:val="0079077D"/>
    <w:rPr>
      <w:color w:val="605E5C"/>
      <w:shd w:val="clear" w:color="auto" w:fill="E1DFDD"/>
    </w:rPr>
  </w:style>
  <w:style w:type="character" w:styleId="Hipervnculovisitado">
    <w:name w:val="FollowedHyperlink"/>
    <w:uiPriority w:val="99"/>
    <w:semiHidden/>
    <w:unhideWhenUsed/>
    <w:rsid w:val="00B85DBE"/>
    <w:rPr>
      <w:color w:val="954F72"/>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pPr>
      <w:spacing w:after="0" w:line="240" w:lineRule="auto"/>
    </w:pPr>
    <w:tblPr>
      <w:tblStyleRowBandSize w:val="1"/>
      <w:tblStyleColBandSize w:val="1"/>
      <w:tblCellMar>
        <w:left w:w="108" w:type="dxa"/>
        <w:right w:w="108" w:type="dxa"/>
      </w:tblCellMar>
    </w:tblPr>
  </w:style>
  <w:style w:type="table" w:customStyle="1" w:styleId="a0">
    <w:basedOn w:val="TableNormal4"/>
    <w:pPr>
      <w:spacing w:after="0" w:line="240" w:lineRule="auto"/>
    </w:pPr>
    <w:tblPr>
      <w:tblStyleRowBandSize w:val="1"/>
      <w:tblStyleColBandSize w:val="1"/>
      <w:tblCellMar>
        <w:left w:w="108" w:type="dxa"/>
        <w:right w:w="108"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pPr>
      <w:spacing w:after="0" w:line="240" w:lineRule="auto"/>
    </w:pPr>
    <w:tblPr>
      <w:tblStyleRowBandSize w:val="1"/>
      <w:tblStyleColBandSize w:val="1"/>
      <w:tblCellMar>
        <w:left w:w="108" w:type="dxa"/>
        <w:right w:w="108" w:type="dxa"/>
      </w:tblCellMar>
    </w:tblPr>
  </w:style>
  <w:style w:type="paragraph" w:styleId="TtuloTDC">
    <w:name w:val="TOC Heading"/>
    <w:basedOn w:val="Ttulo1"/>
    <w:next w:val="Normal"/>
    <w:uiPriority w:val="39"/>
    <w:unhideWhenUsed/>
    <w:qFormat/>
    <w:rsid w:val="00A50615"/>
    <w:pPr>
      <w:spacing w:before="240" w:after="0" w:line="259" w:lineRule="auto"/>
      <w:jc w:val="left"/>
      <w:outlineLvl w:val="9"/>
    </w:pPr>
    <w:rPr>
      <w:rFonts w:ascii="Calibri Light" w:eastAsia="Times New Roman" w:hAnsi="Calibri Light" w:cs="Times New Roman"/>
      <w:b w:val="0"/>
      <w:color w:val="2F5496"/>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uiPriority w:val="99"/>
    <w:semiHidden/>
    <w:unhideWhenUsed/>
    <w:rsid w:val="00BE1DC0"/>
    <w:rPr>
      <w:color w:val="605E5C"/>
      <w:shd w:val="clear" w:color="auto" w:fill="E1DFDD"/>
    </w:rPr>
  </w:style>
  <w:style w:type="table" w:customStyle="1" w:styleId="a3">
    <w:basedOn w:val="TableNormal4"/>
    <w:pPr>
      <w:spacing w:after="0" w:line="240" w:lineRule="auto"/>
    </w:pPr>
    <w:tblPr>
      <w:tblStyleRowBandSize w:val="1"/>
      <w:tblStyleColBandSize w:val="1"/>
      <w:tblCellMar>
        <w:left w:w="108" w:type="dxa"/>
        <w:right w:w="108" w:type="dxa"/>
      </w:tblCellMar>
    </w:tblPr>
  </w:style>
  <w:style w:type="table" w:customStyle="1" w:styleId="a4">
    <w:basedOn w:val="TableNormal4"/>
    <w:pPr>
      <w:spacing w:after="0" w:line="240" w:lineRule="auto"/>
    </w:pPr>
    <w:tblPr>
      <w:tblStyleRowBandSize w:val="1"/>
      <w:tblStyleColBandSize w:val="1"/>
      <w:tblCellMar>
        <w:left w:w="108" w:type="dxa"/>
        <w:right w:w="108" w:type="dxa"/>
      </w:tblCellMar>
    </w:tblPr>
  </w:style>
  <w:style w:type="table" w:customStyle="1" w:styleId="a5">
    <w:basedOn w:val="TableNormal4"/>
    <w:pPr>
      <w:spacing w:after="0" w:line="240" w:lineRule="auto"/>
    </w:pPr>
    <w:tblPr>
      <w:tblStyleRowBandSize w:val="1"/>
      <w:tblStyleColBandSize w:val="1"/>
      <w:tblCellMar>
        <w:left w:w="108" w:type="dxa"/>
        <w:right w:w="108" w:type="dxa"/>
      </w:tblCellMar>
    </w:tblPr>
  </w:style>
  <w:style w:type="table" w:customStyle="1" w:styleId="a6">
    <w:basedOn w:val="TableNormal4"/>
    <w:pPr>
      <w:spacing w:after="0" w:line="240" w:lineRule="auto"/>
    </w:pPr>
    <w:tblPr>
      <w:tblStyleRowBandSize w:val="1"/>
      <w:tblStyleColBandSize w:val="1"/>
      <w:tblCellMar>
        <w:left w:w="108" w:type="dxa"/>
        <w:right w:w="108" w:type="dxa"/>
      </w:tblCellMar>
    </w:tblPr>
  </w:style>
  <w:style w:type="table" w:customStyle="1" w:styleId="a7">
    <w:basedOn w:val="TableNormal3"/>
    <w:pPr>
      <w:spacing w:after="0" w:line="240" w:lineRule="auto"/>
    </w:pPr>
    <w:tblPr>
      <w:tblStyleRowBandSize w:val="1"/>
      <w:tblStyleColBandSize w:val="1"/>
      <w:tblCellMar>
        <w:left w:w="108" w:type="dxa"/>
        <w:right w:w="108" w:type="dxa"/>
      </w:tblCellMar>
    </w:tblPr>
  </w:style>
  <w:style w:type="table" w:customStyle="1" w:styleId="a8">
    <w:basedOn w:val="TableNormal3"/>
    <w:pPr>
      <w:spacing w:after="0" w:line="240" w:lineRule="auto"/>
    </w:pPr>
    <w:tblPr>
      <w:tblStyleRowBandSize w:val="1"/>
      <w:tblStyleColBandSize w:val="1"/>
      <w:tblCellMar>
        <w:left w:w="108" w:type="dxa"/>
        <w:right w:w="108" w:type="dxa"/>
      </w:tblCellMar>
    </w:tblPr>
  </w:style>
  <w:style w:type="table" w:customStyle="1" w:styleId="a9">
    <w:basedOn w:val="TableNormal3"/>
    <w:pPr>
      <w:spacing w:after="0" w:line="240" w:lineRule="auto"/>
    </w:pPr>
    <w:tblPr>
      <w:tblStyleRowBandSize w:val="1"/>
      <w:tblStyleColBandSize w:val="1"/>
      <w:tblCellMar>
        <w:left w:w="108" w:type="dxa"/>
        <w:right w:w="108" w:type="dxa"/>
      </w:tblCellMar>
    </w:tblPr>
  </w:style>
  <w:style w:type="table" w:customStyle="1" w:styleId="aa">
    <w:basedOn w:val="TableNormal3"/>
    <w:pPr>
      <w:spacing w:after="0" w:line="240" w:lineRule="auto"/>
    </w:pPr>
    <w:tblPr>
      <w:tblStyleRowBandSize w:val="1"/>
      <w:tblStyleColBandSize w:val="1"/>
      <w:tblCellMar>
        <w:left w:w="108" w:type="dxa"/>
        <w:right w:w="108" w:type="dxa"/>
      </w:tblCellMar>
    </w:tblPr>
  </w:style>
  <w:style w:type="table" w:customStyle="1" w:styleId="ab">
    <w:basedOn w:val="TableNormal2"/>
    <w:pPr>
      <w:spacing w:after="0" w:line="240" w:lineRule="auto"/>
    </w:pPr>
    <w:tblPr>
      <w:tblStyleRowBandSize w:val="1"/>
      <w:tblStyleColBandSize w:val="1"/>
      <w:tblCellMar>
        <w:left w:w="108" w:type="dxa"/>
        <w:right w:w="108" w:type="dxa"/>
      </w:tblCellMar>
    </w:tblPr>
  </w:style>
  <w:style w:type="table" w:customStyle="1" w:styleId="ac">
    <w:basedOn w:val="TableNormal2"/>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table" w:customStyle="1" w:styleId="ae">
    <w:basedOn w:val="TableNormal2"/>
    <w:pPr>
      <w:spacing w:after="0" w:line="240" w:lineRule="auto"/>
    </w:pPr>
    <w:tblPr>
      <w:tblStyleRowBandSize w:val="1"/>
      <w:tblStyleColBandSize w:val="1"/>
      <w:tblCellMar>
        <w:left w:w="108" w:type="dxa"/>
        <w:right w:w="108" w:type="dxa"/>
      </w:tblCellMar>
    </w:tbl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table" w:customStyle="1" w:styleId="af0">
    <w:basedOn w:val="TableNormal1"/>
    <w:pPr>
      <w:spacing w:after="0" w:line="240" w:lineRule="auto"/>
    </w:pPr>
    <w:tblPr>
      <w:tblStyleRowBandSize w:val="1"/>
      <w:tblStyleColBandSize w:val="1"/>
      <w:tblCellMar>
        <w:left w:w="108" w:type="dxa"/>
        <w:right w:w="108" w:type="dxa"/>
      </w:tblCellMar>
    </w:tblPr>
  </w:style>
  <w:style w:type="table" w:customStyle="1" w:styleId="af1">
    <w:basedOn w:val="TableNormal1"/>
    <w:pPr>
      <w:spacing w:after="0" w:line="240" w:lineRule="auto"/>
    </w:pPr>
    <w:tblPr>
      <w:tblStyleRowBandSize w:val="1"/>
      <w:tblStyleColBandSize w:val="1"/>
      <w:tblCellMar>
        <w:left w:w="108" w:type="dxa"/>
        <w:right w:w="108" w:type="dxa"/>
      </w:tblCellMar>
    </w:tblPr>
  </w:style>
  <w:style w:type="table" w:customStyle="1" w:styleId="af2">
    <w:basedOn w:val="TableNormal1"/>
    <w:pPr>
      <w:spacing w:after="0" w:line="240" w:lineRule="auto"/>
    </w:pPr>
    <w:tblPr>
      <w:tblStyleRowBandSize w:val="1"/>
      <w:tblStyleColBandSize w:val="1"/>
      <w:tblCellMar>
        <w:left w:w="108" w:type="dxa"/>
        <w:right w:w="108"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style>
  <w:style w:type="table" w:customStyle="1" w:styleId="af4">
    <w:basedOn w:val="TableNormal0"/>
    <w:pPr>
      <w:spacing w:after="0" w:line="240" w:lineRule="auto"/>
    </w:pPr>
    <w:tblPr>
      <w:tblStyleRowBandSize w:val="1"/>
      <w:tblStyleColBandSize w:val="1"/>
      <w:tblCellMar>
        <w:left w:w="108" w:type="dxa"/>
        <w:right w:w="108" w:type="dxa"/>
      </w:tblCellMar>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paragraph" w:styleId="TDC3">
    <w:name w:val="toc 3"/>
    <w:basedOn w:val="Normal"/>
    <w:next w:val="Normal"/>
    <w:autoRedefine/>
    <w:uiPriority w:val="39"/>
    <w:unhideWhenUsed/>
    <w:rsid w:val="008E65B3"/>
    <w:pPr>
      <w:spacing w:after="100"/>
      <w:ind w:left="440"/>
    </w:pPr>
  </w:style>
  <w:style w:type="character" w:customStyle="1" w:styleId="Mencinsinresolver4">
    <w:name w:val="Mención sin resolver4"/>
    <w:uiPriority w:val="99"/>
    <w:semiHidden/>
    <w:unhideWhenUsed/>
    <w:rsid w:val="002F24F6"/>
    <w:rPr>
      <w:color w:val="605E5C"/>
      <w:shd w:val="clear" w:color="auto" w:fill="E1DFDD"/>
    </w:rPr>
  </w:style>
  <w:style w:type="character" w:styleId="Textoennegrita">
    <w:name w:val="Strong"/>
    <w:uiPriority w:val="22"/>
    <w:qFormat/>
    <w:rsid w:val="002420C9"/>
    <w:rPr>
      <w:b/>
      <w:bCs/>
    </w:rPr>
  </w:style>
  <w:style w:type="paragraph" w:styleId="Revisin">
    <w:name w:val="Revision"/>
    <w:hidden/>
    <w:uiPriority w:val="99"/>
    <w:semiHidden/>
    <w:rsid w:val="0078798B"/>
    <w:rPr>
      <w:color w:val="000000"/>
      <w:sz w:val="22"/>
      <w:szCs w:val="22"/>
    </w:rPr>
  </w:style>
  <w:style w:type="paragraph" w:styleId="Textodeglobo">
    <w:name w:val="Balloon Text"/>
    <w:basedOn w:val="Normal"/>
    <w:link w:val="TextodegloboCar"/>
    <w:uiPriority w:val="99"/>
    <w:semiHidden/>
    <w:unhideWhenUsed/>
    <w:rsid w:val="003468C2"/>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3468C2"/>
    <w:rPr>
      <w:rFonts w:ascii="Segoe UI" w:hAnsi="Segoe UI" w:cs="Segoe UI"/>
      <w:color w:val="000000"/>
      <w:sz w:val="18"/>
      <w:szCs w:val="18"/>
    </w:rPr>
  </w:style>
  <w:style w:type="character" w:customStyle="1" w:styleId="Mencinsinresolver5">
    <w:name w:val="Mención sin resolver5"/>
    <w:uiPriority w:val="99"/>
    <w:semiHidden/>
    <w:unhideWhenUsed/>
    <w:rsid w:val="008E38A2"/>
    <w:rPr>
      <w:color w:val="605E5C"/>
      <w:shd w:val="clear" w:color="auto" w:fill="E1DFDD"/>
    </w:rPr>
  </w:style>
  <w:style w:type="character" w:customStyle="1" w:styleId="Mencinsinresolver6">
    <w:name w:val="Mención sin resolver6"/>
    <w:uiPriority w:val="99"/>
    <w:semiHidden/>
    <w:unhideWhenUsed/>
    <w:rsid w:val="00D76C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55608">
      <w:bodyDiv w:val="1"/>
      <w:marLeft w:val="0"/>
      <w:marRight w:val="0"/>
      <w:marTop w:val="0"/>
      <w:marBottom w:val="0"/>
      <w:divBdr>
        <w:top w:val="none" w:sz="0" w:space="0" w:color="auto"/>
        <w:left w:val="none" w:sz="0" w:space="0" w:color="auto"/>
        <w:bottom w:val="none" w:sz="0" w:space="0" w:color="auto"/>
        <w:right w:val="none" w:sz="0" w:space="0" w:color="auto"/>
      </w:divBdr>
    </w:div>
    <w:div w:id="136341617">
      <w:bodyDiv w:val="1"/>
      <w:marLeft w:val="0"/>
      <w:marRight w:val="0"/>
      <w:marTop w:val="0"/>
      <w:marBottom w:val="0"/>
      <w:divBdr>
        <w:top w:val="none" w:sz="0" w:space="0" w:color="auto"/>
        <w:left w:val="none" w:sz="0" w:space="0" w:color="auto"/>
        <w:bottom w:val="none" w:sz="0" w:space="0" w:color="auto"/>
        <w:right w:val="none" w:sz="0" w:space="0" w:color="auto"/>
      </w:divBdr>
      <w:divsChild>
        <w:div w:id="1052580408">
          <w:marLeft w:val="0"/>
          <w:marRight w:val="0"/>
          <w:marTop w:val="0"/>
          <w:marBottom w:val="0"/>
          <w:divBdr>
            <w:top w:val="none" w:sz="0" w:space="0" w:color="auto"/>
            <w:left w:val="none" w:sz="0" w:space="0" w:color="auto"/>
            <w:bottom w:val="none" w:sz="0" w:space="0" w:color="auto"/>
            <w:right w:val="none" w:sz="0" w:space="0" w:color="auto"/>
          </w:divBdr>
        </w:div>
      </w:divsChild>
    </w:div>
    <w:div w:id="295065033">
      <w:bodyDiv w:val="1"/>
      <w:marLeft w:val="0"/>
      <w:marRight w:val="0"/>
      <w:marTop w:val="0"/>
      <w:marBottom w:val="0"/>
      <w:divBdr>
        <w:top w:val="none" w:sz="0" w:space="0" w:color="auto"/>
        <w:left w:val="none" w:sz="0" w:space="0" w:color="auto"/>
        <w:bottom w:val="none" w:sz="0" w:space="0" w:color="auto"/>
        <w:right w:val="none" w:sz="0" w:space="0" w:color="auto"/>
      </w:divBdr>
      <w:divsChild>
        <w:div w:id="2045789704">
          <w:marLeft w:val="0"/>
          <w:marRight w:val="0"/>
          <w:marTop w:val="0"/>
          <w:marBottom w:val="0"/>
          <w:divBdr>
            <w:top w:val="none" w:sz="0" w:space="0" w:color="auto"/>
            <w:left w:val="none" w:sz="0" w:space="0" w:color="auto"/>
            <w:bottom w:val="none" w:sz="0" w:space="0" w:color="auto"/>
            <w:right w:val="none" w:sz="0" w:space="0" w:color="auto"/>
          </w:divBdr>
        </w:div>
      </w:divsChild>
    </w:div>
    <w:div w:id="400635240">
      <w:bodyDiv w:val="1"/>
      <w:marLeft w:val="0"/>
      <w:marRight w:val="0"/>
      <w:marTop w:val="0"/>
      <w:marBottom w:val="0"/>
      <w:divBdr>
        <w:top w:val="none" w:sz="0" w:space="0" w:color="auto"/>
        <w:left w:val="none" w:sz="0" w:space="0" w:color="auto"/>
        <w:bottom w:val="none" w:sz="0" w:space="0" w:color="auto"/>
        <w:right w:val="none" w:sz="0" w:space="0" w:color="auto"/>
      </w:divBdr>
    </w:div>
    <w:div w:id="550189800">
      <w:bodyDiv w:val="1"/>
      <w:marLeft w:val="0"/>
      <w:marRight w:val="0"/>
      <w:marTop w:val="0"/>
      <w:marBottom w:val="0"/>
      <w:divBdr>
        <w:top w:val="none" w:sz="0" w:space="0" w:color="auto"/>
        <w:left w:val="none" w:sz="0" w:space="0" w:color="auto"/>
        <w:bottom w:val="none" w:sz="0" w:space="0" w:color="auto"/>
        <w:right w:val="none" w:sz="0" w:space="0" w:color="auto"/>
      </w:divBdr>
      <w:divsChild>
        <w:div w:id="1980308072">
          <w:marLeft w:val="0"/>
          <w:marRight w:val="0"/>
          <w:marTop w:val="0"/>
          <w:marBottom w:val="0"/>
          <w:divBdr>
            <w:top w:val="none" w:sz="0" w:space="0" w:color="auto"/>
            <w:left w:val="none" w:sz="0" w:space="0" w:color="auto"/>
            <w:bottom w:val="none" w:sz="0" w:space="0" w:color="auto"/>
            <w:right w:val="none" w:sz="0" w:space="0" w:color="auto"/>
          </w:divBdr>
        </w:div>
      </w:divsChild>
    </w:div>
    <w:div w:id="586812722">
      <w:bodyDiv w:val="1"/>
      <w:marLeft w:val="0"/>
      <w:marRight w:val="0"/>
      <w:marTop w:val="0"/>
      <w:marBottom w:val="0"/>
      <w:divBdr>
        <w:top w:val="none" w:sz="0" w:space="0" w:color="auto"/>
        <w:left w:val="none" w:sz="0" w:space="0" w:color="auto"/>
        <w:bottom w:val="none" w:sz="0" w:space="0" w:color="auto"/>
        <w:right w:val="none" w:sz="0" w:space="0" w:color="auto"/>
      </w:divBdr>
      <w:divsChild>
        <w:div w:id="1105542152">
          <w:marLeft w:val="0"/>
          <w:marRight w:val="0"/>
          <w:marTop w:val="0"/>
          <w:marBottom w:val="0"/>
          <w:divBdr>
            <w:top w:val="none" w:sz="0" w:space="0" w:color="auto"/>
            <w:left w:val="none" w:sz="0" w:space="0" w:color="auto"/>
            <w:bottom w:val="none" w:sz="0" w:space="0" w:color="auto"/>
            <w:right w:val="none" w:sz="0" w:space="0" w:color="auto"/>
          </w:divBdr>
        </w:div>
      </w:divsChild>
    </w:div>
    <w:div w:id="664671407">
      <w:bodyDiv w:val="1"/>
      <w:marLeft w:val="0"/>
      <w:marRight w:val="0"/>
      <w:marTop w:val="0"/>
      <w:marBottom w:val="0"/>
      <w:divBdr>
        <w:top w:val="none" w:sz="0" w:space="0" w:color="auto"/>
        <w:left w:val="none" w:sz="0" w:space="0" w:color="auto"/>
        <w:bottom w:val="none" w:sz="0" w:space="0" w:color="auto"/>
        <w:right w:val="none" w:sz="0" w:space="0" w:color="auto"/>
      </w:divBdr>
    </w:div>
    <w:div w:id="692800103">
      <w:bodyDiv w:val="1"/>
      <w:marLeft w:val="0"/>
      <w:marRight w:val="0"/>
      <w:marTop w:val="0"/>
      <w:marBottom w:val="0"/>
      <w:divBdr>
        <w:top w:val="none" w:sz="0" w:space="0" w:color="auto"/>
        <w:left w:val="none" w:sz="0" w:space="0" w:color="auto"/>
        <w:bottom w:val="none" w:sz="0" w:space="0" w:color="auto"/>
        <w:right w:val="none" w:sz="0" w:space="0" w:color="auto"/>
      </w:divBdr>
    </w:div>
    <w:div w:id="747069501">
      <w:bodyDiv w:val="1"/>
      <w:marLeft w:val="0"/>
      <w:marRight w:val="0"/>
      <w:marTop w:val="0"/>
      <w:marBottom w:val="0"/>
      <w:divBdr>
        <w:top w:val="none" w:sz="0" w:space="0" w:color="auto"/>
        <w:left w:val="none" w:sz="0" w:space="0" w:color="auto"/>
        <w:bottom w:val="none" w:sz="0" w:space="0" w:color="auto"/>
        <w:right w:val="none" w:sz="0" w:space="0" w:color="auto"/>
      </w:divBdr>
    </w:div>
    <w:div w:id="789934905">
      <w:bodyDiv w:val="1"/>
      <w:marLeft w:val="0"/>
      <w:marRight w:val="0"/>
      <w:marTop w:val="0"/>
      <w:marBottom w:val="0"/>
      <w:divBdr>
        <w:top w:val="none" w:sz="0" w:space="0" w:color="auto"/>
        <w:left w:val="none" w:sz="0" w:space="0" w:color="auto"/>
        <w:bottom w:val="none" w:sz="0" w:space="0" w:color="auto"/>
        <w:right w:val="none" w:sz="0" w:space="0" w:color="auto"/>
      </w:divBdr>
      <w:divsChild>
        <w:div w:id="789590903">
          <w:marLeft w:val="0"/>
          <w:marRight w:val="0"/>
          <w:marTop w:val="0"/>
          <w:marBottom w:val="0"/>
          <w:divBdr>
            <w:top w:val="none" w:sz="0" w:space="0" w:color="auto"/>
            <w:left w:val="none" w:sz="0" w:space="0" w:color="auto"/>
            <w:bottom w:val="none" w:sz="0" w:space="0" w:color="auto"/>
            <w:right w:val="none" w:sz="0" w:space="0" w:color="auto"/>
          </w:divBdr>
        </w:div>
      </w:divsChild>
    </w:div>
    <w:div w:id="896816460">
      <w:bodyDiv w:val="1"/>
      <w:marLeft w:val="0"/>
      <w:marRight w:val="0"/>
      <w:marTop w:val="0"/>
      <w:marBottom w:val="0"/>
      <w:divBdr>
        <w:top w:val="none" w:sz="0" w:space="0" w:color="auto"/>
        <w:left w:val="none" w:sz="0" w:space="0" w:color="auto"/>
        <w:bottom w:val="none" w:sz="0" w:space="0" w:color="auto"/>
        <w:right w:val="none" w:sz="0" w:space="0" w:color="auto"/>
      </w:divBdr>
      <w:divsChild>
        <w:div w:id="1609503517">
          <w:marLeft w:val="0"/>
          <w:marRight w:val="0"/>
          <w:marTop w:val="0"/>
          <w:marBottom w:val="0"/>
          <w:divBdr>
            <w:top w:val="none" w:sz="0" w:space="0" w:color="auto"/>
            <w:left w:val="none" w:sz="0" w:space="0" w:color="auto"/>
            <w:bottom w:val="none" w:sz="0" w:space="0" w:color="auto"/>
            <w:right w:val="none" w:sz="0" w:space="0" w:color="auto"/>
          </w:divBdr>
        </w:div>
      </w:divsChild>
    </w:div>
    <w:div w:id="898594483">
      <w:bodyDiv w:val="1"/>
      <w:marLeft w:val="0"/>
      <w:marRight w:val="0"/>
      <w:marTop w:val="0"/>
      <w:marBottom w:val="0"/>
      <w:divBdr>
        <w:top w:val="none" w:sz="0" w:space="0" w:color="auto"/>
        <w:left w:val="none" w:sz="0" w:space="0" w:color="auto"/>
        <w:bottom w:val="none" w:sz="0" w:space="0" w:color="auto"/>
        <w:right w:val="none" w:sz="0" w:space="0" w:color="auto"/>
      </w:divBdr>
    </w:div>
    <w:div w:id="947390639">
      <w:bodyDiv w:val="1"/>
      <w:marLeft w:val="0"/>
      <w:marRight w:val="0"/>
      <w:marTop w:val="0"/>
      <w:marBottom w:val="0"/>
      <w:divBdr>
        <w:top w:val="none" w:sz="0" w:space="0" w:color="auto"/>
        <w:left w:val="none" w:sz="0" w:space="0" w:color="auto"/>
        <w:bottom w:val="none" w:sz="0" w:space="0" w:color="auto"/>
        <w:right w:val="none" w:sz="0" w:space="0" w:color="auto"/>
      </w:divBdr>
    </w:div>
    <w:div w:id="967249363">
      <w:bodyDiv w:val="1"/>
      <w:marLeft w:val="0"/>
      <w:marRight w:val="0"/>
      <w:marTop w:val="0"/>
      <w:marBottom w:val="0"/>
      <w:divBdr>
        <w:top w:val="none" w:sz="0" w:space="0" w:color="auto"/>
        <w:left w:val="none" w:sz="0" w:space="0" w:color="auto"/>
        <w:bottom w:val="none" w:sz="0" w:space="0" w:color="auto"/>
        <w:right w:val="none" w:sz="0" w:space="0" w:color="auto"/>
      </w:divBdr>
    </w:div>
    <w:div w:id="1057434567">
      <w:bodyDiv w:val="1"/>
      <w:marLeft w:val="0"/>
      <w:marRight w:val="0"/>
      <w:marTop w:val="0"/>
      <w:marBottom w:val="0"/>
      <w:divBdr>
        <w:top w:val="none" w:sz="0" w:space="0" w:color="auto"/>
        <w:left w:val="none" w:sz="0" w:space="0" w:color="auto"/>
        <w:bottom w:val="none" w:sz="0" w:space="0" w:color="auto"/>
        <w:right w:val="none" w:sz="0" w:space="0" w:color="auto"/>
      </w:divBdr>
    </w:div>
    <w:div w:id="1156144994">
      <w:bodyDiv w:val="1"/>
      <w:marLeft w:val="0"/>
      <w:marRight w:val="0"/>
      <w:marTop w:val="0"/>
      <w:marBottom w:val="0"/>
      <w:divBdr>
        <w:top w:val="none" w:sz="0" w:space="0" w:color="auto"/>
        <w:left w:val="none" w:sz="0" w:space="0" w:color="auto"/>
        <w:bottom w:val="none" w:sz="0" w:space="0" w:color="auto"/>
        <w:right w:val="none" w:sz="0" w:space="0" w:color="auto"/>
      </w:divBdr>
    </w:div>
    <w:div w:id="1184130437">
      <w:bodyDiv w:val="1"/>
      <w:marLeft w:val="0"/>
      <w:marRight w:val="0"/>
      <w:marTop w:val="0"/>
      <w:marBottom w:val="0"/>
      <w:divBdr>
        <w:top w:val="none" w:sz="0" w:space="0" w:color="auto"/>
        <w:left w:val="none" w:sz="0" w:space="0" w:color="auto"/>
        <w:bottom w:val="none" w:sz="0" w:space="0" w:color="auto"/>
        <w:right w:val="none" w:sz="0" w:space="0" w:color="auto"/>
      </w:divBdr>
    </w:div>
    <w:div w:id="1227423953">
      <w:bodyDiv w:val="1"/>
      <w:marLeft w:val="0"/>
      <w:marRight w:val="0"/>
      <w:marTop w:val="0"/>
      <w:marBottom w:val="0"/>
      <w:divBdr>
        <w:top w:val="none" w:sz="0" w:space="0" w:color="auto"/>
        <w:left w:val="none" w:sz="0" w:space="0" w:color="auto"/>
        <w:bottom w:val="none" w:sz="0" w:space="0" w:color="auto"/>
        <w:right w:val="none" w:sz="0" w:space="0" w:color="auto"/>
      </w:divBdr>
      <w:divsChild>
        <w:div w:id="257561395">
          <w:marLeft w:val="0"/>
          <w:marRight w:val="0"/>
          <w:marTop w:val="0"/>
          <w:marBottom w:val="0"/>
          <w:divBdr>
            <w:top w:val="none" w:sz="0" w:space="0" w:color="auto"/>
            <w:left w:val="none" w:sz="0" w:space="0" w:color="auto"/>
            <w:bottom w:val="none" w:sz="0" w:space="0" w:color="auto"/>
            <w:right w:val="none" w:sz="0" w:space="0" w:color="auto"/>
          </w:divBdr>
        </w:div>
      </w:divsChild>
    </w:div>
    <w:div w:id="1254707025">
      <w:bodyDiv w:val="1"/>
      <w:marLeft w:val="0"/>
      <w:marRight w:val="0"/>
      <w:marTop w:val="0"/>
      <w:marBottom w:val="0"/>
      <w:divBdr>
        <w:top w:val="none" w:sz="0" w:space="0" w:color="auto"/>
        <w:left w:val="none" w:sz="0" w:space="0" w:color="auto"/>
        <w:bottom w:val="none" w:sz="0" w:space="0" w:color="auto"/>
        <w:right w:val="none" w:sz="0" w:space="0" w:color="auto"/>
      </w:divBdr>
      <w:divsChild>
        <w:div w:id="2080781696">
          <w:marLeft w:val="0"/>
          <w:marRight w:val="0"/>
          <w:marTop w:val="0"/>
          <w:marBottom w:val="0"/>
          <w:divBdr>
            <w:top w:val="none" w:sz="0" w:space="0" w:color="auto"/>
            <w:left w:val="none" w:sz="0" w:space="0" w:color="auto"/>
            <w:bottom w:val="none" w:sz="0" w:space="0" w:color="auto"/>
            <w:right w:val="none" w:sz="0" w:space="0" w:color="auto"/>
          </w:divBdr>
        </w:div>
      </w:divsChild>
    </w:div>
    <w:div w:id="1269004660">
      <w:bodyDiv w:val="1"/>
      <w:marLeft w:val="0"/>
      <w:marRight w:val="0"/>
      <w:marTop w:val="0"/>
      <w:marBottom w:val="0"/>
      <w:divBdr>
        <w:top w:val="none" w:sz="0" w:space="0" w:color="auto"/>
        <w:left w:val="none" w:sz="0" w:space="0" w:color="auto"/>
        <w:bottom w:val="none" w:sz="0" w:space="0" w:color="auto"/>
        <w:right w:val="none" w:sz="0" w:space="0" w:color="auto"/>
      </w:divBdr>
      <w:divsChild>
        <w:div w:id="397290387">
          <w:marLeft w:val="0"/>
          <w:marRight w:val="0"/>
          <w:marTop w:val="0"/>
          <w:marBottom w:val="0"/>
          <w:divBdr>
            <w:top w:val="none" w:sz="0" w:space="0" w:color="auto"/>
            <w:left w:val="none" w:sz="0" w:space="0" w:color="auto"/>
            <w:bottom w:val="none" w:sz="0" w:space="0" w:color="auto"/>
            <w:right w:val="none" w:sz="0" w:space="0" w:color="auto"/>
          </w:divBdr>
        </w:div>
      </w:divsChild>
    </w:div>
    <w:div w:id="1334648141">
      <w:bodyDiv w:val="1"/>
      <w:marLeft w:val="0"/>
      <w:marRight w:val="0"/>
      <w:marTop w:val="0"/>
      <w:marBottom w:val="0"/>
      <w:divBdr>
        <w:top w:val="none" w:sz="0" w:space="0" w:color="auto"/>
        <w:left w:val="none" w:sz="0" w:space="0" w:color="auto"/>
        <w:bottom w:val="none" w:sz="0" w:space="0" w:color="auto"/>
        <w:right w:val="none" w:sz="0" w:space="0" w:color="auto"/>
      </w:divBdr>
      <w:divsChild>
        <w:div w:id="1512597829">
          <w:marLeft w:val="0"/>
          <w:marRight w:val="0"/>
          <w:marTop w:val="0"/>
          <w:marBottom w:val="0"/>
          <w:divBdr>
            <w:top w:val="none" w:sz="0" w:space="0" w:color="auto"/>
            <w:left w:val="none" w:sz="0" w:space="0" w:color="auto"/>
            <w:bottom w:val="none" w:sz="0" w:space="0" w:color="auto"/>
            <w:right w:val="none" w:sz="0" w:space="0" w:color="auto"/>
          </w:divBdr>
        </w:div>
      </w:divsChild>
    </w:div>
    <w:div w:id="1384404089">
      <w:bodyDiv w:val="1"/>
      <w:marLeft w:val="0"/>
      <w:marRight w:val="0"/>
      <w:marTop w:val="0"/>
      <w:marBottom w:val="0"/>
      <w:divBdr>
        <w:top w:val="none" w:sz="0" w:space="0" w:color="auto"/>
        <w:left w:val="none" w:sz="0" w:space="0" w:color="auto"/>
        <w:bottom w:val="none" w:sz="0" w:space="0" w:color="auto"/>
        <w:right w:val="none" w:sz="0" w:space="0" w:color="auto"/>
      </w:divBdr>
      <w:divsChild>
        <w:div w:id="1296830477">
          <w:marLeft w:val="0"/>
          <w:marRight w:val="0"/>
          <w:marTop w:val="0"/>
          <w:marBottom w:val="0"/>
          <w:divBdr>
            <w:top w:val="none" w:sz="0" w:space="0" w:color="auto"/>
            <w:left w:val="none" w:sz="0" w:space="0" w:color="auto"/>
            <w:bottom w:val="none" w:sz="0" w:space="0" w:color="auto"/>
            <w:right w:val="none" w:sz="0" w:space="0" w:color="auto"/>
          </w:divBdr>
        </w:div>
      </w:divsChild>
    </w:div>
    <w:div w:id="1420635153">
      <w:bodyDiv w:val="1"/>
      <w:marLeft w:val="0"/>
      <w:marRight w:val="0"/>
      <w:marTop w:val="0"/>
      <w:marBottom w:val="0"/>
      <w:divBdr>
        <w:top w:val="none" w:sz="0" w:space="0" w:color="auto"/>
        <w:left w:val="none" w:sz="0" w:space="0" w:color="auto"/>
        <w:bottom w:val="none" w:sz="0" w:space="0" w:color="auto"/>
        <w:right w:val="none" w:sz="0" w:space="0" w:color="auto"/>
      </w:divBdr>
    </w:div>
    <w:div w:id="1454516110">
      <w:bodyDiv w:val="1"/>
      <w:marLeft w:val="0"/>
      <w:marRight w:val="0"/>
      <w:marTop w:val="0"/>
      <w:marBottom w:val="0"/>
      <w:divBdr>
        <w:top w:val="none" w:sz="0" w:space="0" w:color="auto"/>
        <w:left w:val="none" w:sz="0" w:space="0" w:color="auto"/>
        <w:bottom w:val="none" w:sz="0" w:space="0" w:color="auto"/>
        <w:right w:val="none" w:sz="0" w:space="0" w:color="auto"/>
      </w:divBdr>
    </w:div>
    <w:div w:id="1489130501">
      <w:bodyDiv w:val="1"/>
      <w:marLeft w:val="0"/>
      <w:marRight w:val="0"/>
      <w:marTop w:val="0"/>
      <w:marBottom w:val="0"/>
      <w:divBdr>
        <w:top w:val="none" w:sz="0" w:space="0" w:color="auto"/>
        <w:left w:val="none" w:sz="0" w:space="0" w:color="auto"/>
        <w:bottom w:val="none" w:sz="0" w:space="0" w:color="auto"/>
        <w:right w:val="none" w:sz="0" w:space="0" w:color="auto"/>
      </w:divBdr>
    </w:div>
    <w:div w:id="1495291708">
      <w:bodyDiv w:val="1"/>
      <w:marLeft w:val="0"/>
      <w:marRight w:val="0"/>
      <w:marTop w:val="0"/>
      <w:marBottom w:val="0"/>
      <w:divBdr>
        <w:top w:val="none" w:sz="0" w:space="0" w:color="auto"/>
        <w:left w:val="none" w:sz="0" w:space="0" w:color="auto"/>
        <w:bottom w:val="none" w:sz="0" w:space="0" w:color="auto"/>
        <w:right w:val="none" w:sz="0" w:space="0" w:color="auto"/>
      </w:divBdr>
    </w:div>
    <w:div w:id="1556963263">
      <w:bodyDiv w:val="1"/>
      <w:marLeft w:val="0"/>
      <w:marRight w:val="0"/>
      <w:marTop w:val="0"/>
      <w:marBottom w:val="0"/>
      <w:divBdr>
        <w:top w:val="none" w:sz="0" w:space="0" w:color="auto"/>
        <w:left w:val="none" w:sz="0" w:space="0" w:color="auto"/>
        <w:bottom w:val="none" w:sz="0" w:space="0" w:color="auto"/>
        <w:right w:val="none" w:sz="0" w:space="0" w:color="auto"/>
      </w:divBdr>
    </w:div>
    <w:div w:id="1574199903">
      <w:bodyDiv w:val="1"/>
      <w:marLeft w:val="0"/>
      <w:marRight w:val="0"/>
      <w:marTop w:val="0"/>
      <w:marBottom w:val="0"/>
      <w:divBdr>
        <w:top w:val="none" w:sz="0" w:space="0" w:color="auto"/>
        <w:left w:val="none" w:sz="0" w:space="0" w:color="auto"/>
        <w:bottom w:val="none" w:sz="0" w:space="0" w:color="auto"/>
        <w:right w:val="none" w:sz="0" w:space="0" w:color="auto"/>
      </w:divBdr>
      <w:divsChild>
        <w:div w:id="390271711">
          <w:marLeft w:val="0"/>
          <w:marRight w:val="0"/>
          <w:marTop w:val="0"/>
          <w:marBottom w:val="0"/>
          <w:divBdr>
            <w:top w:val="none" w:sz="0" w:space="0" w:color="auto"/>
            <w:left w:val="none" w:sz="0" w:space="0" w:color="auto"/>
            <w:bottom w:val="none" w:sz="0" w:space="0" w:color="auto"/>
            <w:right w:val="none" w:sz="0" w:space="0" w:color="auto"/>
          </w:divBdr>
        </w:div>
      </w:divsChild>
    </w:div>
    <w:div w:id="1652129068">
      <w:bodyDiv w:val="1"/>
      <w:marLeft w:val="0"/>
      <w:marRight w:val="0"/>
      <w:marTop w:val="0"/>
      <w:marBottom w:val="0"/>
      <w:divBdr>
        <w:top w:val="none" w:sz="0" w:space="0" w:color="auto"/>
        <w:left w:val="none" w:sz="0" w:space="0" w:color="auto"/>
        <w:bottom w:val="none" w:sz="0" w:space="0" w:color="auto"/>
        <w:right w:val="none" w:sz="0" w:space="0" w:color="auto"/>
      </w:divBdr>
    </w:div>
    <w:div w:id="1669209642">
      <w:bodyDiv w:val="1"/>
      <w:marLeft w:val="0"/>
      <w:marRight w:val="0"/>
      <w:marTop w:val="0"/>
      <w:marBottom w:val="0"/>
      <w:divBdr>
        <w:top w:val="none" w:sz="0" w:space="0" w:color="auto"/>
        <w:left w:val="none" w:sz="0" w:space="0" w:color="auto"/>
        <w:bottom w:val="none" w:sz="0" w:space="0" w:color="auto"/>
        <w:right w:val="none" w:sz="0" w:space="0" w:color="auto"/>
      </w:divBdr>
      <w:divsChild>
        <w:div w:id="1180318185">
          <w:marLeft w:val="0"/>
          <w:marRight w:val="0"/>
          <w:marTop w:val="0"/>
          <w:marBottom w:val="0"/>
          <w:divBdr>
            <w:top w:val="none" w:sz="0" w:space="0" w:color="auto"/>
            <w:left w:val="none" w:sz="0" w:space="0" w:color="auto"/>
            <w:bottom w:val="none" w:sz="0" w:space="0" w:color="auto"/>
            <w:right w:val="none" w:sz="0" w:space="0" w:color="auto"/>
          </w:divBdr>
        </w:div>
      </w:divsChild>
    </w:div>
    <w:div w:id="1742216443">
      <w:bodyDiv w:val="1"/>
      <w:marLeft w:val="0"/>
      <w:marRight w:val="0"/>
      <w:marTop w:val="0"/>
      <w:marBottom w:val="0"/>
      <w:divBdr>
        <w:top w:val="none" w:sz="0" w:space="0" w:color="auto"/>
        <w:left w:val="none" w:sz="0" w:space="0" w:color="auto"/>
        <w:bottom w:val="none" w:sz="0" w:space="0" w:color="auto"/>
        <w:right w:val="none" w:sz="0" w:space="0" w:color="auto"/>
      </w:divBdr>
      <w:divsChild>
        <w:div w:id="2064984750">
          <w:marLeft w:val="0"/>
          <w:marRight w:val="0"/>
          <w:marTop w:val="0"/>
          <w:marBottom w:val="0"/>
          <w:divBdr>
            <w:top w:val="none" w:sz="0" w:space="0" w:color="auto"/>
            <w:left w:val="none" w:sz="0" w:space="0" w:color="auto"/>
            <w:bottom w:val="none" w:sz="0" w:space="0" w:color="auto"/>
            <w:right w:val="none" w:sz="0" w:space="0" w:color="auto"/>
          </w:divBdr>
        </w:div>
      </w:divsChild>
    </w:div>
    <w:div w:id="1821919761">
      <w:bodyDiv w:val="1"/>
      <w:marLeft w:val="0"/>
      <w:marRight w:val="0"/>
      <w:marTop w:val="0"/>
      <w:marBottom w:val="0"/>
      <w:divBdr>
        <w:top w:val="none" w:sz="0" w:space="0" w:color="auto"/>
        <w:left w:val="none" w:sz="0" w:space="0" w:color="auto"/>
        <w:bottom w:val="none" w:sz="0" w:space="0" w:color="auto"/>
        <w:right w:val="none" w:sz="0" w:space="0" w:color="auto"/>
      </w:divBdr>
      <w:divsChild>
        <w:div w:id="1062868723">
          <w:marLeft w:val="0"/>
          <w:marRight w:val="0"/>
          <w:marTop w:val="0"/>
          <w:marBottom w:val="0"/>
          <w:divBdr>
            <w:top w:val="none" w:sz="0" w:space="0" w:color="auto"/>
            <w:left w:val="none" w:sz="0" w:space="0" w:color="auto"/>
            <w:bottom w:val="none" w:sz="0" w:space="0" w:color="auto"/>
            <w:right w:val="none" w:sz="0" w:space="0" w:color="auto"/>
          </w:divBdr>
          <w:divsChild>
            <w:div w:id="648562518">
              <w:marLeft w:val="0"/>
              <w:marRight w:val="0"/>
              <w:marTop w:val="0"/>
              <w:marBottom w:val="0"/>
              <w:divBdr>
                <w:top w:val="none" w:sz="0" w:space="0" w:color="auto"/>
                <w:left w:val="none" w:sz="0" w:space="0" w:color="auto"/>
                <w:bottom w:val="none" w:sz="0" w:space="0" w:color="auto"/>
                <w:right w:val="none" w:sz="0" w:space="0" w:color="auto"/>
              </w:divBdr>
              <w:divsChild>
                <w:div w:id="2045015303">
                  <w:marLeft w:val="0"/>
                  <w:marRight w:val="0"/>
                  <w:marTop w:val="0"/>
                  <w:marBottom w:val="0"/>
                  <w:divBdr>
                    <w:top w:val="none" w:sz="0" w:space="0" w:color="auto"/>
                    <w:left w:val="none" w:sz="0" w:space="0" w:color="auto"/>
                    <w:bottom w:val="none" w:sz="0" w:space="0" w:color="auto"/>
                    <w:right w:val="none" w:sz="0" w:space="0" w:color="auto"/>
                  </w:divBdr>
                  <w:divsChild>
                    <w:div w:id="1332560226">
                      <w:marLeft w:val="0"/>
                      <w:marRight w:val="0"/>
                      <w:marTop w:val="0"/>
                      <w:marBottom w:val="0"/>
                      <w:divBdr>
                        <w:top w:val="none" w:sz="0" w:space="0" w:color="auto"/>
                        <w:left w:val="none" w:sz="0" w:space="0" w:color="auto"/>
                        <w:bottom w:val="none" w:sz="0" w:space="0" w:color="auto"/>
                        <w:right w:val="none" w:sz="0" w:space="0" w:color="auto"/>
                      </w:divBdr>
                      <w:divsChild>
                        <w:div w:id="1361711497">
                          <w:marLeft w:val="0"/>
                          <w:marRight w:val="0"/>
                          <w:marTop w:val="0"/>
                          <w:marBottom w:val="0"/>
                          <w:divBdr>
                            <w:top w:val="none" w:sz="0" w:space="0" w:color="auto"/>
                            <w:left w:val="none" w:sz="0" w:space="0" w:color="auto"/>
                            <w:bottom w:val="none" w:sz="0" w:space="0" w:color="auto"/>
                            <w:right w:val="none" w:sz="0" w:space="0" w:color="auto"/>
                          </w:divBdr>
                          <w:divsChild>
                            <w:div w:id="1195121514">
                              <w:marLeft w:val="0"/>
                              <w:marRight w:val="0"/>
                              <w:marTop w:val="0"/>
                              <w:marBottom w:val="0"/>
                              <w:divBdr>
                                <w:top w:val="none" w:sz="0" w:space="0" w:color="auto"/>
                                <w:left w:val="none" w:sz="0" w:space="0" w:color="auto"/>
                                <w:bottom w:val="none" w:sz="0" w:space="0" w:color="auto"/>
                                <w:right w:val="none" w:sz="0" w:space="0" w:color="auto"/>
                              </w:divBdr>
                              <w:divsChild>
                                <w:div w:id="1650554323">
                                  <w:marLeft w:val="0"/>
                                  <w:marRight w:val="0"/>
                                  <w:marTop w:val="0"/>
                                  <w:marBottom w:val="0"/>
                                  <w:divBdr>
                                    <w:top w:val="none" w:sz="0" w:space="0" w:color="auto"/>
                                    <w:left w:val="none" w:sz="0" w:space="0" w:color="auto"/>
                                    <w:bottom w:val="none" w:sz="0" w:space="0" w:color="auto"/>
                                    <w:right w:val="none" w:sz="0" w:space="0" w:color="auto"/>
                                  </w:divBdr>
                                  <w:divsChild>
                                    <w:div w:id="815730952">
                                      <w:marLeft w:val="0"/>
                                      <w:marRight w:val="0"/>
                                      <w:marTop w:val="0"/>
                                      <w:marBottom w:val="0"/>
                                      <w:divBdr>
                                        <w:top w:val="none" w:sz="0" w:space="0" w:color="auto"/>
                                        <w:left w:val="none" w:sz="0" w:space="0" w:color="auto"/>
                                        <w:bottom w:val="none" w:sz="0" w:space="0" w:color="auto"/>
                                        <w:right w:val="none" w:sz="0" w:space="0" w:color="auto"/>
                                      </w:divBdr>
                                      <w:divsChild>
                                        <w:div w:id="168257648">
                                          <w:marLeft w:val="0"/>
                                          <w:marRight w:val="0"/>
                                          <w:marTop w:val="0"/>
                                          <w:marBottom w:val="0"/>
                                          <w:divBdr>
                                            <w:top w:val="none" w:sz="0" w:space="0" w:color="auto"/>
                                            <w:left w:val="none" w:sz="0" w:space="0" w:color="auto"/>
                                            <w:bottom w:val="none" w:sz="0" w:space="0" w:color="auto"/>
                                            <w:right w:val="none" w:sz="0" w:space="0" w:color="auto"/>
                                          </w:divBdr>
                                          <w:divsChild>
                                            <w:div w:id="447241776">
                                              <w:marLeft w:val="0"/>
                                              <w:marRight w:val="0"/>
                                              <w:marTop w:val="0"/>
                                              <w:marBottom w:val="0"/>
                                              <w:divBdr>
                                                <w:top w:val="none" w:sz="0" w:space="0" w:color="auto"/>
                                                <w:left w:val="none" w:sz="0" w:space="0" w:color="auto"/>
                                                <w:bottom w:val="none" w:sz="0" w:space="0" w:color="auto"/>
                                                <w:right w:val="none" w:sz="0" w:space="0" w:color="auto"/>
                                              </w:divBdr>
                                              <w:divsChild>
                                                <w:div w:id="613441386">
                                                  <w:marLeft w:val="0"/>
                                                  <w:marRight w:val="0"/>
                                                  <w:marTop w:val="0"/>
                                                  <w:marBottom w:val="0"/>
                                                  <w:divBdr>
                                                    <w:top w:val="none" w:sz="0" w:space="0" w:color="auto"/>
                                                    <w:left w:val="none" w:sz="0" w:space="0" w:color="auto"/>
                                                    <w:bottom w:val="none" w:sz="0" w:space="0" w:color="auto"/>
                                                    <w:right w:val="none" w:sz="0" w:space="0" w:color="auto"/>
                                                  </w:divBdr>
                                                  <w:divsChild>
                                                    <w:div w:id="398140466">
                                                      <w:marLeft w:val="0"/>
                                                      <w:marRight w:val="0"/>
                                                      <w:marTop w:val="0"/>
                                                      <w:marBottom w:val="0"/>
                                                      <w:divBdr>
                                                        <w:top w:val="none" w:sz="0" w:space="0" w:color="auto"/>
                                                        <w:left w:val="none" w:sz="0" w:space="0" w:color="auto"/>
                                                        <w:bottom w:val="none" w:sz="0" w:space="0" w:color="auto"/>
                                                        <w:right w:val="none" w:sz="0" w:space="0" w:color="auto"/>
                                                      </w:divBdr>
                                                      <w:divsChild>
                                                        <w:div w:id="19485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4177001">
          <w:marLeft w:val="0"/>
          <w:marRight w:val="0"/>
          <w:marTop w:val="0"/>
          <w:marBottom w:val="0"/>
          <w:divBdr>
            <w:top w:val="none" w:sz="0" w:space="0" w:color="auto"/>
            <w:left w:val="none" w:sz="0" w:space="0" w:color="auto"/>
            <w:bottom w:val="none" w:sz="0" w:space="0" w:color="auto"/>
            <w:right w:val="none" w:sz="0" w:space="0" w:color="auto"/>
          </w:divBdr>
          <w:divsChild>
            <w:div w:id="900797034">
              <w:marLeft w:val="0"/>
              <w:marRight w:val="0"/>
              <w:marTop w:val="0"/>
              <w:marBottom w:val="0"/>
              <w:divBdr>
                <w:top w:val="none" w:sz="0" w:space="0" w:color="auto"/>
                <w:left w:val="none" w:sz="0" w:space="0" w:color="auto"/>
                <w:bottom w:val="none" w:sz="0" w:space="0" w:color="auto"/>
                <w:right w:val="none" w:sz="0" w:space="0" w:color="auto"/>
              </w:divBdr>
              <w:divsChild>
                <w:div w:id="1431195185">
                  <w:marLeft w:val="0"/>
                  <w:marRight w:val="0"/>
                  <w:marTop w:val="0"/>
                  <w:marBottom w:val="0"/>
                  <w:divBdr>
                    <w:top w:val="none" w:sz="0" w:space="0" w:color="auto"/>
                    <w:left w:val="none" w:sz="0" w:space="0" w:color="auto"/>
                    <w:bottom w:val="none" w:sz="0" w:space="0" w:color="auto"/>
                    <w:right w:val="none" w:sz="0" w:space="0" w:color="auto"/>
                  </w:divBdr>
                  <w:divsChild>
                    <w:div w:id="904025800">
                      <w:marLeft w:val="0"/>
                      <w:marRight w:val="0"/>
                      <w:marTop w:val="0"/>
                      <w:marBottom w:val="0"/>
                      <w:divBdr>
                        <w:top w:val="none" w:sz="0" w:space="0" w:color="auto"/>
                        <w:left w:val="none" w:sz="0" w:space="0" w:color="auto"/>
                        <w:bottom w:val="none" w:sz="0" w:space="0" w:color="auto"/>
                        <w:right w:val="none" w:sz="0" w:space="0" w:color="auto"/>
                      </w:divBdr>
                      <w:divsChild>
                        <w:div w:id="1790124916">
                          <w:marLeft w:val="0"/>
                          <w:marRight w:val="0"/>
                          <w:marTop w:val="0"/>
                          <w:marBottom w:val="0"/>
                          <w:divBdr>
                            <w:top w:val="none" w:sz="0" w:space="0" w:color="auto"/>
                            <w:left w:val="none" w:sz="0" w:space="0" w:color="auto"/>
                            <w:bottom w:val="none" w:sz="0" w:space="0" w:color="auto"/>
                            <w:right w:val="none" w:sz="0" w:space="0" w:color="auto"/>
                          </w:divBdr>
                          <w:divsChild>
                            <w:div w:id="807163389">
                              <w:marLeft w:val="0"/>
                              <w:marRight w:val="0"/>
                              <w:marTop w:val="0"/>
                              <w:marBottom w:val="0"/>
                              <w:divBdr>
                                <w:top w:val="none" w:sz="0" w:space="0" w:color="auto"/>
                                <w:left w:val="none" w:sz="0" w:space="0" w:color="auto"/>
                                <w:bottom w:val="none" w:sz="0" w:space="0" w:color="auto"/>
                                <w:right w:val="none" w:sz="0" w:space="0" w:color="auto"/>
                              </w:divBdr>
                              <w:divsChild>
                                <w:div w:id="141433435">
                                  <w:marLeft w:val="0"/>
                                  <w:marRight w:val="0"/>
                                  <w:marTop w:val="0"/>
                                  <w:marBottom w:val="0"/>
                                  <w:divBdr>
                                    <w:top w:val="none" w:sz="0" w:space="0" w:color="auto"/>
                                    <w:left w:val="none" w:sz="0" w:space="0" w:color="auto"/>
                                    <w:bottom w:val="none" w:sz="0" w:space="0" w:color="auto"/>
                                    <w:right w:val="none" w:sz="0" w:space="0" w:color="auto"/>
                                  </w:divBdr>
                                  <w:divsChild>
                                    <w:div w:id="1104499458">
                                      <w:marLeft w:val="0"/>
                                      <w:marRight w:val="0"/>
                                      <w:marTop w:val="0"/>
                                      <w:marBottom w:val="0"/>
                                      <w:divBdr>
                                        <w:top w:val="none" w:sz="0" w:space="0" w:color="auto"/>
                                        <w:left w:val="none" w:sz="0" w:space="0" w:color="auto"/>
                                        <w:bottom w:val="none" w:sz="0" w:space="0" w:color="auto"/>
                                        <w:right w:val="none" w:sz="0" w:space="0" w:color="auto"/>
                                      </w:divBdr>
                                      <w:divsChild>
                                        <w:div w:id="11153553">
                                          <w:marLeft w:val="0"/>
                                          <w:marRight w:val="0"/>
                                          <w:marTop w:val="0"/>
                                          <w:marBottom w:val="0"/>
                                          <w:divBdr>
                                            <w:top w:val="none" w:sz="0" w:space="0" w:color="auto"/>
                                            <w:left w:val="none" w:sz="0" w:space="0" w:color="auto"/>
                                            <w:bottom w:val="none" w:sz="0" w:space="0" w:color="auto"/>
                                            <w:right w:val="none" w:sz="0" w:space="0" w:color="auto"/>
                                          </w:divBdr>
                                          <w:divsChild>
                                            <w:div w:id="1769495602">
                                              <w:marLeft w:val="0"/>
                                              <w:marRight w:val="0"/>
                                              <w:marTop w:val="0"/>
                                              <w:marBottom w:val="0"/>
                                              <w:divBdr>
                                                <w:top w:val="none" w:sz="0" w:space="0" w:color="auto"/>
                                                <w:left w:val="none" w:sz="0" w:space="0" w:color="auto"/>
                                                <w:bottom w:val="none" w:sz="0" w:space="0" w:color="auto"/>
                                                <w:right w:val="none" w:sz="0" w:space="0" w:color="auto"/>
                                              </w:divBdr>
                                              <w:divsChild>
                                                <w:div w:id="1826512291">
                                                  <w:marLeft w:val="0"/>
                                                  <w:marRight w:val="0"/>
                                                  <w:marTop w:val="0"/>
                                                  <w:marBottom w:val="0"/>
                                                  <w:divBdr>
                                                    <w:top w:val="none" w:sz="0" w:space="0" w:color="auto"/>
                                                    <w:left w:val="none" w:sz="0" w:space="0" w:color="auto"/>
                                                    <w:bottom w:val="none" w:sz="0" w:space="0" w:color="auto"/>
                                                    <w:right w:val="none" w:sz="0" w:space="0" w:color="auto"/>
                                                  </w:divBdr>
                                                  <w:divsChild>
                                                    <w:div w:id="2039695254">
                                                      <w:marLeft w:val="0"/>
                                                      <w:marRight w:val="0"/>
                                                      <w:marTop w:val="0"/>
                                                      <w:marBottom w:val="0"/>
                                                      <w:divBdr>
                                                        <w:top w:val="none" w:sz="0" w:space="0" w:color="auto"/>
                                                        <w:left w:val="none" w:sz="0" w:space="0" w:color="auto"/>
                                                        <w:bottom w:val="none" w:sz="0" w:space="0" w:color="auto"/>
                                                        <w:right w:val="none" w:sz="0" w:space="0" w:color="auto"/>
                                                      </w:divBdr>
                                                      <w:divsChild>
                                                        <w:div w:id="180238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452337">
                  <w:marLeft w:val="0"/>
                  <w:marRight w:val="0"/>
                  <w:marTop w:val="0"/>
                  <w:marBottom w:val="0"/>
                  <w:divBdr>
                    <w:top w:val="none" w:sz="0" w:space="0" w:color="auto"/>
                    <w:left w:val="none" w:sz="0" w:space="0" w:color="auto"/>
                    <w:bottom w:val="none" w:sz="0" w:space="0" w:color="auto"/>
                    <w:right w:val="none" w:sz="0" w:space="0" w:color="auto"/>
                  </w:divBdr>
                  <w:divsChild>
                    <w:div w:id="1309624929">
                      <w:marLeft w:val="0"/>
                      <w:marRight w:val="0"/>
                      <w:marTop w:val="0"/>
                      <w:marBottom w:val="0"/>
                      <w:divBdr>
                        <w:top w:val="none" w:sz="0" w:space="0" w:color="auto"/>
                        <w:left w:val="none" w:sz="0" w:space="0" w:color="auto"/>
                        <w:bottom w:val="none" w:sz="0" w:space="0" w:color="auto"/>
                        <w:right w:val="none" w:sz="0" w:space="0" w:color="auto"/>
                      </w:divBdr>
                      <w:divsChild>
                        <w:div w:id="143151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000910">
      <w:bodyDiv w:val="1"/>
      <w:marLeft w:val="0"/>
      <w:marRight w:val="0"/>
      <w:marTop w:val="0"/>
      <w:marBottom w:val="0"/>
      <w:divBdr>
        <w:top w:val="none" w:sz="0" w:space="0" w:color="auto"/>
        <w:left w:val="none" w:sz="0" w:space="0" w:color="auto"/>
        <w:bottom w:val="none" w:sz="0" w:space="0" w:color="auto"/>
        <w:right w:val="none" w:sz="0" w:space="0" w:color="auto"/>
      </w:divBdr>
    </w:div>
    <w:div w:id="1835683672">
      <w:bodyDiv w:val="1"/>
      <w:marLeft w:val="0"/>
      <w:marRight w:val="0"/>
      <w:marTop w:val="0"/>
      <w:marBottom w:val="0"/>
      <w:divBdr>
        <w:top w:val="none" w:sz="0" w:space="0" w:color="auto"/>
        <w:left w:val="none" w:sz="0" w:space="0" w:color="auto"/>
        <w:bottom w:val="none" w:sz="0" w:space="0" w:color="auto"/>
        <w:right w:val="none" w:sz="0" w:space="0" w:color="auto"/>
      </w:divBdr>
    </w:div>
    <w:div w:id="1867253049">
      <w:bodyDiv w:val="1"/>
      <w:marLeft w:val="0"/>
      <w:marRight w:val="0"/>
      <w:marTop w:val="0"/>
      <w:marBottom w:val="0"/>
      <w:divBdr>
        <w:top w:val="none" w:sz="0" w:space="0" w:color="auto"/>
        <w:left w:val="none" w:sz="0" w:space="0" w:color="auto"/>
        <w:bottom w:val="none" w:sz="0" w:space="0" w:color="auto"/>
        <w:right w:val="none" w:sz="0" w:space="0" w:color="auto"/>
      </w:divBdr>
    </w:div>
    <w:div w:id="2005817911">
      <w:bodyDiv w:val="1"/>
      <w:marLeft w:val="0"/>
      <w:marRight w:val="0"/>
      <w:marTop w:val="0"/>
      <w:marBottom w:val="0"/>
      <w:divBdr>
        <w:top w:val="none" w:sz="0" w:space="0" w:color="auto"/>
        <w:left w:val="none" w:sz="0" w:space="0" w:color="auto"/>
        <w:bottom w:val="none" w:sz="0" w:space="0" w:color="auto"/>
        <w:right w:val="none" w:sz="0" w:space="0" w:color="auto"/>
      </w:divBdr>
    </w:div>
    <w:div w:id="2017150328">
      <w:bodyDiv w:val="1"/>
      <w:marLeft w:val="0"/>
      <w:marRight w:val="0"/>
      <w:marTop w:val="0"/>
      <w:marBottom w:val="0"/>
      <w:divBdr>
        <w:top w:val="none" w:sz="0" w:space="0" w:color="auto"/>
        <w:left w:val="none" w:sz="0" w:space="0" w:color="auto"/>
        <w:bottom w:val="none" w:sz="0" w:space="0" w:color="auto"/>
        <w:right w:val="none" w:sz="0" w:space="0" w:color="auto"/>
      </w:divBdr>
    </w:div>
    <w:div w:id="2028170191">
      <w:bodyDiv w:val="1"/>
      <w:marLeft w:val="0"/>
      <w:marRight w:val="0"/>
      <w:marTop w:val="0"/>
      <w:marBottom w:val="0"/>
      <w:divBdr>
        <w:top w:val="none" w:sz="0" w:space="0" w:color="auto"/>
        <w:left w:val="none" w:sz="0" w:space="0" w:color="auto"/>
        <w:bottom w:val="none" w:sz="0" w:space="0" w:color="auto"/>
        <w:right w:val="none" w:sz="0" w:space="0" w:color="auto"/>
      </w:divBdr>
    </w:div>
    <w:div w:id="2031834807">
      <w:bodyDiv w:val="1"/>
      <w:marLeft w:val="0"/>
      <w:marRight w:val="0"/>
      <w:marTop w:val="0"/>
      <w:marBottom w:val="0"/>
      <w:divBdr>
        <w:top w:val="none" w:sz="0" w:space="0" w:color="auto"/>
        <w:left w:val="none" w:sz="0" w:space="0" w:color="auto"/>
        <w:bottom w:val="none" w:sz="0" w:space="0" w:color="auto"/>
        <w:right w:val="none" w:sz="0" w:space="0" w:color="auto"/>
      </w:divBdr>
    </w:div>
    <w:div w:id="2067490290">
      <w:bodyDiv w:val="1"/>
      <w:marLeft w:val="0"/>
      <w:marRight w:val="0"/>
      <w:marTop w:val="0"/>
      <w:marBottom w:val="0"/>
      <w:divBdr>
        <w:top w:val="none" w:sz="0" w:space="0" w:color="auto"/>
        <w:left w:val="none" w:sz="0" w:space="0" w:color="auto"/>
        <w:bottom w:val="none" w:sz="0" w:space="0" w:color="auto"/>
        <w:right w:val="none" w:sz="0" w:space="0" w:color="auto"/>
      </w:divBdr>
      <w:divsChild>
        <w:div w:id="1698852925">
          <w:marLeft w:val="0"/>
          <w:marRight w:val="0"/>
          <w:marTop w:val="0"/>
          <w:marBottom w:val="0"/>
          <w:divBdr>
            <w:top w:val="none" w:sz="0" w:space="0" w:color="auto"/>
            <w:left w:val="none" w:sz="0" w:space="0" w:color="auto"/>
            <w:bottom w:val="none" w:sz="0" w:space="0" w:color="auto"/>
            <w:right w:val="none" w:sz="0" w:space="0" w:color="auto"/>
          </w:divBdr>
        </w:div>
      </w:divsChild>
    </w:div>
    <w:div w:id="2081362244">
      <w:bodyDiv w:val="1"/>
      <w:marLeft w:val="0"/>
      <w:marRight w:val="0"/>
      <w:marTop w:val="0"/>
      <w:marBottom w:val="0"/>
      <w:divBdr>
        <w:top w:val="none" w:sz="0" w:space="0" w:color="auto"/>
        <w:left w:val="none" w:sz="0" w:space="0" w:color="auto"/>
        <w:bottom w:val="none" w:sz="0" w:space="0" w:color="auto"/>
        <w:right w:val="none" w:sz="0" w:space="0" w:color="auto"/>
      </w:divBdr>
    </w:div>
    <w:div w:id="2110154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webapps.condusef.gob.mx/SIPRES/jsp/pub/index.jsp" TargetMode="External"/><Relationship Id="rId4" Type="http://schemas.openxmlformats.org/officeDocument/2006/relationships/styles" Target="styles.xml"/><Relationship Id="rId9" Type="http://schemas.openxmlformats.org/officeDocument/2006/relationships/hyperlink" Target="http://dof.gob.mx/nota_detalle.php?codigo=5492254&amp;fecha=28/07/2017"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eQFq1qPAFU9McTPiQs2Q5cU6Q==">CgMxLjAyCGguZ2pkZ3hzMgloLjMwajB6bGwyCWguMWZvYjl0ZTIJaC4zem55c2g3MgloLjJldDkycDAyCGgudHlqY3d0MgloLjNkeTZ2a20yCWguMXQzaDVzZjIJaC40ZDM0b2c4MgloLjJzOGV5bzEyCWguMTdkcDh2dTIJaC4zcmRjcmpuMghoLnFzaDcwcTIJaC4zYXM0cG9qMgloLjFweGV6d2MyCWguNDl4MmlrNTIJaC4ycDJjc3J5MgloLjE0N24yenIyCWguMmJuNndzeDgAciExbjYxbVpCTHl3Sl9SVzl2ZnI0UmFrODJVd0dDQWh4Q3c=</go:docsCustomData>
</go:gDocsCustomXmlDataStorage>
</file>

<file path=customXml/itemProps1.xml><?xml version="1.0" encoding="utf-8"?>
<ds:datastoreItem xmlns:ds="http://schemas.openxmlformats.org/officeDocument/2006/customXml" ds:itemID="{5C38E91F-FF35-49C1-A034-460316E0BF1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7094</Words>
  <Characters>39021</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46023</CharactersWithSpaces>
  <SharedDoc>false</SharedDoc>
  <HLinks>
    <vt:vector size="138" baseType="variant">
      <vt:variant>
        <vt:i4>7995515</vt:i4>
      </vt:variant>
      <vt:variant>
        <vt:i4>126</vt:i4>
      </vt:variant>
      <vt:variant>
        <vt:i4>0</vt:i4>
      </vt:variant>
      <vt:variant>
        <vt:i4>5</vt:i4>
      </vt:variant>
      <vt:variant>
        <vt:lpwstr>https://www2.toluca.gob.mx/acata-toluca-resolucion-del-teem-sobre-eleccion-del-representante-indigena-ante-el-ayuntamiento/</vt:lpwstr>
      </vt:variant>
      <vt:variant>
        <vt:lpwstr/>
      </vt:variant>
      <vt:variant>
        <vt:i4>2556020</vt:i4>
      </vt:variant>
      <vt:variant>
        <vt:i4>123</vt:i4>
      </vt:variant>
      <vt:variant>
        <vt:i4>0</vt:i4>
      </vt:variant>
      <vt:variant>
        <vt:i4>5</vt:i4>
      </vt:variant>
      <vt:variant>
        <vt:lpwstr>https://www2.toluca.gob.mx/wp-content/uploads/2022/03/tol-pdf-convocatoria-representante-indigena-2022.pdf</vt:lpwstr>
      </vt:variant>
      <vt:variant>
        <vt:lpwstr/>
      </vt:variant>
      <vt:variant>
        <vt:i4>3342387</vt:i4>
      </vt:variant>
      <vt:variant>
        <vt:i4>120</vt:i4>
      </vt:variant>
      <vt:variant>
        <vt:i4>0</vt:i4>
      </vt:variant>
      <vt:variant>
        <vt:i4>5</vt:i4>
      </vt:variant>
      <vt:variant>
        <vt:lpwstr>https://x.com/tolucagob/status/1504580896548077576</vt:lpwstr>
      </vt:variant>
      <vt:variant>
        <vt:lpwstr/>
      </vt:variant>
      <vt:variant>
        <vt:i4>5439495</vt:i4>
      </vt:variant>
      <vt:variant>
        <vt:i4>117</vt:i4>
      </vt:variant>
      <vt:variant>
        <vt:i4>0</vt:i4>
      </vt:variant>
      <vt:variant>
        <vt:i4>5</vt:i4>
      </vt:variant>
      <vt:variant>
        <vt:lpwstr>https://adnoticias.mx/toma-protesta-representante-indigena-ante-el-cabildo-de-toluca/</vt:lpwstr>
      </vt:variant>
      <vt:variant>
        <vt:lpwstr/>
      </vt:variant>
      <vt:variant>
        <vt:i4>1703993</vt:i4>
      </vt:variant>
      <vt:variant>
        <vt:i4>110</vt:i4>
      </vt:variant>
      <vt:variant>
        <vt:i4>0</vt:i4>
      </vt:variant>
      <vt:variant>
        <vt:i4>5</vt:i4>
      </vt:variant>
      <vt:variant>
        <vt:lpwstr/>
      </vt:variant>
      <vt:variant>
        <vt:lpwstr>_Toc200991256</vt:lpwstr>
      </vt:variant>
      <vt:variant>
        <vt:i4>1703993</vt:i4>
      </vt:variant>
      <vt:variant>
        <vt:i4>104</vt:i4>
      </vt:variant>
      <vt:variant>
        <vt:i4>0</vt:i4>
      </vt:variant>
      <vt:variant>
        <vt:i4>5</vt:i4>
      </vt:variant>
      <vt:variant>
        <vt:lpwstr/>
      </vt:variant>
      <vt:variant>
        <vt:lpwstr>_Toc200991255</vt:lpwstr>
      </vt:variant>
      <vt:variant>
        <vt:i4>1703993</vt:i4>
      </vt:variant>
      <vt:variant>
        <vt:i4>98</vt:i4>
      </vt:variant>
      <vt:variant>
        <vt:i4>0</vt:i4>
      </vt:variant>
      <vt:variant>
        <vt:i4>5</vt:i4>
      </vt:variant>
      <vt:variant>
        <vt:lpwstr/>
      </vt:variant>
      <vt:variant>
        <vt:lpwstr>_Toc200991254</vt:lpwstr>
      </vt:variant>
      <vt:variant>
        <vt:i4>1703993</vt:i4>
      </vt:variant>
      <vt:variant>
        <vt:i4>92</vt:i4>
      </vt:variant>
      <vt:variant>
        <vt:i4>0</vt:i4>
      </vt:variant>
      <vt:variant>
        <vt:i4>5</vt:i4>
      </vt:variant>
      <vt:variant>
        <vt:lpwstr/>
      </vt:variant>
      <vt:variant>
        <vt:lpwstr>_Toc200991253</vt:lpwstr>
      </vt:variant>
      <vt:variant>
        <vt:i4>1703993</vt:i4>
      </vt:variant>
      <vt:variant>
        <vt:i4>86</vt:i4>
      </vt:variant>
      <vt:variant>
        <vt:i4>0</vt:i4>
      </vt:variant>
      <vt:variant>
        <vt:i4>5</vt:i4>
      </vt:variant>
      <vt:variant>
        <vt:lpwstr/>
      </vt:variant>
      <vt:variant>
        <vt:lpwstr>_Toc200991252</vt:lpwstr>
      </vt:variant>
      <vt:variant>
        <vt:i4>1703993</vt:i4>
      </vt:variant>
      <vt:variant>
        <vt:i4>80</vt:i4>
      </vt:variant>
      <vt:variant>
        <vt:i4>0</vt:i4>
      </vt:variant>
      <vt:variant>
        <vt:i4>5</vt:i4>
      </vt:variant>
      <vt:variant>
        <vt:lpwstr/>
      </vt:variant>
      <vt:variant>
        <vt:lpwstr>_Toc200991251</vt:lpwstr>
      </vt:variant>
      <vt:variant>
        <vt:i4>1703993</vt:i4>
      </vt:variant>
      <vt:variant>
        <vt:i4>74</vt:i4>
      </vt:variant>
      <vt:variant>
        <vt:i4>0</vt:i4>
      </vt:variant>
      <vt:variant>
        <vt:i4>5</vt:i4>
      </vt:variant>
      <vt:variant>
        <vt:lpwstr/>
      </vt:variant>
      <vt:variant>
        <vt:lpwstr>_Toc200991250</vt:lpwstr>
      </vt:variant>
      <vt:variant>
        <vt:i4>1769529</vt:i4>
      </vt:variant>
      <vt:variant>
        <vt:i4>68</vt:i4>
      </vt:variant>
      <vt:variant>
        <vt:i4>0</vt:i4>
      </vt:variant>
      <vt:variant>
        <vt:i4>5</vt:i4>
      </vt:variant>
      <vt:variant>
        <vt:lpwstr/>
      </vt:variant>
      <vt:variant>
        <vt:lpwstr>_Toc200991249</vt:lpwstr>
      </vt:variant>
      <vt:variant>
        <vt:i4>1769529</vt:i4>
      </vt:variant>
      <vt:variant>
        <vt:i4>62</vt:i4>
      </vt:variant>
      <vt:variant>
        <vt:i4>0</vt:i4>
      </vt:variant>
      <vt:variant>
        <vt:i4>5</vt:i4>
      </vt:variant>
      <vt:variant>
        <vt:lpwstr/>
      </vt:variant>
      <vt:variant>
        <vt:lpwstr>_Toc200991248</vt:lpwstr>
      </vt:variant>
      <vt:variant>
        <vt:i4>1769529</vt:i4>
      </vt:variant>
      <vt:variant>
        <vt:i4>56</vt:i4>
      </vt:variant>
      <vt:variant>
        <vt:i4>0</vt:i4>
      </vt:variant>
      <vt:variant>
        <vt:i4>5</vt:i4>
      </vt:variant>
      <vt:variant>
        <vt:lpwstr/>
      </vt:variant>
      <vt:variant>
        <vt:lpwstr>_Toc200991247</vt:lpwstr>
      </vt:variant>
      <vt:variant>
        <vt:i4>1769529</vt:i4>
      </vt:variant>
      <vt:variant>
        <vt:i4>50</vt:i4>
      </vt:variant>
      <vt:variant>
        <vt:i4>0</vt:i4>
      </vt:variant>
      <vt:variant>
        <vt:i4>5</vt:i4>
      </vt:variant>
      <vt:variant>
        <vt:lpwstr/>
      </vt:variant>
      <vt:variant>
        <vt:lpwstr>_Toc200991246</vt:lpwstr>
      </vt:variant>
      <vt:variant>
        <vt:i4>1769529</vt:i4>
      </vt:variant>
      <vt:variant>
        <vt:i4>44</vt:i4>
      </vt:variant>
      <vt:variant>
        <vt:i4>0</vt:i4>
      </vt:variant>
      <vt:variant>
        <vt:i4>5</vt:i4>
      </vt:variant>
      <vt:variant>
        <vt:lpwstr/>
      </vt:variant>
      <vt:variant>
        <vt:lpwstr>_Toc200991245</vt:lpwstr>
      </vt:variant>
      <vt:variant>
        <vt:i4>1769529</vt:i4>
      </vt:variant>
      <vt:variant>
        <vt:i4>38</vt:i4>
      </vt:variant>
      <vt:variant>
        <vt:i4>0</vt:i4>
      </vt:variant>
      <vt:variant>
        <vt:i4>5</vt:i4>
      </vt:variant>
      <vt:variant>
        <vt:lpwstr/>
      </vt:variant>
      <vt:variant>
        <vt:lpwstr>_Toc200991244</vt:lpwstr>
      </vt:variant>
      <vt:variant>
        <vt:i4>1769529</vt:i4>
      </vt:variant>
      <vt:variant>
        <vt:i4>32</vt:i4>
      </vt:variant>
      <vt:variant>
        <vt:i4>0</vt:i4>
      </vt:variant>
      <vt:variant>
        <vt:i4>5</vt:i4>
      </vt:variant>
      <vt:variant>
        <vt:lpwstr/>
      </vt:variant>
      <vt:variant>
        <vt:lpwstr>_Toc200991243</vt:lpwstr>
      </vt:variant>
      <vt:variant>
        <vt:i4>1769529</vt:i4>
      </vt:variant>
      <vt:variant>
        <vt:i4>26</vt:i4>
      </vt:variant>
      <vt:variant>
        <vt:i4>0</vt:i4>
      </vt:variant>
      <vt:variant>
        <vt:i4>5</vt:i4>
      </vt:variant>
      <vt:variant>
        <vt:lpwstr/>
      </vt:variant>
      <vt:variant>
        <vt:lpwstr>_Toc200991242</vt:lpwstr>
      </vt:variant>
      <vt:variant>
        <vt:i4>1769529</vt:i4>
      </vt:variant>
      <vt:variant>
        <vt:i4>20</vt:i4>
      </vt:variant>
      <vt:variant>
        <vt:i4>0</vt:i4>
      </vt:variant>
      <vt:variant>
        <vt:i4>5</vt:i4>
      </vt:variant>
      <vt:variant>
        <vt:lpwstr/>
      </vt:variant>
      <vt:variant>
        <vt:lpwstr>_Toc200991241</vt:lpwstr>
      </vt:variant>
      <vt:variant>
        <vt:i4>1769529</vt:i4>
      </vt:variant>
      <vt:variant>
        <vt:i4>14</vt:i4>
      </vt:variant>
      <vt:variant>
        <vt:i4>0</vt:i4>
      </vt:variant>
      <vt:variant>
        <vt:i4>5</vt:i4>
      </vt:variant>
      <vt:variant>
        <vt:lpwstr/>
      </vt:variant>
      <vt:variant>
        <vt:lpwstr>_Toc200991240</vt:lpwstr>
      </vt:variant>
      <vt:variant>
        <vt:i4>1835065</vt:i4>
      </vt:variant>
      <vt:variant>
        <vt:i4>8</vt:i4>
      </vt:variant>
      <vt:variant>
        <vt:i4>0</vt:i4>
      </vt:variant>
      <vt:variant>
        <vt:i4>5</vt:i4>
      </vt:variant>
      <vt:variant>
        <vt:lpwstr/>
      </vt:variant>
      <vt:variant>
        <vt:lpwstr>_Toc200991239</vt:lpwstr>
      </vt:variant>
      <vt:variant>
        <vt:i4>1835065</vt:i4>
      </vt:variant>
      <vt:variant>
        <vt:i4>2</vt:i4>
      </vt:variant>
      <vt:variant>
        <vt:i4>0</vt:i4>
      </vt:variant>
      <vt:variant>
        <vt:i4>5</vt:i4>
      </vt:variant>
      <vt:variant>
        <vt:lpwstr/>
      </vt:variant>
      <vt:variant>
        <vt:lpwstr>_Toc200991238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oswaldo</dc:creator>
  <cp:lastModifiedBy>Office</cp:lastModifiedBy>
  <cp:revision>3</cp:revision>
  <cp:lastPrinted>2025-08-29T11:47:00Z</cp:lastPrinted>
  <dcterms:created xsi:type="dcterms:W3CDTF">2025-08-29T11:47:00Z</dcterms:created>
  <dcterms:modified xsi:type="dcterms:W3CDTF">2025-08-29T11:47:00Z</dcterms:modified>
</cp:coreProperties>
</file>