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0C79A"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a veintidós de enero de dos mil veinticinco. </w:t>
      </w:r>
    </w:p>
    <w:p w14:paraId="11761D70"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VISTO</w:t>
      </w:r>
      <w:r w:rsidRPr="00E074A6">
        <w:rPr>
          <w:rFonts w:ascii="Palatino Linotype" w:eastAsia="Palatino Linotype" w:hAnsi="Palatino Linotype" w:cs="Palatino Linotype"/>
          <w:sz w:val="22"/>
          <w:szCs w:val="22"/>
        </w:rPr>
        <w:t xml:space="preserve"> el expediente formado con motivo del recurso de revisión </w:t>
      </w:r>
      <w:r w:rsidRPr="00E074A6">
        <w:rPr>
          <w:rFonts w:ascii="Palatino Linotype" w:eastAsia="Palatino Linotype" w:hAnsi="Palatino Linotype" w:cs="Palatino Linotype"/>
          <w:b/>
          <w:sz w:val="22"/>
          <w:szCs w:val="22"/>
        </w:rPr>
        <w:t>07519/INFOEM/IP/RR/2024</w:t>
      </w:r>
      <w:r w:rsidRPr="00E074A6">
        <w:rPr>
          <w:rFonts w:ascii="Palatino Linotype" w:eastAsia="Palatino Linotype" w:hAnsi="Palatino Linotype" w:cs="Palatino Linotype"/>
          <w:sz w:val="22"/>
          <w:szCs w:val="22"/>
        </w:rPr>
        <w:t>, por</w:t>
      </w:r>
      <w:r w:rsidRPr="00E074A6">
        <w:rPr>
          <w:rFonts w:ascii="Palatino Linotype" w:eastAsia="Palatino Linotype" w:hAnsi="Palatino Linotype" w:cs="Palatino Linotype"/>
          <w:b/>
          <w:sz w:val="22"/>
          <w:szCs w:val="22"/>
        </w:rPr>
        <w:t xml:space="preserve"> </w:t>
      </w:r>
      <w:r w:rsidRPr="00E074A6">
        <w:rPr>
          <w:rFonts w:ascii="Palatino Linotype" w:eastAsia="Palatino Linotype" w:hAnsi="Palatino Linotype" w:cs="Palatino Linotype"/>
          <w:sz w:val="22"/>
          <w:szCs w:val="22"/>
        </w:rPr>
        <w:t>interpuesto por</w:t>
      </w:r>
      <w:r w:rsidRPr="00E074A6">
        <w:rPr>
          <w:rFonts w:ascii="Palatino Linotype" w:eastAsia="Palatino Linotype" w:hAnsi="Palatino Linotype" w:cs="Palatino Linotype"/>
          <w:b/>
          <w:sz w:val="22"/>
          <w:szCs w:val="22"/>
        </w:rPr>
        <w:t xml:space="preserve"> un particular que no proporcionó su nombre,</w:t>
      </w:r>
      <w:r w:rsidRPr="00E074A6">
        <w:rPr>
          <w:rFonts w:ascii="Palatino Linotype" w:eastAsia="Palatino Linotype" w:hAnsi="Palatino Linotype" w:cs="Palatino Linotype"/>
          <w:sz w:val="22"/>
          <w:szCs w:val="22"/>
        </w:rPr>
        <w:t xml:space="preserve"> en lo sucesivo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en contra de la respuesta a su solicitud por parte del </w:t>
      </w:r>
      <w:r w:rsidRPr="00E074A6">
        <w:rPr>
          <w:rFonts w:ascii="Palatino Linotype" w:eastAsia="Palatino Linotype" w:hAnsi="Palatino Linotype" w:cs="Palatino Linotype"/>
          <w:b/>
          <w:sz w:val="22"/>
          <w:szCs w:val="22"/>
        </w:rPr>
        <w:t xml:space="preserve">Ayuntamiento de Villa de Allende, </w:t>
      </w:r>
      <w:r w:rsidRPr="00E074A6">
        <w:rPr>
          <w:rFonts w:ascii="Palatino Linotype" w:eastAsia="Palatino Linotype" w:hAnsi="Palatino Linotype" w:cs="Palatino Linotype"/>
          <w:sz w:val="22"/>
          <w:szCs w:val="22"/>
        </w:rPr>
        <w:t xml:space="preserve">en lo sucesivo el </w:t>
      </w:r>
      <w:r w:rsidRPr="00E074A6">
        <w:rPr>
          <w:rFonts w:ascii="Palatino Linotype" w:eastAsia="Palatino Linotype" w:hAnsi="Palatino Linotype" w:cs="Palatino Linotype"/>
          <w:b/>
          <w:sz w:val="22"/>
          <w:szCs w:val="22"/>
        </w:rPr>
        <w:t xml:space="preserve">SUJETO OBLIGADO, </w:t>
      </w:r>
      <w:r w:rsidRPr="00E074A6">
        <w:rPr>
          <w:rFonts w:ascii="Palatino Linotype" w:eastAsia="Palatino Linotype" w:hAnsi="Palatino Linotype" w:cs="Palatino Linotype"/>
          <w:sz w:val="22"/>
          <w:szCs w:val="22"/>
        </w:rPr>
        <w:t xml:space="preserve">se procede a dictar la presente resolución con base en los siguientes: </w:t>
      </w:r>
    </w:p>
    <w:p w14:paraId="7B5417E4" w14:textId="77777777" w:rsidR="0003348D" w:rsidRPr="00E074A6" w:rsidRDefault="00A70830">
      <w:pPr>
        <w:spacing w:before="240" w:after="240" w:line="360" w:lineRule="auto"/>
        <w:jc w:val="center"/>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I. A N T E C E D E N T E S</w:t>
      </w:r>
    </w:p>
    <w:p w14:paraId="64258D99"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1. Solicitud de acceso a la información.</w:t>
      </w:r>
      <w:r w:rsidRPr="00E074A6">
        <w:rPr>
          <w:rFonts w:ascii="Palatino Linotype" w:eastAsia="Palatino Linotype" w:hAnsi="Palatino Linotype" w:cs="Palatino Linotype"/>
          <w:sz w:val="22"/>
          <w:szCs w:val="22"/>
        </w:rPr>
        <w:t xml:space="preserve"> Con fecha </w:t>
      </w:r>
      <w:r w:rsidRPr="00E074A6">
        <w:rPr>
          <w:rFonts w:ascii="Palatino Linotype" w:eastAsia="Palatino Linotype" w:hAnsi="Palatino Linotype" w:cs="Palatino Linotype"/>
          <w:b/>
          <w:sz w:val="22"/>
          <w:szCs w:val="22"/>
        </w:rPr>
        <w:t>once de noviembre de dos mil veinticuatro,</w:t>
      </w:r>
      <w:r w:rsidRPr="00E074A6">
        <w:rPr>
          <w:rFonts w:ascii="Palatino Linotype" w:eastAsia="Palatino Linotype" w:hAnsi="Palatino Linotype" w:cs="Palatino Linotype"/>
          <w:sz w:val="22"/>
          <w:szCs w:val="22"/>
        </w:rPr>
        <w:t xml:space="preserve"> la parte </w:t>
      </w:r>
      <w:r w:rsidRPr="00E074A6">
        <w:rPr>
          <w:rFonts w:ascii="Palatino Linotype" w:eastAsia="Palatino Linotype" w:hAnsi="Palatino Linotype" w:cs="Palatino Linotype"/>
          <w:b/>
          <w:sz w:val="22"/>
          <w:szCs w:val="22"/>
        </w:rPr>
        <w:t xml:space="preserve">RECURRENTE </w:t>
      </w:r>
      <w:r w:rsidRPr="00E074A6">
        <w:rPr>
          <w:rFonts w:ascii="Palatino Linotype" w:eastAsia="Palatino Linotype" w:hAnsi="Palatino Linotype" w:cs="Palatino Linotype"/>
          <w:sz w:val="22"/>
          <w:szCs w:val="22"/>
        </w:rPr>
        <w:t xml:space="preserve">presentó, través del Sistema de Acceso a la Información Mexiquense, en lo subsecuente el </w:t>
      </w:r>
      <w:r w:rsidRPr="00E074A6">
        <w:rPr>
          <w:rFonts w:ascii="Palatino Linotype" w:eastAsia="Palatino Linotype" w:hAnsi="Palatino Linotype" w:cs="Palatino Linotype"/>
          <w:b/>
          <w:sz w:val="22"/>
          <w:szCs w:val="22"/>
        </w:rPr>
        <w:t>SAIMEX,</w:t>
      </w:r>
      <w:r w:rsidRPr="00E074A6">
        <w:rPr>
          <w:rFonts w:ascii="Palatino Linotype" w:eastAsia="Palatino Linotype" w:hAnsi="Palatino Linotype" w:cs="Palatino Linotype"/>
          <w:sz w:val="22"/>
          <w:szCs w:val="22"/>
        </w:rPr>
        <w:t xml:space="preserve"> ante 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la solicitud de acceso a la información pública, a la que se le asignó el número</w:t>
      </w:r>
      <w:r w:rsidRPr="00E074A6">
        <w:rPr>
          <w:rFonts w:ascii="Palatino Linotype" w:eastAsia="Palatino Linotype" w:hAnsi="Palatino Linotype" w:cs="Palatino Linotype"/>
          <w:b/>
          <w:sz w:val="22"/>
          <w:szCs w:val="22"/>
        </w:rPr>
        <w:t xml:space="preserve"> 00092/VIALLEN/IP/2024, </w:t>
      </w:r>
      <w:r w:rsidRPr="00E074A6">
        <w:rPr>
          <w:rFonts w:ascii="Palatino Linotype" w:eastAsia="Palatino Linotype" w:hAnsi="Palatino Linotype" w:cs="Palatino Linotype"/>
          <w:sz w:val="22"/>
          <w:szCs w:val="22"/>
        </w:rPr>
        <w:t xml:space="preserve">mediante la cual requirió la información siguiente: </w:t>
      </w:r>
    </w:p>
    <w:p w14:paraId="0FB60585" w14:textId="77777777" w:rsidR="0003348D" w:rsidRPr="00E074A6" w:rsidRDefault="00A70830">
      <w:pPr>
        <w:spacing w:before="240"/>
        <w:ind w:left="851" w:right="902"/>
        <w:jc w:val="both"/>
        <w:rPr>
          <w:rFonts w:ascii="Palatino Linotype" w:eastAsia="Palatino Linotype" w:hAnsi="Palatino Linotype" w:cs="Palatino Linotype"/>
          <w:i/>
          <w:sz w:val="22"/>
          <w:szCs w:val="22"/>
        </w:rPr>
      </w:pPr>
      <w:bookmarkStart w:id="0" w:name="_heading=h.gjdgxs" w:colFirst="0" w:colLast="0"/>
      <w:bookmarkEnd w:id="0"/>
      <w:r w:rsidRPr="00E074A6">
        <w:rPr>
          <w:rFonts w:ascii="Palatino Linotype" w:eastAsia="Palatino Linotype" w:hAnsi="Palatino Linotype" w:cs="Palatino Linotype"/>
          <w:i/>
          <w:sz w:val="22"/>
          <w:szCs w:val="22"/>
        </w:rPr>
        <w:t xml:space="preserve">“de la </w:t>
      </w:r>
      <w:proofErr w:type="spellStart"/>
      <w:r w:rsidRPr="00E074A6">
        <w:rPr>
          <w:rFonts w:ascii="Palatino Linotype" w:eastAsia="Palatino Linotype" w:hAnsi="Palatino Linotype" w:cs="Palatino Linotype"/>
          <w:i/>
          <w:sz w:val="22"/>
          <w:szCs w:val="22"/>
        </w:rPr>
        <w:t>direccion</w:t>
      </w:r>
      <w:proofErr w:type="spellEnd"/>
      <w:r w:rsidRPr="00E074A6">
        <w:rPr>
          <w:rFonts w:ascii="Palatino Linotype" w:eastAsia="Palatino Linotype" w:hAnsi="Palatino Linotype" w:cs="Palatino Linotype"/>
          <w:i/>
          <w:sz w:val="22"/>
          <w:szCs w:val="22"/>
        </w:rPr>
        <w:t xml:space="preserve"> de </w:t>
      </w:r>
      <w:proofErr w:type="spellStart"/>
      <w:r w:rsidRPr="00E074A6">
        <w:rPr>
          <w:rFonts w:ascii="Palatino Linotype" w:eastAsia="Palatino Linotype" w:hAnsi="Palatino Linotype" w:cs="Palatino Linotype"/>
          <w:i/>
          <w:sz w:val="22"/>
          <w:szCs w:val="22"/>
        </w:rPr>
        <w:t>administracion</w:t>
      </w:r>
      <w:proofErr w:type="spellEnd"/>
      <w:r w:rsidRPr="00E074A6">
        <w:rPr>
          <w:rFonts w:ascii="Palatino Linotype" w:eastAsia="Palatino Linotype" w:hAnsi="Palatino Linotype" w:cs="Palatino Linotype"/>
          <w:i/>
          <w:sz w:val="22"/>
          <w:szCs w:val="22"/>
        </w:rPr>
        <w:t xml:space="preserve"> y finanzas. </w:t>
      </w:r>
      <w:proofErr w:type="spellStart"/>
      <w:r w:rsidRPr="00E074A6">
        <w:rPr>
          <w:rFonts w:ascii="Palatino Linotype" w:eastAsia="Palatino Linotype" w:hAnsi="Palatino Linotype" w:cs="Palatino Linotype"/>
          <w:i/>
          <w:sz w:val="22"/>
          <w:szCs w:val="22"/>
        </w:rPr>
        <w:t>conprobante</w:t>
      </w:r>
      <w:proofErr w:type="spellEnd"/>
      <w:r w:rsidRPr="00E074A6">
        <w:rPr>
          <w:rFonts w:ascii="Palatino Linotype" w:eastAsia="Palatino Linotype" w:hAnsi="Palatino Linotype" w:cs="Palatino Linotype"/>
          <w:i/>
          <w:sz w:val="22"/>
          <w:szCs w:val="22"/>
        </w:rPr>
        <w:t xml:space="preserve"> de cada compra realizada para el funcionamiento del ayuntamiento de villa de allende desde 2019-2021. </w:t>
      </w:r>
      <w:proofErr w:type="spellStart"/>
      <w:r w:rsidRPr="00E074A6">
        <w:rPr>
          <w:rFonts w:ascii="Palatino Linotype" w:eastAsia="Palatino Linotype" w:hAnsi="Palatino Linotype" w:cs="Palatino Linotype"/>
          <w:i/>
          <w:sz w:val="22"/>
          <w:szCs w:val="22"/>
        </w:rPr>
        <w:t>certificadcion</w:t>
      </w:r>
      <w:proofErr w:type="spellEnd"/>
      <w:r w:rsidRPr="00E074A6">
        <w:rPr>
          <w:rFonts w:ascii="Palatino Linotype" w:eastAsia="Palatino Linotype" w:hAnsi="Palatino Linotype" w:cs="Palatino Linotype"/>
          <w:i/>
          <w:sz w:val="22"/>
          <w:szCs w:val="22"/>
        </w:rPr>
        <w:t xml:space="preserve">, </w:t>
      </w:r>
      <w:proofErr w:type="spellStart"/>
      <w:r w:rsidRPr="00E074A6">
        <w:rPr>
          <w:rFonts w:ascii="Palatino Linotype" w:eastAsia="Palatino Linotype" w:hAnsi="Palatino Linotype" w:cs="Palatino Linotype"/>
          <w:i/>
          <w:sz w:val="22"/>
          <w:szCs w:val="22"/>
        </w:rPr>
        <w:t>coipia</w:t>
      </w:r>
      <w:proofErr w:type="spellEnd"/>
      <w:r w:rsidRPr="00E074A6">
        <w:rPr>
          <w:rFonts w:ascii="Palatino Linotype" w:eastAsia="Palatino Linotype" w:hAnsi="Palatino Linotype" w:cs="Palatino Linotype"/>
          <w:i/>
          <w:sz w:val="22"/>
          <w:szCs w:val="22"/>
        </w:rPr>
        <w:t xml:space="preserve"> de los contratos firmados con terceros para el desarrollo de los eventos y copia de los pagos que se les han realizado. copia de los diferentes </w:t>
      </w:r>
      <w:proofErr w:type="spellStart"/>
      <w:r w:rsidRPr="00E074A6">
        <w:rPr>
          <w:rFonts w:ascii="Palatino Linotype" w:eastAsia="Palatino Linotype" w:hAnsi="Palatino Linotype" w:cs="Palatino Linotype"/>
          <w:i/>
          <w:sz w:val="22"/>
          <w:szCs w:val="22"/>
        </w:rPr>
        <w:t>servicipos</w:t>
      </w:r>
      <w:proofErr w:type="spellEnd"/>
      <w:r w:rsidRPr="00E074A6">
        <w:rPr>
          <w:rFonts w:ascii="Palatino Linotype" w:eastAsia="Palatino Linotype" w:hAnsi="Palatino Linotype" w:cs="Palatino Linotype"/>
          <w:i/>
          <w:sz w:val="22"/>
          <w:szCs w:val="22"/>
        </w:rPr>
        <w:t xml:space="preserve"> </w:t>
      </w:r>
      <w:proofErr w:type="spellStart"/>
      <w:r w:rsidRPr="00E074A6">
        <w:rPr>
          <w:rFonts w:ascii="Palatino Linotype" w:eastAsia="Palatino Linotype" w:hAnsi="Palatino Linotype" w:cs="Palatino Linotype"/>
          <w:i/>
          <w:sz w:val="22"/>
          <w:szCs w:val="22"/>
        </w:rPr>
        <w:t>qeu</w:t>
      </w:r>
      <w:proofErr w:type="spellEnd"/>
      <w:r w:rsidRPr="00E074A6">
        <w:rPr>
          <w:rFonts w:ascii="Palatino Linotype" w:eastAsia="Palatino Linotype" w:hAnsi="Palatino Linotype" w:cs="Palatino Linotype"/>
          <w:i/>
          <w:sz w:val="22"/>
          <w:szCs w:val="22"/>
        </w:rPr>
        <w:t xml:space="preserve"> le realizan a cada uno de los </w:t>
      </w:r>
      <w:proofErr w:type="spellStart"/>
      <w:r w:rsidRPr="00E074A6">
        <w:rPr>
          <w:rFonts w:ascii="Palatino Linotype" w:eastAsia="Palatino Linotype" w:hAnsi="Palatino Linotype" w:cs="Palatino Linotype"/>
          <w:i/>
          <w:sz w:val="22"/>
          <w:szCs w:val="22"/>
        </w:rPr>
        <w:t>vehiculos</w:t>
      </w:r>
      <w:proofErr w:type="spellEnd"/>
      <w:r w:rsidRPr="00E074A6">
        <w:rPr>
          <w:rFonts w:ascii="Palatino Linotype" w:eastAsia="Palatino Linotype" w:hAnsi="Palatino Linotype" w:cs="Palatino Linotype"/>
          <w:i/>
          <w:sz w:val="22"/>
          <w:szCs w:val="22"/>
        </w:rPr>
        <w:t xml:space="preserve"> </w:t>
      </w:r>
      <w:proofErr w:type="spellStart"/>
      <w:r w:rsidRPr="00E074A6">
        <w:rPr>
          <w:rFonts w:ascii="Palatino Linotype" w:eastAsia="Palatino Linotype" w:hAnsi="Palatino Linotype" w:cs="Palatino Linotype"/>
          <w:i/>
          <w:sz w:val="22"/>
          <w:szCs w:val="22"/>
        </w:rPr>
        <w:t>deñl</w:t>
      </w:r>
      <w:proofErr w:type="spellEnd"/>
      <w:r w:rsidRPr="00E074A6">
        <w:rPr>
          <w:rFonts w:ascii="Palatino Linotype" w:eastAsia="Palatino Linotype" w:hAnsi="Palatino Linotype" w:cs="Palatino Linotype"/>
          <w:i/>
          <w:sz w:val="22"/>
          <w:szCs w:val="22"/>
        </w:rPr>
        <w:t xml:space="preserve"> ayuntamiento, </w:t>
      </w:r>
      <w:proofErr w:type="spellStart"/>
      <w:r w:rsidRPr="00E074A6">
        <w:rPr>
          <w:rFonts w:ascii="Palatino Linotype" w:eastAsia="Palatino Linotype" w:hAnsi="Palatino Linotype" w:cs="Palatino Linotype"/>
          <w:i/>
          <w:sz w:val="22"/>
          <w:szCs w:val="22"/>
        </w:rPr>
        <w:t>asi</w:t>
      </w:r>
      <w:proofErr w:type="spellEnd"/>
      <w:r w:rsidRPr="00E074A6">
        <w:rPr>
          <w:rFonts w:ascii="Palatino Linotype" w:eastAsia="Palatino Linotype" w:hAnsi="Palatino Linotype" w:cs="Palatino Linotype"/>
          <w:i/>
          <w:sz w:val="22"/>
          <w:szCs w:val="22"/>
        </w:rPr>
        <w:t xml:space="preserve"> como el </w:t>
      </w:r>
      <w:proofErr w:type="spellStart"/>
      <w:r w:rsidRPr="00E074A6">
        <w:rPr>
          <w:rFonts w:ascii="Palatino Linotype" w:eastAsia="Palatino Linotype" w:hAnsi="Palatino Linotype" w:cs="Palatino Linotype"/>
          <w:i/>
          <w:sz w:val="22"/>
          <w:szCs w:val="22"/>
        </w:rPr>
        <w:t>peridodo</w:t>
      </w:r>
      <w:proofErr w:type="spellEnd"/>
      <w:r w:rsidRPr="00E074A6">
        <w:rPr>
          <w:rFonts w:ascii="Palatino Linotype" w:eastAsia="Palatino Linotype" w:hAnsi="Palatino Linotype" w:cs="Palatino Linotype"/>
          <w:i/>
          <w:sz w:val="22"/>
          <w:szCs w:val="22"/>
        </w:rPr>
        <w:t xml:space="preserve"> en que se realizan, copia de los </w:t>
      </w:r>
      <w:proofErr w:type="spellStart"/>
      <w:r w:rsidRPr="00E074A6">
        <w:rPr>
          <w:rFonts w:ascii="Palatino Linotype" w:eastAsia="Palatino Linotype" w:hAnsi="Palatino Linotype" w:cs="Palatino Linotype"/>
          <w:i/>
          <w:sz w:val="22"/>
          <w:szCs w:val="22"/>
        </w:rPr>
        <w:t>diagnosticos</w:t>
      </w:r>
      <w:proofErr w:type="spellEnd"/>
      <w:r w:rsidRPr="00E074A6">
        <w:rPr>
          <w:rFonts w:ascii="Palatino Linotype" w:eastAsia="Palatino Linotype" w:hAnsi="Palatino Linotype" w:cs="Palatino Linotype"/>
          <w:i/>
          <w:sz w:val="22"/>
          <w:szCs w:val="22"/>
        </w:rPr>
        <w:t xml:space="preserve"> y notas que se han entregado, que deben incluir el nombre del taller </w:t>
      </w:r>
      <w:proofErr w:type="spellStart"/>
      <w:r w:rsidRPr="00E074A6">
        <w:rPr>
          <w:rFonts w:ascii="Palatino Linotype" w:eastAsia="Palatino Linotype" w:hAnsi="Palatino Linotype" w:cs="Palatino Linotype"/>
          <w:i/>
          <w:sz w:val="22"/>
          <w:szCs w:val="22"/>
        </w:rPr>
        <w:t>mecanico</w:t>
      </w:r>
      <w:proofErr w:type="spellEnd"/>
      <w:r w:rsidRPr="00E074A6">
        <w:rPr>
          <w:rFonts w:ascii="Palatino Linotype" w:eastAsia="Palatino Linotype" w:hAnsi="Palatino Linotype" w:cs="Palatino Linotype"/>
          <w:i/>
          <w:sz w:val="22"/>
          <w:szCs w:val="22"/>
        </w:rPr>
        <w:t>. copia de los contratos por comidas, todo desde el 2019-2024.” (Sic)</w:t>
      </w:r>
    </w:p>
    <w:p w14:paraId="54FE781C" w14:textId="77777777" w:rsidR="0003348D" w:rsidRPr="00E074A6" w:rsidRDefault="0003348D">
      <w:pPr>
        <w:ind w:left="851" w:right="902"/>
        <w:jc w:val="both"/>
        <w:rPr>
          <w:rFonts w:ascii="Palatino Linotype" w:eastAsia="Palatino Linotype" w:hAnsi="Palatino Linotype" w:cs="Palatino Linotype"/>
          <w:i/>
          <w:sz w:val="22"/>
          <w:szCs w:val="22"/>
        </w:rPr>
      </w:pPr>
    </w:p>
    <w:p w14:paraId="4152BE3C"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Modalidad de Entrega:</w:t>
      </w:r>
      <w:r w:rsidRPr="00E074A6">
        <w:rPr>
          <w:rFonts w:ascii="Palatino Linotype" w:eastAsia="Palatino Linotype" w:hAnsi="Palatino Linotype" w:cs="Palatino Linotype"/>
          <w:sz w:val="22"/>
          <w:szCs w:val="22"/>
        </w:rPr>
        <w:t xml:space="preserve"> A través de SAIMEX.</w:t>
      </w:r>
    </w:p>
    <w:p w14:paraId="1E58EB80"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544F4FF6" w14:textId="77777777" w:rsidR="0003348D" w:rsidRPr="00E074A6" w:rsidRDefault="00A70830">
      <w:pPr>
        <w:spacing w:after="240"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lastRenderedPageBreak/>
        <w:t xml:space="preserve">2. Respuesta. </w:t>
      </w:r>
      <w:r w:rsidRPr="00E074A6">
        <w:rPr>
          <w:rFonts w:ascii="Palatino Linotype" w:eastAsia="Palatino Linotype" w:hAnsi="Palatino Linotype" w:cs="Palatino Linotype"/>
          <w:sz w:val="22"/>
          <w:szCs w:val="22"/>
        </w:rPr>
        <w:t xml:space="preserve">Con fecha </w:t>
      </w:r>
      <w:r w:rsidRPr="00E074A6">
        <w:rPr>
          <w:rFonts w:ascii="Palatino Linotype" w:eastAsia="Palatino Linotype" w:hAnsi="Palatino Linotype" w:cs="Palatino Linotype"/>
          <w:b/>
          <w:sz w:val="22"/>
          <w:szCs w:val="22"/>
        </w:rPr>
        <w:t>catorce de noviembre de dos mil veinticuatro</w:t>
      </w:r>
      <w:r w:rsidRPr="00E074A6">
        <w:rPr>
          <w:rFonts w:ascii="Palatino Linotype" w:eastAsia="Palatino Linotype" w:hAnsi="Palatino Linotype" w:cs="Palatino Linotype"/>
          <w:sz w:val="22"/>
          <w:szCs w:val="22"/>
        </w:rPr>
        <w:t xml:space="preserve">, el </w:t>
      </w:r>
      <w:r w:rsidRPr="00E074A6">
        <w:rPr>
          <w:rFonts w:ascii="Palatino Linotype" w:eastAsia="Palatino Linotype" w:hAnsi="Palatino Linotype" w:cs="Palatino Linotype"/>
          <w:b/>
          <w:sz w:val="22"/>
          <w:szCs w:val="22"/>
        </w:rPr>
        <w:t xml:space="preserve">SUJETO OBLIGADO </w:t>
      </w:r>
      <w:r w:rsidRPr="00E074A6">
        <w:rPr>
          <w:rFonts w:ascii="Palatino Linotype" w:eastAsia="Palatino Linotype" w:hAnsi="Palatino Linotype" w:cs="Palatino Linotype"/>
          <w:sz w:val="22"/>
          <w:szCs w:val="22"/>
        </w:rPr>
        <w:t xml:space="preserve">envió su respuesta a la solicitud de acceso a la información a través de SAIMEX, sustancialmente en los términos siguientes:   </w:t>
      </w:r>
    </w:p>
    <w:p w14:paraId="01BB6EA2" w14:textId="77777777" w:rsidR="0003348D" w:rsidRPr="00E074A6" w:rsidRDefault="00A70830">
      <w:pPr>
        <w:spacing w:before="240" w:after="240"/>
        <w:ind w:left="851" w:right="90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“…SE ANEXA RESPUESTA</w:t>
      </w:r>
    </w:p>
    <w:p w14:paraId="0E8FDD4D" w14:textId="77777777" w:rsidR="0003348D" w:rsidRPr="00E074A6" w:rsidRDefault="00A70830">
      <w:pPr>
        <w:spacing w:before="240" w:after="240"/>
        <w:ind w:left="851" w:right="90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ATENTAMENTE</w:t>
      </w:r>
    </w:p>
    <w:p w14:paraId="4029790A" w14:textId="77777777" w:rsidR="0003348D" w:rsidRPr="00E074A6" w:rsidRDefault="00A70830">
      <w:pPr>
        <w:spacing w:before="240" w:after="240"/>
        <w:ind w:left="851" w:right="90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Lic. en D. Norma Judith Garduño </w:t>
      </w:r>
      <w:proofErr w:type="spellStart"/>
      <w:r w:rsidRPr="00E074A6">
        <w:rPr>
          <w:rFonts w:ascii="Palatino Linotype" w:eastAsia="Palatino Linotype" w:hAnsi="Palatino Linotype" w:cs="Palatino Linotype"/>
          <w:i/>
          <w:sz w:val="22"/>
          <w:szCs w:val="22"/>
        </w:rPr>
        <w:t>Gonzàlez</w:t>
      </w:r>
      <w:proofErr w:type="spellEnd"/>
      <w:r w:rsidRPr="00E074A6">
        <w:rPr>
          <w:rFonts w:ascii="Palatino Linotype" w:eastAsia="Palatino Linotype" w:hAnsi="Palatino Linotype" w:cs="Palatino Linotype"/>
          <w:i/>
          <w:sz w:val="22"/>
          <w:szCs w:val="22"/>
        </w:rPr>
        <w:t>” (Sic)</w:t>
      </w:r>
    </w:p>
    <w:p w14:paraId="1215499B" w14:textId="77777777" w:rsidR="0003348D" w:rsidRPr="00E074A6" w:rsidRDefault="00A70830">
      <w:pPr>
        <w:spacing w:before="240"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adjuntó el siguiente archivo electrónico:</w:t>
      </w:r>
    </w:p>
    <w:p w14:paraId="55B57209" w14:textId="77777777" w:rsidR="0003348D" w:rsidRPr="00E074A6" w:rsidRDefault="00A70830">
      <w:pPr>
        <w:numPr>
          <w:ilvl w:val="0"/>
          <w:numId w:val="4"/>
        </w:numPr>
        <w:pBdr>
          <w:top w:val="nil"/>
          <w:left w:val="nil"/>
          <w:bottom w:val="nil"/>
          <w:right w:val="nil"/>
          <w:between w:val="nil"/>
        </w:pBdr>
        <w:spacing w:before="240"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“OF TRANSPARENCIA.pdf” Oficio MVA/358/XI/2024 suscrito por el Director de Administración mediante el cual refiere que la información de los años 2019-2023 se encuentra en una dirección electrónica, mientras que del año 2024 señaló una dirección electrónica diversa.</w:t>
      </w:r>
    </w:p>
    <w:p w14:paraId="2CE49BFC" w14:textId="77777777" w:rsidR="0003348D" w:rsidRPr="00E074A6" w:rsidRDefault="00A70830">
      <w:pPr>
        <w:spacing w:before="240"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 xml:space="preserve">3. Interposición del recurso de revisión. </w:t>
      </w:r>
      <w:r w:rsidRPr="00E074A6">
        <w:rPr>
          <w:rFonts w:ascii="Palatino Linotype" w:eastAsia="Palatino Linotype" w:hAnsi="Palatino Linotype" w:cs="Palatino Linotype"/>
          <w:sz w:val="22"/>
          <w:szCs w:val="22"/>
        </w:rPr>
        <w:t xml:space="preserve">Inconforme con los términos de la respuesta emitida por parte del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el </w:t>
      </w:r>
      <w:r w:rsidRPr="00E074A6">
        <w:rPr>
          <w:rFonts w:ascii="Palatino Linotype" w:eastAsia="Palatino Linotype" w:hAnsi="Palatino Linotype" w:cs="Palatino Linotype"/>
          <w:b/>
          <w:sz w:val="22"/>
          <w:szCs w:val="22"/>
        </w:rPr>
        <w:t>seis de diciembre del año dos mil veinticuatro,</w:t>
      </w:r>
      <w:r w:rsidRPr="00E074A6">
        <w:rPr>
          <w:rFonts w:ascii="Palatino Linotype" w:eastAsia="Palatino Linotype" w:hAnsi="Palatino Linotype" w:cs="Palatino Linotype"/>
          <w:sz w:val="22"/>
          <w:szCs w:val="22"/>
        </w:rPr>
        <w:t xml:space="preserve">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interpuso el recurso de revisión a través de </w:t>
      </w:r>
      <w:r w:rsidRPr="00E074A6">
        <w:rPr>
          <w:rFonts w:ascii="Palatino Linotype" w:eastAsia="Palatino Linotype" w:hAnsi="Palatino Linotype" w:cs="Palatino Linotype"/>
          <w:b/>
          <w:sz w:val="22"/>
          <w:szCs w:val="22"/>
        </w:rPr>
        <w:t xml:space="preserve">SAIMEX, </w:t>
      </w:r>
      <w:r w:rsidRPr="00E074A6">
        <w:rPr>
          <w:rFonts w:ascii="Palatino Linotype" w:eastAsia="Palatino Linotype" w:hAnsi="Palatino Linotype" w:cs="Palatino Linotype"/>
          <w:sz w:val="22"/>
          <w:szCs w:val="22"/>
        </w:rPr>
        <w:t>en donde se manifestó de la siguiente manera:</w:t>
      </w:r>
    </w:p>
    <w:p w14:paraId="5940EEC8" w14:textId="77777777" w:rsidR="0003348D" w:rsidRPr="00E074A6" w:rsidRDefault="00A70830">
      <w:pPr>
        <w:numPr>
          <w:ilvl w:val="0"/>
          <w:numId w:val="4"/>
        </w:numPr>
        <w:pBdr>
          <w:top w:val="nil"/>
          <w:left w:val="nil"/>
          <w:bottom w:val="nil"/>
          <w:right w:val="nil"/>
          <w:between w:val="nil"/>
        </w:pBdr>
        <w:tabs>
          <w:tab w:val="left" w:pos="2745"/>
        </w:tabs>
        <w:spacing w:before="240"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 xml:space="preserve">Acto impugnado: </w:t>
      </w:r>
      <w:r w:rsidRPr="00E074A6">
        <w:rPr>
          <w:rFonts w:ascii="Palatino Linotype" w:eastAsia="Palatino Linotype" w:hAnsi="Palatino Linotype" w:cs="Palatino Linotype"/>
          <w:b/>
          <w:sz w:val="22"/>
          <w:szCs w:val="22"/>
        </w:rPr>
        <w:tab/>
      </w:r>
    </w:p>
    <w:p w14:paraId="2B155F80" w14:textId="77777777" w:rsidR="0003348D" w:rsidRPr="00E074A6" w:rsidRDefault="00A70830">
      <w:pPr>
        <w:pBdr>
          <w:top w:val="nil"/>
          <w:left w:val="nil"/>
          <w:bottom w:val="nil"/>
          <w:right w:val="nil"/>
          <w:between w:val="nil"/>
        </w:pBdr>
        <w:ind w:left="720" w:right="90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“no entregaron lo solicitado” (Sic)</w:t>
      </w:r>
    </w:p>
    <w:p w14:paraId="6DFD7A1A" w14:textId="77777777" w:rsidR="0003348D" w:rsidRPr="00E074A6" w:rsidRDefault="0003348D">
      <w:pPr>
        <w:ind w:left="851" w:right="902"/>
        <w:jc w:val="both"/>
        <w:rPr>
          <w:rFonts w:ascii="Palatino Linotype" w:eastAsia="Palatino Linotype" w:hAnsi="Palatino Linotype" w:cs="Palatino Linotype"/>
          <w:i/>
          <w:sz w:val="22"/>
          <w:szCs w:val="22"/>
        </w:rPr>
      </w:pPr>
    </w:p>
    <w:p w14:paraId="30423806" w14:textId="77777777" w:rsidR="0003348D" w:rsidRPr="00E074A6" w:rsidRDefault="00A70830">
      <w:pPr>
        <w:numPr>
          <w:ilvl w:val="0"/>
          <w:numId w:val="4"/>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Y Razones o motivos de inconformidad</w:t>
      </w:r>
      <w:r w:rsidRPr="00E074A6">
        <w:rPr>
          <w:rFonts w:ascii="Palatino Linotype" w:eastAsia="Palatino Linotype" w:hAnsi="Palatino Linotype" w:cs="Palatino Linotype"/>
          <w:sz w:val="22"/>
          <w:szCs w:val="22"/>
        </w:rPr>
        <w:t>:</w:t>
      </w:r>
    </w:p>
    <w:p w14:paraId="776C0C54" w14:textId="77777777" w:rsidR="0003348D" w:rsidRPr="00E074A6" w:rsidRDefault="00A70830">
      <w:pPr>
        <w:pBdr>
          <w:top w:val="nil"/>
          <w:left w:val="nil"/>
          <w:bottom w:val="nil"/>
          <w:right w:val="nil"/>
          <w:between w:val="nil"/>
        </w:pBdr>
        <w:ind w:left="720" w:right="902"/>
        <w:jc w:val="both"/>
        <w:rPr>
          <w:rFonts w:ascii="Palatino Linotype" w:eastAsia="Palatino Linotype" w:hAnsi="Palatino Linotype" w:cs="Palatino Linotype"/>
          <w:i/>
          <w:sz w:val="22"/>
          <w:szCs w:val="22"/>
        </w:rPr>
      </w:pPr>
      <w:bookmarkStart w:id="1" w:name="_heading=h.30j0zll" w:colFirst="0" w:colLast="0"/>
      <w:bookmarkEnd w:id="1"/>
      <w:r w:rsidRPr="00E074A6">
        <w:rPr>
          <w:rFonts w:ascii="Palatino Linotype" w:eastAsia="Palatino Linotype" w:hAnsi="Palatino Linotype" w:cs="Palatino Linotype"/>
          <w:i/>
          <w:sz w:val="22"/>
          <w:szCs w:val="22"/>
        </w:rPr>
        <w:t>“no entregaron lo solicitado” (Sic)</w:t>
      </w:r>
    </w:p>
    <w:p w14:paraId="0721DDAB" w14:textId="77777777" w:rsidR="0003348D" w:rsidRPr="00E074A6" w:rsidRDefault="0003348D">
      <w:pPr>
        <w:spacing w:before="240" w:line="360" w:lineRule="auto"/>
        <w:ind w:right="51"/>
        <w:jc w:val="both"/>
        <w:rPr>
          <w:rFonts w:ascii="Palatino Linotype" w:eastAsia="Palatino Linotype" w:hAnsi="Palatino Linotype" w:cs="Palatino Linotype"/>
          <w:b/>
          <w:sz w:val="22"/>
          <w:szCs w:val="22"/>
        </w:rPr>
      </w:pPr>
    </w:p>
    <w:p w14:paraId="39419302" w14:textId="77777777" w:rsidR="0003348D" w:rsidRPr="00E074A6" w:rsidRDefault="00A70830">
      <w:pP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 xml:space="preserve">4. Turno. </w:t>
      </w:r>
      <w:r w:rsidRPr="00E074A6">
        <w:rPr>
          <w:rFonts w:ascii="Palatino Linotype" w:eastAsia="Palatino Linotype" w:hAnsi="Palatino Linotype" w:cs="Palatino Linotype"/>
          <w:sz w:val="22"/>
          <w:szCs w:val="22"/>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w:t>
      </w:r>
      <w:r w:rsidRPr="00E074A6">
        <w:rPr>
          <w:rFonts w:ascii="Palatino Linotype" w:eastAsia="Palatino Linotype" w:hAnsi="Palatino Linotype" w:cs="Palatino Linotype"/>
          <w:sz w:val="22"/>
          <w:szCs w:val="22"/>
        </w:rPr>
        <w:lastRenderedPageBreak/>
        <w:t xml:space="preserve">Información Pública y Protección de Datos Personales del Estado de México y Municipios, a la Comisionada </w:t>
      </w:r>
      <w:r w:rsidRPr="00E074A6">
        <w:rPr>
          <w:rFonts w:ascii="Palatino Linotype" w:eastAsia="Palatino Linotype" w:hAnsi="Palatino Linotype" w:cs="Palatino Linotype"/>
          <w:b/>
          <w:sz w:val="22"/>
          <w:szCs w:val="22"/>
        </w:rPr>
        <w:t xml:space="preserve">Guadalupe Ramírez Peña, </w:t>
      </w:r>
      <w:r w:rsidRPr="00E074A6">
        <w:rPr>
          <w:rFonts w:ascii="Palatino Linotype" w:eastAsia="Palatino Linotype" w:hAnsi="Palatino Linotype" w:cs="Palatino Linotype"/>
          <w:sz w:val="22"/>
          <w:szCs w:val="22"/>
        </w:rPr>
        <w:t>a efecto de que analizara sobre su admisión o su desechamiento.</w:t>
      </w:r>
    </w:p>
    <w:p w14:paraId="23B17BCF" w14:textId="77777777" w:rsidR="0003348D" w:rsidRPr="00E074A6" w:rsidRDefault="0003348D">
      <w:pPr>
        <w:spacing w:line="360" w:lineRule="auto"/>
        <w:ind w:right="51"/>
        <w:jc w:val="both"/>
        <w:rPr>
          <w:rFonts w:ascii="Palatino Linotype" w:eastAsia="Palatino Linotype" w:hAnsi="Palatino Linotype" w:cs="Palatino Linotype"/>
          <w:sz w:val="22"/>
          <w:szCs w:val="22"/>
        </w:rPr>
      </w:pPr>
    </w:p>
    <w:p w14:paraId="6AE783FF" w14:textId="77777777" w:rsidR="0003348D" w:rsidRPr="00E074A6" w:rsidRDefault="00A70830">
      <w:pPr>
        <w:spacing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5. Admisión del Recurso de revisión.</w:t>
      </w:r>
      <w:r w:rsidRPr="00E074A6">
        <w:rPr>
          <w:rFonts w:ascii="Palatino Linotype" w:eastAsia="Palatino Linotype" w:hAnsi="Palatino Linotype" w:cs="Palatino Linotype"/>
          <w:sz w:val="22"/>
          <w:szCs w:val="22"/>
        </w:rPr>
        <w:t xml:space="preserve"> Con fecha</w:t>
      </w:r>
      <w:r w:rsidRPr="00E074A6">
        <w:rPr>
          <w:rFonts w:ascii="Palatino Linotype" w:eastAsia="Palatino Linotype" w:hAnsi="Palatino Linotype" w:cs="Palatino Linotype"/>
          <w:b/>
          <w:sz w:val="22"/>
          <w:szCs w:val="22"/>
        </w:rPr>
        <w:t xml:space="preserve"> once de diciembre de dos mil veinticuatro, </w:t>
      </w:r>
      <w:r w:rsidRPr="00E074A6">
        <w:rPr>
          <w:rFonts w:ascii="Palatino Linotype" w:eastAsia="Palatino Linotype" w:hAnsi="Palatino Linotype" w:cs="Palatino Linotype"/>
          <w:sz w:val="22"/>
          <w:szCs w:val="22"/>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 </w:t>
      </w:r>
      <w:r w:rsidRPr="00E074A6">
        <w:rPr>
          <w:rFonts w:ascii="Palatino Linotype" w:eastAsia="Palatino Linotype" w:hAnsi="Palatino Linotype" w:cs="Palatino Linotype"/>
          <w:b/>
          <w:sz w:val="22"/>
          <w:szCs w:val="22"/>
        </w:rPr>
        <w:t xml:space="preserve">SUJETO OBLIGADO </w:t>
      </w:r>
      <w:r w:rsidRPr="00E074A6">
        <w:rPr>
          <w:rFonts w:ascii="Palatino Linotype" w:eastAsia="Palatino Linotype" w:hAnsi="Palatino Linotype" w:cs="Palatino Linotype"/>
          <w:sz w:val="22"/>
          <w:szCs w:val="22"/>
        </w:rPr>
        <w:t>presentara su informe justificado.</w:t>
      </w:r>
    </w:p>
    <w:p w14:paraId="4EBFB8A2" w14:textId="77777777" w:rsidR="0003348D" w:rsidRPr="00E074A6" w:rsidRDefault="00A70830">
      <w:pPr>
        <w:widowControl w:val="0"/>
        <w:pBdr>
          <w:top w:val="nil"/>
          <w:left w:val="nil"/>
          <w:bottom w:val="nil"/>
          <w:right w:val="nil"/>
          <w:between w:val="nil"/>
        </w:pBdr>
        <w:tabs>
          <w:tab w:val="left" w:pos="709"/>
        </w:tabs>
        <w:spacing w:before="120" w:after="240" w:line="360" w:lineRule="auto"/>
        <w:jc w:val="both"/>
        <w:rPr>
          <w:rFonts w:ascii="Palatino Linotype" w:eastAsia="Palatino Linotype" w:hAnsi="Palatino Linotype" w:cs="Palatino Linotype"/>
          <w:sz w:val="22"/>
          <w:szCs w:val="22"/>
        </w:rPr>
      </w:pPr>
      <w:bookmarkStart w:id="2" w:name="_heading=h.2s8eyo1" w:colFirst="0" w:colLast="0"/>
      <w:bookmarkEnd w:id="2"/>
      <w:r w:rsidRPr="00E074A6">
        <w:rPr>
          <w:rFonts w:ascii="Palatino Linotype" w:eastAsia="Palatino Linotype" w:hAnsi="Palatino Linotype" w:cs="Palatino Linotype"/>
          <w:b/>
          <w:sz w:val="22"/>
          <w:szCs w:val="22"/>
        </w:rPr>
        <w:t>6. Manifestaciones</w:t>
      </w:r>
      <w:r w:rsidRPr="00E074A6">
        <w:rPr>
          <w:rFonts w:ascii="Palatino Linotype" w:eastAsia="Palatino Linotype" w:hAnsi="Palatino Linotype" w:cs="Palatino Linotype"/>
          <w:sz w:val="22"/>
          <w:szCs w:val="22"/>
        </w:rPr>
        <w:t xml:space="preserve">. De las constancias que integran el expediente en que se actúa se advierte que en fecha </w:t>
      </w:r>
      <w:r w:rsidRPr="00E074A6">
        <w:rPr>
          <w:rFonts w:ascii="Palatino Linotype" w:eastAsia="Palatino Linotype" w:hAnsi="Palatino Linotype" w:cs="Palatino Linotype"/>
          <w:b/>
          <w:sz w:val="22"/>
          <w:szCs w:val="22"/>
        </w:rPr>
        <w:t xml:space="preserve">diecinueve de diciembre de dos mil veinticuatro, </w:t>
      </w:r>
      <w:r w:rsidRPr="00E074A6">
        <w:rPr>
          <w:rFonts w:ascii="Palatino Linotype" w:eastAsia="Palatino Linotype" w:hAnsi="Palatino Linotype" w:cs="Palatino Linotype"/>
          <w:sz w:val="22"/>
          <w:szCs w:val="22"/>
        </w:rPr>
        <w:t xml:space="preserve">el </w:t>
      </w:r>
      <w:r w:rsidRPr="00E074A6">
        <w:rPr>
          <w:rFonts w:ascii="Palatino Linotype" w:eastAsia="Palatino Linotype" w:hAnsi="Palatino Linotype" w:cs="Palatino Linotype"/>
          <w:b/>
          <w:sz w:val="22"/>
          <w:szCs w:val="22"/>
        </w:rPr>
        <w:t xml:space="preserve">SUJETO OBLIGADO </w:t>
      </w:r>
      <w:r w:rsidRPr="00E074A6">
        <w:rPr>
          <w:rFonts w:ascii="Palatino Linotype" w:eastAsia="Palatino Linotype" w:hAnsi="Palatino Linotype" w:cs="Palatino Linotype"/>
          <w:sz w:val="22"/>
          <w:szCs w:val="22"/>
        </w:rPr>
        <w:t>remitió, a través del SAIMEX, el documento electrónico OF TRANSPARENCIA.pdf cuyo contenido es el mismo al proporcionado en respuesta a la solicitud.</w:t>
      </w:r>
    </w:p>
    <w:p w14:paraId="2C1B0761" w14:textId="77777777" w:rsidR="0003348D" w:rsidRPr="00E074A6" w:rsidRDefault="00A70830">
      <w:pPr>
        <w:spacing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Documentos que, una vez analizado en fecha </w:t>
      </w:r>
      <w:r w:rsidRPr="00E074A6">
        <w:rPr>
          <w:rFonts w:ascii="Palatino Linotype" w:eastAsia="Palatino Linotype" w:hAnsi="Palatino Linotype" w:cs="Palatino Linotype"/>
          <w:b/>
          <w:sz w:val="22"/>
          <w:szCs w:val="22"/>
        </w:rPr>
        <w:t>quince de enero de dos mil veinticinco</w:t>
      </w:r>
      <w:r w:rsidRPr="00E074A6">
        <w:rPr>
          <w:rFonts w:ascii="Palatino Linotype" w:eastAsia="Palatino Linotype" w:hAnsi="Palatino Linotype" w:cs="Palatino Linotype"/>
          <w:sz w:val="22"/>
          <w:szCs w:val="22"/>
        </w:rPr>
        <w:t xml:space="preserve">, se hizo del conocimiento de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a efecto de que manifestara lo que a su derecho estimara conveniente, sin embargo, fue omisa en ejercer dicha prerrogativa en el plazo establecido para tal efecto.</w:t>
      </w:r>
    </w:p>
    <w:p w14:paraId="23F6D6A0"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 xml:space="preserve">7. Cierre de instrucción. </w:t>
      </w:r>
      <w:r w:rsidRPr="00E074A6">
        <w:rPr>
          <w:rFonts w:ascii="Palatino Linotype" w:eastAsia="Palatino Linotype" w:hAnsi="Palatino Linotype" w:cs="Palatino Linotype"/>
          <w:sz w:val="22"/>
          <w:szCs w:val="22"/>
        </w:rPr>
        <w:t xml:space="preserve">Una vez transcurrido el periodo otorgado a las partes para realizar sus manifestaciones y no habiendo documentos que integrar al expediente, con fecha </w:t>
      </w:r>
      <w:r w:rsidRPr="00E074A6">
        <w:rPr>
          <w:rFonts w:ascii="Palatino Linotype" w:eastAsia="Palatino Linotype" w:hAnsi="Palatino Linotype" w:cs="Palatino Linotype"/>
          <w:b/>
          <w:sz w:val="22"/>
          <w:szCs w:val="22"/>
        </w:rPr>
        <w:t xml:space="preserve">veintiuno de enero de dos mil veinticinco, </w:t>
      </w:r>
      <w:r w:rsidRPr="00E074A6">
        <w:rPr>
          <w:rFonts w:ascii="Palatino Linotype" w:eastAsia="Palatino Linotype" w:hAnsi="Palatino Linotype" w:cs="Palatino Linotype"/>
          <w:sz w:val="22"/>
          <w:szCs w:val="22"/>
        </w:rPr>
        <w:t>la Comisionada Ponente determinó el cierre de instrucción en términos de la fracción VI del artículo 185 de la Ley de Transparencia y Acceso a la Información Pública del Estado de México y Municipios.</w:t>
      </w:r>
    </w:p>
    <w:p w14:paraId="4F948F6A"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 xml:space="preserve">En razón de que fue debidamente sustanciado el expediente electrónico y no existe diligencia pendiente de desahogo, se emite la Resolución que conforme a Derecho proceda, de acuerdo con los siguientes: </w:t>
      </w:r>
    </w:p>
    <w:p w14:paraId="114EC6CD" w14:textId="77777777" w:rsidR="0003348D" w:rsidRPr="00E074A6" w:rsidRDefault="00A70830">
      <w:pPr>
        <w:widowControl w:val="0"/>
        <w:spacing w:line="360" w:lineRule="auto"/>
        <w:jc w:val="center"/>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II. C O N S I D E R A N D O S</w:t>
      </w:r>
    </w:p>
    <w:p w14:paraId="162D7287" w14:textId="77777777" w:rsidR="0003348D" w:rsidRPr="00E074A6" w:rsidRDefault="0003348D">
      <w:pPr>
        <w:widowControl w:val="0"/>
        <w:pBdr>
          <w:top w:val="nil"/>
          <w:left w:val="nil"/>
          <w:bottom w:val="nil"/>
          <w:right w:val="nil"/>
          <w:between w:val="nil"/>
        </w:pBdr>
        <w:spacing w:line="360" w:lineRule="auto"/>
        <w:ind w:left="1080"/>
        <w:rPr>
          <w:rFonts w:ascii="Palatino Linotype" w:eastAsia="Palatino Linotype" w:hAnsi="Palatino Linotype" w:cs="Palatino Linotype"/>
          <w:b/>
          <w:sz w:val="22"/>
          <w:szCs w:val="22"/>
        </w:rPr>
      </w:pPr>
    </w:p>
    <w:p w14:paraId="688F6687"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Primero. Competencia.</w:t>
      </w:r>
      <w:r w:rsidRPr="00E074A6">
        <w:rPr>
          <w:rFonts w:ascii="Palatino Linotype" w:eastAsia="Palatino Linotype" w:hAnsi="Palatino Linotype" w:cs="Palatino Linotype"/>
          <w:sz w:val="22"/>
          <w:szCs w:val="22"/>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605D3FCD"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bookmarkStart w:id="3" w:name="_heading=h.tyjcwt" w:colFirst="0" w:colLast="0"/>
      <w:bookmarkEnd w:id="3"/>
      <w:r w:rsidRPr="00E074A6">
        <w:rPr>
          <w:rFonts w:ascii="Palatino Linotype" w:eastAsia="Palatino Linotype" w:hAnsi="Palatino Linotype" w:cs="Palatino Linotype"/>
          <w:b/>
          <w:sz w:val="22"/>
          <w:szCs w:val="22"/>
        </w:rPr>
        <w:t xml:space="preserve">Segundo. Oportunidad y Procedibilidad del Recurso de Revisión. </w:t>
      </w:r>
      <w:r w:rsidRPr="00E074A6">
        <w:rPr>
          <w:rFonts w:ascii="Palatino Linotype" w:eastAsia="Palatino Linotype" w:hAnsi="Palatino Linotype" w:cs="Palatino Linotype"/>
          <w:sz w:val="22"/>
          <w:szCs w:val="22"/>
        </w:rPr>
        <w:t>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746597DA"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Al respecto la Ley de Transparencia y Acceso a la Información Pública del Estado de México y Municipios, establece lo siguiente:</w:t>
      </w:r>
    </w:p>
    <w:p w14:paraId="787F741D" w14:textId="77777777" w:rsidR="0003348D" w:rsidRPr="00E074A6" w:rsidRDefault="00A70830">
      <w:pPr>
        <w:ind w:left="851" w:right="900"/>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 xml:space="preserve">“Artículo 178. </w:t>
      </w:r>
      <w:r w:rsidRPr="00E074A6">
        <w:rPr>
          <w:rFonts w:ascii="Palatino Linotype" w:eastAsia="Palatino Linotype" w:hAnsi="Palatino Linotype" w:cs="Palatino Linotype"/>
          <w:i/>
          <w:sz w:val="22"/>
          <w:szCs w:val="22"/>
        </w:rPr>
        <w:t>El solicitante podrá interponer, por sí mismo o a través de su representante, de manera directa o por medios electrónicos, recurso de revisión ante el Instituto o ante la Unidad de Transparencia que haya conocido de la solicitud dentro de los quince días hábiles, siguientes a la fecha de la notificación de la respuesta.</w:t>
      </w:r>
    </w:p>
    <w:p w14:paraId="4C96685B" w14:textId="77777777" w:rsidR="0003348D" w:rsidRPr="00E074A6" w:rsidRDefault="00A70830">
      <w:pPr>
        <w:spacing w:before="240"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 xml:space="preserve">Del precepto legal transcrito, se desprende que cuando los solicitantes de información en el ejercicio del derecho de acceso a la información no se encuentren satisfechos con la información entregada por los sujetos obligados, podrán interponer recurso de revisión de manera directa o por medios electrónicos dentro de los quince días hábiles siguientes a la fecha de notificación de la respuesta, y, toda vez que 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remitió la respuesta a la solicitud de información el día </w:t>
      </w:r>
      <w:r w:rsidRPr="00E074A6">
        <w:rPr>
          <w:rFonts w:ascii="Palatino Linotype" w:eastAsia="Palatino Linotype" w:hAnsi="Palatino Linotype" w:cs="Palatino Linotype"/>
          <w:b/>
          <w:sz w:val="22"/>
          <w:szCs w:val="22"/>
        </w:rPr>
        <w:t xml:space="preserve">catorce de noviembre de dos mil veinticuatro, </w:t>
      </w:r>
      <w:r w:rsidRPr="00E074A6">
        <w:rPr>
          <w:rFonts w:ascii="Palatino Linotype" w:eastAsia="Palatino Linotype" w:hAnsi="Palatino Linotype" w:cs="Palatino Linotype"/>
          <w:sz w:val="22"/>
          <w:szCs w:val="22"/>
        </w:rPr>
        <w:t xml:space="preserve">mientras que el recurso de revisión interpuesto por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se tuvo por presentado el día </w:t>
      </w:r>
      <w:r w:rsidRPr="00E074A6">
        <w:rPr>
          <w:rFonts w:ascii="Palatino Linotype" w:eastAsia="Palatino Linotype" w:hAnsi="Palatino Linotype" w:cs="Palatino Linotype"/>
          <w:b/>
          <w:sz w:val="22"/>
          <w:szCs w:val="22"/>
        </w:rPr>
        <w:t>seis de diciembre del año dos mil veinticuatro</w:t>
      </w:r>
      <w:r w:rsidRPr="00E074A6">
        <w:rPr>
          <w:rFonts w:ascii="Palatino Linotype" w:eastAsia="Palatino Linotype" w:hAnsi="Palatino Linotype" w:cs="Palatino Linotype"/>
          <w:sz w:val="22"/>
          <w:szCs w:val="22"/>
        </w:rPr>
        <w:t>; esto es, al décimo quinto día hábil siguiente en que tuvo conocimiento de la respuesta.</w:t>
      </w:r>
    </w:p>
    <w:p w14:paraId="412E5395"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Por cuanto hace a la procedibilidad del recurso de revisión, es de suma importancia señalar que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no proporcionó su nombre</w:t>
      </w:r>
      <w:r w:rsidRPr="00E074A6">
        <w:rPr>
          <w:rFonts w:ascii="Palatino Linotype" w:eastAsia="Palatino Linotype" w:hAnsi="Palatino Linotype" w:cs="Palatino Linotype"/>
          <w:b/>
          <w:sz w:val="22"/>
          <w:szCs w:val="22"/>
        </w:rPr>
        <w:t>,</w:t>
      </w:r>
      <w:r w:rsidRPr="00E074A6">
        <w:rPr>
          <w:rFonts w:ascii="Palatino Linotype" w:eastAsia="Palatino Linotype" w:hAnsi="Palatino Linotype" w:cs="Palatino Linotype"/>
          <w:sz w:val="22"/>
          <w:szCs w:val="22"/>
        </w:rPr>
        <w:t xml:space="preserve"> como se advierte en el detalle de seguimiento del SAIMEX, no obstante lo anterior, no proporcionar el nombre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294963E1" w14:textId="77777777" w:rsidR="0003348D" w:rsidRPr="00E074A6" w:rsidRDefault="00A70830">
      <w:pPr>
        <w:spacing w:before="240" w:after="240" w:line="276" w:lineRule="auto"/>
        <w:ind w:left="851" w:right="90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 xml:space="preserve">Las solicitudes </w:t>
      </w:r>
      <w:r w:rsidRPr="00E074A6">
        <w:rPr>
          <w:rFonts w:ascii="Palatino Linotype" w:eastAsia="Palatino Linotype" w:hAnsi="Palatino Linotype" w:cs="Palatino Linotype"/>
          <w:i/>
          <w:sz w:val="22"/>
          <w:szCs w:val="22"/>
        </w:rPr>
        <w:t xml:space="preserve">anónimas, con </w:t>
      </w:r>
      <w:r w:rsidRPr="00E074A6">
        <w:rPr>
          <w:rFonts w:ascii="Palatino Linotype" w:eastAsia="Palatino Linotype" w:hAnsi="Palatino Linotype" w:cs="Palatino Linotype"/>
          <w:b/>
          <w:i/>
          <w:sz w:val="22"/>
          <w:szCs w:val="22"/>
        </w:rPr>
        <w:t>nombre incompleto o seudónimo</w:t>
      </w:r>
      <w:r w:rsidRPr="00E074A6">
        <w:rPr>
          <w:rFonts w:ascii="Palatino Linotype" w:eastAsia="Palatino Linotype" w:hAnsi="Palatino Linotype" w:cs="Palatino Linotype"/>
          <w:i/>
          <w:sz w:val="22"/>
          <w:szCs w:val="22"/>
        </w:rPr>
        <w:t xml:space="preserve"> </w:t>
      </w:r>
      <w:r w:rsidRPr="00E074A6">
        <w:rPr>
          <w:rFonts w:ascii="Palatino Linotype" w:eastAsia="Palatino Linotype" w:hAnsi="Palatino Linotype" w:cs="Palatino Linotype"/>
          <w:b/>
          <w:i/>
          <w:sz w:val="22"/>
          <w:szCs w:val="22"/>
        </w:rPr>
        <w:t>serán procedentes para su trámite por parte del sujeto obligado ante quien se presente</w:t>
      </w:r>
      <w:r w:rsidRPr="00E074A6">
        <w:rPr>
          <w:rFonts w:ascii="Palatino Linotype" w:eastAsia="Palatino Linotype" w:hAnsi="Palatino Linotype" w:cs="Palatino Linotype"/>
          <w:i/>
          <w:sz w:val="22"/>
          <w:szCs w:val="22"/>
        </w:rPr>
        <w:t>. No podrá requerirse información adicional con motivo del nombre proporcionado por el solicitante."(Sic)</w:t>
      </w:r>
    </w:p>
    <w:p w14:paraId="7F898607" w14:textId="77777777" w:rsidR="0003348D" w:rsidRPr="00E074A6" w:rsidRDefault="00A70830">
      <w:pPr>
        <w:spacing w:before="240"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Así también, por cuanto hace a la procedibilidad del recurso de revisión, una vez realizado el análisis de los formatos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14:paraId="59E7ABD5"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Asimismo, resulta procedente la interposición del recurso de revisión al rubro anotado, toda vez que se actualiza las hipótesis previstas en el artículo 179, fracción I de la ley de la materia, que a la letra dice:</w:t>
      </w:r>
    </w:p>
    <w:p w14:paraId="27B7FCCC" w14:textId="77777777" w:rsidR="0003348D" w:rsidRPr="00E074A6" w:rsidRDefault="00A70830">
      <w:pPr>
        <w:ind w:left="1276" w:right="175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 xml:space="preserve">Artículo 179. </w:t>
      </w:r>
      <w:r w:rsidRPr="00E074A6">
        <w:rPr>
          <w:rFonts w:ascii="Palatino Linotype" w:eastAsia="Palatino Linotype" w:hAnsi="Palatino Linotype" w:cs="Palatino Linotype"/>
          <w:i/>
          <w:sz w:val="22"/>
          <w:szCs w:val="22"/>
        </w:rPr>
        <w:t>El recurso de revisión es un medio de protección que la Ley otorga a los particulares, para hacer valer su derecho de acceso a la información pública, y procederá en contra de las siguientes causas:</w:t>
      </w:r>
    </w:p>
    <w:p w14:paraId="5869DF98" w14:textId="77777777" w:rsidR="0003348D" w:rsidRPr="00E074A6" w:rsidRDefault="00A70830">
      <w:pPr>
        <w:ind w:left="1276" w:right="175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I. La negativa de la información solicitada…” (Sic)</w:t>
      </w:r>
    </w:p>
    <w:p w14:paraId="70B3C0FA" w14:textId="77777777" w:rsidR="0003348D" w:rsidRPr="00E074A6" w:rsidRDefault="00A70830">
      <w:pPr>
        <w:spacing w:before="280" w:after="28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Tercero. Materia de Revisión</w:t>
      </w:r>
      <w:r w:rsidRPr="00E074A6">
        <w:rPr>
          <w:rFonts w:ascii="Palatino Linotype" w:eastAsia="Palatino Linotype" w:hAnsi="Palatino Linotype" w:cs="Palatino Linotype"/>
          <w:sz w:val="22"/>
          <w:szCs w:val="22"/>
        </w:rPr>
        <w:t xml:space="preserve">: De las constancias que integran el expediente electrónico se advierte que el tema sobre el que este Instituto se pronunciará será: </w:t>
      </w:r>
      <w:r w:rsidRPr="00E074A6">
        <w:rPr>
          <w:rFonts w:ascii="Palatino Linotype" w:eastAsia="Palatino Linotype" w:hAnsi="Palatino Linotype" w:cs="Palatino Linotype"/>
          <w:b/>
          <w:sz w:val="22"/>
          <w:szCs w:val="22"/>
        </w:rPr>
        <w:t xml:space="preserve">verificar si la respuesta otorgada por el SUJETO OBLIGADO es adecuada y suficiente para satisfacer el derecho de acceso a la información pública </w:t>
      </w:r>
      <w:r w:rsidRPr="00E074A6">
        <w:rPr>
          <w:rFonts w:ascii="Palatino Linotype" w:eastAsia="Palatino Linotype" w:hAnsi="Palatino Linotype" w:cs="Palatino Linotype"/>
          <w:sz w:val="22"/>
          <w:szCs w:val="22"/>
        </w:rPr>
        <w:t xml:space="preserve">del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o en su defecto, en caso de ser procedente, ordenar la entrega de información.</w:t>
      </w:r>
    </w:p>
    <w:p w14:paraId="3AFF3334"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 xml:space="preserve">Cuarto. Estudio de fondo del asunto. </w:t>
      </w:r>
      <w:r w:rsidRPr="00E074A6">
        <w:rPr>
          <w:rFonts w:ascii="Palatino Linotype" w:eastAsia="Palatino Linotype" w:hAnsi="Palatino Linotype" w:cs="Palatino Linotype"/>
          <w:sz w:val="22"/>
          <w:szCs w:val="22"/>
        </w:rPr>
        <w:t xml:space="preserve">Es conveniente analizar si la respuesta del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cumple con los requisitos y procedimientos del derecho de acceso a la información pública, en atención a que en la Ley de Transparencia y Acceso a la Información Pública del Estado de México y Municipios en su artículo 4, que dice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6B5C1972" w14:textId="77777777" w:rsidR="0003348D" w:rsidRPr="00E074A6" w:rsidRDefault="00A70830">
      <w:pPr>
        <w:spacing w:before="240"/>
        <w:ind w:left="709" w:right="760"/>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Artículo 4</w:t>
      </w:r>
      <w:r w:rsidRPr="00E074A6">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47491629" w14:textId="77777777" w:rsidR="0003348D" w:rsidRPr="00E074A6" w:rsidRDefault="00A70830">
      <w:pPr>
        <w:ind w:left="709" w:right="760"/>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E074A6">
        <w:rPr>
          <w:rFonts w:ascii="Palatino Linotype" w:eastAsia="Palatino Linotype" w:hAnsi="Palatino Linotype" w:cs="Palatino Linotype"/>
          <w:i/>
          <w:sz w:val="22"/>
          <w:szCs w:val="22"/>
        </w:rPr>
        <w:t xml:space="preserve">, en los términos y condiciones que se establezcan en los tratados internacionales de los que el Estado mexicano sea parte, </w:t>
      </w:r>
      <w:r w:rsidRPr="00E074A6">
        <w:rPr>
          <w:rFonts w:ascii="Palatino Linotype" w:eastAsia="Palatino Linotype" w:hAnsi="Palatino Linotype" w:cs="Palatino Linotype"/>
          <w:i/>
          <w:sz w:val="22"/>
          <w:szCs w:val="22"/>
        </w:rPr>
        <w:lastRenderedPageBreak/>
        <w:t>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59E40486" w14:textId="77777777" w:rsidR="0003348D" w:rsidRPr="00E074A6" w:rsidRDefault="00A70830">
      <w:pPr>
        <w:ind w:left="709" w:right="760"/>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Los sujetos obligados deben poner en práctica, políticas y programas de acceso a la información que se apeguen a criterios de publicidad, veracidad, oportunidad, precisión y suficiencia en beneficio de los solicitantes</w:t>
      </w:r>
      <w:r w:rsidRPr="00E074A6">
        <w:rPr>
          <w:rFonts w:ascii="Palatino Linotype" w:eastAsia="Palatino Linotype" w:hAnsi="Palatino Linotype" w:cs="Palatino Linotype"/>
          <w:i/>
          <w:sz w:val="22"/>
          <w:szCs w:val="22"/>
        </w:rPr>
        <w:t>.”</w:t>
      </w:r>
    </w:p>
    <w:p w14:paraId="1B8E7C85"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444BCD1D"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14:paraId="2B08A05C"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04FCC690" w14:textId="77777777" w:rsidR="0003348D" w:rsidRPr="00E074A6" w:rsidRDefault="00A70830">
      <w:pPr>
        <w:ind w:left="567" w:right="758"/>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12.-</w:t>
      </w:r>
      <w:r w:rsidRPr="00E074A6">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705A2D52" w14:textId="77777777" w:rsidR="0003348D" w:rsidRPr="00E074A6" w:rsidRDefault="0003348D">
      <w:pPr>
        <w:ind w:left="567" w:right="758"/>
        <w:jc w:val="both"/>
        <w:rPr>
          <w:rFonts w:ascii="Palatino Linotype" w:eastAsia="Palatino Linotype" w:hAnsi="Palatino Linotype" w:cs="Palatino Linotype"/>
          <w:i/>
          <w:sz w:val="22"/>
          <w:szCs w:val="22"/>
        </w:rPr>
      </w:pPr>
    </w:p>
    <w:p w14:paraId="4E8986AB" w14:textId="77777777" w:rsidR="0003348D" w:rsidRPr="00E074A6" w:rsidRDefault="00A70830">
      <w:pPr>
        <w:ind w:left="567" w:right="758"/>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Los sujetos obligados sólo proporcionarán la información pública que se les requiera y que obre en sus archivos y en el estado en que ésta se encuentre</w:t>
      </w:r>
      <w:r w:rsidRPr="00E074A6">
        <w:rPr>
          <w:rFonts w:ascii="Palatino Linotype" w:eastAsia="Palatino Linotype" w:hAnsi="Palatino Linotype" w:cs="Palatino Linotype"/>
          <w:i/>
          <w:sz w:val="22"/>
          <w:szCs w:val="22"/>
        </w:rPr>
        <w:t xml:space="preserve">. </w:t>
      </w:r>
      <w:r w:rsidRPr="00E074A6">
        <w:rPr>
          <w:rFonts w:ascii="Palatino Linotype" w:eastAsia="Palatino Linotype" w:hAnsi="Palatino Linotype" w:cs="Palatino Linotype"/>
          <w:b/>
          <w:i/>
          <w:sz w:val="22"/>
          <w:szCs w:val="22"/>
        </w:rPr>
        <w:t xml:space="preserve">La obligación de proporcionar información no comprende el procesamiento de la misma, ni el presentarla conforme al interés del solicitante; no estarán obligados a generarla, resumirla, efectuar cálculos o practicar investigaciones.” </w:t>
      </w:r>
    </w:p>
    <w:p w14:paraId="0D002CE9" w14:textId="77777777" w:rsidR="0003348D" w:rsidRPr="00E074A6" w:rsidRDefault="00A70830">
      <w:pPr>
        <w:spacing w:line="360" w:lineRule="auto"/>
        <w:ind w:right="-93"/>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sólo se concretarán a proporcionar la información solicitada que tengan en su poder en el </w:t>
      </w:r>
      <w:r w:rsidRPr="00E074A6">
        <w:rPr>
          <w:rFonts w:ascii="Palatino Linotype" w:eastAsia="Palatino Linotype" w:hAnsi="Palatino Linotype" w:cs="Palatino Linotype"/>
          <w:sz w:val="22"/>
          <w:szCs w:val="22"/>
        </w:rPr>
        <w:lastRenderedPageBreak/>
        <w:t>estado que se encuentran, sin necesidad de concretarse al interés o términos específicos del solicitante.</w:t>
      </w:r>
    </w:p>
    <w:p w14:paraId="5AC79181" w14:textId="77777777" w:rsidR="0003348D" w:rsidRPr="00E074A6" w:rsidRDefault="0003348D">
      <w:pPr>
        <w:spacing w:line="360" w:lineRule="auto"/>
        <w:ind w:right="-93"/>
        <w:jc w:val="both"/>
        <w:rPr>
          <w:rFonts w:ascii="Palatino Linotype" w:eastAsia="Palatino Linotype" w:hAnsi="Palatino Linotype" w:cs="Palatino Linotype"/>
          <w:sz w:val="22"/>
          <w:szCs w:val="22"/>
        </w:rPr>
      </w:pPr>
    </w:p>
    <w:p w14:paraId="3525D7CF" w14:textId="77777777" w:rsidR="0003348D" w:rsidRPr="00E074A6" w:rsidRDefault="00A70830">
      <w:pPr>
        <w:spacing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sz w:val="22"/>
          <w:szCs w:val="22"/>
        </w:rPr>
        <w:t>Sirve de apoyo a lo anterior, el criterio 03-17, expuesto por el Instituto Nacional de Transparencia, Acceso a la Información y Protección de Datos Personales, que dice:</w:t>
      </w:r>
      <w:r w:rsidRPr="00E074A6">
        <w:rPr>
          <w:rFonts w:ascii="Palatino Linotype" w:eastAsia="Palatino Linotype" w:hAnsi="Palatino Linotype" w:cs="Palatino Linotype"/>
          <w:b/>
          <w:sz w:val="22"/>
          <w:szCs w:val="22"/>
        </w:rPr>
        <w:t xml:space="preserve"> </w:t>
      </w:r>
    </w:p>
    <w:p w14:paraId="07D4E0CB" w14:textId="77777777" w:rsidR="0003348D" w:rsidRPr="00E074A6" w:rsidRDefault="0003348D">
      <w:pPr>
        <w:ind w:left="851" w:right="850"/>
        <w:jc w:val="both"/>
        <w:rPr>
          <w:rFonts w:ascii="Palatino Linotype" w:eastAsia="Palatino Linotype" w:hAnsi="Palatino Linotype" w:cs="Palatino Linotype"/>
          <w:sz w:val="22"/>
          <w:szCs w:val="22"/>
        </w:rPr>
      </w:pPr>
    </w:p>
    <w:p w14:paraId="0CC06EE4" w14:textId="77777777" w:rsidR="0003348D" w:rsidRPr="00E074A6" w:rsidRDefault="00A70830">
      <w:pPr>
        <w:ind w:left="851" w:right="90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No existe obligación de elaborar documentos ad hoc para atender las solicitudes de acceso a la información.</w:t>
      </w:r>
      <w:r w:rsidRPr="00E074A6">
        <w:rPr>
          <w:rFonts w:ascii="Palatino Linotype" w:eastAsia="Palatino Linotype" w:hAnsi="Palatino Linotype" w:cs="Palatino Linotype"/>
          <w:i/>
          <w:sz w:val="22"/>
          <w:szCs w:val="22"/>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4D6ADB92" w14:textId="77777777" w:rsidR="0003348D" w:rsidRPr="00E074A6" w:rsidRDefault="00A70830">
      <w:pPr>
        <w:ind w:left="851" w:right="90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Resoluciones: </w:t>
      </w:r>
    </w:p>
    <w:p w14:paraId="17765977" w14:textId="77777777" w:rsidR="0003348D" w:rsidRPr="00E074A6" w:rsidRDefault="00A70830">
      <w:pPr>
        <w:ind w:left="851" w:right="90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RRA 0050/16. Instituto Nacional para la Evaluación de la Educación. 13 julio de 2016. Por unanimidad. Comisionado Ponente: Francisco Javier Acuña Llamas.</w:t>
      </w:r>
    </w:p>
    <w:p w14:paraId="3252F383" w14:textId="77777777" w:rsidR="0003348D" w:rsidRPr="00E074A6" w:rsidRDefault="00A70830">
      <w:pPr>
        <w:ind w:left="851" w:right="90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 RRA 0310/16. Instituto Nacional de Transparencia, Acceso a la Información y Protección de Datos Personales. 10 de agosto de 2016. Por unanimidad. Comisionada Ponente. Areli Cano Guadiana. </w:t>
      </w:r>
    </w:p>
    <w:p w14:paraId="3354B4CB" w14:textId="77777777" w:rsidR="0003348D" w:rsidRPr="00E074A6" w:rsidRDefault="00A70830">
      <w:pPr>
        <w:ind w:left="851" w:right="90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RRA 1889/16. Secretaría de Hacienda y Crédito Público. 05 de octubre de 2016. Por unanimidad. Comisionada Ponente. Ximena Puente de la Mora.”</w:t>
      </w:r>
    </w:p>
    <w:p w14:paraId="53A89F2B" w14:textId="77777777" w:rsidR="0003348D" w:rsidRPr="00E074A6" w:rsidRDefault="0003348D">
      <w:pPr>
        <w:spacing w:line="360" w:lineRule="auto"/>
        <w:ind w:right="-93"/>
        <w:jc w:val="both"/>
        <w:rPr>
          <w:rFonts w:ascii="Palatino Linotype" w:eastAsia="Palatino Linotype" w:hAnsi="Palatino Linotype" w:cs="Palatino Linotype"/>
          <w:sz w:val="22"/>
          <w:szCs w:val="22"/>
        </w:rPr>
      </w:pPr>
    </w:p>
    <w:p w14:paraId="06EF2325"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1F23F2D9"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41282F58" w14:textId="77777777" w:rsidR="0003348D" w:rsidRPr="00E074A6" w:rsidRDefault="00A70830">
      <w:pPr>
        <w:spacing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3DAD2BDE" w14:textId="77777777" w:rsidR="0003348D" w:rsidRPr="00E074A6" w:rsidRDefault="0003348D">
      <w:pPr>
        <w:spacing w:line="360" w:lineRule="auto"/>
        <w:ind w:right="49"/>
        <w:jc w:val="both"/>
        <w:rPr>
          <w:rFonts w:ascii="Palatino Linotype" w:eastAsia="Palatino Linotype" w:hAnsi="Palatino Linotype" w:cs="Palatino Linotype"/>
          <w:sz w:val="22"/>
          <w:szCs w:val="22"/>
        </w:rPr>
      </w:pPr>
    </w:p>
    <w:p w14:paraId="3778C8E1"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2FBF226D" w14:textId="77777777" w:rsidR="0003348D" w:rsidRPr="00E074A6" w:rsidRDefault="0003348D">
      <w:pPr>
        <w:ind w:left="851" w:right="899"/>
        <w:jc w:val="both"/>
        <w:rPr>
          <w:rFonts w:ascii="Palatino Linotype" w:eastAsia="Palatino Linotype" w:hAnsi="Palatino Linotype" w:cs="Palatino Linotype"/>
          <w:i/>
          <w:sz w:val="22"/>
          <w:szCs w:val="22"/>
        </w:rPr>
      </w:pPr>
    </w:p>
    <w:p w14:paraId="52987C66" w14:textId="77777777" w:rsidR="0003348D" w:rsidRPr="00E074A6" w:rsidRDefault="00A70830">
      <w:pPr>
        <w:ind w:left="851" w:right="899"/>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 xml:space="preserve">Artículo 3. </w:t>
      </w:r>
      <w:r w:rsidRPr="00E074A6">
        <w:rPr>
          <w:rFonts w:ascii="Palatino Linotype" w:eastAsia="Palatino Linotype" w:hAnsi="Palatino Linotype" w:cs="Palatino Linotype"/>
          <w:i/>
          <w:sz w:val="22"/>
          <w:szCs w:val="22"/>
        </w:rPr>
        <w:t>Para los efectos de la presente Ley se entenderá por:</w:t>
      </w:r>
    </w:p>
    <w:p w14:paraId="3EE935DD" w14:textId="77777777" w:rsidR="0003348D" w:rsidRPr="00E074A6" w:rsidRDefault="00A70830">
      <w:pPr>
        <w:ind w:left="851" w:right="899"/>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p>
    <w:p w14:paraId="13C42CD7" w14:textId="77777777" w:rsidR="0003348D" w:rsidRPr="00E074A6" w:rsidRDefault="00A70830">
      <w:pPr>
        <w:ind w:left="851" w:right="899"/>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XI. Documento:</w:t>
      </w:r>
      <w:r w:rsidRPr="00E074A6">
        <w:rPr>
          <w:rFonts w:ascii="Palatino Linotype" w:eastAsia="Palatino Linotype" w:hAnsi="Palatino Linotype" w:cs="Palatino Linotype"/>
          <w:i/>
          <w:sz w:val="22"/>
          <w:szCs w:val="22"/>
        </w:rPr>
        <w:t xml:space="preserve"> Los expedientes, reportes, estudios, actas</w:t>
      </w:r>
      <w:r w:rsidRPr="00E074A6">
        <w:rPr>
          <w:rFonts w:ascii="Palatino Linotype" w:eastAsia="Palatino Linotype" w:hAnsi="Palatino Linotype" w:cs="Palatino Linotype"/>
          <w:b/>
          <w:i/>
          <w:sz w:val="22"/>
          <w:szCs w:val="22"/>
        </w:rPr>
        <w:t>,</w:t>
      </w:r>
      <w:r w:rsidRPr="00E074A6">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14:paraId="67F8E781" w14:textId="77777777" w:rsidR="0003348D" w:rsidRPr="00E074A6" w:rsidRDefault="0003348D">
      <w:pPr>
        <w:ind w:left="851" w:right="899"/>
        <w:jc w:val="both"/>
        <w:rPr>
          <w:rFonts w:ascii="Palatino Linotype" w:eastAsia="Palatino Linotype" w:hAnsi="Palatino Linotype" w:cs="Palatino Linotype"/>
          <w:sz w:val="22"/>
          <w:szCs w:val="22"/>
        </w:rPr>
      </w:pPr>
    </w:p>
    <w:p w14:paraId="52D630EE"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Siendo aplicable, el Criterio de interpretación en el orden administrativo número 0002-11, emitido por Acuerdo del Pleno del Instituto de Transparencia y Acceso a la Información Pública del Estado de México y Municipios; publicado en el Periódico Oficial del Gobierno </w:t>
      </w:r>
      <w:r w:rsidRPr="00E074A6">
        <w:rPr>
          <w:rFonts w:ascii="Palatino Linotype" w:eastAsia="Palatino Linotype" w:hAnsi="Palatino Linotype" w:cs="Palatino Linotype"/>
          <w:sz w:val="22"/>
          <w:szCs w:val="22"/>
        </w:rPr>
        <w:lastRenderedPageBreak/>
        <w:t>del Estado Libre y Soberano de México “Gaceta del Gobierno”, el diecinueve de octubre de dos mil once, cuyo rubro y texto refieren lo siguiente:</w:t>
      </w:r>
    </w:p>
    <w:p w14:paraId="7E1FF7F8" w14:textId="77777777" w:rsidR="0003348D" w:rsidRPr="00E074A6" w:rsidRDefault="0003348D">
      <w:pPr>
        <w:ind w:left="851" w:right="899"/>
        <w:jc w:val="both"/>
        <w:rPr>
          <w:rFonts w:ascii="Palatino Linotype" w:eastAsia="Palatino Linotype" w:hAnsi="Palatino Linotype" w:cs="Palatino Linotype"/>
          <w:sz w:val="22"/>
          <w:szCs w:val="22"/>
        </w:rPr>
      </w:pPr>
    </w:p>
    <w:p w14:paraId="2B78D94F" w14:textId="77777777" w:rsidR="0003348D" w:rsidRPr="00E074A6" w:rsidRDefault="00A70830">
      <w:pPr>
        <w:ind w:left="851" w:right="899"/>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sz w:val="22"/>
          <w:szCs w:val="22"/>
        </w:rPr>
        <w:t>“</w:t>
      </w:r>
      <w:r w:rsidRPr="00E074A6">
        <w:rPr>
          <w:rFonts w:ascii="Palatino Linotype" w:eastAsia="Palatino Linotype" w:hAnsi="Palatino Linotype" w:cs="Palatino Linotype"/>
          <w:b/>
          <w:i/>
          <w:sz w:val="22"/>
          <w:szCs w:val="22"/>
        </w:rPr>
        <w:t>CRITERIO 0002-11</w:t>
      </w:r>
    </w:p>
    <w:p w14:paraId="56357B0C" w14:textId="77777777" w:rsidR="0003348D" w:rsidRPr="00E074A6" w:rsidRDefault="00A70830">
      <w:pPr>
        <w:ind w:left="851" w:right="899"/>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E074A6">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5CBE62E9" w14:textId="77777777" w:rsidR="0003348D" w:rsidRPr="00E074A6" w:rsidRDefault="00A70830">
      <w:pPr>
        <w:ind w:left="851" w:right="899"/>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En consecuencia el acceso a la información se refiere a que se cumplan cualquiera de los siguientes tres supuestos:</w:t>
      </w:r>
    </w:p>
    <w:p w14:paraId="0EE55F89" w14:textId="77777777" w:rsidR="0003348D" w:rsidRPr="00E074A6" w:rsidRDefault="00A70830">
      <w:pPr>
        <w:ind w:left="851" w:right="899"/>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1) Que se trate de información registrada en cualquier soporte documental, que en ejercicio de las atribuciones conferidas, sea generada por los Sujetos Obligados;</w:t>
      </w:r>
    </w:p>
    <w:p w14:paraId="108ECAE9" w14:textId="77777777" w:rsidR="0003348D" w:rsidRPr="00E074A6" w:rsidRDefault="00A70830">
      <w:pPr>
        <w:ind w:left="851" w:right="899"/>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2) Que se trate de información registrada en cualquier soporte documental, que en ejercicio de las atribuciones conferidas, sea administrada por los Sujetos Obligados, y</w:t>
      </w:r>
    </w:p>
    <w:p w14:paraId="510B12B4" w14:textId="77777777" w:rsidR="0003348D" w:rsidRPr="00E074A6" w:rsidRDefault="00A70830">
      <w:pPr>
        <w:ind w:left="851" w:right="899"/>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3) Que se trate de información registrada en cualquier soporte documental, que en ejercicio de las atribuciones conferidas, se encuentre en posesión de los Sujetos Obligados.”</w:t>
      </w:r>
    </w:p>
    <w:p w14:paraId="30D956DD"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1CE61D1A" w14:textId="77777777" w:rsidR="0003348D" w:rsidRPr="00E074A6" w:rsidRDefault="00A70830">
      <w:pPr>
        <w:spacing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Ahora bien, del análisis de la solicitud de información motivo del recurso de revisión que ahora se resuelve, se advierte que el particular requirió al </w:t>
      </w:r>
      <w:r w:rsidRPr="00E074A6">
        <w:rPr>
          <w:rFonts w:ascii="Palatino Linotype" w:eastAsia="Palatino Linotype" w:hAnsi="Palatino Linotype" w:cs="Palatino Linotype"/>
          <w:b/>
          <w:sz w:val="22"/>
          <w:szCs w:val="22"/>
        </w:rPr>
        <w:t>Ayuntamiento de Villa de Allende, específicamente de la Dirección de Administración y Finanzas</w:t>
      </w:r>
      <w:r w:rsidRPr="00E074A6">
        <w:rPr>
          <w:rFonts w:ascii="Palatino Linotype" w:eastAsia="Palatino Linotype" w:hAnsi="Palatino Linotype" w:cs="Palatino Linotype"/>
          <w:sz w:val="22"/>
          <w:szCs w:val="22"/>
        </w:rPr>
        <w:t>, lo siguiente:</w:t>
      </w:r>
    </w:p>
    <w:p w14:paraId="42F7267E" w14:textId="77777777" w:rsidR="0003348D" w:rsidRPr="00E074A6" w:rsidRDefault="00A70830">
      <w:pPr>
        <w:numPr>
          <w:ilvl w:val="0"/>
          <w:numId w:val="6"/>
        </w:numPr>
        <w:pBdr>
          <w:top w:val="nil"/>
          <w:left w:val="nil"/>
          <w:bottom w:val="nil"/>
          <w:right w:val="nil"/>
          <w:between w:val="nil"/>
        </w:pBdr>
        <w:spacing w:before="240"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Comprobante de cada compra realizada para el funcionamiento del ayuntamiento de villa de allende desde 2019-2021;</w:t>
      </w:r>
    </w:p>
    <w:p w14:paraId="1E8C8485" w14:textId="77777777" w:rsidR="0003348D" w:rsidRPr="00E074A6" w:rsidRDefault="00A70830">
      <w:pPr>
        <w:numPr>
          <w:ilvl w:val="0"/>
          <w:numId w:val="6"/>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Certificación, copia de los contratos firmados con terceros para el desarrollo de los eventos;</w:t>
      </w:r>
    </w:p>
    <w:p w14:paraId="0FC4A681" w14:textId="77777777" w:rsidR="0003348D" w:rsidRPr="00E074A6" w:rsidRDefault="00A70830">
      <w:pPr>
        <w:numPr>
          <w:ilvl w:val="0"/>
          <w:numId w:val="6"/>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Copia de los pagos que se les han realizado;</w:t>
      </w:r>
    </w:p>
    <w:p w14:paraId="06346195" w14:textId="77777777" w:rsidR="0003348D" w:rsidRPr="00E074A6" w:rsidRDefault="00A70830">
      <w:pPr>
        <w:numPr>
          <w:ilvl w:val="0"/>
          <w:numId w:val="6"/>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De los Servicios realizados a los vehículos propiedad del Ayuntamiento:</w:t>
      </w:r>
    </w:p>
    <w:p w14:paraId="229045E1" w14:textId="77777777" w:rsidR="0003348D" w:rsidRPr="00E074A6" w:rsidRDefault="00A70830">
      <w:pPr>
        <w:numPr>
          <w:ilvl w:val="0"/>
          <w:numId w:val="7"/>
        </w:numPr>
        <w:pBdr>
          <w:top w:val="nil"/>
          <w:left w:val="nil"/>
          <w:bottom w:val="nil"/>
          <w:right w:val="nil"/>
          <w:between w:val="nil"/>
        </w:pBdr>
        <w:spacing w:line="360" w:lineRule="auto"/>
        <w:ind w:left="1276"/>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 xml:space="preserve">Servicios realizados </w:t>
      </w:r>
    </w:p>
    <w:p w14:paraId="13D59DC9" w14:textId="77777777" w:rsidR="0003348D" w:rsidRPr="00E074A6" w:rsidRDefault="00A70830">
      <w:pPr>
        <w:numPr>
          <w:ilvl w:val="0"/>
          <w:numId w:val="7"/>
        </w:numPr>
        <w:pBdr>
          <w:top w:val="nil"/>
          <w:left w:val="nil"/>
          <w:bottom w:val="nil"/>
          <w:right w:val="nil"/>
          <w:between w:val="nil"/>
        </w:pBdr>
        <w:spacing w:line="360" w:lineRule="auto"/>
        <w:ind w:left="1276"/>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lastRenderedPageBreak/>
        <w:t>Periodo en que se realizan;</w:t>
      </w:r>
    </w:p>
    <w:p w14:paraId="0512E1B8" w14:textId="77777777" w:rsidR="0003348D" w:rsidRPr="00E074A6" w:rsidRDefault="00A70830">
      <w:pPr>
        <w:numPr>
          <w:ilvl w:val="0"/>
          <w:numId w:val="7"/>
        </w:numPr>
        <w:pBdr>
          <w:top w:val="nil"/>
          <w:left w:val="nil"/>
          <w:bottom w:val="nil"/>
          <w:right w:val="nil"/>
          <w:between w:val="nil"/>
        </w:pBdr>
        <w:spacing w:line="360" w:lineRule="auto"/>
        <w:ind w:left="1276"/>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Diagnósticos y notas;</w:t>
      </w:r>
    </w:p>
    <w:p w14:paraId="4069FE13" w14:textId="77777777" w:rsidR="0003348D" w:rsidRPr="00E074A6" w:rsidRDefault="00A70830">
      <w:pPr>
        <w:numPr>
          <w:ilvl w:val="0"/>
          <w:numId w:val="7"/>
        </w:numPr>
        <w:pBdr>
          <w:top w:val="nil"/>
          <w:left w:val="nil"/>
          <w:bottom w:val="nil"/>
          <w:right w:val="nil"/>
          <w:between w:val="nil"/>
        </w:pBdr>
        <w:spacing w:line="360" w:lineRule="auto"/>
        <w:ind w:left="1276"/>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Nombre del taller mecánico;</w:t>
      </w:r>
    </w:p>
    <w:p w14:paraId="3D44FB84" w14:textId="77777777" w:rsidR="0003348D" w:rsidRPr="00E074A6" w:rsidRDefault="00A70830">
      <w:pPr>
        <w:numPr>
          <w:ilvl w:val="0"/>
          <w:numId w:val="6"/>
        </w:numPr>
        <w:pBdr>
          <w:top w:val="nil"/>
          <w:left w:val="nil"/>
          <w:bottom w:val="nil"/>
          <w:right w:val="nil"/>
          <w:between w:val="nil"/>
        </w:pBdr>
        <w:spacing w:after="240"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Copia de los contratos por comidas, todo desde el 2019-2024.</w:t>
      </w:r>
    </w:p>
    <w:p w14:paraId="1A71BDEA" w14:textId="77777777" w:rsidR="0003348D" w:rsidRPr="00E074A6" w:rsidRDefault="0003348D">
      <w:pPr>
        <w:spacing w:before="240" w:line="360" w:lineRule="auto"/>
        <w:jc w:val="both"/>
        <w:rPr>
          <w:rFonts w:ascii="Palatino Linotype" w:eastAsia="Palatino Linotype" w:hAnsi="Palatino Linotype" w:cs="Palatino Linotype"/>
          <w:sz w:val="22"/>
          <w:szCs w:val="22"/>
        </w:rPr>
      </w:pPr>
    </w:p>
    <w:p w14:paraId="188F6E03" w14:textId="77777777" w:rsidR="0003348D" w:rsidRPr="00E074A6" w:rsidRDefault="00A70830">
      <w:pPr>
        <w:spacing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En respuesta el Sujeto Obligado, a través de la Dirección de Administración, tanto en respuesta como en informe justificado señaló que la información requerida por el particular se encuentra en las siguientes direcciones electrónicas:</w:t>
      </w:r>
    </w:p>
    <w:p w14:paraId="517C1ED0" w14:textId="77777777" w:rsidR="0003348D" w:rsidRPr="00E074A6" w:rsidRDefault="00A70830">
      <w:pPr>
        <w:spacing w:before="240"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noProof/>
          <w:sz w:val="22"/>
          <w:szCs w:val="22"/>
          <w:lang w:val="es-MX"/>
        </w:rPr>
        <w:drawing>
          <wp:inline distT="0" distB="0" distL="0" distR="0" wp14:anchorId="6632A35E" wp14:editId="3FB231DA">
            <wp:extent cx="5612130" cy="2423160"/>
            <wp:effectExtent l="0" t="0" r="0" b="0"/>
            <wp:docPr id="770201558"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8"/>
                    <a:srcRect/>
                    <a:stretch>
                      <a:fillRect/>
                    </a:stretch>
                  </pic:blipFill>
                  <pic:spPr>
                    <a:xfrm>
                      <a:off x="0" y="0"/>
                      <a:ext cx="5612130" cy="2423160"/>
                    </a:xfrm>
                    <a:prstGeom prst="rect">
                      <a:avLst/>
                    </a:prstGeom>
                    <a:ln/>
                  </pic:spPr>
                </pic:pic>
              </a:graphicData>
            </a:graphic>
          </wp:inline>
        </w:drawing>
      </w:r>
    </w:p>
    <w:p w14:paraId="21B6F478"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Al respecto es necesario precisar que la Ley de Transparencia y Acceso a la Información Pública del Estado de México y Municipios establece en su artículo 11 que en </w:t>
      </w:r>
      <w:r w:rsidRPr="00E074A6">
        <w:rPr>
          <w:rFonts w:ascii="Palatino Linotype" w:eastAsia="Palatino Linotype" w:hAnsi="Palatino Linotype" w:cs="Palatino Linotype"/>
          <w:i/>
          <w:sz w:val="22"/>
          <w:szCs w:val="22"/>
        </w:rPr>
        <w:t xml:space="preserve">la entrega de la información se deberá garantizar que ésta sea </w:t>
      </w:r>
      <w:r w:rsidRPr="00E074A6">
        <w:rPr>
          <w:rFonts w:ascii="Palatino Linotype" w:eastAsia="Palatino Linotype" w:hAnsi="Palatino Linotype" w:cs="Palatino Linotype"/>
          <w:b/>
          <w:i/>
          <w:sz w:val="22"/>
          <w:szCs w:val="22"/>
        </w:rPr>
        <w:t>accesible</w:t>
      </w:r>
      <w:r w:rsidRPr="00E074A6">
        <w:rPr>
          <w:rFonts w:ascii="Palatino Linotype" w:eastAsia="Palatino Linotype" w:hAnsi="Palatino Linotype" w:cs="Palatino Linotype"/>
          <w:i/>
          <w:sz w:val="22"/>
          <w:szCs w:val="22"/>
        </w:rPr>
        <w:t xml:space="preserve">, </w:t>
      </w:r>
      <w:r w:rsidRPr="00E074A6">
        <w:rPr>
          <w:rFonts w:ascii="Palatino Linotype" w:eastAsia="Palatino Linotype" w:hAnsi="Palatino Linotype" w:cs="Palatino Linotype"/>
          <w:b/>
          <w:i/>
          <w:sz w:val="22"/>
          <w:szCs w:val="22"/>
        </w:rPr>
        <w:t>actualizada, completa,</w:t>
      </w:r>
      <w:r w:rsidRPr="00E074A6">
        <w:rPr>
          <w:rFonts w:ascii="Palatino Linotype" w:eastAsia="Palatino Linotype" w:hAnsi="Palatino Linotype" w:cs="Palatino Linotype"/>
          <w:i/>
          <w:sz w:val="22"/>
          <w:szCs w:val="22"/>
        </w:rPr>
        <w:t xml:space="preserve"> congruente, confiable, </w:t>
      </w:r>
      <w:r w:rsidRPr="00E074A6">
        <w:rPr>
          <w:rFonts w:ascii="Palatino Linotype" w:eastAsia="Palatino Linotype" w:hAnsi="Palatino Linotype" w:cs="Palatino Linotype"/>
          <w:b/>
          <w:i/>
          <w:sz w:val="22"/>
          <w:szCs w:val="22"/>
        </w:rPr>
        <w:t>verificable</w:t>
      </w:r>
      <w:r w:rsidRPr="00E074A6">
        <w:rPr>
          <w:rFonts w:ascii="Palatino Linotype" w:eastAsia="Palatino Linotype" w:hAnsi="Palatino Linotype" w:cs="Palatino Linotype"/>
          <w:i/>
          <w:sz w:val="22"/>
          <w:szCs w:val="22"/>
        </w:rPr>
        <w:t xml:space="preserve">, veraz, integral, oportuna y expedita. </w:t>
      </w:r>
      <w:r w:rsidRPr="00E074A6">
        <w:rPr>
          <w:rFonts w:ascii="Palatino Linotype" w:eastAsia="Palatino Linotype" w:hAnsi="Palatino Linotype" w:cs="Palatino Linotype"/>
          <w:sz w:val="22"/>
          <w:szCs w:val="22"/>
        </w:rPr>
        <w:t>Asimismo, el artículo 161 de la Ley en comento, refiere lo siguiente:</w:t>
      </w:r>
    </w:p>
    <w:p w14:paraId="02CD7072" w14:textId="77777777" w:rsidR="0003348D" w:rsidRPr="00E074A6" w:rsidRDefault="0003348D">
      <w:pPr>
        <w:pBdr>
          <w:top w:val="nil"/>
          <w:left w:val="nil"/>
          <w:bottom w:val="nil"/>
          <w:right w:val="nil"/>
          <w:between w:val="nil"/>
        </w:pBdr>
        <w:ind w:left="708"/>
        <w:jc w:val="both"/>
        <w:rPr>
          <w:rFonts w:ascii="Palatino Linotype" w:eastAsia="Palatino Linotype" w:hAnsi="Palatino Linotype" w:cs="Palatino Linotype"/>
          <w:sz w:val="22"/>
          <w:szCs w:val="22"/>
        </w:rPr>
      </w:pPr>
    </w:p>
    <w:p w14:paraId="1E5F7884" w14:textId="77777777" w:rsidR="0003348D" w:rsidRPr="00E074A6" w:rsidRDefault="00A70830">
      <w:pPr>
        <w:spacing w:line="360" w:lineRule="auto"/>
        <w:ind w:left="567" w:right="567"/>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Artículo 161. Cuando la información requerida por el solicitante ya esté disponible al público </w:t>
      </w:r>
      <w:r w:rsidRPr="00E074A6">
        <w:rPr>
          <w:rFonts w:ascii="Palatino Linotype" w:eastAsia="Palatino Linotype" w:hAnsi="Palatino Linotype" w:cs="Palatino Linotype"/>
          <w:i/>
          <w:sz w:val="22"/>
          <w:szCs w:val="22"/>
        </w:rPr>
        <w:t xml:space="preserve">en medios impresos, tales como libros, compendios, trípticos, registros públicos, </w:t>
      </w:r>
      <w:r w:rsidRPr="00E074A6">
        <w:rPr>
          <w:rFonts w:ascii="Palatino Linotype" w:eastAsia="Palatino Linotype" w:hAnsi="Palatino Linotype" w:cs="Palatino Linotype"/>
          <w:b/>
          <w:i/>
          <w:sz w:val="22"/>
          <w:szCs w:val="22"/>
        </w:rPr>
        <w:t>en formatos electrónicos</w:t>
      </w:r>
      <w:r w:rsidRPr="00E074A6">
        <w:rPr>
          <w:rFonts w:ascii="Palatino Linotype" w:eastAsia="Palatino Linotype" w:hAnsi="Palatino Linotype" w:cs="Palatino Linotype"/>
          <w:i/>
          <w:sz w:val="22"/>
          <w:szCs w:val="22"/>
        </w:rPr>
        <w:t xml:space="preserve"> disponibles en Internet o en cualquier otro </w:t>
      </w:r>
      <w:r w:rsidRPr="00E074A6">
        <w:rPr>
          <w:rFonts w:ascii="Palatino Linotype" w:eastAsia="Palatino Linotype" w:hAnsi="Palatino Linotype" w:cs="Palatino Linotype"/>
          <w:i/>
          <w:sz w:val="22"/>
          <w:szCs w:val="22"/>
        </w:rPr>
        <w:lastRenderedPageBreak/>
        <w:t xml:space="preserve">medio, </w:t>
      </w:r>
      <w:r w:rsidRPr="00E074A6">
        <w:rPr>
          <w:rFonts w:ascii="Palatino Linotype" w:eastAsia="Palatino Linotype" w:hAnsi="Palatino Linotype" w:cs="Palatino Linotype"/>
          <w:b/>
          <w:i/>
          <w:sz w:val="22"/>
          <w:szCs w:val="22"/>
        </w:rPr>
        <w:t>se le hará saber por el medio requerido por el solicitante la fuente, el lugar y la forma en que puede consultar, reproducir o adquirir dicha información en un plazo no mayor a cinco días hábiles. La fuente deberá ser precisa y concreta y no debe implicar que el solicitante realice una búsqueda en toda la información que se encuentre disponible.</w:t>
      </w:r>
    </w:p>
    <w:p w14:paraId="4F9F3526" w14:textId="77777777" w:rsidR="0003348D" w:rsidRPr="00E074A6" w:rsidRDefault="00A70830">
      <w:pPr>
        <w:spacing w:line="360" w:lineRule="auto"/>
        <w:ind w:left="567" w:right="567"/>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(Énfasis añadido)</w:t>
      </w:r>
    </w:p>
    <w:p w14:paraId="29C6D171" w14:textId="77777777" w:rsidR="0003348D" w:rsidRPr="00E074A6" w:rsidRDefault="0003348D">
      <w:pPr>
        <w:spacing w:line="360" w:lineRule="auto"/>
        <w:ind w:left="567" w:right="567"/>
        <w:jc w:val="both"/>
        <w:rPr>
          <w:rFonts w:ascii="Palatino Linotype" w:eastAsia="Palatino Linotype" w:hAnsi="Palatino Linotype" w:cs="Palatino Linotype"/>
          <w:b/>
          <w:i/>
          <w:sz w:val="22"/>
          <w:szCs w:val="22"/>
        </w:rPr>
      </w:pPr>
    </w:p>
    <w:p w14:paraId="4B5D9F56"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Es así que, toda aquella información que sea requerida por los particulares que, previamente se encuentre disponible en sitios electrónicos, como puede ser de manera enunciativa más no limitativa, el sitio oficial del Sujeto Obligado o el portal IPOMEX o las páginas institucionales. Los Sujetos Obligado deben indicar la dirección electrónica donde obra la información solicitada. </w:t>
      </w:r>
      <w:r w:rsidRPr="00E074A6">
        <w:rPr>
          <w:rFonts w:ascii="Palatino Linotype" w:eastAsia="Palatino Linotype" w:hAnsi="Palatino Linotype" w:cs="Palatino Linotype"/>
          <w:b/>
          <w:sz w:val="22"/>
          <w:szCs w:val="22"/>
        </w:rPr>
        <w:t>Esta dirección electrónica debe ser precisa, de tal modo que no implique realizar una búsqueda en toda la información que ahí se encuentre, debiendo cumplir</w:t>
      </w:r>
      <w:r w:rsidRPr="00E074A6">
        <w:rPr>
          <w:rFonts w:ascii="Palatino Linotype" w:eastAsia="Palatino Linotype" w:hAnsi="Palatino Linotype" w:cs="Palatino Linotype"/>
          <w:sz w:val="22"/>
          <w:szCs w:val="22"/>
        </w:rPr>
        <w:t xml:space="preserve"> una serie de requisitos, a saber:</w:t>
      </w:r>
    </w:p>
    <w:p w14:paraId="61B6846D" w14:textId="77777777" w:rsidR="0003348D" w:rsidRPr="00E074A6" w:rsidRDefault="0003348D">
      <w:pPr>
        <w:pBdr>
          <w:top w:val="nil"/>
          <w:left w:val="nil"/>
          <w:bottom w:val="nil"/>
          <w:right w:val="nil"/>
          <w:between w:val="nil"/>
        </w:pBdr>
        <w:spacing w:line="360" w:lineRule="auto"/>
        <w:ind w:left="720" w:right="48"/>
        <w:jc w:val="both"/>
        <w:rPr>
          <w:rFonts w:ascii="Palatino Linotype" w:eastAsia="Palatino Linotype" w:hAnsi="Palatino Linotype" w:cs="Palatino Linotype"/>
          <w:b/>
          <w:sz w:val="22"/>
          <w:szCs w:val="22"/>
        </w:rPr>
      </w:pPr>
    </w:p>
    <w:p w14:paraId="32032FCD" w14:textId="77777777" w:rsidR="0003348D" w:rsidRPr="00E074A6" w:rsidRDefault="00A70830">
      <w:pPr>
        <w:numPr>
          <w:ilvl w:val="0"/>
          <w:numId w:val="8"/>
        </w:numPr>
        <w:pBdr>
          <w:top w:val="nil"/>
          <w:left w:val="nil"/>
          <w:bottom w:val="nil"/>
          <w:right w:val="nil"/>
          <w:between w:val="nil"/>
        </w:pBdr>
        <w:spacing w:line="360" w:lineRule="auto"/>
        <w:ind w:right="48"/>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La dirección electrónica debe señalarse en un plazo no mayor a cinco días hábiles;</w:t>
      </w:r>
    </w:p>
    <w:p w14:paraId="3F4D9C05" w14:textId="77777777" w:rsidR="0003348D" w:rsidRPr="00E074A6" w:rsidRDefault="00A70830">
      <w:pPr>
        <w:numPr>
          <w:ilvl w:val="0"/>
          <w:numId w:val="8"/>
        </w:numPr>
        <w:pBdr>
          <w:top w:val="nil"/>
          <w:left w:val="nil"/>
          <w:bottom w:val="nil"/>
          <w:right w:val="nil"/>
          <w:between w:val="nil"/>
        </w:pBdr>
        <w:spacing w:line="360" w:lineRule="auto"/>
        <w:ind w:right="48"/>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La dirección electrónica debe ser precisa, de tal modo que no implique realizar una búsqueda en toda la información que ahí se encuentre; y,</w:t>
      </w:r>
    </w:p>
    <w:p w14:paraId="1F674FC6" w14:textId="77777777" w:rsidR="0003348D" w:rsidRPr="00E074A6" w:rsidRDefault="00A70830">
      <w:pPr>
        <w:numPr>
          <w:ilvl w:val="0"/>
          <w:numId w:val="8"/>
        </w:numPr>
        <w:pBdr>
          <w:top w:val="nil"/>
          <w:left w:val="nil"/>
          <w:bottom w:val="nil"/>
          <w:right w:val="nil"/>
          <w:between w:val="nil"/>
        </w:pBdr>
        <w:spacing w:line="360" w:lineRule="auto"/>
        <w:ind w:right="48"/>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La dirección electrónica debe ir acompañada del procedimiento a seguir, en caso de que la información se encuentre en distintos puntos del sitio electrónico referido; y,</w:t>
      </w:r>
    </w:p>
    <w:p w14:paraId="596C1E3E" w14:textId="77777777" w:rsidR="0003348D" w:rsidRPr="00E074A6" w:rsidRDefault="00A70830">
      <w:pPr>
        <w:numPr>
          <w:ilvl w:val="0"/>
          <w:numId w:val="8"/>
        </w:numPr>
        <w:pBdr>
          <w:top w:val="nil"/>
          <w:left w:val="nil"/>
          <w:bottom w:val="nil"/>
          <w:right w:val="nil"/>
          <w:between w:val="nil"/>
        </w:pBdr>
        <w:spacing w:line="360" w:lineRule="auto"/>
        <w:ind w:right="48"/>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u w:val="single"/>
        </w:rPr>
        <w:t>La dirección electrónica se debe entregar en formato abierto,</w:t>
      </w:r>
      <w:r w:rsidRPr="00E074A6">
        <w:rPr>
          <w:rFonts w:ascii="Palatino Linotype" w:eastAsia="Palatino Linotype" w:hAnsi="Palatino Linotype" w:cs="Palatino Linotype"/>
          <w:b/>
          <w:sz w:val="22"/>
          <w:szCs w:val="22"/>
        </w:rPr>
        <w:t xml:space="preserve"> para que el Recurrente pueda copiar y pegar sin la necesidad de transcribir la liga electrónica.</w:t>
      </w:r>
    </w:p>
    <w:p w14:paraId="23D11D06" w14:textId="77777777" w:rsidR="0003348D" w:rsidRPr="00E074A6" w:rsidRDefault="0003348D">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p>
    <w:p w14:paraId="28532342"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Ahora bien, de la revisión de esta, se logra vislumbrar que en encuentran en un formato cerrado, es decir, que no se puede copiar y pegar para tener acceso; sobre el tema, Trujillo, Humberto (2019), en el “Diccionario de Transparencia y Acceso a la Información Pública” </w:t>
      </w:r>
      <w:r w:rsidRPr="00E074A6">
        <w:rPr>
          <w:rFonts w:ascii="Palatino Linotype" w:eastAsia="Palatino Linotype" w:hAnsi="Palatino Linotype" w:cs="Palatino Linotype"/>
          <w:sz w:val="22"/>
          <w:szCs w:val="22"/>
        </w:rPr>
        <w:lastRenderedPageBreak/>
        <w:t>(p. 136 y 137), precisa que cuando un Sujeto Obligado proporciona información pública de manera electrónica es necesario garantizar su interoperabilidad, lo cual se traduce al hecho a que la información contenga datos en formatos y estándares abiertos para su reproducción y reutilización electrónica de manera libre y sin ninguna restricción.</w:t>
      </w:r>
    </w:p>
    <w:p w14:paraId="187C57AC"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753C19E7"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Asimismo, establece que al proporcionar información pública es necesario que sea en un formato que no tenga ninguna restricción en el acceso o reutilización, por lo que, es necesario que los datos digitales (como ligas electrónicas), se proporcionen en un formato abierto.</w:t>
      </w:r>
    </w:p>
    <w:p w14:paraId="1DBAAA82"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1D2BECCF"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En ese contexto, el artículo 3°, fracción VI y X, de la Ley General de Transparencia y Acceso a la Información Pública, con relación, al diverso 3°, fracciones VIII y XVI de la Ley de Transparencia y Acceso a la Información Pública del Estado de México y Municipios, precisan lo siguiente:</w:t>
      </w:r>
    </w:p>
    <w:p w14:paraId="392881CA"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6207EBE3" w14:textId="77777777" w:rsidR="0003348D" w:rsidRPr="00E074A6" w:rsidRDefault="00A70830">
      <w:pPr>
        <w:numPr>
          <w:ilvl w:val="0"/>
          <w:numId w:val="1"/>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 xml:space="preserve">Dato abierto: </w:t>
      </w:r>
      <w:r w:rsidRPr="00E074A6">
        <w:rPr>
          <w:rFonts w:ascii="Palatino Linotype" w:eastAsia="Palatino Linotype" w:hAnsi="Palatino Linotype" w:cs="Palatino Linotype"/>
          <w:sz w:val="22"/>
          <w:szCs w:val="22"/>
        </w:rPr>
        <w:t>Datos digitales de carácter público que son accesibles en línea que pueden ser usados, reutilizados y redistribuidos por cualquier persona, mismos que se conforman de diversas características, entre las cuales se encuentra que se encuentren en formatos abiertos.</w:t>
      </w:r>
    </w:p>
    <w:p w14:paraId="64F14492" w14:textId="77777777" w:rsidR="0003348D" w:rsidRPr="00E074A6" w:rsidRDefault="0003348D">
      <w:pPr>
        <w:pBdr>
          <w:top w:val="nil"/>
          <w:left w:val="nil"/>
          <w:bottom w:val="nil"/>
          <w:right w:val="nil"/>
          <w:between w:val="nil"/>
        </w:pBdr>
        <w:spacing w:line="360" w:lineRule="auto"/>
        <w:ind w:left="720"/>
        <w:jc w:val="both"/>
        <w:rPr>
          <w:rFonts w:ascii="Palatino Linotype" w:eastAsia="Palatino Linotype" w:hAnsi="Palatino Linotype" w:cs="Palatino Linotype"/>
          <w:b/>
          <w:sz w:val="22"/>
          <w:szCs w:val="22"/>
        </w:rPr>
      </w:pPr>
    </w:p>
    <w:p w14:paraId="16E07E77" w14:textId="77777777" w:rsidR="0003348D" w:rsidRPr="00E074A6" w:rsidRDefault="00A70830">
      <w:pPr>
        <w:numPr>
          <w:ilvl w:val="0"/>
          <w:numId w:val="1"/>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 xml:space="preserve">Formato accesible: </w:t>
      </w:r>
      <w:r w:rsidRPr="00E074A6">
        <w:rPr>
          <w:rFonts w:ascii="Palatino Linotype" w:eastAsia="Palatino Linotype" w:hAnsi="Palatino Linotype" w:cs="Palatino Linotype"/>
          <w:sz w:val="22"/>
          <w:szCs w:val="22"/>
        </w:rPr>
        <w:t>Conjunto de características técnicas y de presentación de la información que corresponden a la estructura lógica usada para almacenar datos de forma integral y facilitan su procesamiento digital, cuyas especificaciones estás disponibles públicamente y que permite el acceso sin restricción de uso por parte de los usuarios.</w:t>
      </w:r>
    </w:p>
    <w:p w14:paraId="3D606483"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35FCC1CB"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Conforme a lo anterior, se considera que en el caso de que la información peticionada obre en ligas electrónicas, el Sujeto Obligado deberá privilegiar la entrega de estas, en datos abiertos, es decir, en un formato que permita la accesibilidad y facilidad a los Particulares, para obtener la información contenida estas.</w:t>
      </w:r>
    </w:p>
    <w:p w14:paraId="3CA3582C" w14:textId="77777777" w:rsidR="0003348D" w:rsidRPr="00E074A6" w:rsidRDefault="0003348D">
      <w:pPr>
        <w:pBdr>
          <w:top w:val="nil"/>
          <w:left w:val="nil"/>
          <w:bottom w:val="nil"/>
          <w:right w:val="nil"/>
          <w:between w:val="nil"/>
        </w:pBdr>
        <w:ind w:left="720"/>
        <w:rPr>
          <w:rFonts w:ascii="Palatino Linotype" w:eastAsia="Palatino Linotype" w:hAnsi="Palatino Linotype" w:cs="Palatino Linotype"/>
          <w:b/>
          <w:sz w:val="22"/>
          <w:szCs w:val="22"/>
        </w:rPr>
      </w:pPr>
    </w:p>
    <w:p w14:paraId="617A5823" w14:textId="77777777" w:rsidR="0003348D" w:rsidRPr="00E074A6" w:rsidRDefault="00A70830">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En el presente asunto, la Dirección de Administración entregó las direcciones electrónicas en formato cerrado, lo que propicia que el Recurrente deba transcribir cada uno de los caracteres, lo que facilita a errores y con ello la imposibilidad o dificultad para acceder a la información. </w:t>
      </w:r>
    </w:p>
    <w:p w14:paraId="2D9433D9" w14:textId="77777777" w:rsidR="0003348D" w:rsidRPr="00E074A6" w:rsidRDefault="0003348D">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p>
    <w:p w14:paraId="2995CC59" w14:textId="77777777" w:rsidR="0003348D" w:rsidRPr="00E074A6" w:rsidRDefault="00A70830">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Tal y como se aprecia, la dirección electrónica incumple lo que estipula el artículo 161 antes citado, en razón de lo siguiente:</w:t>
      </w:r>
    </w:p>
    <w:p w14:paraId="72CD34DE" w14:textId="77777777" w:rsidR="0003348D" w:rsidRPr="00E074A6" w:rsidRDefault="0003348D">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p>
    <w:p w14:paraId="45720DE0" w14:textId="77777777" w:rsidR="0003348D" w:rsidRPr="00E074A6" w:rsidRDefault="00A70830">
      <w:pPr>
        <w:numPr>
          <w:ilvl w:val="0"/>
          <w:numId w:val="9"/>
        </w:num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La dirección electrónica se encuentra en formato cerrado, por lo que no resulta accesible para el Recurrente.</w:t>
      </w:r>
    </w:p>
    <w:p w14:paraId="438B3380" w14:textId="77777777" w:rsidR="0003348D" w:rsidRPr="00E074A6" w:rsidRDefault="0003348D">
      <w:pPr>
        <w:pBdr>
          <w:top w:val="nil"/>
          <w:left w:val="nil"/>
          <w:bottom w:val="nil"/>
          <w:right w:val="nil"/>
          <w:between w:val="nil"/>
        </w:pBdr>
        <w:spacing w:line="360" w:lineRule="auto"/>
        <w:ind w:left="720" w:right="-150"/>
        <w:jc w:val="both"/>
        <w:rPr>
          <w:rFonts w:ascii="Palatino Linotype" w:eastAsia="Palatino Linotype" w:hAnsi="Palatino Linotype" w:cs="Palatino Linotype"/>
          <w:sz w:val="22"/>
          <w:szCs w:val="22"/>
        </w:rPr>
      </w:pPr>
    </w:p>
    <w:p w14:paraId="4E438945" w14:textId="77777777" w:rsidR="0003348D" w:rsidRPr="00E074A6" w:rsidRDefault="00A70830">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En conclusión, se determina que la información proporcionada por el Sujeto Obligado no colma el derecho accionado por el Recurrente. </w:t>
      </w:r>
    </w:p>
    <w:p w14:paraId="0FF5F8C2" w14:textId="77777777" w:rsidR="0003348D" w:rsidRPr="00E074A6" w:rsidRDefault="0003348D">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p>
    <w:p w14:paraId="6A54D209" w14:textId="77777777" w:rsidR="0003348D" w:rsidRPr="00E074A6" w:rsidRDefault="00A70830">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Establecido lo anterior, es necesario precisar que la naturaleza de la solicitud versa documentación relacionada con la adquisición de bienes y servicios, razón por la que es indispensable traer a contexto lo dispuesto en la Ley de la Contratación Pública del Estado de México y Municipios, la cual tiene por objeto regular los actos relativos a la planeación, programación, presupuestación, ejecución y control de </w:t>
      </w:r>
      <w:r w:rsidRPr="00E074A6">
        <w:rPr>
          <w:rFonts w:ascii="Palatino Linotype" w:eastAsia="Palatino Linotype" w:hAnsi="Palatino Linotype" w:cs="Palatino Linotype"/>
          <w:b/>
          <w:sz w:val="22"/>
          <w:szCs w:val="22"/>
        </w:rPr>
        <w:t xml:space="preserve">la </w:t>
      </w:r>
      <w:r w:rsidRPr="00E074A6">
        <w:rPr>
          <w:rFonts w:ascii="Palatino Linotype" w:eastAsia="Palatino Linotype" w:hAnsi="Palatino Linotype" w:cs="Palatino Linotype"/>
          <w:b/>
          <w:sz w:val="22"/>
          <w:szCs w:val="22"/>
          <w:u w:val="single"/>
        </w:rPr>
        <w:t>adquisición</w:t>
      </w:r>
      <w:r w:rsidRPr="00E074A6">
        <w:rPr>
          <w:rFonts w:ascii="Palatino Linotype" w:eastAsia="Palatino Linotype" w:hAnsi="Palatino Linotype" w:cs="Palatino Linotype"/>
          <w:sz w:val="22"/>
          <w:szCs w:val="22"/>
        </w:rPr>
        <w:t xml:space="preserve">, enajenación y </w:t>
      </w:r>
      <w:r w:rsidRPr="00E074A6">
        <w:rPr>
          <w:rFonts w:ascii="Palatino Linotype" w:eastAsia="Palatino Linotype" w:hAnsi="Palatino Linotype" w:cs="Palatino Linotype"/>
          <w:b/>
          <w:sz w:val="22"/>
          <w:szCs w:val="22"/>
        </w:rPr>
        <w:t xml:space="preserve">arrendamiento </w:t>
      </w:r>
      <w:r w:rsidRPr="00E074A6">
        <w:rPr>
          <w:rFonts w:ascii="Palatino Linotype" w:eastAsia="Palatino Linotype" w:hAnsi="Palatino Linotype" w:cs="Palatino Linotype"/>
          <w:b/>
          <w:sz w:val="22"/>
          <w:szCs w:val="22"/>
          <w:u w:val="single"/>
        </w:rPr>
        <w:t>de bienes</w:t>
      </w:r>
      <w:r w:rsidRPr="00E074A6">
        <w:rPr>
          <w:rFonts w:ascii="Palatino Linotype" w:eastAsia="Palatino Linotype" w:hAnsi="Palatino Linotype" w:cs="Palatino Linotype"/>
          <w:sz w:val="22"/>
          <w:szCs w:val="22"/>
        </w:rPr>
        <w:t xml:space="preserve">, </w:t>
      </w:r>
      <w:r w:rsidRPr="00E074A6">
        <w:rPr>
          <w:rFonts w:ascii="Palatino Linotype" w:eastAsia="Palatino Linotype" w:hAnsi="Palatino Linotype" w:cs="Palatino Linotype"/>
          <w:b/>
          <w:sz w:val="22"/>
          <w:szCs w:val="22"/>
        </w:rPr>
        <w:t xml:space="preserve">y la </w:t>
      </w:r>
      <w:r w:rsidRPr="00E074A6">
        <w:rPr>
          <w:rFonts w:ascii="Palatino Linotype" w:eastAsia="Palatino Linotype" w:hAnsi="Palatino Linotype" w:cs="Palatino Linotype"/>
          <w:b/>
          <w:sz w:val="22"/>
          <w:szCs w:val="22"/>
          <w:u w:val="single"/>
        </w:rPr>
        <w:t>contratación de servicios de cualquier naturaleza</w:t>
      </w:r>
      <w:r w:rsidRPr="00E074A6">
        <w:rPr>
          <w:rFonts w:ascii="Palatino Linotype" w:eastAsia="Palatino Linotype" w:hAnsi="Palatino Linotype" w:cs="Palatino Linotype"/>
          <w:sz w:val="22"/>
          <w:szCs w:val="22"/>
          <w:u w:val="single"/>
        </w:rPr>
        <w:t>, que realicen los Ayuntamientos del Estado</w:t>
      </w:r>
      <w:r w:rsidRPr="00E074A6">
        <w:rPr>
          <w:rFonts w:ascii="Palatino Linotype" w:eastAsia="Palatino Linotype" w:hAnsi="Palatino Linotype" w:cs="Palatino Linotype"/>
          <w:sz w:val="22"/>
          <w:szCs w:val="22"/>
        </w:rPr>
        <w:t xml:space="preserve">; los cuales se adjudicarán a través de </w:t>
      </w:r>
      <w:r w:rsidRPr="00E074A6">
        <w:rPr>
          <w:rFonts w:ascii="Palatino Linotype" w:eastAsia="Palatino Linotype" w:hAnsi="Palatino Linotype" w:cs="Palatino Linotype"/>
          <w:sz w:val="22"/>
          <w:szCs w:val="22"/>
          <w:u w:val="single"/>
        </w:rPr>
        <w:t>licitaciones públicas</w:t>
      </w:r>
      <w:r w:rsidRPr="00E074A6">
        <w:rPr>
          <w:rFonts w:ascii="Palatino Linotype" w:eastAsia="Palatino Linotype" w:hAnsi="Palatino Linotype" w:cs="Palatino Linotype"/>
          <w:sz w:val="22"/>
          <w:szCs w:val="22"/>
        </w:rPr>
        <w:t>, i</w:t>
      </w:r>
      <w:r w:rsidRPr="00E074A6">
        <w:rPr>
          <w:rFonts w:ascii="Palatino Linotype" w:eastAsia="Palatino Linotype" w:hAnsi="Palatino Linotype" w:cs="Palatino Linotype"/>
          <w:sz w:val="22"/>
          <w:szCs w:val="22"/>
          <w:u w:val="single"/>
        </w:rPr>
        <w:t>nvitación restringida o adjudicación directa,</w:t>
      </w:r>
      <w:r w:rsidRPr="00E074A6">
        <w:rPr>
          <w:rFonts w:ascii="Palatino Linotype" w:eastAsia="Palatino Linotype" w:hAnsi="Palatino Linotype" w:cs="Palatino Linotype"/>
          <w:sz w:val="22"/>
          <w:szCs w:val="22"/>
        </w:rPr>
        <w:t xml:space="preserve"> mediante convocatoria pública, tal y como lo establecen los artículos 4, 26 y 27 de dicha Ley, los cuales son del tenor siguiente: </w:t>
      </w:r>
    </w:p>
    <w:p w14:paraId="530A9FE0" w14:textId="77777777" w:rsidR="0003348D" w:rsidRPr="00E074A6" w:rsidRDefault="0003348D">
      <w:pPr>
        <w:jc w:val="both"/>
        <w:rPr>
          <w:rFonts w:ascii="Palatino Linotype" w:eastAsia="Palatino Linotype" w:hAnsi="Palatino Linotype" w:cs="Palatino Linotype"/>
          <w:sz w:val="22"/>
          <w:szCs w:val="22"/>
        </w:rPr>
      </w:pPr>
    </w:p>
    <w:p w14:paraId="59A430D6"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Artículo 4.-</w:t>
      </w:r>
      <w:r w:rsidRPr="00E074A6">
        <w:rPr>
          <w:rFonts w:ascii="Palatino Linotype" w:eastAsia="Palatino Linotype" w:hAnsi="Palatino Linotype" w:cs="Palatino Linotype"/>
          <w:i/>
          <w:sz w:val="22"/>
          <w:szCs w:val="22"/>
        </w:rPr>
        <w:t xml:space="preserve"> Para los efectos de esta Ley, en las adquisiciones, enajenaciones, arrendamientos y servicios, quedan comprendidos: </w:t>
      </w:r>
    </w:p>
    <w:p w14:paraId="0AF26121"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u w:val="single"/>
        </w:rPr>
      </w:pPr>
      <w:r w:rsidRPr="00E074A6">
        <w:rPr>
          <w:rFonts w:ascii="Palatino Linotype" w:eastAsia="Palatino Linotype" w:hAnsi="Palatino Linotype" w:cs="Palatino Linotype"/>
          <w:b/>
          <w:i/>
          <w:sz w:val="22"/>
          <w:szCs w:val="22"/>
          <w:u w:val="single"/>
        </w:rPr>
        <w:t xml:space="preserve">I. La adquisición de bienes muebles. </w:t>
      </w:r>
    </w:p>
    <w:p w14:paraId="0F84EB3C"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II. La adquisición de bienes inmuebles, a través de compraventa. </w:t>
      </w:r>
    </w:p>
    <w:p w14:paraId="794111C5"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III. La enajenación de bienes muebles e inmuebles. </w:t>
      </w:r>
    </w:p>
    <w:p w14:paraId="50539C84"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IV. El arrendamiento de bienes muebles e inmuebles. </w:t>
      </w:r>
    </w:p>
    <w:p w14:paraId="32A847CD"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u w:val="single"/>
        </w:rPr>
      </w:pPr>
      <w:r w:rsidRPr="00E074A6">
        <w:rPr>
          <w:rFonts w:ascii="Palatino Linotype" w:eastAsia="Palatino Linotype" w:hAnsi="Palatino Linotype" w:cs="Palatino Linotype"/>
          <w:b/>
          <w:i/>
          <w:sz w:val="22"/>
          <w:szCs w:val="22"/>
          <w:u w:val="single"/>
        </w:rPr>
        <w:t xml:space="preserve">V. La contratación de los servicios, relacionados con bienes muebles que se encuentran incorporados o adheridos a bienes inmuebles, cuya instalación o mantenimiento no implique modificación al bien inmueble. </w:t>
      </w:r>
    </w:p>
    <w:p w14:paraId="7CD740C3"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VI. La contratación de los servicios de reconstrucción y mantenimiento de bienes muebles. </w:t>
      </w:r>
    </w:p>
    <w:p w14:paraId="68DC6901"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u w:val="single"/>
        </w:rPr>
        <w:t>VII. La contratación de los servicios de maquila, seguros y transportación, así como de los de limpieza y vigilancia de bienes inmuebles</w:t>
      </w:r>
    </w:p>
    <w:p w14:paraId="6AB5486B"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VIII. La prestación de servicios profesionales, la contratación de consultorías, asesorías y estudios e investigaciones, excepto la contratación de servicios personales de personas físicas bajo el régimen de honorarios. </w:t>
      </w:r>
    </w:p>
    <w:p w14:paraId="47A810C7"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u w:val="single"/>
        </w:rPr>
      </w:pPr>
      <w:r w:rsidRPr="00E074A6">
        <w:rPr>
          <w:rFonts w:ascii="Palatino Linotype" w:eastAsia="Palatino Linotype" w:hAnsi="Palatino Linotype" w:cs="Palatino Linotype"/>
          <w:b/>
          <w:i/>
          <w:sz w:val="22"/>
          <w:szCs w:val="22"/>
          <w:u w:val="single"/>
        </w:rPr>
        <w:t>En general, otros actos que impliquen la contratación de servicios de cualquier naturaleza.</w:t>
      </w:r>
    </w:p>
    <w:p w14:paraId="15988F51"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Artículo 26.- Las adquisiciones, arrendamientos y servicios se adjudicarán a través de licitaciones públicas, mediante convocatoria pública.</w:t>
      </w:r>
    </w:p>
    <w:p w14:paraId="18BED4EB" w14:textId="77777777" w:rsidR="0003348D" w:rsidRPr="00E074A6" w:rsidRDefault="0003348D">
      <w:pPr>
        <w:spacing w:line="360" w:lineRule="auto"/>
        <w:ind w:left="567" w:right="822"/>
        <w:jc w:val="both"/>
        <w:rPr>
          <w:rFonts w:ascii="Palatino Linotype" w:eastAsia="Palatino Linotype" w:hAnsi="Palatino Linotype" w:cs="Palatino Linotype"/>
          <w:b/>
          <w:i/>
          <w:sz w:val="22"/>
          <w:szCs w:val="22"/>
        </w:rPr>
      </w:pPr>
    </w:p>
    <w:p w14:paraId="6BFB0194"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 xml:space="preserve">Artículo 27.- </w:t>
      </w:r>
      <w:r w:rsidRPr="00E074A6">
        <w:rPr>
          <w:rFonts w:ascii="Palatino Linotype" w:eastAsia="Palatino Linotype" w:hAnsi="Palatino Linotype" w:cs="Palatino Linotype"/>
          <w:i/>
          <w:sz w:val="22"/>
          <w:szCs w:val="22"/>
        </w:rPr>
        <w:t xml:space="preserve">La Secretaría, las entidades, los tribunales administrativos y los ayuntamientos podrán adjudicar adquisiciones, arrendamientos y servicios, mediante las excepciones al procedimiento de licitación que a continuación se señalan: </w:t>
      </w:r>
    </w:p>
    <w:p w14:paraId="17786C2D"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I. Invitación restringida. </w:t>
      </w:r>
    </w:p>
    <w:p w14:paraId="01DAB2EC"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II. Adjudicación directa.”</w:t>
      </w:r>
    </w:p>
    <w:p w14:paraId="3E0EC088" w14:textId="77777777" w:rsidR="0003348D" w:rsidRPr="00E074A6" w:rsidRDefault="00A70830">
      <w:pPr>
        <w:ind w:left="567" w:right="567"/>
        <w:jc w:val="right"/>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lastRenderedPageBreak/>
        <w:t xml:space="preserve">(Énfasis añadido) </w:t>
      </w:r>
    </w:p>
    <w:p w14:paraId="56FCEF1C"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406DDD83"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Así, en lo que respecta sobre la licitación pública, el artículo 29 de la Ley de la Contratación Pública en mención, indica que en este procedimiento deberán establecerse los mismos requisitos y condiciones para todos los licitantes. Todo licitante que satisfaga los requisitos de la convocatoria y de las bases de la licitación tendrá derecho a presentar su propuesta. </w:t>
      </w:r>
    </w:p>
    <w:p w14:paraId="51D7CA59" w14:textId="77777777" w:rsidR="0003348D" w:rsidRPr="00E074A6" w:rsidRDefault="0003348D">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5E7A976A"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Asimismo, el artículo 33, del mismo ordenamiento legal, puntualmente señala el contenido que deberá tener la convocatoria para la celebración de las licitaciones públicas y por su parte, el consecutivo 34 señala que las bases de la licitación pública tendrán un costo de recuperación y contendrán los requisitos que se establezcan en el reglamento de dicha Ley. </w:t>
      </w:r>
    </w:p>
    <w:p w14:paraId="200FAA9B" w14:textId="77777777" w:rsidR="0003348D" w:rsidRPr="00E074A6" w:rsidRDefault="0003348D">
      <w:pPr>
        <w:pBdr>
          <w:top w:val="nil"/>
          <w:left w:val="nil"/>
          <w:bottom w:val="nil"/>
          <w:right w:val="nil"/>
          <w:between w:val="nil"/>
        </w:pBdr>
        <w:ind w:left="720"/>
        <w:rPr>
          <w:rFonts w:ascii="Palatino Linotype" w:eastAsia="Palatino Linotype" w:hAnsi="Palatino Linotype" w:cs="Palatino Linotype"/>
          <w:sz w:val="22"/>
          <w:szCs w:val="22"/>
        </w:rPr>
      </w:pPr>
    </w:p>
    <w:p w14:paraId="1410C1C5"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Por lo que, en las licitaciones se debe seguir el procedimiento marcado en el artículo 35 del precitado ordenamiento, que literalmente establece:</w:t>
      </w:r>
    </w:p>
    <w:p w14:paraId="61E664A7" w14:textId="77777777" w:rsidR="0003348D" w:rsidRPr="00E074A6" w:rsidRDefault="0003348D">
      <w:pPr>
        <w:jc w:val="both"/>
        <w:rPr>
          <w:rFonts w:ascii="Palatino Linotype" w:eastAsia="Palatino Linotype" w:hAnsi="Palatino Linotype" w:cs="Palatino Linotype"/>
          <w:sz w:val="22"/>
          <w:szCs w:val="22"/>
        </w:rPr>
      </w:pPr>
    </w:p>
    <w:p w14:paraId="5EB03C73"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35</w:t>
      </w:r>
      <w:r w:rsidRPr="00E074A6">
        <w:rPr>
          <w:rFonts w:ascii="Palatino Linotype" w:eastAsia="Palatino Linotype" w:hAnsi="Palatino Linotype" w:cs="Palatino Linotype"/>
          <w:i/>
          <w:sz w:val="22"/>
          <w:szCs w:val="22"/>
        </w:rPr>
        <w:t>.- En los procedimientos de licitación pública se observará lo siguiente:</w:t>
      </w:r>
    </w:p>
    <w:p w14:paraId="2A0BE331"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I. El acto de presentación y apertura de propuestas se llevará a cabo por el servidor público que designe la convocante, conforme al procedimiento que se establezca en el reglamento de esta Ley.</w:t>
      </w:r>
    </w:p>
    <w:p w14:paraId="2517995B"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II. El comité de adquisiciones y servicios evaluará y analizará las propuestas técnicas y económicas presentadas por los licitantes en el ámbito de las respectivas competencias de sus integrantes, y emitirá el dictamen de adjudicación.</w:t>
      </w:r>
    </w:p>
    <w:p w14:paraId="156307A3"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III. Las bases de licitación se pondrán a la venta a partir de la fecha de publicación de la convocatoria y hasta el día hábil anterior a la fecha de celebración </w:t>
      </w:r>
      <w:r w:rsidRPr="00E074A6">
        <w:rPr>
          <w:rFonts w:ascii="Palatino Linotype" w:eastAsia="Palatino Linotype" w:hAnsi="Palatino Linotype" w:cs="Palatino Linotype"/>
          <w:b/>
          <w:i/>
          <w:sz w:val="22"/>
          <w:szCs w:val="22"/>
        </w:rPr>
        <w:t>de la junta de aclaraciones</w:t>
      </w:r>
      <w:r w:rsidRPr="00E074A6">
        <w:rPr>
          <w:rFonts w:ascii="Palatino Linotype" w:eastAsia="Palatino Linotype" w:hAnsi="Palatino Linotype" w:cs="Palatino Linotype"/>
          <w:i/>
          <w:sz w:val="22"/>
          <w:szCs w:val="22"/>
        </w:rPr>
        <w:t xml:space="preserve"> o, en su defecto, del acto de presentación y apertura de propuestas.</w:t>
      </w:r>
    </w:p>
    <w:p w14:paraId="1328A7F2"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IV. Las convocantes podrán modificar los plazos y términos establecidos en la convocatoria o en las bases de licitación, hasta cinco días hábiles anteriores a la fecha de la celebración del acto de presentación y apertura de propuestas.</w:t>
      </w:r>
    </w:p>
    <w:p w14:paraId="19BFBD71"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lastRenderedPageBreak/>
        <w:t>V. Las modificaciones no podrán limitar el número de licitantes, sustituir o variar sustancialmente los bienes o servicios convocados originalmente, ni adicionar otros  distintos.</w:t>
      </w:r>
    </w:p>
    <w:p w14:paraId="6BD35950"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VI. Las modificaciones a la convocatoria o a las bases se harán del conocimiento de los interesados hasta tres días hábiles antes de la fecha señalada para el acto de presentación y apertura de propuestas.</w:t>
      </w:r>
    </w:p>
    <w:p w14:paraId="261633EC"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VII. Se emitirá el fallo dentro de los 15 días hábiles siguientes a la publicación de la convocatoria.</w:t>
      </w:r>
    </w:p>
    <w:p w14:paraId="3CD2A0E7"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VIII. Los licitantes se podrán registrar hasta el día y la hora fijados para el acto de presentación y apertura de propuestas.</w:t>
      </w:r>
      <w:r w:rsidRPr="00E074A6">
        <w:rPr>
          <w:rFonts w:ascii="Palatino Linotype" w:eastAsia="Palatino Linotype" w:hAnsi="Palatino Linotype" w:cs="Palatino Linotype"/>
          <w:b/>
          <w:i/>
          <w:sz w:val="22"/>
          <w:szCs w:val="22"/>
        </w:rPr>
        <w:t>”</w:t>
      </w:r>
    </w:p>
    <w:p w14:paraId="77739249" w14:textId="77777777" w:rsidR="0003348D" w:rsidRPr="00E074A6" w:rsidRDefault="00A70830">
      <w:pPr>
        <w:spacing w:line="360" w:lineRule="auto"/>
        <w:ind w:left="567" w:right="567"/>
        <w:jc w:val="right"/>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(Énfasis añadido)</w:t>
      </w:r>
    </w:p>
    <w:p w14:paraId="27BFE897"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Del precepto legal, se desprende que al Comité de Adquisiciones y Servicios, le corresponde evaluar y analizar las propuestas técnicas y económicas presentadas por los licitantes en el ámbito de las respectivas competencias de sus integrantes, debiendo emitir para ello un dictamen de adjudicación y conforme a dicho dictamen se deberá emitir el fallo dentro de los quince días hábiles siguientes a la publicación de la convocatoria.</w:t>
      </w:r>
    </w:p>
    <w:p w14:paraId="084ABC41" w14:textId="77777777" w:rsidR="0003348D" w:rsidRPr="00E074A6" w:rsidRDefault="0003348D">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3624C375"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Además, respecto al dictamen y el fallo de la adjudicación, es de señalar que la Ley en mención indica lo siguiente:</w:t>
      </w:r>
    </w:p>
    <w:p w14:paraId="3B6B4209" w14:textId="77777777" w:rsidR="0003348D" w:rsidRPr="00E074A6" w:rsidRDefault="0003348D">
      <w:pPr>
        <w:jc w:val="both"/>
        <w:rPr>
          <w:rFonts w:ascii="Palatino Linotype" w:eastAsia="Palatino Linotype" w:hAnsi="Palatino Linotype" w:cs="Palatino Linotype"/>
          <w:sz w:val="22"/>
          <w:szCs w:val="22"/>
        </w:rPr>
      </w:pPr>
    </w:p>
    <w:p w14:paraId="1CD127A4"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37.-</w:t>
      </w:r>
      <w:r w:rsidRPr="00E074A6">
        <w:rPr>
          <w:rFonts w:ascii="Palatino Linotype" w:eastAsia="Palatino Linotype" w:hAnsi="Palatino Linotype" w:cs="Palatino Linotype"/>
          <w:i/>
          <w:sz w:val="22"/>
          <w:szCs w:val="22"/>
        </w:rPr>
        <w:t xml:space="preserve"> El comité de adquisiciones y servicios realizará el análisis y evaluación de las propuestas, mediante la verificación del cumplimiento de la información y de la documentación solicitada en las bases de la licitación y conforme al criterio establecidas en las mismas. Una vez efectuado el análisis cualitativo de las propuestas presentadas, emitirá el dictamen de adjudicación a favor del oferente u oferentes que reúnan los requisitos administrativos, financieros, legales y técnicos requeridos por la convocante; </w:t>
      </w:r>
      <w:r w:rsidRPr="00E074A6">
        <w:rPr>
          <w:rFonts w:ascii="Palatino Linotype" w:eastAsia="Palatino Linotype" w:hAnsi="Palatino Linotype" w:cs="Palatino Linotype"/>
          <w:i/>
          <w:sz w:val="22"/>
          <w:szCs w:val="22"/>
        </w:rPr>
        <w:lastRenderedPageBreak/>
        <w:t>garantizando en todo momento la obtención de las mejores condiciones en cuanto a precio, calidad, financiamiento, oportunidad y demás circunstancias pertinentes.</w:t>
      </w:r>
    </w:p>
    <w:p w14:paraId="1EEA8649" w14:textId="77777777" w:rsidR="0003348D" w:rsidRPr="00E074A6" w:rsidRDefault="0003348D">
      <w:pPr>
        <w:spacing w:line="360" w:lineRule="auto"/>
        <w:ind w:left="567" w:right="567"/>
        <w:jc w:val="both"/>
        <w:rPr>
          <w:rFonts w:ascii="Palatino Linotype" w:eastAsia="Palatino Linotype" w:hAnsi="Palatino Linotype" w:cs="Palatino Linotype"/>
          <w:b/>
          <w:i/>
          <w:sz w:val="22"/>
          <w:szCs w:val="22"/>
        </w:rPr>
      </w:pPr>
    </w:p>
    <w:p w14:paraId="262E71D7"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38.-</w:t>
      </w:r>
      <w:r w:rsidRPr="00E074A6">
        <w:rPr>
          <w:rFonts w:ascii="Palatino Linotype" w:eastAsia="Palatino Linotype" w:hAnsi="Palatino Linotype" w:cs="Palatino Linotype"/>
          <w:i/>
          <w:sz w:val="22"/>
          <w:szCs w:val="22"/>
        </w:rPr>
        <w:t xml:space="preserve"> La convocante emitirá el fallo con base en el dictamen de adjudicación emitido por el comité de adquisiciones y servicios, y lo dará a conocer a los licitantes en junta pública, cuya fecha se informará en el acto de presentación y apertura de proposiciones, pudiéndose diferir por una sola ocasión.</w:t>
      </w:r>
    </w:p>
    <w:p w14:paraId="5ED21E58" w14:textId="77777777" w:rsidR="0003348D" w:rsidRPr="00E074A6" w:rsidRDefault="00A70830">
      <w:pPr>
        <w:spacing w:line="360"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El fallo de adjudicación surtirá efectos desde la emisión, siendo responsabilidad de los licitantes enterarse de su contenido, por lo que a partir de ese momento, las obligaciones derivadas de éste serán exigibles sin perjuicio de la formalización del contrato respectivo, en los términos señalados en el fallo.</w:t>
      </w:r>
      <w:r w:rsidRPr="00E074A6">
        <w:rPr>
          <w:rFonts w:ascii="Palatino Linotype" w:eastAsia="Palatino Linotype" w:hAnsi="Palatino Linotype" w:cs="Palatino Linotype"/>
          <w:b/>
          <w:i/>
          <w:sz w:val="22"/>
          <w:szCs w:val="22"/>
        </w:rPr>
        <w:t>”</w:t>
      </w:r>
      <w:r w:rsidRPr="00E074A6">
        <w:rPr>
          <w:rFonts w:ascii="Palatino Linotype" w:eastAsia="Palatino Linotype" w:hAnsi="Palatino Linotype" w:cs="Palatino Linotype"/>
          <w:i/>
          <w:sz w:val="22"/>
          <w:szCs w:val="22"/>
        </w:rPr>
        <w:t xml:space="preserve"> </w:t>
      </w:r>
    </w:p>
    <w:p w14:paraId="3DE2FC9F" w14:textId="77777777" w:rsidR="0003348D" w:rsidRPr="00E074A6" w:rsidRDefault="0003348D">
      <w:pPr>
        <w:spacing w:line="360" w:lineRule="auto"/>
        <w:ind w:left="567" w:right="567"/>
        <w:jc w:val="both"/>
        <w:rPr>
          <w:rFonts w:ascii="Palatino Linotype" w:eastAsia="Palatino Linotype" w:hAnsi="Palatino Linotype" w:cs="Palatino Linotype"/>
          <w:i/>
          <w:sz w:val="22"/>
          <w:szCs w:val="22"/>
        </w:rPr>
      </w:pPr>
    </w:p>
    <w:p w14:paraId="480233C2"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Ahora bien, por cuanto hace a la invitación restringida el artículo 44 de la Ley de la Contratación Pública del Estado de México y Municipios, dispone que podrá realizarse cuando se hubiere declarado desierto un procedimiento de licitación o cuando el importe de la operación no exceda de los montos establecidos por el Presupuesto de Egresos del Gobierno del Estado de México del ejercicio correspondiente. </w:t>
      </w:r>
    </w:p>
    <w:p w14:paraId="178864B5" w14:textId="77777777" w:rsidR="0003348D" w:rsidRPr="00E074A6" w:rsidRDefault="0003348D">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668C3550"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Además, es oportuno señalar que, las disposiciones respecto a las bases, dictámenes, fallos y fianzas, se realizan con similitud al procedimiento de licitación pública, tal como lo señalan los artículos 46 y 90 de la misma Ley, que literalmente establecen:</w:t>
      </w:r>
    </w:p>
    <w:p w14:paraId="2BE63BCB"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3A90ACA5"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46.-</w:t>
      </w:r>
      <w:r w:rsidRPr="00E074A6">
        <w:rPr>
          <w:rFonts w:ascii="Palatino Linotype" w:eastAsia="Palatino Linotype" w:hAnsi="Palatino Linotype" w:cs="Palatino Linotype"/>
          <w:i/>
          <w:sz w:val="22"/>
          <w:szCs w:val="22"/>
        </w:rPr>
        <w:t xml:space="preserve"> El procedimiento de invitación restringida se desarrollará en los términos de la licitación pública, a excepción de la publicación de la convocatoria.” (Sic)</w:t>
      </w:r>
    </w:p>
    <w:p w14:paraId="5B3BFDDF"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Por ello, el Reglamento de la Ley en comento, en su artículo 90, indica cuales lo son los supuestos que deberán observarse para llevar a cabo dicho procedimiento:</w:t>
      </w:r>
    </w:p>
    <w:p w14:paraId="27873C3D" w14:textId="77777777" w:rsidR="0003348D" w:rsidRPr="00E074A6" w:rsidRDefault="0003348D">
      <w:pPr>
        <w:spacing w:line="360" w:lineRule="auto"/>
        <w:ind w:left="567" w:right="822"/>
        <w:jc w:val="both"/>
        <w:rPr>
          <w:rFonts w:ascii="Palatino Linotype" w:eastAsia="Palatino Linotype" w:hAnsi="Palatino Linotype" w:cs="Palatino Linotype"/>
          <w:b/>
          <w:i/>
          <w:sz w:val="22"/>
          <w:szCs w:val="22"/>
        </w:rPr>
      </w:pPr>
    </w:p>
    <w:p w14:paraId="0A1EBD0A"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90.-</w:t>
      </w:r>
      <w:r w:rsidRPr="00E074A6">
        <w:rPr>
          <w:rFonts w:ascii="Palatino Linotype" w:eastAsia="Palatino Linotype" w:hAnsi="Palatino Linotype" w:cs="Palatino Linotype"/>
          <w:i/>
          <w:sz w:val="22"/>
          <w:szCs w:val="22"/>
        </w:rPr>
        <w:t xml:space="preserve"> En el procedimiento de invitación restringida se deberá observar lo siguiente:</w:t>
      </w:r>
    </w:p>
    <w:p w14:paraId="5846EA0B" w14:textId="77777777" w:rsidR="0003348D" w:rsidRPr="00E074A6" w:rsidRDefault="0003348D">
      <w:pPr>
        <w:spacing w:line="360" w:lineRule="auto"/>
        <w:ind w:left="567" w:right="822"/>
        <w:jc w:val="both"/>
        <w:rPr>
          <w:rFonts w:ascii="Palatino Linotype" w:eastAsia="Palatino Linotype" w:hAnsi="Palatino Linotype" w:cs="Palatino Linotype"/>
          <w:i/>
          <w:sz w:val="22"/>
          <w:szCs w:val="22"/>
        </w:rPr>
      </w:pPr>
    </w:p>
    <w:p w14:paraId="338D97CA"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I. Se invitará a un mínimo de tres personas seleccionadas de entre las que se encuentren inscritas en el catálogo de proveedores y de prestadores de servicios.</w:t>
      </w:r>
    </w:p>
    <w:p w14:paraId="5A04FA85"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Se podrá invitar a personas que no se encuentren inscritas, cuando en el giro correspondiente del catálogo de proveedores y prestadores de servicios no exista el registro mínimo de personas requeridas para tal modalidad;</w:t>
      </w:r>
    </w:p>
    <w:p w14:paraId="0C0BADDD"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II. Las bases de la invitación restringida indicarán los aspectos de la adquisición o contratación; y</w:t>
      </w:r>
    </w:p>
    <w:p w14:paraId="3719C031"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i/>
          <w:sz w:val="22"/>
          <w:szCs w:val="22"/>
        </w:rPr>
        <w:t>III. Serán aplicables, en lo conducente, las disposiciones de la licitación pública.</w:t>
      </w:r>
      <w:r w:rsidRPr="00E074A6">
        <w:rPr>
          <w:rFonts w:ascii="Palatino Linotype" w:eastAsia="Palatino Linotype" w:hAnsi="Palatino Linotype" w:cs="Palatino Linotype"/>
          <w:b/>
          <w:i/>
          <w:sz w:val="22"/>
          <w:szCs w:val="22"/>
        </w:rPr>
        <w:t>”</w:t>
      </w:r>
    </w:p>
    <w:p w14:paraId="71EEE786" w14:textId="77777777" w:rsidR="0003348D" w:rsidRPr="00E074A6" w:rsidRDefault="0003348D">
      <w:pPr>
        <w:spacing w:line="360" w:lineRule="auto"/>
        <w:ind w:left="709" w:right="822"/>
        <w:jc w:val="both"/>
        <w:rPr>
          <w:rFonts w:ascii="Palatino Linotype" w:eastAsia="Palatino Linotype" w:hAnsi="Palatino Linotype" w:cs="Palatino Linotype"/>
          <w:i/>
          <w:sz w:val="22"/>
          <w:szCs w:val="22"/>
        </w:rPr>
      </w:pPr>
    </w:p>
    <w:p w14:paraId="7534E3B5"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En conclusión, referente a este punto cuando los procedimientos de adquisición o prestación de servicios materia de la Ley en cita, se hubieran llevado a cabo mediante invitación restringida, por cada procedimiento se debe contar con las bases, dictámenes, fallos y en su caso, fianzas, de haber sido esta la garantía exhibida.</w:t>
      </w:r>
    </w:p>
    <w:p w14:paraId="0910837B" w14:textId="77777777" w:rsidR="0003348D" w:rsidRPr="00E074A6" w:rsidRDefault="0003348D">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5990A860"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Por último, y en cuanto hace a la adjudicación directa, el artículo 48 de la Ley de la Contratación Pública del Estado de México y Municipios y 91 del Reglamento de dicha Ley, indican en qué supuestos puede llevarse a cabo este procedimiento.</w:t>
      </w:r>
    </w:p>
    <w:p w14:paraId="1D98488A" w14:textId="77777777" w:rsidR="0003348D" w:rsidRPr="00E074A6" w:rsidRDefault="0003348D">
      <w:pPr>
        <w:pBdr>
          <w:top w:val="nil"/>
          <w:left w:val="nil"/>
          <w:bottom w:val="nil"/>
          <w:right w:val="nil"/>
          <w:between w:val="nil"/>
        </w:pBdr>
        <w:ind w:left="720"/>
        <w:rPr>
          <w:rFonts w:ascii="Palatino Linotype" w:eastAsia="Palatino Linotype" w:hAnsi="Palatino Linotype" w:cs="Palatino Linotype"/>
          <w:sz w:val="22"/>
          <w:szCs w:val="22"/>
        </w:rPr>
      </w:pPr>
    </w:p>
    <w:p w14:paraId="76238B8E"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En este sentido, el convocante debe solicitar a su comité el dictamen correspondiente del procedimiento de adjudicación directa, en el que se acredite previamente la descripción general de los bienes a adquirir; </w:t>
      </w:r>
      <w:r w:rsidRPr="00E074A6">
        <w:rPr>
          <w:rFonts w:ascii="Palatino Linotype" w:eastAsia="Palatino Linotype" w:hAnsi="Palatino Linotype" w:cs="Palatino Linotype"/>
          <w:b/>
          <w:sz w:val="22"/>
          <w:szCs w:val="22"/>
        </w:rPr>
        <w:t>la justificación o conveniencia de llevar a cabo la adjudicación directa</w:t>
      </w:r>
      <w:r w:rsidRPr="00E074A6">
        <w:rPr>
          <w:rFonts w:ascii="Palatino Linotype" w:eastAsia="Palatino Linotype" w:hAnsi="Palatino Linotype" w:cs="Palatino Linotype"/>
          <w:sz w:val="22"/>
          <w:szCs w:val="22"/>
        </w:rPr>
        <w:t>; y la certificación de suficiencia presupuestaria.</w:t>
      </w:r>
    </w:p>
    <w:p w14:paraId="4CADB3FB" w14:textId="77777777" w:rsidR="0003348D" w:rsidRPr="00E074A6" w:rsidRDefault="0003348D">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3EDE8584"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 xml:space="preserve">En este sentido, debe decirse que los </w:t>
      </w:r>
      <w:r w:rsidRPr="00E074A6">
        <w:rPr>
          <w:rFonts w:ascii="Palatino Linotype" w:eastAsia="Palatino Linotype" w:hAnsi="Palatino Linotype" w:cs="Palatino Linotype"/>
          <w:b/>
          <w:sz w:val="22"/>
          <w:szCs w:val="22"/>
          <w:u w:val="single"/>
        </w:rPr>
        <w:t>expedientes de las adquisiciones, arrendamientos, enajenaciones y servicios</w:t>
      </w:r>
      <w:r w:rsidRPr="00E074A6">
        <w:rPr>
          <w:rFonts w:ascii="Palatino Linotype" w:eastAsia="Palatino Linotype" w:hAnsi="Palatino Linotype" w:cs="Palatino Linotype"/>
          <w:sz w:val="22"/>
          <w:szCs w:val="22"/>
        </w:rPr>
        <w:t>, se encuentra considerada como una de las obligaciones de transparencias común que los Sujetos Obligados tienen el deber de poner a disposición del público de manera permanente y actualizada de forma sencilla, precisa y entendible, en los respectivos medios electrónicos, de acuerdo con sus facultades, atribuciones, funciones u objeto social, según corresponda; esto conforme a lo establecido en el artículo 92 de la de la Ley de Transparencia y Acceso a la Información Pública del Estado de México y Municipios, en su fracción XXIX, dispone lo siguiente:</w:t>
      </w:r>
    </w:p>
    <w:p w14:paraId="79B4F0EA" w14:textId="77777777" w:rsidR="0003348D" w:rsidRPr="00E074A6" w:rsidRDefault="0003348D">
      <w:pPr>
        <w:jc w:val="both"/>
        <w:rPr>
          <w:rFonts w:ascii="Palatino Linotype" w:eastAsia="Palatino Linotype" w:hAnsi="Palatino Linotype" w:cs="Palatino Linotype"/>
          <w:sz w:val="22"/>
          <w:szCs w:val="22"/>
        </w:rPr>
      </w:pPr>
    </w:p>
    <w:p w14:paraId="2D8B4AA7"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“Artículo 92. </w:t>
      </w:r>
      <w:r w:rsidRPr="00E074A6">
        <w:rPr>
          <w:rFonts w:ascii="Palatino Linotype" w:eastAsia="Palatino Linotype" w:hAnsi="Palatino Linotype" w:cs="Palatino Linotype"/>
          <w:i/>
          <w:sz w:val="22"/>
          <w:szCs w:val="22"/>
        </w:rPr>
        <w:t>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53BBB611"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w:t>
      </w:r>
    </w:p>
    <w:p w14:paraId="63449C5D"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XXIX. </w:t>
      </w:r>
      <w:r w:rsidRPr="00E074A6">
        <w:rPr>
          <w:rFonts w:ascii="Palatino Linotype" w:eastAsia="Palatino Linotype" w:hAnsi="Palatino Linotype" w:cs="Palatino Linotype"/>
          <w:i/>
          <w:sz w:val="22"/>
          <w:szCs w:val="22"/>
        </w:rPr>
        <w:t>La información sobre los procesos y resultados sobre procedimientos de adjudicación directa, invitación restringida y licitación de cualquier naturaleza, </w:t>
      </w:r>
      <w:r w:rsidRPr="00E074A6">
        <w:rPr>
          <w:rFonts w:ascii="Palatino Linotype" w:eastAsia="Palatino Linotype" w:hAnsi="Palatino Linotype" w:cs="Palatino Linotype"/>
          <w:b/>
          <w:i/>
          <w:sz w:val="22"/>
          <w:szCs w:val="22"/>
          <w:u w:val="single"/>
        </w:rPr>
        <w:t>incluyendo la versión pública del expediente respectivo y de los contratos</w:t>
      </w:r>
      <w:r w:rsidRPr="00E074A6">
        <w:rPr>
          <w:rFonts w:ascii="Palatino Linotype" w:eastAsia="Palatino Linotype" w:hAnsi="Palatino Linotype" w:cs="Palatino Linotype"/>
          <w:i/>
          <w:sz w:val="22"/>
          <w:szCs w:val="22"/>
        </w:rPr>
        <w:t> celebrados, que deberán contener, por los menos, lo siguiente:</w:t>
      </w:r>
    </w:p>
    <w:p w14:paraId="5A2F9518"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a) </w:t>
      </w:r>
      <w:r w:rsidRPr="00E074A6">
        <w:rPr>
          <w:rFonts w:ascii="Palatino Linotype" w:eastAsia="Palatino Linotype" w:hAnsi="Palatino Linotype" w:cs="Palatino Linotype"/>
          <w:i/>
          <w:sz w:val="22"/>
          <w:szCs w:val="22"/>
        </w:rPr>
        <w:t>De licitaciones públicas o procedimientos de invitación restringida:</w:t>
      </w:r>
    </w:p>
    <w:p w14:paraId="6E77967A"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1)</w:t>
      </w:r>
      <w:r w:rsidRPr="00E074A6">
        <w:rPr>
          <w:rFonts w:ascii="Palatino Linotype" w:eastAsia="Palatino Linotype" w:hAnsi="Palatino Linotype" w:cs="Palatino Linotype"/>
          <w:i/>
          <w:sz w:val="22"/>
          <w:szCs w:val="22"/>
        </w:rPr>
        <w:t> La convocatoria o invitación emitida, así como los fundamentos legales aplicados para llevarla a cabo;</w:t>
      </w:r>
    </w:p>
    <w:p w14:paraId="7CD4C193" w14:textId="77777777" w:rsidR="0003348D" w:rsidRPr="00E074A6" w:rsidRDefault="00A70830">
      <w:pPr>
        <w:spacing w:line="360" w:lineRule="auto"/>
        <w:ind w:left="567" w:right="822"/>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i/>
          <w:sz w:val="22"/>
          <w:szCs w:val="22"/>
        </w:rPr>
        <w:t>2) Los nombres de los participantes o invitados;</w:t>
      </w:r>
    </w:p>
    <w:p w14:paraId="09131CF7" w14:textId="77777777" w:rsidR="0003348D" w:rsidRPr="00E074A6" w:rsidRDefault="00A70830">
      <w:pPr>
        <w:spacing w:line="360" w:lineRule="auto"/>
        <w:ind w:left="567" w:right="822"/>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i/>
          <w:sz w:val="22"/>
          <w:szCs w:val="22"/>
        </w:rPr>
        <w:t>3) El nombre del ganador y las razones que lo justifican;</w:t>
      </w:r>
    </w:p>
    <w:p w14:paraId="3D4AED3F"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4) </w:t>
      </w:r>
      <w:r w:rsidRPr="00E074A6">
        <w:rPr>
          <w:rFonts w:ascii="Palatino Linotype" w:eastAsia="Palatino Linotype" w:hAnsi="Palatino Linotype" w:cs="Palatino Linotype"/>
          <w:i/>
          <w:sz w:val="22"/>
          <w:szCs w:val="22"/>
        </w:rPr>
        <w:t>El área solicitante y la responsable de su ejecución;</w:t>
      </w:r>
    </w:p>
    <w:p w14:paraId="7E7C6898"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5) </w:t>
      </w:r>
      <w:r w:rsidRPr="00E074A6">
        <w:rPr>
          <w:rFonts w:ascii="Palatino Linotype" w:eastAsia="Palatino Linotype" w:hAnsi="Palatino Linotype" w:cs="Palatino Linotype"/>
          <w:i/>
          <w:sz w:val="22"/>
          <w:szCs w:val="22"/>
        </w:rPr>
        <w:t>Las convocatorias e invitaciones emitidas;</w:t>
      </w:r>
    </w:p>
    <w:p w14:paraId="05C57FD7"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6) Los dictámenes y fallo de adjudicación;</w:t>
      </w:r>
    </w:p>
    <w:p w14:paraId="04C60EE3"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u w:val="single"/>
        </w:rPr>
        <w:lastRenderedPageBreak/>
        <w:t>7) El contrato y, en su caso, sus anexos</w:t>
      </w:r>
      <w:r w:rsidRPr="00E074A6">
        <w:rPr>
          <w:rFonts w:ascii="Palatino Linotype" w:eastAsia="Palatino Linotype" w:hAnsi="Palatino Linotype" w:cs="Palatino Linotype"/>
          <w:b/>
          <w:i/>
          <w:sz w:val="22"/>
          <w:szCs w:val="22"/>
        </w:rPr>
        <w:t>;</w:t>
      </w:r>
    </w:p>
    <w:p w14:paraId="3D35BB49" w14:textId="77777777" w:rsidR="0003348D" w:rsidRPr="00E074A6" w:rsidRDefault="00A70830">
      <w:pPr>
        <w:spacing w:line="360" w:lineRule="auto"/>
        <w:ind w:left="567" w:right="822"/>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8) Los mecanismos de vigilancia y supervisión, incluyendo en su caso, los estudios de impacto urbano y ambiental, según corresponda;</w:t>
      </w:r>
    </w:p>
    <w:p w14:paraId="515EA86D"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9) </w:t>
      </w:r>
      <w:r w:rsidRPr="00E074A6">
        <w:rPr>
          <w:rFonts w:ascii="Palatino Linotype" w:eastAsia="Palatino Linotype" w:hAnsi="Palatino Linotype" w:cs="Palatino Linotype"/>
          <w:i/>
          <w:sz w:val="22"/>
          <w:szCs w:val="22"/>
        </w:rPr>
        <w:t>La partida presupuestal, de conformidad con el clasificador por objeto del gasto, en el caso de ser aplicable;</w:t>
      </w:r>
    </w:p>
    <w:p w14:paraId="37702D52"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10) Origen de los recursos especificando si son federales, estatales o municipales, así como el tipo de fondo de participación o aportación respectiva;</w:t>
      </w:r>
    </w:p>
    <w:p w14:paraId="658786D1" w14:textId="77777777" w:rsidR="0003348D" w:rsidRPr="00E074A6" w:rsidRDefault="00A70830">
      <w:pPr>
        <w:spacing w:line="360" w:lineRule="auto"/>
        <w:ind w:left="567" w:right="822"/>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i/>
          <w:sz w:val="22"/>
          <w:szCs w:val="22"/>
        </w:rPr>
        <w:t>11) Los convenios modificatorios que, en su caso, sean firmados, precisando el objeto y la fecha de celebración;</w:t>
      </w:r>
    </w:p>
    <w:p w14:paraId="1B4BEC93"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12) </w:t>
      </w:r>
      <w:r w:rsidRPr="00E074A6">
        <w:rPr>
          <w:rFonts w:ascii="Palatino Linotype" w:eastAsia="Palatino Linotype" w:hAnsi="Palatino Linotype" w:cs="Palatino Linotype"/>
          <w:i/>
          <w:sz w:val="22"/>
          <w:szCs w:val="22"/>
        </w:rPr>
        <w:t>Los informes de avance físico y financiero sobre las obras o servicios contratados;</w:t>
      </w:r>
    </w:p>
    <w:p w14:paraId="4ABF856A"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13) </w:t>
      </w:r>
      <w:r w:rsidRPr="00E074A6">
        <w:rPr>
          <w:rFonts w:ascii="Palatino Linotype" w:eastAsia="Palatino Linotype" w:hAnsi="Palatino Linotype" w:cs="Palatino Linotype"/>
          <w:i/>
          <w:sz w:val="22"/>
          <w:szCs w:val="22"/>
        </w:rPr>
        <w:t>El convenio de terminación; y</w:t>
      </w:r>
    </w:p>
    <w:p w14:paraId="306E0E52"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14) </w:t>
      </w:r>
      <w:r w:rsidRPr="00E074A6">
        <w:rPr>
          <w:rFonts w:ascii="Palatino Linotype" w:eastAsia="Palatino Linotype" w:hAnsi="Palatino Linotype" w:cs="Palatino Linotype"/>
          <w:i/>
          <w:sz w:val="22"/>
          <w:szCs w:val="22"/>
        </w:rPr>
        <w:t>El finiquito.</w:t>
      </w:r>
    </w:p>
    <w:p w14:paraId="09283F54" w14:textId="77777777" w:rsidR="0003348D" w:rsidRPr="00E074A6" w:rsidRDefault="00A70830">
      <w:pPr>
        <w:spacing w:line="360" w:lineRule="auto"/>
        <w:ind w:left="426" w:right="822"/>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i/>
          <w:sz w:val="22"/>
          <w:szCs w:val="22"/>
        </w:rPr>
        <w:t>b) De las adjudicaciones directas:</w:t>
      </w:r>
    </w:p>
    <w:p w14:paraId="68121D54"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1) </w:t>
      </w:r>
      <w:r w:rsidRPr="00E074A6">
        <w:rPr>
          <w:rFonts w:ascii="Palatino Linotype" w:eastAsia="Palatino Linotype" w:hAnsi="Palatino Linotype" w:cs="Palatino Linotype"/>
          <w:i/>
          <w:sz w:val="22"/>
          <w:szCs w:val="22"/>
        </w:rPr>
        <w:t>La propuesta enviada por el participante;</w:t>
      </w:r>
    </w:p>
    <w:p w14:paraId="19FC18FA" w14:textId="77777777" w:rsidR="0003348D" w:rsidRPr="00E074A6" w:rsidRDefault="00A70830">
      <w:pPr>
        <w:spacing w:line="360" w:lineRule="auto"/>
        <w:ind w:left="567" w:right="822"/>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i/>
          <w:sz w:val="22"/>
          <w:szCs w:val="22"/>
        </w:rPr>
        <w:t>2) Los motivos y fundamentos legales aplicados para llevarla a cabo;</w:t>
      </w:r>
    </w:p>
    <w:p w14:paraId="7756F327"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3) </w:t>
      </w:r>
      <w:r w:rsidRPr="00E074A6">
        <w:rPr>
          <w:rFonts w:ascii="Palatino Linotype" w:eastAsia="Palatino Linotype" w:hAnsi="Palatino Linotype" w:cs="Palatino Linotype"/>
          <w:i/>
          <w:sz w:val="22"/>
          <w:szCs w:val="22"/>
        </w:rPr>
        <w:t>La autorización del ejercicio de la opción;</w:t>
      </w:r>
    </w:p>
    <w:p w14:paraId="5DBB122E"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4) En su caso, las cotizaciones consideradas, especificando los nombres de los proveedores y sus montos;</w:t>
      </w:r>
    </w:p>
    <w:p w14:paraId="6CB56804"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5) </w:t>
      </w:r>
      <w:r w:rsidRPr="00E074A6">
        <w:rPr>
          <w:rFonts w:ascii="Palatino Linotype" w:eastAsia="Palatino Linotype" w:hAnsi="Palatino Linotype" w:cs="Palatino Linotype"/>
          <w:i/>
          <w:sz w:val="22"/>
          <w:szCs w:val="22"/>
        </w:rPr>
        <w:t>El nombre de la persona física o jurídica colectiva adjudicada;</w:t>
      </w:r>
    </w:p>
    <w:p w14:paraId="06646495"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6) </w:t>
      </w:r>
      <w:r w:rsidRPr="00E074A6">
        <w:rPr>
          <w:rFonts w:ascii="Palatino Linotype" w:eastAsia="Palatino Linotype" w:hAnsi="Palatino Linotype" w:cs="Palatino Linotype"/>
          <w:i/>
          <w:sz w:val="22"/>
          <w:szCs w:val="22"/>
        </w:rPr>
        <w:t>La unidad administrativa solicitante y la responsable de su ejecución;</w:t>
      </w:r>
    </w:p>
    <w:p w14:paraId="547356CF" w14:textId="77777777" w:rsidR="0003348D" w:rsidRPr="00E074A6" w:rsidRDefault="00A70830">
      <w:pPr>
        <w:spacing w:line="360" w:lineRule="auto"/>
        <w:ind w:left="567" w:right="822"/>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i/>
          <w:sz w:val="22"/>
          <w:szCs w:val="22"/>
        </w:rPr>
        <w:t>7) El número, fecha, el monto del contrato y el plazo de entrega o de ejecución de los servicios u obra;</w:t>
      </w:r>
    </w:p>
    <w:p w14:paraId="67D62341"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8) </w:t>
      </w:r>
      <w:r w:rsidRPr="00E074A6">
        <w:rPr>
          <w:rFonts w:ascii="Palatino Linotype" w:eastAsia="Palatino Linotype" w:hAnsi="Palatino Linotype" w:cs="Palatino Linotype"/>
          <w:i/>
          <w:sz w:val="22"/>
          <w:szCs w:val="22"/>
        </w:rPr>
        <w:t>Los mecanismos de vigilancia y supervisión, incluyendo, en su caso, los estudios de impacto urbano y ambiental, según corresponda;</w:t>
      </w:r>
    </w:p>
    <w:p w14:paraId="1D136F93"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9) </w:t>
      </w:r>
      <w:r w:rsidRPr="00E074A6">
        <w:rPr>
          <w:rFonts w:ascii="Palatino Linotype" w:eastAsia="Palatino Linotype" w:hAnsi="Palatino Linotype" w:cs="Palatino Linotype"/>
          <w:i/>
          <w:sz w:val="22"/>
          <w:szCs w:val="22"/>
        </w:rPr>
        <w:t>Los informes de avance sobre las obras o servicios contratados;</w:t>
      </w:r>
    </w:p>
    <w:p w14:paraId="0DAC10A7" w14:textId="77777777" w:rsidR="0003348D" w:rsidRPr="00E074A6" w:rsidRDefault="00A70830">
      <w:pPr>
        <w:spacing w:line="360" w:lineRule="auto"/>
        <w:ind w:left="567" w:right="822"/>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10) </w:t>
      </w:r>
      <w:r w:rsidRPr="00E074A6">
        <w:rPr>
          <w:rFonts w:ascii="Palatino Linotype" w:eastAsia="Palatino Linotype" w:hAnsi="Palatino Linotype" w:cs="Palatino Linotype"/>
          <w:i/>
          <w:sz w:val="22"/>
          <w:szCs w:val="22"/>
        </w:rPr>
        <w:t>El convenio de terminación; y</w:t>
      </w:r>
    </w:p>
    <w:p w14:paraId="1D079DA1" w14:textId="77777777" w:rsidR="0003348D" w:rsidRPr="00E074A6" w:rsidRDefault="00A70830">
      <w:pPr>
        <w:spacing w:line="360" w:lineRule="auto"/>
        <w:ind w:left="567" w:right="822"/>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11) </w:t>
      </w:r>
      <w:r w:rsidRPr="00E074A6">
        <w:rPr>
          <w:rFonts w:ascii="Palatino Linotype" w:eastAsia="Palatino Linotype" w:hAnsi="Palatino Linotype" w:cs="Palatino Linotype"/>
          <w:i/>
          <w:sz w:val="22"/>
          <w:szCs w:val="22"/>
        </w:rPr>
        <w:t>El finiquito.</w:t>
      </w:r>
      <w:r w:rsidRPr="00E074A6">
        <w:rPr>
          <w:rFonts w:ascii="Palatino Linotype" w:eastAsia="Palatino Linotype" w:hAnsi="Palatino Linotype" w:cs="Palatino Linotype"/>
          <w:b/>
          <w:i/>
          <w:sz w:val="22"/>
          <w:szCs w:val="22"/>
        </w:rPr>
        <w:t>”</w:t>
      </w:r>
    </w:p>
    <w:p w14:paraId="4836DD7D" w14:textId="77777777" w:rsidR="0003348D" w:rsidRPr="00E074A6" w:rsidRDefault="0003348D">
      <w:pPr>
        <w:spacing w:line="360" w:lineRule="auto"/>
        <w:ind w:left="567" w:right="822"/>
        <w:jc w:val="both"/>
        <w:rPr>
          <w:rFonts w:ascii="Palatino Linotype" w:eastAsia="Palatino Linotype" w:hAnsi="Palatino Linotype" w:cs="Palatino Linotype"/>
          <w:b/>
          <w:i/>
          <w:sz w:val="22"/>
          <w:szCs w:val="22"/>
        </w:rPr>
      </w:pPr>
    </w:p>
    <w:p w14:paraId="7BDBE07E" w14:textId="77777777" w:rsidR="0003348D" w:rsidRPr="00E074A6" w:rsidRDefault="0003348D">
      <w:pPr>
        <w:ind w:left="851" w:right="850"/>
        <w:jc w:val="both"/>
        <w:rPr>
          <w:rFonts w:ascii="Palatino Linotype" w:eastAsia="Palatino Linotype" w:hAnsi="Palatino Linotype" w:cs="Palatino Linotype"/>
          <w:sz w:val="22"/>
          <w:szCs w:val="22"/>
        </w:rPr>
      </w:pPr>
    </w:p>
    <w:p w14:paraId="3D404B0B"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En consecuencia, se determina que existe fuente obligacional para celebrar contratos relacionados con la adquisición de bienes y servicios por parte de los Ayuntamientos, a través de procedimientos de licitación, invitación restringida o adjudicación directa, en todos los casos, existe la obligación de hacer pública la información relacionada con las mismas, de acuerdo al artículo 92 de la Ley de Transparencia Local, ya que existe un interés colectivo de conocer el uso y destino de los recursos públicos.</w:t>
      </w:r>
    </w:p>
    <w:p w14:paraId="668BB5D7" w14:textId="77777777" w:rsidR="0003348D" w:rsidRPr="00E074A6" w:rsidRDefault="0003348D">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18CBF8F0" w14:textId="77777777" w:rsidR="0003348D" w:rsidRPr="00E074A6" w:rsidRDefault="00A7083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Robustecen lo anterior </w:t>
      </w:r>
      <w:r w:rsidRPr="00E074A6">
        <w:rPr>
          <w:rFonts w:ascii="Palatino Linotype" w:eastAsia="Palatino Linotype" w:hAnsi="Palatino Linotype" w:cs="Palatino Linotype"/>
          <w:i/>
          <w:sz w:val="22"/>
          <w:szCs w:val="22"/>
        </w:rPr>
        <w:t xml:space="preserve">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Internet y en la Plataforma Nacional de Transparencia </w:t>
      </w:r>
      <w:r w:rsidRPr="00E074A6">
        <w:rPr>
          <w:rFonts w:ascii="Palatino Linotype" w:eastAsia="Palatino Linotype" w:hAnsi="Palatino Linotype" w:cs="Palatino Linotype"/>
          <w:sz w:val="22"/>
          <w:szCs w:val="22"/>
        </w:rPr>
        <w:t>en los criterios sustantivos de contenido correspondientes a la fracción XXVIII del artículo 70 de la Ley General de Transparencia que marcan los parámetros para publicar la información en medios electrónicos en los siguientes términos:</w:t>
      </w:r>
    </w:p>
    <w:p w14:paraId="6419BE04" w14:textId="77777777" w:rsidR="0003348D" w:rsidRPr="00E074A6" w:rsidRDefault="0003348D">
      <w:pPr>
        <w:pBdr>
          <w:top w:val="nil"/>
          <w:left w:val="nil"/>
          <w:bottom w:val="nil"/>
          <w:right w:val="nil"/>
          <w:between w:val="nil"/>
        </w:pBdr>
        <w:rPr>
          <w:rFonts w:ascii="Palatino Linotype" w:eastAsia="Palatino Linotype" w:hAnsi="Palatino Linotype" w:cs="Palatino Linotype"/>
          <w:sz w:val="22"/>
          <w:szCs w:val="22"/>
        </w:rPr>
      </w:pPr>
    </w:p>
    <w:p w14:paraId="4A9B8D73"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Criterios sustantivos de contenido </w:t>
      </w:r>
    </w:p>
    <w:p w14:paraId="4C8E4121"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Respecto de cada uno de los eventos de licitación pública y de invitación a cuando menos tres personas se publicarán los siguientes datos: </w:t>
      </w:r>
    </w:p>
    <w:p w14:paraId="08656C5A" w14:textId="77777777" w:rsidR="0003348D" w:rsidRPr="00E074A6" w:rsidRDefault="0003348D">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p>
    <w:p w14:paraId="35FA789C"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Criterio 1 Ejercicio</w:t>
      </w:r>
    </w:p>
    <w:p w14:paraId="64F1D030"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2 Periodo que se informa (fecha de inicio y fecha de término con el formato día/mes/año) </w:t>
      </w:r>
    </w:p>
    <w:p w14:paraId="2BCCA146"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3 Tipo de procedimiento (catálogo): Licitación pública/Invitación a cuando menos tres personas/ Otra (especificar) En caso de que no se haya llevado a cabo alguno de los tres procedimientos en el periodo que se informa, se deberá incluir un registro con </w:t>
      </w:r>
      <w:r w:rsidRPr="00E074A6">
        <w:rPr>
          <w:rFonts w:ascii="Palatino Linotype" w:eastAsia="Palatino Linotype" w:hAnsi="Palatino Linotype" w:cs="Palatino Linotype"/>
          <w:i/>
          <w:sz w:val="22"/>
          <w:szCs w:val="22"/>
        </w:rPr>
        <w:lastRenderedPageBreak/>
        <w:t xml:space="preserve">el periodo respectivo, el procedimiento y señalar mediante una nota fundamentada, motivada y actualizada al periodo correspondiente, que no se llevó a cabo ningún procedimiento de ese tipo. </w:t>
      </w:r>
    </w:p>
    <w:p w14:paraId="6453BA1E"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4 Materia o tipo de contratación (catálogo): Obra pública/Servicios relacionados con obra pública/Adquisiciones/Arrendamientos/Servicios </w:t>
      </w:r>
    </w:p>
    <w:p w14:paraId="7B17F9DF"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5 Carácter del procedimiento (catálogo): Nacional/Internacional Relación con los nombres de las personas físicas o morales de los posibles contratantes: </w:t>
      </w:r>
    </w:p>
    <w:p w14:paraId="61D9CC35"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Criterio 6 En el caso de personas físicas: nombre[s], primer apellido, segundo apellido. En el caso de persona moral: razón social. En su caso, incluir una leyenda señalando que no se realizaron cotizaciones</w:t>
      </w:r>
    </w:p>
    <w:p w14:paraId="7B7BF22E"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7 Registro Federal de Contribuyentes (RFC) de las personas físicas o morales de los posibles contratantes </w:t>
      </w:r>
    </w:p>
    <w:p w14:paraId="5D06C240"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Criterio 8 Número de expediente, folio o nomenclatura que identifique a cada procedimiento </w:t>
      </w:r>
    </w:p>
    <w:p w14:paraId="6756EEAF"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9 Hipervínculo a la convocatoria o invitaciones emitidas </w:t>
      </w:r>
    </w:p>
    <w:p w14:paraId="0D0F9CD3"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10 Fecha de la convocatoria o invitación, expresada con el formato día/mes/año </w:t>
      </w:r>
    </w:p>
    <w:p w14:paraId="2AFFF7B0"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11 Descripción de las obras públicas, los bienes o los servicios contratados </w:t>
      </w:r>
    </w:p>
    <w:p w14:paraId="38CDD4C8" w14:textId="77777777" w:rsidR="0003348D" w:rsidRPr="00E074A6" w:rsidRDefault="0003348D">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p>
    <w:p w14:paraId="4B68DF30"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Relación con los nombres de las personas físicas o morales que presentaron una proposición u oferta: </w:t>
      </w:r>
    </w:p>
    <w:p w14:paraId="114708CF" w14:textId="77777777" w:rsidR="0003348D" w:rsidRPr="00E074A6" w:rsidRDefault="0003348D">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p>
    <w:p w14:paraId="6D29B4E7"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Criterio 12 En el caso de personas físicas: nombre[s], primer apellido, segundo apellido. En el caso de persona moral: razón social </w:t>
      </w:r>
    </w:p>
    <w:p w14:paraId="740DFB99"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i/>
          <w:sz w:val="22"/>
          <w:szCs w:val="22"/>
        </w:rPr>
        <w:t>Criterio 13 Registro Federal de Contribuyentes (RFC</w:t>
      </w:r>
      <w:r w:rsidRPr="00E074A6">
        <w:rPr>
          <w:rFonts w:ascii="Palatino Linotype" w:eastAsia="Palatino Linotype" w:hAnsi="Palatino Linotype" w:cs="Palatino Linotype"/>
          <w:b/>
          <w:i/>
          <w:sz w:val="22"/>
          <w:szCs w:val="22"/>
        </w:rPr>
        <w:t xml:space="preserve">) </w:t>
      </w:r>
      <w:r w:rsidRPr="00E074A6">
        <w:rPr>
          <w:rFonts w:ascii="Palatino Linotype" w:eastAsia="Palatino Linotype" w:hAnsi="Palatino Linotype" w:cs="Palatino Linotype"/>
          <w:i/>
          <w:sz w:val="22"/>
          <w:szCs w:val="22"/>
        </w:rPr>
        <w:t xml:space="preserve">de las personas físicas o morales que presentaron una proposición u oferta </w:t>
      </w:r>
    </w:p>
    <w:p w14:paraId="577A1C2F"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14 Fecha en la que se celebró la junta de aclaraciones108, expresada con el formato día/mes/año </w:t>
      </w:r>
    </w:p>
    <w:p w14:paraId="02981DCE"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lastRenderedPageBreak/>
        <w:t>…</w:t>
      </w:r>
    </w:p>
    <w:p w14:paraId="20BC1C70"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Criterio 27 Descripción breve de las razones que justifican la elección del/los proveedor/es o contratista/s </w:t>
      </w:r>
    </w:p>
    <w:p w14:paraId="6B9BBBCB"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28 Área(s) solicitante(s) de las obras públicas, el arrendamiento, la adquisición de bienes y/o la prestación de servicios </w:t>
      </w:r>
    </w:p>
    <w:p w14:paraId="50805A0C"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Criterio 29 Área(s) contratante(s) </w:t>
      </w:r>
    </w:p>
    <w:p w14:paraId="670B6F93"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30 Área(s) responsable de la ejecución </w:t>
      </w:r>
    </w:p>
    <w:p w14:paraId="3CC445DA"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31 Número que identifique al contrato </w:t>
      </w:r>
    </w:p>
    <w:p w14:paraId="50B881CE"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32 Fecha del contrato, expresada con el formato día/mes/año </w:t>
      </w:r>
    </w:p>
    <w:p w14:paraId="51588BDC"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33 Fecha de inicio de la vigencia del contrato, expresada con el formato día/mes/año </w:t>
      </w:r>
    </w:p>
    <w:p w14:paraId="4CFA5076"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Criterio 34 Fecha de término de la vigencia del contrato, expresada con el formato día/mes/año Criterio</w:t>
      </w:r>
    </w:p>
    <w:p w14:paraId="39ED9B08"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Criterio 35 Monto del contrato sin impuestos incluidos (expresados en pesos mexicanos) </w:t>
      </w:r>
    </w:p>
    <w:p w14:paraId="6B61456A"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Criterio 36 Monto total del contrato con impuestos incluidos (expresados en pesos mexicanos) </w:t>
      </w:r>
    </w:p>
    <w:p w14:paraId="0DB0E69A"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Criterio 37 Monto mínimo con impuestos incluidos, en su caso</w:t>
      </w:r>
    </w:p>
    <w:p w14:paraId="568B556C"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Criterio 38 Monto máximo con impuestos incluidos, en su caso </w:t>
      </w:r>
    </w:p>
    <w:p w14:paraId="3A58E1E8"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39 Tipo de moneda. Por ejemplo: Peso, Dólar, Euro, Libra, Yen </w:t>
      </w:r>
    </w:p>
    <w:p w14:paraId="7EDF5AAB"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40 Tipo de cambio de referencia, en su caso </w:t>
      </w:r>
    </w:p>
    <w:p w14:paraId="59A646B5"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41 Forma de pago. Por ejemplo: efectivo, cheque o transacción bancaria </w:t>
      </w:r>
    </w:p>
    <w:p w14:paraId="5AF37FDE"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42 Objeto del contrato </w:t>
      </w:r>
    </w:p>
    <w:p w14:paraId="4A7D59FD" w14:textId="77777777" w:rsidR="0003348D" w:rsidRPr="00E074A6" w:rsidRDefault="0003348D">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p>
    <w:p w14:paraId="45F21FCB"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Señalar el plazo de entrega o de ejecución de los servicios contratados u obra pública a realizar: </w:t>
      </w:r>
    </w:p>
    <w:p w14:paraId="74BA8343" w14:textId="77777777" w:rsidR="0003348D" w:rsidRPr="00E074A6" w:rsidRDefault="0003348D">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p>
    <w:p w14:paraId="324A9D59"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lastRenderedPageBreak/>
        <w:t xml:space="preserve">Criterio 43 Fecha de inicio expresada con el formato día/mes/año </w:t>
      </w:r>
    </w:p>
    <w:p w14:paraId="73832A7B"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Criterio 44 Fecha de término expresada con el formato día/mes/año </w:t>
      </w:r>
    </w:p>
    <w:p w14:paraId="0A01B802" w14:textId="77777777" w:rsidR="0003348D" w:rsidRPr="00E074A6" w:rsidRDefault="00A70830">
      <w:pPr>
        <w:pBdr>
          <w:top w:val="nil"/>
          <w:left w:val="nil"/>
          <w:bottom w:val="nil"/>
          <w:right w:val="nil"/>
          <w:between w:val="nil"/>
        </w:pBdr>
        <w:tabs>
          <w:tab w:val="left" w:pos="851"/>
          <w:tab w:val="left" w:pos="8505"/>
        </w:tabs>
        <w:spacing w:line="360" w:lineRule="auto"/>
        <w:ind w:left="567" w:right="616"/>
        <w:jc w:val="both"/>
        <w:rPr>
          <w:rFonts w:ascii="Palatino Linotype" w:eastAsia="Palatino Linotype" w:hAnsi="Palatino Linotype" w:cs="Palatino Linotype"/>
          <w:b/>
          <w:i/>
          <w:sz w:val="22"/>
          <w:szCs w:val="22"/>
          <w:u w:val="single"/>
        </w:rPr>
      </w:pPr>
      <w:r w:rsidRPr="00E074A6">
        <w:rPr>
          <w:rFonts w:ascii="Palatino Linotype" w:eastAsia="Palatino Linotype" w:hAnsi="Palatino Linotype" w:cs="Palatino Linotype"/>
          <w:b/>
          <w:i/>
          <w:sz w:val="22"/>
          <w:szCs w:val="22"/>
          <w:u w:val="single"/>
        </w:rPr>
        <w:t>Criterio 45 Hipervínculo al documento del contrato y sus anexos, en versión pública si así corresponde</w:t>
      </w:r>
    </w:p>
    <w:p w14:paraId="7EFCD9FF" w14:textId="77777777" w:rsidR="0003348D" w:rsidRPr="00E074A6" w:rsidRDefault="0003348D">
      <w:pPr>
        <w:pBdr>
          <w:top w:val="nil"/>
          <w:left w:val="nil"/>
          <w:bottom w:val="nil"/>
          <w:right w:val="nil"/>
          <w:between w:val="nil"/>
        </w:pBdr>
        <w:tabs>
          <w:tab w:val="left" w:pos="851"/>
        </w:tabs>
        <w:spacing w:after="240" w:line="360" w:lineRule="auto"/>
        <w:ind w:right="49"/>
        <w:jc w:val="both"/>
        <w:rPr>
          <w:rFonts w:ascii="Palatino Linotype" w:eastAsia="Palatino Linotype" w:hAnsi="Palatino Linotype" w:cs="Palatino Linotype"/>
          <w:sz w:val="22"/>
          <w:szCs w:val="22"/>
        </w:rPr>
      </w:pPr>
    </w:p>
    <w:p w14:paraId="45441175" w14:textId="77777777" w:rsidR="0003348D" w:rsidRPr="00E074A6" w:rsidRDefault="00A70830">
      <w:pPr>
        <w:spacing w:before="240" w:after="240" w:line="360" w:lineRule="auto"/>
        <w:ind w:right="49"/>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sz w:val="22"/>
          <w:szCs w:val="22"/>
        </w:rPr>
        <w:t xml:space="preserve">Los Sujetos Obligados están obligados a poner a disposición del público de manera constante y actualizada, de forma sencilla, precisa y entendible, en los respectivos medios electrónicos, la información referente a los procesos y resultados sobre procedimientos de adjudicación directa, invitación restringida y licitación de cualquier naturaleza, en el que se debe contener dentro de la versión pública del expediente respectivo toda la información relativa a dichos procedimientos, </w:t>
      </w:r>
      <w:r w:rsidRPr="00E074A6">
        <w:rPr>
          <w:rFonts w:ascii="Palatino Linotype" w:eastAsia="Palatino Linotype" w:hAnsi="Palatino Linotype" w:cs="Palatino Linotype"/>
          <w:b/>
          <w:sz w:val="22"/>
          <w:szCs w:val="22"/>
        </w:rPr>
        <w:t>dentro de la que se encuentran los contratos celebrados, nombre de los proveedores, servicios contratados, montos y documentos comprobatorios de los pagos realizados, por lo que la información que solicitó el Recurrente es de naturaleza pública y debe obrar en los expedientes correspondientes.</w:t>
      </w:r>
    </w:p>
    <w:p w14:paraId="5F5E9F3A" w14:textId="77777777" w:rsidR="0003348D" w:rsidRPr="00E074A6" w:rsidRDefault="00A70830">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Asimismo, no pasa desapercibido que el Recurrente solicitó comprobante de compras y copias de pagos de servicios de vehículos, cuyos documentos obran, de manera enunciativa más no limitativa en facturas, registros o pólizas contables </w:t>
      </w:r>
    </w:p>
    <w:p w14:paraId="4C0F5939" w14:textId="77777777" w:rsidR="0003348D" w:rsidRPr="00E074A6" w:rsidRDefault="0003348D">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p>
    <w:p w14:paraId="03DEC1CB" w14:textId="77777777" w:rsidR="0003348D" w:rsidRPr="00E074A6" w:rsidRDefault="00A70830">
      <w:pPr>
        <w:pBdr>
          <w:top w:val="nil"/>
          <w:left w:val="nil"/>
          <w:bottom w:val="nil"/>
          <w:right w:val="nil"/>
          <w:between w:val="nil"/>
        </w:pBdr>
        <w:tabs>
          <w:tab w:val="left" w:pos="567"/>
        </w:tabs>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Primeramente conocer a que nos referimos por “</w:t>
      </w:r>
      <w:r w:rsidRPr="00E074A6">
        <w:rPr>
          <w:rFonts w:ascii="Palatino Linotype" w:eastAsia="Palatino Linotype" w:hAnsi="Palatino Linotype" w:cs="Palatino Linotype"/>
          <w:i/>
          <w:sz w:val="22"/>
          <w:szCs w:val="22"/>
        </w:rPr>
        <w:t>factura</w:t>
      </w:r>
      <w:r w:rsidRPr="00E074A6">
        <w:rPr>
          <w:rFonts w:ascii="Palatino Linotype" w:eastAsia="Palatino Linotype" w:hAnsi="Palatino Linotype" w:cs="Palatino Linotype"/>
          <w:sz w:val="22"/>
          <w:szCs w:val="22"/>
        </w:rPr>
        <w:t>”; al respecto, nos referiremos a éste concepto aunque sea sucintamente de acuerdo a lo que dispone el Glosario de Términos Hacendarios que emite el Instituto Hacendario del Estado de México, mismo que expresa lo siguiente:</w:t>
      </w:r>
    </w:p>
    <w:p w14:paraId="13BD334F" w14:textId="77777777" w:rsidR="0003348D" w:rsidRPr="00E074A6" w:rsidRDefault="0003348D">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p>
    <w:p w14:paraId="5C6617C4"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FACTURA:</w:t>
      </w:r>
    </w:p>
    <w:p w14:paraId="53AAB1A3"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lastRenderedPageBreak/>
        <w:t>Es el documento fiscal que emite la persona física o moral para comprobar la venta o adquisición de un bien y/o servicio.”</w:t>
      </w:r>
    </w:p>
    <w:p w14:paraId="566DA895" w14:textId="77777777" w:rsidR="0003348D" w:rsidRPr="00E074A6" w:rsidRDefault="0003348D">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p>
    <w:p w14:paraId="47E94B53" w14:textId="77777777" w:rsidR="0003348D" w:rsidRPr="00E074A6" w:rsidRDefault="00A70830">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Una vez precisado lo anterior, se procede a analizar si las facturas solicitadas son de acceso público; por lo que es de señalarse que </w:t>
      </w:r>
      <w:r w:rsidRPr="00E074A6">
        <w:rPr>
          <w:rFonts w:ascii="Palatino Linotype" w:eastAsia="Palatino Linotype" w:hAnsi="Palatino Linotype" w:cs="Palatino Linotype"/>
          <w:b/>
          <w:sz w:val="22"/>
          <w:szCs w:val="22"/>
        </w:rPr>
        <w:t xml:space="preserve">las facturas </w:t>
      </w:r>
      <w:r w:rsidRPr="00E074A6">
        <w:rPr>
          <w:rFonts w:ascii="Palatino Linotype" w:eastAsia="Palatino Linotype" w:hAnsi="Palatino Linotype" w:cs="Palatino Linotype"/>
          <w:sz w:val="22"/>
          <w:szCs w:val="22"/>
        </w:rPr>
        <w:t xml:space="preserve">o comprobantes que amparan las erogaciones que se realizan con erario público tienen naturaleza análoga, pues </w:t>
      </w:r>
      <w:r w:rsidRPr="00E074A6">
        <w:rPr>
          <w:rFonts w:ascii="Palatino Linotype" w:eastAsia="Palatino Linotype" w:hAnsi="Palatino Linotype" w:cs="Palatino Linotype"/>
          <w:b/>
          <w:sz w:val="22"/>
          <w:szCs w:val="22"/>
        </w:rPr>
        <w:t>constituyen los medios idóneos de evidencia del gasto realizado con recursos públicos</w:t>
      </w:r>
      <w:r w:rsidRPr="00E074A6">
        <w:rPr>
          <w:rFonts w:ascii="Palatino Linotype" w:eastAsia="Palatino Linotype" w:hAnsi="Palatino Linotype" w:cs="Palatino Linotype"/>
          <w:sz w:val="22"/>
          <w:szCs w:val="22"/>
        </w:rPr>
        <w:t>.</w:t>
      </w:r>
    </w:p>
    <w:p w14:paraId="5BFB77E8" w14:textId="77777777" w:rsidR="0003348D" w:rsidRPr="00E074A6" w:rsidRDefault="0003348D">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p>
    <w:p w14:paraId="5933E76E" w14:textId="77777777" w:rsidR="0003348D" w:rsidRPr="00E074A6" w:rsidRDefault="00A70830">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Al respecto, conviene precisar que en el cumplimiento de los principios que rigen la función pública, la Constitución Política del Estado Libre y Soberano de México en su artículo 129 señala que los recursos económicos del Estado, de los Municipios, así como de los Organismos Autónomos, se administrarán con eficiencia, eficacia y honradez, para cumplir con los objetivos y programas a los que estén destinados. Asimismo, señala que todos los pagos se harán mediante orden escrita en la que se expresará la partida del presupuesto a cargo de la cual se realizan.</w:t>
      </w:r>
    </w:p>
    <w:p w14:paraId="3742533C" w14:textId="77777777" w:rsidR="0003348D" w:rsidRPr="00E074A6" w:rsidRDefault="0003348D">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p>
    <w:p w14:paraId="067FEA56" w14:textId="77777777" w:rsidR="0003348D" w:rsidRPr="00E074A6" w:rsidRDefault="00A70830">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Como se ha dicho anteriormente, es atribución del Tesorero Municipal la de llevar los registros contables, financieros y administrativos de los ingresos, egresos e inventarios. En ese sentido, los artículos 342, 343, 344 y 345 del Código Financiero del Estado de México y Municipios disponen el sistema y las políticas que deben seguirse para llevar el registro contable y presupuestal de las operaciones financieras, en los siguientes términos:</w:t>
      </w:r>
    </w:p>
    <w:p w14:paraId="744D87EE" w14:textId="77777777" w:rsidR="0003348D" w:rsidRPr="00E074A6" w:rsidRDefault="0003348D">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p>
    <w:p w14:paraId="5D64B97C"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Artículo 342.-</w:t>
      </w:r>
      <w:r w:rsidRPr="00E074A6">
        <w:rPr>
          <w:rFonts w:ascii="Palatino Linotype" w:eastAsia="Palatino Linotype" w:hAnsi="Palatino Linotype" w:cs="Palatino Linotype"/>
          <w:i/>
          <w:sz w:val="22"/>
          <w:szCs w:val="22"/>
        </w:rPr>
        <w:t xml:space="preserve"> El registro contable del efecto patrimonial y presupuestal de las operaciones financieras, se realizará conforme al sistema y a las disposiciones que se aprueben en materia de planeación, programación, presupuestación, evaluación y contabilidad gubernamental. </w:t>
      </w:r>
    </w:p>
    <w:p w14:paraId="7C2CA5FB"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p>
    <w:p w14:paraId="57E88984" w14:textId="77777777" w:rsidR="0003348D" w:rsidRPr="00E074A6" w:rsidRDefault="0003348D">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p>
    <w:p w14:paraId="0EF06632"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lastRenderedPageBreak/>
        <w:t>“Artículo 343.-</w:t>
      </w:r>
      <w:r w:rsidRPr="00E074A6">
        <w:rPr>
          <w:rFonts w:ascii="Palatino Linotype" w:eastAsia="Palatino Linotype" w:hAnsi="Palatino Linotype" w:cs="Palatino Linotype"/>
          <w:i/>
          <w:sz w:val="22"/>
          <w:szCs w:val="22"/>
        </w:rPr>
        <w:t xml:space="preserve"> El sistema de contabilidad debe diseñarse sobre base acumulativa total y operarse en forma que facilite la fiscalización de los activos, pasivos, ingresos, egresos y, en general, que posibilite medir la eficacia del gasto público, y contener las medidas de control interno que permitan verificar el registro de la totalidad de las operaciones financieras. </w:t>
      </w:r>
    </w:p>
    <w:p w14:paraId="378D4C74"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El sistema de contabilidad sobre base acumulativa total se sustentará en los postulados básicos y el marco conceptual de la contabilidad gubernamental.”</w:t>
      </w:r>
    </w:p>
    <w:p w14:paraId="42BAD223" w14:textId="77777777" w:rsidR="0003348D" w:rsidRPr="00E074A6" w:rsidRDefault="0003348D">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p>
    <w:p w14:paraId="141C53F2"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Artículo 344.-</w:t>
      </w:r>
      <w:r w:rsidRPr="00E074A6">
        <w:rPr>
          <w:rFonts w:ascii="Palatino Linotype" w:eastAsia="Palatino Linotype" w:hAnsi="Palatino Linotype" w:cs="Palatino Linotype"/>
          <w:i/>
          <w:sz w:val="22"/>
          <w:szCs w:val="22"/>
        </w:rPr>
        <w:t xml:space="preserve"> Las Dependencias, Entidades Públicas y unidades administrativas registrarán contablemente el efecto patrimonial y presupuestal de las operaciones financieras que realicen, en el momento en que ocurran, con base en el sistema y políticas de registro establecidas, en el caso de los Municipios se hará por la Tesorería. </w:t>
      </w:r>
    </w:p>
    <w:p w14:paraId="1DCD2C7B"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Derogado. </w:t>
      </w:r>
    </w:p>
    <w:p w14:paraId="63301BAF"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Todo registro contable y presupuestal deberá estar soportado con los documentos comprobatorios originales, los que deberán permanecer en custodia y conservación de las dependencias, entidades públicas y unidades administrativas que ejercieron el gasto, y a disposición del Órgano Superior de Fiscalización del Estado de México y de los órganos de control interno, por un término de cinco años contados a partir del ejercicio presupuestal siguiente al que corresponda, en el caso de los municipios se hará por la Tesorería. </w:t>
      </w:r>
    </w:p>
    <w:p w14:paraId="47A300D5"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p>
    <w:p w14:paraId="5363D9AC" w14:textId="77777777" w:rsidR="0003348D" w:rsidRPr="00E074A6" w:rsidRDefault="0003348D">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p>
    <w:p w14:paraId="38A283B6"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Artículo 345.-</w:t>
      </w:r>
      <w:r w:rsidRPr="00E074A6">
        <w:rPr>
          <w:rFonts w:ascii="Palatino Linotype" w:eastAsia="Palatino Linotype" w:hAnsi="Palatino Linotype" w:cs="Palatino Linotype"/>
          <w:i/>
          <w:sz w:val="22"/>
          <w:szCs w:val="22"/>
        </w:rPr>
        <w:t xml:space="preserve"> Las Dependencias, Entidades Públicas y unidades administrativas deberán conservar la documentación contable del año en curso y la de ejercicios anteriores cuyas cuentas públicas hayan sido revisadas y fiscalizadas por la Legislatura, la remitirán en un plazo que no excederá de seis meses al Archivo Contable Gubernamental. Tratándose de los comprobantes fiscales digitales, estos deberán estar agregados en forma electrónica en cada póliza de registro contable. </w:t>
      </w:r>
    </w:p>
    <w:p w14:paraId="4DA3A9FE" w14:textId="77777777" w:rsidR="0003348D" w:rsidRPr="00E074A6" w:rsidRDefault="00A70830">
      <w:pPr>
        <w:pBdr>
          <w:top w:val="nil"/>
          <w:left w:val="nil"/>
          <w:bottom w:val="nil"/>
          <w:right w:val="nil"/>
          <w:between w:val="nil"/>
        </w:pBdr>
        <w:tabs>
          <w:tab w:val="left" w:pos="426"/>
        </w:tabs>
        <w:spacing w:line="276" w:lineRule="auto"/>
        <w:ind w:left="567" w:right="567"/>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El plazo señalado en el párrafo anterior, empezará a contar a partir de la publicación en el Periódico Oficial, del decreto correspondiente. “</w:t>
      </w:r>
    </w:p>
    <w:p w14:paraId="1ABD5D0D" w14:textId="77777777" w:rsidR="0003348D" w:rsidRPr="00E074A6" w:rsidRDefault="0003348D">
      <w:pPr>
        <w:pBdr>
          <w:top w:val="nil"/>
          <w:left w:val="nil"/>
          <w:bottom w:val="nil"/>
          <w:right w:val="nil"/>
          <w:between w:val="nil"/>
        </w:pBdr>
        <w:tabs>
          <w:tab w:val="left" w:pos="426"/>
        </w:tabs>
        <w:spacing w:line="360" w:lineRule="auto"/>
        <w:ind w:right="51"/>
        <w:jc w:val="both"/>
        <w:rPr>
          <w:rFonts w:ascii="Palatino Linotype" w:eastAsia="Palatino Linotype" w:hAnsi="Palatino Linotype" w:cs="Palatino Linotype"/>
          <w:sz w:val="22"/>
          <w:szCs w:val="22"/>
        </w:rPr>
      </w:pPr>
    </w:p>
    <w:p w14:paraId="6DA78526" w14:textId="77777777" w:rsidR="0003348D" w:rsidRPr="00E074A6" w:rsidRDefault="00A70830">
      <w:pPr>
        <w:pBdr>
          <w:top w:val="nil"/>
          <w:left w:val="nil"/>
          <w:bottom w:val="nil"/>
          <w:right w:val="nil"/>
          <w:between w:val="nil"/>
        </w:pBdr>
        <w:tabs>
          <w:tab w:val="left" w:pos="426"/>
        </w:tabs>
        <w:spacing w:after="240"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De una interpretación sistemática de los artículos transcritos, se desprende primeramente que el registro contable del efecto patrimonial y presupuestal de las operaciones financieras </w:t>
      </w:r>
      <w:r w:rsidRPr="00E074A6">
        <w:rPr>
          <w:rFonts w:ascii="Palatino Linotype" w:eastAsia="Palatino Linotype" w:hAnsi="Palatino Linotype" w:cs="Palatino Linotype"/>
          <w:sz w:val="22"/>
          <w:szCs w:val="22"/>
        </w:rPr>
        <w:lastRenderedPageBreak/>
        <w:t>se realizará conforme al sistema y a las disposiciones que se aprueben en materia de planeación, programación, presupuestación, evaluación y contabilidad gubernamental.</w:t>
      </w:r>
    </w:p>
    <w:p w14:paraId="4EAC034E" w14:textId="77777777" w:rsidR="0003348D" w:rsidRPr="00E074A6" w:rsidRDefault="00A70830">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Al respecto, si bien es cierto que el Código Financiero del Estado de México y Municipios establece como obligación llevar los registros contables y presupuestales; también lo es que, dicho ordenamiento jurídico no establece que debemos entender por registro contable y presupuestal; sin embargo, el “Glosario de Términos para el Proceso de Planeación, Programación, Presupuestación y Evaluación en la Administración Pública”, elaborado por el Grupo de Trabajo de Sistemas de Información Financiera, Contable y Presupuestal de la Comisión Permanente de Funcionarios Fiscales del Instituto para el Desarrollo Técnico de las Haciendas Públicas, INDETEC, señalan las siguientes definiciones de las palabras registro contable y registro presupuestario:</w:t>
      </w:r>
    </w:p>
    <w:p w14:paraId="3807B4F5" w14:textId="77777777" w:rsidR="0003348D" w:rsidRPr="00E074A6" w:rsidRDefault="00A70830">
      <w:pPr>
        <w:pBdr>
          <w:top w:val="nil"/>
          <w:left w:val="nil"/>
          <w:bottom w:val="nil"/>
          <w:right w:val="nil"/>
          <w:between w:val="nil"/>
        </w:pBdr>
        <w:spacing w:before="120" w:after="120" w:line="360" w:lineRule="auto"/>
        <w:ind w:left="842" w:right="900" w:hanging="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“REGISTRO CONTABLE</w:t>
      </w:r>
    </w:p>
    <w:p w14:paraId="1AB5EAE1" w14:textId="77777777" w:rsidR="0003348D" w:rsidRPr="00E074A6" w:rsidRDefault="00A70830">
      <w:pPr>
        <w:pBdr>
          <w:top w:val="nil"/>
          <w:left w:val="nil"/>
          <w:bottom w:val="nil"/>
          <w:right w:val="nil"/>
          <w:between w:val="nil"/>
        </w:pBdr>
        <w:spacing w:before="120" w:after="120" w:line="360" w:lineRule="auto"/>
        <w:ind w:left="842" w:right="900" w:hanging="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Asiento que se realiza en los libros de contabilidad de las actividades relacionadas con el ingreso y egresos de un ente económico.”</w:t>
      </w:r>
    </w:p>
    <w:p w14:paraId="50008557" w14:textId="77777777" w:rsidR="0003348D" w:rsidRPr="00E074A6" w:rsidRDefault="00A70830">
      <w:pPr>
        <w:pBdr>
          <w:top w:val="nil"/>
          <w:left w:val="nil"/>
          <w:bottom w:val="nil"/>
          <w:right w:val="nil"/>
          <w:between w:val="nil"/>
        </w:pBdr>
        <w:spacing w:before="120" w:after="120" w:line="360" w:lineRule="auto"/>
        <w:ind w:left="842" w:right="900" w:hanging="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“REGISTRO PRESUPUESTARIO</w:t>
      </w:r>
    </w:p>
    <w:p w14:paraId="3F083F02" w14:textId="77777777" w:rsidR="0003348D" w:rsidRPr="00E074A6" w:rsidRDefault="00A70830">
      <w:pPr>
        <w:pBdr>
          <w:top w:val="nil"/>
          <w:left w:val="nil"/>
          <w:bottom w:val="nil"/>
          <w:right w:val="nil"/>
          <w:between w:val="nil"/>
        </w:pBdr>
        <w:spacing w:before="120" w:after="120" w:line="360" w:lineRule="auto"/>
        <w:ind w:left="842" w:right="900" w:hanging="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Asiento contable de las erogaciones realizadas por las dependencias y entidades con relación a la asignación, modificación y ejercicio de los recursos presupuestarios que se les hayan autorizado.”</w:t>
      </w:r>
    </w:p>
    <w:p w14:paraId="3A6618DA" w14:textId="77777777" w:rsidR="0003348D" w:rsidRPr="00E074A6" w:rsidRDefault="00A70830">
      <w:pPr>
        <w:pBdr>
          <w:top w:val="nil"/>
          <w:left w:val="nil"/>
          <w:bottom w:val="nil"/>
          <w:right w:val="nil"/>
          <w:between w:val="nil"/>
        </w:pBdr>
        <w:spacing w:before="240" w:after="240"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Como bien se desprende de las definiciones, los registros contables y presupuestarios son asientos o anotaciones contables que se realizan tanto de los ingresos como de los egresos, a decir se trata de un control financiero en el que se reconoce la obligación de llevar dicho registro.</w:t>
      </w:r>
    </w:p>
    <w:p w14:paraId="79D436F6" w14:textId="77777777" w:rsidR="0003348D" w:rsidRPr="00E074A6" w:rsidRDefault="00A70830">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Por otra parte, se establece que el sistema de contabilidad sobre base acumulativa total se sustentará en los principios de contabilidad gubernamental. </w:t>
      </w:r>
    </w:p>
    <w:p w14:paraId="5D4D7E6A" w14:textId="77777777" w:rsidR="0003348D" w:rsidRPr="00E074A6" w:rsidRDefault="00A70830">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Igualmente, los preceptos legales citados señalan que los Sujetos Obligados deben contar con una unidad administrativa que registra contablemente el efecto patrimonial y presupuestal de las operaciones financieras que realizan, en el momento en que ocurran, con base en el sistema y políticas de registro establecidas, de acuerdo a la Ley Orgánica Municipal, esta es atribución de la Tesorería Municipal o Equivalente.</w:t>
      </w:r>
    </w:p>
    <w:p w14:paraId="00F79CE0" w14:textId="77777777" w:rsidR="0003348D" w:rsidRPr="00E074A6" w:rsidRDefault="00A70830">
      <w:pPr>
        <w:pBdr>
          <w:top w:val="nil"/>
          <w:left w:val="nil"/>
          <w:bottom w:val="nil"/>
          <w:right w:val="nil"/>
          <w:between w:val="nil"/>
        </w:pBdr>
        <w:spacing w:before="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Correlativo a lo anterior, es preciso referir una definición de </w:t>
      </w:r>
      <w:r w:rsidRPr="00E074A6">
        <w:rPr>
          <w:rFonts w:ascii="Palatino Linotype" w:eastAsia="Palatino Linotype" w:hAnsi="Palatino Linotype" w:cs="Palatino Linotype"/>
          <w:i/>
          <w:sz w:val="22"/>
          <w:szCs w:val="22"/>
        </w:rPr>
        <w:t>póliza contable</w:t>
      </w:r>
      <w:r w:rsidRPr="00E074A6">
        <w:rPr>
          <w:rFonts w:ascii="Palatino Linotype" w:eastAsia="Palatino Linotype" w:hAnsi="Palatino Linotype" w:cs="Palatino Linotype"/>
          <w:sz w:val="22"/>
          <w:szCs w:val="22"/>
        </w:rPr>
        <w:t>, la cual, primeramente, no está definida en el Código Financiero del Estado de México y Municipios; no obstante, el ya mencionado Glosario la define como: </w:t>
      </w:r>
    </w:p>
    <w:p w14:paraId="3649F439" w14:textId="77777777" w:rsidR="0003348D" w:rsidRPr="00E074A6" w:rsidRDefault="0003348D">
      <w:pPr>
        <w:spacing w:line="360" w:lineRule="auto"/>
        <w:rPr>
          <w:rFonts w:ascii="Palatino Linotype" w:eastAsia="Palatino Linotype" w:hAnsi="Palatino Linotype" w:cs="Palatino Linotype"/>
          <w:sz w:val="22"/>
          <w:szCs w:val="22"/>
        </w:rPr>
      </w:pPr>
    </w:p>
    <w:p w14:paraId="4E2B070C" w14:textId="77777777" w:rsidR="0003348D" w:rsidRPr="00E074A6" w:rsidRDefault="00A70830">
      <w:pPr>
        <w:pBdr>
          <w:top w:val="nil"/>
          <w:left w:val="nil"/>
          <w:bottom w:val="nil"/>
          <w:right w:val="nil"/>
          <w:between w:val="nil"/>
        </w:pBdr>
        <w:spacing w:after="120" w:line="360" w:lineRule="auto"/>
        <w:ind w:left="851" w:right="89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PÓLIZA CONTABLE</w:t>
      </w:r>
    </w:p>
    <w:p w14:paraId="63BA4294" w14:textId="77777777" w:rsidR="0003348D" w:rsidRPr="00E074A6" w:rsidRDefault="00A70830">
      <w:pPr>
        <w:pBdr>
          <w:top w:val="nil"/>
          <w:left w:val="nil"/>
          <w:bottom w:val="nil"/>
          <w:right w:val="nil"/>
          <w:between w:val="nil"/>
        </w:pBdr>
        <w:spacing w:before="120" w:after="120" w:line="360" w:lineRule="auto"/>
        <w:ind w:left="851" w:right="89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Documento en el cual se asientan en forma individual todas y cada una de las operaciones desarrolladas por una institución, así como la información necesaria para la identificación de dichas operaciones.” (sic)</w:t>
      </w:r>
    </w:p>
    <w:p w14:paraId="7B992531" w14:textId="77777777" w:rsidR="0003348D" w:rsidRPr="00E074A6" w:rsidRDefault="0003348D">
      <w:pPr>
        <w:spacing w:line="360" w:lineRule="auto"/>
        <w:rPr>
          <w:rFonts w:ascii="Palatino Linotype" w:eastAsia="Palatino Linotype" w:hAnsi="Palatino Linotype" w:cs="Palatino Linotype"/>
          <w:sz w:val="22"/>
          <w:szCs w:val="22"/>
        </w:rPr>
      </w:pPr>
    </w:p>
    <w:p w14:paraId="3D34CB8D" w14:textId="77777777" w:rsidR="0003348D" w:rsidRPr="00E074A6" w:rsidRDefault="00A70830">
      <w:pPr>
        <w:pBdr>
          <w:top w:val="nil"/>
          <w:left w:val="nil"/>
          <w:bottom w:val="nil"/>
          <w:right w:val="nil"/>
          <w:between w:val="nil"/>
        </w:pBdr>
        <w:spacing w:before="12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Así, se advierte que la </w:t>
      </w:r>
      <w:r w:rsidRPr="00E074A6">
        <w:rPr>
          <w:rFonts w:ascii="Palatino Linotype" w:eastAsia="Palatino Linotype" w:hAnsi="Palatino Linotype" w:cs="Palatino Linotype"/>
          <w:i/>
          <w:sz w:val="22"/>
          <w:szCs w:val="22"/>
        </w:rPr>
        <w:t>póliza contable</w:t>
      </w:r>
      <w:r w:rsidRPr="00E074A6">
        <w:rPr>
          <w:rFonts w:ascii="Palatino Linotype" w:eastAsia="Palatino Linotype" w:hAnsi="Palatino Linotype" w:cs="Palatino Linotype"/>
          <w:sz w:val="22"/>
          <w:szCs w:val="22"/>
        </w:rPr>
        <w:t xml:space="preserve"> constituye un registro contable y presupuestal con el que cuentan los entes públicos para el registro de sus operaciones relacionadas con sus ingresos y </w:t>
      </w:r>
      <w:r w:rsidRPr="00E074A6">
        <w:rPr>
          <w:rFonts w:ascii="Palatino Linotype" w:eastAsia="Palatino Linotype" w:hAnsi="Palatino Linotype" w:cs="Palatino Linotype"/>
          <w:b/>
          <w:sz w:val="22"/>
          <w:szCs w:val="22"/>
        </w:rPr>
        <w:t xml:space="preserve">egresos </w:t>
      </w:r>
      <w:r w:rsidRPr="00E074A6">
        <w:rPr>
          <w:rFonts w:ascii="Palatino Linotype" w:eastAsia="Palatino Linotype" w:hAnsi="Palatino Linotype" w:cs="Palatino Linotype"/>
          <w:sz w:val="22"/>
          <w:szCs w:val="22"/>
        </w:rPr>
        <w:t>y se anexan los documentos o comprobantes que justifiquen las anotaciones y cantidades en ellas registradas, lo que permite la identificación plena de dichas operaciones.</w:t>
      </w:r>
    </w:p>
    <w:p w14:paraId="2D71B8B7" w14:textId="77777777" w:rsidR="0003348D" w:rsidRPr="00E074A6" w:rsidRDefault="0003348D">
      <w:pPr>
        <w:spacing w:line="360" w:lineRule="auto"/>
        <w:rPr>
          <w:rFonts w:ascii="Palatino Linotype" w:eastAsia="Palatino Linotype" w:hAnsi="Palatino Linotype" w:cs="Palatino Linotype"/>
          <w:sz w:val="22"/>
          <w:szCs w:val="22"/>
        </w:rPr>
      </w:pPr>
    </w:p>
    <w:p w14:paraId="7EC80BCF" w14:textId="77777777" w:rsidR="0003348D" w:rsidRPr="00E074A6" w:rsidRDefault="00A70830">
      <w:pPr>
        <w:pBdr>
          <w:top w:val="nil"/>
          <w:left w:val="nil"/>
          <w:bottom w:val="nil"/>
          <w:right w:val="nil"/>
          <w:between w:val="nil"/>
        </w:pBdr>
        <w:spacing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En este sentido, existen diversos tipos de pólizas contables de acuerdo a las operaciones realizadas, dentro de las cuales, encontramos las llamadas </w:t>
      </w:r>
      <w:r w:rsidRPr="00E074A6">
        <w:rPr>
          <w:rFonts w:ascii="Palatino Linotype" w:eastAsia="Palatino Linotype" w:hAnsi="Palatino Linotype" w:cs="Palatino Linotype"/>
          <w:i/>
          <w:sz w:val="22"/>
          <w:szCs w:val="22"/>
        </w:rPr>
        <w:t>pólizas de egresos e ingresos</w:t>
      </w:r>
      <w:r w:rsidRPr="00E074A6">
        <w:rPr>
          <w:rFonts w:ascii="Palatino Linotype" w:eastAsia="Palatino Linotype" w:hAnsi="Palatino Linotype" w:cs="Palatino Linotype"/>
          <w:sz w:val="22"/>
          <w:szCs w:val="22"/>
        </w:rPr>
        <w:t xml:space="preserve">, las primeras son aquellas en las cuales se anotan diariamente las operaciones que representan gastos, es decir, salidas de dinero para 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las que además, deben encontrarse acompañadas de las documentales que sirven de soporte de dicho movimiento, </w:t>
      </w:r>
      <w:r w:rsidRPr="00E074A6">
        <w:rPr>
          <w:rFonts w:ascii="Palatino Linotype" w:eastAsia="Palatino Linotype" w:hAnsi="Palatino Linotype" w:cs="Palatino Linotype"/>
          <w:sz w:val="22"/>
          <w:szCs w:val="22"/>
        </w:rPr>
        <w:lastRenderedPageBreak/>
        <w:t>en atención a las segundas, registran todas la entradas de dinero independientemente de la modalidad, ya sea en efectivo, transferencia, cheque o pagaré, mediante la expedición de facturas.</w:t>
      </w:r>
    </w:p>
    <w:p w14:paraId="5B7A0167" w14:textId="77777777" w:rsidR="0003348D" w:rsidRPr="00E074A6" w:rsidRDefault="0003348D">
      <w:pPr>
        <w:spacing w:line="360" w:lineRule="auto"/>
        <w:rPr>
          <w:rFonts w:ascii="Palatino Linotype" w:eastAsia="Palatino Linotype" w:hAnsi="Palatino Linotype" w:cs="Palatino Linotype"/>
          <w:sz w:val="22"/>
          <w:szCs w:val="22"/>
        </w:rPr>
      </w:pPr>
    </w:p>
    <w:p w14:paraId="7294BA56" w14:textId="77777777" w:rsidR="0003348D" w:rsidRPr="00E074A6" w:rsidRDefault="00A70830">
      <w:pPr>
        <w:pBdr>
          <w:top w:val="nil"/>
          <w:left w:val="nil"/>
          <w:bottom w:val="nil"/>
          <w:right w:val="nil"/>
          <w:between w:val="nil"/>
        </w:pBdr>
        <w:spacing w:after="240"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Atento a lo anterior, como ya ha sido mencionado en la normatividad antes citada, todo </w:t>
      </w:r>
      <w:r w:rsidRPr="00E074A6">
        <w:rPr>
          <w:rFonts w:ascii="Palatino Linotype" w:eastAsia="Palatino Linotype" w:hAnsi="Palatino Linotype" w:cs="Palatino Linotype"/>
          <w:b/>
          <w:sz w:val="22"/>
          <w:szCs w:val="22"/>
        </w:rPr>
        <w:t xml:space="preserve">registro contable y presupuestal deberá estar soportado </w:t>
      </w:r>
      <w:r w:rsidRPr="00E074A6">
        <w:rPr>
          <w:rFonts w:ascii="Palatino Linotype" w:eastAsia="Palatino Linotype" w:hAnsi="Palatino Linotype" w:cs="Palatino Linotype"/>
          <w:b/>
          <w:sz w:val="22"/>
          <w:szCs w:val="22"/>
          <w:u w:val="single"/>
        </w:rPr>
        <w:t>con los documentos comprobatorios originales</w:t>
      </w:r>
      <w:r w:rsidRPr="00E074A6">
        <w:rPr>
          <w:rFonts w:ascii="Palatino Linotype" w:eastAsia="Palatino Linotype" w:hAnsi="Palatino Linotype" w:cs="Palatino Linotype"/>
          <w:b/>
          <w:sz w:val="22"/>
          <w:szCs w:val="22"/>
        </w:rPr>
        <w:t>, como lo son las facturas o comprobantes fiscales digitales por internet,</w:t>
      </w:r>
      <w:r w:rsidRPr="00E074A6">
        <w:rPr>
          <w:rFonts w:ascii="Palatino Linotype" w:eastAsia="Palatino Linotype" w:hAnsi="Palatino Linotype" w:cs="Palatino Linotype"/>
          <w:sz w:val="22"/>
          <w:szCs w:val="22"/>
        </w:rPr>
        <w:t xml:space="preserve"> mismos que deberán permanecer en custodia y conservación de la Unidad Administrativa correspondiente y a disposición del Órgano Superior de Fiscalización del Estado de México; por un término de cinco años contados a partir del ejercicio presupuestal siguiente al que corresponda, tal y como se establece en el Código Financiero del Estado de México, en atención a lo anterior, se advierte que es información que de haberse generado debe obrar en los archivos del Sujeto Obligado; sin embargo, no debe perderse de vista que al haberse requerido de un rubro específicamente, como lo es reuniones de trabajo, cabe la posibilidad de que en cierto periodo no se hayan generado pólizas de egresos, por lo que, de ser el caso, el Sujeto Obligado bastará con que así lo haga del conocimiento de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de manera clara y precisa, en términos del artículo 19, párrafo segundo de la Ley de Transparencia y Acceso a la Información pública del Estado de México y Municipios para tener por colmado el requerimiento de información.</w:t>
      </w:r>
    </w:p>
    <w:p w14:paraId="4EBD60FD"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En consecuencia, se ordena realizar una correcta búsqueda exhaustiva y razonable en todas las áreas que deben generar, administrar o poseer la información requerida por el particular. De ser el caso de que la información que se ordena entregar contenga datos personales susceptibles de clasificarse como confidenciales, el Sujeto Obligado estará a lo dispuesto en el Considerando QUINTO de la presente resolución. </w:t>
      </w:r>
    </w:p>
    <w:p w14:paraId="523EAB8A"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 xml:space="preserve">Por último y no menos importante, no pasa desapercibido que el Recurrente solicitó en copia certificada los contratos celebrados para el desarrollo de eventos </w:t>
      </w:r>
    </w:p>
    <w:p w14:paraId="4947C0F9" w14:textId="77777777" w:rsidR="0003348D" w:rsidRPr="00E074A6" w:rsidRDefault="00A70830">
      <w:pP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En lo que respecta a las </w:t>
      </w:r>
      <w:r w:rsidRPr="00E074A6">
        <w:rPr>
          <w:rFonts w:ascii="Palatino Linotype" w:eastAsia="Palatino Linotype" w:hAnsi="Palatino Linotype" w:cs="Palatino Linotype"/>
          <w:b/>
          <w:sz w:val="22"/>
          <w:szCs w:val="22"/>
        </w:rPr>
        <w:t>copias certificadas</w:t>
      </w:r>
      <w:r w:rsidRPr="00E074A6">
        <w:rPr>
          <w:rFonts w:ascii="Palatino Linotype" w:eastAsia="Palatino Linotype" w:hAnsi="Palatino Linotype" w:cs="Palatino Linotype"/>
          <w:sz w:val="22"/>
          <w:szCs w:val="22"/>
        </w:rPr>
        <w:t>, es necesario señalar que dicha modalidad de entrega recae en el supuesto previsto en el artículo 174 fracciones I, III y párrafo segundo de la Ley de Transparencia y Acceso a la Información Pública del Estado de México y Municipios, a saber:</w:t>
      </w:r>
    </w:p>
    <w:p w14:paraId="60C2E340" w14:textId="77777777" w:rsidR="0003348D" w:rsidRPr="00E074A6" w:rsidRDefault="0003348D">
      <w:pPr>
        <w:spacing w:line="360" w:lineRule="auto"/>
        <w:ind w:right="51"/>
        <w:jc w:val="both"/>
        <w:rPr>
          <w:rFonts w:ascii="Palatino Linotype" w:eastAsia="Palatino Linotype" w:hAnsi="Palatino Linotype" w:cs="Palatino Linotype"/>
          <w:sz w:val="22"/>
          <w:szCs w:val="22"/>
        </w:rPr>
      </w:pPr>
    </w:p>
    <w:p w14:paraId="2F950370" w14:textId="77777777" w:rsidR="0003348D" w:rsidRPr="00E074A6" w:rsidRDefault="00A70830">
      <w:pPr>
        <w:tabs>
          <w:tab w:val="left" w:pos="1843"/>
          <w:tab w:val="left" w:pos="7088"/>
          <w:tab w:val="left" w:pos="7371"/>
          <w:tab w:val="left" w:pos="7513"/>
        </w:tabs>
        <w:spacing w:before="120" w:after="120"/>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174.</w:t>
      </w:r>
      <w:r w:rsidRPr="00E074A6">
        <w:rPr>
          <w:rFonts w:ascii="Palatino Linotype" w:eastAsia="Palatino Linotype" w:hAnsi="Palatino Linotype" w:cs="Palatino Linotype"/>
          <w:i/>
          <w:sz w:val="22"/>
          <w:szCs w:val="22"/>
        </w:rPr>
        <w:t xml:space="preserve"> En caso de existir costos para obtener la información deberán cubrirse de manera previa a la entrega y no podrán ser superiores a la suma de: </w:t>
      </w:r>
    </w:p>
    <w:p w14:paraId="02B1BCD4" w14:textId="77777777" w:rsidR="0003348D" w:rsidRPr="00E074A6" w:rsidRDefault="00A70830">
      <w:pPr>
        <w:tabs>
          <w:tab w:val="left" w:pos="1843"/>
          <w:tab w:val="left" w:pos="7088"/>
          <w:tab w:val="left" w:pos="7371"/>
          <w:tab w:val="left" w:pos="7513"/>
        </w:tabs>
        <w:spacing w:before="120" w:after="120"/>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I.</w:t>
      </w:r>
      <w:r w:rsidRPr="00E074A6">
        <w:rPr>
          <w:rFonts w:ascii="Palatino Linotype" w:eastAsia="Palatino Linotype" w:hAnsi="Palatino Linotype" w:cs="Palatino Linotype"/>
          <w:i/>
          <w:sz w:val="22"/>
          <w:szCs w:val="22"/>
        </w:rPr>
        <w:t xml:space="preserve"> El costo de los materiales utilizados en la reproducción de la información;</w:t>
      </w:r>
    </w:p>
    <w:p w14:paraId="77A5BC05" w14:textId="77777777" w:rsidR="0003348D" w:rsidRPr="00E074A6" w:rsidRDefault="00A70830">
      <w:pPr>
        <w:tabs>
          <w:tab w:val="left" w:pos="1843"/>
          <w:tab w:val="left" w:pos="7088"/>
          <w:tab w:val="left" w:pos="7371"/>
          <w:tab w:val="left" w:pos="7513"/>
        </w:tabs>
        <w:spacing w:before="120" w:after="120"/>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p>
    <w:p w14:paraId="2C2B1610" w14:textId="77777777" w:rsidR="0003348D" w:rsidRPr="00E074A6" w:rsidRDefault="00A70830">
      <w:pPr>
        <w:tabs>
          <w:tab w:val="left" w:pos="1843"/>
          <w:tab w:val="left" w:pos="7088"/>
          <w:tab w:val="left" w:pos="7371"/>
          <w:tab w:val="left" w:pos="7513"/>
        </w:tabs>
        <w:spacing w:before="120" w:after="120"/>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III.</w:t>
      </w:r>
      <w:r w:rsidRPr="00E074A6">
        <w:rPr>
          <w:rFonts w:ascii="Palatino Linotype" w:eastAsia="Palatino Linotype" w:hAnsi="Palatino Linotype" w:cs="Palatino Linotype"/>
          <w:i/>
          <w:sz w:val="22"/>
          <w:szCs w:val="22"/>
        </w:rPr>
        <w:t xml:space="preserve"> El pago de la certificación de los documentos, cuando proceda.</w:t>
      </w:r>
    </w:p>
    <w:p w14:paraId="0BFA332A" w14:textId="77777777" w:rsidR="0003348D" w:rsidRPr="00E074A6" w:rsidRDefault="00A70830">
      <w:pPr>
        <w:tabs>
          <w:tab w:val="left" w:pos="1843"/>
          <w:tab w:val="left" w:pos="7088"/>
          <w:tab w:val="left" w:pos="7371"/>
          <w:tab w:val="left" w:pos="7513"/>
        </w:tabs>
        <w:spacing w:before="120" w:after="120"/>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w:t>
      </w:r>
      <w:r w:rsidRPr="00E074A6">
        <w:rPr>
          <w:rFonts w:ascii="Palatino Linotype" w:eastAsia="Palatino Linotype" w:hAnsi="Palatino Linotype" w:cs="Palatino Linotype"/>
          <w:i/>
          <w:sz w:val="22"/>
          <w:szCs w:val="22"/>
        </w:rPr>
        <w:t>..</w:t>
      </w:r>
    </w:p>
    <w:p w14:paraId="18899373" w14:textId="77777777" w:rsidR="0003348D" w:rsidRPr="00E074A6" w:rsidRDefault="00A70830">
      <w:pPr>
        <w:tabs>
          <w:tab w:val="left" w:pos="1843"/>
          <w:tab w:val="left" w:pos="7088"/>
          <w:tab w:val="left" w:pos="7371"/>
          <w:tab w:val="left" w:pos="7513"/>
        </w:tabs>
        <w:spacing w:before="120" w:after="120"/>
        <w:ind w:left="567" w:right="616"/>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La información deberá ser entregada sin costo, cuando implique la entrega de no más de veinte hojas simples. Las unidades de transparencia podrán exceptuar el pago de reproducción y envío atendiendo a las circunstancias socioeconómicas del solicitante, en términos de los lineamientos que expida el Instituto</w:t>
      </w:r>
      <w:r w:rsidRPr="00E074A6">
        <w:rPr>
          <w:rFonts w:ascii="Palatino Linotype" w:eastAsia="Palatino Linotype" w:hAnsi="Palatino Linotype" w:cs="Palatino Linotype"/>
          <w:sz w:val="22"/>
          <w:szCs w:val="22"/>
        </w:rPr>
        <w:t>.</w:t>
      </w:r>
      <w:r w:rsidRPr="00E074A6">
        <w:rPr>
          <w:rFonts w:ascii="Palatino Linotype" w:eastAsia="Palatino Linotype" w:hAnsi="Palatino Linotype" w:cs="Palatino Linotype"/>
          <w:i/>
          <w:sz w:val="22"/>
          <w:szCs w:val="22"/>
        </w:rPr>
        <w:t>”</w:t>
      </w:r>
    </w:p>
    <w:p w14:paraId="70EA574D" w14:textId="77777777" w:rsidR="0003348D" w:rsidRPr="00E074A6" w:rsidRDefault="0003348D">
      <w:pPr>
        <w:pBdr>
          <w:top w:val="nil"/>
          <w:left w:val="nil"/>
          <w:bottom w:val="nil"/>
          <w:right w:val="nil"/>
          <w:between w:val="nil"/>
        </w:pBdr>
        <w:spacing w:line="360" w:lineRule="auto"/>
        <w:ind w:right="51"/>
        <w:jc w:val="both"/>
        <w:rPr>
          <w:rFonts w:ascii="Palatino Linotype" w:eastAsia="Palatino Linotype" w:hAnsi="Palatino Linotype" w:cs="Palatino Linotype"/>
          <w:sz w:val="22"/>
          <w:szCs w:val="22"/>
        </w:rPr>
      </w:pPr>
    </w:p>
    <w:p w14:paraId="69240B79" w14:textId="77777777" w:rsidR="0003348D" w:rsidRPr="00E074A6" w:rsidRDefault="00A70830">
      <w:pPr>
        <w:pBdr>
          <w:top w:val="nil"/>
          <w:left w:val="nil"/>
          <w:bottom w:val="nil"/>
          <w:right w:val="nil"/>
          <w:between w:val="nil"/>
        </w:pBd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Y, las cuotas de los derechos aplicables para la expedición de documentos solicitados en el ejercicio del derecho de acceso a la información pública, se encuentran previstas en el Código Financiero del Estado de México, el cual regula la actividad financiera estatal y municipal, entendiendo a dicha actividad la que comprende la obtención, administración y aplicación de los ingresos públicos, así como lo conducente a la transparencia y difusión de la información financiera relativa al presupuesto, ejercicio, evaluación y rendición de cuentas, en apego a las disposiciones aplicables en la materia.</w:t>
      </w:r>
    </w:p>
    <w:p w14:paraId="26D90D61" w14:textId="77777777" w:rsidR="0003348D" w:rsidRPr="00E074A6" w:rsidRDefault="00A70830">
      <w:pPr>
        <w:spacing w:before="280" w:after="280" w:line="360" w:lineRule="auto"/>
        <w:ind w:firstLine="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Por tanto, se tiene que el artículo 7, del Código referido establece que, para cubrir el gasto público y demás obligaciones a su cargo, el Estado y los Municipios percibirán en cada </w:t>
      </w:r>
      <w:r w:rsidRPr="00E074A6">
        <w:rPr>
          <w:rFonts w:ascii="Palatino Linotype" w:eastAsia="Palatino Linotype" w:hAnsi="Palatino Linotype" w:cs="Palatino Linotype"/>
          <w:sz w:val="22"/>
          <w:szCs w:val="22"/>
        </w:rPr>
        <w:lastRenderedPageBreak/>
        <w:t xml:space="preserve">ejercicio fiscal los impuestos, derechos, aportaciones de mejoras, productos, aprovechamientos, ingresos derivados de la coordinación hacendaria, e ingresos provenientes de financiamientos, establecidos en la Ley de ingresos. </w:t>
      </w:r>
    </w:p>
    <w:p w14:paraId="6FE315B5" w14:textId="77777777" w:rsidR="0003348D" w:rsidRPr="00E074A6" w:rsidRDefault="00A70830">
      <w:pPr>
        <w:spacing w:line="360" w:lineRule="auto"/>
        <w:ind w:firstLine="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Asimismo, el artículo 9 en su fracción II define a los derechos como las contraprestaciones establecidas en este Código que deben pagar las personas físicas y jurídicas colectivas, por el uso o aprovechamiento de los bienes del dominio público de la Entidad, así como por recibir servicios que preste, el Estado, sus organismos y Municipios en funciones de derecho público.</w:t>
      </w:r>
    </w:p>
    <w:p w14:paraId="75C4A7ED" w14:textId="77777777" w:rsidR="0003348D" w:rsidRPr="00E074A6" w:rsidRDefault="0003348D">
      <w:pPr>
        <w:spacing w:line="360" w:lineRule="auto"/>
        <w:ind w:firstLine="1"/>
        <w:jc w:val="both"/>
        <w:rPr>
          <w:rFonts w:ascii="Palatino Linotype" w:eastAsia="Palatino Linotype" w:hAnsi="Palatino Linotype" w:cs="Palatino Linotype"/>
          <w:sz w:val="22"/>
          <w:szCs w:val="22"/>
        </w:rPr>
      </w:pPr>
    </w:p>
    <w:p w14:paraId="146B33F3" w14:textId="77777777" w:rsidR="0003348D" w:rsidRPr="00E074A6" w:rsidRDefault="00A70830">
      <w:pPr>
        <w:spacing w:line="360" w:lineRule="auto"/>
        <w:ind w:firstLine="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Así, se tiene que el cobro por la certificación de los documentos a entregar, es un ingreso al que tienen derecho los municipios y su destino es cubrir el gasto público y demás obligaciones a su cargo, toda vez que es una ganancia lícita que se debe obtener con el cumplimiento de la obligación de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a realizar el pago establecido en el artículo 73 del Código Financiero. </w:t>
      </w:r>
    </w:p>
    <w:p w14:paraId="6FB4A6B3" w14:textId="77777777" w:rsidR="0003348D" w:rsidRPr="00E074A6" w:rsidRDefault="0003348D">
      <w:pPr>
        <w:spacing w:line="360" w:lineRule="auto"/>
        <w:ind w:firstLine="1"/>
        <w:jc w:val="both"/>
        <w:rPr>
          <w:rFonts w:ascii="Palatino Linotype" w:eastAsia="Palatino Linotype" w:hAnsi="Palatino Linotype" w:cs="Palatino Linotype"/>
          <w:sz w:val="22"/>
          <w:szCs w:val="22"/>
        </w:rPr>
      </w:pPr>
    </w:p>
    <w:p w14:paraId="006C0E6D" w14:textId="77777777" w:rsidR="0003348D" w:rsidRPr="00E074A6" w:rsidRDefault="00A70830">
      <w:pPr>
        <w:spacing w:line="360" w:lineRule="auto"/>
        <w:ind w:firstLine="1"/>
        <w:jc w:val="center"/>
        <w:rPr>
          <w:rFonts w:ascii="Palatino Linotype" w:eastAsia="Palatino Linotype" w:hAnsi="Palatino Linotype" w:cs="Palatino Linotype"/>
          <w:sz w:val="22"/>
          <w:szCs w:val="22"/>
        </w:rPr>
      </w:pPr>
      <w:r w:rsidRPr="00E074A6">
        <w:rPr>
          <w:rFonts w:ascii="Palatino Linotype" w:eastAsia="Palatino Linotype" w:hAnsi="Palatino Linotype" w:cs="Palatino Linotype"/>
          <w:noProof/>
          <w:sz w:val="22"/>
          <w:szCs w:val="22"/>
          <w:lang w:val="es-MX"/>
        </w:rPr>
        <w:drawing>
          <wp:inline distT="0" distB="0" distL="0" distR="0" wp14:anchorId="322F56D5" wp14:editId="5D22ECAA">
            <wp:extent cx="5419962" cy="996673"/>
            <wp:effectExtent l="0" t="0" r="0" b="0"/>
            <wp:docPr id="77020156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5419962" cy="996673"/>
                    </a:xfrm>
                    <a:prstGeom prst="rect">
                      <a:avLst/>
                    </a:prstGeom>
                    <a:ln/>
                  </pic:spPr>
                </pic:pic>
              </a:graphicData>
            </a:graphic>
          </wp:inline>
        </w:drawing>
      </w:r>
      <w:r w:rsidRPr="00E074A6">
        <w:rPr>
          <w:rFonts w:ascii="Palatino Linotype" w:eastAsia="Palatino Linotype" w:hAnsi="Palatino Linotype" w:cs="Palatino Linotype"/>
          <w:noProof/>
          <w:sz w:val="22"/>
          <w:szCs w:val="22"/>
          <w:lang w:val="es-MX"/>
        </w:rPr>
        <w:drawing>
          <wp:inline distT="0" distB="0" distL="0" distR="0" wp14:anchorId="1FDE13F2" wp14:editId="25AFEAC1">
            <wp:extent cx="5210271" cy="1047959"/>
            <wp:effectExtent l="0" t="0" r="0" b="0"/>
            <wp:docPr id="77020155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5210271" cy="1047959"/>
                    </a:xfrm>
                    <a:prstGeom prst="rect">
                      <a:avLst/>
                    </a:prstGeom>
                    <a:ln/>
                  </pic:spPr>
                </pic:pic>
              </a:graphicData>
            </a:graphic>
          </wp:inline>
        </w:drawing>
      </w:r>
    </w:p>
    <w:p w14:paraId="4C722691" w14:textId="77777777" w:rsidR="0003348D" w:rsidRPr="00E074A6" w:rsidRDefault="0003348D">
      <w:pPr>
        <w:spacing w:line="360" w:lineRule="auto"/>
        <w:ind w:firstLine="1"/>
        <w:jc w:val="both"/>
        <w:rPr>
          <w:rFonts w:ascii="Palatino Linotype" w:eastAsia="Palatino Linotype" w:hAnsi="Palatino Linotype" w:cs="Palatino Linotype"/>
          <w:sz w:val="22"/>
          <w:szCs w:val="22"/>
        </w:rPr>
      </w:pPr>
    </w:p>
    <w:p w14:paraId="523E60A4"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Como se advierte, los derechos por la certificación de la primera hoja, equivalen a $103 pesos mientras que los derechos para cada una de las subsecuentes equivalen a $50 pesos. </w:t>
      </w:r>
    </w:p>
    <w:p w14:paraId="3E0E6253"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48DECF76" w14:textId="77777777" w:rsidR="0003348D" w:rsidRPr="00E074A6" w:rsidRDefault="00A70830">
      <w:pPr>
        <w:spacing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En este sentido, es evidente que la entrega de la información a la particular mediante copias certificadas, procederá una vez que se acredite el pago de derechos correspondiente.</w:t>
      </w:r>
    </w:p>
    <w:p w14:paraId="26C9BC62" w14:textId="77777777" w:rsidR="0003348D" w:rsidRPr="00E074A6" w:rsidRDefault="0003348D">
      <w:pPr>
        <w:spacing w:line="360" w:lineRule="auto"/>
        <w:ind w:right="49"/>
        <w:jc w:val="both"/>
        <w:rPr>
          <w:rFonts w:ascii="Palatino Linotype" w:eastAsia="Palatino Linotype" w:hAnsi="Palatino Linotype" w:cs="Palatino Linotype"/>
          <w:sz w:val="22"/>
          <w:szCs w:val="22"/>
        </w:rPr>
      </w:pPr>
    </w:p>
    <w:p w14:paraId="244CBF44" w14:textId="77777777" w:rsidR="0003348D" w:rsidRPr="00E074A6" w:rsidRDefault="00A70830">
      <w:pPr>
        <w:spacing w:line="360" w:lineRule="auto"/>
        <w:ind w:right="51"/>
        <w:jc w:val="both"/>
        <w:rPr>
          <w:rFonts w:ascii="Palatino Linotype" w:eastAsia="Palatino Linotype" w:hAnsi="Palatino Linotype" w:cs="Palatino Linotype"/>
          <w:b/>
          <w:sz w:val="22"/>
          <w:szCs w:val="22"/>
          <w:u w:val="single"/>
        </w:rPr>
      </w:pPr>
      <w:r w:rsidRPr="00E074A6">
        <w:rPr>
          <w:rFonts w:ascii="Palatino Linotype" w:eastAsia="Palatino Linotype" w:hAnsi="Palatino Linotype" w:cs="Palatino Linotype"/>
          <w:sz w:val="22"/>
          <w:szCs w:val="22"/>
        </w:rPr>
        <w:t>Asimismo, se precisa que para la entrega de la información certificada tal y como fue solicitada por el particular, debemos tener en cuenta que los Lineamientos para la Recepción, Trámite y Resolución de las Solicitudes de Acceso a la Información Pública, así como de los Recursos de Revisión que deberán observar los Sujetos Obligados por la Ley de Transparencia y Acceso a la Información Pública del Estado de México y Municipios; disponen en el numeral treinta y ocho, incisos e), f) y h), que en el caso de que la información se haya solicitado en una modalidad que sea técnicamente factible y que constituya un costo de reproducción, los Sujetos Obligados deberán hacer del conocimiento de los particulares</w:t>
      </w:r>
      <w:r w:rsidRPr="00E074A6">
        <w:rPr>
          <w:rFonts w:ascii="Palatino Linotype" w:eastAsia="Palatino Linotype" w:hAnsi="Palatino Linotype" w:cs="Palatino Linotype"/>
          <w:b/>
          <w:sz w:val="22"/>
          <w:szCs w:val="22"/>
        </w:rPr>
        <w:t xml:space="preserve"> </w:t>
      </w:r>
      <w:r w:rsidRPr="00E074A6">
        <w:rPr>
          <w:rFonts w:ascii="Palatino Linotype" w:eastAsia="Palatino Linotype" w:hAnsi="Palatino Linotype" w:cs="Palatino Linotype"/>
          <w:sz w:val="22"/>
          <w:szCs w:val="22"/>
        </w:rPr>
        <w:t>previamente</w:t>
      </w:r>
      <w:r w:rsidRPr="00E074A6">
        <w:rPr>
          <w:rFonts w:ascii="Palatino Linotype" w:eastAsia="Palatino Linotype" w:hAnsi="Palatino Linotype" w:cs="Palatino Linotype"/>
          <w:b/>
          <w:sz w:val="22"/>
          <w:szCs w:val="22"/>
        </w:rPr>
        <w:t>, el costo total por la reproducción y certificación de la información requerida,</w:t>
      </w:r>
      <w:r w:rsidRPr="00E074A6">
        <w:rPr>
          <w:rFonts w:ascii="Palatino Linotype" w:eastAsia="Palatino Linotype" w:hAnsi="Palatino Linotype" w:cs="Palatino Linotype"/>
          <w:sz w:val="22"/>
          <w:szCs w:val="22"/>
        </w:rPr>
        <w:t xml:space="preserve"> </w:t>
      </w:r>
      <w:r w:rsidRPr="00E074A6">
        <w:rPr>
          <w:rFonts w:ascii="Palatino Linotype" w:eastAsia="Palatino Linotype" w:hAnsi="Palatino Linotype" w:cs="Palatino Linotype"/>
          <w:b/>
          <w:sz w:val="22"/>
          <w:szCs w:val="22"/>
        </w:rPr>
        <w:t xml:space="preserve">así como el procedimiento para la entrega de la misma en el que se establezca: procedimiento para realizar el pago correspondiente, lugar, día y horarios en los que podrá presentarse a recoger las copias certificadas y el nombre del o los servidores públicos que le atenderán. </w:t>
      </w:r>
    </w:p>
    <w:p w14:paraId="2F524801" w14:textId="77777777" w:rsidR="0003348D" w:rsidRPr="00E074A6" w:rsidRDefault="0003348D">
      <w:pPr>
        <w:spacing w:line="360" w:lineRule="auto"/>
        <w:ind w:right="51"/>
        <w:jc w:val="both"/>
        <w:rPr>
          <w:rFonts w:ascii="Palatino Linotype" w:eastAsia="Palatino Linotype" w:hAnsi="Palatino Linotype" w:cs="Palatino Linotype"/>
          <w:b/>
          <w:sz w:val="22"/>
          <w:szCs w:val="22"/>
        </w:rPr>
      </w:pPr>
    </w:p>
    <w:p w14:paraId="02A11FF7" w14:textId="77777777" w:rsidR="0003348D" w:rsidRPr="00E074A6" w:rsidRDefault="00A70830">
      <w:pP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Asimismo, no debe perderse de vista el contenido del artículo 166 de la Ley de Transparencia y Acceso a la Información Pública del Estado de México y Municipios, que señala a la literalidad lo siguiente:</w:t>
      </w:r>
    </w:p>
    <w:p w14:paraId="7A53F2C9" w14:textId="77777777" w:rsidR="0003348D" w:rsidRPr="00E074A6" w:rsidRDefault="0003348D">
      <w:pPr>
        <w:spacing w:line="360" w:lineRule="auto"/>
        <w:ind w:right="51"/>
        <w:jc w:val="both"/>
        <w:rPr>
          <w:rFonts w:ascii="Palatino Linotype" w:eastAsia="Palatino Linotype" w:hAnsi="Palatino Linotype" w:cs="Palatino Linotype"/>
          <w:sz w:val="22"/>
          <w:szCs w:val="22"/>
        </w:rPr>
      </w:pPr>
    </w:p>
    <w:p w14:paraId="019601BC" w14:textId="77777777" w:rsidR="0003348D" w:rsidRPr="00E074A6" w:rsidRDefault="00A70830">
      <w:pPr>
        <w:spacing w:after="120"/>
        <w:ind w:left="851" w:right="85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Artículo 166</w:t>
      </w:r>
      <w:r w:rsidRPr="00E074A6">
        <w:rPr>
          <w:rFonts w:ascii="Palatino Linotype" w:eastAsia="Palatino Linotype" w:hAnsi="Palatino Linotype" w:cs="Palatino Linotype"/>
          <w:i/>
          <w:sz w:val="22"/>
          <w:szCs w:val="22"/>
        </w:rPr>
        <w:t xml:space="preserve">. La obligación de acceso a la información pública se tendrá por cumplida </w:t>
      </w:r>
      <w:r w:rsidRPr="00E074A6">
        <w:rPr>
          <w:rFonts w:ascii="Palatino Linotype" w:eastAsia="Palatino Linotype" w:hAnsi="Palatino Linotype" w:cs="Palatino Linotype"/>
          <w:b/>
          <w:i/>
          <w:sz w:val="22"/>
          <w:szCs w:val="22"/>
        </w:rPr>
        <w:t xml:space="preserve">cuando el solicitante tenga a su disposición la información requerida, </w:t>
      </w:r>
      <w:r w:rsidRPr="00E074A6">
        <w:rPr>
          <w:rFonts w:ascii="Palatino Linotype" w:eastAsia="Palatino Linotype" w:hAnsi="Palatino Linotype" w:cs="Palatino Linotype"/>
          <w:i/>
          <w:sz w:val="22"/>
          <w:szCs w:val="22"/>
        </w:rPr>
        <w:t>o cuando realice la consulta de la misma en el lugar en el que ésta se localice.</w:t>
      </w:r>
    </w:p>
    <w:p w14:paraId="72CD4550" w14:textId="77777777" w:rsidR="0003348D" w:rsidRPr="00E074A6" w:rsidRDefault="00A70830">
      <w:pPr>
        <w:spacing w:before="120" w:after="120"/>
        <w:ind w:left="851" w:right="851"/>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u w:val="single"/>
        </w:rPr>
        <w:t>La Unidad de Transparencia tendrá disponible la información solicitada</w:t>
      </w:r>
      <w:r w:rsidRPr="00E074A6">
        <w:rPr>
          <w:rFonts w:ascii="Palatino Linotype" w:eastAsia="Palatino Linotype" w:hAnsi="Palatino Linotype" w:cs="Palatino Linotype"/>
          <w:b/>
          <w:i/>
          <w:sz w:val="22"/>
          <w:szCs w:val="22"/>
        </w:rPr>
        <w:t xml:space="preserve">, durante un plazo mínimo de sesenta días hábiles, contado a partir de que </w:t>
      </w:r>
      <w:r w:rsidRPr="00E074A6">
        <w:rPr>
          <w:rFonts w:ascii="Palatino Linotype" w:eastAsia="Palatino Linotype" w:hAnsi="Palatino Linotype" w:cs="Palatino Linotype"/>
          <w:b/>
          <w:i/>
          <w:sz w:val="22"/>
          <w:szCs w:val="22"/>
        </w:rPr>
        <w:lastRenderedPageBreak/>
        <w:t>el solicitante hubiere realizado, en su caso, el pago respectivo, el cual deberá efectuarse en un plazo no mayor a treinta días hábiles.</w:t>
      </w:r>
    </w:p>
    <w:p w14:paraId="47E8FADC" w14:textId="77777777" w:rsidR="0003348D" w:rsidRPr="00E074A6" w:rsidRDefault="00A70830">
      <w:pPr>
        <w:spacing w:before="120" w:after="120"/>
        <w:ind w:left="851" w:right="85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Transcurridos dichos plazos, si los solicitantes no acuden a recibir la información requerida los sujetos obligados darán por concluida la solicitud y procederán, de ser el caso, a la destrucción del material en el que se reprodujo la información.</w:t>
      </w:r>
    </w:p>
    <w:p w14:paraId="4FECA569" w14:textId="77777777" w:rsidR="0003348D" w:rsidRPr="00E074A6" w:rsidRDefault="00A70830">
      <w:pPr>
        <w:spacing w:before="120" w:after="120"/>
        <w:ind w:left="851" w:right="85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Cuando el sujeto obligado no entregue la respuesta a la solicitud dentro del plazo previsto en la Ley, la solicitud se entenderá negada y el solicitante podrá interponer el recurso de revisión previsto en este ordenamiento.</w:t>
      </w:r>
    </w:p>
    <w:p w14:paraId="44927EAB" w14:textId="77777777" w:rsidR="0003348D" w:rsidRPr="00E074A6" w:rsidRDefault="00A70830">
      <w:pPr>
        <w:spacing w:before="120" w:after="120"/>
        <w:ind w:left="851" w:right="85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Una vez entregada la información, el solicitante acusará recibo por escrito, dándose por terminado el trámite de acceso a la información.”</w:t>
      </w:r>
    </w:p>
    <w:p w14:paraId="43123193" w14:textId="77777777" w:rsidR="0003348D" w:rsidRPr="00E074A6" w:rsidRDefault="0003348D">
      <w:pPr>
        <w:spacing w:before="120" w:after="120"/>
        <w:ind w:left="851" w:right="851"/>
        <w:jc w:val="both"/>
        <w:rPr>
          <w:rFonts w:ascii="Palatino Linotype" w:eastAsia="Palatino Linotype" w:hAnsi="Palatino Linotype" w:cs="Palatino Linotype"/>
          <w:i/>
          <w:sz w:val="22"/>
          <w:szCs w:val="22"/>
        </w:rPr>
      </w:pPr>
    </w:p>
    <w:p w14:paraId="2C04AADF" w14:textId="77777777" w:rsidR="0003348D" w:rsidRPr="00E074A6" w:rsidRDefault="00A70830">
      <w:pPr>
        <w:spacing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Razón por la cual,</w:t>
      </w:r>
      <w:r w:rsidRPr="00E074A6">
        <w:rPr>
          <w:rFonts w:ascii="Palatino Linotype" w:eastAsia="Palatino Linotype" w:hAnsi="Palatino Linotype" w:cs="Palatino Linotype"/>
          <w:b/>
          <w:sz w:val="22"/>
          <w:szCs w:val="22"/>
        </w:rPr>
        <w:t xml:space="preserve"> </w:t>
      </w:r>
      <w:r w:rsidRPr="00E074A6">
        <w:rPr>
          <w:rFonts w:ascii="Palatino Linotype" w:eastAsia="Palatino Linotype" w:hAnsi="Palatino Linotype" w:cs="Palatino Linotype"/>
          <w:sz w:val="22"/>
          <w:szCs w:val="22"/>
        </w:rPr>
        <w:t xml:space="preserve">para dar cumplimiento a la presente resolución, 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deberá hacer del conocimiento de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vía SAIMEX, </w:t>
      </w:r>
      <w:r w:rsidRPr="00E074A6">
        <w:rPr>
          <w:rFonts w:ascii="Palatino Linotype" w:eastAsia="Palatino Linotype" w:hAnsi="Palatino Linotype" w:cs="Palatino Linotype"/>
          <w:b/>
          <w:sz w:val="22"/>
          <w:szCs w:val="22"/>
          <w:u w:val="single"/>
        </w:rPr>
        <w:t>el costo por la reproducción y certificación de la información requerida</w:t>
      </w:r>
      <w:r w:rsidRPr="00E074A6">
        <w:rPr>
          <w:rFonts w:ascii="Palatino Linotype" w:eastAsia="Palatino Linotype" w:hAnsi="Palatino Linotype" w:cs="Palatino Linotype"/>
          <w:sz w:val="22"/>
          <w:szCs w:val="22"/>
        </w:rPr>
        <w:t>, así como el procedimiento para la entrega de la misma una vez que haya efectuado el pago por concepto de derechos, en el que se establezca: lugar, día y horarios en los que podrá presentarse a recoger las copias certificadas, así como el nombre del o los servidores públicos que le atenderán.</w:t>
      </w:r>
    </w:p>
    <w:p w14:paraId="4A1BF804" w14:textId="77777777" w:rsidR="0003348D" w:rsidRPr="00E074A6" w:rsidRDefault="0003348D">
      <w:pPr>
        <w:spacing w:after="40" w:line="360" w:lineRule="auto"/>
        <w:ind w:right="49"/>
        <w:jc w:val="both"/>
        <w:rPr>
          <w:rFonts w:ascii="Palatino Linotype" w:eastAsia="Palatino Linotype" w:hAnsi="Palatino Linotype" w:cs="Palatino Linotype"/>
          <w:sz w:val="22"/>
          <w:szCs w:val="22"/>
        </w:rPr>
      </w:pPr>
    </w:p>
    <w:p w14:paraId="2E06847A" w14:textId="77777777" w:rsidR="0003348D" w:rsidRPr="00E074A6" w:rsidRDefault="00A70830">
      <w:pPr>
        <w:spacing w:before="40" w:after="28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Ahora bien, conviene señalar que si bien dicha modalidad de entrega en copias certificadas faculta a los servidores públicos para que expidan certificaciones de los documentos solicitados que obran en los archivos de las dependencias o entidades en copia simple u original según sea el caso; también lo es que, en materia de acceso a la información la certificación </w:t>
      </w:r>
      <w:r w:rsidRPr="00E074A6">
        <w:rPr>
          <w:rFonts w:ascii="Palatino Linotype" w:eastAsia="Palatino Linotype" w:hAnsi="Palatino Linotype" w:cs="Palatino Linotype"/>
          <w:b/>
          <w:sz w:val="22"/>
          <w:szCs w:val="22"/>
        </w:rPr>
        <w:t>únicamente por efecto constata que la copia certificada que se entrega es una reproducción fiel del documento -original o copia simple- que obra en los archivos de la dependencia</w:t>
      </w:r>
      <w:r w:rsidRPr="00E074A6">
        <w:rPr>
          <w:rFonts w:ascii="Palatino Linotype" w:eastAsia="Palatino Linotype" w:hAnsi="Palatino Linotype" w:cs="Palatino Linotype"/>
          <w:sz w:val="22"/>
          <w:szCs w:val="22"/>
        </w:rPr>
        <w:t xml:space="preserve"> o entidad requerida, en ese orden de ideas, </w:t>
      </w:r>
      <w:r w:rsidRPr="00E074A6">
        <w:rPr>
          <w:rFonts w:ascii="Palatino Linotype" w:eastAsia="Palatino Linotype" w:hAnsi="Palatino Linotype" w:cs="Palatino Linotype"/>
          <w:b/>
          <w:sz w:val="22"/>
          <w:szCs w:val="22"/>
          <w:u w:val="single"/>
        </w:rPr>
        <w:t>la certificación, para efectos de acceso a la información, no tiene como propósito que el documento certificado haga las veces de un original,</w:t>
      </w:r>
      <w:r w:rsidRPr="00E074A6">
        <w:rPr>
          <w:rFonts w:ascii="Palatino Linotype" w:eastAsia="Palatino Linotype" w:hAnsi="Palatino Linotype" w:cs="Palatino Linotype"/>
          <w:sz w:val="22"/>
          <w:szCs w:val="22"/>
        </w:rPr>
        <w:t xml:space="preserve"> sino dejar evidencia de que los documentos obran en los archivos de los sujetos obligados, tal cual se encuentran, lo cual deberá quedar precisado en la leyenda de certificación correspondiente. </w:t>
      </w:r>
    </w:p>
    <w:p w14:paraId="4B14F9B0" w14:textId="77777777" w:rsidR="0003348D" w:rsidRPr="00E074A6" w:rsidRDefault="00A70830">
      <w:pPr>
        <w:spacing w:before="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 xml:space="preserve">Sirve de fundamentación a lo antes expresado, el criterio 06/2017 emitido por el Instituto Nacional de Transparencia, Acceso a la Información y Protección de Datos Personales: </w:t>
      </w:r>
    </w:p>
    <w:p w14:paraId="7EBBA5B5" w14:textId="77777777" w:rsidR="0003348D" w:rsidRPr="00E074A6" w:rsidRDefault="0003348D">
      <w:pPr>
        <w:spacing w:line="360" w:lineRule="auto"/>
        <w:ind w:right="49"/>
        <w:jc w:val="both"/>
        <w:rPr>
          <w:rFonts w:ascii="Palatino Linotype" w:eastAsia="Palatino Linotype" w:hAnsi="Palatino Linotype" w:cs="Palatino Linotype"/>
          <w:sz w:val="22"/>
          <w:szCs w:val="22"/>
        </w:rPr>
      </w:pPr>
    </w:p>
    <w:p w14:paraId="7FD1099C" w14:textId="77777777" w:rsidR="0003348D" w:rsidRPr="00E074A6" w:rsidRDefault="00A70830">
      <w:pPr>
        <w:ind w:left="851" w:right="900"/>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 xml:space="preserve">Copias certificadas, como modalidad de entrega en la Ley Federal de Transparencia y Acceso a la Información Pública corrobora que el documento es una copia fiel del que obra en los archivos del sujeto obligado. </w:t>
      </w:r>
      <w:r w:rsidRPr="00E074A6">
        <w:rPr>
          <w:rFonts w:ascii="Palatino Linotype" w:eastAsia="Palatino Linotype" w:hAnsi="Palatino Linotype" w:cs="Palatino Linotype"/>
          <w:i/>
          <w:sz w:val="22"/>
          <w:szCs w:val="22"/>
        </w:rPr>
        <w:t>Los artículos 125, fracción V y 136 de la Ley Federal de Transparencia y Acceso a la Información Pública, prevén que el acceso a la información se dará en la modalidad de entrega elegida por los solicitantes, como lo es, en copia certificada. Considerando que el artículo 1° de la Ley en cita tiene como finalidad proveer lo necesario para garantizar el acceso de toda persona a la información en posesión de los sujetos obligados del ámbito federal, la certificación en materia de transparencia y acceso a la información tiene por efecto constatar que la copia certificada entregada es una reproducción fiel del documento -original o copia simple- que obra en los archivos del sujeto obligado. En ese orden de ideas, la certificación, para efectos de acceso a la información, a diferencia del concepto que tradicionalmente se ha sostenido en diversas tesis del Poder Judicial de la Federación, no tiene como propósito que el documento certificado haga las veces de un original, sino dejar evidencia de que los documentos obran en los archivos de los sujetos obligados, tal como se encuentran.</w:t>
      </w:r>
    </w:p>
    <w:p w14:paraId="116AA56E" w14:textId="77777777" w:rsidR="0003348D" w:rsidRPr="00E074A6" w:rsidRDefault="0003348D">
      <w:pPr>
        <w:ind w:left="851" w:right="900"/>
        <w:jc w:val="both"/>
        <w:rPr>
          <w:rFonts w:ascii="Palatino Linotype" w:eastAsia="Palatino Linotype" w:hAnsi="Palatino Linotype" w:cs="Palatino Linotype"/>
          <w:i/>
          <w:sz w:val="22"/>
          <w:szCs w:val="22"/>
        </w:rPr>
      </w:pPr>
    </w:p>
    <w:p w14:paraId="435914E6" w14:textId="77777777" w:rsidR="0003348D" w:rsidRPr="00E074A6" w:rsidRDefault="00A70830">
      <w:pP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Por las circunstancias específicas de haber sido solicitada la información de manera certificada, ésta tiene que ser entregada/remitida de manera física a efecto de satisfacer dicha modalidad.</w:t>
      </w:r>
    </w:p>
    <w:p w14:paraId="4B838E46" w14:textId="77777777" w:rsidR="0003348D" w:rsidRPr="00E074A6" w:rsidRDefault="0003348D">
      <w:pPr>
        <w:spacing w:line="360" w:lineRule="auto"/>
        <w:ind w:right="51"/>
        <w:jc w:val="both"/>
        <w:rPr>
          <w:rFonts w:ascii="Palatino Linotype" w:eastAsia="Palatino Linotype" w:hAnsi="Palatino Linotype" w:cs="Palatino Linotype"/>
          <w:sz w:val="22"/>
          <w:szCs w:val="22"/>
        </w:rPr>
      </w:pPr>
    </w:p>
    <w:p w14:paraId="10F601A7" w14:textId="77777777" w:rsidR="0003348D" w:rsidRPr="00E074A6" w:rsidRDefault="00A70830">
      <w:pP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Asimismo, no pasa inadvertido para este Organismo Garante que el Recurrente en diversos puntos de la solicitud agregó que requiere copia de la información, entendiéndose este término como copia simple; sin embargo, con el único fin de cumplir con el principio de expedites y garantizar el derecho del particular, se menciona que el SAIMEX es una plataforma tecnológica gratuita que facilita el ejercicio del derecho de acceso a la información pública, en ese sentido, permite la transferencia de archivos que son descargables a libre decisión de los Recurrentes  en cualquier equipo tecnológico, como </w:t>
      </w:r>
      <w:r w:rsidRPr="00E074A6">
        <w:rPr>
          <w:rFonts w:ascii="Palatino Linotype" w:eastAsia="Palatino Linotype" w:hAnsi="Palatino Linotype" w:cs="Palatino Linotype"/>
          <w:sz w:val="22"/>
          <w:szCs w:val="22"/>
        </w:rPr>
        <w:lastRenderedPageBreak/>
        <w:t>equipos de cómputo y permite su impresión obteniendo de este modo la calidad de copias simples, en razón de lo anterior, se ordena entregar la información a través del SAIMEX.</w:t>
      </w:r>
    </w:p>
    <w:p w14:paraId="48AA1E90" w14:textId="77777777" w:rsidR="0003348D" w:rsidRPr="00E074A6" w:rsidRDefault="00A70830">
      <w:pPr>
        <w:spacing w:before="240"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 xml:space="preserve">Quinto. Versión Pública. </w:t>
      </w:r>
      <w:r w:rsidRPr="00E074A6">
        <w:rPr>
          <w:rFonts w:ascii="Palatino Linotype" w:eastAsia="Palatino Linotype" w:hAnsi="Palatino Linotype" w:cs="Palatino Linotype"/>
          <w:sz w:val="22"/>
          <w:szCs w:val="22"/>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Sujeto Obligado tendrá que hacer la elaboración de una versión pública de los documentos que vaya entregar para dar cumplimiento a esta resolución, a fin de satisfacer el derecho de acceso a la información pública del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sin menoscabar el derecho a la protección de los datos personales de terceros.</w:t>
      </w:r>
    </w:p>
    <w:p w14:paraId="41634B4F" w14:textId="77777777" w:rsidR="0003348D" w:rsidRPr="00E074A6" w:rsidRDefault="00A70830">
      <w:pPr>
        <w:spacing w:after="240" w:line="360" w:lineRule="auto"/>
        <w:ind w:right="50"/>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Lo anterior, de conformidad a lo que señalan los artículos 3, fracciones IX, XX, XXXII, XLV; 6, 137 y 143 fracción I, de la Ley de Transparencia y Acceso a la Información Pública del Estado de México y Municipios vigente, que se leen como sigue:</w:t>
      </w:r>
    </w:p>
    <w:p w14:paraId="194CFD1A" w14:textId="77777777" w:rsidR="0003348D" w:rsidRPr="00E074A6" w:rsidRDefault="00A70830">
      <w:pPr>
        <w:ind w:left="993" w:right="1041"/>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 xml:space="preserve"> “Artículo 3. Para los efectos de la presente Ley se entenderá por:</w:t>
      </w:r>
    </w:p>
    <w:p w14:paraId="39969B66"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IX. Datos personales:</w:t>
      </w:r>
      <w:r w:rsidRPr="00E074A6">
        <w:rPr>
          <w:rFonts w:ascii="Palatino Linotype" w:eastAsia="Palatino Linotype" w:hAnsi="Palatino Linotype" w:cs="Palatino Linotype"/>
          <w:i/>
          <w:sz w:val="22"/>
          <w:szCs w:val="22"/>
        </w:rPr>
        <w:t xml:space="preserve"> </w:t>
      </w:r>
      <w:r w:rsidRPr="00E074A6">
        <w:rPr>
          <w:rFonts w:ascii="Palatino Linotype" w:eastAsia="Palatino Linotype" w:hAnsi="Palatino Linotype" w:cs="Palatino Linotype"/>
          <w:b/>
          <w:i/>
          <w:sz w:val="22"/>
          <w:szCs w:val="22"/>
        </w:rPr>
        <w:t>La información concerniente a una persona, identificada o identificable</w:t>
      </w:r>
      <w:r w:rsidRPr="00E074A6">
        <w:rPr>
          <w:rFonts w:ascii="Palatino Linotype" w:eastAsia="Palatino Linotype" w:hAnsi="Palatino Linotype" w:cs="Palatino Linotype"/>
          <w:i/>
          <w:sz w:val="22"/>
          <w:szCs w:val="22"/>
        </w:rPr>
        <w:t xml:space="preserve"> según lo dispuesto por la Ley de Protección de Datos Personales del Estado de México;</w:t>
      </w:r>
    </w:p>
    <w:p w14:paraId="61D4606F"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XX. Información clasificada:</w:t>
      </w:r>
      <w:r w:rsidRPr="00E074A6">
        <w:rPr>
          <w:rFonts w:ascii="Palatino Linotype" w:eastAsia="Palatino Linotype" w:hAnsi="Palatino Linotype" w:cs="Palatino Linotype"/>
          <w:i/>
          <w:sz w:val="22"/>
          <w:szCs w:val="22"/>
        </w:rPr>
        <w:t xml:space="preserve"> Aquella considerada por la presente Ley como reservada o confidencial;</w:t>
      </w:r>
    </w:p>
    <w:p w14:paraId="2B846DFF"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XXXII. Protección de Datos Personales:</w:t>
      </w:r>
      <w:r w:rsidRPr="00E074A6">
        <w:rPr>
          <w:rFonts w:ascii="Palatino Linotype" w:eastAsia="Palatino Linotype" w:hAnsi="Palatino Linotype" w:cs="Palatino Linotype"/>
          <w:i/>
          <w:sz w:val="22"/>
          <w:szCs w:val="22"/>
        </w:rPr>
        <w:t xml:space="preserve"> Derecho humano que tutela la privacidad de datos personales en poder de los sujetos obligados y sujetos particulares;</w:t>
      </w:r>
    </w:p>
    <w:p w14:paraId="127CAA27"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XLV. Versión pública</w:t>
      </w:r>
      <w:r w:rsidRPr="00E074A6">
        <w:rPr>
          <w:rFonts w:ascii="Palatino Linotype" w:eastAsia="Palatino Linotype" w:hAnsi="Palatino Linotype" w:cs="Palatino Linotype"/>
          <w:i/>
          <w:sz w:val="22"/>
          <w:szCs w:val="22"/>
        </w:rPr>
        <w:t>: Documento en el que se elimine, suprime o borra la información clasificada como reservada o confidencial para permitir su acceso.”</w:t>
      </w:r>
    </w:p>
    <w:p w14:paraId="53985DD4" w14:textId="77777777" w:rsidR="0003348D" w:rsidRPr="00E074A6" w:rsidRDefault="0003348D">
      <w:pPr>
        <w:ind w:left="993" w:right="1041"/>
        <w:jc w:val="both"/>
        <w:rPr>
          <w:rFonts w:ascii="Palatino Linotype" w:eastAsia="Palatino Linotype" w:hAnsi="Palatino Linotype" w:cs="Palatino Linotype"/>
          <w:i/>
          <w:sz w:val="22"/>
          <w:szCs w:val="22"/>
        </w:rPr>
      </w:pPr>
    </w:p>
    <w:p w14:paraId="175468AF"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6.</w:t>
      </w:r>
      <w:r w:rsidRPr="00E074A6">
        <w:rPr>
          <w:rFonts w:ascii="Palatino Linotype" w:eastAsia="Palatino Linotype" w:hAnsi="Palatino Linotype" w:cs="Palatino Linotype"/>
          <w:i/>
          <w:sz w:val="22"/>
          <w:szCs w:val="22"/>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derechos de acceso, rectificación, cancelación u oposición; los principios, </w:t>
      </w:r>
      <w:r w:rsidRPr="00E074A6">
        <w:rPr>
          <w:rFonts w:ascii="Palatino Linotype" w:eastAsia="Palatino Linotype" w:hAnsi="Palatino Linotype" w:cs="Palatino Linotype"/>
          <w:i/>
          <w:sz w:val="22"/>
          <w:szCs w:val="22"/>
        </w:rPr>
        <w:lastRenderedPageBreak/>
        <w:t>procedimientos, medidas de seguridad en el tratamiento y demás disposiciones en materia de datos personales, se deberá estar a lo dispuesto en las leyes de la materia.”</w:t>
      </w:r>
    </w:p>
    <w:p w14:paraId="1C40ACCF" w14:textId="77777777" w:rsidR="0003348D" w:rsidRPr="00E074A6" w:rsidRDefault="0003348D">
      <w:pPr>
        <w:ind w:left="993" w:right="1041"/>
        <w:jc w:val="both"/>
        <w:rPr>
          <w:rFonts w:ascii="Palatino Linotype" w:eastAsia="Palatino Linotype" w:hAnsi="Palatino Linotype" w:cs="Palatino Linotype"/>
          <w:i/>
          <w:sz w:val="22"/>
          <w:szCs w:val="22"/>
        </w:rPr>
      </w:pPr>
    </w:p>
    <w:p w14:paraId="7832539E" w14:textId="77777777" w:rsidR="0003348D" w:rsidRPr="00E074A6" w:rsidRDefault="00A70830">
      <w:pPr>
        <w:ind w:left="993" w:right="1041"/>
        <w:jc w:val="both"/>
        <w:rPr>
          <w:rFonts w:ascii="Palatino Linotype" w:eastAsia="Palatino Linotype" w:hAnsi="Palatino Linotype" w:cs="Palatino Linotype"/>
          <w:b/>
          <w:i/>
          <w:sz w:val="22"/>
          <w:szCs w:val="22"/>
        </w:rPr>
      </w:pPr>
      <w:r w:rsidRPr="00E074A6">
        <w:rPr>
          <w:rFonts w:ascii="Palatino Linotype" w:eastAsia="Palatino Linotype" w:hAnsi="Palatino Linotype" w:cs="Palatino Linotype"/>
          <w:b/>
          <w:i/>
          <w:sz w:val="22"/>
          <w:szCs w:val="22"/>
        </w:rPr>
        <w:t>“Artículo 137.</w:t>
      </w:r>
      <w:r w:rsidRPr="00E074A6">
        <w:rPr>
          <w:rFonts w:ascii="Palatino Linotype" w:eastAsia="Palatino Linotype" w:hAnsi="Palatino Linotype" w:cs="Palatino Linotype"/>
          <w:i/>
          <w:sz w:val="22"/>
          <w:szCs w:val="22"/>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3DBECD1C" w14:textId="77777777" w:rsidR="0003348D" w:rsidRPr="00E074A6" w:rsidRDefault="0003348D">
      <w:pPr>
        <w:ind w:left="993" w:right="1041"/>
        <w:jc w:val="both"/>
        <w:rPr>
          <w:rFonts w:ascii="Palatino Linotype" w:eastAsia="Palatino Linotype" w:hAnsi="Palatino Linotype" w:cs="Palatino Linotype"/>
          <w:b/>
          <w:i/>
          <w:sz w:val="22"/>
          <w:szCs w:val="22"/>
        </w:rPr>
      </w:pPr>
    </w:p>
    <w:p w14:paraId="5BCF76A0"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143</w:t>
      </w:r>
      <w:r w:rsidRPr="00E074A6">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4106AE98"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I.</w:t>
      </w:r>
      <w:r w:rsidRPr="00E074A6">
        <w:rPr>
          <w:rFonts w:ascii="Palatino Linotype" w:eastAsia="Palatino Linotype" w:hAnsi="Palatino Linotype" w:cs="Palatino Linotype"/>
          <w:i/>
          <w:sz w:val="22"/>
          <w:szCs w:val="22"/>
        </w:rPr>
        <w:t xml:space="preserve"> Se refiera a la información privada y los datos personales concernientes a una persona física o jurídica colectiva identificada o identificable;</w:t>
      </w:r>
    </w:p>
    <w:p w14:paraId="3864C839"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II. Los secretos bancario, fiduciario, industrial, comercial, fiscal, bursátil y postal, cuya titularidad corresponda a particulares, sujetos de derecho internacional o a sujetos obligados cuando no involucren el ejercicio de recursos públicos; y</w:t>
      </w:r>
    </w:p>
    <w:p w14:paraId="0D6205BB" w14:textId="77777777" w:rsidR="0003348D" w:rsidRPr="00E074A6" w:rsidRDefault="00A70830">
      <w:pPr>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III. La que presenten los particulares a los sujetos obligados, de conformidad con lo dispuesto por las leyes o los tratados internacionales.” (Sic)</w:t>
      </w:r>
    </w:p>
    <w:p w14:paraId="0482944E" w14:textId="77777777" w:rsidR="0003348D" w:rsidRPr="00E074A6" w:rsidRDefault="0003348D">
      <w:pPr>
        <w:ind w:left="993" w:right="1041"/>
        <w:jc w:val="both"/>
        <w:rPr>
          <w:rFonts w:ascii="Palatino Linotype" w:eastAsia="Palatino Linotype" w:hAnsi="Palatino Linotype" w:cs="Palatino Linotype"/>
          <w:i/>
          <w:sz w:val="22"/>
          <w:szCs w:val="22"/>
        </w:rPr>
      </w:pPr>
    </w:p>
    <w:p w14:paraId="20801EBF" w14:textId="77777777" w:rsidR="0003348D" w:rsidRPr="00E074A6" w:rsidRDefault="00A70830">
      <w:pP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Sujeto Obligado deberá proceder a testar los datos personales que se encuentren contenidos en los documentos a entregar por parte del Sujeto Obligado para satisfacer el derecho de acceso a la información pública de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6E2857E1" w14:textId="77777777" w:rsidR="0003348D" w:rsidRPr="00E074A6" w:rsidRDefault="0003348D">
      <w:pPr>
        <w:spacing w:line="360" w:lineRule="auto"/>
        <w:ind w:right="51"/>
        <w:jc w:val="both"/>
        <w:rPr>
          <w:rFonts w:ascii="Palatino Linotype" w:eastAsia="Palatino Linotype" w:hAnsi="Palatino Linotype" w:cs="Palatino Linotype"/>
          <w:sz w:val="22"/>
          <w:szCs w:val="22"/>
        </w:rPr>
      </w:pPr>
    </w:p>
    <w:p w14:paraId="1CC0526B" w14:textId="77777777" w:rsidR="0003348D" w:rsidRPr="00E074A6" w:rsidRDefault="00A70830">
      <w:pPr>
        <w:spacing w:line="360" w:lineRule="auto"/>
        <w:ind w:right="50"/>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19269A21" w14:textId="77777777" w:rsidR="0003348D" w:rsidRPr="00E074A6" w:rsidRDefault="0003348D">
      <w:pPr>
        <w:spacing w:line="360" w:lineRule="auto"/>
        <w:ind w:right="51"/>
        <w:jc w:val="both"/>
        <w:rPr>
          <w:rFonts w:ascii="Palatino Linotype" w:eastAsia="Palatino Linotype" w:hAnsi="Palatino Linotype" w:cs="Palatino Linotype"/>
          <w:sz w:val="22"/>
          <w:szCs w:val="22"/>
        </w:rPr>
      </w:pPr>
    </w:p>
    <w:p w14:paraId="78F3B3DC" w14:textId="77777777" w:rsidR="0003348D" w:rsidRPr="00E074A6" w:rsidRDefault="00A70830">
      <w:pP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Por ende, la clasificación de la información no opera con la simple supresión de datos que se haga en los documentos de que se trate o con la simple decisión que tome el Servidor Público Habilitado o el Responsable de la Unidad de Transparencia del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sino que ello deberá realizarse en términos de lo que disponen los artículos 49 fracción VIII, 53, fracción X y 59, fracción V, de la Ley en consulta, cuyo sentido literal es el siguiente:</w:t>
      </w:r>
    </w:p>
    <w:p w14:paraId="3847F0E3" w14:textId="77777777" w:rsidR="0003348D" w:rsidRPr="00E074A6" w:rsidRDefault="0003348D">
      <w:pPr>
        <w:spacing w:line="360" w:lineRule="auto"/>
        <w:ind w:right="51"/>
        <w:jc w:val="both"/>
        <w:rPr>
          <w:rFonts w:ascii="Palatino Linotype" w:eastAsia="Palatino Linotype" w:hAnsi="Palatino Linotype" w:cs="Palatino Linotype"/>
          <w:sz w:val="22"/>
          <w:szCs w:val="22"/>
        </w:rPr>
      </w:pPr>
    </w:p>
    <w:p w14:paraId="3AF118F2" w14:textId="77777777" w:rsidR="0003348D" w:rsidRPr="00E074A6" w:rsidRDefault="00A70830">
      <w:pPr>
        <w:ind w:left="992" w:right="1043"/>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49.</w:t>
      </w:r>
      <w:r w:rsidRPr="00E074A6">
        <w:rPr>
          <w:rFonts w:ascii="Palatino Linotype" w:eastAsia="Palatino Linotype" w:hAnsi="Palatino Linotype" w:cs="Palatino Linotype"/>
          <w:i/>
          <w:sz w:val="22"/>
          <w:szCs w:val="22"/>
        </w:rPr>
        <w:t xml:space="preserve"> </w:t>
      </w:r>
      <w:r w:rsidRPr="00E074A6">
        <w:rPr>
          <w:rFonts w:ascii="Palatino Linotype" w:eastAsia="Palatino Linotype" w:hAnsi="Palatino Linotype" w:cs="Palatino Linotype"/>
          <w:b/>
          <w:i/>
          <w:sz w:val="22"/>
          <w:szCs w:val="22"/>
        </w:rPr>
        <w:t>Los Comités de Transparencia</w:t>
      </w:r>
      <w:r w:rsidRPr="00E074A6">
        <w:rPr>
          <w:rFonts w:ascii="Palatino Linotype" w:eastAsia="Palatino Linotype" w:hAnsi="Palatino Linotype" w:cs="Palatino Linotype"/>
          <w:i/>
          <w:sz w:val="22"/>
          <w:szCs w:val="22"/>
        </w:rPr>
        <w:t xml:space="preserve"> tendrán las siguientes atribuciones:</w:t>
      </w:r>
    </w:p>
    <w:p w14:paraId="4E56C5A5" w14:textId="77777777" w:rsidR="0003348D" w:rsidRPr="00E074A6" w:rsidRDefault="00A70830">
      <w:pPr>
        <w:ind w:left="992" w:right="1043"/>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VIII. Aprobar, modificar o revocar la clasificación de la información</w:t>
      </w:r>
      <w:r w:rsidRPr="00E074A6">
        <w:rPr>
          <w:rFonts w:ascii="Palatino Linotype" w:eastAsia="Palatino Linotype" w:hAnsi="Palatino Linotype" w:cs="Palatino Linotype"/>
          <w:i/>
          <w:sz w:val="22"/>
          <w:szCs w:val="22"/>
        </w:rPr>
        <w:t>…”</w:t>
      </w:r>
    </w:p>
    <w:p w14:paraId="71E91A96" w14:textId="77777777" w:rsidR="0003348D" w:rsidRPr="00E074A6" w:rsidRDefault="00A70830">
      <w:pPr>
        <w:ind w:left="992" w:right="1043"/>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Artículo 53.</w:t>
      </w:r>
      <w:r w:rsidRPr="00E074A6">
        <w:rPr>
          <w:rFonts w:ascii="Palatino Linotype" w:eastAsia="Palatino Linotype" w:hAnsi="Palatino Linotype" w:cs="Palatino Linotype"/>
          <w:i/>
          <w:sz w:val="22"/>
          <w:szCs w:val="22"/>
        </w:rPr>
        <w:t xml:space="preserve"> Las </w:t>
      </w:r>
      <w:r w:rsidRPr="00E074A6">
        <w:rPr>
          <w:rFonts w:ascii="Palatino Linotype" w:eastAsia="Palatino Linotype" w:hAnsi="Palatino Linotype" w:cs="Palatino Linotype"/>
          <w:b/>
          <w:i/>
          <w:sz w:val="22"/>
          <w:szCs w:val="22"/>
        </w:rPr>
        <w:t>Unidades de Transparencia</w:t>
      </w:r>
      <w:r w:rsidRPr="00E074A6">
        <w:rPr>
          <w:rFonts w:ascii="Palatino Linotype" w:eastAsia="Palatino Linotype" w:hAnsi="Palatino Linotype" w:cs="Palatino Linotype"/>
          <w:i/>
          <w:sz w:val="22"/>
          <w:szCs w:val="22"/>
        </w:rPr>
        <w:t xml:space="preserve"> tendrán las siguientes </w:t>
      </w:r>
      <w:r w:rsidRPr="00E074A6">
        <w:rPr>
          <w:rFonts w:ascii="Palatino Linotype" w:eastAsia="Palatino Linotype" w:hAnsi="Palatino Linotype" w:cs="Palatino Linotype"/>
          <w:b/>
          <w:i/>
          <w:sz w:val="22"/>
          <w:szCs w:val="22"/>
        </w:rPr>
        <w:t>funciones</w:t>
      </w:r>
      <w:r w:rsidRPr="00E074A6">
        <w:rPr>
          <w:rFonts w:ascii="Palatino Linotype" w:eastAsia="Palatino Linotype" w:hAnsi="Palatino Linotype" w:cs="Palatino Linotype"/>
          <w:i/>
          <w:sz w:val="22"/>
          <w:szCs w:val="22"/>
        </w:rPr>
        <w:t>:</w:t>
      </w:r>
    </w:p>
    <w:p w14:paraId="16ADEFEB" w14:textId="77777777" w:rsidR="0003348D" w:rsidRPr="00E074A6" w:rsidRDefault="00A70830">
      <w:pPr>
        <w:ind w:left="992" w:right="1043"/>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X. Presentar ante el Comité, el proyecto de clasificación de información</w:t>
      </w:r>
      <w:r w:rsidRPr="00E074A6">
        <w:rPr>
          <w:rFonts w:ascii="Palatino Linotype" w:eastAsia="Palatino Linotype" w:hAnsi="Palatino Linotype" w:cs="Palatino Linotype"/>
          <w:i/>
          <w:sz w:val="22"/>
          <w:szCs w:val="22"/>
        </w:rPr>
        <w:t xml:space="preserve">…” </w:t>
      </w:r>
    </w:p>
    <w:p w14:paraId="29D9D4ED" w14:textId="77777777" w:rsidR="0003348D" w:rsidRPr="00E074A6" w:rsidRDefault="00A70830">
      <w:pPr>
        <w:ind w:left="992" w:right="1043"/>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“Artículo 59.</w:t>
      </w:r>
      <w:r w:rsidRPr="00E074A6">
        <w:rPr>
          <w:rFonts w:ascii="Palatino Linotype" w:eastAsia="Palatino Linotype" w:hAnsi="Palatino Linotype" w:cs="Palatino Linotype"/>
          <w:i/>
          <w:sz w:val="22"/>
          <w:szCs w:val="22"/>
        </w:rPr>
        <w:t xml:space="preserve"> Los </w:t>
      </w:r>
      <w:r w:rsidRPr="00E074A6">
        <w:rPr>
          <w:rFonts w:ascii="Palatino Linotype" w:eastAsia="Palatino Linotype" w:hAnsi="Palatino Linotype" w:cs="Palatino Linotype"/>
          <w:b/>
          <w:i/>
          <w:sz w:val="22"/>
          <w:szCs w:val="22"/>
        </w:rPr>
        <w:t>servidores públicos habilitados</w:t>
      </w:r>
      <w:r w:rsidRPr="00E074A6">
        <w:rPr>
          <w:rFonts w:ascii="Palatino Linotype" w:eastAsia="Palatino Linotype" w:hAnsi="Palatino Linotype" w:cs="Palatino Linotype"/>
          <w:i/>
          <w:sz w:val="22"/>
          <w:szCs w:val="22"/>
        </w:rPr>
        <w:t xml:space="preserve"> tendrán las </w:t>
      </w:r>
      <w:r w:rsidRPr="00E074A6">
        <w:rPr>
          <w:rFonts w:ascii="Palatino Linotype" w:eastAsia="Palatino Linotype" w:hAnsi="Palatino Linotype" w:cs="Palatino Linotype"/>
          <w:b/>
          <w:i/>
          <w:sz w:val="22"/>
          <w:szCs w:val="22"/>
        </w:rPr>
        <w:t>funciones</w:t>
      </w:r>
      <w:r w:rsidRPr="00E074A6">
        <w:rPr>
          <w:rFonts w:ascii="Palatino Linotype" w:eastAsia="Palatino Linotype" w:hAnsi="Palatino Linotype" w:cs="Palatino Linotype"/>
          <w:i/>
          <w:sz w:val="22"/>
          <w:szCs w:val="22"/>
        </w:rPr>
        <w:t xml:space="preserve"> siguientes:</w:t>
      </w:r>
    </w:p>
    <w:p w14:paraId="24CA57AC" w14:textId="77777777" w:rsidR="0003348D" w:rsidRPr="00E074A6" w:rsidRDefault="00A70830">
      <w:pPr>
        <w:ind w:left="992" w:right="1043"/>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V. Integrar y presentar al responsable de la Unidad de Transparencia la propuesta de clasificación de información</w:t>
      </w:r>
      <w:r w:rsidRPr="00E074A6">
        <w:rPr>
          <w:rFonts w:ascii="Palatino Linotype" w:eastAsia="Palatino Linotype" w:hAnsi="Palatino Linotype" w:cs="Palatino Linotype"/>
          <w:i/>
          <w:sz w:val="22"/>
          <w:szCs w:val="22"/>
        </w:rPr>
        <w:t xml:space="preserve">, la cual tendrá los fundamentos y argumentos en que se basa dicha propuesta…” </w:t>
      </w:r>
    </w:p>
    <w:p w14:paraId="01923795" w14:textId="77777777" w:rsidR="0003348D" w:rsidRPr="00E074A6" w:rsidRDefault="0003348D">
      <w:pPr>
        <w:ind w:left="992" w:right="1043"/>
        <w:jc w:val="both"/>
        <w:rPr>
          <w:rFonts w:ascii="Palatino Linotype" w:eastAsia="Palatino Linotype" w:hAnsi="Palatino Linotype" w:cs="Palatino Linotype"/>
          <w:i/>
          <w:sz w:val="22"/>
          <w:szCs w:val="22"/>
        </w:rPr>
      </w:pPr>
    </w:p>
    <w:p w14:paraId="616AF74A"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w:t>
      </w:r>
      <w:r w:rsidRPr="00E074A6">
        <w:rPr>
          <w:rFonts w:ascii="Palatino Linotype" w:eastAsia="Palatino Linotype" w:hAnsi="Palatino Linotype" w:cs="Palatino Linotype"/>
          <w:sz w:val="22"/>
          <w:szCs w:val="22"/>
        </w:rPr>
        <w:lastRenderedPageBreak/>
        <w:t>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5F9DB982"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40E29D8C"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Para lo cual, a su vez en el caso de información de carácter confidencial, se debe atender a lo que señala el artículo 149 de la Ley de Transparencia Local vigente, que se lee como sigue:</w:t>
      </w:r>
    </w:p>
    <w:p w14:paraId="50C2DE39"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5ED40CCB" w14:textId="77777777" w:rsidR="0003348D" w:rsidRPr="00E074A6" w:rsidRDefault="00A70830">
      <w:pPr>
        <w:spacing w:after="240"/>
        <w:ind w:left="993" w:right="1041"/>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Artículo 149.</w:t>
      </w:r>
      <w:r w:rsidRPr="00E074A6">
        <w:rPr>
          <w:rFonts w:ascii="Palatino Linotype" w:eastAsia="Palatino Linotype" w:hAnsi="Palatino Linotype" w:cs="Palatino Linotype"/>
          <w:i/>
          <w:sz w:val="22"/>
          <w:szCs w:val="22"/>
        </w:rPr>
        <w:t xml:space="preserve"> El </w:t>
      </w:r>
      <w:r w:rsidRPr="00E074A6">
        <w:rPr>
          <w:rFonts w:ascii="Palatino Linotype" w:eastAsia="Palatino Linotype" w:hAnsi="Palatino Linotype" w:cs="Palatino Linotype"/>
          <w:b/>
          <w:i/>
          <w:sz w:val="22"/>
          <w:szCs w:val="22"/>
        </w:rPr>
        <w:t>acuerdo que clasifique la información como confidencial</w:t>
      </w:r>
      <w:r w:rsidRPr="00E074A6">
        <w:rPr>
          <w:rFonts w:ascii="Palatino Linotype" w:eastAsia="Palatino Linotype" w:hAnsi="Palatino Linotype" w:cs="Palatino Linotype"/>
          <w:i/>
          <w:sz w:val="22"/>
          <w:szCs w:val="22"/>
        </w:rPr>
        <w:t xml:space="preserve"> deberá contener un razonamiento lógico en el que demuestre que la información se encuentra en alguna o algunas de las hipótesis previstas en la presente Ley.”</w:t>
      </w:r>
    </w:p>
    <w:p w14:paraId="07FBAAA8" w14:textId="77777777" w:rsidR="0003348D" w:rsidRPr="00E074A6" w:rsidRDefault="0003348D">
      <w:pPr>
        <w:spacing w:before="240" w:line="360" w:lineRule="auto"/>
        <w:ind w:right="51"/>
        <w:jc w:val="both"/>
        <w:rPr>
          <w:rFonts w:ascii="Palatino Linotype" w:eastAsia="Palatino Linotype" w:hAnsi="Palatino Linotype" w:cs="Palatino Linotype"/>
          <w:i/>
          <w:sz w:val="22"/>
          <w:szCs w:val="22"/>
        </w:rPr>
      </w:pPr>
    </w:p>
    <w:p w14:paraId="5CCE9984" w14:textId="77777777" w:rsidR="0003348D" w:rsidRPr="00E074A6" w:rsidRDefault="00A70830">
      <w:pPr>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Es decir, 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7CE4366A" w14:textId="77777777" w:rsidR="0003348D" w:rsidRPr="00E074A6" w:rsidRDefault="0003348D">
      <w:pPr>
        <w:spacing w:line="360" w:lineRule="auto"/>
        <w:ind w:right="51"/>
        <w:jc w:val="both"/>
        <w:rPr>
          <w:rFonts w:ascii="Palatino Linotype" w:eastAsia="Palatino Linotype" w:hAnsi="Palatino Linotype" w:cs="Palatino Linotype"/>
          <w:sz w:val="22"/>
          <w:szCs w:val="22"/>
        </w:rPr>
      </w:pPr>
    </w:p>
    <w:p w14:paraId="5A087C10"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Al respecto, se destaca que la versión pública que elabore 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w:t>
      </w:r>
      <w:r w:rsidRPr="00E074A6">
        <w:rPr>
          <w:rFonts w:ascii="Palatino Linotype" w:eastAsia="Palatino Linotype" w:hAnsi="Palatino Linotype" w:cs="Palatino Linotype"/>
          <w:sz w:val="22"/>
          <w:szCs w:val="22"/>
        </w:rPr>
        <w:lastRenderedPageBreak/>
        <w:t xml:space="preserve">Acceso a la Información Pública del Estado de México y Municipios, ya expuesto; así como con los numerales aplicables de los </w:t>
      </w:r>
      <w:r w:rsidRPr="00E074A6">
        <w:rPr>
          <w:rFonts w:ascii="Palatino Linotype" w:eastAsia="Palatino Linotype" w:hAnsi="Palatino Linotype" w:cs="Palatino Linotype"/>
          <w:b/>
          <w:sz w:val="22"/>
          <w:szCs w:val="22"/>
        </w:rPr>
        <w:t>LINEAMIENTOS GENERALES EN MATERIA DE CLASIFICACIÓN Y DESCLASIFICACIÓN DE LA INFORMACIÓN, ASÍ COMO PARA LA ELABORACIÓN DE VERSIONES PÚBLICAS</w:t>
      </w:r>
      <w:r w:rsidRPr="00E074A6">
        <w:rPr>
          <w:rFonts w:ascii="Palatino Linotype" w:eastAsia="Palatino Linotype" w:hAnsi="Palatino Linotype" w:cs="Palatino Linotype"/>
          <w:sz w:val="22"/>
          <w:szCs w:val="22"/>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128C5FE3" w14:textId="77777777" w:rsidR="0003348D" w:rsidRPr="00E074A6" w:rsidRDefault="0003348D">
      <w:pPr>
        <w:ind w:left="709" w:right="709"/>
        <w:jc w:val="both"/>
        <w:rPr>
          <w:rFonts w:ascii="Palatino Linotype" w:eastAsia="Palatino Linotype" w:hAnsi="Palatino Linotype" w:cs="Palatino Linotype"/>
          <w:b/>
          <w:i/>
          <w:sz w:val="22"/>
          <w:szCs w:val="22"/>
        </w:rPr>
      </w:pPr>
    </w:p>
    <w:p w14:paraId="2E47346C"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“Lineamientos Generales en materia de Clasificación y Desclasificación de la Información, así como para la elaboración de Versiones Públicas</w:t>
      </w:r>
    </w:p>
    <w:p w14:paraId="7CB2EC78"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w:t>
      </w:r>
      <w:r w:rsidRPr="00E074A6">
        <w:rPr>
          <w:rFonts w:ascii="Palatino Linotype" w:eastAsia="Palatino Linotype" w:hAnsi="Palatino Linotype" w:cs="Palatino Linotype"/>
          <w:b/>
          <w:i/>
          <w:sz w:val="22"/>
          <w:szCs w:val="22"/>
        </w:rPr>
        <w:t>Segundo.-</w:t>
      </w:r>
      <w:r w:rsidRPr="00E074A6">
        <w:rPr>
          <w:rFonts w:ascii="Palatino Linotype" w:eastAsia="Palatino Linotype" w:hAnsi="Palatino Linotype" w:cs="Palatino Linotype"/>
          <w:i/>
          <w:sz w:val="22"/>
          <w:szCs w:val="22"/>
        </w:rPr>
        <w:t xml:space="preserve"> Para efectos de los presentes Lineamientos Generales, se entenderá por:</w:t>
      </w:r>
    </w:p>
    <w:p w14:paraId="7726C49B"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XVIII.</w:t>
      </w:r>
      <w:r w:rsidRPr="00E074A6">
        <w:rPr>
          <w:rFonts w:ascii="Palatino Linotype" w:eastAsia="Palatino Linotype" w:hAnsi="Palatino Linotype" w:cs="Palatino Linotype"/>
          <w:i/>
          <w:sz w:val="22"/>
          <w:szCs w:val="22"/>
        </w:rPr>
        <w:t xml:space="preserve"> </w:t>
      </w:r>
      <w:r w:rsidRPr="00E074A6">
        <w:rPr>
          <w:rFonts w:ascii="Palatino Linotype" w:eastAsia="Palatino Linotype" w:hAnsi="Palatino Linotype" w:cs="Palatino Linotype"/>
          <w:b/>
          <w:i/>
          <w:sz w:val="22"/>
          <w:szCs w:val="22"/>
        </w:rPr>
        <w:t>Versión pública:</w:t>
      </w:r>
      <w:r w:rsidRPr="00E074A6">
        <w:rPr>
          <w:rFonts w:ascii="Palatino Linotype" w:eastAsia="Palatino Linotype" w:hAnsi="Palatino Linotype" w:cs="Palatino Linotype"/>
          <w:i/>
          <w:sz w:val="22"/>
          <w:szCs w:val="22"/>
        </w:rPr>
        <w:t xml:space="preserve"> El documento a partir del que se otorga acceso a la información, en el que se testan partes o secciones clasificadas, indicando el contenido de éstas de manera genérica, </w:t>
      </w:r>
      <w:r w:rsidRPr="00E074A6">
        <w:rPr>
          <w:rFonts w:ascii="Palatino Linotype" w:eastAsia="Palatino Linotype" w:hAnsi="Palatino Linotype" w:cs="Palatino Linotype"/>
          <w:b/>
          <w:i/>
          <w:sz w:val="22"/>
          <w:szCs w:val="22"/>
          <w:u w:val="single"/>
        </w:rPr>
        <w:t>fundando y motivando la</w:t>
      </w:r>
      <w:r w:rsidRPr="00E074A6">
        <w:rPr>
          <w:rFonts w:ascii="Palatino Linotype" w:eastAsia="Palatino Linotype" w:hAnsi="Palatino Linotype" w:cs="Palatino Linotype"/>
          <w:i/>
          <w:sz w:val="22"/>
          <w:szCs w:val="22"/>
        </w:rPr>
        <w:t xml:space="preserve"> reserva o </w:t>
      </w:r>
      <w:r w:rsidRPr="00E074A6">
        <w:rPr>
          <w:rFonts w:ascii="Palatino Linotype" w:eastAsia="Palatino Linotype" w:hAnsi="Palatino Linotype" w:cs="Palatino Linotype"/>
          <w:b/>
          <w:i/>
          <w:sz w:val="22"/>
          <w:szCs w:val="22"/>
          <w:u w:val="single"/>
        </w:rPr>
        <w:t>confidencialidad</w:t>
      </w:r>
      <w:r w:rsidRPr="00E074A6">
        <w:rPr>
          <w:rFonts w:ascii="Palatino Linotype" w:eastAsia="Palatino Linotype" w:hAnsi="Palatino Linotype" w:cs="Palatino Linotype"/>
          <w:i/>
          <w:sz w:val="22"/>
          <w:szCs w:val="22"/>
        </w:rPr>
        <w:t>, a través de la resolución que para tal efecto emita el Comité de Transparencia.</w:t>
      </w:r>
    </w:p>
    <w:p w14:paraId="255168D1"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Cuarto.</w:t>
      </w:r>
      <w:r w:rsidRPr="00E074A6">
        <w:rPr>
          <w:rFonts w:ascii="Palatino Linotype" w:eastAsia="Palatino Linotype" w:hAnsi="Palatino Linotype" w:cs="Palatino Linotype"/>
          <w:i/>
          <w:sz w:val="22"/>
          <w:szCs w:val="22"/>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3F2EF32A"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Los sujetos obligados deberán aplicar, de manera estricta, las excepciones al derecho de acceso a la información y sólo podrán invocarlas cuando acrediten su procedencia.</w:t>
      </w:r>
    </w:p>
    <w:p w14:paraId="073378EA"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Quinto.</w:t>
      </w:r>
      <w:r w:rsidRPr="00E074A6">
        <w:rPr>
          <w:rFonts w:ascii="Palatino Linotype" w:eastAsia="Palatino Linotype" w:hAnsi="Palatino Linotype" w:cs="Palatino Linotype"/>
          <w:i/>
          <w:sz w:val="22"/>
          <w:szCs w:val="22"/>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5CB256A3"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w:t>
      </w:r>
    </w:p>
    <w:p w14:paraId="40B29CCE"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Séptimo.</w:t>
      </w:r>
      <w:r w:rsidRPr="00E074A6">
        <w:rPr>
          <w:rFonts w:ascii="Palatino Linotype" w:eastAsia="Palatino Linotype" w:hAnsi="Palatino Linotype" w:cs="Palatino Linotype"/>
          <w:i/>
          <w:sz w:val="22"/>
          <w:szCs w:val="22"/>
        </w:rPr>
        <w:t xml:space="preserve"> La clasificación de la información se llevará a cabo en el momento en que:</w:t>
      </w:r>
    </w:p>
    <w:p w14:paraId="1F3672C4"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I.</w:t>
      </w:r>
      <w:r w:rsidRPr="00E074A6">
        <w:rPr>
          <w:rFonts w:ascii="Palatino Linotype" w:eastAsia="Palatino Linotype" w:hAnsi="Palatino Linotype" w:cs="Palatino Linotype"/>
          <w:i/>
          <w:sz w:val="22"/>
          <w:szCs w:val="22"/>
        </w:rPr>
        <w:t xml:space="preserve"> Se reciba una solicitud de acceso a la información;</w:t>
      </w:r>
    </w:p>
    <w:p w14:paraId="06DD7A36"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II.</w:t>
      </w:r>
      <w:r w:rsidRPr="00E074A6">
        <w:rPr>
          <w:rFonts w:ascii="Palatino Linotype" w:eastAsia="Palatino Linotype" w:hAnsi="Palatino Linotype" w:cs="Palatino Linotype"/>
          <w:i/>
          <w:sz w:val="22"/>
          <w:szCs w:val="22"/>
        </w:rPr>
        <w:t xml:space="preserve"> Se  determine mediante resolución del Comité de Transparencia, el órgano garante </w:t>
      </w:r>
    </w:p>
    <w:p w14:paraId="79A61526"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competente, o en cumplimiento a una sentencia del Poder Judicial; o</w:t>
      </w:r>
    </w:p>
    <w:p w14:paraId="73864119"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lastRenderedPageBreak/>
        <w:t>III.</w:t>
      </w:r>
      <w:r w:rsidRPr="00E074A6">
        <w:rPr>
          <w:rFonts w:ascii="Palatino Linotype" w:eastAsia="Palatino Linotype" w:hAnsi="Palatino Linotype" w:cs="Palatino Linotype"/>
          <w:i/>
          <w:sz w:val="22"/>
          <w:szCs w:val="22"/>
        </w:rPr>
        <w:t xml:space="preserve"> Se generen versiones públicas para dar cumplimiento a las obligaciones de transparencia previstas en la Ley General, la Ley Federal y las correspondientes de las entidades federativas.</w:t>
      </w:r>
    </w:p>
    <w:p w14:paraId="007C4450"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Los titulares de las áreas deberán revisar la clasificación al momento de la recepción de una solicitud de acceso a la información, para verificar si encuadra en una causal de reserva o de confidencialidad.</w:t>
      </w:r>
    </w:p>
    <w:p w14:paraId="3A5557A7"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bookmarkStart w:id="4" w:name="_heading=h.17dp8vu" w:colFirst="0" w:colLast="0"/>
      <w:bookmarkEnd w:id="4"/>
      <w:r w:rsidRPr="00E074A6">
        <w:rPr>
          <w:rFonts w:ascii="Palatino Linotype" w:eastAsia="Palatino Linotype" w:hAnsi="Palatino Linotype" w:cs="Palatino Linotype"/>
          <w:b/>
          <w:i/>
          <w:sz w:val="22"/>
          <w:szCs w:val="22"/>
        </w:rPr>
        <w:t>Octavo.</w:t>
      </w:r>
      <w:r w:rsidRPr="00E074A6">
        <w:rPr>
          <w:rFonts w:ascii="Palatino Linotype" w:eastAsia="Palatino Linotype" w:hAnsi="Palatino Linotype" w:cs="Palatino Linotype"/>
          <w:i/>
          <w:sz w:val="22"/>
          <w:szCs w:val="22"/>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77106A0C"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Para motivar la clasificación se deberán señalar las razones o circunstancias especiales que lo llevaron a concluir que el caso particular se ajusta al supuesto previsto por la norma legal invocada como fundamento.</w:t>
      </w:r>
    </w:p>
    <w:p w14:paraId="4BC1457F"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Noveno.</w:t>
      </w:r>
      <w:r w:rsidRPr="00E074A6">
        <w:rPr>
          <w:rFonts w:ascii="Palatino Linotype" w:eastAsia="Palatino Linotype" w:hAnsi="Palatino Linotype" w:cs="Palatino Linotype"/>
          <w:i/>
          <w:sz w:val="22"/>
          <w:szCs w:val="22"/>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5093EBC8"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i/>
          <w:sz w:val="22"/>
          <w:szCs w:val="22"/>
        </w:rPr>
        <w:t>Décimo.</w:t>
      </w:r>
      <w:r w:rsidRPr="00E074A6">
        <w:rPr>
          <w:rFonts w:ascii="Palatino Linotype" w:eastAsia="Palatino Linotype" w:hAnsi="Palatino Linotype" w:cs="Palatino Linotype"/>
          <w:i/>
          <w:sz w:val="22"/>
          <w:szCs w:val="22"/>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55C93EE8"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i/>
          <w:sz w:val="22"/>
          <w:szCs w:val="22"/>
        </w:rPr>
        <w:t>En ausencia de los titulares de las áreas, la información será clasificada o desclasificada por la persona que lo supla, en términos de la normativa que rija la actuación del sujeto obligado.</w:t>
      </w:r>
    </w:p>
    <w:p w14:paraId="247F2FA9" w14:textId="77777777" w:rsidR="0003348D" w:rsidRPr="00E074A6" w:rsidRDefault="00A70830">
      <w:pPr>
        <w:pBdr>
          <w:top w:val="nil"/>
          <w:left w:val="nil"/>
          <w:bottom w:val="nil"/>
          <w:right w:val="nil"/>
          <w:between w:val="nil"/>
        </w:pBdr>
        <w:ind w:left="709" w:right="709"/>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b/>
          <w:i/>
          <w:sz w:val="22"/>
          <w:szCs w:val="22"/>
        </w:rPr>
        <w:t>Décimo primero.</w:t>
      </w:r>
      <w:r w:rsidRPr="00E074A6">
        <w:rPr>
          <w:rFonts w:ascii="Palatino Linotype" w:eastAsia="Palatino Linotype" w:hAnsi="Palatino Linotype" w:cs="Palatino Linotype"/>
          <w:i/>
          <w:sz w:val="22"/>
          <w:szCs w:val="22"/>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3E543705" w14:textId="77777777" w:rsidR="0003348D" w:rsidRPr="00E074A6" w:rsidRDefault="0003348D">
      <w:pPr>
        <w:pBdr>
          <w:top w:val="nil"/>
          <w:left w:val="nil"/>
          <w:bottom w:val="nil"/>
          <w:right w:val="nil"/>
          <w:between w:val="nil"/>
        </w:pBdr>
        <w:ind w:right="709"/>
        <w:jc w:val="both"/>
        <w:rPr>
          <w:rFonts w:ascii="Palatino Linotype" w:eastAsia="Palatino Linotype" w:hAnsi="Palatino Linotype" w:cs="Palatino Linotype"/>
          <w:sz w:val="22"/>
          <w:szCs w:val="22"/>
        </w:rPr>
      </w:pPr>
    </w:p>
    <w:p w14:paraId="3FCF7F60" w14:textId="77777777" w:rsidR="0003348D" w:rsidRPr="00E074A6" w:rsidRDefault="0003348D">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p>
    <w:p w14:paraId="1656676F" w14:textId="77777777" w:rsidR="0003348D" w:rsidRPr="00E074A6" w:rsidRDefault="00A70830">
      <w:pPr>
        <w:spacing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Efectivamente, cuando se clasifica información como confidencial es importante someterlo al Comité de Transparencia, quien debe confirmar, modificar o revocar la clasificación.</w:t>
      </w:r>
    </w:p>
    <w:p w14:paraId="0BCAD3D6"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7F2D694B" w14:textId="77777777" w:rsidR="0003348D" w:rsidRPr="00E074A6" w:rsidRDefault="00A70830">
      <w:pPr>
        <w:shd w:val="clear" w:color="auto" w:fill="FFFFFF"/>
        <w:spacing w:line="360" w:lineRule="auto"/>
        <w:ind w:right="51"/>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 xml:space="preserve">Por lo tanto, la entrega de documentos en su versión pública debe acompañarse necesariamente del Acuerdo del Comité de Transparencia que la sustente, en el que se </w:t>
      </w:r>
      <w:r w:rsidRPr="00E074A6">
        <w:rPr>
          <w:rFonts w:ascii="Palatino Linotype" w:eastAsia="Palatino Linotype" w:hAnsi="Palatino Linotype" w:cs="Palatino Linotype"/>
          <w:sz w:val="22"/>
          <w:szCs w:val="22"/>
        </w:rPr>
        <w:lastRenderedPageBreak/>
        <w:t xml:space="preserve">expongan los fundamentos y razonamientos que llevaron al Sujeto Obligado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w:t>
      </w:r>
    </w:p>
    <w:p w14:paraId="0C2D5710" w14:textId="77777777" w:rsidR="0003348D" w:rsidRPr="00E074A6" w:rsidRDefault="0003348D">
      <w:pPr>
        <w:spacing w:line="360" w:lineRule="auto"/>
        <w:jc w:val="both"/>
        <w:rPr>
          <w:rFonts w:ascii="Palatino Linotype" w:eastAsia="Palatino Linotype" w:hAnsi="Palatino Linotype" w:cs="Palatino Linotype"/>
          <w:sz w:val="22"/>
          <w:szCs w:val="22"/>
        </w:rPr>
      </w:pPr>
    </w:p>
    <w:p w14:paraId="4271BB2F" w14:textId="77777777" w:rsidR="0003348D" w:rsidRPr="00E074A6" w:rsidRDefault="00A70830">
      <w:pPr>
        <w:spacing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t>Así, con fundamento en lo prescrito en los artículos 5 párrafos trigésimo segundo, trigésimo tercero y trigésimo cuarto de la Constitución Política del Estado Libre y Soberano de México; 2, fracción II; 29, 36 fracciones I y II; 176, 178, 181, 185 y 186 fracción II de la Ley de Transparencia y Acceso a la Información Pública del Estado de México y Municipios, este Pleno:</w:t>
      </w:r>
    </w:p>
    <w:p w14:paraId="2026C0A9" w14:textId="77777777" w:rsidR="0003348D" w:rsidRPr="00E074A6" w:rsidRDefault="00A70830">
      <w:pPr>
        <w:numPr>
          <w:ilvl w:val="0"/>
          <w:numId w:val="3"/>
        </w:numPr>
        <w:pBdr>
          <w:top w:val="nil"/>
          <w:left w:val="nil"/>
          <w:bottom w:val="nil"/>
          <w:right w:val="nil"/>
          <w:between w:val="nil"/>
        </w:pBdr>
        <w:spacing w:before="240" w:after="240" w:line="360" w:lineRule="auto"/>
        <w:jc w:val="center"/>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R E S U E L V E:</w:t>
      </w:r>
    </w:p>
    <w:p w14:paraId="09B9CAEC" w14:textId="77777777"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 xml:space="preserve">Primero. </w:t>
      </w:r>
      <w:r w:rsidRPr="00E074A6">
        <w:rPr>
          <w:rFonts w:ascii="Palatino Linotype" w:eastAsia="Palatino Linotype" w:hAnsi="Palatino Linotype" w:cs="Palatino Linotype"/>
          <w:sz w:val="22"/>
          <w:szCs w:val="22"/>
        </w:rPr>
        <w:t xml:space="preserve">Resultan fundados los motivos de inconformidad hechos valer por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en el Recurso de Revisión </w:t>
      </w:r>
      <w:r w:rsidRPr="00E074A6">
        <w:rPr>
          <w:rFonts w:ascii="Palatino Linotype" w:eastAsia="Palatino Linotype" w:hAnsi="Palatino Linotype" w:cs="Palatino Linotype"/>
          <w:b/>
          <w:sz w:val="22"/>
          <w:szCs w:val="22"/>
        </w:rPr>
        <w:t xml:space="preserve">07519/INFOEM/IP/RR/2024; </w:t>
      </w:r>
      <w:r w:rsidRPr="00E074A6">
        <w:rPr>
          <w:rFonts w:ascii="Palatino Linotype" w:eastAsia="Palatino Linotype" w:hAnsi="Palatino Linotype" w:cs="Palatino Linotype"/>
          <w:sz w:val="22"/>
          <w:szCs w:val="22"/>
        </w:rPr>
        <w:t xml:space="preserve">por lo que, en términos del considerando </w:t>
      </w:r>
      <w:r w:rsidRPr="00E074A6">
        <w:rPr>
          <w:rFonts w:ascii="Palatino Linotype" w:eastAsia="Palatino Linotype" w:hAnsi="Palatino Linotype" w:cs="Palatino Linotype"/>
          <w:b/>
          <w:sz w:val="22"/>
          <w:szCs w:val="22"/>
        </w:rPr>
        <w:t xml:space="preserve">Cuarto </w:t>
      </w:r>
      <w:r w:rsidRPr="00E074A6">
        <w:rPr>
          <w:rFonts w:ascii="Palatino Linotype" w:eastAsia="Palatino Linotype" w:hAnsi="Palatino Linotype" w:cs="Palatino Linotype"/>
          <w:sz w:val="22"/>
          <w:szCs w:val="22"/>
        </w:rPr>
        <w:t xml:space="preserve">de esta resolución, se </w:t>
      </w:r>
      <w:r w:rsidRPr="00E074A6">
        <w:rPr>
          <w:rFonts w:ascii="Palatino Linotype" w:eastAsia="Palatino Linotype" w:hAnsi="Palatino Linotype" w:cs="Palatino Linotype"/>
          <w:b/>
          <w:sz w:val="22"/>
          <w:szCs w:val="22"/>
        </w:rPr>
        <w:t xml:space="preserve">REVOCA </w:t>
      </w:r>
      <w:r w:rsidRPr="00E074A6">
        <w:rPr>
          <w:rFonts w:ascii="Palatino Linotype" w:eastAsia="Palatino Linotype" w:hAnsi="Palatino Linotype" w:cs="Palatino Linotype"/>
          <w:sz w:val="22"/>
          <w:szCs w:val="22"/>
        </w:rPr>
        <w:t xml:space="preserve">la respuesta emitida por 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w:t>
      </w:r>
    </w:p>
    <w:p w14:paraId="37AA63B3" w14:textId="77777777" w:rsidR="0003348D" w:rsidRPr="00E074A6" w:rsidRDefault="00A70830">
      <w:pPr>
        <w:spacing w:before="240" w:after="240"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 xml:space="preserve">Segundo. </w:t>
      </w:r>
      <w:r w:rsidRPr="00E074A6">
        <w:rPr>
          <w:rFonts w:ascii="Palatino Linotype" w:eastAsia="Palatino Linotype" w:hAnsi="Palatino Linotype" w:cs="Palatino Linotype"/>
          <w:sz w:val="22"/>
          <w:szCs w:val="22"/>
        </w:rPr>
        <w:t>Se</w:t>
      </w:r>
      <w:r w:rsidRPr="00E074A6">
        <w:rPr>
          <w:rFonts w:ascii="Palatino Linotype" w:eastAsia="Palatino Linotype" w:hAnsi="Palatino Linotype" w:cs="Palatino Linotype"/>
          <w:b/>
          <w:sz w:val="22"/>
          <w:szCs w:val="22"/>
        </w:rPr>
        <w:t xml:space="preserve"> ORDENA </w:t>
      </w:r>
      <w:r w:rsidRPr="00E074A6">
        <w:rPr>
          <w:rFonts w:ascii="Palatino Linotype" w:eastAsia="Palatino Linotype" w:hAnsi="Palatino Linotype" w:cs="Palatino Linotype"/>
          <w:sz w:val="22"/>
          <w:szCs w:val="22"/>
        </w:rPr>
        <w:t xml:space="preserve">al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a que,</w:t>
      </w:r>
      <w:r w:rsidRPr="00E074A6">
        <w:rPr>
          <w:rFonts w:ascii="Palatino Linotype" w:eastAsia="Palatino Linotype" w:hAnsi="Palatino Linotype" w:cs="Palatino Linotype"/>
          <w:b/>
          <w:sz w:val="22"/>
          <w:szCs w:val="22"/>
        </w:rPr>
        <w:t xml:space="preserve"> </w:t>
      </w:r>
      <w:r w:rsidRPr="00E074A6">
        <w:rPr>
          <w:rFonts w:ascii="Palatino Linotype" w:eastAsia="Palatino Linotype" w:hAnsi="Palatino Linotype" w:cs="Palatino Linotype"/>
          <w:sz w:val="22"/>
          <w:szCs w:val="22"/>
        </w:rPr>
        <w:t xml:space="preserve">en términos del Considerando Cuarto y Quinto, haga entrega vía SAIMEX, de ser el caso en versión pública, </w:t>
      </w:r>
      <w:r w:rsidR="00B16D26" w:rsidRPr="00E074A6">
        <w:rPr>
          <w:rFonts w:ascii="Palatino Linotype" w:eastAsia="Palatino Linotype" w:hAnsi="Palatino Linotype" w:cs="Palatino Linotype"/>
          <w:sz w:val="22"/>
          <w:szCs w:val="22"/>
        </w:rPr>
        <w:t xml:space="preserve">los documentos donde conste, </w:t>
      </w:r>
      <w:r w:rsidRPr="00E074A6">
        <w:rPr>
          <w:rFonts w:ascii="Palatino Linotype" w:eastAsia="Palatino Linotype" w:hAnsi="Palatino Linotype" w:cs="Palatino Linotype"/>
          <w:sz w:val="22"/>
          <w:szCs w:val="22"/>
        </w:rPr>
        <w:t>la siguiente información:</w:t>
      </w:r>
    </w:p>
    <w:p w14:paraId="1EBFAB10" w14:textId="77777777" w:rsidR="0003348D" w:rsidRPr="00E074A6" w:rsidRDefault="00A70830">
      <w:pPr>
        <w:numPr>
          <w:ilvl w:val="0"/>
          <w:numId w:val="5"/>
        </w:numPr>
        <w:pBdr>
          <w:top w:val="nil"/>
          <w:left w:val="nil"/>
          <w:bottom w:val="nil"/>
          <w:right w:val="nil"/>
          <w:between w:val="nil"/>
        </w:pBdr>
        <w:spacing w:line="360" w:lineRule="auto"/>
        <w:ind w:right="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lastRenderedPageBreak/>
        <w:t>Comprobante de cada compra realizada por Ayuntamiento desde uno de enero de dos mil diecinueve al treinta y uno de diciembre de dos mil veintiuno;</w:t>
      </w:r>
    </w:p>
    <w:p w14:paraId="3A1240E8" w14:textId="77777777" w:rsidR="0003348D" w:rsidRPr="00E074A6" w:rsidRDefault="0003348D">
      <w:pPr>
        <w:pBdr>
          <w:top w:val="nil"/>
          <w:left w:val="nil"/>
          <w:bottom w:val="nil"/>
          <w:right w:val="nil"/>
          <w:between w:val="nil"/>
        </w:pBdr>
        <w:spacing w:line="360" w:lineRule="auto"/>
        <w:ind w:left="720" w:right="40"/>
        <w:jc w:val="both"/>
        <w:rPr>
          <w:rFonts w:ascii="Palatino Linotype" w:eastAsia="Palatino Linotype" w:hAnsi="Palatino Linotype" w:cs="Palatino Linotype"/>
          <w:b/>
          <w:sz w:val="22"/>
          <w:szCs w:val="22"/>
        </w:rPr>
      </w:pPr>
    </w:p>
    <w:p w14:paraId="6950D1AE" w14:textId="77777777" w:rsidR="0003348D" w:rsidRPr="00E074A6" w:rsidRDefault="00A70830">
      <w:pPr>
        <w:numPr>
          <w:ilvl w:val="0"/>
          <w:numId w:val="2"/>
        </w:numPr>
        <w:pBdr>
          <w:top w:val="nil"/>
          <w:left w:val="nil"/>
          <w:bottom w:val="nil"/>
          <w:right w:val="nil"/>
          <w:between w:val="nil"/>
        </w:pBdr>
        <w:spacing w:line="360" w:lineRule="auto"/>
        <w:ind w:left="284" w:right="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Del uno de enero de dos mil diecinueve al once de noviembre de dos mil veinticuatro:</w:t>
      </w:r>
    </w:p>
    <w:p w14:paraId="5C88F266" w14:textId="77777777" w:rsidR="0003348D" w:rsidRPr="00E074A6" w:rsidRDefault="0003348D">
      <w:pPr>
        <w:pBdr>
          <w:top w:val="nil"/>
          <w:left w:val="nil"/>
          <w:bottom w:val="nil"/>
          <w:right w:val="nil"/>
          <w:between w:val="nil"/>
        </w:pBdr>
        <w:spacing w:line="360" w:lineRule="auto"/>
        <w:ind w:left="284" w:right="40"/>
        <w:jc w:val="both"/>
        <w:rPr>
          <w:rFonts w:ascii="Palatino Linotype" w:eastAsia="Palatino Linotype" w:hAnsi="Palatino Linotype" w:cs="Palatino Linotype"/>
          <w:b/>
          <w:sz w:val="22"/>
          <w:szCs w:val="22"/>
        </w:rPr>
      </w:pPr>
    </w:p>
    <w:p w14:paraId="0CC82C5E" w14:textId="77777777" w:rsidR="0003348D" w:rsidRPr="00E074A6" w:rsidRDefault="00A70830">
      <w:pPr>
        <w:numPr>
          <w:ilvl w:val="0"/>
          <w:numId w:val="5"/>
        </w:numPr>
        <w:pBdr>
          <w:top w:val="nil"/>
          <w:left w:val="nil"/>
          <w:bottom w:val="nil"/>
          <w:right w:val="nil"/>
          <w:between w:val="nil"/>
        </w:pBdr>
        <w:spacing w:line="360" w:lineRule="auto"/>
        <w:ind w:right="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Copia certificada de los contratos firmados de los eventos realizados y documentos comprobatorios de los pagos realizados;</w:t>
      </w:r>
    </w:p>
    <w:p w14:paraId="765AC88B" w14:textId="77777777" w:rsidR="0003348D" w:rsidRPr="00E074A6" w:rsidRDefault="00A70830">
      <w:pPr>
        <w:numPr>
          <w:ilvl w:val="0"/>
          <w:numId w:val="5"/>
        </w:numPr>
        <w:pBdr>
          <w:top w:val="nil"/>
          <w:left w:val="nil"/>
          <w:bottom w:val="nil"/>
          <w:right w:val="nil"/>
          <w:between w:val="nil"/>
        </w:pBdr>
        <w:spacing w:line="360" w:lineRule="auto"/>
        <w:ind w:right="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De los servicios realizados a los vehículos propiedad del Ayuntamiento, los documentos donde conste o se advierta:</w:t>
      </w:r>
    </w:p>
    <w:p w14:paraId="13CC77C2" w14:textId="77777777" w:rsidR="0003348D" w:rsidRPr="00E074A6" w:rsidRDefault="00A70830">
      <w:pPr>
        <w:numPr>
          <w:ilvl w:val="0"/>
          <w:numId w:val="10"/>
        </w:numPr>
        <w:pBdr>
          <w:top w:val="nil"/>
          <w:left w:val="nil"/>
          <w:bottom w:val="nil"/>
          <w:right w:val="nil"/>
          <w:between w:val="nil"/>
        </w:pBdr>
        <w:spacing w:line="360" w:lineRule="auto"/>
        <w:ind w:left="1134" w:hanging="1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Servicios realizados;</w:t>
      </w:r>
    </w:p>
    <w:p w14:paraId="261AF950" w14:textId="77777777" w:rsidR="0003348D" w:rsidRPr="00E074A6" w:rsidRDefault="00A70830">
      <w:pPr>
        <w:numPr>
          <w:ilvl w:val="0"/>
          <w:numId w:val="10"/>
        </w:numPr>
        <w:pBdr>
          <w:top w:val="nil"/>
          <w:left w:val="nil"/>
          <w:bottom w:val="nil"/>
          <w:right w:val="nil"/>
          <w:between w:val="nil"/>
        </w:pBdr>
        <w:spacing w:line="360" w:lineRule="auto"/>
        <w:ind w:left="1134" w:hanging="1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Periodo en que se realizan;</w:t>
      </w:r>
    </w:p>
    <w:p w14:paraId="73DB2F80" w14:textId="77777777" w:rsidR="0003348D" w:rsidRPr="00E074A6" w:rsidRDefault="00A70830">
      <w:pPr>
        <w:numPr>
          <w:ilvl w:val="0"/>
          <w:numId w:val="10"/>
        </w:numPr>
        <w:pBdr>
          <w:top w:val="nil"/>
          <w:left w:val="nil"/>
          <w:bottom w:val="nil"/>
          <w:right w:val="nil"/>
          <w:between w:val="nil"/>
        </w:pBdr>
        <w:spacing w:line="360" w:lineRule="auto"/>
        <w:ind w:left="1134" w:hanging="1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Diagnósticos y notas;</w:t>
      </w:r>
    </w:p>
    <w:p w14:paraId="3ABA3F9B" w14:textId="77777777" w:rsidR="0003348D" w:rsidRPr="00E074A6" w:rsidRDefault="00A70830">
      <w:pPr>
        <w:numPr>
          <w:ilvl w:val="0"/>
          <w:numId w:val="10"/>
        </w:numPr>
        <w:pBdr>
          <w:top w:val="nil"/>
          <w:left w:val="nil"/>
          <w:bottom w:val="nil"/>
          <w:right w:val="nil"/>
          <w:between w:val="nil"/>
        </w:pBdr>
        <w:spacing w:line="360" w:lineRule="auto"/>
        <w:ind w:left="1134" w:hanging="1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Nombre del taller mecánico;</w:t>
      </w:r>
    </w:p>
    <w:p w14:paraId="1626EBC3" w14:textId="77777777" w:rsidR="0003348D" w:rsidRPr="00E074A6" w:rsidRDefault="00A70830">
      <w:pPr>
        <w:numPr>
          <w:ilvl w:val="0"/>
          <w:numId w:val="5"/>
        </w:numPr>
        <w:pBdr>
          <w:top w:val="nil"/>
          <w:left w:val="nil"/>
          <w:bottom w:val="nil"/>
          <w:right w:val="nil"/>
          <w:between w:val="nil"/>
        </w:pBdr>
        <w:spacing w:line="360" w:lineRule="auto"/>
        <w:ind w:right="40"/>
        <w:jc w:val="both"/>
        <w:rPr>
          <w:rFonts w:ascii="Palatino Linotype" w:eastAsia="Palatino Linotype" w:hAnsi="Palatino Linotype" w:cs="Palatino Linotype"/>
          <w:b/>
          <w:sz w:val="22"/>
          <w:szCs w:val="22"/>
        </w:rPr>
      </w:pPr>
      <w:r w:rsidRPr="00E074A6">
        <w:rPr>
          <w:rFonts w:ascii="Palatino Linotype" w:eastAsia="Palatino Linotype" w:hAnsi="Palatino Linotype" w:cs="Palatino Linotype"/>
          <w:b/>
          <w:sz w:val="22"/>
          <w:szCs w:val="22"/>
        </w:rPr>
        <w:t xml:space="preserve">Contratos celebrados por concepto de comidas. </w:t>
      </w:r>
    </w:p>
    <w:p w14:paraId="6E2F5222" w14:textId="77777777" w:rsidR="0003348D" w:rsidRPr="00E074A6" w:rsidRDefault="0003348D">
      <w:pPr>
        <w:pBdr>
          <w:top w:val="nil"/>
          <w:left w:val="nil"/>
          <w:bottom w:val="nil"/>
          <w:right w:val="nil"/>
          <w:between w:val="nil"/>
        </w:pBdr>
        <w:spacing w:line="360" w:lineRule="auto"/>
        <w:ind w:left="720" w:right="40"/>
        <w:jc w:val="both"/>
        <w:rPr>
          <w:rFonts w:ascii="Palatino Linotype" w:eastAsia="Palatino Linotype" w:hAnsi="Palatino Linotype" w:cs="Palatino Linotype"/>
          <w:b/>
          <w:sz w:val="22"/>
          <w:szCs w:val="22"/>
        </w:rPr>
      </w:pPr>
    </w:p>
    <w:p w14:paraId="286EC855" w14:textId="77777777" w:rsidR="0003348D" w:rsidRPr="00E074A6" w:rsidRDefault="00A70830">
      <w:pPr>
        <w:pBdr>
          <w:top w:val="nil"/>
          <w:left w:val="nil"/>
          <w:bottom w:val="nil"/>
          <w:right w:val="nil"/>
          <w:between w:val="nil"/>
        </w:pBdr>
        <w:spacing w:line="360" w:lineRule="auto"/>
        <w:ind w:left="284" w:right="40"/>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Para la entrega en versión pública, se deberá emitir el Acuerdo del Comité de Transparencia en términos de la Ley de Transparencia y Acceso a la Información Pública del Estado de México y Municipios, en el que funde y motive las razones sobre los datos que se supriman o eliminen, así como de los documentos remitidos en respuesta, y se ponga a disposición de la parte Recurrente.</w:t>
      </w:r>
    </w:p>
    <w:p w14:paraId="3D082099" w14:textId="77777777" w:rsidR="0003348D" w:rsidRPr="00E074A6" w:rsidRDefault="0003348D">
      <w:pPr>
        <w:pBdr>
          <w:top w:val="nil"/>
          <w:left w:val="nil"/>
          <w:bottom w:val="nil"/>
          <w:right w:val="nil"/>
          <w:between w:val="nil"/>
        </w:pBdr>
        <w:spacing w:line="360" w:lineRule="auto"/>
        <w:ind w:left="284" w:right="40"/>
        <w:jc w:val="both"/>
        <w:rPr>
          <w:rFonts w:ascii="Palatino Linotype" w:eastAsia="Palatino Linotype" w:hAnsi="Palatino Linotype" w:cs="Palatino Linotype"/>
          <w:i/>
          <w:sz w:val="22"/>
          <w:szCs w:val="22"/>
        </w:rPr>
      </w:pPr>
    </w:p>
    <w:p w14:paraId="7BD75E80" w14:textId="77777777" w:rsidR="0003348D" w:rsidRPr="00E074A6" w:rsidRDefault="00A70830">
      <w:pPr>
        <w:pBdr>
          <w:top w:val="nil"/>
          <w:left w:val="nil"/>
          <w:bottom w:val="nil"/>
          <w:right w:val="nil"/>
          <w:between w:val="nil"/>
        </w:pBdr>
        <w:spacing w:line="360" w:lineRule="auto"/>
        <w:ind w:left="284" w:right="40"/>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Para la entrega de la información mediante copia certificada, el </w:t>
      </w:r>
      <w:r w:rsidRPr="00E074A6">
        <w:rPr>
          <w:rFonts w:ascii="Palatino Linotype" w:eastAsia="Palatino Linotype" w:hAnsi="Palatino Linotype" w:cs="Palatino Linotype"/>
          <w:b/>
          <w:i/>
          <w:sz w:val="22"/>
          <w:szCs w:val="22"/>
        </w:rPr>
        <w:t>Sujeto Obligado</w:t>
      </w:r>
      <w:r w:rsidRPr="00E074A6">
        <w:rPr>
          <w:rFonts w:ascii="Palatino Linotype" w:eastAsia="Palatino Linotype" w:hAnsi="Palatino Linotype" w:cs="Palatino Linotype"/>
          <w:i/>
          <w:sz w:val="22"/>
          <w:szCs w:val="22"/>
        </w:rPr>
        <w:t xml:space="preserve"> previamente deberá hacer de conocimiento de la parte </w:t>
      </w:r>
      <w:r w:rsidRPr="00E074A6">
        <w:rPr>
          <w:rFonts w:ascii="Palatino Linotype" w:eastAsia="Palatino Linotype" w:hAnsi="Palatino Linotype" w:cs="Palatino Linotype"/>
          <w:b/>
          <w:i/>
          <w:sz w:val="22"/>
          <w:szCs w:val="22"/>
        </w:rPr>
        <w:t>Recurrente</w:t>
      </w:r>
      <w:r w:rsidRPr="00E074A6">
        <w:rPr>
          <w:rFonts w:ascii="Palatino Linotype" w:eastAsia="Palatino Linotype" w:hAnsi="Palatino Linotype" w:cs="Palatino Linotype"/>
          <w:i/>
          <w:sz w:val="22"/>
          <w:szCs w:val="22"/>
        </w:rPr>
        <w:t>, vía SAIMEX, el costo por la reproducción en su caso, el lugar, día y horarios en los que podrá acceder a la información, así como el nombre del o los servidores públicos que le atenderán.</w:t>
      </w:r>
    </w:p>
    <w:p w14:paraId="10515B4D" w14:textId="77777777" w:rsidR="00A01816" w:rsidRPr="00E074A6" w:rsidRDefault="00A01816">
      <w:pPr>
        <w:pBdr>
          <w:top w:val="nil"/>
          <w:left w:val="nil"/>
          <w:bottom w:val="nil"/>
          <w:right w:val="nil"/>
          <w:between w:val="nil"/>
        </w:pBdr>
        <w:spacing w:line="360" w:lineRule="auto"/>
        <w:ind w:left="284" w:right="40"/>
        <w:jc w:val="both"/>
        <w:rPr>
          <w:rFonts w:ascii="Palatino Linotype" w:eastAsia="Palatino Linotype" w:hAnsi="Palatino Linotype" w:cs="Palatino Linotype"/>
          <w:i/>
          <w:sz w:val="22"/>
          <w:szCs w:val="22"/>
        </w:rPr>
      </w:pPr>
    </w:p>
    <w:p w14:paraId="1C2843C2" w14:textId="77777777" w:rsidR="00A01816" w:rsidRPr="00E074A6" w:rsidRDefault="00A01816" w:rsidP="00A01816">
      <w:pPr>
        <w:spacing w:line="360" w:lineRule="auto"/>
        <w:ind w:left="360" w:right="615"/>
        <w:jc w:val="both"/>
        <w:rPr>
          <w:rFonts w:ascii="Palatino Linotype" w:eastAsia="Palatino Linotype" w:hAnsi="Palatino Linotype" w:cs="Palatino Linotype"/>
          <w:i/>
          <w:sz w:val="22"/>
          <w:szCs w:val="22"/>
        </w:rPr>
      </w:pPr>
      <w:r w:rsidRPr="00E074A6">
        <w:rPr>
          <w:rFonts w:ascii="Palatino Linotype" w:eastAsia="Palatino Linotype" w:hAnsi="Palatino Linotype" w:cs="Palatino Linotype"/>
          <w:i/>
          <w:sz w:val="22"/>
          <w:szCs w:val="22"/>
        </w:rPr>
        <w:t xml:space="preserve">Para el caso de que el </w:t>
      </w:r>
      <w:r w:rsidRPr="00E074A6">
        <w:rPr>
          <w:rFonts w:ascii="Palatino Linotype" w:eastAsia="Palatino Linotype" w:hAnsi="Palatino Linotype" w:cs="Palatino Linotype"/>
          <w:b/>
          <w:i/>
          <w:sz w:val="22"/>
          <w:szCs w:val="22"/>
        </w:rPr>
        <w:t>Sujeto Obligado</w:t>
      </w:r>
      <w:r w:rsidRPr="00E074A6">
        <w:rPr>
          <w:rFonts w:ascii="Palatino Linotype" w:eastAsia="Palatino Linotype" w:hAnsi="Palatino Linotype" w:cs="Palatino Linotype"/>
          <w:i/>
          <w:sz w:val="22"/>
          <w:szCs w:val="22"/>
        </w:rPr>
        <w:t xml:space="preserve"> no cuente con información que se ordena en el inciso C), fracción iii, bastará con que así lo haga del conocimiento de la parte </w:t>
      </w:r>
      <w:r w:rsidRPr="00E074A6">
        <w:rPr>
          <w:rFonts w:ascii="Palatino Linotype" w:eastAsia="Palatino Linotype" w:hAnsi="Palatino Linotype" w:cs="Palatino Linotype"/>
          <w:b/>
          <w:i/>
          <w:sz w:val="22"/>
          <w:szCs w:val="22"/>
        </w:rPr>
        <w:t>Recurrente</w:t>
      </w:r>
      <w:r w:rsidRPr="00E074A6">
        <w:rPr>
          <w:rFonts w:ascii="Palatino Linotype" w:eastAsia="Palatino Linotype" w:hAnsi="Palatino Linotype" w:cs="Palatino Linotype"/>
          <w:i/>
          <w:sz w:val="22"/>
          <w:szCs w:val="22"/>
        </w:rPr>
        <w:t xml:space="preserve">, </w:t>
      </w:r>
      <w:r w:rsidRPr="00E074A6">
        <w:rPr>
          <w:rFonts w:ascii="Palatino Linotype" w:eastAsia="Palatino Linotype" w:hAnsi="Palatino Linotype" w:cs="Palatino Linotype"/>
          <w:i/>
          <w:sz w:val="22"/>
          <w:szCs w:val="22"/>
        </w:rPr>
        <w:lastRenderedPageBreak/>
        <w:t>de manera clara y precisa, en términos del artículo 19, párrafo segundo de la Ley de Transparencia y Acceso a la Información pública del Estado de México y Municipios para tener por colmado el requerimiento de información.</w:t>
      </w:r>
    </w:p>
    <w:p w14:paraId="4FBC3873" w14:textId="77777777" w:rsidR="0003348D" w:rsidRPr="00E074A6" w:rsidRDefault="0003348D">
      <w:pPr>
        <w:pBdr>
          <w:top w:val="nil"/>
          <w:left w:val="nil"/>
          <w:bottom w:val="nil"/>
          <w:right w:val="nil"/>
          <w:between w:val="nil"/>
        </w:pBdr>
        <w:spacing w:after="120" w:line="360" w:lineRule="auto"/>
        <w:ind w:left="284" w:right="40"/>
        <w:jc w:val="both"/>
        <w:rPr>
          <w:rFonts w:ascii="Palatino Linotype" w:eastAsia="Palatino Linotype" w:hAnsi="Palatino Linotype" w:cs="Palatino Linotype"/>
          <w:b/>
          <w:sz w:val="22"/>
          <w:szCs w:val="22"/>
        </w:rPr>
      </w:pPr>
    </w:p>
    <w:p w14:paraId="02CE7EDB" w14:textId="77777777" w:rsidR="0003348D" w:rsidRPr="00E074A6" w:rsidRDefault="00A70830">
      <w:pPr>
        <w:spacing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 xml:space="preserve">Tercero. Notifíquese, </w:t>
      </w:r>
      <w:r w:rsidRPr="00E074A6">
        <w:rPr>
          <w:rFonts w:ascii="Palatino Linotype" w:eastAsia="Palatino Linotype" w:hAnsi="Palatino Linotype" w:cs="Palatino Linotype"/>
          <w:sz w:val="22"/>
          <w:szCs w:val="22"/>
        </w:rPr>
        <w:t xml:space="preserve">vía </w:t>
      </w:r>
      <w:r w:rsidRPr="00E074A6">
        <w:rPr>
          <w:rFonts w:ascii="Palatino Linotype" w:eastAsia="Palatino Linotype" w:hAnsi="Palatino Linotype" w:cs="Palatino Linotype"/>
          <w:b/>
          <w:sz w:val="22"/>
          <w:szCs w:val="22"/>
        </w:rPr>
        <w:t>SAIMEX</w:t>
      </w:r>
      <w:r w:rsidRPr="00E074A6">
        <w:rPr>
          <w:rFonts w:ascii="Palatino Linotype" w:eastAsia="Palatino Linotype" w:hAnsi="Palatino Linotype" w:cs="Palatino Linotype"/>
          <w:sz w:val="22"/>
          <w:szCs w:val="22"/>
        </w:rPr>
        <w:t xml:space="preserve">, al Titular de la Unidad de Transparencia del </w:t>
      </w:r>
      <w:r w:rsidRPr="00E074A6">
        <w:rPr>
          <w:rFonts w:ascii="Palatino Linotype" w:eastAsia="Palatino Linotype" w:hAnsi="Palatino Linotype" w:cs="Palatino Linotype"/>
          <w:b/>
          <w:sz w:val="22"/>
          <w:szCs w:val="22"/>
        </w:rPr>
        <w:t>SUJETO OBLIGADO,</w:t>
      </w:r>
      <w:r w:rsidRPr="00E074A6">
        <w:rPr>
          <w:rFonts w:ascii="Palatino Linotype" w:eastAsia="Palatino Linotype" w:hAnsi="Palatino Linotype" w:cs="Palatino Linotype"/>
          <w:sz w:val="22"/>
          <w:szCs w:val="22"/>
        </w:rPr>
        <w:t xml:space="preserve"> la presente resolución para que conforme a los artículos 186, último párrafo y 189, párrafo segundo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46E53A53" w14:textId="77777777" w:rsidR="0003348D" w:rsidRPr="00E074A6" w:rsidRDefault="0003348D">
      <w:pPr>
        <w:spacing w:line="360" w:lineRule="auto"/>
        <w:ind w:right="49"/>
        <w:jc w:val="both"/>
        <w:rPr>
          <w:rFonts w:ascii="Palatino Linotype" w:eastAsia="Palatino Linotype" w:hAnsi="Palatino Linotype" w:cs="Palatino Linotype"/>
          <w:b/>
          <w:sz w:val="22"/>
          <w:szCs w:val="22"/>
        </w:rPr>
      </w:pPr>
    </w:p>
    <w:p w14:paraId="62FB66C8" w14:textId="77777777" w:rsidR="0003348D" w:rsidRPr="00E074A6" w:rsidRDefault="00A70830">
      <w:pPr>
        <w:spacing w:line="360" w:lineRule="auto"/>
        <w:ind w:right="49"/>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Cuarto. Notifíquese vía SAIMEX</w:t>
      </w:r>
      <w:r w:rsidRPr="00E074A6">
        <w:rPr>
          <w:rFonts w:ascii="Palatino Linotype" w:eastAsia="Palatino Linotype" w:hAnsi="Palatino Linotype" w:cs="Palatino Linotype"/>
          <w:sz w:val="22"/>
          <w:szCs w:val="22"/>
        </w:rPr>
        <w:t xml:space="preserve">, a la parte </w:t>
      </w:r>
      <w:r w:rsidRPr="00E074A6">
        <w:rPr>
          <w:rFonts w:ascii="Palatino Linotype" w:eastAsia="Palatino Linotype" w:hAnsi="Palatino Linotype" w:cs="Palatino Linotype"/>
          <w:b/>
          <w:sz w:val="22"/>
          <w:szCs w:val="22"/>
        </w:rPr>
        <w:t>RECURRENTE</w:t>
      </w:r>
      <w:r w:rsidRPr="00E074A6">
        <w:rPr>
          <w:rFonts w:ascii="Palatino Linotype" w:eastAsia="Palatino Linotype" w:hAnsi="Palatino Linotype" w:cs="Palatino Linotype"/>
          <w:sz w:val="22"/>
          <w:szCs w:val="22"/>
        </w:rPr>
        <w:t xml:space="preserve"> la presente resolución, así como, que de conformidad con lo establecido en el artículo 196 de la Ley de Transparencia y Acceso a la Información Pública del Estado de México y Municipios, podrá impugnar la presente resolución vía Juicio de Amparo en los términos de las leyes aplicables.</w:t>
      </w:r>
    </w:p>
    <w:p w14:paraId="61A2F553" w14:textId="5C8CBAF3" w:rsidR="0003348D" w:rsidRPr="00E074A6"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b/>
          <w:sz w:val="22"/>
          <w:szCs w:val="22"/>
        </w:rPr>
        <w:t>Quinto.</w:t>
      </w:r>
      <w:r w:rsidRPr="00E074A6">
        <w:rPr>
          <w:rFonts w:ascii="Palatino Linotype" w:eastAsia="Palatino Linotype" w:hAnsi="Palatino Linotype" w:cs="Palatino Linotype"/>
          <w:sz w:val="22"/>
          <w:szCs w:val="22"/>
        </w:rPr>
        <w:t xml:space="preserve"> 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1DECEE52" w14:textId="257F84CD" w:rsidR="009A0DA5" w:rsidRPr="00E074A6" w:rsidRDefault="009A0DA5">
      <w:pPr>
        <w:spacing w:before="240" w:after="240" w:line="360" w:lineRule="auto"/>
        <w:jc w:val="both"/>
        <w:rPr>
          <w:rFonts w:ascii="Palatino Linotype" w:eastAsia="Palatino Linotype" w:hAnsi="Palatino Linotype" w:cs="Palatino Linotype"/>
          <w:sz w:val="22"/>
          <w:szCs w:val="22"/>
        </w:rPr>
      </w:pPr>
    </w:p>
    <w:p w14:paraId="28166B1D" w14:textId="7F180BAD" w:rsidR="009A0DA5" w:rsidRPr="00E074A6" w:rsidRDefault="009A0DA5">
      <w:pPr>
        <w:spacing w:before="240" w:after="240" w:line="360" w:lineRule="auto"/>
        <w:jc w:val="both"/>
        <w:rPr>
          <w:rFonts w:ascii="Palatino Linotype" w:eastAsia="Palatino Linotype" w:hAnsi="Palatino Linotype" w:cs="Palatino Linotype"/>
          <w:sz w:val="22"/>
          <w:szCs w:val="22"/>
        </w:rPr>
      </w:pPr>
    </w:p>
    <w:p w14:paraId="43AA55DB" w14:textId="10CFCEAF" w:rsidR="0003348D" w:rsidRPr="009A0DA5" w:rsidRDefault="00A70830">
      <w:pPr>
        <w:spacing w:before="240" w:after="240" w:line="360" w:lineRule="auto"/>
        <w:jc w:val="both"/>
        <w:rPr>
          <w:rFonts w:ascii="Palatino Linotype" w:eastAsia="Palatino Linotype" w:hAnsi="Palatino Linotype" w:cs="Palatino Linotype"/>
          <w:sz w:val="22"/>
          <w:szCs w:val="22"/>
        </w:rPr>
      </w:pPr>
      <w:r w:rsidRPr="00E074A6">
        <w:rPr>
          <w:rFonts w:ascii="Palatino Linotype" w:eastAsia="Palatino Linotype" w:hAnsi="Palatino Linotype" w:cs="Palatino Linotype"/>
          <w:sz w:val="22"/>
          <w:szCs w:val="22"/>
        </w:rPr>
        <w:lastRenderedPageBreak/>
        <w:t>ASÍ LO RESUELVE, POR UNANIMIDAD DE VOTOS, EL PLENO DEL INSTITUTO DE TRANSPARENCIA, ACCESO A LA INFORMACIÓN PÚBLICA Y PROTECCIÓN DE DATOS PERSONALES DEL ESTADO DE MÉXICO Y MUNICIPIOS, CONFORMADO POR LOS COMISIONADOS JOSÉ MARTÍNEZ VILCHIS</w:t>
      </w:r>
      <w:r w:rsidR="00726EA9" w:rsidRPr="00E074A6">
        <w:rPr>
          <w:rFonts w:ascii="Palatino Linotype" w:eastAsia="Palatino Linotype" w:hAnsi="Palatino Linotype" w:cs="Palatino Linotype"/>
          <w:sz w:val="22"/>
          <w:szCs w:val="22"/>
        </w:rPr>
        <w:t xml:space="preserve">, </w:t>
      </w:r>
      <w:r w:rsidRPr="00E074A6">
        <w:rPr>
          <w:rFonts w:ascii="Palatino Linotype" w:eastAsia="Palatino Linotype" w:hAnsi="Palatino Linotype" w:cs="Palatino Linotype"/>
          <w:sz w:val="22"/>
          <w:szCs w:val="22"/>
        </w:rPr>
        <w:t>MARÍA DEL ROSARIO MEJÍA AYALA,</w:t>
      </w:r>
      <w:r w:rsidR="009A0DA5" w:rsidRPr="00E074A6">
        <w:rPr>
          <w:rFonts w:ascii="Palatino Linotype" w:eastAsia="Palatino Linotype" w:hAnsi="Palatino Linotype" w:cs="Palatino Linotype"/>
          <w:sz w:val="22"/>
          <w:szCs w:val="22"/>
        </w:rPr>
        <w:t xml:space="preserve"> EMITIENDO VOTO PARTICULAR RECURRENTE,</w:t>
      </w:r>
      <w:r w:rsidRPr="00E074A6">
        <w:rPr>
          <w:rFonts w:ascii="Palatino Linotype" w:eastAsia="Palatino Linotype" w:hAnsi="Palatino Linotype" w:cs="Palatino Linotype"/>
          <w:sz w:val="22"/>
          <w:szCs w:val="22"/>
        </w:rPr>
        <w:t xml:space="preserve"> SHARON CRISTINA MORALES MARTÍNEZ,</w:t>
      </w:r>
      <w:r w:rsidR="00726EA9" w:rsidRPr="00E074A6">
        <w:rPr>
          <w:rFonts w:ascii="Palatino Linotype" w:eastAsia="Palatino Linotype" w:hAnsi="Palatino Linotype" w:cs="Palatino Linotype"/>
          <w:sz w:val="22"/>
          <w:szCs w:val="22"/>
        </w:rPr>
        <w:t xml:space="preserve"> </w:t>
      </w:r>
      <w:r w:rsidRPr="00E074A6">
        <w:rPr>
          <w:rFonts w:ascii="Palatino Linotype" w:eastAsia="Palatino Linotype" w:hAnsi="Palatino Linotype" w:cs="Palatino Linotype"/>
          <w:sz w:val="22"/>
          <w:szCs w:val="22"/>
        </w:rPr>
        <w:t>LUIS GUSTAVO PARRA NORIEGA</w:t>
      </w:r>
      <w:r w:rsidR="009A0DA5" w:rsidRPr="00E074A6">
        <w:rPr>
          <w:rFonts w:ascii="Palatino Linotype" w:eastAsia="Palatino Linotype" w:hAnsi="Palatino Linotype" w:cs="Palatino Linotype"/>
          <w:sz w:val="22"/>
          <w:szCs w:val="22"/>
        </w:rPr>
        <w:t>, EMITIENDO VOTO PARTICULAR CONCURRENTE</w:t>
      </w:r>
      <w:r w:rsidRPr="00E074A6">
        <w:rPr>
          <w:rFonts w:ascii="Palatino Linotype" w:eastAsia="Palatino Linotype" w:hAnsi="Palatino Linotype" w:cs="Palatino Linotype"/>
          <w:sz w:val="22"/>
          <w:szCs w:val="22"/>
        </w:rPr>
        <w:t xml:space="preserve"> Y GUADALUPE RAMÍREZ PEÑA; EN LA SEGUNDA SESIÓN ORDINARIA CELEBRADA EL VEINTIDÓS DE ENERO DEL DOS MIL VEINTICINCO, ANTE EL SECRETARIO TÉCNICO DEL PLENO ALEXIS TAPIA RAMÍREZ.</w:t>
      </w:r>
    </w:p>
    <w:p w14:paraId="78AC9131" w14:textId="77777777" w:rsidR="0003348D" w:rsidRPr="009A0DA5" w:rsidRDefault="0003348D">
      <w:pPr>
        <w:spacing w:before="240" w:after="240" w:line="360" w:lineRule="auto"/>
        <w:jc w:val="both"/>
        <w:rPr>
          <w:rFonts w:ascii="Palatino Linotype" w:eastAsia="Palatino Linotype" w:hAnsi="Palatino Linotype" w:cs="Palatino Linotype"/>
          <w:sz w:val="22"/>
          <w:szCs w:val="22"/>
        </w:rPr>
      </w:pPr>
    </w:p>
    <w:p w14:paraId="0F4AEE74" w14:textId="77777777" w:rsidR="0003348D" w:rsidRPr="009A0DA5" w:rsidRDefault="0003348D">
      <w:pPr>
        <w:spacing w:before="240" w:after="240" w:line="360" w:lineRule="auto"/>
        <w:jc w:val="both"/>
        <w:rPr>
          <w:rFonts w:ascii="Palatino Linotype" w:eastAsia="Palatino Linotype" w:hAnsi="Palatino Linotype" w:cs="Palatino Linotype"/>
          <w:sz w:val="22"/>
          <w:szCs w:val="22"/>
        </w:rPr>
      </w:pPr>
    </w:p>
    <w:p w14:paraId="48AA901D" w14:textId="77777777" w:rsidR="0003348D" w:rsidRPr="009A0DA5" w:rsidRDefault="0003348D">
      <w:pPr>
        <w:spacing w:before="240" w:after="240" w:line="360" w:lineRule="auto"/>
        <w:jc w:val="both"/>
        <w:rPr>
          <w:rFonts w:ascii="Palatino Linotype" w:eastAsia="Palatino Linotype" w:hAnsi="Palatino Linotype" w:cs="Palatino Linotype"/>
          <w:sz w:val="22"/>
          <w:szCs w:val="22"/>
        </w:rPr>
      </w:pPr>
    </w:p>
    <w:p w14:paraId="5267764F" w14:textId="0F38C9B9" w:rsidR="0003348D" w:rsidRPr="009A0DA5" w:rsidRDefault="0003348D">
      <w:pPr>
        <w:spacing w:before="240" w:after="240" w:line="360" w:lineRule="auto"/>
        <w:jc w:val="both"/>
        <w:rPr>
          <w:rFonts w:ascii="Palatino Linotype" w:eastAsia="Palatino Linotype" w:hAnsi="Palatino Linotype" w:cs="Palatino Linotype"/>
          <w:sz w:val="22"/>
          <w:szCs w:val="22"/>
        </w:rPr>
      </w:pPr>
    </w:p>
    <w:p w14:paraId="109F6FE3" w14:textId="4F941B59"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7FEA14E6" w14:textId="5230A727"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2F8956B7" w14:textId="42D07243"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51BC4EA1" w14:textId="40214B9B"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585E6055" w14:textId="37A293B7"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7309B077" w14:textId="55C3AF07"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4F1E8BAA" w14:textId="61E0D6B7"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099A2225" w14:textId="791C9BFC"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59991BBD" w14:textId="61CA11FA"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20208860" w14:textId="1B1C9B93"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338921EE" w14:textId="2EE784E6"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02E23271" w14:textId="3AB5C615"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6A7CF3D6" w14:textId="56A35246"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52983918" w14:textId="34D33C9D"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26C92648" w14:textId="0DCE6A6E"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42D5C25F" w14:textId="1D8E8A22" w:rsidR="009A0DA5" w:rsidRPr="009A0DA5" w:rsidRDefault="009A0DA5">
      <w:pPr>
        <w:spacing w:before="240" w:after="240" w:line="360" w:lineRule="auto"/>
        <w:jc w:val="both"/>
        <w:rPr>
          <w:rFonts w:ascii="Palatino Linotype" w:eastAsia="Palatino Linotype" w:hAnsi="Palatino Linotype" w:cs="Palatino Linotype"/>
          <w:sz w:val="22"/>
          <w:szCs w:val="22"/>
        </w:rPr>
      </w:pPr>
    </w:p>
    <w:p w14:paraId="0056091B" w14:textId="77777777" w:rsidR="009A0DA5" w:rsidRPr="009A0DA5" w:rsidRDefault="009A0DA5">
      <w:pPr>
        <w:spacing w:before="240" w:after="240" w:line="360" w:lineRule="auto"/>
        <w:jc w:val="both"/>
        <w:rPr>
          <w:rFonts w:ascii="Palatino Linotype" w:eastAsia="Palatino Linotype" w:hAnsi="Palatino Linotype" w:cs="Palatino Linotype"/>
          <w:sz w:val="22"/>
          <w:szCs w:val="22"/>
        </w:rPr>
      </w:pPr>
    </w:p>
    <w:sectPr w:rsidR="009A0DA5" w:rsidRPr="009A0DA5">
      <w:headerReference w:type="default" r:id="rId11"/>
      <w:footerReference w:type="default" r:id="rId12"/>
      <w:headerReference w:type="first" r:id="rId13"/>
      <w:footerReference w:type="first" r:id="rId14"/>
      <w:pgSz w:w="12240" w:h="15840"/>
      <w:pgMar w:top="1985" w:right="1701" w:bottom="1418"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2A784" w14:textId="77777777" w:rsidR="00FF7D4B" w:rsidRDefault="00FF7D4B">
      <w:r>
        <w:separator/>
      </w:r>
    </w:p>
  </w:endnote>
  <w:endnote w:type="continuationSeparator" w:id="0">
    <w:p w14:paraId="09C7846A" w14:textId="77777777" w:rsidR="00FF7D4B" w:rsidRDefault="00FF7D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Grande">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Liberation Serif">
    <w:altName w:val="Times New Roman"/>
    <w:charset w:val="01"/>
    <w:family w:val="roman"/>
    <w:pitch w:val="variable"/>
  </w:font>
  <w:font w:name="DejaVu Sans">
    <w:altName w:val="Times New Roman"/>
    <w:panose1 w:val="00000000000000000000"/>
    <w:charset w:val="00"/>
    <w:family w:val="roman"/>
    <w:notTrueType/>
    <w:pitch w:val="default"/>
  </w:font>
  <w:font w:name="Lohit Hindi">
    <w:altName w:val="Times New Roman"/>
    <w:panose1 w:val="00000000000000000000"/>
    <w:charset w:val="00"/>
    <w:family w:val="roman"/>
    <w:notTrueType/>
    <w:pitch w:val="default"/>
  </w:font>
  <w:font w:name="Helvetica">
    <w:panose1 w:val="020B0504020202020204"/>
    <w:charset w:val="00"/>
    <w:family w:val="swiss"/>
    <w:notTrueType/>
    <w:pitch w:val="variable"/>
    <w:sig w:usb0="00000003" w:usb1="00000000" w:usb2="00000000" w:usb3="00000000" w:csb0="00000001" w:csb1="00000000"/>
  </w:font>
  <w:font w:name="Myriad Pro">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54F0B" w14:textId="77777777" w:rsidR="0003348D" w:rsidRDefault="00A70830">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717CF9">
      <w:rPr>
        <w:rFonts w:ascii="Palatino Linotype" w:eastAsia="Palatino Linotype" w:hAnsi="Palatino Linotype" w:cs="Palatino Linotype"/>
        <w:b/>
        <w:noProof/>
        <w:color w:val="000000"/>
        <w:sz w:val="20"/>
        <w:szCs w:val="20"/>
      </w:rPr>
      <w:t>44</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717CF9">
      <w:rPr>
        <w:rFonts w:ascii="Palatino Linotype" w:eastAsia="Palatino Linotype" w:hAnsi="Palatino Linotype" w:cs="Palatino Linotype"/>
        <w:b/>
        <w:noProof/>
        <w:color w:val="000000"/>
        <w:sz w:val="20"/>
        <w:szCs w:val="20"/>
      </w:rPr>
      <w:t>46</w:t>
    </w:r>
    <w:r>
      <w:rPr>
        <w:rFonts w:ascii="Palatino Linotype" w:eastAsia="Palatino Linotype" w:hAnsi="Palatino Linotype" w:cs="Palatino Linotype"/>
        <w:b/>
        <w:color w:val="000000"/>
        <w:sz w:val="20"/>
        <w:szCs w:val="20"/>
      </w:rPr>
      <w:fldChar w:fldCharType="end"/>
    </w:r>
  </w:p>
  <w:p w14:paraId="3026457E" w14:textId="77777777" w:rsidR="0003348D" w:rsidRDefault="0003348D">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28A3C" w14:textId="77777777" w:rsidR="0003348D" w:rsidRDefault="00A70830">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717CF9">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717CF9">
      <w:rPr>
        <w:rFonts w:ascii="Palatino Linotype" w:eastAsia="Palatino Linotype" w:hAnsi="Palatino Linotype" w:cs="Palatino Linotype"/>
        <w:b/>
        <w:noProof/>
        <w:color w:val="000000"/>
        <w:sz w:val="20"/>
        <w:szCs w:val="20"/>
      </w:rPr>
      <w:t>46</w:t>
    </w:r>
    <w:r>
      <w:rPr>
        <w:rFonts w:ascii="Palatino Linotype" w:eastAsia="Palatino Linotype" w:hAnsi="Palatino Linotype" w:cs="Palatino Linotype"/>
        <w:b/>
        <w:color w:val="000000"/>
        <w:sz w:val="20"/>
        <w:szCs w:val="20"/>
      </w:rPr>
      <w:fldChar w:fldCharType="end"/>
    </w:r>
  </w:p>
  <w:p w14:paraId="399DE2E5" w14:textId="77777777" w:rsidR="0003348D" w:rsidRDefault="0003348D">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89428" w14:textId="77777777" w:rsidR="00FF7D4B" w:rsidRDefault="00FF7D4B">
      <w:r>
        <w:separator/>
      </w:r>
    </w:p>
  </w:footnote>
  <w:footnote w:type="continuationSeparator" w:id="0">
    <w:p w14:paraId="775693FA" w14:textId="77777777" w:rsidR="00FF7D4B" w:rsidRDefault="00FF7D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015F3" w14:textId="77777777" w:rsidR="0003348D" w:rsidRDefault="00A70830">
    <w:pPr>
      <w:pBdr>
        <w:top w:val="nil"/>
        <w:left w:val="nil"/>
        <w:bottom w:val="nil"/>
        <w:right w:val="nil"/>
        <w:between w:val="nil"/>
      </w:pBdr>
      <w:tabs>
        <w:tab w:val="center" w:pos="4252"/>
        <w:tab w:val="right" w:pos="8504"/>
        <w:tab w:val="left" w:pos="2326"/>
      </w:tabs>
      <w:rPr>
        <w:rFonts w:ascii="Cambria" w:eastAsia="Cambria" w:hAnsi="Cambria" w:cs="Cambria"/>
        <w:color w:val="000000"/>
      </w:rPr>
    </w:pPr>
    <w:r>
      <w:rPr>
        <w:noProof/>
        <w:lang w:val="es-MX"/>
      </w:rPr>
      <w:drawing>
        <wp:anchor distT="0" distB="0" distL="0" distR="0" simplePos="0" relativeHeight="251658240" behindDoc="1" locked="0" layoutInCell="1" hidden="0" allowOverlap="1" wp14:anchorId="1DABCE55" wp14:editId="631751F7">
          <wp:simplePos x="0" y="0"/>
          <wp:positionH relativeFrom="column">
            <wp:posOffset>-1080132</wp:posOffset>
          </wp:positionH>
          <wp:positionV relativeFrom="paragraph">
            <wp:posOffset>-488313</wp:posOffset>
          </wp:positionV>
          <wp:extent cx="7809865" cy="10165715"/>
          <wp:effectExtent l="0" t="0" r="0" b="0"/>
          <wp:wrapNone/>
          <wp:docPr id="77020156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3"/>
      <w:tblW w:w="5953" w:type="dxa"/>
      <w:tblInd w:w="3261" w:type="dxa"/>
      <w:tblLayout w:type="fixed"/>
      <w:tblLook w:val="0400" w:firstRow="0" w:lastRow="0" w:firstColumn="0" w:lastColumn="0" w:noHBand="0" w:noVBand="1"/>
    </w:tblPr>
    <w:tblGrid>
      <w:gridCol w:w="2489"/>
      <w:gridCol w:w="3464"/>
    </w:tblGrid>
    <w:tr w:rsidR="0003348D" w14:paraId="52E63246" w14:textId="77777777">
      <w:tc>
        <w:tcPr>
          <w:tcW w:w="2489" w:type="dxa"/>
          <w:shd w:val="clear" w:color="auto" w:fill="auto"/>
        </w:tcPr>
        <w:p w14:paraId="0D56CBDE" w14:textId="77777777" w:rsidR="0003348D" w:rsidRDefault="00A7083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55D7CD27" w14:textId="77777777" w:rsidR="0003348D" w:rsidRDefault="00A70830">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07519/INFOEM/IP/RR/2024</w:t>
          </w:r>
        </w:p>
      </w:tc>
    </w:tr>
    <w:tr w:rsidR="0003348D" w14:paraId="10D60650" w14:textId="77777777">
      <w:trPr>
        <w:trHeight w:val="228"/>
      </w:trPr>
      <w:tc>
        <w:tcPr>
          <w:tcW w:w="2489" w:type="dxa"/>
          <w:shd w:val="clear" w:color="auto" w:fill="auto"/>
          <w:vAlign w:val="center"/>
        </w:tcPr>
        <w:p w14:paraId="642390DA" w14:textId="77777777" w:rsidR="0003348D" w:rsidRDefault="00A7083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4378EAD7" w14:textId="77777777" w:rsidR="0003348D" w:rsidRDefault="00A70830">
          <w:pPr>
            <w:ind w:left="-45" w:right="176"/>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Villa de Allende</w:t>
          </w:r>
        </w:p>
      </w:tc>
    </w:tr>
    <w:tr w:rsidR="0003348D" w14:paraId="5A25AA7F" w14:textId="77777777">
      <w:tc>
        <w:tcPr>
          <w:tcW w:w="2489" w:type="dxa"/>
          <w:shd w:val="clear" w:color="auto" w:fill="auto"/>
          <w:vAlign w:val="center"/>
        </w:tcPr>
        <w:p w14:paraId="7DBCD41F" w14:textId="77777777" w:rsidR="0003348D" w:rsidRDefault="00A70830">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502297C8" w14:textId="77777777" w:rsidR="0003348D" w:rsidRDefault="00A70830">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720AB7FB" w14:textId="77777777" w:rsidR="0003348D" w:rsidRDefault="00A70830">
    <w:pPr>
      <w:pBdr>
        <w:top w:val="nil"/>
        <w:left w:val="nil"/>
        <w:bottom w:val="nil"/>
        <w:right w:val="nil"/>
        <w:between w:val="nil"/>
      </w:pBdr>
      <w:tabs>
        <w:tab w:val="center" w:pos="4252"/>
        <w:tab w:val="right" w:pos="8504"/>
        <w:tab w:val="left" w:pos="2326"/>
      </w:tabs>
      <w:rPr>
        <w:rFonts w:ascii="Cambria" w:eastAsia="Cambria" w:hAnsi="Cambria" w:cs="Cambria"/>
        <w:color w:val="000000"/>
      </w:rPr>
    </w:pPr>
    <w:r>
      <w:rPr>
        <w:rFonts w:ascii="Cambria" w:eastAsia="Cambria" w:hAnsi="Cambria" w:cs="Cambria"/>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173AC" w14:textId="77777777" w:rsidR="0003348D" w:rsidRDefault="0003348D">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p>
  <w:tbl>
    <w:tblPr>
      <w:tblStyle w:val="a4"/>
      <w:tblW w:w="5670" w:type="dxa"/>
      <w:tblInd w:w="3261" w:type="dxa"/>
      <w:tblLayout w:type="fixed"/>
      <w:tblLook w:val="0400" w:firstRow="0" w:lastRow="0" w:firstColumn="0" w:lastColumn="0" w:noHBand="0" w:noVBand="1"/>
    </w:tblPr>
    <w:tblGrid>
      <w:gridCol w:w="2551"/>
      <w:gridCol w:w="3119"/>
    </w:tblGrid>
    <w:tr w:rsidR="0003348D" w14:paraId="4CF940D3" w14:textId="77777777">
      <w:tc>
        <w:tcPr>
          <w:tcW w:w="2551" w:type="dxa"/>
          <w:shd w:val="clear" w:color="auto" w:fill="auto"/>
          <w:vAlign w:val="center"/>
        </w:tcPr>
        <w:p w14:paraId="423F6C45" w14:textId="77777777" w:rsidR="0003348D" w:rsidRDefault="00A7083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119" w:type="dxa"/>
          <w:shd w:val="clear" w:color="auto" w:fill="auto"/>
          <w:vAlign w:val="center"/>
        </w:tcPr>
        <w:p w14:paraId="1629644B" w14:textId="77777777" w:rsidR="0003348D" w:rsidRDefault="00A70830">
          <w:pPr>
            <w:tabs>
              <w:tab w:val="left" w:pos="3153"/>
            </w:tabs>
            <w:ind w:left="-4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07519/INFOEM/IP/RR/2024</w:t>
          </w:r>
        </w:p>
      </w:tc>
    </w:tr>
    <w:tr w:rsidR="0003348D" w14:paraId="39B6D0AC" w14:textId="77777777">
      <w:trPr>
        <w:trHeight w:val="130"/>
      </w:trPr>
      <w:tc>
        <w:tcPr>
          <w:tcW w:w="2551" w:type="dxa"/>
          <w:shd w:val="clear" w:color="auto" w:fill="auto"/>
          <w:vAlign w:val="center"/>
        </w:tcPr>
        <w:p w14:paraId="1138C59B" w14:textId="77777777" w:rsidR="0003348D" w:rsidRDefault="00A7083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119" w:type="dxa"/>
          <w:shd w:val="clear" w:color="auto" w:fill="auto"/>
          <w:vAlign w:val="center"/>
        </w:tcPr>
        <w:p w14:paraId="4A0194D0" w14:textId="77777777" w:rsidR="0003348D" w:rsidRDefault="00A70830">
          <w:pPr>
            <w:tabs>
              <w:tab w:val="left" w:pos="3153"/>
            </w:tabs>
            <w:ind w:left="-45"/>
            <w:jc w:val="both"/>
            <w:rPr>
              <w:rFonts w:ascii="Palatino Linotype" w:eastAsia="Palatino Linotype" w:hAnsi="Palatino Linotype" w:cs="Palatino Linotype"/>
              <w:b/>
              <w:sz w:val="22"/>
              <w:szCs w:val="22"/>
            </w:rPr>
          </w:pPr>
          <w:r>
            <w:rPr>
              <w:noProof/>
              <w:lang w:val="es-MX"/>
            </w:rPr>
            <w:drawing>
              <wp:anchor distT="0" distB="0" distL="0" distR="0" simplePos="0" relativeHeight="251659264" behindDoc="1" locked="0" layoutInCell="1" hidden="0" allowOverlap="1" wp14:anchorId="10B06EB0" wp14:editId="5B931660">
                <wp:simplePos x="0" y="0"/>
                <wp:positionH relativeFrom="column">
                  <wp:posOffset>-4425314</wp:posOffset>
                </wp:positionH>
                <wp:positionV relativeFrom="paragraph">
                  <wp:posOffset>-361949</wp:posOffset>
                </wp:positionV>
                <wp:extent cx="7809865" cy="10165715"/>
                <wp:effectExtent l="0" t="0" r="0" b="0"/>
                <wp:wrapNone/>
                <wp:docPr id="77020155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c>
    </w:tr>
    <w:tr w:rsidR="0003348D" w14:paraId="57E70647" w14:textId="77777777">
      <w:trPr>
        <w:trHeight w:val="228"/>
      </w:trPr>
      <w:tc>
        <w:tcPr>
          <w:tcW w:w="2551" w:type="dxa"/>
          <w:shd w:val="clear" w:color="auto" w:fill="auto"/>
          <w:vAlign w:val="center"/>
        </w:tcPr>
        <w:p w14:paraId="3570198C" w14:textId="77777777" w:rsidR="0003348D" w:rsidRDefault="00A7083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119" w:type="dxa"/>
          <w:shd w:val="clear" w:color="auto" w:fill="auto"/>
          <w:vAlign w:val="center"/>
        </w:tcPr>
        <w:p w14:paraId="2890D924" w14:textId="77777777" w:rsidR="0003348D" w:rsidRDefault="00A70830">
          <w:pPr>
            <w:ind w:left="-45" w:right="27"/>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Ayuntamiento de Villa de Allende</w:t>
          </w:r>
        </w:p>
      </w:tc>
    </w:tr>
    <w:tr w:rsidR="0003348D" w14:paraId="2BB0324A" w14:textId="77777777">
      <w:tc>
        <w:tcPr>
          <w:tcW w:w="2551" w:type="dxa"/>
          <w:shd w:val="clear" w:color="auto" w:fill="auto"/>
          <w:vAlign w:val="center"/>
        </w:tcPr>
        <w:p w14:paraId="54E8C794" w14:textId="77777777" w:rsidR="0003348D" w:rsidRDefault="00A7083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119" w:type="dxa"/>
          <w:shd w:val="clear" w:color="auto" w:fill="auto"/>
          <w:vAlign w:val="center"/>
        </w:tcPr>
        <w:p w14:paraId="013D674A" w14:textId="77777777" w:rsidR="0003348D" w:rsidRDefault="00A70830">
          <w:pPr>
            <w:ind w:left="-45"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21860166" w14:textId="77777777" w:rsidR="0003348D" w:rsidRDefault="0003348D">
    <w:pPr>
      <w:pBdr>
        <w:top w:val="nil"/>
        <w:left w:val="nil"/>
        <w:bottom w:val="nil"/>
        <w:right w:val="nil"/>
        <w:between w:val="nil"/>
      </w:pBdr>
      <w:tabs>
        <w:tab w:val="center" w:pos="4252"/>
        <w:tab w:val="right" w:pos="8504"/>
      </w:tabs>
      <w:rPr>
        <w:rFonts w:ascii="Cambria" w:eastAsia="Cambria" w:hAnsi="Cambria" w:cs="Cambria"/>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9165D"/>
    <w:multiLevelType w:val="multilevel"/>
    <w:tmpl w:val="35D0ED9A"/>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E7957F3"/>
    <w:multiLevelType w:val="multilevel"/>
    <w:tmpl w:val="AB242A0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4D568C3"/>
    <w:multiLevelType w:val="multilevel"/>
    <w:tmpl w:val="7F6E40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41736D8"/>
    <w:multiLevelType w:val="multilevel"/>
    <w:tmpl w:val="7EBA49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6733183"/>
    <w:multiLevelType w:val="multilevel"/>
    <w:tmpl w:val="440A8CF6"/>
    <w:lvl w:ilvl="0">
      <w:start w:val="1"/>
      <w:numFmt w:val="bullet"/>
      <w:pStyle w:val="Listaconvietas3"/>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CEC0440"/>
    <w:multiLevelType w:val="multilevel"/>
    <w:tmpl w:val="7BFA97B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58D1ADD"/>
    <w:multiLevelType w:val="multilevel"/>
    <w:tmpl w:val="8D522F32"/>
    <w:lvl w:ilvl="0">
      <w:start w:val="3"/>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70C16A7"/>
    <w:multiLevelType w:val="multilevel"/>
    <w:tmpl w:val="81B6C1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E8B25D0"/>
    <w:multiLevelType w:val="multilevel"/>
    <w:tmpl w:val="8C2884AC"/>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76666948"/>
    <w:multiLevelType w:val="multilevel"/>
    <w:tmpl w:val="9E0496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2"/>
  </w:num>
  <w:num w:numId="3">
    <w:abstractNumId w:val="6"/>
  </w:num>
  <w:num w:numId="4">
    <w:abstractNumId w:val="9"/>
  </w:num>
  <w:num w:numId="5">
    <w:abstractNumId w:val="1"/>
  </w:num>
  <w:num w:numId="6">
    <w:abstractNumId w:val="5"/>
  </w:num>
  <w:num w:numId="7">
    <w:abstractNumId w:val="8"/>
  </w:num>
  <w:num w:numId="8">
    <w:abstractNumId w:val="3"/>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348D"/>
    <w:rsid w:val="0003348D"/>
    <w:rsid w:val="000C2984"/>
    <w:rsid w:val="002F12C7"/>
    <w:rsid w:val="00717CF9"/>
    <w:rsid w:val="00725DD8"/>
    <w:rsid w:val="00726EA9"/>
    <w:rsid w:val="009A0DA5"/>
    <w:rsid w:val="00A01816"/>
    <w:rsid w:val="00A70830"/>
    <w:rsid w:val="00B16D26"/>
    <w:rsid w:val="00BA70C2"/>
    <w:rsid w:val="00E074A6"/>
    <w:rsid w:val="00FF7D4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5C22F"/>
  <w15:docId w15:val="{4E9E882B-6A2D-4FDA-B7BE-BC153CE74D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ES"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2902"/>
  </w:style>
  <w:style w:type="paragraph" w:styleId="Ttulo1">
    <w:name w:val="heading 1"/>
    <w:basedOn w:val="Normal"/>
    <w:next w:val="Normal"/>
    <w:link w:val="Ttulo1Car"/>
    <w:uiPriority w:val="9"/>
    <w:qFormat/>
    <w:rsid w:val="00603D7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unhideWhenUsed/>
    <w:qFormat/>
    <w:rsid w:val="00603D72"/>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
    <w:semiHidden/>
    <w:unhideWhenUsed/>
    <w:qFormat/>
    <w:rsid w:val="003B73CD"/>
    <w:pPr>
      <w:keepNext/>
      <w:tabs>
        <w:tab w:val="num" w:pos="2160"/>
      </w:tabs>
      <w:spacing w:before="240" w:after="60"/>
      <w:ind w:left="2160" w:hanging="720"/>
      <w:outlineLvl w:val="2"/>
    </w:pPr>
    <w:rPr>
      <w:rFonts w:asciiTheme="majorHAnsi" w:eastAsiaTheme="majorEastAsia" w:hAnsiTheme="majorHAnsi" w:cstheme="majorBidi"/>
      <w:b/>
      <w:bCs/>
      <w:sz w:val="26"/>
      <w:szCs w:val="26"/>
      <w:lang w:val="en-US" w:eastAsia="en-US"/>
    </w:rPr>
  </w:style>
  <w:style w:type="paragraph" w:styleId="Ttulo4">
    <w:name w:val="heading 4"/>
    <w:basedOn w:val="Normal"/>
    <w:next w:val="Normal"/>
    <w:link w:val="Ttulo4Car"/>
    <w:uiPriority w:val="9"/>
    <w:semiHidden/>
    <w:unhideWhenUsed/>
    <w:qFormat/>
    <w:rsid w:val="003B73CD"/>
    <w:pPr>
      <w:keepNext/>
      <w:tabs>
        <w:tab w:val="num" w:pos="2880"/>
      </w:tabs>
      <w:spacing w:before="240" w:after="60"/>
      <w:ind w:left="2880" w:hanging="720"/>
      <w:outlineLvl w:val="3"/>
    </w:pPr>
    <w:rPr>
      <w:rFonts w:asciiTheme="minorHAnsi" w:eastAsiaTheme="minorEastAsia" w:hAnsiTheme="minorHAnsi" w:cstheme="minorBidi"/>
      <w:b/>
      <w:bCs/>
      <w:sz w:val="28"/>
      <w:szCs w:val="28"/>
      <w:lang w:val="en-US" w:eastAsia="en-US"/>
    </w:rPr>
  </w:style>
  <w:style w:type="paragraph" w:styleId="Ttulo5">
    <w:name w:val="heading 5"/>
    <w:basedOn w:val="Normal"/>
    <w:next w:val="Normal"/>
    <w:link w:val="Ttulo5Car"/>
    <w:uiPriority w:val="9"/>
    <w:semiHidden/>
    <w:unhideWhenUsed/>
    <w:qFormat/>
    <w:rsid w:val="003B73CD"/>
    <w:pPr>
      <w:tabs>
        <w:tab w:val="num" w:pos="3600"/>
      </w:tabs>
      <w:spacing w:before="240" w:after="60"/>
      <w:ind w:left="3600" w:hanging="720"/>
      <w:outlineLvl w:val="4"/>
    </w:pPr>
    <w:rPr>
      <w:rFonts w:asciiTheme="minorHAnsi" w:eastAsiaTheme="minorEastAsia" w:hAnsiTheme="minorHAnsi" w:cstheme="minorBidi"/>
      <w:b/>
      <w:bCs/>
      <w:i/>
      <w:iCs/>
      <w:sz w:val="26"/>
      <w:szCs w:val="26"/>
      <w:lang w:val="en-US" w:eastAsia="en-US"/>
    </w:rPr>
  </w:style>
  <w:style w:type="paragraph" w:styleId="Ttulo6">
    <w:name w:val="heading 6"/>
    <w:basedOn w:val="Normal"/>
    <w:next w:val="Normal"/>
    <w:link w:val="Ttulo6Car"/>
    <w:semiHidden/>
    <w:unhideWhenUsed/>
    <w:qFormat/>
    <w:rsid w:val="003B73CD"/>
    <w:pPr>
      <w:tabs>
        <w:tab w:val="num" w:pos="4320"/>
      </w:tabs>
      <w:spacing w:before="240" w:after="60"/>
      <w:ind w:left="4320" w:hanging="720"/>
      <w:outlineLvl w:val="5"/>
    </w:pPr>
    <w:rPr>
      <w:b/>
      <w:bCs/>
      <w:sz w:val="22"/>
      <w:szCs w:val="22"/>
      <w:lang w:val="en-US" w:eastAsia="en-US"/>
    </w:rPr>
  </w:style>
  <w:style w:type="paragraph" w:styleId="Ttulo7">
    <w:name w:val="heading 7"/>
    <w:basedOn w:val="Normal"/>
    <w:next w:val="Normal"/>
    <w:link w:val="Ttulo7Car"/>
    <w:uiPriority w:val="9"/>
    <w:semiHidden/>
    <w:unhideWhenUsed/>
    <w:qFormat/>
    <w:rsid w:val="003B73CD"/>
    <w:pPr>
      <w:tabs>
        <w:tab w:val="num" w:pos="5040"/>
      </w:tabs>
      <w:spacing w:before="240" w:after="60"/>
      <w:ind w:left="5040" w:hanging="720"/>
      <w:outlineLvl w:val="6"/>
    </w:pPr>
    <w:rPr>
      <w:rFonts w:asciiTheme="minorHAnsi" w:eastAsiaTheme="minorEastAsia" w:hAnsiTheme="minorHAnsi" w:cstheme="minorBidi"/>
      <w:lang w:val="en-US" w:eastAsia="en-US"/>
    </w:rPr>
  </w:style>
  <w:style w:type="paragraph" w:styleId="Ttulo8">
    <w:name w:val="heading 8"/>
    <w:basedOn w:val="Normal"/>
    <w:next w:val="Normal"/>
    <w:link w:val="Ttulo8Car"/>
    <w:uiPriority w:val="9"/>
    <w:semiHidden/>
    <w:unhideWhenUsed/>
    <w:qFormat/>
    <w:rsid w:val="003B73CD"/>
    <w:pPr>
      <w:tabs>
        <w:tab w:val="num" w:pos="5760"/>
      </w:tabs>
      <w:spacing w:before="240" w:after="60"/>
      <w:ind w:left="5760" w:hanging="720"/>
      <w:outlineLvl w:val="7"/>
    </w:pPr>
    <w:rPr>
      <w:rFonts w:asciiTheme="minorHAnsi" w:eastAsiaTheme="minorEastAsia" w:hAnsiTheme="minorHAnsi" w:cstheme="minorBidi"/>
      <w:i/>
      <w:iCs/>
      <w:lang w:val="en-US" w:eastAsia="en-US"/>
    </w:rPr>
  </w:style>
  <w:style w:type="paragraph" w:styleId="Ttulo9">
    <w:name w:val="heading 9"/>
    <w:basedOn w:val="Normal"/>
    <w:next w:val="Normal"/>
    <w:link w:val="Ttulo9Car"/>
    <w:uiPriority w:val="9"/>
    <w:semiHidden/>
    <w:unhideWhenUsed/>
    <w:qFormat/>
    <w:rsid w:val="003B73CD"/>
    <w:pPr>
      <w:tabs>
        <w:tab w:val="num" w:pos="6480"/>
      </w:tabs>
      <w:spacing w:before="240" w:after="60"/>
      <w:ind w:left="6480" w:hanging="720"/>
      <w:outlineLvl w:val="8"/>
    </w:pPr>
    <w:rPr>
      <w:rFonts w:asciiTheme="majorHAnsi" w:eastAsiaTheme="majorEastAsia" w:hAnsiTheme="majorHAnsi" w:cstheme="majorBidi"/>
      <w:sz w:val="22"/>
      <w:szCs w:val="22"/>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C80F8C"/>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C80F8C"/>
  </w:style>
  <w:style w:type="paragraph" w:styleId="Piedepgina">
    <w:name w:val="footer"/>
    <w:basedOn w:val="Normal"/>
    <w:link w:val="PiedepginaCar"/>
    <w:uiPriority w:val="99"/>
    <w:unhideWhenUsed/>
    <w:rsid w:val="00C80F8C"/>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C80F8C"/>
  </w:style>
  <w:style w:type="paragraph" w:styleId="Textodeglobo">
    <w:name w:val="Balloon Text"/>
    <w:basedOn w:val="Normal"/>
    <w:link w:val="TextodegloboCar"/>
    <w:uiPriority w:val="99"/>
    <w:semiHidden/>
    <w:unhideWhenUsed/>
    <w:rsid w:val="00C80F8C"/>
    <w:rPr>
      <w:rFonts w:ascii="Lucida Grande" w:eastAsiaTheme="minorEastAsia" w:hAnsi="Lucida Grande" w:cs="Lucida Grande"/>
      <w:sz w:val="18"/>
      <w:szCs w:val="18"/>
      <w:lang w:val="es-ES_tradnl"/>
    </w:rPr>
  </w:style>
  <w:style w:type="character" w:customStyle="1" w:styleId="TextodegloboCar">
    <w:name w:val="Texto de globo Car"/>
    <w:basedOn w:val="Fuentedeprrafopredeter"/>
    <w:link w:val="Textodeglobo"/>
    <w:uiPriority w:val="99"/>
    <w:semiHidden/>
    <w:rsid w:val="00C80F8C"/>
    <w:rPr>
      <w:rFonts w:ascii="Lucida Grande" w:hAnsi="Lucida Grande" w:cs="Lucida Grande"/>
      <w:sz w:val="18"/>
      <w:szCs w:val="18"/>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70703E"/>
    <w:pPr>
      <w:ind w:left="720"/>
      <w:contextualSpacing/>
    </w:pPr>
  </w:style>
  <w:style w:type="character" w:styleId="Hipervnculo">
    <w:name w:val="Hyperlink"/>
    <w:basedOn w:val="Fuentedeprrafopredeter"/>
    <w:uiPriority w:val="99"/>
    <w:unhideWhenUsed/>
    <w:rsid w:val="00FD7589"/>
    <w:rPr>
      <w:color w:val="0000FF"/>
      <w:u w:val="single"/>
    </w:rPr>
  </w:style>
  <w:style w:type="character" w:customStyle="1" w:styleId="apple-converted-space">
    <w:name w:val="apple-converted-space"/>
    <w:basedOn w:val="Fuentedeprrafopredeter"/>
    <w:rsid w:val="00FD7589"/>
  </w:style>
  <w:style w:type="paragraph" w:customStyle="1" w:styleId="Listavistosa-nfasis11">
    <w:name w:val="Lista vistosa - Énfasis 11"/>
    <w:basedOn w:val="Normal"/>
    <w:link w:val="Listavistosa-nfasis1Car"/>
    <w:uiPriority w:val="34"/>
    <w:qFormat/>
    <w:rsid w:val="000D2D89"/>
    <w:pPr>
      <w:ind w:left="708"/>
    </w:pPr>
  </w:style>
  <w:style w:type="character" w:customStyle="1" w:styleId="Listavistosa-nfasis1Car">
    <w:name w:val="Lista vistosa - Énfasis 1 Car"/>
    <w:link w:val="Listavistosa-nfasis11"/>
    <w:uiPriority w:val="34"/>
    <w:locked/>
    <w:rsid w:val="000D2D89"/>
    <w:rPr>
      <w:rFonts w:ascii="Times New Roman" w:eastAsia="Times New Roman" w:hAnsi="Times New Roman" w:cs="Times New Roman"/>
      <w:lang w:val="es-ES"/>
    </w:rPr>
  </w:style>
  <w:style w:type="paragraph" w:customStyle="1" w:styleId="Texto">
    <w:name w:val="Texto"/>
    <w:basedOn w:val="Normal"/>
    <w:link w:val="TextoCar"/>
    <w:rsid w:val="000470FE"/>
    <w:pPr>
      <w:spacing w:after="101" w:line="216" w:lineRule="exact"/>
      <w:ind w:firstLine="288"/>
      <w:jc w:val="both"/>
    </w:pPr>
    <w:rPr>
      <w:rFonts w:ascii="Arial" w:hAnsi="Arial" w:cs="Arial"/>
      <w:sz w:val="18"/>
      <w:szCs w:val="18"/>
      <w:lang w:val="es-MX"/>
    </w:rPr>
  </w:style>
  <w:style w:type="paragraph" w:styleId="NormalWeb">
    <w:name w:val="Normal (Web)"/>
    <w:basedOn w:val="Normal"/>
    <w:uiPriority w:val="99"/>
    <w:rsid w:val="000470FE"/>
    <w:pPr>
      <w:spacing w:before="100" w:beforeAutospacing="1" w:after="100" w:afterAutospacing="1"/>
    </w:pPr>
  </w:style>
  <w:style w:type="character" w:customStyle="1" w:styleId="apple-style-span">
    <w:name w:val="apple-style-span"/>
    <w:rsid w:val="008846E7"/>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7E1FF4"/>
    <w:rPr>
      <w:rFonts w:ascii="Times New Roman" w:eastAsia="Times New Roman" w:hAnsi="Times New Roman" w:cs="Times New Roman"/>
      <w:lang w:val="es-ES"/>
    </w:rPr>
  </w:style>
  <w:style w:type="character" w:styleId="Textoennegrita">
    <w:name w:val="Strong"/>
    <w:uiPriority w:val="22"/>
    <w:qFormat/>
    <w:rsid w:val="003D1B5F"/>
    <w:rPr>
      <w:b/>
      <w:bC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2944C8"/>
    <w:rPr>
      <w:rFonts w:asciiTheme="minorHAnsi" w:eastAsiaTheme="minorHAnsi" w:hAnsiTheme="minorHAnsi" w:cstheme="minorBidi"/>
      <w:sz w:val="20"/>
      <w:szCs w:val="20"/>
      <w:lang w:val="es-MX"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2944C8"/>
    <w:rPr>
      <w:rFonts w:eastAsiaTheme="minorHAnsi"/>
      <w:sz w:val="20"/>
      <w:szCs w:val="20"/>
      <w:lang w:val="es-MX" w:eastAsia="en-U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
    <w:basedOn w:val="Fuentedeprrafopredeter"/>
    <w:unhideWhenUsed/>
    <w:qFormat/>
    <w:rsid w:val="002944C8"/>
    <w:rPr>
      <w:vertAlign w:val="superscript"/>
    </w:rPr>
  </w:style>
  <w:style w:type="paragraph" w:styleId="Sinespaciado">
    <w:name w:val="No Spacing"/>
    <w:aliases w:val="Francesa"/>
    <w:link w:val="SinespaciadoCar"/>
    <w:uiPriority w:val="1"/>
    <w:qFormat/>
    <w:rsid w:val="002944C8"/>
    <w:rPr>
      <w:lang w:val="es-MX"/>
    </w:rPr>
  </w:style>
  <w:style w:type="paragraph" w:styleId="Textoindependiente2">
    <w:name w:val="Body Text 2"/>
    <w:basedOn w:val="Normal"/>
    <w:link w:val="Textoindependiente2Car"/>
    <w:uiPriority w:val="99"/>
    <w:unhideWhenUsed/>
    <w:rsid w:val="002944C8"/>
    <w:pPr>
      <w:spacing w:after="120" w:line="480" w:lineRule="auto"/>
    </w:pPr>
  </w:style>
  <w:style w:type="character" w:customStyle="1" w:styleId="Textoindependiente2Car">
    <w:name w:val="Texto independiente 2 Car"/>
    <w:basedOn w:val="Fuentedeprrafopredeter"/>
    <w:link w:val="Textoindependiente2"/>
    <w:uiPriority w:val="99"/>
    <w:rsid w:val="002944C8"/>
    <w:rPr>
      <w:rFonts w:ascii="Times New Roman" w:eastAsia="Times New Roman" w:hAnsi="Times New Roman" w:cs="Times New Roman"/>
      <w:lang w:val="es-ES"/>
    </w:rPr>
  </w:style>
  <w:style w:type="paragraph" w:styleId="Textosinformato">
    <w:name w:val="Plain Text"/>
    <w:basedOn w:val="Normal"/>
    <w:link w:val="TextosinformatoCar"/>
    <w:rsid w:val="002944C8"/>
    <w:rPr>
      <w:rFonts w:ascii="Courier New" w:hAnsi="Courier New"/>
      <w:sz w:val="20"/>
      <w:szCs w:val="20"/>
    </w:rPr>
  </w:style>
  <w:style w:type="character" w:customStyle="1" w:styleId="TextosinformatoCar">
    <w:name w:val="Texto sin formato Car"/>
    <w:basedOn w:val="Fuentedeprrafopredeter"/>
    <w:link w:val="Textosinformato"/>
    <w:rsid w:val="002944C8"/>
    <w:rPr>
      <w:rFonts w:ascii="Courier New" w:eastAsia="Times New Roman" w:hAnsi="Courier New" w:cs="Times New Roman"/>
      <w:sz w:val="20"/>
      <w:szCs w:val="20"/>
      <w:lang w:val="es-ES"/>
    </w:rPr>
  </w:style>
  <w:style w:type="paragraph" w:customStyle="1" w:styleId="Standard">
    <w:name w:val="Standard"/>
    <w:rsid w:val="002944C8"/>
    <w:pPr>
      <w:widowControl w:val="0"/>
      <w:suppressAutoHyphens/>
      <w:autoSpaceDN w:val="0"/>
      <w:textAlignment w:val="baseline"/>
    </w:pPr>
    <w:rPr>
      <w:rFonts w:ascii="Liberation Serif" w:eastAsia="DejaVu Sans" w:hAnsi="Liberation Serif" w:cs="Lohit Hindi"/>
      <w:kern w:val="3"/>
      <w:lang w:val="es-MX" w:eastAsia="zh-CN" w:bidi="hi-IN"/>
    </w:rPr>
  </w:style>
  <w:style w:type="character" w:customStyle="1" w:styleId="negritas1">
    <w:name w:val="negritas1"/>
    <w:rsid w:val="002944C8"/>
    <w:rPr>
      <w:rFonts w:ascii="Arial" w:hAnsi="Arial" w:cs="Arial" w:hint="default"/>
      <w:b/>
      <w:bCs/>
      <w:sz w:val="18"/>
      <w:szCs w:val="18"/>
    </w:rPr>
  </w:style>
  <w:style w:type="paragraph" w:customStyle="1" w:styleId="Pa2">
    <w:name w:val="Pa2"/>
    <w:basedOn w:val="Normal"/>
    <w:next w:val="Normal"/>
    <w:uiPriority w:val="99"/>
    <w:rsid w:val="002944C8"/>
    <w:pPr>
      <w:autoSpaceDE w:val="0"/>
      <w:autoSpaceDN w:val="0"/>
      <w:adjustRightInd w:val="0"/>
      <w:spacing w:line="240" w:lineRule="atLeast"/>
    </w:pPr>
    <w:rPr>
      <w:rFonts w:ascii="Helvetica" w:hAnsi="Helvetica"/>
      <w:lang w:val="es-ES_tradnl" w:eastAsia="es-ES_tradnl"/>
    </w:rPr>
  </w:style>
  <w:style w:type="paragraph" w:customStyle="1" w:styleId="Default">
    <w:name w:val="Default"/>
    <w:rsid w:val="002944C8"/>
    <w:pPr>
      <w:autoSpaceDE w:val="0"/>
      <w:autoSpaceDN w:val="0"/>
      <w:adjustRightInd w:val="0"/>
    </w:pPr>
    <w:rPr>
      <w:rFonts w:ascii="Arial" w:eastAsiaTheme="minorHAnsi" w:hAnsi="Arial" w:cs="Arial"/>
      <w:color w:val="000000"/>
      <w:lang w:val="es-MX" w:eastAsia="en-US"/>
    </w:rPr>
  </w:style>
  <w:style w:type="character" w:customStyle="1" w:styleId="f">
    <w:name w:val="f"/>
    <w:basedOn w:val="Fuentedeprrafopredeter"/>
    <w:rsid w:val="002944C8"/>
  </w:style>
  <w:style w:type="paragraph" w:customStyle="1" w:styleId="q">
    <w:name w:val="q"/>
    <w:basedOn w:val="Normal"/>
    <w:rsid w:val="002944C8"/>
    <w:pPr>
      <w:spacing w:before="100" w:beforeAutospacing="1" w:after="100" w:afterAutospacing="1"/>
    </w:pPr>
    <w:rPr>
      <w:lang w:val="es-MX"/>
    </w:rPr>
  </w:style>
  <w:style w:type="character" w:customStyle="1" w:styleId="d">
    <w:name w:val="d"/>
    <w:basedOn w:val="Fuentedeprrafopredeter"/>
    <w:rsid w:val="002944C8"/>
  </w:style>
  <w:style w:type="character" w:customStyle="1" w:styleId="b">
    <w:name w:val="b"/>
    <w:basedOn w:val="Fuentedeprrafopredeter"/>
    <w:rsid w:val="002944C8"/>
  </w:style>
  <w:style w:type="character" w:customStyle="1" w:styleId="k">
    <w:name w:val="k"/>
    <w:basedOn w:val="Fuentedeprrafopredeter"/>
    <w:rsid w:val="002944C8"/>
  </w:style>
  <w:style w:type="character" w:customStyle="1" w:styleId="h">
    <w:name w:val="h"/>
    <w:basedOn w:val="Fuentedeprrafopredeter"/>
    <w:rsid w:val="002944C8"/>
  </w:style>
  <w:style w:type="character" w:styleId="Hipervnculovisitado">
    <w:name w:val="FollowedHyperlink"/>
    <w:basedOn w:val="Fuentedeprrafopredeter"/>
    <w:uiPriority w:val="99"/>
    <w:semiHidden/>
    <w:unhideWhenUsed/>
    <w:rsid w:val="002944C8"/>
    <w:rPr>
      <w:color w:val="800080" w:themeColor="followedHyperlink"/>
      <w:u w:val="single"/>
    </w:rPr>
  </w:style>
  <w:style w:type="character" w:styleId="CitaHTML">
    <w:name w:val="HTML Cite"/>
    <w:uiPriority w:val="99"/>
    <w:semiHidden/>
    <w:unhideWhenUsed/>
    <w:rsid w:val="00B85C7C"/>
    <w:rPr>
      <w:i/>
      <w:iCs/>
    </w:rPr>
  </w:style>
  <w:style w:type="character" w:customStyle="1" w:styleId="SinespaciadoCar">
    <w:name w:val="Sin espaciado Car"/>
    <w:aliases w:val="Francesa Car"/>
    <w:link w:val="Sinespaciado"/>
    <w:uiPriority w:val="1"/>
    <w:locked/>
    <w:rsid w:val="00270539"/>
    <w:rPr>
      <w:rFonts w:ascii="Times New Roman" w:eastAsia="Times New Roman" w:hAnsi="Times New Roman" w:cs="Times New Roman"/>
      <w:lang w:val="es-MX"/>
    </w:rPr>
  </w:style>
  <w:style w:type="character" w:customStyle="1" w:styleId="medium">
    <w:name w:val="medium"/>
    <w:basedOn w:val="Fuentedeprrafopredeter"/>
    <w:rsid w:val="00354DB7"/>
  </w:style>
  <w:style w:type="table" w:styleId="Tablaconcuadrcula">
    <w:name w:val="Table Grid"/>
    <w:basedOn w:val="Tablanormal"/>
    <w:uiPriority w:val="59"/>
    <w:rsid w:val="00BB3A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umeroconsecutivo">
    <w:name w:val="numeroconsecutivo"/>
    <w:basedOn w:val="Fuentedeprrafopredeter"/>
    <w:rsid w:val="00615060"/>
  </w:style>
  <w:style w:type="character" w:customStyle="1" w:styleId="titulorubrolgt">
    <w:name w:val="titulorubrolgt"/>
    <w:basedOn w:val="Fuentedeprrafopredeter"/>
    <w:rsid w:val="00615060"/>
  </w:style>
  <w:style w:type="character" w:customStyle="1" w:styleId="ctr">
    <w:name w:val="ctr"/>
    <w:basedOn w:val="Fuentedeprrafopredeter"/>
    <w:rsid w:val="00615060"/>
  </w:style>
  <w:style w:type="paragraph" w:styleId="Textonotaalfinal">
    <w:name w:val="endnote text"/>
    <w:basedOn w:val="Normal"/>
    <w:link w:val="TextonotaalfinalCar"/>
    <w:uiPriority w:val="99"/>
    <w:semiHidden/>
    <w:unhideWhenUsed/>
    <w:rsid w:val="00D25E88"/>
    <w:rPr>
      <w:sz w:val="20"/>
      <w:szCs w:val="20"/>
    </w:rPr>
  </w:style>
  <w:style w:type="character" w:customStyle="1" w:styleId="TextonotaalfinalCar">
    <w:name w:val="Texto nota al final Car"/>
    <w:basedOn w:val="Fuentedeprrafopredeter"/>
    <w:link w:val="Textonotaalfinal"/>
    <w:uiPriority w:val="99"/>
    <w:semiHidden/>
    <w:rsid w:val="00D25E88"/>
    <w:rPr>
      <w:rFonts w:ascii="Times New Roman" w:eastAsia="Times New Roman" w:hAnsi="Times New Roman" w:cs="Times New Roman"/>
      <w:sz w:val="20"/>
      <w:szCs w:val="20"/>
      <w:lang w:val="es-ES"/>
    </w:rPr>
  </w:style>
  <w:style w:type="character" w:styleId="Refdenotaalfinal">
    <w:name w:val="endnote reference"/>
    <w:basedOn w:val="Fuentedeprrafopredeter"/>
    <w:uiPriority w:val="99"/>
    <w:semiHidden/>
    <w:unhideWhenUsed/>
    <w:rsid w:val="00D25E88"/>
    <w:rPr>
      <w:vertAlign w:val="superscript"/>
    </w:rPr>
  </w:style>
  <w:style w:type="character" w:customStyle="1" w:styleId="A1">
    <w:name w:val="A1"/>
    <w:uiPriority w:val="99"/>
    <w:rsid w:val="00EC4ECD"/>
    <w:rPr>
      <w:rFonts w:ascii="Myriad Pro" w:hAnsi="Myriad Pro" w:cs="Myriad Pro" w:hint="default"/>
      <w:color w:val="000000"/>
      <w:sz w:val="22"/>
      <w:szCs w:val="22"/>
    </w:rPr>
  </w:style>
  <w:style w:type="paragraph" w:customStyle="1" w:styleId="Pa9">
    <w:name w:val="Pa9"/>
    <w:basedOn w:val="Normal"/>
    <w:next w:val="Normal"/>
    <w:uiPriority w:val="99"/>
    <w:rsid w:val="00EC4ECD"/>
    <w:pPr>
      <w:autoSpaceDE w:val="0"/>
      <w:autoSpaceDN w:val="0"/>
      <w:adjustRightInd w:val="0"/>
      <w:spacing w:line="241" w:lineRule="atLeast"/>
    </w:pPr>
    <w:rPr>
      <w:rFonts w:ascii="Myriad Pro" w:eastAsiaTheme="minorHAnsi" w:hAnsi="Myriad Pro" w:cstheme="minorBidi"/>
      <w:lang w:val="es-MX" w:eastAsia="en-US"/>
    </w:rPr>
  </w:style>
  <w:style w:type="paragraph" w:customStyle="1" w:styleId="Pa5">
    <w:name w:val="Pa5"/>
    <w:basedOn w:val="Normal"/>
    <w:next w:val="Normal"/>
    <w:uiPriority w:val="99"/>
    <w:rsid w:val="00EC4ECD"/>
    <w:pPr>
      <w:autoSpaceDE w:val="0"/>
      <w:autoSpaceDN w:val="0"/>
      <w:adjustRightInd w:val="0"/>
      <w:spacing w:line="201" w:lineRule="atLeast"/>
    </w:pPr>
    <w:rPr>
      <w:rFonts w:ascii="Myriad Pro" w:eastAsiaTheme="minorHAnsi" w:hAnsi="Myriad Pro" w:cstheme="minorBidi"/>
      <w:lang w:val="es-MX" w:eastAsia="en-US"/>
    </w:rPr>
  </w:style>
  <w:style w:type="paragraph" w:customStyle="1" w:styleId="m5127500252372250437gmail-paragraph">
    <w:name w:val="m_5127500252372250437gmail-paragraph"/>
    <w:basedOn w:val="Normal"/>
    <w:rsid w:val="00980B7E"/>
    <w:pPr>
      <w:spacing w:before="100" w:beforeAutospacing="1" w:after="100" w:afterAutospacing="1"/>
    </w:pPr>
    <w:rPr>
      <w:lang w:val="es-MX"/>
    </w:rPr>
  </w:style>
  <w:style w:type="character" w:customStyle="1" w:styleId="nombrefraccder">
    <w:name w:val="nombrefraccder"/>
    <w:basedOn w:val="Fuentedeprrafopredeter"/>
    <w:rsid w:val="009B4A68"/>
  </w:style>
  <w:style w:type="character" w:customStyle="1" w:styleId="numberfraccder">
    <w:name w:val="numberfraccder"/>
    <w:basedOn w:val="Fuentedeprrafopredeter"/>
    <w:rsid w:val="009B4A68"/>
  </w:style>
  <w:style w:type="character" w:customStyle="1" w:styleId="TextoCar">
    <w:name w:val="Texto Car"/>
    <w:link w:val="Texto"/>
    <w:locked/>
    <w:rsid w:val="002B0963"/>
    <w:rPr>
      <w:rFonts w:ascii="Arial" w:eastAsia="Times New Roman" w:hAnsi="Arial" w:cs="Arial"/>
      <w:sz w:val="18"/>
      <w:szCs w:val="18"/>
      <w:lang w:val="es-MX"/>
    </w:rPr>
  </w:style>
  <w:style w:type="character" w:styleId="nfasis">
    <w:name w:val="Emphasis"/>
    <w:basedOn w:val="Fuentedeprrafopredeter"/>
    <w:uiPriority w:val="20"/>
    <w:qFormat/>
    <w:rsid w:val="00C536F2"/>
    <w:rPr>
      <w:i/>
      <w:iCs/>
    </w:rPr>
  </w:style>
  <w:style w:type="character" w:customStyle="1" w:styleId="normaltextrun">
    <w:name w:val="normaltextrun"/>
    <w:basedOn w:val="Fuentedeprrafopredeter"/>
    <w:rsid w:val="0011437B"/>
  </w:style>
  <w:style w:type="character" w:customStyle="1" w:styleId="m5127500252372250437gmail-normaltextrun">
    <w:name w:val="m_5127500252372250437gmail-normaltextrun"/>
    <w:basedOn w:val="Fuentedeprrafopredeter"/>
    <w:rsid w:val="0011437B"/>
  </w:style>
  <w:style w:type="paragraph" w:customStyle="1" w:styleId="m-60081275284358516gmail-msolistparagraph">
    <w:name w:val="m_-60081275284358516gmail-msolistparagraph"/>
    <w:basedOn w:val="Normal"/>
    <w:rsid w:val="00207C90"/>
    <w:pPr>
      <w:spacing w:before="100" w:beforeAutospacing="1" w:after="100" w:afterAutospacing="1"/>
    </w:pPr>
    <w:rPr>
      <w:lang w:val="es-MX"/>
    </w:rPr>
  </w:style>
  <w:style w:type="paragraph" w:customStyle="1" w:styleId="ANOTACION">
    <w:name w:val="ANOTACION"/>
    <w:basedOn w:val="Normal"/>
    <w:link w:val="ANOTACIONCar"/>
    <w:rsid w:val="001B5A73"/>
    <w:pPr>
      <w:spacing w:before="101" w:after="101" w:line="216" w:lineRule="atLeast"/>
      <w:jc w:val="center"/>
    </w:pPr>
    <w:rPr>
      <w:b/>
      <w:sz w:val="18"/>
      <w:szCs w:val="20"/>
      <w:lang w:val="es-ES_tradnl"/>
    </w:rPr>
  </w:style>
  <w:style w:type="character" w:customStyle="1" w:styleId="ANOTACIONCar">
    <w:name w:val="ANOTACION Car"/>
    <w:link w:val="ANOTACION"/>
    <w:locked/>
    <w:rsid w:val="001B5A73"/>
    <w:rPr>
      <w:rFonts w:ascii="Times New Roman" w:eastAsia="Times New Roman" w:hAnsi="Times New Roman" w:cs="Times New Roman"/>
      <w:b/>
      <w:sz w:val="18"/>
      <w:szCs w:val="20"/>
    </w:rPr>
  </w:style>
  <w:style w:type="paragraph" w:customStyle="1" w:styleId="j">
    <w:name w:val="j"/>
    <w:basedOn w:val="Normal"/>
    <w:rsid w:val="007B00BD"/>
    <w:pPr>
      <w:spacing w:before="100" w:beforeAutospacing="1" w:after="100" w:afterAutospacing="1"/>
    </w:pPr>
    <w:rPr>
      <w:lang w:val="es-MX"/>
    </w:rPr>
  </w:style>
  <w:style w:type="character" w:customStyle="1" w:styleId="nacep">
    <w:name w:val="n_acep"/>
    <w:basedOn w:val="Fuentedeprrafopredeter"/>
    <w:rsid w:val="007B00BD"/>
  </w:style>
  <w:style w:type="paragraph" w:customStyle="1" w:styleId="k5">
    <w:name w:val="k5"/>
    <w:basedOn w:val="Normal"/>
    <w:rsid w:val="007B00BD"/>
    <w:pPr>
      <w:spacing w:before="100" w:beforeAutospacing="1" w:after="100" w:afterAutospacing="1"/>
    </w:pPr>
    <w:rPr>
      <w:lang w:val="es-MX"/>
    </w:rPr>
  </w:style>
  <w:style w:type="paragraph" w:customStyle="1" w:styleId="m">
    <w:name w:val="m"/>
    <w:basedOn w:val="Normal"/>
    <w:rsid w:val="007B00BD"/>
    <w:pPr>
      <w:spacing w:before="100" w:beforeAutospacing="1" w:after="100" w:afterAutospacing="1"/>
    </w:pPr>
    <w:rPr>
      <w:lang w:val="es-MX"/>
    </w:rPr>
  </w:style>
  <w:style w:type="character" w:styleId="Refdecomentario">
    <w:name w:val="annotation reference"/>
    <w:basedOn w:val="Fuentedeprrafopredeter"/>
    <w:uiPriority w:val="99"/>
    <w:semiHidden/>
    <w:unhideWhenUsed/>
    <w:rsid w:val="003219FE"/>
    <w:rPr>
      <w:sz w:val="16"/>
      <w:szCs w:val="16"/>
    </w:rPr>
  </w:style>
  <w:style w:type="paragraph" w:styleId="Textocomentario">
    <w:name w:val="annotation text"/>
    <w:basedOn w:val="Normal"/>
    <w:link w:val="TextocomentarioCar"/>
    <w:uiPriority w:val="99"/>
    <w:semiHidden/>
    <w:unhideWhenUsed/>
    <w:rsid w:val="003219FE"/>
    <w:rPr>
      <w:sz w:val="20"/>
      <w:szCs w:val="20"/>
    </w:rPr>
  </w:style>
  <w:style w:type="character" w:customStyle="1" w:styleId="TextocomentarioCar">
    <w:name w:val="Texto comentario Car"/>
    <w:basedOn w:val="Fuentedeprrafopredeter"/>
    <w:link w:val="Textocomentario"/>
    <w:uiPriority w:val="99"/>
    <w:semiHidden/>
    <w:rsid w:val="003219FE"/>
    <w:rPr>
      <w:rFonts w:ascii="Times New Roman" w:eastAsia="Times New Roman" w:hAnsi="Times New Roman" w:cs="Times New Roman"/>
      <w:sz w:val="20"/>
      <w:szCs w:val="20"/>
      <w:lang w:val="es-ES"/>
    </w:rPr>
  </w:style>
  <w:style w:type="paragraph" w:styleId="Asuntodelcomentario">
    <w:name w:val="annotation subject"/>
    <w:basedOn w:val="Textocomentario"/>
    <w:next w:val="Textocomentario"/>
    <w:link w:val="AsuntodelcomentarioCar"/>
    <w:uiPriority w:val="99"/>
    <w:semiHidden/>
    <w:unhideWhenUsed/>
    <w:rsid w:val="003219FE"/>
    <w:rPr>
      <w:b/>
      <w:bCs/>
    </w:rPr>
  </w:style>
  <w:style w:type="character" w:customStyle="1" w:styleId="AsuntodelcomentarioCar">
    <w:name w:val="Asunto del comentario Car"/>
    <w:basedOn w:val="TextocomentarioCar"/>
    <w:link w:val="Asuntodelcomentario"/>
    <w:uiPriority w:val="99"/>
    <w:semiHidden/>
    <w:rsid w:val="003219FE"/>
    <w:rPr>
      <w:rFonts w:ascii="Times New Roman" w:eastAsia="Times New Roman" w:hAnsi="Times New Roman" w:cs="Times New Roman"/>
      <w:b/>
      <w:bCs/>
      <w:sz w:val="20"/>
      <w:szCs w:val="20"/>
      <w:lang w:val="es-ES"/>
    </w:rPr>
  </w:style>
  <w:style w:type="paragraph" w:customStyle="1" w:styleId="FAFunotente1">
    <w:name w:val="FA Fu?notente1"/>
    <w:basedOn w:val="Normal"/>
    <w:next w:val="Textonotapie"/>
    <w:uiPriority w:val="99"/>
    <w:unhideWhenUsed/>
    <w:rsid w:val="00A403D3"/>
    <w:rPr>
      <w:rFonts w:asciiTheme="minorHAnsi" w:eastAsia="Cambria" w:hAnsiTheme="minorHAnsi" w:cstheme="minorBidi"/>
      <w:sz w:val="20"/>
      <w:szCs w:val="20"/>
      <w:lang w:val="es-MX" w:eastAsia="en-US"/>
    </w:rPr>
  </w:style>
  <w:style w:type="character" w:customStyle="1" w:styleId="Ttulo1Car">
    <w:name w:val="Título 1 Car"/>
    <w:basedOn w:val="Fuentedeprrafopredeter"/>
    <w:link w:val="Ttulo1"/>
    <w:uiPriority w:val="9"/>
    <w:rsid w:val="00603D72"/>
    <w:rPr>
      <w:rFonts w:asciiTheme="majorHAnsi" w:eastAsiaTheme="majorEastAsia" w:hAnsiTheme="majorHAnsi" w:cstheme="majorBidi"/>
      <w:color w:val="365F91" w:themeColor="accent1" w:themeShade="BF"/>
      <w:sz w:val="32"/>
      <w:szCs w:val="32"/>
      <w:lang w:val="es-ES"/>
    </w:rPr>
  </w:style>
  <w:style w:type="character" w:customStyle="1" w:styleId="Ttulo2Car">
    <w:name w:val="Título 2 Car"/>
    <w:basedOn w:val="Fuentedeprrafopredeter"/>
    <w:link w:val="Ttulo2"/>
    <w:uiPriority w:val="9"/>
    <w:rsid w:val="00603D72"/>
    <w:rPr>
      <w:rFonts w:asciiTheme="majorHAnsi" w:eastAsiaTheme="majorEastAsia" w:hAnsiTheme="majorHAnsi" w:cstheme="majorBidi"/>
      <w:color w:val="365F91" w:themeColor="accent1" w:themeShade="BF"/>
      <w:sz w:val="26"/>
      <w:szCs w:val="26"/>
      <w:lang w:val="es-ES"/>
    </w:rPr>
  </w:style>
  <w:style w:type="paragraph" w:styleId="Lista">
    <w:name w:val="List"/>
    <w:basedOn w:val="Normal"/>
    <w:uiPriority w:val="99"/>
    <w:unhideWhenUsed/>
    <w:rsid w:val="00603D72"/>
    <w:pPr>
      <w:ind w:left="283" w:hanging="283"/>
      <w:contextualSpacing/>
    </w:pPr>
  </w:style>
  <w:style w:type="paragraph" w:styleId="Lista2">
    <w:name w:val="List 2"/>
    <w:basedOn w:val="Normal"/>
    <w:uiPriority w:val="99"/>
    <w:unhideWhenUsed/>
    <w:rsid w:val="00603D72"/>
    <w:pPr>
      <w:ind w:left="566" w:hanging="283"/>
      <w:contextualSpacing/>
    </w:pPr>
  </w:style>
  <w:style w:type="paragraph" w:styleId="Lista3">
    <w:name w:val="List 3"/>
    <w:basedOn w:val="Normal"/>
    <w:uiPriority w:val="99"/>
    <w:unhideWhenUsed/>
    <w:rsid w:val="00603D72"/>
    <w:pPr>
      <w:ind w:left="849" w:hanging="283"/>
      <w:contextualSpacing/>
    </w:pPr>
  </w:style>
  <w:style w:type="paragraph" w:styleId="Listaconvietas3">
    <w:name w:val="List Bullet 3"/>
    <w:basedOn w:val="Normal"/>
    <w:uiPriority w:val="99"/>
    <w:unhideWhenUsed/>
    <w:rsid w:val="00603D72"/>
    <w:pPr>
      <w:numPr>
        <w:numId w:val="1"/>
      </w:numPr>
      <w:contextualSpacing/>
    </w:pPr>
  </w:style>
  <w:style w:type="paragraph" w:styleId="Continuarlista">
    <w:name w:val="List Continue"/>
    <w:basedOn w:val="Normal"/>
    <w:uiPriority w:val="99"/>
    <w:unhideWhenUsed/>
    <w:rsid w:val="00603D72"/>
    <w:pPr>
      <w:spacing w:after="120"/>
      <w:ind w:left="283"/>
      <w:contextualSpacing/>
    </w:pPr>
  </w:style>
  <w:style w:type="paragraph" w:styleId="Continuarlista2">
    <w:name w:val="List Continue 2"/>
    <w:basedOn w:val="Normal"/>
    <w:uiPriority w:val="99"/>
    <w:unhideWhenUsed/>
    <w:rsid w:val="00603D72"/>
    <w:pPr>
      <w:spacing w:after="120"/>
      <w:ind w:left="566"/>
      <w:contextualSpacing/>
    </w:pPr>
  </w:style>
  <w:style w:type="paragraph" w:styleId="Textoindependiente">
    <w:name w:val="Body Text"/>
    <w:basedOn w:val="Normal"/>
    <w:link w:val="TextoindependienteCar"/>
    <w:uiPriority w:val="99"/>
    <w:unhideWhenUsed/>
    <w:rsid w:val="00603D72"/>
    <w:pPr>
      <w:spacing w:after="120"/>
    </w:pPr>
  </w:style>
  <w:style w:type="character" w:customStyle="1" w:styleId="TextoindependienteCar">
    <w:name w:val="Texto independiente Car"/>
    <w:basedOn w:val="Fuentedeprrafopredeter"/>
    <w:link w:val="Textoindependiente"/>
    <w:uiPriority w:val="99"/>
    <w:rsid w:val="00603D72"/>
    <w:rPr>
      <w:rFonts w:ascii="Times New Roman" w:eastAsia="Times New Roman" w:hAnsi="Times New Roman" w:cs="Times New Roman"/>
      <w:lang w:val="es-ES"/>
    </w:rPr>
  </w:style>
  <w:style w:type="paragraph" w:styleId="Sangradetextonormal">
    <w:name w:val="Body Text Indent"/>
    <w:basedOn w:val="Normal"/>
    <w:link w:val="SangradetextonormalCar"/>
    <w:uiPriority w:val="99"/>
    <w:semiHidden/>
    <w:unhideWhenUsed/>
    <w:rsid w:val="00603D72"/>
    <w:pPr>
      <w:spacing w:after="120"/>
      <w:ind w:left="283"/>
    </w:pPr>
  </w:style>
  <w:style w:type="character" w:customStyle="1" w:styleId="SangradetextonormalCar">
    <w:name w:val="Sangría de texto normal Car"/>
    <w:basedOn w:val="Fuentedeprrafopredeter"/>
    <w:link w:val="Sangradetextonormal"/>
    <w:uiPriority w:val="99"/>
    <w:semiHidden/>
    <w:rsid w:val="00603D72"/>
    <w:rPr>
      <w:rFonts w:ascii="Times New Roman" w:eastAsia="Times New Roman" w:hAnsi="Times New Roman" w:cs="Times New Roman"/>
      <w:lang w:val="es-ES"/>
    </w:rPr>
  </w:style>
  <w:style w:type="paragraph" w:styleId="Textoindependienteprimerasangra2">
    <w:name w:val="Body Text First Indent 2"/>
    <w:basedOn w:val="Sangradetextonormal"/>
    <w:link w:val="Textoindependienteprimerasangra2Car"/>
    <w:uiPriority w:val="99"/>
    <w:unhideWhenUsed/>
    <w:rsid w:val="00603D72"/>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603D72"/>
    <w:rPr>
      <w:rFonts w:ascii="Times New Roman" w:eastAsia="Times New Roman" w:hAnsi="Times New Roman" w:cs="Times New Roman"/>
      <w:lang w:val="es-ES"/>
    </w:rPr>
  </w:style>
  <w:style w:type="paragraph" w:customStyle="1" w:styleId="paragraph">
    <w:name w:val="paragraph"/>
    <w:basedOn w:val="Normal"/>
    <w:rsid w:val="00E34821"/>
    <w:pPr>
      <w:spacing w:before="100" w:beforeAutospacing="1" w:after="100" w:afterAutospacing="1"/>
    </w:pPr>
    <w:rPr>
      <w:lang w:val="es-MX"/>
    </w:rPr>
  </w:style>
  <w:style w:type="paragraph" w:customStyle="1" w:styleId="n2">
    <w:name w:val="n2"/>
    <w:basedOn w:val="Normal"/>
    <w:rsid w:val="009D307C"/>
    <w:pPr>
      <w:spacing w:before="100" w:beforeAutospacing="1" w:after="100" w:afterAutospacing="1"/>
    </w:pPr>
    <w:rPr>
      <w:lang w:val="es-MX"/>
    </w:rPr>
  </w:style>
  <w:style w:type="character" w:customStyle="1" w:styleId="u">
    <w:name w:val="u"/>
    <w:basedOn w:val="Fuentedeprrafopredeter"/>
    <w:rsid w:val="009D307C"/>
  </w:style>
  <w:style w:type="paragraph" w:customStyle="1" w:styleId="j1">
    <w:name w:val="j1"/>
    <w:basedOn w:val="Normal"/>
    <w:rsid w:val="009D307C"/>
    <w:pPr>
      <w:spacing w:before="100" w:beforeAutospacing="1" w:after="100" w:afterAutospacing="1"/>
    </w:pPr>
    <w:rPr>
      <w:lang w:val="es-MX"/>
    </w:rPr>
  </w:style>
  <w:style w:type="paragraph" w:customStyle="1" w:styleId="j2">
    <w:name w:val="j2"/>
    <w:basedOn w:val="Normal"/>
    <w:rsid w:val="009D307C"/>
    <w:pPr>
      <w:spacing w:before="100" w:beforeAutospacing="1" w:after="100" w:afterAutospacing="1"/>
    </w:pPr>
    <w:rPr>
      <w:lang w:val="es-MX"/>
    </w:rPr>
  </w:style>
  <w:style w:type="table" w:styleId="Tabladelista1clara-nfasis1">
    <w:name w:val="List Table 1 Light Accent 1"/>
    <w:basedOn w:val="Tablanormal"/>
    <w:uiPriority w:val="46"/>
    <w:rsid w:val="00A01B91"/>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Mencinsinresolver1">
    <w:name w:val="Mención sin resolver1"/>
    <w:basedOn w:val="Fuentedeprrafopredeter"/>
    <w:uiPriority w:val="99"/>
    <w:semiHidden/>
    <w:unhideWhenUsed/>
    <w:rsid w:val="00457753"/>
    <w:rPr>
      <w:color w:val="605E5C"/>
      <w:shd w:val="clear" w:color="auto" w:fill="E1DFDD"/>
    </w:rPr>
  </w:style>
  <w:style w:type="character" w:customStyle="1" w:styleId="Mencinsinresolver2">
    <w:name w:val="Mención sin resolver2"/>
    <w:basedOn w:val="Fuentedeprrafopredeter"/>
    <w:uiPriority w:val="99"/>
    <w:semiHidden/>
    <w:unhideWhenUsed/>
    <w:rsid w:val="00CE48D4"/>
    <w:rPr>
      <w:color w:val="605E5C"/>
      <w:shd w:val="clear" w:color="auto" w:fill="E1DFDD"/>
    </w:rPr>
  </w:style>
  <w:style w:type="table" w:customStyle="1" w:styleId="Tabladelista1clara-nfasis11">
    <w:name w:val="Tabla de lista 1 clara - Énfasis 11"/>
    <w:basedOn w:val="Tablanormal"/>
    <w:uiPriority w:val="46"/>
    <w:rsid w:val="008F79FD"/>
    <w:rPr>
      <w:rFonts w:eastAsia="MS Mincho"/>
    </w:rPr>
    <w:tblPr>
      <w:tblStyleRowBandSize w:val="1"/>
      <w:tblStyleColBandSize w:val="1"/>
    </w:tblPr>
    <w:tblStylePr w:type="firstRow">
      <w:rPr>
        <w:b/>
        <w:bCs/>
      </w:rPr>
      <w:tblPr/>
      <w:tcPr>
        <w:tcBorders>
          <w:bottom w:val="single" w:sz="4" w:space="0" w:color="95B3D7"/>
        </w:tcBorders>
      </w:tcPr>
    </w:tblStylePr>
    <w:tblStylePr w:type="lastRow">
      <w:rPr>
        <w:b/>
        <w:bCs/>
      </w:rPr>
      <w:tblPr/>
      <w:tcPr>
        <w:tcBorders>
          <w:top w:val="sing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Ttulo3Car">
    <w:name w:val="Título 3 Car"/>
    <w:basedOn w:val="Fuentedeprrafopredeter"/>
    <w:link w:val="Ttulo3"/>
    <w:uiPriority w:val="9"/>
    <w:semiHidden/>
    <w:rsid w:val="003B73CD"/>
    <w:rPr>
      <w:rFonts w:asciiTheme="majorHAnsi" w:eastAsiaTheme="majorEastAsia" w:hAnsiTheme="majorHAnsi" w:cstheme="majorBidi"/>
      <w:b/>
      <w:bCs/>
      <w:sz w:val="26"/>
      <w:szCs w:val="26"/>
      <w:lang w:val="en-US" w:eastAsia="en-US"/>
    </w:rPr>
  </w:style>
  <w:style w:type="character" w:customStyle="1" w:styleId="Ttulo4Car">
    <w:name w:val="Título 4 Car"/>
    <w:basedOn w:val="Fuentedeprrafopredeter"/>
    <w:link w:val="Ttulo4"/>
    <w:uiPriority w:val="9"/>
    <w:semiHidden/>
    <w:rsid w:val="003B73CD"/>
    <w:rPr>
      <w:b/>
      <w:bCs/>
      <w:sz w:val="28"/>
      <w:szCs w:val="28"/>
      <w:lang w:val="en-US" w:eastAsia="en-US"/>
    </w:rPr>
  </w:style>
  <w:style w:type="character" w:customStyle="1" w:styleId="Ttulo5Car">
    <w:name w:val="Título 5 Car"/>
    <w:basedOn w:val="Fuentedeprrafopredeter"/>
    <w:link w:val="Ttulo5"/>
    <w:uiPriority w:val="9"/>
    <w:semiHidden/>
    <w:rsid w:val="003B73CD"/>
    <w:rPr>
      <w:b/>
      <w:bCs/>
      <w:i/>
      <w:iCs/>
      <w:sz w:val="26"/>
      <w:szCs w:val="26"/>
      <w:lang w:val="en-US" w:eastAsia="en-US"/>
    </w:rPr>
  </w:style>
  <w:style w:type="character" w:customStyle="1" w:styleId="Ttulo6Car">
    <w:name w:val="Título 6 Car"/>
    <w:basedOn w:val="Fuentedeprrafopredeter"/>
    <w:link w:val="Ttulo6"/>
    <w:semiHidden/>
    <w:rsid w:val="003B73CD"/>
    <w:rPr>
      <w:rFonts w:ascii="Times New Roman" w:eastAsia="Times New Roman" w:hAnsi="Times New Roman" w:cs="Times New Roman"/>
      <w:b/>
      <w:bCs/>
      <w:sz w:val="22"/>
      <w:szCs w:val="22"/>
      <w:lang w:val="en-US" w:eastAsia="en-US"/>
    </w:rPr>
  </w:style>
  <w:style w:type="character" w:customStyle="1" w:styleId="Ttulo7Car">
    <w:name w:val="Título 7 Car"/>
    <w:basedOn w:val="Fuentedeprrafopredeter"/>
    <w:link w:val="Ttulo7"/>
    <w:uiPriority w:val="9"/>
    <w:semiHidden/>
    <w:rsid w:val="003B73CD"/>
    <w:rPr>
      <w:lang w:val="en-US" w:eastAsia="en-US"/>
    </w:rPr>
  </w:style>
  <w:style w:type="character" w:customStyle="1" w:styleId="Ttulo8Car">
    <w:name w:val="Título 8 Car"/>
    <w:basedOn w:val="Fuentedeprrafopredeter"/>
    <w:link w:val="Ttulo8"/>
    <w:uiPriority w:val="9"/>
    <w:semiHidden/>
    <w:rsid w:val="003B73CD"/>
    <w:rPr>
      <w:i/>
      <w:iCs/>
      <w:lang w:val="en-US" w:eastAsia="en-US"/>
    </w:rPr>
  </w:style>
  <w:style w:type="character" w:customStyle="1" w:styleId="Ttulo9Car">
    <w:name w:val="Título 9 Car"/>
    <w:basedOn w:val="Fuentedeprrafopredeter"/>
    <w:link w:val="Ttulo9"/>
    <w:uiPriority w:val="9"/>
    <w:semiHidden/>
    <w:rsid w:val="003B73CD"/>
    <w:rPr>
      <w:rFonts w:asciiTheme="majorHAnsi" w:eastAsiaTheme="majorEastAsia" w:hAnsiTheme="majorHAnsi" w:cstheme="majorBidi"/>
      <w:sz w:val="22"/>
      <w:szCs w:val="22"/>
      <w:lang w:val="en-US" w:eastAsia="en-U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108" w:type="dxa"/>
        <w:right w:w="108" w:type="dxa"/>
      </w:tblCellMar>
    </w:tblPr>
    <w:tblStylePr w:type="firstRow">
      <w:rPr>
        <w:b/>
      </w:rPr>
      <w:tblPr/>
      <w:tcPr>
        <w:tcBorders>
          <w:bottom w:val="single" w:sz="4" w:space="0" w:color="95B3D7"/>
        </w:tcBorders>
      </w:tcPr>
    </w:tblStylePr>
    <w:tblStylePr w:type="lastRow">
      <w:rPr>
        <w:b/>
      </w:rPr>
      <w:tblPr/>
      <w:tcPr>
        <w:tcBorders>
          <w:top w:val="single" w:sz="4" w:space="0" w:color="95B3D7"/>
        </w:tcBorders>
      </w:tcPr>
    </w:tblStylePr>
    <w:tblStylePr w:type="firstCol">
      <w:rPr>
        <w:b/>
      </w:rPr>
    </w:tblStylePr>
    <w:tblStylePr w:type="lastCol">
      <w:rPr>
        <w:b/>
      </w:rPr>
    </w:tblStylePr>
    <w:tblStylePr w:type="band1Vert">
      <w:tblPr/>
      <w:tcPr>
        <w:shd w:val="clear" w:color="auto" w:fill="DBE5F1"/>
      </w:tcPr>
    </w:tblStylePr>
    <w:tblStylePr w:type="band1Horz">
      <w:tblPr/>
      <w:tcPr>
        <w:shd w:val="clear" w:color="auto" w:fill="DBE5F1"/>
      </w:tcPr>
    </w:tblStylePr>
  </w:style>
  <w:style w:type="table" w:customStyle="1" w:styleId="a0">
    <w:basedOn w:val="TableNormal0"/>
    <w:tblPr>
      <w:tblStyleRowBandSize w:val="1"/>
      <w:tblStyleColBandSize w:val="1"/>
      <w:tblCellMar>
        <w:left w:w="115" w:type="dxa"/>
        <w:right w:w="115" w:type="dxa"/>
      </w:tblCellMar>
    </w:tblPr>
  </w:style>
  <w:style w:type="table" w:customStyle="1" w:styleId="a2">
    <w:basedOn w:val="TableNormal0"/>
    <w:tblPr>
      <w:tblStyleRowBandSize w:val="1"/>
      <w:tblStyleColBandSize w:val="1"/>
      <w:tblCellMar>
        <w:left w:w="115" w:type="dxa"/>
        <w:right w:w="115" w:type="dxa"/>
      </w:tblCellMar>
    </w:tblPr>
  </w:style>
  <w:style w:type="table" w:customStyle="1" w:styleId="a3">
    <w:basedOn w:val="TableNormal0"/>
    <w:tblPr>
      <w:tblStyleRowBandSize w:val="1"/>
      <w:tblStyleColBandSize w:val="1"/>
      <w:tblCellMar>
        <w:left w:w="115" w:type="dxa"/>
        <w:right w:w="115" w:type="dxa"/>
      </w:tblCellMar>
    </w:tblPr>
  </w:style>
  <w:style w:type="table" w:customStyle="1" w:styleId="a4">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N5Y5mj5jgBe1EanF9+UC2DvNKnQ==">CgMxLjAyCGguZ2pkZ3hzMgloLjMwajB6bGwyCWguMnM4ZXlvMTIIaC50eWpjd3QyCWguMTdkcDh2dTgAciExVFlVTXRMVzRDbXBLNXktd0Q0Z0k4N09ZVEJCLWRabnY=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46</Pages>
  <Words>12366</Words>
  <Characters>68015</Characters>
  <Application>Microsoft Office Word</Application>
  <DocSecurity>0</DocSecurity>
  <Lines>566</Lines>
  <Paragraphs>160</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80221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iMac</dc:creator>
  <cp:lastModifiedBy>Maricela Villagómez Martínez</cp:lastModifiedBy>
  <cp:revision>2</cp:revision>
  <cp:lastPrinted>2025-01-24T20:37:00Z</cp:lastPrinted>
  <dcterms:created xsi:type="dcterms:W3CDTF">2025-02-05T19:21:00Z</dcterms:created>
  <dcterms:modified xsi:type="dcterms:W3CDTF">2025-02-05T19:21:00Z</dcterms:modified>
</cp:coreProperties>
</file>