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A07" w:rsidRPr="00565AD1" w:rsidRDefault="00472B11" w:rsidP="007914A4">
      <w:pPr>
        <w:spacing w:line="360" w:lineRule="auto"/>
        <w:jc w:val="both"/>
        <w:rPr>
          <w:rFonts w:ascii="Palatino Linotype" w:eastAsia="Palatino Linotype" w:hAnsi="Palatino Linotype" w:cs="Palatino Linotype"/>
          <w:color w:val="000000" w:themeColor="text1"/>
          <w:sz w:val="24"/>
          <w:szCs w:val="24"/>
        </w:rPr>
      </w:pPr>
      <w:bookmarkStart w:id="0" w:name="_heading=h.mzqxogh8pbon" w:colFirst="0" w:colLast="0"/>
      <w:bookmarkStart w:id="1" w:name="_GoBack"/>
      <w:bookmarkEnd w:id="0"/>
      <w:bookmarkEnd w:id="1"/>
      <w:r w:rsidRPr="00565AD1">
        <w:rPr>
          <w:rFonts w:ascii="Palatino Linotype" w:eastAsia="Palatino Linotype" w:hAnsi="Palatino Linotype" w:cs="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Pr="00565AD1">
        <w:rPr>
          <w:rFonts w:ascii="Palatino Linotype" w:eastAsia="Palatino Linotype" w:hAnsi="Palatino Linotype" w:cs="Palatino Linotype"/>
          <w:b/>
          <w:color w:val="000000" w:themeColor="text1"/>
          <w:sz w:val="24"/>
          <w:szCs w:val="24"/>
        </w:rPr>
        <w:t xml:space="preserve">de </w:t>
      </w:r>
      <w:r w:rsidR="00063094">
        <w:rPr>
          <w:rFonts w:ascii="Palatino Linotype" w:eastAsia="Palatino Linotype" w:hAnsi="Palatino Linotype" w:cs="Palatino Linotype"/>
          <w:b/>
          <w:color w:val="000000" w:themeColor="text1"/>
          <w:sz w:val="24"/>
          <w:szCs w:val="24"/>
        </w:rPr>
        <w:t xml:space="preserve">fecha </w:t>
      </w:r>
      <w:r w:rsidRPr="00565AD1">
        <w:rPr>
          <w:rFonts w:ascii="Palatino Linotype" w:eastAsia="Palatino Linotype" w:hAnsi="Palatino Linotype" w:cs="Palatino Linotype"/>
          <w:b/>
          <w:color w:val="000000" w:themeColor="text1"/>
          <w:sz w:val="24"/>
          <w:szCs w:val="24"/>
        </w:rPr>
        <w:t xml:space="preserve">dieciocho </w:t>
      </w:r>
      <w:r w:rsidR="00063094">
        <w:rPr>
          <w:rFonts w:ascii="Palatino Linotype" w:eastAsia="Palatino Linotype" w:hAnsi="Palatino Linotype" w:cs="Palatino Linotype"/>
          <w:b/>
          <w:color w:val="000000" w:themeColor="text1"/>
          <w:sz w:val="24"/>
          <w:szCs w:val="24"/>
        </w:rPr>
        <w:t xml:space="preserve">(18) </w:t>
      </w:r>
      <w:r w:rsidRPr="00565AD1">
        <w:rPr>
          <w:rFonts w:ascii="Palatino Linotype" w:eastAsia="Palatino Linotype" w:hAnsi="Palatino Linotype" w:cs="Palatino Linotype"/>
          <w:b/>
          <w:color w:val="000000" w:themeColor="text1"/>
          <w:sz w:val="24"/>
          <w:szCs w:val="24"/>
        </w:rPr>
        <w:t xml:space="preserve">de septiembre de dos mil veinticinco. </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spacing w:line="360" w:lineRule="auto"/>
        <w:jc w:val="both"/>
        <w:rPr>
          <w:rFonts w:ascii="Palatino Linotype" w:eastAsia="Palatino Linotype" w:hAnsi="Palatino Linotype" w:cs="Palatino Linotype"/>
          <w:b/>
          <w:color w:val="000000" w:themeColor="text1"/>
          <w:sz w:val="24"/>
          <w:szCs w:val="24"/>
        </w:rPr>
      </w:pPr>
      <w:r w:rsidRPr="00565AD1">
        <w:rPr>
          <w:rFonts w:ascii="Palatino Linotype" w:eastAsia="Palatino Linotype" w:hAnsi="Palatino Linotype" w:cs="Palatino Linotype"/>
          <w:b/>
          <w:color w:val="000000" w:themeColor="text1"/>
          <w:sz w:val="24"/>
          <w:szCs w:val="24"/>
        </w:rPr>
        <w:t>VISTO</w:t>
      </w:r>
      <w:r w:rsidRPr="00565AD1">
        <w:rPr>
          <w:rFonts w:ascii="Palatino Linotype" w:eastAsia="Palatino Linotype" w:hAnsi="Palatino Linotype" w:cs="Palatino Linotype"/>
          <w:color w:val="000000" w:themeColor="text1"/>
          <w:sz w:val="24"/>
          <w:szCs w:val="24"/>
        </w:rPr>
        <w:t xml:space="preserve"> el expediente electrónico formado con motivo del recurso de revisión</w:t>
      </w:r>
      <w:r w:rsidRPr="00565AD1">
        <w:rPr>
          <w:rFonts w:ascii="Palatino Linotype" w:eastAsia="Palatino Linotype" w:hAnsi="Palatino Linotype" w:cs="Palatino Linotype"/>
          <w:b/>
          <w:color w:val="000000" w:themeColor="text1"/>
          <w:sz w:val="24"/>
          <w:szCs w:val="24"/>
        </w:rPr>
        <w:t xml:space="preserve">  04488/INFOEM/IP/RR/2025, </w:t>
      </w:r>
      <w:r w:rsidRPr="00565AD1">
        <w:rPr>
          <w:rFonts w:ascii="Palatino Linotype" w:eastAsia="Palatino Linotype" w:hAnsi="Palatino Linotype" w:cs="Palatino Linotype"/>
          <w:color w:val="000000" w:themeColor="text1"/>
          <w:sz w:val="24"/>
          <w:szCs w:val="24"/>
        </w:rPr>
        <w:t>promovido por</w:t>
      </w:r>
      <w:r w:rsidRPr="00565AD1">
        <w:rPr>
          <w:rFonts w:ascii="Palatino Linotype" w:eastAsia="Palatino Linotype" w:hAnsi="Palatino Linotype" w:cs="Palatino Linotype"/>
          <w:b/>
          <w:color w:val="000000" w:themeColor="text1"/>
          <w:sz w:val="24"/>
          <w:szCs w:val="24"/>
        </w:rPr>
        <w:t xml:space="preserve"> una persona que no proporciono datos de identificación </w:t>
      </w:r>
      <w:r w:rsidRPr="00565AD1">
        <w:rPr>
          <w:rFonts w:ascii="Palatino Linotype" w:eastAsia="Palatino Linotype" w:hAnsi="Palatino Linotype" w:cs="Palatino Linotype"/>
          <w:color w:val="000000" w:themeColor="text1"/>
          <w:sz w:val="24"/>
          <w:szCs w:val="24"/>
        </w:rPr>
        <w:t xml:space="preserve">y a quien en lo sucesivo se identificará como </w:t>
      </w:r>
      <w:r w:rsidRPr="00565AD1">
        <w:rPr>
          <w:rFonts w:ascii="Palatino Linotype" w:eastAsia="Palatino Linotype" w:hAnsi="Palatino Linotype" w:cs="Palatino Linotype"/>
          <w:b/>
          <w:color w:val="000000" w:themeColor="text1"/>
          <w:sz w:val="24"/>
          <w:szCs w:val="24"/>
        </w:rPr>
        <w:t>EL RECURRENTE</w:t>
      </w:r>
      <w:r w:rsidRPr="00565AD1">
        <w:rPr>
          <w:rFonts w:ascii="Palatino Linotype" w:eastAsia="Palatino Linotype" w:hAnsi="Palatino Linotype" w:cs="Palatino Linotype"/>
          <w:color w:val="000000" w:themeColor="text1"/>
          <w:sz w:val="24"/>
          <w:szCs w:val="24"/>
        </w:rPr>
        <w:t xml:space="preserve">, en contra de la respuesta del </w:t>
      </w:r>
      <w:r w:rsidRPr="00565AD1">
        <w:rPr>
          <w:rFonts w:ascii="Palatino Linotype" w:eastAsia="Palatino Linotype" w:hAnsi="Palatino Linotype" w:cs="Palatino Linotype"/>
          <w:b/>
          <w:color w:val="000000" w:themeColor="text1"/>
          <w:sz w:val="24"/>
          <w:szCs w:val="24"/>
        </w:rPr>
        <w:t xml:space="preserve">Ayuntamiento de Toluca, </w:t>
      </w:r>
      <w:r w:rsidRPr="00565AD1">
        <w:rPr>
          <w:rFonts w:ascii="Palatino Linotype" w:eastAsia="Palatino Linotype" w:hAnsi="Palatino Linotype" w:cs="Palatino Linotype"/>
          <w:color w:val="000000" w:themeColor="text1"/>
          <w:sz w:val="24"/>
          <w:szCs w:val="24"/>
        </w:rPr>
        <w:t xml:space="preserve">en </w:t>
      </w:r>
      <w:r w:rsidR="004B39C3">
        <w:rPr>
          <w:rFonts w:ascii="Palatino Linotype" w:eastAsia="Palatino Linotype" w:hAnsi="Palatino Linotype" w:cs="Palatino Linotype"/>
          <w:color w:val="000000" w:themeColor="text1"/>
          <w:sz w:val="24"/>
          <w:szCs w:val="24"/>
        </w:rPr>
        <w:t>adelante</w:t>
      </w:r>
      <w:r w:rsidRPr="00565AD1">
        <w:rPr>
          <w:rFonts w:ascii="Palatino Linotype" w:eastAsia="Palatino Linotype" w:hAnsi="Palatino Linotype" w:cs="Palatino Linotype"/>
          <w:color w:val="000000" w:themeColor="text1"/>
          <w:sz w:val="24"/>
          <w:szCs w:val="24"/>
        </w:rPr>
        <w:t xml:space="preserve"> el</w:t>
      </w:r>
      <w:r w:rsidRPr="00565AD1">
        <w:rPr>
          <w:rFonts w:ascii="Palatino Linotype" w:eastAsia="Palatino Linotype" w:hAnsi="Palatino Linotype" w:cs="Palatino Linotype"/>
          <w:b/>
          <w:color w:val="000000" w:themeColor="text1"/>
          <w:sz w:val="24"/>
          <w:szCs w:val="24"/>
        </w:rPr>
        <w:t xml:space="preserve"> SUJETO OBLIGADO</w:t>
      </w:r>
      <w:r w:rsidRPr="00565AD1">
        <w:rPr>
          <w:rFonts w:ascii="Palatino Linotype" w:eastAsia="Palatino Linotype" w:hAnsi="Palatino Linotype" w:cs="Palatino Linotype"/>
          <w:color w:val="000000" w:themeColor="text1"/>
          <w:sz w:val="24"/>
          <w:szCs w:val="24"/>
        </w:rPr>
        <w:t>, por lo que se procede a dictar la presente resolución, con base en los siguientes:</w:t>
      </w:r>
    </w:p>
    <w:p w:rsidR="009D3A07" w:rsidRPr="00565AD1" w:rsidRDefault="009D3A07" w:rsidP="007914A4">
      <w:pPr>
        <w:spacing w:line="360" w:lineRule="auto"/>
        <w:jc w:val="both"/>
        <w:rPr>
          <w:rFonts w:ascii="Palatino Linotype" w:eastAsia="Palatino Linotype" w:hAnsi="Palatino Linotype" w:cs="Palatino Linotype"/>
          <w:b/>
          <w:color w:val="000000" w:themeColor="text1"/>
          <w:sz w:val="24"/>
          <w:szCs w:val="24"/>
        </w:rPr>
      </w:pPr>
    </w:p>
    <w:p w:rsidR="009D3A07" w:rsidRDefault="00472B11" w:rsidP="007914A4">
      <w:pPr>
        <w:keepNext/>
        <w:keepLines/>
        <w:spacing w:line="360" w:lineRule="auto"/>
        <w:jc w:val="center"/>
        <w:rPr>
          <w:rFonts w:ascii="Palatino Linotype" w:eastAsia="Palatino Linotype" w:hAnsi="Palatino Linotype" w:cs="Palatino Linotype"/>
          <w:b/>
          <w:color w:val="000000" w:themeColor="text1"/>
          <w:sz w:val="24"/>
          <w:szCs w:val="24"/>
        </w:rPr>
      </w:pPr>
      <w:bookmarkStart w:id="2" w:name="_heading=h.gjdgxs" w:colFirst="0" w:colLast="0"/>
      <w:bookmarkEnd w:id="2"/>
      <w:r w:rsidRPr="00565AD1">
        <w:rPr>
          <w:rFonts w:ascii="Palatino Linotype" w:eastAsia="Palatino Linotype" w:hAnsi="Palatino Linotype" w:cs="Palatino Linotype"/>
          <w:b/>
          <w:color w:val="000000" w:themeColor="text1"/>
          <w:sz w:val="24"/>
          <w:szCs w:val="24"/>
        </w:rPr>
        <w:t>A</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N</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T</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E</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C</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E</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D</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E</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N</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T</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E</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S</w:t>
      </w:r>
    </w:p>
    <w:p w:rsidR="00063094" w:rsidRPr="00565AD1" w:rsidRDefault="00063094" w:rsidP="007914A4">
      <w:pPr>
        <w:keepNext/>
        <w:keepLines/>
        <w:spacing w:line="360" w:lineRule="auto"/>
        <w:jc w:val="center"/>
        <w:rPr>
          <w:rFonts w:ascii="Palatino Linotype" w:eastAsia="Palatino Linotype" w:hAnsi="Palatino Linotype" w:cs="Palatino Linotype"/>
          <w:b/>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El </w:t>
      </w:r>
      <w:r w:rsidRPr="00565AD1">
        <w:rPr>
          <w:rFonts w:ascii="Palatino Linotype" w:eastAsia="Palatino Linotype" w:hAnsi="Palatino Linotype" w:cs="Palatino Linotype"/>
          <w:b/>
          <w:color w:val="000000" w:themeColor="text1"/>
          <w:sz w:val="24"/>
          <w:szCs w:val="24"/>
        </w:rPr>
        <w:t>diecinueve de marzo de dos mil veinticinco</w:t>
      </w:r>
      <w:r w:rsidRPr="00565AD1">
        <w:rPr>
          <w:rFonts w:ascii="Palatino Linotype" w:eastAsia="Palatino Linotype" w:hAnsi="Palatino Linotype" w:cs="Palatino Linotype"/>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EL RECURRENTE,</w:t>
      </w:r>
      <w:r w:rsidRPr="00565AD1">
        <w:rPr>
          <w:rFonts w:ascii="Palatino Linotype" w:eastAsia="Palatino Linotype" w:hAnsi="Palatino Linotype" w:cs="Palatino Linotype"/>
          <w:color w:val="000000" w:themeColor="text1"/>
          <w:sz w:val="24"/>
          <w:szCs w:val="24"/>
        </w:rPr>
        <w:t xml:space="preserve"> ante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vía Sistema de Acceso a la Información Mexiquense (</w:t>
      </w:r>
      <w:r w:rsidRPr="00565AD1">
        <w:rPr>
          <w:rFonts w:ascii="Palatino Linotype" w:eastAsia="Palatino Linotype" w:hAnsi="Palatino Linotype" w:cs="Palatino Linotype"/>
          <w:b/>
          <w:color w:val="000000" w:themeColor="text1"/>
          <w:sz w:val="24"/>
          <w:szCs w:val="24"/>
        </w:rPr>
        <w:t>SAIMEX)</w:t>
      </w:r>
      <w:r w:rsidRPr="00565AD1">
        <w:rPr>
          <w:rFonts w:ascii="Palatino Linotype" w:eastAsia="Palatino Linotype" w:hAnsi="Palatino Linotype" w:cs="Palatino Linotype"/>
          <w:color w:val="000000" w:themeColor="text1"/>
          <w:sz w:val="24"/>
          <w:szCs w:val="24"/>
        </w:rPr>
        <w:t>,presentó la solicitud de información registrada con el número</w:t>
      </w:r>
      <w:r w:rsidRPr="00565AD1">
        <w:rPr>
          <w:rFonts w:ascii="Palatino Linotype" w:eastAsia="Palatino Linotype" w:hAnsi="Palatino Linotype" w:cs="Palatino Linotype"/>
          <w:b/>
          <w:color w:val="000000" w:themeColor="text1"/>
          <w:sz w:val="24"/>
          <w:szCs w:val="24"/>
        </w:rPr>
        <w:t xml:space="preserve"> 01683/TOLUCA/IP/2025, </w:t>
      </w:r>
      <w:r w:rsidR="004B39C3">
        <w:rPr>
          <w:rFonts w:ascii="Palatino Linotype" w:eastAsia="Palatino Linotype" w:hAnsi="Palatino Linotype" w:cs="Palatino Linotype"/>
          <w:color w:val="000000" w:themeColor="text1"/>
          <w:sz w:val="24"/>
          <w:szCs w:val="24"/>
        </w:rPr>
        <w:t>en la que se</w:t>
      </w:r>
      <w:r w:rsidRPr="00565AD1">
        <w:rPr>
          <w:rFonts w:ascii="Palatino Linotype" w:eastAsia="Palatino Linotype" w:hAnsi="Palatino Linotype" w:cs="Palatino Linotype"/>
          <w:color w:val="000000" w:themeColor="text1"/>
          <w:sz w:val="24"/>
          <w:szCs w:val="24"/>
        </w:rPr>
        <w:t xml:space="preserve"> solicitó lo siguiente:</w:t>
      </w:r>
    </w:p>
    <w:p w:rsidR="009D3A07" w:rsidRPr="00565AD1" w:rsidRDefault="009D3A07" w:rsidP="007914A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p>
    <w:p w:rsidR="009D3A07" w:rsidRPr="00565AD1" w:rsidRDefault="00472B11" w:rsidP="007914A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i/>
          <w:color w:val="000000" w:themeColor="text1"/>
          <w:sz w:val="24"/>
          <w:szCs w:val="24"/>
        </w:rPr>
        <w:t>“</w:t>
      </w:r>
      <w:r w:rsidRPr="00565AD1">
        <w:rPr>
          <w:rFonts w:ascii="Palatino Linotype" w:eastAsia="Palatino Linotype" w:hAnsi="Palatino Linotype" w:cs="Palatino Linotype"/>
          <w:i/>
          <w:color w:val="000000" w:themeColor="text1"/>
          <w:sz w:val="24"/>
          <w:szCs w:val="24"/>
        </w:rPr>
        <w:tab/>
        <w:t xml:space="preserve">Las acciones y logros en los 70 días de gobierno” (Sic) </w:t>
      </w:r>
    </w:p>
    <w:p w:rsidR="009D3A07" w:rsidRDefault="009D3A07" w:rsidP="007914A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rsidR="00063094" w:rsidRPr="00565AD1" w:rsidRDefault="00063094" w:rsidP="007914A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rsidR="009D3A07" w:rsidRPr="00565AD1" w:rsidRDefault="00472B11" w:rsidP="007914A4">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Modalidad de entrega: </w:t>
      </w:r>
      <w:r w:rsidRPr="00565AD1">
        <w:rPr>
          <w:rFonts w:ascii="Palatino Linotype" w:eastAsia="Palatino Linotype" w:hAnsi="Palatino Linotype" w:cs="Palatino Linotype"/>
          <w:b/>
          <w:color w:val="000000" w:themeColor="text1"/>
          <w:sz w:val="24"/>
          <w:szCs w:val="24"/>
        </w:rPr>
        <w:t>Vía SAIMEX.</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El </w:t>
      </w:r>
      <w:r w:rsidRPr="00565AD1">
        <w:rPr>
          <w:rFonts w:ascii="Palatino Linotype" w:eastAsia="Palatino Linotype" w:hAnsi="Palatino Linotype" w:cs="Palatino Linotype"/>
          <w:b/>
          <w:color w:val="000000" w:themeColor="text1"/>
          <w:sz w:val="24"/>
          <w:szCs w:val="24"/>
        </w:rPr>
        <w:t xml:space="preserve">nueve de abril de dos mil veinticinco, </w:t>
      </w:r>
      <w:r w:rsidRPr="00565AD1">
        <w:rPr>
          <w:rFonts w:ascii="Palatino Linotype" w:eastAsia="Palatino Linotype" w:hAnsi="Palatino Linotype" w:cs="Palatino Linotype"/>
          <w:color w:val="000000" w:themeColor="text1"/>
          <w:sz w:val="24"/>
          <w:szCs w:val="24"/>
        </w:rPr>
        <w:t xml:space="preserve">el </w:t>
      </w:r>
      <w:r w:rsidRPr="00565AD1">
        <w:rPr>
          <w:rFonts w:ascii="Palatino Linotype" w:eastAsia="Palatino Linotype" w:hAnsi="Palatino Linotype" w:cs="Palatino Linotype"/>
          <w:b/>
          <w:color w:val="000000" w:themeColor="text1"/>
          <w:sz w:val="24"/>
          <w:szCs w:val="24"/>
        </w:rPr>
        <w:t>SUJETO O</w:t>
      </w:r>
      <w:r w:rsidRPr="00565AD1">
        <w:rPr>
          <w:rFonts w:ascii="Palatino Linotype" w:eastAsia="Palatino Linotype" w:hAnsi="Palatino Linotype" w:cs="Palatino Linotype"/>
          <w:color w:val="000000" w:themeColor="text1"/>
          <w:sz w:val="24"/>
          <w:szCs w:val="24"/>
        </w:rPr>
        <w:t>B</w:t>
      </w:r>
      <w:r w:rsidRPr="00565AD1">
        <w:rPr>
          <w:rFonts w:ascii="Palatino Linotype" w:eastAsia="Palatino Linotype" w:hAnsi="Palatino Linotype" w:cs="Palatino Linotype"/>
          <w:b/>
          <w:color w:val="000000" w:themeColor="text1"/>
          <w:sz w:val="24"/>
          <w:szCs w:val="24"/>
        </w:rPr>
        <w:t xml:space="preserve">LIGADO </w:t>
      </w:r>
      <w:r w:rsidRPr="00565AD1">
        <w:rPr>
          <w:rFonts w:ascii="Palatino Linotype" w:eastAsia="Palatino Linotype" w:hAnsi="Palatino Linotype" w:cs="Palatino Linotype"/>
          <w:color w:val="000000" w:themeColor="text1"/>
          <w:sz w:val="24"/>
          <w:szCs w:val="24"/>
        </w:rPr>
        <w:t>dio respuesta a través de los archivos siguientes:</w:t>
      </w:r>
    </w:p>
    <w:p w:rsidR="009D3A07" w:rsidRPr="00565AD1" w:rsidRDefault="009D3A07" w:rsidP="007914A4">
      <w:pPr>
        <w:spacing w:line="360" w:lineRule="auto"/>
        <w:jc w:val="both"/>
        <w:rPr>
          <w:rFonts w:ascii="Palatino Linotype" w:eastAsia="Palatino Linotype" w:hAnsi="Palatino Linotype" w:cs="Palatino Linotype"/>
          <w:b/>
          <w:i/>
          <w:color w:val="000000" w:themeColor="text1"/>
          <w:sz w:val="24"/>
          <w:szCs w:val="24"/>
        </w:rPr>
      </w:pPr>
    </w:p>
    <w:p w:rsidR="009D3A07" w:rsidRPr="00565AD1" w:rsidRDefault="00472B11" w:rsidP="007914A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565AD1">
        <w:rPr>
          <w:rFonts w:ascii="Palatino Linotype" w:eastAsia="Palatino Linotype" w:hAnsi="Palatino Linotype" w:cs="Palatino Linotype"/>
          <w:b/>
          <w:i/>
          <w:color w:val="000000" w:themeColor="text1"/>
          <w:sz w:val="24"/>
          <w:szCs w:val="24"/>
        </w:rPr>
        <w:lastRenderedPageBreak/>
        <w:t>Resp_Oficio_900_Solic_01683.pdf</w:t>
      </w:r>
    </w:p>
    <w:p w:rsidR="009D3A07" w:rsidRPr="00565AD1" w:rsidRDefault="00472B11" w:rsidP="007914A4">
      <w:pPr>
        <w:spacing w:line="360" w:lineRule="auto"/>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Oficio de veintiséis de marzo de dos mil veinticinco, firmado por el Secretario Particular de Presidencia, por el que informó lo siguiente:</w:t>
      </w:r>
    </w:p>
    <w:p w:rsidR="009D3A07" w:rsidRPr="00565AD1" w:rsidRDefault="00472B11" w:rsidP="007914A4">
      <w:pPr>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i/>
          <w:color w:val="000000" w:themeColor="text1"/>
          <w:sz w:val="24"/>
          <w:szCs w:val="24"/>
        </w:rPr>
        <w:t xml:space="preserve">Que derivado de una búsqueda exhaustiva y razonable en los archivos físicos y digitales de esta Secretaría Particular, </w:t>
      </w:r>
      <w:r w:rsidRPr="00565AD1">
        <w:rPr>
          <w:rFonts w:ascii="Palatino Linotype" w:eastAsia="Palatino Linotype" w:hAnsi="Palatino Linotype" w:cs="Palatino Linotype"/>
          <w:b/>
          <w:i/>
          <w:color w:val="000000" w:themeColor="text1"/>
          <w:sz w:val="24"/>
          <w:szCs w:val="24"/>
        </w:rPr>
        <w:t>no se encontró información alguna de lo solicitado, esto en razón de no haberse generado, poseído y/o administrado, al no obrar un programa específico a 70 días en el archivo</w:t>
      </w:r>
      <w:r w:rsidRPr="00565AD1">
        <w:rPr>
          <w:rFonts w:ascii="Palatino Linotype" w:eastAsia="Palatino Linotype" w:hAnsi="Palatino Linotype" w:cs="Palatino Linotype"/>
          <w:i/>
          <w:color w:val="000000" w:themeColor="text1"/>
          <w:sz w:val="24"/>
          <w:szCs w:val="24"/>
        </w:rPr>
        <w:t xml:space="preserve">, sin embargo se hace de su conocimiento que las acciones del gobierno municipal se informan de manera periódica en las Conferencias de Prensa "La Toluqueña", disponibles en la página Oficial del Ayuntamiento de Toluca, en la siguiente liga de acceso; </w:t>
      </w:r>
    </w:p>
    <w:p w:rsidR="009D3A07" w:rsidRPr="00565AD1" w:rsidRDefault="00472B11" w:rsidP="007914A4">
      <w:pPr>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i/>
          <w:color w:val="000000" w:themeColor="text1"/>
          <w:sz w:val="24"/>
          <w:szCs w:val="24"/>
        </w:rPr>
        <w:t>https://youtube.com/@tolucaayuntamiento?si=hqUEEXwxa3YEn5vp</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565AD1">
        <w:rPr>
          <w:rFonts w:ascii="Palatino Linotype" w:eastAsia="Palatino Linotype" w:hAnsi="Palatino Linotype" w:cs="Palatino Linotype"/>
          <w:b/>
          <w:i/>
          <w:color w:val="000000" w:themeColor="text1"/>
          <w:sz w:val="24"/>
          <w:szCs w:val="24"/>
        </w:rPr>
        <w:t>R. 01683. 2025.pdf</w:t>
      </w:r>
    </w:p>
    <w:p w:rsidR="009D3A07" w:rsidRPr="00565AD1" w:rsidRDefault="00472B11" w:rsidP="007914A4">
      <w:pPr>
        <w:spacing w:line="360" w:lineRule="auto"/>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Oficio de nueve de abril de dos mil veinticinco, firmado por el Titular de la Unidad de Transparencia, por el que informó lo siguiente:</w:t>
      </w:r>
    </w:p>
    <w:p w:rsidR="009D3A07" w:rsidRPr="00565AD1" w:rsidRDefault="00472B11" w:rsidP="007914A4">
      <w:pPr>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i/>
          <w:color w:val="000000" w:themeColor="text1"/>
          <w:sz w:val="24"/>
          <w:szCs w:val="24"/>
        </w:rPr>
        <w:t>“informó que se procedió a realizar la búsqueda exhaustiva y razonable en los archivos que obran en la Secretaría del Ayuntamiento, en este sentido y de acuerdo a las facultades, competencias y funciones, se hace del conocimiento que no se localizó expresión documental que de atención a la pretensión del C. Solicitante, en razón de no haberse generado poseído o administrado a la fecha de la recepción de la presente solicitud.”</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Inconforme con lo anterior, el </w:t>
      </w:r>
      <w:r w:rsidRPr="00565AD1">
        <w:rPr>
          <w:rFonts w:ascii="Palatino Linotype" w:eastAsia="Palatino Linotype" w:hAnsi="Palatino Linotype" w:cs="Palatino Linotype"/>
          <w:b/>
          <w:color w:val="000000" w:themeColor="text1"/>
          <w:sz w:val="24"/>
          <w:szCs w:val="24"/>
        </w:rPr>
        <w:t>veintiuno de abril de dos mil veinticinco</w:t>
      </w:r>
      <w:r w:rsidRPr="00565AD1">
        <w:rPr>
          <w:rFonts w:ascii="Palatino Linotype" w:eastAsia="Palatino Linotype" w:hAnsi="Palatino Linotype" w:cs="Palatino Linotype"/>
          <w:color w:val="000000" w:themeColor="text1"/>
          <w:sz w:val="24"/>
          <w:szCs w:val="24"/>
        </w:rPr>
        <w:t xml:space="preserve">,  el </w:t>
      </w:r>
      <w:r w:rsidRPr="00565AD1">
        <w:rPr>
          <w:rFonts w:ascii="Palatino Linotype" w:eastAsia="Palatino Linotype" w:hAnsi="Palatino Linotype" w:cs="Palatino Linotype"/>
          <w:b/>
          <w:color w:val="000000" w:themeColor="text1"/>
          <w:sz w:val="24"/>
          <w:szCs w:val="24"/>
        </w:rPr>
        <w:t xml:space="preserve">SUJETO OBLIGADO </w:t>
      </w:r>
      <w:r w:rsidRPr="00565AD1">
        <w:rPr>
          <w:rFonts w:ascii="Palatino Linotype" w:eastAsia="Palatino Linotype" w:hAnsi="Palatino Linotype" w:cs="Palatino Linotype"/>
          <w:color w:val="000000" w:themeColor="text1"/>
          <w:sz w:val="24"/>
          <w:szCs w:val="24"/>
        </w:rPr>
        <w:t xml:space="preserve">interpuso recurso de revisión, arguyendo como </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063094">
      <w:pPr>
        <w:numPr>
          <w:ilvl w:val="0"/>
          <w:numId w:val="9"/>
        </w:num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b/>
          <w:color w:val="000000" w:themeColor="text1"/>
          <w:sz w:val="24"/>
          <w:szCs w:val="24"/>
        </w:rPr>
        <w:t>Acto impugnado</w:t>
      </w:r>
      <w:r w:rsidRPr="00565AD1">
        <w:rPr>
          <w:rFonts w:ascii="Palatino Linotype" w:eastAsia="Palatino Linotype" w:hAnsi="Palatino Linotype" w:cs="Palatino Linotype"/>
          <w:b/>
          <w:i/>
          <w:color w:val="000000" w:themeColor="text1"/>
          <w:sz w:val="24"/>
          <w:szCs w:val="24"/>
        </w:rPr>
        <w:t>:</w:t>
      </w:r>
      <w:r w:rsidRPr="00565AD1">
        <w:rPr>
          <w:rFonts w:ascii="Palatino Linotype" w:eastAsia="Palatino Linotype" w:hAnsi="Palatino Linotype" w:cs="Palatino Linotype"/>
          <w:color w:val="000000" w:themeColor="text1"/>
          <w:sz w:val="24"/>
          <w:szCs w:val="24"/>
        </w:rPr>
        <w:t xml:space="preserve"> </w:t>
      </w:r>
      <w:r w:rsidRPr="00565AD1">
        <w:rPr>
          <w:rFonts w:ascii="Palatino Linotype" w:eastAsia="Palatino Linotype" w:hAnsi="Palatino Linotype" w:cs="Palatino Linotype"/>
          <w:i/>
          <w:color w:val="000000" w:themeColor="text1"/>
          <w:sz w:val="24"/>
          <w:szCs w:val="24"/>
        </w:rPr>
        <w:t>“En ese link no esta la información” (sic)</w:t>
      </w:r>
    </w:p>
    <w:p w:rsidR="009D3A07" w:rsidRPr="00565AD1" w:rsidRDefault="009D3A07" w:rsidP="007914A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063094">
      <w:pPr>
        <w:numPr>
          <w:ilvl w:val="0"/>
          <w:numId w:val="9"/>
        </w:num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b/>
          <w:color w:val="000000" w:themeColor="text1"/>
          <w:sz w:val="24"/>
          <w:szCs w:val="24"/>
        </w:rPr>
        <w:t>Razones o Motivos de inconformidad: “</w:t>
      </w:r>
      <w:r w:rsidRPr="00565AD1">
        <w:rPr>
          <w:rFonts w:ascii="Palatino Linotype" w:eastAsia="Palatino Linotype" w:hAnsi="Palatino Linotype" w:cs="Palatino Linotype"/>
          <w:i/>
          <w:color w:val="000000" w:themeColor="text1"/>
          <w:sz w:val="24"/>
          <w:szCs w:val="24"/>
        </w:rPr>
        <w:t>Se solicita la expresión documental “(Sic)</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lastRenderedPageBreak/>
        <w:t xml:space="preserve">Se registró el recurso de revisión bajo el número de expediente al rubro indicado, asimismo con fundamento en lo dispuesto por el artículo 185 fracción I de la </w:t>
      </w:r>
      <w:r w:rsidRPr="00565AD1">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565AD1">
        <w:rPr>
          <w:rFonts w:ascii="Palatino Linotype" w:eastAsia="Palatino Linotype" w:hAnsi="Palatino Linotype" w:cs="Palatino Linotype"/>
          <w:color w:val="000000" w:themeColor="text1"/>
          <w:sz w:val="24"/>
          <w:szCs w:val="24"/>
        </w:rPr>
        <w:t xml:space="preserve">se turnó a la </w:t>
      </w:r>
      <w:r w:rsidRPr="00565AD1">
        <w:rPr>
          <w:rFonts w:ascii="Palatino Linotype" w:eastAsia="Palatino Linotype" w:hAnsi="Palatino Linotype" w:cs="Palatino Linotype"/>
          <w:b/>
          <w:color w:val="000000" w:themeColor="text1"/>
          <w:sz w:val="24"/>
          <w:szCs w:val="24"/>
        </w:rPr>
        <w:t xml:space="preserve">Comisionada María del Rosario Mejía Ayala, </w:t>
      </w:r>
      <w:r w:rsidR="00063094">
        <w:rPr>
          <w:rFonts w:ascii="Palatino Linotype" w:eastAsia="Palatino Linotype" w:hAnsi="Palatino Linotype" w:cs="Palatino Linotype"/>
          <w:color w:val="000000" w:themeColor="text1"/>
          <w:sz w:val="24"/>
          <w:szCs w:val="24"/>
        </w:rPr>
        <w:t>para</w:t>
      </w:r>
      <w:r w:rsidRPr="00565AD1">
        <w:rPr>
          <w:rFonts w:ascii="Palatino Linotype" w:eastAsia="Palatino Linotype" w:hAnsi="Palatino Linotype" w:cs="Palatino Linotype"/>
          <w:color w:val="000000" w:themeColor="text1"/>
          <w:sz w:val="24"/>
          <w:szCs w:val="24"/>
        </w:rPr>
        <w:t xml:space="preserve"> su análisis. </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La Comisionada Ponente con fundamento en lo dispuesto por el artículo 18 fracción II de la ley de la materia, a través del acuerdo de admisión notificado el </w:t>
      </w:r>
      <w:r w:rsidRPr="00565AD1">
        <w:rPr>
          <w:rFonts w:ascii="Palatino Linotype" w:eastAsia="Palatino Linotype" w:hAnsi="Palatino Linotype" w:cs="Palatino Linotype"/>
          <w:b/>
          <w:color w:val="000000" w:themeColor="text1"/>
          <w:sz w:val="24"/>
          <w:szCs w:val="24"/>
        </w:rPr>
        <w:t>veintidós de abril de dos mil veinticinco,</w:t>
      </w:r>
      <w:r w:rsidRPr="00565AD1">
        <w:rPr>
          <w:rFonts w:ascii="Palatino Linotype" w:eastAsia="Palatino Linotype" w:hAnsi="Palatino Linotype" w:cs="Palatino Linotype"/>
          <w:color w:val="000000" w:themeColor="text1"/>
          <w:sz w:val="24"/>
          <w:szCs w:val="24"/>
        </w:rPr>
        <w:t xml:space="preserve"> se puso a disposición de las partes el expediente electrónico vía </w:t>
      </w:r>
      <w:r w:rsidRPr="00565AD1">
        <w:rPr>
          <w:rFonts w:ascii="Palatino Linotype" w:eastAsia="Palatino Linotype" w:hAnsi="Palatino Linotype" w:cs="Palatino Linotype"/>
          <w:b/>
          <w:color w:val="000000" w:themeColor="text1"/>
          <w:sz w:val="24"/>
          <w:szCs w:val="24"/>
        </w:rPr>
        <w:t xml:space="preserve">SAIMEX </w:t>
      </w:r>
      <w:r w:rsidRPr="00565AD1">
        <w:rPr>
          <w:rFonts w:ascii="Palatino Linotype" w:eastAsia="Palatino Linotype" w:hAnsi="Palatino Linotype" w:cs="Palatino Linotype"/>
          <w:color w:val="000000" w:themeColor="text1"/>
          <w:sz w:val="24"/>
          <w:szCs w:val="24"/>
        </w:rPr>
        <w:t xml:space="preserve">a efecto de que en un plazo máximo de siete días manifestaran lo que a derecho convinieran, ofrecieran pruebas y alegatos según corresponda al caso concreto, de esta forma para que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presentara el informe justificado procedente. </w:t>
      </w:r>
    </w:p>
    <w:p w:rsidR="009D3A07" w:rsidRPr="00565AD1" w:rsidRDefault="009D3A07" w:rsidP="007914A4">
      <w:pPr>
        <w:spacing w:line="360" w:lineRule="auto"/>
        <w:jc w:val="both"/>
        <w:rPr>
          <w:rFonts w:ascii="Palatino Linotype" w:eastAsia="Palatino Linotype" w:hAnsi="Palatino Linotype" w:cs="Palatino Linotype"/>
          <w:i/>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De las constancias que obran en el expediente electrónico SAIMEX, se advierte que el </w:t>
      </w:r>
      <w:r w:rsidRPr="00565AD1">
        <w:rPr>
          <w:rFonts w:ascii="Palatino Linotype" w:eastAsia="Palatino Linotype" w:hAnsi="Palatino Linotype" w:cs="Palatino Linotype"/>
          <w:b/>
          <w:color w:val="000000" w:themeColor="text1"/>
          <w:sz w:val="24"/>
          <w:szCs w:val="24"/>
        </w:rPr>
        <w:t>PARTICULAR,</w:t>
      </w:r>
      <w:r w:rsidRPr="00565AD1">
        <w:rPr>
          <w:rFonts w:ascii="Palatino Linotype" w:eastAsia="Palatino Linotype" w:hAnsi="Palatino Linotype" w:cs="Palatino Linotype"/>
          <w:color w:val="000000" w:themeColor="text1"/>
          <w:sz w:val="24"/>
          <w:szCs w:val="24"/>
        </w:rPr>
        <w:t xml:space="preserve"> no realizo manifestación alguna.</w:t>
      </w:r>
    </w:p>
    <w:p w:rsidR="009D3A07" w:rsidRPr="00565AD1" w:rsidRDefault="009D3A07" w:rsidP="007914A4">
      <w:pPr>
        <w:spacing w:line="360" w:lineRule="auto"/>
        <w:jc w:val="both"/>
        <w:rPr>
          <w:rFonts w:ascii="Palatino Linotype" w:eastAsia="Palatino Linotype" w:hAnsi="Palatino Linotype" w:cs="Palatino Linotype"/>
          <w:i/>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El </w:t>
      </w:r>
      <w:r w:rsidRPr="00565AD1">
        <w:rPr>
          <w:rFonts w:ascii="Palatino Linotype" w:eastAsia="Palatino Linotype" w:hAnsi="Palatino Linotype" w:cs="Palatino Linotype"/>
          <w:b/>
          <w:color w:val="000000" w:themeColor="text1"/>
          <w:sz w:val="24"/>
          <w:szCs w:val="24"/>
        </w:rPr>
        <w:t xml:space="preserve">SUJETO OBLIGADO, el dos de mayo de dos mil veinticinco, </w:t>
      </w:r>
      <w:r w:rsidRPr="00565AD1">
        <w:rPr>
          <w:rFonts w:ascii="Palatino Linotype" w:eastAsia="Palatino Linotype" w:hAnsi="Palatino Linotype" w:cs="Palatino Linotype"/>
          <w:color w:val="000000" w:themeColor="text1"/>
          <w:sz w:val="24"/>
          <w:szCs w:val="24"/>
        </w:rPr>
        <w:t>remitió los archivos siguientes:</w:t>
      </w:r>
    </w:p>
    <w:p w:rsidR="009D3A07" w:rsidRPr="00565AD1" w:rsidRDefault="00472B11" w:rsidP="007914A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565AD1">
        <w:rPr>
          <w:rFonts w:ascii="Palatino Linotype" w:eastAsia="Palatino Linotype" w:hAnsi="Palatino Linotype" w:cs="Palatino Linotype"/>
          <w:b/>
          <w:i/>
          <w:color w:val="000000" w:themeColor="text1"/>
          <w:sz w:val="24"/>
          <w:szCs w:val="24"/>
        </w:rPr>
        <w:t>Anexo_1_RR_04488.pdf</w:t>
      </w:r>
    </w:p>
    <w:p w:rsidR="009D3A07" w:rsidRPr="00565AD1" w:rsidRDefault="00472B11" w:rsidP="007914A4">
      <w:pPr>
        <w:spacing w:line="360" w:lineRule="auto"/>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Archivo del que se desprende lo siguiente: </w:t>
      </w:r>
    </w:p>
    <w:p w:rsidR="009D3A07" w:rsidRPr="00565AD1" w:rsidRDefault="00472B11" w:rsidP="007914A4">
      <w:pPr>
        <w:spacing w:line="360" w:lineRule="auto"/>
        <w:jc w:val="center"/>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noProof/>
          <w:color w:val="000000" w:themeColor="text1"/>
          <w:sz w:val="24"/>
          <w:szCs w:val="24"/>
        </w:rPr>
        <w:lastRenderedPageBreak/>
        <w:drawing>
          <wp:inline distT="0" distB="0" distL="0" distR="0">
            <wp:extent cx="3312000" cy="2025613"/>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312000" cy="2025613"/>
                    </a:xfrm>
                    <a:prstGeom prst="rect">
                      <a:avLst/>
                    </a:prstGeom>
                    <a:ln/>
                  </pic:spPr>
                </pic:pic>
              </a:graphicData>
            </a:graphic>
          </wp:inline>
        </w:drawing>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565AD1">
        <w:rPr>
          <w:rFonts w:ascii="Palatino Linotype" w:eastAsia="Palatino Linotype" w:hAnsi="Palatino Linotype" w:cs="Palatino Linotype"/>
          <w:b/>
          <w:i/>
          <w:color w:val="000000" w:themeColor="text1"/>
          <w:sz w:val="24"/>
          <w:szCs w:val="24"/>
        </w:rPr>
        <w:t>MANIFESTACIONES 4488.pdf</w:t>
      </w:r>
    </w:p>
    <w:p w:rsidR="009D3A07" w:rsidRPr="00565AD1" w:rsidRDefault="00472B11" w:rsidP="007914A4">
      <w:pPr>
        <w:spacing w:line="360" w:lineRule="auto"/>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Oficio de veintiocho de abril de dos mil veinticinco, firmado por el Secretario Particular de Presidencia, por el que informo lo siguiente:</w:t>
      </w:r>
    </w:p>
    <w:p w:rsidR="009D3A07" w:rsidRPr="00565AD1" w:rsidRDefault="00472B11" w:rsidP="007914A4">
      <w:pPr>
        <w:spacing w:line="276" w:lineRule="auto"/>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i/>
          <w:color w:val="000000" w:themeColor="text1"/>
          <w:sz w:val="24"/>
          <w:szCs w:val="24"/>
        </w:rPr>
        <w:t xml:space="preserve">“bajo el Oficio No. 200010000/900/2025, esta Secretaría Particular, informó que no obra un programa específico a 70 días en el archivo físico y digital de esta oficina, en razón de no haberse generado, poseído y/o administrado, sin embargo se hizo del conocimiento al solicitante, que, las acciones del gobierno municipal se informan de manera periódica en las Conferencias de Prensa "La Toluqueña", disponibles en las páginas oficiales del Ayuntamiento de Toluca. Anexo 1. </w:t>
      </w:r>
    </w:p>
    <w:p w:rsidR="009D3A07" w:rsidRPr="00565AD1" w:rsidRDefault="009D3A07" w:rsidP="007914A4">
      <w:pPr>
        <w:spacing w:line="276" w:lineRule="auto"/>
        <w:jc w:val="both"/>
        <w:rPr>
          <w:rFonts w:ascii="Palatino Linotype" w:eastAsia="Palatino Linotype" w:hAnsi="Palatino Linotype" w:cs="Palatino Linotype"/>
          <w:i/>
          <w:color w:val="000000" w:themeColor="text1"/>
          <w:sz w:val="24"/>
          <w:szCs w:val="24"/>
        </w:rPr>
      </w:pPr>
    </w:p>
    <w:p w:rsidR="009D3A07" w:rsidRPr="00565AD1" w:rsidRDefault="00472B11" w:rsidP="007914A4">
      <w:pPr>
        <w:spacing w:line="276" w:lineRule="auto"/>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i/>
          <w:color w:val="000000" w:themeColor="text1"/>
          <w:sz w:val="24"/>
          <w:szCs w:val="24"/>
        </w:rPr>
        <w:t>Al mismo se anexan capturas de pantalla de la plataforma SAIMEX, donde visualiza la respuesta a dicha petición.”</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tabs>
          <w:tab w:val="left" w:pos="426"/>
        </w:tabs>
        <w:spacing w:line="360" w:lineRule="auto"/>
        <w:ind w:left="0" w:firstLine="0"/>
        <w:jc w:val="both"/>
        <w:rPr>
          <w:rFonts w:ascii="Palatino Linotype" w:eastAsia="Palatino Linotype" w:hAnsi="Palatino Linotype" w:cs="Palatino Linotype"/>
          <w:b/>
          <w:color w:val="000000" w:themeColor="text1"/>
          <w:sz w:val="24"/>
          <w:szCs w:val="24"/>
        </w:rPr>
      </w:pPr>
      <w:r w:rsidRPr="00565AD1">
        <w:rPr>
          <w:rFonts w:ascii="Palatino Linotype" w:eastAsia="Palatino Linotype" w:hAnsi="Palatino Linotype" w:cs="Palatino Linotype"/>
          <w:b/>
          <w:color w:val="000000" w:themeColor="text1"/>
          <w:sz w:val="24"/>
          <w:szCs w:val="24"/>
        </w:rPr>
        <w:t xml:space="preserve">El nueve de septiembre de dos mil veinticinco, </w:t>
      </w:r>
      <w:r w:rsidRPr="00565AD1">
        <w:rPr>
          <w:rFonts w:ascii="Palatino Linotype" w:eastAsia="Palatino Linotype" w:hAnsi="Palatino Linotype" w:cs="Palatino Linotype"/>
          <w:color w:val="000000" w:themeColor="text1"/>
          <w:sz w:val="24"/>
          <w:szCs w:val="24"/>
        </w:rPr>
        <w:t>se notificó el acuerdo por el que se aprobó la ampliación del plazo para resolver el recurso de revisión que nos ocupa.</w:t>
      </w:r>
    </w:p>
    <w:p w:rsidR="009D3A07" w:rsidRPr="00565AD1" w:rsidRDefault="009D3A07" w:rsidP="007914A4">
      <w:pPr>
        <w:tabs>
          <w:tab w:val="left" w:pos="426"/>
        </w:tabs>
        <w:spacing w:line="360" w:lineRule="auto"/>
        <w:jc w:val="both"/>
        <w:rPr>
          <w:rFonts w:ascii="Palatino Linotype" w:eastAsia="Palatino Linotype" w:hAnsi="Palatino Linotype" w:cs="Palatino Linotype"/>
          <w:b/>
          <w:color w:val="000000" w:themeColor="text1"/>
          <w:sz w:val="24"/>
          <w:szCs w:val="24"/>
        </w:rPr>
      </w:pPr>
    </w:p>
    <w:p w:rsidR="009D3A07" w:rsidRPr="00565AD1" w:rsidRDefault="00472B11" w:rsidP="007914A4">
      <w:pPr>
        <w:numPr>
          <w:ilvl w:val="0"/>
          <w:numId w:val="2"/>
        </w:numPr>
        <w:tabs>
          <w:tab w:val="left" w:pos="426"/>
        </w:tabs>
        <w:spacing w:line="360" w:lineRule="auto"/>
        <w:ind w:left="0" w:firstLine="0"/>
        <w:jc w:val="both"/>
        <w:rPr>
          <w:rFonts w:ascii="Palatino Linotype" w:eastAsia="Palatino Linotype" w:hAnsi="Palatino Linotype" w:cs="Palatino Linotype"/>
          <w:b/>
          <w:color w:val="000000" w:themeColor="text1"/>
          <w:sz w:val="24"/>
          <w:szCs w:val="24"/>
          <w:u w:val="single"/>
        </w:rPr>
      </w:pPr>
      <w:r w:rsidRPr="00565AD1">
        <w:rPr>
          <w:rFonts w:ascii="Palatino Linotype" w:eastAsia="Palatino Linotype" w:hAnsi="Palatino Linotype" w:cs="Palatino Linotype"/>
          <w:color w:val="000000" w:themeColor="text1"/>
          <w:sz w:val="24"/>
          <w:szCs w:val="24"/>
        </w:rPr>
        <w:lastRenderedPageBreak/>
        <w:t xml:space="preserve">El </w:t>
      </w:r>
      <w:r w:rsidRPr="00565AD1">
        <w:rPr>
          <w:rFonts w:ascii="Palatino Linotype" w:eastAsia="Palatino Linotype" w:hAnsi="Palatino Linotype" w:cs="Palatino Linotype"/>
          <w:b/>
          <w:color w:val="000000" w:themeColor="text1"/>
          <w:sz w:val="24"/>
          <w:szCs w:val="24"/>
        </w:rPr>
        <w:t>diecisiete de septiembre de dos mil veinticinco</w:t>
      </w:r>
      <w:r w:rsidRPr="00565AD1">
        <w:rPr>
          <w:rFonts w:ascii="Palatino Linotype" w:eastAsia="Palatino Linotype" w:hAnsi="Palatino Linotype" w:cs="Palatino Linotype"/>
          <w:color w:val="000000" w:themeColor="text1"/>
          <w:sz w:val="24"/>
          <w:szCs w:val="24"/>
        </w:rPr>
        <w:t xml:space="preserve">, la Comisionada Ponente decretó el cierre de instrucción y al no existir diligencias por realizar y se turnó el expediente a resolución correspondiente, por lo que no habiendo más que hacer constar, y </w:t>
      </w:r>
    </w:p>
    <w:p w:rsidR="009D3A07" w:rsidRPr="00565AD1" w:rsidRDefault="009D3A07" w:rsidP="007914A4">
      <w:pPr>
        <w:tabs>
          <w:tab w:val="left" w:pos="426"/>
        </w:tabs>
        <w:spacing w:line="360" w:lineRule="auto"/>
        <w:jc w:val="both"/>
        <w:rPr>
          <w:rFonts w:ascii="Palatino Linotype" w:eastAsia="Palatino Linotype" w:hAnsi="Palatino Linotype" w:cs="Palatino Linotype"/>
          <w:b/>
          <w:color w:val="000000" w:themeColor="text1"/>
          <w:sz w:val="24"/>
          <w:szCs w:val="24"/>
          <w:u w:val="single"/>
        </w:rPr>
      </w:pPr>
    </w:p>
    <w:p w:rsidR="009D3A07" w:rsidRPr="00565AD1" w:rsidRDefault="00472B11" w:rsidP="007914A4">
      <w:pPr>
        <w:keepNext/>
        <w:keepLines/>
        <w:spacing w:line="360" w:lineRule="auto"/>
        <w:jc w:val="center"/>
        <w:rPr>
          <w:rFonts w:ascii="Palatino Linotype" w:eastAsia="Palatino Linotype" w:hAnsi="Palatino Linotype" w:cs="Palatino Linotype"/>
          <w:b/>
          <w:color w:val="000000" w:themeColor="text1"/>
          <w:sz w:val="24"/>
          <w:szCs w:val="24"/>
        </w:rPr>
      </w:pPr>
      <w:bookmarkStart w:id="3" w:name="_heading=h.30j0zll" w:colFirst="0" w:colLast="0"/>
      <w:bookmarkEnd w:id="3"/>
      <w:r w:rsidRPr="00565AD1">
        <w:rPr>
          <w:rFonts w:ascii="Palatino Linotype" w:eastAsia="Palatino Linotype" w:hAnsi="Palatino Linotype" w:cs="Palatino Linotype"/>
          <w:b/>
          <w:color w:val="000000" w:themeColor="text1"/>
          <w:sz w:val="24"/>
          <w:szCs w:val="24"/>
        </w:rPr>
        <w:t>C</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O</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N</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S</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I</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D</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E</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R</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A</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N</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D</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O</w:t>
      </w:r>
      <w:r w:rsidR="00063094">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 xml:space="preserve"> </w:t>
      </w:r>
    </w:p>
    <w:p w:rsidR="009D3A07" w:rsidRPr="00565AD1" w:rsidRDefault="009D3A07" w:rsidP="007914A4">
      <w:pPr>
        <w:keepNext/>
        <w:keepLines/>
        <w:spacing w:line="360" w:lineRule="auto"/>
        <w:jc w:val="center"/>
        <w:rPr>
          <w:rFonts w:ascii="Palatino Linotype" w:eastAsia="Palatino Linotype" w:hAnsi="Palatino Linotype" w:cs="Palatino Linotype"/>
          <w:color w:val="000000" w:themeColor="text1"/>
          <w:sz w:val="24"/>
          <w:szCs w:val="24"/>
        </w:rPr>
      </w:pPr>
    </w:p>
    <w:p w:rsidR="009D3A07" w:rsidRPr="00565AD1" w:rsidRDefault="00472B11" w:rsidP="007914A4">
      <w:pPr>
        <w:keepNext/>
        <w:keepLines/>
        <w:spacing w:line="360" w:lineRule="auto"/>
        <w:rPr>
          <w:rFonts w:ascii="Palatino Linotype" w:eastAsia="Palatino Linotype" w:hAnsi="Palatino Linotype" w:cs="Palatino Linotype"/>
          <w:b/>
          <w:color w:val="000000" w:themeColor="text1"/>
          <w:sz w:val="24"/>
          <w:szCs w:val="24"/>
        </w:rPr>
      </w:pPr>
      <w:bookmarkStart w:id="4" w:name="_heading=h.1fob9te" w:colFirst="0" w:colLast="0"/>
      <w:bookmarkEnd w:id="4"/>
      <w:r w:rsidRPr="00565AD1">
        <w:rPr>
          <w:rFonts w:ascii="Palatino Linotype" w:eastAsia="Palatino Linotype" w:hAnsi="Palatino Linotype" w:cs="Palatino Linotype"/>
          <w:b/>
          <w:color w:val="000000" w:themeColor="text1"/>
          <w:sz w:val="24"/>
          <w:szCs w:val="24"/>
        </w:rPr>
        <w:t>PRIMERO. De la competencia</w:t>
      </w:r>
    </w:p>
    <w:p w:rsidR="009D3A07" w:rsidRPr="00565AD1" w:rsidRDefault="00472B11" w:rsidP="007914A4">
      <w:pPr>
        <w:numPr>
          <w:ilvl w:val="0"/>
          <w:numId w:val="2"/>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D3A07" w:rsidRPr="00565AD1" w:rsidRDefault="009D3A07" w:rsidP="007914A4">
      <w:pPr>
        <w:tabs>
          <w:tab w:val="left" w:pos="426"/>
        </w:tabs>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keepNext/>
        <w:keepLines/>
        <w:spacing w:line="360" w:lineRule="auto"/>
        <w:rPr>
          <w:rFonts w:ascii="Palatino Linotype" w:eastAsia="Palatino Linotype" w:hAnsi="Palatino Linotype" w:cs="Palatino Linotype"/>
          <w:b/>
          <w:color w:val="000000" w:themeColor="text1"/>
          <w:sz w:val="24"/>
          <w:szCs w:val="24"/>
        </w:rPr>
      </w:pPr>
      <w:bookmarkStart w:id="5" w:name="_heading=h.3znysh7" w:colFirst="0" w:colLast="0"/>
      <w:bookmarkEnd w:id="5"/>
      <w:r w:rsidRPr="00565AD1">
        <w:rPr>
          <w:rFonts w:ascii="Palatino Linotype" w:eastAsia="Palatino Linotype" w:hAnsi="Palatino Linotype" w:cs="Palatino Linotype"/>
          <w:b/>
          <w:color w:val="000000" w:themeColor="text1"/>
          <w:sz w:val="24"/>
          <w:szCs w:val="24"/>
        </w:rPr>
        <w:t>SEGUNDO. De la oportunidad y procedencia.</w:t>
      </w:r>
    </w:p>
    <w:p w:rsidR="009D3A07" w:rsidRPr="00565AD1" w:rsidRDefault="00472B11" w:rsidP="007914A4">
      <w:pPr>
        <w:numPr>
          <w:ilvl w:val="0"/>
          <w:numId w:val="2"/>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bookmarkStart w:id="6" w:name="_heading=h.2et92p0" w:colFirst="0" w:colLast="0"/>
      <w:bookmarkEnd w:id="6"/>
      <w:r w:rsidRPr="00565AD1">
        <w:rPr>
          <w:rFonts w:ascii="Palatino Linotype" w:eastAsia="Palatino Linotype" w:hAnsi="Palatino Linotype" w:cs="Palatino Linotype"/>
          <w:color w:val="000000" w:themeColor="text1"/>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w:t>
      </w:r>
      <w:r w:rsidRPr="00565AD1">
        <w:rPr>
          <w:rFonts w:ascii="Palatino Linotype" w:eastAsia="Palatino Linotype" w:hAnsi="Palatino Linotype" w:cs="Palatino Linotype"/>
          <w:color w:val="000000" w:themeColor="text1"/>
          <w:sz w:val="24"/>
          <w:szCs w:val="24"/>
        </w:rPr>
        <w:lastRenderedPageBreak/>
        <w:t>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D3A07" w:rsidRPr="00565AD1" w:rsidRDefault="009D3A07" w:rsidP="007914A4">
      <w:pPr>
        <w:tabs>
          <w:tab w:val="left" w:pos="426"/>
        </w:tabs>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pStyle w:val="Ttulo1"/>
        <w:rPr>
          <w:rFonts w:ascii="Palatino Linotype" w:eastAsia="Palatino Linotype" w:hAnsi="Palatino Linotype" w:cs="Palatino Linotype"/>
          <w:b/>
          <w:color w:val="000000" w:themeColor="text1"/>
          <w:sz w:val="24"/>
          <w:szCs w:val="24"/>
        </w:rPr>
      </w:pPr>
      <w:r w:rsidRPr="00565AD1">
        <w:rPr>
          <w:rFonts w:ascii="Palatino Linotype" w:eastAsia="Palatino Linotype" w:hAnsi="Palatino Linotype" w:cs="Palatino Linotype"/>
          <w:b/>
          <w:color w:val="000000" w:themeColor="text1"/>
          <w:sz w:val="24"/>
          <w:szCs w:val="24"/>
        </w:rPr>
        <w:t>TERCERO. De las causales de sobreseimiento</w:t>
      </w:r>
    </w:p>
    <w:p w:rsidR="009D3A07" w:rsidRPr="00565AD1" w:rsidRDefault="009D3A07" w:rsidP="007914A4">
      <w:pPr>
        <w:rPr>
          <w:rFonts w:ascii="Palatino Linotype" w:hAnsi="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Por lo que hace a las causas de sobreseimiento contenidas en la fracción III del artículo 192 de la </w:t>
      </w:r>
      <w:r w:rsidRPr="00565AD1">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565AD1">
        <w:rPr>
          <w:rFonts w:ascii="Palatino Linotype" w:eastAsia="Palatino Linotype" w:hAnsi="Palatino Linotype" w:cs="Palatino Linotype"/>
          <w:color w:val="000000" w:themeColor="text1"/>
          <w:sz w:val="24"/>
          <w:szCs w:val="24"/>
        </w:rPr>
        <w:t xml:space="preserve">, es oportuno señalar que estos requisitos privilegian la existencia de elementos de fondo, tales como el desistimiento o fallecimiento del </w:t>
      </w:r>
      <w:r w:rsidRPr="00565AD1">
        <w:rPr>
          <w:rFonts w:ascii="Palatino Linotype" w:eastAsia="Palatino Linotype" w:hAnsi="Palatino Linotype" w:cs="Palatino Linotype"/>
          <w:b/>
          <w:color w:val="000000" w:themeColor="text1"/>
          <w:sz w:val="24"/>
          <w:szCs w:val="24"/>
        </w:rPr>
        <w:t>RECURRENTE</w:t>
      </w:r>
      <w:r w:rsidRPr="00565AD1">
        <w:rPr>
          <w:rFonts w:ascii="Palatino Linotype" w:eastAsia="Palatino Linotype" w:hAnsi="Palatino Linotype" w:cs="Palatino Linotype"/>
          <w:color w:val="000000" w:themeColor="text1"/>
          <w:sz w:val="24"/>
          <w:szCs w:val="24"/>
        </w:rPr>
        <w:t xml:space="preserve"> o que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u w:val="single"/>
        </w:rPr>
        <w:t>modifique o revoque el acto</w:t>
      </w:r>
      <w:r w:rsidRPr="00565AD1">
        <w:rPr>
          <w:rFonts w:ascii="Palatino Linotype" w:eastAsia="Palatino Linotype" w:hAnsi="Palatino Linotype" w:cs="Palatino Linotype"/>
          <w:color w:val="000000" w:themeColor="text1"/>
          <w:sz w:val="24"/>
          <w:szCs w:val="24"/>
        </w:rPr>
        <w:t>; de ahí que la actualización de alguno de éstos trae como consecuencia que el medio de impugnación se concluya sin que se analice el objeto de estudio planteado, es decir se sobresea.</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7914A4" w:rsidRDefault="00472B11" w:rsidP="007914A4">
      <w:pPr>
        <w:pStyle w:val="Prrafodelista"/>
        <w:numPr>
          <w:ilvl w:val="0"/>
          <w:numId w:val="8"/>
        </w:numPr>
        <w:spacing w:line="360" w:lineRule="auto"/>
        <w:jc w:val="both"/>
        <w:rPr>
          <w:rFonts w:ascii="Palatino Linotype" w:eastAsia="Palatino Linotype" w:hAnsi="Palatino Linotype" w:cs="Palatino Linotype"/>
          <w:color w:val="000000" w:themeColor="text1"/>
          <w:sz w:val="24"/>
        </w:rPr>
      </w:pPr>
      <w:r w:rsidRPr="00565AD1">
        <w:rPr>
          <w:rFonts w:ascii="Palatino Linotype" w:eastAsia="Palatino Linotype" w:hAnsi="Palatino Linotype" w:cs="Palatino Linotype"/>
          <w:color w:val="000000" w:themeColor="text1"/>
          <w:sz w:val="24"/>
        </w:rPr>
        <w:t>Es así que, el recurrente solicitó la siguiente información:</w:t>
      </w:r>
    </w:p>
    <w:p w:rsidR="00063094" w:rsidRPr="00565AD1" w:rsidRDefault="00063094" w:rsidP="00063094">
      <w:pPr>
        <w:pStyle w:val="Prrafodelista"/>
        <w:spacing w:line="360" w:lineRule="auto"/>
        <w:jc w:val="both"/>
        <w:rPr>
          <w:rFonts w:ascii="Palatino Linotype" w:eastAsia="Palatino Linotype" w:hAnsi="Palatino Linotype" w:cs="Palatino Linotype"/>
          <w:color w:val="000000" w:themeColor="text1"/>
          <w:sz w:val="24"/>
        </w:rPr>
      </w:pPr>
    </w:p>
    <w:p w:rsidR="007914A4"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Las acciones y logros en los 70 días de gobierno</w:t>
      </w:r>
    </w:p>
    <w:p w:rsidR="007914A4" w:rsidRPr="00565AD1" w:rsidRDefault="007914A4" w:rsidP="007914A4">
      <w:pPr>
        <w:spacing w:line="360" w:lineRule="auto"/>
        <w:jc w:val="both"/>
        <w:rPr>
          <w:rFonts w:ascii="Palatino Linotype" w:eastAsia="Palatino Linotype" w:hAnsi="Palatino Linotype" w:cs="Palatino Linotype"/>
          <w:color w:val="000000" w:themeColor="text1"/>
          <w:sz w:val="24"/>
          <w:szCs w:val="24"/>
        </w:rPr>
      </w:pPr>
    </w:p>
    <w:p w:rsidR="007914A4"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En respuesta, el </w:t>
      </w:r>
      <w:r w:rsidRPr="00565AD1">
        <w:rPr>
          <w:rFonts w:ascii="Palatino Linotype" w:eastAsia="Palatino Linotype" w:hAnsi="Palatino Linotype" w:cs="Palatino Linotype"/>
          <w:b/>
          <w:color w:val="000000" w:themeColor="text1"/>
          <w:sz w:val="24"/>
          <w:szCs w:val="24"/>
        </w:rPr>
        <w:t xml:space="preserve">SUJETO OBLIGADO,  </w:t>
      </w:r>
      <w:r w:rsidRPr="00565AD1">
        <w:rPr>
          <w:rFonts w:ascii="Palatino Linotype" w:eastAsia="Palatino Linotype" w:hAnsi="Palatino Linotype" w:cs="Palatino Linotype"/>
          <w:color w:val="000000" w:themeColor="text1"/>
          <w:sz w:val="24"/>
          <w:szCs w:val="24"/>
        </w:rPr>
        <w:t xml:space="preserve">a través del Servidor Público Habilitado informo que no se localizó lo solicitado, por no haberse poseído, generado y/o administrado </w:t>
      </w:r>
      <w:r w:rsidRPr="00565AD1">
        <w:rPr>
          <w:rFonts w:ascii="Palatino Linotype" w:eastAsia="Palatino Linotype" w:hAnsi="Palatino Linotype" w:cs="Palatino Linotype"/>
          <w:color w:val="000000" w:themeColor="text1"/>
          <w:sz w:val="24"/>
          <w:szCs w:val="24"/>
        </w:rPr>
        <w:lastRenderedPageBreak/>
        <w:t xml:space="preserve">sin embargo, en aras de salvaguardar el derecho de acceso a la información que le asiste al ahora </w:t>
      </w:r>
      <w:r w:rsidRPr="00565AD1">
        <w:rPr>
          <w:rFonts w:ascii="Palatino Linotype" w:eastAsia="Palatino Linotype" w:hAnsi="Palatino Linotype" w:cs="Palatino Linotype"/>
          <w:b/>
          <w:color w:val="000000" w:themeColor="text1"/>
          <w:sz w:val="24"/>
          <w:szCs w:val="24"/>
        </w:rPr>
        <w:t xml:space="preserve">RECURRENTE, </w:t>
      </w:r>
      <w:r w:rsidRPr="00565AD1">
        <w:rPr>
          <w:rFonts w:ascii="Palatino Linotype" w:eastAsia="Palatino Linotype" w:hAnsi="Palatino Linotype" w:cs="Palatino Linotype"/>
          <w:color w:val="000000" w:themeColor="text1"/>
          <w:sz w:val="24"/>
          <w:szCs w:val="24"/>
        </w:rPr>
        <w:t xml:space="preserve"> remitió en respuesta un link en donde refirió que las acciones de gobierno municipal se informan de manera periódica en las Conferencias de Prensa “La Toluqueña” disponibles en la Página Oficial del Ayuntamiento y proporciono una liga de acceso, a la cual de acuerdo a los motivos de inconformidad el </w:t>
      </w:r>
      <w:r w:rsidRPr="00565AD1">
        <w:rPr>
          <w:rFonts w:ascii="Palatino Linotype" w:eastAsia="Palatino Linotype" w:hAnsi="Palatino Linotype" w:cs="Palatino Linotype"/>
          <w:b/>
          <w:color w:val="000000" w:themeColor="text1"/>
          <w:sz w:val="24"/>
          <w:szCs w:val="24"/>
        </w:rPr>
        <w:t xml:space="preserve">PARTICULAR </w:t>
      </w:r>
      <w:r w:rsidRPr="00565AD1">
        <w:rPr>
          <w:rFonts w:ascii="Palatino Linotype" w:eastAsia="Palatino Linotype" w:hAnsi="Palatino Linotype" w:cs="Palatino Linotype"/>
          <w:color w:val="000000" w:themeColor="text1"/>
          <w:sz w:val="24"/>
          <w:szCs w:val="24"/>
        </w:rPr>
        <w:t xml:space="preserve">pudo acceder, pues refirió expresamente que en ella no se encuentra la información </w:t>
      </w:r>
      <w:r w:rsidR="007914A4" w:rsidRPr="00565AD1">
        <w:rPr>
          <w:rFonts w:ascii="Palatino Linotype" w:eastAsia="Palatino Linotype" w:hAnsi="Palatino Linotype" w:cs="Palatino Linotype"/>
          <w:color w:val="000000" w:themeColor="text1"/>
          <w:sz w:val="24"/>
          <w:szCs w:val="24"/>
        </w:rPr>
        <w:t>solicitada</w:t>
      </w:r>
      <w:r w:rsidRPr="00565AD1">
        <w:rPr>
          <w:rFonts w:ascii="Palatino Linotype" w:eastAsia="Palatino Linotype" w:hAnsi="Palatino Linotype" w:cs="Palatino Linotype"/>
          <w:color w:val="000000" w:themeColor="text1"/>
          <w:sz w:val="24"/>
          <w:szCs w:val="24"/>
        </w:rPr>
        <w:t>.</w:t>
      </w:r>
    </w:p>
    <w:p w:rsidR="007914A4" w:rsidRPr="00565AD1" w:rsidRDefault="007914A4" w:rsidP="007914A4">
      <w:pPr>
        <w:spacing w:line="360" w:lineRule="auto"/>
        <w:jc w:val="both"/>
        <w:rPr>
          <w:rFonts w:ascii="Palatino Linotype" w:eastAsia="Palatino Linotype" w:hAnsi="Palatino Linotype" w:cs="Palatino Linotype"/>
          <w:color w:val="000000" w:themeColor="text1"/>
          <w:sz w:val="24"/>
          <w:szCs w:val="24"/>
        </w:rPr>
      </w:pPr>
    </w:p>
    <w:p w:rsidR="007914A4"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Inconforme con lo anterior,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interpuso el recurso de revisión que nos ocupa, arguyendo la entrega de información de manera incompleta.</w:t>
      </w:r>
    </w:p>
    <w:p w:rsidR="007914A4" w:rsidRPr="00565AD1" w:rsidRDefault="007914A4" w:rsidP="007914A4">
      <w:pPr>
        <w:spacing w:line="360" w:lineRule="auto"/>
        <w:jc w:val="both"/>
        <w:rPr>
          <w:rFonts w:ascii="Palatino Linotype" w:eastAsia="Palatino Linotype" w:hAnsi="Palatino Linotype" w:cs="Palatino Linotype"/>
          <w:color w:val="000000" w:themeColor="text1"/>
          <w:sz w:val="24"/>
          <w:szCs w:val="24"/>
        </w:rPr>
      </w:pPr>
    </w:p>
    <w:p w:rsidR="007914A4"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Posteriormente, en etapa de manifestaciones, el Secretario Particular de Presidencia, informo que “</w:t>
      </w:r>
      <w:r w:rsidRPr="00565AD1">
        <w:rPr>
          <w:rFonts w:ascii="Palatino Linotype" w:eastAsia="Palatino Linotype" w:hAnsi="Palatino Linotype" w:cs="Palatino Linotype"/>
          <w:i/>
          <w:color w:val="000000" w:themeColor="text1"/>
          <w:sz w:val="24"/>
          <w:szCs w:val="24"/>
        </w:rPr>
        <w:t>no obra un programa específico a 70 días en el archivo físico y digital de esta oficina, en razón de no haberse generado, poseído y/o administrado, sin embargo se hizo del conocimiento al solicitante, que, las acciones del gobierno municipal se informan de manera periódica en las Conferencias de Prensa "La Toluqueña", disponibles en las páginas oficiales del Ayuntamiento de Toluca. Anexo 1.”</w:t>
      </w:r>
    </w:p>
    <w:p w:rsidR="007914A4" w:rsidRPr="00565AD1" w:rsidRDefault="007914A4"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Del anexo uno se desprenden dos ligas de dos sitios oficiales y tres ligas de redes sociales, de las que se desprende lo siguiente:</w:t>
      </w:r>
    </w:p>
    <w:p w:rsidR="00063094" w:rsidRDefault="00063094" w:rsidP="007914A4">
      <w:pPr>
        <w:tabs>
          <w:tab w:val="left" w:pos="5386"/>
        </w:tabs>
        <w:spacing w:line="360" w:lineRule="auto"/>
        <w:jc w:val="center"/>
        <w:rPr>
          <w:rFonts w:ascii="Palatino Linotype" w:eastAsia="Palatino Linotype" w:hAnsi="Palatino Linotype" w:cs="Palatino Linotype"/>
          <w:b/>
          <w:color w:val="000000" w:themeColor="text1"/>
          <w:sz w:val="24"/>
          <w:szCs w:val="24"/>
        </w:rPr>
      </w:pPr>
    </w:p>
    <w:p w:rsidR="00063094" w:rsidRDefault="00063094" w:rsidP="007914A4">
      <w:pPr>
        <w:tabs>
          <w:tab w:val="left" w:pos="5386"/>
        </w:tabs>
        <w:spacing w:line="360" w:lineRule="auto"/>
        <w:jc w:val="center"/>
        <w:rPr>
          <w:rFonts w:ascii="Palatino Linotype" w:eastAsia="Palatino Linotype" w:hAnsi="Palatino Linotype" w:cs="Palatino Linotype"/>
          <w:b/>
          <w:color w:val="000000" w:themeColor="text1"/>
          <w:sz w:val="24"/>
          <w:szCs w:val="24"/>
        </w:rPr>
      </w:pPr>
    </w:p>
    <w:p w:rsidR="009D3A07" w:rsidRDefault="00472B11" w:rsidP="007914A4">
      <w:pPr>
        <w:tabs>
          <w:tab w:val="left" w:pos="5386"/>
        </w:tabs>
        <w:spacing w:line="360" w:lineRule="auto"/>
        <w:jc w:val="center"/>
        <w:rPr>
          <w:rFonts w:ascii="Palatino Linotype" w:eastAsia="Palatino Linotype" w:hAnsi="Palatino Linotype" w:cs="Palatino Linotype"/>
          <w:b/>
          <w:color w:val="000000" w:themeColor="text1"/>
          <w:sz w:val="24"/>
          <w:szCs w:val="24"/>
        </w:rPr>
      </w:pPr>
      <w:r w:rsidRPr="00565AD1">
        <w:rPr>
          <w:rFonts w:ascii="Palatino Linotype" w:eastAsia="Palatino Linotype" w:hAnsi="Palatino Linotype" w:cs="Palatino Linotype"/>
          <w:b/>
          <w:color w:val="000000" w:themeColor="text1"/>
          <w:sz w:val="24"/>
          <w:szCs w:val="24"/>
        </w:rPr>
        <w:t>Sitios oficiales:</w:t>
      </w:r>
    </w:p>
    <w:p w:rsidR="00063094" w:rsidRPr="00565AD1" w:rsidRDefault="00063094" w:rsidP="007914A4">
      <w:pPr>
        <w:tabs>
          <w:tab w:val="left" w:pos="5386"/>
        </w:tabs>
        <w:spacing w:line="360" w:lineRule="auto"/>
        <w:jc w:val="center"/>
        <w:rPr>
          <w:rFonts w:ascii="Palatino Linotype" w:eastAsia="Palatino Linotype" w:hAnsi="Palatino Linotype" w:cs="Palatino Linotype"/>
          <w:b/>
          <w:color w:val="000000" w:themeColor="text1"/>
          <w:sz w:val="24"/>
          <w:szCs w:val="24"/>
        </w:rPr>
      </w:pPr>
    </w:p>
    <w:p w:rsidR="009D3A07" w:rsidRPr="00565AD1" w:rsidRDefault="000E7428" w:rsidP="007914A4">
      <w:pPr>
        <w:spacing w:line="360" w:lineRule="auto"/>
        <w:jc w:val="center"/>
        <w:rPr>
          <w:rFonts w:ascii="Palatino Linotype" w:eastAsia="Palatino Linotype" w:hAnsi="Palatino Linotype" w:cs="Palatino Linotype"/>
          <w:color w:val="000000" w:themeColor="text1"/>
          <w:sz w:val="24"/>
          <w:szCs w:val="24"/>
        </w:rPr>
      </w:pPr>
      <w:hyperlink r:id="rId9">
        <w:r w:rsidR="00472B11" w:rsidRPr="00565AD1">
          <w:rPr>
            <w:rFonts w:ascii="Palatino Linotype" w:eastAsia="Palatino Linotype" w:hAnsi="Palatino Linotype" w:cs="Palatino Linotype"/>
            <w:color w:val="000000" w:themeColor="text1"/>
            <w:sz w:val="24"/>
            <w:szCs w:val="24"/>
            <w:u w:val="single"/>
          </w:rPr>
          <w:t>https://www2.toluca.gob.mx/comunicacionsocial/</w:t>
        </w:r>
      </w:hyperlink>
    </w:p>
    <w:p w:rsidR="009D3A07" w:rsidRDefault="00472B11" w:rsidP="007914A4">
      <w:pPr>
        <w:spacing w:line="360" w:lineRule="auto"/>
        <w:jc w:val="center"/>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noProof/>
          <w:color w:val="000000" w:themeColor="text1"/>
          <w:sz w:val="24"/>
          <w:szCs w:val="24"/>
        </w:rPr>
        <w:drawing>
          <wp:inline distT="0" distB="0" distL="0" distR="0">
            <wp:extent cx="2880000" cy="216000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880000" cy="2160000"/>
                    </a:xfrm>
                    <a:prstGeom prst="rect">
                      <a:avLst/>
                    </a:prstGeom>
                    <a:ln/>
                  </pic:spPr>
                </pic:pic>
              </a:graphicData>
            </a:graphic>
          </wp:inline>
        </w:drawing>
      </w:r>
    </w:p>
    <w:p w:rsidR="00063094" w:rsidRDefault="00063094" w:rsidP="007914A4">
      <w:pPr>
        <w:spacing w:line="360" w:lineRule="auto"/>
        <w:jc w:val="center"/>
        <w:rPr>
          <w:rFonts w:ascii="Palatino Linotype" w:eastAsia="Palatino Linotype" w:hAnsi="Palatino Linotype" w:cs="Palatino Linotype"/>
          <w:color w:val="000000" w:themeColor="text1"/>
          <w:sz w:val="24"/>
          <w:szCs w:val="24"/>
        </w:rPr>
      </w:pPr>
    </w:p>
    <w:p w:rsidR="00063094" w:rsidRPr="00565AD1" w:rsidRDefault="00063094" w:rsidP="007914A4">
      <w:pPr>
        <w:spacing w:line="360" w:lineRule="auto"/>
        <w:jc w:val="center"/>
        <w:rPr>
          <w:rFonts w:ascii="Palatino Linotype" w:eastAsia="Palatino Linotype" w:hAnsi="Palatino Linotype" w:cs="Palatino Linotype"/>
          <w:color w:val="000000" w:themeColor="text1"/>
          <w:sz w:val="24"/>
          <w:szCs w:val="24"/>
        </w:rPr>
      </w:pPr>
    </w:p>
    <w:p w:rsidR="009D3A07" w:rsidRPr="00565AD1" w:rsidRDefault="000E7428" w:rsidP="007914A4">
      <w:pPr>
        <w:spacing w:line="360" w:lineRule="auto"/>
        <w:jc w:val="center"/>
        <w:rPr>
          <w:rFonts w:ascii="Palatino Linotype" w:eastAsia="Palatino Linotype" w:hAnsi="Palatino Linotype" w:cs="Palatino Linotype"/>
          <w:color w:val="000000" w:themeColor="text1"/>
          <w:sz w:val="24"/>
          <w:szCs w:val="24"/>
        </w:rPr>
      </w:pPr>
      <w:hyperlink r:id="rId11">
        <w:r w:rsidR="00472B11" w:rsidRPr="00565AD1">
          <w:rPr>
            <w:rFonts w:ascii="Palatino Linotype" w:eastAsia="Palatino Linotype" w:hAnsi="Palatino Linotype" w:cs="Palatino Linotype"/>
            <w:color w:val="000000" w:themeColor="text1"/>
            <w:sz w:val="24"/>
            <w:szCs w:val="24"/>
            <w:u w:val="single"/>
          </w:rPr>
          <w:t>https://www.youtube.com/@ayuntamientodetolucamx/featured</w:t>
        </w:r>
      </w:hyperlink>
    </w:p>
    <w:p w:rsidR="009D3A07" w:rsidRPr="00565AD1" w:rsidRDefault="00472B11" w:rsidP="007914A4">
      <w:pPr>
        <w:spacing w:line="360" w:lineRule="auto"/>
        <w:jc w:val="center"/>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noProof/>
          <w:color w:val="000000" w:themeColor="text1"/>
          <w:sz w:val="24"/>
          <w:szCs w:val="24"/>
        </w:rPr>
        <w:drawing>
          <wp:inline distT="0" distB="0" distL="0" distR="0">
            <wp:extent cx="3007418" cy="26280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007418" cy="2628000"/>
                    </a:xfrm>
                    <a:prstGeom prst="rect">
                      <a:avLst/>
                    </a:prstGeom>
                    <a:ln/>
                  </pic:spPr>
                </pic:pic>
              </a:graphicData>
            </a:graphic>
          </wp:inline>
        </w:drawing>
      </w:r>
    </w:p>
    <w:p w:rsidR="009D3A07"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063094" w:rsidRDefault="00063094" w:rsidP="007914A4">
      <w:pPr>
        <w:spacing w:line="360" w:lineRule="auto"/>
        <w:jc w:val="both"/>
        <w:rPr>
          <w:rFonts w:ascii="Palatino Linotype" w:eastAsia="Palatino Linotype" w:hAnsi="Palatino Linotype" w:cs="Palatino Linotype"/>
          <w:color w:val="000000" w:themeColor="text1"/>
          <w:sz w:val="24"/>
          <w:szCs w:val="24"/>
        </w:rPr>
      </w:pPr>
    </w:p>
    <w:p w:rsidR="00063094" w:rsidRDefault="00063094"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spacing w:line="360" w:lineRule="auto"/>
        <w:jc w:val="center"/>
        <w:rPr>
          <w:rFonts w:ascii="Palatino Linotype" w:eastAsia="Palatino Linotype" w:hAnsi="Palatino Linotype" w:cs="Palatino Linotype"/>
          <w:b/>
          <w:color w:val="000000" w:themeColor="text1"/>
          <w:sz w:val="24"/>
          <w:szCs w:val="24"/>
        </w:rPr>
      </w:pPr>
      <w:r w:rsidRPr="00565AD1">
        <w:rPr>
          <w:rFonts w:ascii="Palatino Linotype" w:eastAsia="Palatino Linotype" w:hAnsi="Palatino Linotype" w:cs="Palatino Linotype"/>
          <w:b/>
          <w:color w:val="000000" w:themeColor="text1"/>
          <w:sz w:val="24"/>
          <w:szCs w:val="24"/>
        </w:rPr>
        <w:lastRenderedPageBreak/>
        <w:t>• Redes sociales:</w:t>
      </w:r>
    </w:p>
    <w:p w:rsidR="009D3A07" w:rsidRPr="00565AD1" w:rsidRDefault="00472B11" w:rsidP="007914A4">
      <w:pPr>
        <w:spacing w:line="360" w:lineRule="auto"/>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 </w:t>
      </w:r>
      <w:hyperlink r:id="rId13">
        <w:r w:rsidRPr="00565AD1">
          <w:rPr>
            <w:rFonts w:ascii="Palatino Linotype" w:eastAsia="Palatino Linotype" w:hAnsi="Palatino Linotype" w:cs="Palatino Linotype"/>
            <w:color w:val="000000" w:themeColor="text1"/>
            <w:sz w:val="24"/>
            <w:szCs w:val="24"/>
            <w:u w:val="single"/>
          </w:rPr>
          <w:t>https://www.facebook.com/H.AyuntamientoDeToluca/</w:t>
        </w:r>
      </w:hyperlink>
    </w:p>
    <w:p w:rsidR="009D3A07" w:rsidRPr="00565AD1" w:rsidRDefault="00472B11" w:rsidP="007914A4">
      <w:pPr>
        <w:spacing w:line="360" w:lineRule="auto"/>
        <w:jc w:val="center"/>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noProof/>
          <w:color w:val="000000" w:themeColor="text1"/>
          <w:sz w:val="24"/>
          <w:szCs w:val="24"/>
        </w:rPr>
        <w:drawing>
          <wp:inline distT="0" distB="0" distL="0" distR="0">
            <wp:extent cx="3240000" cy="1978456"/>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240000" cy="1978456"/>
                    </a:xfrm>
                    <a:prstGeom prst="rect">
                      <a:avLst/>
                    </a:prstGeom>
                    <a:ln/>
                  </pic:spPr>
                </pic:pic>
              </a:graphicData>
            </a:graphic>
          </wp:inline>
        </w:drawing>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spacing w:line="360" w:lineRule="auto"/>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 </w:t>
      </w:r>
      <w:hyperlink r:id="rId15">
        <w:r w:rsidRPr="00565AD1">
          <w:rPr>
            <w:rFonts w:ascii="Palatino Linotype" w:eastAsia="Palatino Linotype" w:hAnsi="Palatino Linotype" w:cs="Palatino Linotype"/>
            <w:color w:val="000000" w:themeColor="text1"/>
            <w:sz w:val="24"/>
            <w:szCs w:val="24"/>
            <w:u w:val="single"/>
          </w:rPr>
          <w:t>https://x.com/TolucaGob</w:t>
        </w:r>
      </w:hyperlink>
    </w:p>
    <w:p w:rsidR="009D3A07" w:rsidRPr="00565AD1" w:rsidRDefault="00472B11" w:rsidP="007914A4">
      <w:pPr>
        <w:spacing w:line="360" w:lineRule="auto"/>
        <w:jc w:val="center"/>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noProof/>
          <w:color w:val="000000" w:themeColor="text1"/>
          <w:sz w:val="24"/>
          <w:szCs w:val="24"/>
        </w:rPr>
        <w:drawing>
          <wp:inline distT="0" distB="0" distL="0" distR="0">
            <wp:extent cx="3059921" cy="3132000"/>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059921" cy="3132000"/>
                    </a:xfrm>
                    <a:prstGeom prst="rect">
                      <a:avLst/>
                    </a:prstGeom>
                    <a:ln/>
                  </pic:spPr>
                </pic:pic>
              </a:graphicData>
            </a:graphic>
          </wp:inline>
        </w:drawing>
      </w:r>
    </w:p>
    <w:p w:rsidR="00063094" w:rsidRDefault="00063094" w:rsidP="007914A4">
      <w:pPr>
        <w:spacing w:line="360" w:lineRule="auto"/>
        <w:jc w:val="both"/>
        <w:rPr>
          <w:rFonts w:ascii="Palatino Linotype" w:eastAsia="Palatino Linotype" w:hAnsi="Palatino Linotype" w:cs="Palatino Linotype"/>
          <w:color w:val="000000" w:themeColor="text1"/>
          <w:sz w:val="24"/>
          <w:szCs w:val="24"/>
          <w:u w:val="single"/>
        </w:rPr>
      </w:pPr>
    </w:p>
    <w:p w:rsidR="00063094" w:rsidRDefault="00063094" w:rsidP="007914A4">
      <w:pPr>
        <w:spacing w:line="360" w:lineRule="auto"/>
        <w:jc w:val="both"/>
        <w:rPr>
          <w:rFonts w:ascii="Palatino Linotype" w:eastAsia="Palatino Linotype" w:hAnsi="Palatino Linotype" w:cs="Palatino Linotype"/>
          <w:color w:val="000000" w:themeColor="text1"/>
          <w:sz w:val="24"/>
          <w:szCs w:val="24"/>
          <w:u w:val="single"/>
        </w:rPr>
      </w:pPr>
    </w:p>
    <w:p w:rsidR="009D3A07" w:rsidRPr="00565AD1" w:rsidRDefault="000E7428" w:rsidP="007914A4">
      <w:pPr>
        <w:spacing w:line="360" w:lineRule="auto"/>
        <w:jc w:val="both"/>
        <w:rPr>
          <w:rFonts w:ascii="Palatino Linotype" w:eastAsia="Palatino Linotype" w:hAnsi="Palatino Linotype" w:cs="Palatino Linotype"/>
          <w:color w:val="000000" w:themeColor="text1"/>
          <w:sz w:val="24"/>
          <w:szCs w:val="24"/>
        </w:rPr>
      </w:pPr>
      <w:hyperlink r:id="rId17">
        <w:r w:rsidR="00472B11" w:rsidRPr="00565AD1">
          <w:rPr>
            <w:rFonts w:ascii="Palatino Linotype" w:eastAsia="Palatino Linotype" w:hAnsi="Palatino Linotype" w:cs="Palatino Linotype"/>
            <w:color w:val="000000" w:themeColor="text1"/>
            <w:sz w:val="24"/>
            <w:szCs w:val="24"/>
            <w:u w:val="single"/>
          </w:rPr>
          <w:t>https://www.instagram.com/ayuntamientodetoluca/</w:t>
        </w:r>
      </w:hyperlink>
    </w:p>
    <w:p w:rsidR="009D3A07" w:rsidRPr="00565AD1" w:rsidRDefault="009D3A07" w:rsidP="007914A4">
      <w:pPr>
        <w:tabs>
          <w:tab w:val="left" w:pos="426"/>
        </w:tabs>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spacing w:line="360" w:lineRule="auto"/>
        <w:jc w:val="center"/>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noProof/>
          <w:color w:val="000000" w:themeColor="text1"/>
          <w:sz w:val="24"/>
          <w:szCs w:val="24"/>
        </w:rPr>
        <w:drawing>
          <wp:inline distT="0" distB="0" distL="0" distR="0">
            <wp:extent cx="2171934" cy="262800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171934" cy="2628000"/>
                    </a:xfrm>
                    <a:prstGeom prst="rect">
                      <a:avLst/>
                    </a:prstGeom>
                    <a:ln/>
                  </pic:spPr>
                </pic:pic>
              </a:graphicData>
            </a:graphic>
          </wp:inline>
        </w:drawing>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De lo anterior, se observa que el </w:t>
      </w:r>
      <w:r w:rsidRPr="00565AD1">
        <w:rPr>
          <w:rFonts w:ascii="Palatino Linotype" w:eastAsia="Palatino Linotype" w:hAnsi="Palatino Linotype" w:cs="Palatino Linotype"/>
          <w:b/>
          <w:color w:val="000000" w:themeColor="text1"/>
          <w:sz w:val="24"/>
          <w:szCs w:val="24"/>
        </w:rPr>
        <w:t xml:space="preserve">SUJETO OBLIGADO, </w:t>
      </w:r>
      <w:r w:rsidRPr="00565AD1">
        <w:rPr>
          <w:rFonts w:ascii="Palatino Linotype" w:eastAsia="Palatino Linotype" w:hAnsi="Palatino Linotype" w:cs="Palatino Linotype"/>
          <w:color w:val="000000" w:themeColor="text1"/>
          <w:sz w:val="24"/>
          <w:szCs w:val="24"/>
        </w:rPr>
        <w:t xml:space="preserve">modifico su respuesta primigenia, por lo que, para  los efectos de esta resolución, es oportuno precisar los alcances jurídicos de la fracción III de la disposición legal transcrita. Así, procede el sobreseimiento del recurso de revisión cuando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w:t>
      </w:r>
    </w:p>
    <w:p w:rsidR="009D3A07" w:rsidRPr="00565AD1" w:rsidRDefault="00472B11" w:rsidP="007914A4">
      <w:pPr>
        <w:numPr>
          <w:ilvl w:val="0"/>
          <w:numId w:val="5"/>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b/>
          <w:color w:val="000000" w:themeColor="text1"/>
          <w:sz w:val="24"/>
          <w:szCs w:val="24"/>
        </w:rPr>
        <w:t>Modifique el acto impugnado:</w:t>
      </w:r>
      <w:r w:rsidRPr="00565AD1">
        <w:rPr>
          <w:rFonts w:ascii="Palatino Linotype" w:eastAsia="Palatino Linotype" w:hAnsi="Palatino Linotype" w:cs="Palatino Linotype"/>
          <w:color w:val="000000" w:themeColor="text1"/>
          <w:sz w:val="24"/>
          <w:szCs w:val="24"/>
        </w:rPr>
        <w:t xml:space="preserve"> Se actualiza cuando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después de haber otorgado una respuesta y hasta antes de dictada la resolución del recurso de revisión, emite una diversa en la que subsane las deficiencias que hubiera tenido.</w:t>
      </w:r>
    </w:p>
    <w:p w:rsidR="009D3A07" w:rsidRPr="00565AD1" w:rsidRDefault="00472B11" w:rsidP="007914A4">
      <w:pPr>
        <w:numPr>
          <w:ilvl w:val="0"/>
          <w:numId w:val="5"/>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b/>
          <w:color w:val="000000" w:themeColor="text1"/>
          <w:sz w:val="24"/>
          <w:szCs w:val="24"/>
        </w:rPr>
        <w:t>Revoque el acto impugnado:</w:t>
      </w:r>
      <w:r w:rsidRPr="00565AD1">
        <w:rPr>
          <w:rFonts w:ascii="Palatino Linotype" w:eastAsia="Palatino Linotype" w:hAnsi="Palatino Linotype" w:cs="Palatino Linotype"/>
          <w:color w:val="000000" w:themeColor="text1"/>
          <w:sz w:val="24"/>
          <w:szCs w:val="24"/>
        </w:rPr>
        <w:t xml:space="preserve"> En este supuesto,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deja sin efectos la primera respuesta y en su lugar emite otra que satisfaga lo solicitado por el particular en un primer momento.</w:t>
      </w:r>
    </w:p>
    <w:p w:rsidR="007914A4"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lastRenderedPageBreak/>
        <w:t>Las consecuencias jurídicas de esta modificación o revocación es que el recurso de revisión interpuesto quede sin efectos o sin materia, ya que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bookmarkStart w:id="7" w:name="_heading=h.q7l9nvxl61ir" w:colFirst="0" w:colLast="0"/>
      <w:bookmarkEnd w:id="7"/>
    </w:p>
    <w:p w:rsidR="00063094" w:rsidRPr="00565AD1" w:rsidRDefault="00063094" w:rsidP="00063094">
      <w:pPr>
        <w:spacing w:line="360" w:lineRule="auto"/>
        <w:jc w:val="both"/>
        <w:rPr>
          <w:rFonts w:ascii="Palatino Linotype" w:eastAsia="Palatino Linotype" w:hAnsi="Palatino Linotype" w:cs="Palatino Linotype"/>
          <w:color w:val="000000" w:themeColor="text1"/>
          <w:sz w:val="24"/>
          <w:szCs w:val="24"/>
        </w:rPr>
      </w:pPr>
    </w:p>
    <w:p w:rsidR="007914A4"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Luego entonces, respecto de la información solicitada, se observa que el </w:t>
      </w:r>
      <w:r w:rsidRPr="00565AD1">
        <w:rPr>
          <w:rFonts w:ascii="Palatino Linotype" w:eastAsia="Palatino Linotype" w:hAnsi="Palatino Linotype" w:cs="Palatino Linotype"/>
          <w:b/>
          <w:color w:val="000000" w:themeColor="text1"/>
          <w:sz w:val="24"/>
          <w:szCs w:val="24"/>
        </w:rPr>
        <w:t xml:space="preserve">SUJETO OBLIGADO, </w:t>
      </w:r>
      <w:r w:rsidRPr="00565AD1">
        <w:rPr>
          <w:rFonts w:ascii="Palatino Linotype" w:eastAsia="Palatino Linotype" w:hAnsi="Palatino Linotype" w:cs="Palatino Linotype"/>
          <w:color w:val="000000" w:themeColor="text1"/>
          <w:sz w:val="24"/>
          <w:szCs w:val="24"/>
        </w:rPr>
        <w:t xml:space="preserve">no cuenta con fuente obligacional para generar, poseer y/o administrar un documento y/o expresión documental en donde se observen las acciones y logros en los 70 días, sin embargo, se remitieron las ligas de acceso en donde puede consultar las acciones y logros del ayuntamiento en diferentes plataformas, es decir, remitió la información como obra en sus archivos. </w:t>
      </w:r>
    </w:p>
    <w:p w:rsidR="007914A4" w:rsidRPr="00565AD1" w:rsidRDefault="007914A4"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En ese orden de ideas, es dable también señalar </w:t>
      </w:r>
      <w:r w:rsidRPr="00565AD1">
        <w:rPr>
          <w:rFonts w:ascii="Palatino Linotype" w:eastAsia="Palatino Linotype" w:hAnsi="Palatino Linotype" w:cs="Palatino Linotype"/>
          <w:color w:val="000000" w:themeColor="text1"/>
          <w:sz w:val="24"/>
          <w:szCs w:val="24"/>
          <w:u w:val="single"/>
        </w:rPr>
        <w:t xml:space="preserve">que los sujetos obligados tampoco </w:t>
      </w:r>
      <w:r w:rsidRPr="00565AD1">
        <w:rPr>
          <w:rFonts w:ascii="Palatino Linotype" w:eastAsia="Palatino Linotype" w:hAnsi="Palatino Linotype" w:cs="Palatino Linotype"/>
          <w:color w:val="000000" w:themeColor="text1"/>
          <w:sz w:val="24"/>
          <w:szCs w:val="24"/>
        </w:rPr>
        <w:t>se</w:t>
      </w:r>
      <w:r w:rsidRPr="00565AD1">
        <w:rPr>
          <w:rFonts w:ascii="Palatino Linotype" w:eastAsia="Palatino Linotype" w:hAnsi="Palatino Linotype" w:cs="Palatino Linotype"/>
          <w:color w:val="000000" w:themeColor="text1"/>
          <w:sz w:val="24"/>
          <w:szCs w:val="24"/>
          <w:u w:val="single"/>
        </w:rPr>
        <w:t xml:space="preserve"> encuentran compelidos a generar documentos </w:t>
      </w:r>
      <w:r w:rsidRPr="00565AD1">
        <w:rPr>
          <w:rFonts w:ascii="Palatino Linotype" w:eastAsia="Palatino Linotype" w:hAnsi="Palatino Linotype" w:cs="Palatino Linotype"/>
          <w:i/>
          <w:color w:val="000000" w:themeColor="text1"/>
          <w:sz w:val="24"/>
          <w:szCs w:val="24"/>
          <w:u w:val="single"/>
        </w:rPr>
        <w:t>Ad hoc</w:t>
      </w:r>
      <w:r w:rsidRPr="00565AD1">
        <w:rPr>
          <w:rFonts w:ascii="Palatino Linotype" w:eastAsia="Palatino Linotype" w:hAnsi="Palatino Linotype" w:cs="Palatino Linotype"/>
          <w:color w:val="000000" w:themeColor="text1"/>
          <w:sz w:val="24"/>
          <w:szCs w:val="24"/>
        </w:rPr>
        <w:t>, pues se reitera que el derecho de acceso a la información, es un derecho que versa sobre documentos que los sujetos obligados, generen, posean o administren,</w:t>
      </w:r>
      <w:r w:rsidRPr="00565AD1">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u w:val="single"/>
        </w:rPr>
        <w:t>previo a la interposición de la solicitud de información,</w:t>
      </w:r>
      <w:r w:rsidRPr="00565AD1">
        <w:rPr>
          <w:rFonts w:ascii="Palatino Linotype" w:eastAsia="Palatino Linotype" w:hAnsi="Palatino Linotype" w:cs="Palatino Linotype"/>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u w:val="single"/>
        </w:rPr>
        <w:t>no así a generar nuevos documentos con la finalidad de satisfacer las pretensiones particulares de los solicitantes</w:t>
      </w:r>
      <w:r w:rsidRPr="00565AD1">
        <w:rPr>
          <w:rFonts w:ascii="Palatino Linotype" w:eastAsia="Palatino Linotype" w:hAnsi="Palatino Linotype" w:cs="Palatino Linotype"/>
          <w:color w:val="000000" w:themeColor="text1"/>
          <w:sz w:val="24"/>
          <w:szCs w:val="24"/>
        </w:rPr>
        <w:t xml:space="preserve">, como apoyo a lo anterior, es aplicable por analogía el </w:t>
      </w:r>
      <w:r w:rsidRPr="00565AD1">
        <w:rPr>
          <w:rFonts w:ascii="Palatino Linotype" w:eastAsia="Palatino Linotype" w:hAnsi="Palatino Linotype" w:cs="Palatino Linotype"/>
          <w:b/>
          <w:color w:val="000000" w:themeColor="text1"/>
          <w:sz w:val="24"/>
          <w:szCs w:val="24"/>
        </w:rPr>
        <w:t>Criterio 03/17</w:t>
      </w:r>
      <w:r w:rsidRPr="00565AD1">
        <w:rPr>
          <w:rFonts w:ascii="Palatino Linotype" w:eastAsia="Palatino Linotype" w:hAnsi="Palatino Linotype" w:cs="Palatino Linotype"/>
          <w:color w:val="000000" w:themeColor="text1"/>
          <w:sz w:val="24"/>
          <w:szCs w:val="24"/>
        </w:rPr>
        <w:t>, emitido por el Pleno del Instituto Nacional de Transparencia, Acceso a la Información y Protección de Datos Personales (INAI), que a la letra dice:</w:t>
      </w:r>
    </w:p>
    <w:p w:rsidR="009D3A07" w:rsidRPr="00565AD1" w:rsidRDefault="009D3A07" w:rsidP="007914A4">
      <w:pPr>
        <w:pBdr>
          <w:top w:val="nil"/>
          <w:left w:val="nil"/>
          <w:bottom w:val="nil"/>
          <w:right w:val="nil"/>
          <w:between w:val="nil"/>
        </w:pBdr>
        <w:spacing w:line="360" w:lineRule="auto"/>
        <w:rPr>
          <w:rFonts w:ascii="Palatino Linotype" w:eastAsia="Palatino Linotype" w:hAnsi="Palatino Linotype" w:cs="Palatino Linotype"/>
          <w:i/>
          <w:color w:val="000000" w:themeColor="text1"/>
          <w:sz w:val="24"/>
          <w:szCs w:val="24"/>
        </w:rPr>
      </w:pPr>
    </w:p>
    <w:p w:rsidR="009D3A07" w:rsidRPr="00565AD1" w:rsidRDefault="00472B11" w:rsidP="007914A4">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b/>
          <w:i/>
          <w:color w:val="000000" w:themeColor="text1"/>
          <w:sz w:val="24"/>
          <w:szCs w:val="24"/>
        </w:rPr>
        <w:lastRenderedPageBreak/>
        <w:t xml:space="preserve">“No existe obligación de elaborar documentos ad hoc para atender las solicitudes de acceso a la información. </w:t>
      </w:r>
      <w:r w:rsidRPr="00565AD1">
        <w:rPr>
          <w:rFonts w:ascii="Palatino Linotype" w:eastAsia="Palatino Linotype" w:hAnsi="Palatino Linotype" w:cs="Palatino Linotype"/>
          <w:i/>
          <w:color w:val="000000" w:themeColor="text1"/>
          <w:sz w:val="24"/>
          <w:szCs w:val="24"/>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Es por lo expuesto con antelación que, este Pleno advierte que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con la información enviada a través del informe de justificación, </w:t>
      </w:r>
      <w:r w:rsidRPr="00565AD1">
        <w:rPr>
          <w:rFonts w:ascii="Palatino Linotype" w:eastAsia="Palatino Linotype" w:hAnsi="Palatino Linotype" w:cs="Palatino Linotype"/>
          <w:b/>
          <w:color w:val="000000" w:themeColor="text1"/>
          <w:sz w:val="24"/>
          <w:szCs w:val="24"/>
        </w:rPr>
        <w:t>modifica</w:t>
      </w:r>
      <w:r w:rsidRPr="00565AD1">
        <w:rPr>
          <w:rFonts w:ascii="Palatino Linotype" w:eastAsia="Palatino Linotype" w:hAnsi="Palatino Linotype" w:cs="Palatino Linotype"/>
          <w:color w:val="000000" w:themeColor="text1"/>
          <w:sz w:val="24"/>
          <w:szCs w:val="24"/>
        </w:rPr>
        <w:t xml:space="preserve"> el acto que le dio origen al recurso de revisión, colmándose en su totalidad la solicitud de información</w:t>
      </w:r>
      <w:r w:rsidRPr="00565AD1">
        <w:rPr>
          <w:rFonts w:ascii="Palatino Linotype" w:eastAsia="Verdana" w:hAnsi="Palatino Linotype" w:cs="Verdana"/>
          <w:b/>
          <w:color w:val="000000" w:themeColor="text1"/>
          <w:sz w:val="24"/>
          <w:szCs w:val="24"/>
        </w:rPr>
        <w:t xml:space="preserve"> </w:t>
      </w:r>
      <w:r w:rsidRPr="00565AD1">
        <w:rPr>
          <w:rFonts w:ascii="Palatino Linotype" w:eastAsia="Palatino Linotype" w:hAnsi="Palatino Linotype" w:cs="Palatino Linotype"/>
          <w:b/>
          <w:color w:val="000000" w:themeColor="text1"/>
          <w:sz w:val="24"/>
          <w:szCs w:val="24"/>
        </w:rPr>
        <w:t> </w:t>
      </w:r>
      <w:hyperlink r:id="rId19">
        <w:r w:rsidRPr="00565AD1">
          <w:rPr>
            <w:rFonts w:ascii="Palatino Linotype" w:eastAsia="Palatino Linotype" w:hAnsi="Palatino Linotype" w:cs="Palatino Linotype"/>
            <w:b/>
            <w:color w:val="000000" w:themeColor="text1"/>
            <w:sz w:val="24"/>
            <w:szCs w:val="24"/>
          </w:rPr>
          <w:t>01683/TOLUCA/IP/2025</w:t>
        </w:r>
      </w:hyperlink>
      <w:r w:rsidRPr="00565AD1">
        <w:rPr>
          <w:rFonts w:ascii="Palatino Linotype" w:eastAsia="Palatino Linotype" w:hAnsi="Palatino Linotype" w:cs="Palatino Linotype"/>
          <w:color w:val="000000" w:themeColor="text1"/>
          <w:sz w:val="24"/>
          <w:szCs w:val="24"/>
        </w:rPr>
        <w:t>, lo que trae como consecuencia que, el presente recurso quede sin materia, actualizándose de este modo, la hipótesis jurídica contenida en la fracción III del artículo 192 de la Ley de Transparencia y Acceso a la Información Pública del Estado de México y Municipios.</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Dicho lo anterior este Órgano Resolutor arriba a la conclusión que, con la información proporcionada al momento de rendir el Informe Justificado correspondiente, se colma en su totalidad la solicitud</w:t>
      </w:r>
      <w:r w:rsidRPr="00565AD1">
        <w:rPr>
          <w:rFonts w:ascii="Palatino Linotype" w:eastAsia="Palatino Linotype" w:hAnsi="Palatino Linotype" w:cs="Palatino Linotype"/>
          <w:b/>
          <w:color w:val="000000" w:themeColor="text1"/>
          <w:sz w:val="24"/>
          <w:szCs w:val="24"/>
        </w:rPr>
        <w:t> 01683/TOLUCA/IP/2025.</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Es así que la ley prevé que cuando el </w:t>
      </w:r>
      <w:r w:rsidRPr="00565AD1">
        <w:rPr>
          <w:rFonts w:ascii="Palatino Linotype" w:eastAsia="Palatino Linotype" w:hAnsi="Palatino Linotype" w:cs="Palatino Linotype"/>
          <w:b/>
          <w:color w:val="000000" w:themeColor="text1"/>
          <w:sz w:val="24"/>
          <w:szCs w:val="24"/>
        </w:rPr>
        <w:t xml:space="preserve">SUJETO OBLIGADO, </w:t>
      </w:r>
      <w:r w:rsidRPr="00565AD1">
        <w:rPr>
          <w:rFonts w:ascii="Palatino Linotype" w:eastAsia="Palatino Linotype" w:hAnsi="Palatino Linotype" w:cs="Palatino Linotype"/>
          <w:color w:val="000000" w:themeColor="text1"/>
          <w:sz w:val="24"/>
          <w:szCs w:val="24"/>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w:t>
      </w:r>
      <w:r w:rsidRPr="00565AD1">
        <w:rPr>
          <w:rFonts w:ascii="Palatino Linotype" w:eastAsia="Palatino Linotype" w:hAnsi="Palatino Linotype" w:cs="Palatino Linotype"/>
          <w:color w:val="000000" w:themeColor="text1"/>
          <w:sz w:val="24"/>
          <w:szCs w:val="24"/>
        </w:rPr>
        <w:lastRenderedPageBreak/>
        <w:t xml:space="preserve">de la </w:t>
      </w:r>
      <w:r w:rsidRPr="00565AD1">
        <w:rPr>
          <w:rFonts w:ascii="Palatino Linotype" w:eastAsia="Palatino Linotype" w:hAnsi="Palatino Linotype" w:cs="Palatino Linotype"/>
          <w:i/>
          <w:color w:val="000000" w:themeColor="text1"/>
          <w:sz w:val="24"/>
          <w:szCs w:val="24"/>
        </w:rPr>
        <w:t>Litis</w:t>
      </w:r>
      <w:r w:rsidRPr="00565AD1">
        <w:rPr>
          <w:rFonts w:ascii="Palatino Linotype" w:eastAsia="Palatino Linotype" w:hAnsi="Palatino Linotype" w:cs="Palatino Linotype"/>
          <w:color w:val="000000" w:themeColor="text1"/>
          <w:sz w:val="24"/>
          <w:szCs w:val="24"/>
        </w:rPr>
        <w:t xml:space="preserve"> planteada, debido a que la afectación en su esfera de derechos fue restituida por la propia autoridad que emitió el acto motivo de impugnación.</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Sirve de sustento a lo anterior la siguiente jurisprudencia por contradicción, cuyo rubro, texto y datos de identificación son los siguientes:</w:t>
      </w:r>
    </w:p>
    <w:p w:rsidR="009D3A07" w:rsidRPr="00565AD1" w:rsidRDefault="00472B11" w:rsidP="007914A4">
      <w:pPr>
        <w:spacing w:line="360" w:lineRule="auto"/>
        <w:jc w:val="both"/>
        <w:rPr>
          <w:rFonts w:ascii="Palatino Linotype" w:eastAsia="Palatino Linotype" w:hAnsi="Palatino Linotype" w:cs="Palatino Linotype"/>
          <w:i/>
          <w:color w:val="000000" w:themeColor="text1"/>
          <w:sz w:val="24"/>
          <w:szCs w:val="24"/>
        </w:rPr>
      </w:pPr>
      <w:r w:rsidRPr="00565AD1">
        <w:rPr>
          <w:rFonts w:ascii="Palatino Linotype" w:eastAsia="Palatino Linotype" w:hAnsi="Palatino Linotype" w:cs="Palatino Linotype"/>
          <w:b/>
          <w:i/>
          <w:color w:val="000000" w:themeColor="text1"/>
          <w:sz w:val="24"/>
          <w:szCs w:val="24"/>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565AD1">
        <w:rPr>
          <w:rFonts w:ascii="Palatino Linotype" w:eastAsia="Palatino Linotype" w:hAnsi="Palatino Linotype" w:cs="Palatino Linotype"/>
          <w:i/>
          <w:color w:val="000000" w:themeColor="text1"/>
          <w:sz w:val="24"/>
          <w:szCs w:val="24"/>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i/>
          <w:color w:val="000000" w:themeColor="text1"/>
          <w:sz w:val="24"/>
          <w:szCs w:val="24"/>
        </w:rPr>
        <w:lastRenderedPageBreak/>
        <w:t xml:space="preserve"> </w:t>
      </w:r>
      <w:r w:rsidRPr="00565AD1">
        <w:rPr>
          <w:rFonts w:ascii="Palatino Linotype" w:eastAsia="Palatino Linotype" w:hAnsi="Palatino Linotype" w:cs="Palatino Linotype"/>
          <w:color w:val="000000" w:themeColor="text1"/>
          <w:sz w:val="24"/>
          <w:szCs w:val="24"/>
        </w:rPr>
        <w:t>La anterior jurisprudencia resulta aplicable al presente asunto, en dos aspectos:</w:t>
      </w:r>
    </w:p>
    <w:p w:rsidR="009D3A07" w:rsidRPr="00565AD1" w:rsidRDefault="00472B11" w:rsidP="007914A4">
      <w:pPr>
        <w:numPr>
          <w:ilvl w:val="0"/>
          <w:numId w:val="6"/>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b/>
          <w:color w:val="000000" w:themeColor="text1"/>
          <w:sz w:val="24"/>
          <w:szCs w:val="24"/>
        </w:rPr>
        <w:t>La cesación de los efectos perniciosos del acto de autoridad:</w:t>
      </w:r>
      <w:r w:rsidRPr="00565AD1">
        <w:rPr>
          <w:rFonts w:ascii="Palatino Linotype" w:eastAsia="Palatino Linotype" w:hAnsi="Palatino Linotype" w:cs="Palatino Linotype"/>
          <w:color w:val="000000" w:themeColor="text1"/>
          <w:sz w:val="24"/>
          <w:szCs w:val="24"/>
        </w:rPr>
        <w:t xml:space="preserve"> Al respecto, la Ley de Transparencia contempla la figura jurídica del sobreseimiento cuando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de </w:t>
      </w:r>
      <w:r w:rsidRPr="00565AD1">
        <w:rPr>
          <w:rFonts w:ascii="Palatino Linotype" w:eastAsia="Palatino Linotype" w:hAnsi="Palatino Linotype" w:cs="Palatino Linotype"/>
          <w:i/>
          <w:color w:val="000000" w:themeColor="text1"/>
          <w:sz w:val="24"/>
          <w:szCs w:val="24"/>
        </w:rPr>
        <w:t>motu proprio</w:t>
      </w:r>
      <w:r w:rsidRPr="00565AD1">
        <w:rPr>
          <w:rFonts w:ascii="Palatino Linotype" w:eastAsia="Palatino Linotype" w:hAnsi="Palatino Linotype" w:cs="Palatino Linotype"/>
          <w:color w:val="000000" w:themeColor="text1"/>
          <w:sz w:val="24"/>
          <w:szCs w:val="24"/>
        </w:rPr>
        <w:t xml:space="preserve"> modifica o revoca de tal manera el acto motivo de la impugnación que lo deja sin materia; es decir, cesan los efectos de éste y el derecho de acceso a la información pública se encuentra satisfecho.</w:t>
      </w:r>
    </w:p>
    <w:p w:rsidR="009D3A07" w:rsidRPr="00565AD1" w:rsidRDefault="00472B11" w:rsidP="007914A4">
      <w:pPr>
        <w:numPr>
          <w:ilvl w:val="0"/>
          <w:numId w:val="6"/>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b/>
          <w:color w:val="000000" w:themeColor="text1"/>
          <w:sz w:val="24"/>
          <w:szCs w:val="24"/>
        </w:rPr>
        <w:t>El momento procesal para modificar el acto impugnado:</w:t>
      </w:r>
      <w:r w:rsidRPr="00565AD1">
        <w:rPr>
          <w:rFonts w:ascii="Palatino Linotype" w:eastAsia="Palatino Linotype" w:hAnsi="Palatino Linotype" w:cs="Palatino Linotype"/>
          <w:color w:val="000000" w:themeColor="text1"/>
          <w:sz w:val="24"/>
          <w:szCs w:val="24"/>
        </w:rPr>
        <w:t xml:space="preserve"> Para que se actualice el sobreseimiento de un recurso de revisión,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puede entregar o completar la información al momento de rendir su informe de justificación o </w:t>
      </w:r>
      <w:r w:rsidRPr="00565AD1">
        <w:rPr>
          <w:rFonts w:ascii="Palatino Linotype" w:eastAsia="Palatino Linotype" w:hAnsi="Palatino Linotype" w:cs="Palatino Linotype"/>
          <w:b/>
          <w:color w:val="000000" w:themeColor="text1"/>
          <w:sz w:val="24"/>
          <w:szCs w:val="24"/>
          <w:u w:val="single"/>
        </w:rPr>
        <w:t>posteriormente</w:t>
      </w:r>
      <w:r w:rsidRPr="00565AD1">
        <w:rPr>
          <w:rFonts w:ascii="Palatino Linotype" w:eastAsia="Palatino Linotype" w:hAnsi="Palatino Linotype" w:cs="Palatino Linotype"/>
          <w:color w:val="000000" w:themeColor="text1"/>
          <w:sz w:val="24"/>
          <w:szCs w:val="24"/>
        </w:rPr>
        <w:t xml:space="preserve"> a éste, siempre y cuando el Pleno del Instituto no haya dictado resolución definitiva.</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Eduardo Pallares, en su artículo </w:t>
      </w:r>
      <w:r w:rsidRPr="00565AD1">
        <w:rPr>
          <w:rFonts w:ascii="Palatino Linotype" w:eastAsia="Palatino Linotype" w:hAnsi="Palatino Linotype" w:cs="Palatino Linotype"/>
          <w:i/>
          <w:color w:val="000000" w:themeColor="text1"/>
          <w:sz w:val="24"/>
          <w:szCs w:val="24"/>
        </w:rPr>
        <w:t>“La caducidad y el sobreseimiento en el amparo”</w:t>
      </w:r>
      <w:r w:rsidRPr="00565AD1">
        <w:rPr>
          <w:rFonts w:ascii="Palatino Linotype" w:eastAsia="Palatino Linotype" w:hAnsi="Palatino Linotype" w:cs="Palatino Linotype"/>
          <w:color w:val="000000" w:themeColor="text1"/>
          <w:sz w:val="24"/>
          <w:szCs w:val="24"/>
        </w:rPr>
        <w:t xml:space="preserve">, cita la definición de Aguilera Paz, aduciendo que se </w:t>
      </w:r>
      <w:r w:rsidRPr="00565AD1">
        <w:rPr>
          <w:rFonts w:ascii="Palatino Linotype" w:eastAsia="Palatino Linotype" w:hAnsi="Palatino Linotype" w:cs="Palatino Linotype"/>
          <w:i/>
          <w:color w:val="000000" w:themeColor="text1"/>
          <w:sz w:val="24"/>
          <w:szCs w:val="24"/>
        </w:rPr>
        <w:t>“...entiende por sobreseimiento en el tecnicismo forense, el hecho de cesar en el procedimiento o curso de la causa, por no existir méritos bastantes para entrar en un juicio o para entablar la contienda judicial que debe ser objeto del mismo...”</w:t>
      </w:r>
      <w:r w:rsidRPr="00565AD1">
        <w:rPr>
          <w:rFonts w:ascii="Palatino Linotype" w:eastAsia="Palatino Linotype" w:hAnsi="Palatino Linotype" w:cs="Palatino Linotype"/>
          <w:color w:val="000000" w:themeColor="text1"/>
          <w:sz w:val="24"/>
          <w:szCs w:val="24"/>
        </w:rPr>
        <w:t>. Asimismo señala que existe el sobreseimiento provisional y el definitivo</w:t>
      </w:r>
      <w:r w:rsidRPr="00565AD1">
        <w:rPr>
          <w:rFonts w:ascii="Palatino Linotype" w:eastAsia="Palatino Linotype" w:hAnsi="Palatino Linotype" w:cs="Palatino Linotype"/>
          <w:i/>
          <w:color w:val="000000" w:themeColor="text1"/>
          <w:sz w:val="24"/>
          <w:szCs w:val="24"/>
        </w:rPr>
        <w:t>: “...el definitivo es una verdadera sentencia que pone fin al juicio, y que una vez dictada, produce cosa juzgada, mientras que el provisorio tiene por efectos suspender la prosecución de la causa...”</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Asimismo, para que se actualice el sobreseimiento de un recurso de revisión,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puede entregar, completar o precisar la información al momento de rendir su informe justificado o dentro de los siete días previstos para manifestar lo que a su </w:t>
      </w:r>
      <w:r w:rsidRPr="00565AD1">
        <w:rPr>
          <w:rFonts w:ascii="Palatino Linotype" w:eastAsia="Palatino Linotype" w:hAnsi="Palatino Linotype" w:cs="Palatino Linotype"/>
          <w:color w:val="000000" w:themeColor="text1"/>
          <w:sz w:val="24"/>
          <w:szCs w:val="24"/>
        </w:rPr>
        <w:lastRenderedPageBreak/>
        <w:t>derecho convenga, lo anterior también puede ocurrir si entrega la información después de ese lapso pero antes del cierre de instrucción, tal como aconteció en el presente recurso.</w:t>
      </w:r>
    </w:p>
    <w:p w:rsidR="009D3A07" w:rsidRPr="00565AD1" w:rsidRDefault="009D3A07" w:rsidP="007914A4">
      <w:pPr>
        <w:pBdr>
          <w:top w:val="nil"/>
          <w:left w:val="nil"/>
          <w:bottom w:val="nil"/>
          <w:right w:val="nil"/>
          <w:between w:val="nil"/>
        </w:pBdr>
        <w:spacing w:after="240"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Bajo ese tenor, se colige que con la nueva información remitida por el </w:t>
      </w:r>
      <w:r w:rsidRPr="00565AD1">
        <w:rPr>
          <w:rFonts w:ascii="Palatino Linotype" w:eastAsia="Palatino Linotype" w:hAnsi="Palatino Linotype" w:cs="Palatino Linotype"/>
          <w:b/>
          <w:color w:val="000000" w:themeColor="text1"/>
          <w:sz w:val="24"/>
          <w:szCs w:val="24"/>
        </w:rPr>
        <w:t xml:space="preserve">SUJETO OBLIGADO, </w:t>
      </w:r>
      <w:r w:rsidRPr="00565AD1">
        <w:rPr>
          <w:rFonts w:ascii="Palatino Linotype" w:eastAsia="Palatino Linotype" w:hAnsi="Palatino Linotype" w:cs="Palatino Linotype"/>
          <w:color w:val="000000" w:themeColor="text1"/>
          <w:sz w:val="24"/>
          <w:szCs w:val="24"/>
        </w:rPr>
        <w:t>se colma la solicitud de información</w:t>
      </w:r>
      <w:r w:rsidRPr="00565AD1">
        <w:rPr>
          <w:rFonts w:ascii="Palatino Linotype" w:eastAsia="Palatino Linotype" w:hAnsi="Palatino Linotype" w:cs="Palatino Linotype"/>
          <w:b/>
          <w:color w:val="000000" w:themeColor="text1"/>
          <w:sz w:val="24"/>
          <w:szCs w:val="24"/>
        </w:rPr>
        <w:t xml:space="preserve"> 01683/TOLUCA/IP/2025, </w:t>
      </w:r>
      <w:r w:rsidRPr="00565AD1">
        <w:rPr>
          <w:rFonts w:ascii="Palatino Linotype" w:eastAsia="Palatino Linotype" w:hAnsi="Palatino Linotype" w:cs="Palatino Linotype"/>
          <w:color w:val="000000" w:themeColor="text1"/>
          <w:sz w:val="24"/>
          <w:szCs w:val="24"/>
        </w:rPr>
        <w:t xml:space="preserve">y consecuentemente, los motivos de inconformidad hechos valer por </w:t>
      </w:r>
      <w:r w:rsidRPr="00565AD1">
        <w:rPr>
          <w:rFonts w:ascii="Palatino Linotype" w:eastAsia="Palatino Linotype" w:hAnsi="Palatino Linotype" w:cs="Palatino Linotype"/>
          <w:b/>
          <w:color w:val="000000" w:themeColor="text1"/>
          <w:sz w:val="24"/>
          <w:szCs w:val="24"/>
        </w:rPr>
        <w:t>EL RECURRENTE,</w:t>
      </w:r>
      <w:r w:rsidRPr="00565AD1">
        <w:rPr>
          <w:rFonts w:ascii="Palatino Linotype" w:eastAsia="Palatino Linotype" w:hAnsi="Palatino Linotype" w:cs="Palatino Linotype"/>
          <w:color w:val="000000" w:themeColor="text1"/>
          <w:sz w:val="24"/>
          <w:szCs w:val="24"/>
        </w:rPr>
        <w:t xml:space="preserve"> devienen inatendibles por actualizarse la figura del sobreseimiento, al cumplimentarse su derecho de acceso a la información y al quedarse sin materia el presente recurso, por lo que, en términos del artículo 186 fracción I de la Ley de Transparencia y Acceso a la Información Pública del Estado de México y Municipios este Pleno determina el </w:t>
      </w:r>
      <w:r w:rsidRPr="00565AD1">
        <w:rPr>
          <w:rFonts w:ascii="Palatino Linotype" w:eastAsia="Palatino Linotype" w:hAnsi="Palatino Linotype" w:cs="Palatino Linotype"/>
          <w:b/>
          <w:color w:val="000000" w:themeColor="text1"/>
          <w:sz w:val="24"/>
          <w:szCs w:val="24"/>
        </w:rPr>
        <w:t xml:space="preserve">SOBRESEIMIENTO </w:t>
      </w:r>
      <w:r w:rsidRPr="00565AD1">
        <w:rPr>
          <w:rFonts w:ascii="Palatino Linotype" w:eastAsia="Palatino Linotype" w:hAnsi="Palatino Linotype" w:cs="Palatino Linotype"/>
          <w:color w:val="000000" w:themeColor="text1"/>
          <w:sz w:val="24"/>
          <w:szCs w:val="24"/>
        </w:rPr>
        <w:t>del presente recurso de revisión, toda vez que la afectación al derecho de acceso a la información pública establecido constitucionalmente a favor del particular, ha sido resarcida.</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color w:val="000000" w:themeColor="text1"/>
          <w:sz w:val="24"/>
          <w:szCs w:val="24"/>
        </w:rPr>
        <w:t xml:space="preserve">Por lo anteriormente expuesto y fundado, este </w:t>
      </w:r>
      <w:r w:rsidRPr="00565AD1">
        <w:rPr>
          <w:rFonts w:ascii="Palatino Linotype" w:eastAsia="Palatino Linotype" w:hAnsi="Palatino Linotype" w:cs="Palatino Linotype"/>
          <w:b/>
          <w:color w:val="000000" w:themeColor="text1"/>
          <w:sz w:val="24"/>
          <w:szCs w:val="24"/>
        </w:rPr>
        <w:t>ÓRGANO GARANTE</w:t>
      </w:r>
      <w:r w:rsidRPr="00565AD1">
        <w:rPr>
          <w:rFonts w:ascii="Palatino Linotype" w:eastAsia="Palatino Linotype" w:hAnsi="Palatino Linotype" w:cs="Palatino Linotype"/>
          <w:color w:val="000000" w:themeColor="text1"/>
          <w:sz w:val="24"/>
          <w:szCs w:val="24"/>
        </w:rPr>
        <w:t xml:space="preserve"> emite los siguientes:</w:t>
      </w:r>
    </w:p>
    <w:p w:rsidR="009D3A07" w:rsidRPr="00565AD1"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565AD1" w:rsidRDefault="00472B11" w:rsidP="007914A4">
      <w:pPr>
        <w:keepNext/>
        <w:keepLines/>
        <w:spacing w:line="360" w:lineRule="auto"/>
        <w:jc w:val="center"/>
        <w:rPr>
          <w:rFonts w:ascii="Palatino Linotype" w:eastAsia="Palatino Linotype" w:hAnsi="Palatino Linotype" w:cs="Palatino Linotype"/>
          <w:b/>
          <w:color w:val="000000" w:themeColor="text1"/>
          <w:sz w:val="24"/>
          <w:szCs w:val="24"/>
        </w:rPr>
      </w:pPr>
      <w:bookmarkStart w:id="8" w:name="_heading=h.lnxbz9" w:colFirst="0" w:colLast="0"/>
      <w:bookmarkEnd w:id="8"/>
      <w:r w:rsidRPr="00565AD1">
        <w:rPr>
          <w:rFonts w:ascii="Palatino Linotype" w:eastAsia="Palatino Linotype" w:hAnsi="Palatino Linotype" w:cs="Palatino Linotype"/>
          <w:b/>
          <w:color w:val="000000" w:themeColor="text1"/>
          <w:sz w:val="24"/>
          <w:szCs w:val="24"/>
        </w:rPr>
        <w:t>R E S O L U T I V O S</w:t>
      </w:r>
    </w:p>
    <w:p w:rsidR="009D3A07" w:rsidRPr="00565AD1" w:rsidRDefault="009D3A07" w:rsidP="007914A4">
      <w:pPr>
        <w:keepNext/>
        <w:keepLines/>
        <w:spacing w:line="360" w:lineRule="auto"/>
        <w:rPr>
          <w:rFonts w:ascii="Palatino Linotype" w:eastAsia="Palatino Linotype" w:hAnsi="Palatino Linotype" w:cs="Palatino Linotype"/>
          <w:b/>
          <w:color w:val="000000" w:themeColor="text1"/>
          <w:sz w:val="24"/>
          <w:szCs w:val="24"/>
        </w:rPr>
      </w:pPr>
    </w:p>
    <w:p w:rsidR="009D3A07" w:rsidRPr="00565AD1" w:rsidRDefault="00472B11" w:rsidP="007914A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b/>
          <w:color w:val="000000" w:themeColor="text1"/>
          <w:sz w:val="24"/>
          <w:szCs w:val="24"/>
        </w:rPr>
        <w:t xml:space="preserve">PRIMERO. </w:t>
      </w:r>
      <w:r w:rsidRPr="00565AD1">
        <w:rPr>
          <w:rFonts w:ascii="Palatino Linotype" w:eastAsia="Palatino Linotype" w:hAnsi="Palatino Linotype" w:cs="Palatino Linotype"/>
          <w:color w:val="000000" w:themeColor="text1"/>
          <w:sz w:val="24"/>
          <w:szCs w:val="24"/>
        </w:rPr>
        <w:t xml:space="preserve">Se </w:t>
      </w:r>
      <w:r w:rsidRPr="00565AD1">
        <w:rPr>
          <w:rFonts w:ascii="Palatino Linotype" w:eastAsia="Palatino Linotype" w:hAnsi="Palatino Linotype" w:cs="Palatino Linotype"/>
          <w:b/>
          <w:color w:val="000000" w:themeColor="text1"/>
          <w:sz w:val="24"/>
          <w:szCs w:val="24"/>
        </w:rPr>
        <w:t>SOBRESEE</w:t>
      </w:r>
      <w:r w:rsidRPr="00565AD1">
        <w:rPr>
          <w:rFonts w:ascii="Palatino Linotype" w:eastAsia="Palatino Linotype" w:hAnsi="Palatino Linotype" w:cs="Palatino Linotype"/>
          <w:color w:val="000000" w:themeColor="text1"/>
          <w:sz w:val="24"/>
          <w:szCs w:val="24"/>
        </w:rPr>
        <w:t xml:space="preserve"> el Recurso de Revisión número </w:t>
      </w:r>
      <w:r w:rsidRPr="00565AD1">
        <w:rPr>
          <w:rFonts w:ascii="Palatino Linotype" w:eastAsia="Palatino Linotype" w:hAnsi="Palatino Linotype" w:cs="Palatino Linotype"/>
          <w:b/>
          <w:color w:val="000000" w:themeColor="text1"/>
          <w:sz w:val="24"/>
          <w:szCs w:val="24"/>
        </w:rPr>
        <w:t>04488/INFOEM/IP/RR/2025</w:t>
      </w:r>
      <w:r w:rsidRPr="00565AD1">
        <w:rPr>
          <w:rFonts w:ascii="Palatino Linotype" w:eastAsia="Palatino Linotype" w:hAnsi="Palatino Linotype" w:cs="Palatino Linotype"/>
          <w:color w:val="000000" w:themeColor="text1"/>
          <w:sz w:val="24"/>
          <w:szCs w:val="24"/>
        </w:rPr>
        <w:t xml:space="preserve">, conforme al artículo 192, fracción III, de la Ley de Transparencia y Acceso a la Información Pública del Estado de México y Municipios, porque al modificar la respuesta el </w:t>
      </w:r>
      <w:r w:rsidRPr="00565AD1">
        <w:rPr>
          <w:rFonts w:ascii="Palatino Linotype" w:eastAsia="Palatino Linotype" w:hAnsi="Palatino Linotype" w:cs="Palatino Linotype"/>
          <w:b/>
          <w:color w:val="000000" w:themeColor="text1"/>
          <w:sz w:val="24"/>
          <w:szCs w:val="24"/>
        </w:rPr>
        <w:t>SUJETO OBLIGADO</w:t>
      </w:r>
      <w:r w:rsidRPr="00565AD1">
        <w:rPr>
          <w:rFonts w:ascii="Palatino Linotype" w:eastAsia="Palatino Linotype" w:hAnsi="Palatino Linotype" w:cs="Palatino Linotype"/>
          <w:color w:val="000000" w:themeColor="text1"/>
          <w:sz w:val="24"/>
          <w:szCs w:val="24"/>
        </w:rPr>
        <w:t xml:space="preserve">, el recurso de revisión quedó sin materia en términos del  Considerando </w:t>
      </w:r>
      <w:r w:rsidRPr="00565AD1">
        <w:rPr>
          <w:rFonts w:ascii="Palatino Linotype" w:eastAsia="Palatino Linotype" w:hAnsi="Palatino Linotype" w:cs="Palatino Linotype"/>
          <w:b/>
          <w:color w:val="000000" w:themeColor="text1"/>
          <w:sz w:val="24"/>
          <w:szCs w:val="24"/>
        </w:rPr>
        <w:t>TERCERO</w:t>
      </w:r>
      <w:r w:rsidRPr="00565AD1">
        <w:rPr>
          <w:rFonts w:ascii="Palatino Linotype" w:eastAsia="Palatino Linotype" w:hAnsi="Palatino Linotype" w:cs="Palatino Linotype"/>
          <w:color w:val="000000" w:themeColor="text1"/>
          <w:sz w:val="24"/>
          <w:szCs w:val="24"/>
        </w:rPr>
        <w:t xml:space="preserve"> de la presente resolución.</w:t>
      </w:r>
    </w:p>
    <w:p w:rsidR="009D3A07" w:rsidRPr="00565AD1" w:rsidRDefault="00472B11" w:rsidP="007914A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sz w:val="24"/>
          <w:szCs w:val="24"/>
        </w:rPr>
      </w:pPr>
      <w:bookmarkStart w:id="9" w:name="_heading=h.35nkun2" w:colFirst="0" w:colLast="0"/>
      <w:bookmarkEnd w:id="9"/>
      <w:r w:rsidRPr="00565AD1">
        <w:rPr>
          <w:rFonts w:ascii="Palatino Linotype" w:eastAsia="Palatino Linotype" w:hAnsi="Palatino Linotype" w:cs="Palatino Linotype"/>
          <w:b/>
          <w:color w:val="000000" w:themeColor="text1"/>
          <w:sz w:val="24"/>
          <w:szCs w:val="24"/>
        </w:rPr>
        <w:lastRenderedPageBreak/>
        <w:t xml:space="preserve">SEGUNDO. Notifíquese </w:t>
      </w:r>
      <w:r w:rsidRPr="00565AD1">
        <w:rPr>
          <w:rFonts w:ascii="Palatino Linotype" w:eastAsia="Palatino Linotype" w:hAnsi="Palatino Linotype" w:cs="Palatino Linotype"/>
          <w:color w:val="000000" w:themeColor="text1"/>
          <w:sz w:val="24"/>
          <w:szCs w:val="24"/>
        </w:rPr>
        <w:t xml:space="preserve">a través del Sistema de Acceso a la Información Mexiquense </w:t>
      </w:r>
      <w:r w:rsidRPr="00565AD1">
        <w:rPr>
          <w:rFonts w:ascii="Palatino Linotype" w:eastAsia="Palatino Linotype" w:hAnsi="Palatino Linotype" w:cs="Palatino Linotype"/>
          <w:b/>
          <w:color w:val="000000" w:themeColor="text1"/>
          <w:sz w:val="24"/>
          <w:szCs w:val="24"/>
        </w:rPr>
        <w:t xml:space="preserve">(SAIMEX) </w:t>
      </w:r>
      <w:r w:rsidRPr="00565AD1">
        <w:rPr>
          <w:rFonts w:ascii="Palatino Linotype" w:eastAsia="Palatino Linotype" w:hAnsi="Palatino Linotype" w:cs="Palatino Linotype"/>
          <w:color w:val="000000" w:themeColor="text1"/>
          <w:sz w:val="24"/>
          <w:szCs w:val="24"/>
        </w:rPr>
        <w:t>la presente resolución al Titular de la Unidad de Transparencia del</w:t>
      </w:r>
      <w:r w:rsidRPr="00565AD1">
        <w:rPr>
          <w:rFonts w:ascii="Palatino Linotype" w:eastAsia="Palatino Linotype" w:hAnsi="Palatino Linotype" w:cs="Palatino Linotype"/>
          <w:b/>
          <w:color w:val="000000" w:themeColor="text1"/>
          <w:sz w:val="24"/>
          <w:szCs w:val="24"/>
        </w:rPr>
        <w:t xml:space="preserve"> SUJETO OBLIGADO. </w:t>
      </w:r>
    </w:p>
    <w:p w:rsidR="009D3A07" w:rsidRPr="00565AD1" w:rsidRDefault="009D3A07" w:rsidP="007914A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sz w:val="24"/>
          <w:szCs w:val="24"/>
        </w:rPr>
      </w:pPr>
    </w:p>
    <w:p w:rsidR="009D3A07" w:rsidRPr="00565AD1" w:rsidRDefault="00472B11" w:rsidP="007914A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b/>
          <w:color w:val="000000" w:themeColor="text1"/>
          <w:sz w:val="24"/>
          <w:szCs w:val="24"/>
        </w:rPr>
        <w:t xml:space="preserve">TERCERO. Notifíquese </w:t>
      </w:r>
      <w:r w:rsidRPr="00565AD1">
        <w:rPr>
          <w:rFonts w:ascii="Palatino Linotype" w:eastAsia="Palatino Linotype" w:hAnsi="Palatino Linotype" w:cs="Palatino Linotype"/>
          <w:color w:val="000000" w:themeColor="text1"/>
          <w:sz w:val="24"/>
          <w:szCs w:val="24"/>
        </w:rPr>
        <w:t xml:space="preserve">al </w:t>
      </w:r>
      <w:r w:rsidRPr="00565AD1">
        <w:rPr>
          <w:rFonts w:ascii="Palatino Linotype" w:eastAsia="Palatino Linotype" w:hAnsi="Palatino Linotype" w:cs="Palatino Linotype"/>
          <w:b/>
          <w:color w:val="000000" w:themeColor="text1"/>
          <w:sz w:val="24"/>
          <w:szCs w:val="24"/>
        </w:rPr>
        <w:t xml:space="preserve">RECURRENTE </w:t>
      </w:r>
      <w:r w:rsidRPr="00565AD1">
        <w:rPr>
          <w:rFonts w:ascii="Palatino Linotype" w:eastAsia="Palatino Linotype" w:hAnsi="Palatino Linotype" w:cs="Palatino Linotype"/>
          <w:color w:val="000000" w:themeColor="text1"/>
          <w:sz w:val="24"/>
          <w:szCs w:val="24"/>
        </w:rPr>
        <w:t>la presente resolución, vía SAIMEX.</w:t>
      </w:r>
    </w:p>
    <w:p w:rsidR="009D3A07" w:rsidRPr="00565AD1" w:rsidRDefault="009D3A07" w:rsidP="007914A4">
      <w:pPr>
        <w:tabs>
          <w:tab w:val="left" w:pos="8080"/>
        </w:tabs>
        <w:spacing w:line="360" w:lineRule="auto"/>
        <w:jc w:val="both"/>
        <w:rPr>
          <w:rFonts w:ascii="Palatino Linotype" w:eastAsia="Palatino Linotype" w:hAnsi="Palatino Linotype" w:cs="Palatino Linotype"/>
          <w:b/>
          <w:color w:val="000000" w:themeColor="text1"/>
          <w:sz w:val="24"/>
          <w:szCs w:val="24"/>
        </w:rPr>
      </w:pPr>
    </w:p>
    <w:p w:rsidR="009D3A07" w:rsidRPr="00565AD1" w:rsidRDefault="00472B11" w:rsidP="007914A4">
      <w:pPr>
        <w:shd w:val="clear" w:color="auto" w:fill="FFFFFF"/>
        <w:spacing w:line="360" w:lineRule="auto"/>
        <w:jc w:val="both"/>
        <w:rPr>
          <w:rFonts w:ascii="Palatino Linotype" w:eastAsia="Palatino Linotype" w:hAnsi="Palatino Linotype" w:cs="Palatino Linotype"/>
          <w:color w:val="000000" w:themeColor="text1"/>
          <w:sz w:val="24"/>
          <w:szCs w:val="24"/>
        </w:rPr>
      </w:pPr>
      <w:r w:rsidRPr="00565AD1">
        <w:rPr>
          <w:rFonts w:ascii="Palatino Linotype" w:eastAsia="Palatino Linotype" w:hAnsi="Palatino Linotype" w:cs="Palatino Linotype"/>
          <w:b/>
          <w:color w:val="000000" w:themeColor="text1"/>
          <w:sz w:val="24"/>
          <w:szCs w:val="24"/>
        </w:rPr>
        <w:t>CUARTO.</w:t>
      </w:r>
      <w:r w:rsidRPr="00565AD1">
        <w:rPr>
          <w:rFonts w:ascii="Palatino Linotype" w:eastAsia="Palatino Linotype" w:hAnsi="Palatino Linotype" w:cs="Palatino Linotype"/>
          <w:color w:val="000000" w:themeColor="text1"/>
          <w:sz w:val="24"/>
          <w:szCs w:val="24"/>
        </w:rPr>
        <w:t xml:space="preserve"> Se hace del conocimiento del </w:t>
      </w:r>
      <w:r w:rsidRPr="00565AD1">
        <w:rPr>
          <w:rFonts w:ascii="Palatino Linotype" w:eastAsia="Palatino Linotype" w:hAnsi="Palatino Linotype" w:cs="Palatino Linotype"/>
          <w:b/>
          <w:color w:val="000000" w:themeColor="text1"/>
          <w:sz w:val="24"/>
          <w:szCs w:val="24"/>
        </w:rPr>
        <w:t xml:space="preserve">RECURRENTE </w:t>
      </w:r>
      <w:r w:rsidRPr="00565AD1">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1514B7" w:rsidRPr="00565AD1" w:rsidRDefault="001514B7" w:rsidP="007914A4">
      <w:pPr>
        <w:shd w:val="clear" w:color="auto" w:fill="FFFFFF"/>
        <w:spacing w:line="360" w:lineRule="auto"/>
        <w:jc w:val="both"/>
        <w:rPr>
          <w:rFonts w:ascii="Palatino Linotype" w:eastAsia="Palatino Linotype" w:hAnsi="Palatino Linotype" w:cs="Palatino Linotype"/>
          <w:color w:val="000000" w:themeColor="text1"/>
          <w:sz w:val="24"/>
          <w:szCs w:val="24"/>
        </w:rPr>
      </w:pPr>
      <w:bookmarkStart w:id="10" w:name="_heading=h.4d34og8" w:colFirst="0" w:colLast="0"/>
      <w:bookmarkEnd w:id="10"/>
    </w:p>
    <w:p w:rsidR="001514B7" w:rsidRPr="00444783" w:rsidRDefault="00565AD1" w:rsidP="001514B7">
      <w:pPr>
        <w:tabs>
          <w:tab w:val="left" w:pos="5387"/>
        </w:tabs>
        <w:spacing w:line="360" w:lineRule="auto"/>
        <w:ind w:right="49"/>
        <w:jc w:val="both"/>
        <w:rPr>
          <w:rFonts w:ascii="Palatino Linotype" w:eastAsia="Palatino Linotype" w:hAnsi="Palatino Linotype" w:cs="Palatino Linotype"/>
          <w:sz w:val="24"/>
          <w:szCs w:val="24"/>
        </w:rPr>
      </w:pPr>
      <w:bookmarkStart w:id="11" w:name="_heading=h.tyjcwt" w:colFirst="0" w:colLast="0"/>
      <w:bookmarkEnd w:id="11"/>
      <w:r w:rsidRPr="00565AD1">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CON AUSENCIA JUSTIFICADA, LUIS GUSTAVO PARRA NORIEGA Y GUADALUPE RAMÍREZ PEÑA; EN LA TRIGÉSIMA TERCERA SESIÓN ORDINARIA, CELEBRADA EL DIECIOCHO (18) DE SEPTIEMBRE DE DOS MIL VEINTICINCO, ANTE EL SECRETARIO TÉCNICO DEL PLENO ALEXIS TAPIA RAMÍREZ</w:t>
      </w:r>
      <w:r w:rsidR="001514B7" w:rsidRPr="00565AD1">
        <w:rPr>
          <w:rFonts w:ascii="Palatino Linotype" w:eastAsia="Palatino Linotype" w:hAnsi="Palatino Linotype" w:cs="Palatino Linotype"/>
          <w:sz w:val="24"/>
          <w:szCs w:val="24"/>
        </w:rPr>
        <w:t>.</w:t>
      </w:r>
    </w:p>
    <w:p w:rsidR="009D3A07" w:rsidRPr="007914A4" w:rsidRDefault="00472B11" w:rsidP="007914A4">
      <w:pPr>
        <w:spacing w:line="360" w:lineRule="auto"/>
        <w:jc w:val="both"/>
        <w:rPr>
          <w:rFonts w:ascii="Palatino Linotype" w:eastAsia="Palatino Linotype" w:hAnsi="Palatino Linotype" w:cs="Palatino Linotype"/>
          <w:color w:val="000000" w:themeColor="text1"/>
          <w:sz w:val="24"/>
          <w:szCs w:val="24"/>
        </w:rPr>
      </w:pPr>
      <w:r w:rsidRPr="007914A4">
        <w:rPr>
          <w:rFonts w:ascii="Palatino Linotype" w:eastAsia="Palatino Linotype" w:hAnsi="Palatino Linotype" w:cs="Palatino Linotype"/>
          <w:color w:val="000000" w:themeColor="text1"/>
          <w:sz w:val="24"/>
          <w:szCs w:val="24"/>
        </w:rPr>
        <w:t xml:space="preserve"> </w:t>
      </w:r>
    </w:p>
    <w:p w:rsidR="009D3A07" w:rsidRPr="007914A4" w:rsidRDefault="009D3A07" w:rsidP="007914A4">
      <w:pPr>
        <w:widowControl w:val="0"/>
        <w:spacing w:after="200" w:line="276" w:lineRule="auto"/>
        <w:rPr>
          <w:rFonts w:ascii="Palatino Linotype" w:hAnsi="Palatino Linotype"/>
          <w:color w:val="000000" w:themeColor="text1"/>
          <w:sz w:val="24"/>
          <w:szCs w:val="24"/>
        </w:rPr>
      </w:pPr>
    </w:p>
    <w:p w:rsidR="009D3A07" w:rsidRPr="007914A4" w:rsidRDefault="009D3A07" w:rsidP="007914A4">
      <w:pPr>
        <w:spacing w:before="240" w:after="240" w:line="360" w:lineRule="auto"/>
        <w:jc w:val="both"/>
        <w:rPr>
          <w:rFonts w:ascii="Palatino Linotype" w:eastAsia="Palatino Linotype" w:hAnsi="Palatino Linotype" w:cs="Palatino Linotype"/>
          <w:color w:val="000000" w:themeColor="text1"/>
          <w:sz w:val="24"/>
          <w:szCs w:val="24"/>
        </w:rPr>
      </w:pPr>
    </w:p>
    <w:p w:rsidR="009D3A07" w:rsidRPr="007914A4" w:rsidRDefault="009D3A07" w:rsidP="007914A4">
      <w:pPr>
        <w:spacing w:before="240" w:after="240" w:line="360" w:lineRule="auto"/>
        <w:jc w:val="both"/>
        <w:rPr>
          <w:rFonts w:ascii="Palatino Linotype" w:eastAsia="Palatino Linotype" w:hAnsi="Palatino Linotype" w:cs="Palatino Linotype"/>
          <w:color w:val="000000" w:themeColor="text1"/>
          <w:sz w:val="24"/>
          <w:szCs w:val="24"/>
        </w:rPr>
      </w:pPr>
    </w:p>
    <w:p w:rsidR="009D3A07" w:rsidRPr="007914A4" w:rsidRDefault="009D3A07" w:rsidP="007914A4">
      <w:pPr>
        <w:spacing w:before="240" w:after="240" w:line="360" w:lineRule="auto"/>
        <w:jc w:val="both"/>
        <w:rPr>
          <w:rFonts w:ascii="Palatino Linotype" w:eastAsia="Palatino Linotype" w:hAnsi="Palatino Linotype" w:cs="Palatino Linotype"/>
          <w:color w:val="000000" w:themeColor="text1"/>
          <w:sz w:val="24"/>
          <w:szCs w:val="24"/>
        </w:rPr>
      </w:pPr>
    </w:p>
    <w:p w:rsidR="009D3A07" w:rsidRPr="007914A4" w:rsidRDefault="009D3A07" w:rsidP="007914A4">
      <w:pPr>
        <w:spacing w:before="240" w:after="240" w:line="360" w:lineRule="auto"/>
        <w:jc w:val="both"/>
        <w:rPr>
          <w:rFonts w:ascii="Palatino Linotype" w:eastAsia="Palatino Linotype" w:hAnsi="Palatino Linotype" w:cs="Palatino Linotype"/>
          <w:color w:val="000000" w:themeColor="text1"/>
          <w:sz w:val="24"/>
          <w:szCs w:val="24"/>
        </w:rPr>
      </w:pPr>
    </w:p>
    <w:p w:rsidR="009D3A07" w:rsidRPr="007914A4"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7914A4"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7914A4" w:rsidRDefault="009D3A07" w:rsidP="007914A4">
      <w:pPr>
        <w:spacing w:line="360" w:lineRule="auto"/>
        <w:jc w:val="both"/>
        <w:rPr>
          <w:rFonts w:ascii="Palatino Linotype" w:eastAsia="Palatino Linotype" w:hAnsi="Palatino Linotype" w:cs="Palatino Linotype"/>
          <w:color w:val="000000" w:themeColor="text1"/>
          <w:sz w:val="24"/>
          <w:szCs w:val="24"/>
        </w:rPr>
      </w:pPr>
    </w:p>
    <w:p w:rsidR="009D3A07" w:rsidRPr="007914A4" w:rsidRDefault="009D3A07" w:rsidP="007914A4">
      <w:pPr>
        <w:spacing w:line="360" w:lineRule="auto"/>
        <w:jc w:val="both"/>
        <w:rPr>
          <w:rFonts w:ascii="Palatino Linotype" w:eastAsia="Palatino Linotype" w:hAnsi="Palatino Linotype" w:cs="Palatino Linotype"/>
          <w:color w:val="000000" w:themeColor="text1"/>
          <w:sz w:val="24"/>
          <w:szCs w:val="24"/>
        </w:rPr>
      </w:pPr>
    </w:p>
    <w:sectPr w:rsidR="009D3A07" w:rsidRPr="007914A4" w:rsidSect="00063094">
      <w:headerReference w:type="even" r:id="rId20"/>
      <w:headerReference w:type="default" r:id="rId21"/>
      <w:footerReference w:type="default" r:id="rId22"/>
      <w:headerReference w:type="first" r:id="rId23"/>
      <w:footerReference w:type="first" r:id="rId24"/>
      <w:pgSz w:w="12240" w:h="15840"/>
      <w:pgMar w:top="80" w:right="900"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428" w:rsidRDefault="000E7428">
      <w:r>
        <w:separator/>
      </w:r>
    </w:p>
  </w:endnote>
  <w:endnote w:type="continuationSeparator" w:id="0">
    <w:p w:rsidR="000E7428" w:rsidRDefault="000E7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A07" w:rsidRDefault="009D3A07">
    <w:pPr>
      <w:pBdr>
        <w:top w:val="nil"/>
        <w:left w:val="nil"/>
        <w:bottom w:val="nil"/>
        <w:right w:val="nil"/>
        <w:between w:val="nil"/>
      </w:pBdr>
      <w:tabs>
        <w:tab w:val="center" w:pos="4419"/>
        <w:tab w:val="right" w:pos="8838"/>
      </w:tabs>
      <w:jc w:val="right"/>
      <w:rPr>
        <w:color w:val="000000"/>
      </w:rPr>
    </w:pPr>
  </w:p>
  <w:p w:rsidR="009D3A07" w:rsidRDefault="00472B1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B39C3">
      <w:rPr>
        <w:b/>
        <w:noProof/>
        <w:color w:val="000000"/>
        <w:sz w:val="24"/>
        <w:szCs w:val="24"/>
      </w:rPr>
      <w:t>17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B39C3">
      <w:rPr>
        <w:b/>
        <w:noProof/>
        <w:color w:val="000000"/>
        <w:sz w:val="24"/>
        <w:szCs w:val="24"/>
      </w:rPr>
      <w:t>17</w:t>
    </w:r>
    <w:r>
      <w:rPr>
        <w:b/>
        <w:color w:val="000000"/>
        <w:sz w:val="24"/>
        <w:szCs w:val="24"/>
      </w:rPr>
      <w:fldChar w:fldCharType="end"/>
    </w:r>
  </w:p>
  <w:p w:rsidR="009D3A07" w:rsidRDefault="009D3A07">
    <w:pPr>
      <w:pBdr>
        <w:top w:val="nil"/>
        <w:left w:val="nil"/>
        <w:bottom w:val="nil"/>
        <w:right w:val="nil"/>
        <w:between w:val="nil"/>
      </w:pBdr>
      <w:tabs>
        <w:tab w:val="center" w:pos="4419"/>
        <w:tab w:val="right" w:pos="8838"/>
      </w:tabs>
      <w:rPr>
        <w:color w:val="000000"/>
      </w:rPr>
    </w:pPr>
  </w:p>
  <w:p w:rsidR="009D3A07" w:rsidRDefault="009D3A07"/>
  <w:p w:rsidR="009D3A07" w:rsidRDefault="009D3A07"/>
  <w:p w:rsidR="009D3A07" w:rsidRDefault="009D3A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A07" w:rsidRDefault="00472B1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B39C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B39C3">
      <w:rPr>
        <w:b/>
        <w:noProof/>
        <w:color w:val="000000"/>
        <w:sz w:val="24"/>
        <w:szCs w:val="24"/>
      </w:rPr>
      <w:t>17</w:t>
    </w:r>
    <w:r>
      <w:rPr>
        <w:b/>
        <w:color w:val="000000"/>
        <w:sz w:val="24"/>
        <w:szCs w:val="24"/>
      </w:rPr>
      <w:fldChar w:fldCharType="end"/>
    </w:r>
  </w:p>
  <w:p w:rsidR="009D3A07" w:rsidRDefault="009D3A07">
    <w:pPr>
      <w:pBdr>
        <w:top w:val="nil"/>
        <w:left w:val="nil"/>
        <w:bottom w:val="nil"/>
        <w:right w:val="nil"/>
        <w:between w:val="nil"/>
      </w:pBdr>
      <w:tabs>
        <w:tab w:val="center" w:pos="4419"/>
        <w:tab w:val="right" w:pos="8838"/>
      </w:tabs>
      <w:rPr>
        <w:color w:val="000000"/>
      </w:rPr>
    </w:pPr>
  </w:p>
  <w:p w:rsidR="009D3A07" w:rsidRDefault="009D3A07"/>
  <w:p w:rsidR="009D3A07" w:rsidRDefault="009D3A07"/>
  <w:p w:rsidR="009D3A07" w:rsidRDefault="009D3A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428" w:rsidRDefault="000E7428">
      <w:r>
        <w:separator/>
      </w:r>
    </w:p>
  </w:footnote>
  <w:footnote w:type="continuationSeparator" w:id="0">
    <w:p w:rsidR="000E7428" w:rsidRDefault="000E7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A07" w:rsidRDefault="000E7428">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rsidR="009D3A07" w:rsidRDefault="009D3A07"/>
  <w:p w:rsidR="009D3A07" w:rsidRDefault="009D3A07"/>
  <w:p w:rsidR="009D3A07" w:rsidRDefault="009D3A0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10206" w:type="dxa"/>
      <w:tblInd w:w="0" w:type="dxa"/>
      <w:tblLayout w:type="fixed"/>
      <w:tblLook w:val="0400" w:firstRow="0" w:lastRow="0" w:firstColumn="0" w:lastColumn="0" w:noHBand="0" w:noVBand="1"/>
    </w:tblPr>
    <w:tblGrid>
      <w:gridCol w:w="1843"/>
      <w:gridCol w:w="8363"/>
    </w:tblGrid>
    <w:tr w:rsidR="009D3A07" w:rsidTr="00063094">
      <w:trPr>
        <w:trHeight w:val="1435"/>
      </w:trPr>
      <w:tc>
        <w:tcPr>
          <w:tcW w:w="1843" w:type="dxa"/>
          <w:shd w:val="clear" w:color="auto" w:fill="auto"/>
        </w:tcPr>
        <w:p w:rsidR="009D3A07" w:rsidRDefault="00472B11">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363" w:type="dxa"/>
          <w:shd w:val="clear" w:color="auto" w:fill="auto"/>
        </w:tcPr>
        <w:tbl>
          <w:tblPr>
            <w:tblStyle w:val="a0"/>
            <w:tblW w:w="6513" w:type="dxa"/>
            <w:tblInd w:w="2011" w:type="dxa"/>
            <w:tblBorders>
              <w:top w:val="nil"/>
              <w:left w:val="nil"/>
              <w:bottom w:val="nil"/>
              <w:right w:val="nil"/>
              <w:insideH w:val="nil"/>
              <w:insideV w:val="nil"/>
            </w:tblBorders>
            <w:tblLayout w:type="fixed"/>
            <w:tblLook w:val="0400" w:firstRow="0" w:lastRow="0" w:firstColumn="0" w:lastColumn="0" w:noHBand="0" w:noVBand="1"/>
          </w:tblPr>
          <w:tblGrid>
            <w:gridCol w:w="2685"/>
            <w:gridCol w:w="3828"/>
          </w:tblGrid>
          <w:tr w:rsidR="009D3A07" w:rsidTr="00063094">
            <w:trPr>
              <w:trHeight w:val="338"/>
            </w:trPr>
            <w:tc>
              <w:tcPr>
                <w:tcW w:w="2685" w:type="dxa"/>
              </w:tcPr>
              <w:p w:rsidR="009D3A07" w:rsidRPr="007914A4" w:rsidRDefault="00472B11" w:rsidP="007914A4">
                <w:pPr>
                  <w:tabs>
                    <w:tab w:val="right" w:pos="8838"/>
                  </w:tabs>
                  <w:ind w:right="-105"/>
                  <w:rPr>
                    <w:rFonts w:ascii="Palatino Linotype" w:eastAsia="Palatino Linotype" w:hAnsi="Palatino Linotype" w:cs="Palatino Linotype"/>
                    <w:b/>
                    <w:sz w:val="24"/>
                    <w:szCs w:val="24"/>
                  </w:rPr>
                </w:pPr>
                <w:r w:rsidRPr="007914A4">
                  <w:rPr>
                    <w:rFonts w:ascii="Palatino Linotype" w:eastAsia="Palatino Linotype" w:hAnsi="Palatino Linotype" w:cs="Palatino Linotype"/>
                    <w:b/>
                    <w:sz w:val="24"/>
                    <w:szCs w:val="24"/>
                  </w:rPr>
                  <w:t>Recurso de Revisión:</w:t>
                </w:r>
              </w:p>
            </w:tc>
            <w:tc>
              <w:tcPr>
                <w:tcW w:w="3828" w:type="dxa"/>
              </w:tcPr>
              <w:p w:rsidR="009D3A07" w:rsidRPr="007914A4" w:rsidRDefault="00472B11" w:rsidP="007914A4">
                <w:pPr>
                  <w:tabs>
                    <w:tab w:val="right" w:pos="8838"/>
                  </w:tabs>
                  <w:ind w:right="-105"/>
                  <w:jc w:val="both"/>
                  <w:rPr>
                    <w:rFonts w:ascii="Palatino Linotype" w:eastAsia="Palatino Linotype" w:hAnsi="Palatino Linotype" w:cs="Palatino Linotype"/>
                    <w:sz w:val="24"/>
                    <w:szCs w:val="24"/>
                  </w:rPr>
                </w:pPr>
                <w:r w:rsidRPr="007914A4">
                  <w:rPr>
                    <w:rFonts w:ascii="Palatino Linotype" w:eastAsia="Palatino Linotype" w:hAnsi="Palatino Linotype" w:cs="Palatino Linotype"/>
                    <w:sz w:val="24"/>
                    <w:szCs w:val="24"/>
                  </w:rPr>
                  <w:t>04488/INFOEM/IP/RR/2025</w:t>
                </w:r>
              </w:p>
            </w:tc>
          </w:tr>
          <w:tr w:rsidR="009D3A07" w:rsidTr="00063094">
            <w:trPr>
              <w:trHeight w:val="283"/>
            </w:trPr>
            <w:tc>
              <w:tcPr>
                <w:tcW w:w="2685" w:type="dxa"/>
              </w:tcPr>
              <w:p w:rsidR="009D3A07" w:rsidRPr="007914A4" w:rsidRDefault="00472B11" w:rsidP="007914A4">
                <w:pPr>
                  <w:tabs>
                    <w:tab w:val="right" w:pos="8838"/>
                  </w:tabs>
                  <w:ind w:right="-105"/>
                  <w:rPr>
                    <w:rFonts w:ascii="Palatino Linotype" w:eastAsia="Palatino Linotype" w:hAnsi="Palatino Linotype" w:cs="Palatino Linotype"/>
                    <w:b/>
                    <w:sz w:val="24"/>
                    <w:szCs w:val="24"/>
                  </w:rPr>
                </w:pPr>
                <w:bookmarkStart w:id="12" w:name="_heading=h.sebwurrrum46" w:colFirst="0" w:colLast="0"/>
                <w:bookmarkEnd w:id="12"/>
                <w:r w:rsidRPr="007914A4">
                  <w:rPr>
                    <w:rFonts w:ascii="Palatino Linotype" w:eastAsia="Palatino Linotype" w:hAnsi="Palatino Linotype" w:cs="Palatino Linotype"/>
                    <w:b/>
                    <w:sz w:val="24"/>
                    <w:szCs w:val="24"/>
                  </w:rPr>
                  <w:t>Sujeto Obligado:</w:t>
                </w:r>
              </w:p>
            </w:tc>
            <w:tc>
              <w:tcPr>
                <w:tcW w:w="3828" w:type="dxa"/>
              </w:tcPr>
              <w:p w:rsidR="009D3A07" w:rsidRPr="007914A4" w:rsidRDefault="00472B11" w:rsidP="007914A4">
                <w:pPr>
                  <w:tabs>
                    <w:tab w:val="left" w:pos="2834"/>
                    <w:tab w:val="right" w:pos="8838"/>
                  </w:tabs>
                  <w:ind w:right="-107"/>
                  <w:jc w:val="both"/>
                  <w:rPr>
                    <w:rFonts w:ascii="Palatino Linotype" w:eastAsia="Palatino Linotype" w:hAnsi="Palatino Linotype" w:cs="Palatino Linotype"/>
                    <w:color w:val="000000"/>
                    <w:sz w:val="24"/>
                    <w:szCs w:val="24"/>
                  </w:rPr>
                </w:pPr>
                <w:r w:rsidRPr="007914A4">
                  <w:rPr>
                    <w:rFonts w:ascii="Palatino Linotype" w:eastAsia="Palatino Linotype" w:hAnsi="Palatino Linotype" w:cs="Palatino Linotype"/>
                    <w:color w:val="000000"/>
                    <w:sz w:val="24"/>
                    <w:szCs w:val="24"/>
                  </w:rPr>
                  <w:t>Ayuntamiento de Toluca</w:t>
                </w:r>
              </w:p>
            </w:tc>
          </w:tr>
          <w:tr w:rsidR="009D3A07" w:rsidTr="00063094">
            <w:trPr>
              <w:trHeight w:val="283"/>
            </w:trPr>
            <w:tc>
              <w:tcPr>
                <w:tcW w:w="2685" w:type="dxa"/>
              </w:tcPr>
              <w:p w:rsidR="009D3A07" w:rsidRPr="007914A4" w:rsidRDefault="00472B11" w:rsidP="007914A4">
                <w:pPr>
                  <w:tabs>
                    <w:tab w:val="right" w:pos="8838"/>
                  </w:tabs>
                  <w:ind w:right="-105"/>
                  <w:rPr>
                    <w:rFonts w:ascii="Palatino Linotype" w:eastAsia="Palatino Linotype" w:hAnsi="Palatino Linotype" w:cs="Palatino Linotype"/>
                    <w:b/>
                    <w:sz w:val="24"/>
                    <w:szCs w:val="24"/>
                  </w:rPr>
                </w:pPr>
                <w:r w:rsidRPr="007914A4">
                  <w:rPr>
                    <w:rFonts w:ascii="Palatino Linotype" w:eastAsia="Palatino Linotype" w:hAnsi="Palatino Linotype" w:cs="Palatino Linotype"/>
                    <w:b/>
                    <w:sz w:val="24"/>
                    <w:szCs w:val="24"/>
                  </w:rPr>
                  <w:t>Comisionada Ponente:</w:t>
                </w:r>
              </w:p>
            </w:tc>
            <w:tc>
              <w:tcPr>
                <w:tcW w:w="3828" w:type="dxa"/>
              </w:tcPr>
              <w:p w:rsidR="009D3A07" w:rsidRPr="007914A4" w:rsidRDefault="00472B11" w:rsidP="007914A4">
                <w:pPr>
                  <w:tabs>
                    <w:tab w:val="right" w:pos="8838"/>
                  </w:tabs>
                  <w:ind w:right="-105"/>
                  <w:jc w:val="both"/>
                  <w:rPr>
                    <w:rFonts w:ascii="Palatino Linotype" w:eastAsia="Palatino Linotype" w:hAnsi="Palatino Linotype" w:cs="Palatino Linotype"/>
                    <w:sz w:val="24"/>
                    <w:szCs w:val="24"/>
                  </w:rPr>
                </w:pPr>
                <w:r w:rsidRPr="007914A4">
                  <w:rPr>
                    <w:rFonts w:ascii="Palatino Linotype" w:eastAsia="Palatino Linotype" w:hAnsi="Palatino Linotype" w:cs="Palatino Linotype"/>
                    <w:sz w:val="24"/>
                    <w:szCs w:val="24"/>
                  </w:rPr>
                  <w:t>María del Rosario Mejía Ayala</w:t>
                </w:r>
              </w:p>
            </w:tc>
          </w:tr>
        </w:tbl>
        <w:p w:rsidR="009D3A07" w:rsidRDefault="009D3A07">
          <w:pPr>
            <w:tabs>
              <w:tab w:val="right" w:pos="8838"/>
            </w:tabs>
            <w:ind w:left="-28"/>
            <w:jc w:val="both"/>
            <w:rPr>
              <w:rFonts w:ascii="Arial" w:eastAsia="Arial" w:hAnsi="Arial" w:cs="Arial"/>
              <w:b/>
              <w:sz w:val="22"/>
              <w:szCs w:val="22"/>
            </w:rPr>
          </w:pPr>
        </w:p>
      </w:tc>
    </w:tr>
  </w:tbl>
  <w:p w:rsidR="009D3A07" w:rsidRDefault="000E7428" w:rsidP="00063094">
    <w:pPr>
      <w:pBdr>
        <w:top w:val="nil"/>
        <w:left w:val="nil"/>
        <w:bottom w:val="nil"/>
        <w:right w:val="nil"/>
        <w:between w:val="nil"/>
      </w:pBdr>
      <w:tabs>
        <w:tab w:val="center" w:pos="4419"/>
        <w:tab w:val="right" w:pos="8838"/>
      </w:tabs>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6.4pt;margin-top:-133.9pt;width:663.5pt;height:12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065" w:type="dxa"/>
      <w:tblInd w:w="0" w:type="dxa"/>
      <w:tblLayout w:type="fixed"/>
      <w:tblLook w:val="0400" w:firstRow="0" w:lastRow="0" w:firstColumn="0" w:lastColumn="0" w:noHBand="0" w:noVBand="1"/>
    </w:tblPr>
    <w:tblGrid>
      <w:gridCol w:w="1560"/>
      <w:gridCol w:w="8505"/>
    </w:tblGrid>
    <w:tr w:rsidR="009D3A07" w:rsidTr="00063094">
      <w:trPr>
        <w:trHeight w:val="1435"/>
      </w:trPr>
      <w:tc>
        <w:tcPr>
          <w:tcW w:w="1560" w:type="dxa"/>
          <w:shd w:val="clear" w:color="auto" w:fill="auto"/>
        </w:tcPr>
        <w:p w:rsidR="009D3A07" w:rsidRDefault="009D3A07">
          <w:pPr>
            <w:tabs>
              <w:tab w:val="right" w:pos="4273"/>
            </w:tabs>
            <w:rPr>
              <w:rFonts w:ascii="Garamond" w:eastAsia="Garamond" w:hAnsi="Garamond" w:cs="Garamond"/>
              <w:sz w:val="22"/>
              <w:szCs w:val="22"/>
            </w:rPr>
          </w:pPr>
        </w:p>
      </w:tc>
      <w:tc>
        <w:tcPr>
          <w:tcW w:w="8505" w:type="dxa"/>
          <w:shd w:val="clear" w:color="auto" w:fill="auto"/>
        </w:tcPr>
        <w:tbl>
          <w:tblPr>
            <w:tblStyle w:val="a2"/>
            <w:tblW w:w="9773" w:type="dxa"/>
            <w:tblInd w:w="2153" w:type="dxa"/>
            <w:tblBorders>
              <w:top w:val="nil"/>
              <w:left w:val="nil"/>
              <w:bottom w:val="nil"/>
              <w:right w:val="nil"/>
              <w:insideH w:val="nil"/>
              <w:insideV w:val="nil"/>
            </w:tblBorders>
            <w:tblLayout w:type="fixed"/>
            <w:tblLook w:val="0400" w:firstRow="0" w:lastRow="0" w:firstColumn="0" w:lastColumn="0" w:noHBand="0" w:noVBand="1"/>
          </w:tblPr>
          <w:tblGrid>
            <w:gridCol w:w="2542"/>
            <w:gridCol w:w="4252"/>
            <w:gridCol w:w="2979"/>
          </w:tblGrid>
          <w:tr w:rsidR="009D3A07" w:rsidTr="00063094">
            <w:trPr>
              <w:trHeight w:val="144"/>
            </w:trPr>
            <w:tc>
              <w:tcPr>
                <w:tcW w:w="2542" w:type="dxa"/>
              </w:tcPr>
              <w:p w:rsidR="009D3A07" w:rsidRPr="007914A4" w:rsidRDefault="00472B11" w:rsidP="007914A4">
                <w:pPr>
                  <w:tabs>
                    <w:tab w:val="right" w:pos="8838"/>
                  </w:tabs>
                  <w:ind w:left="-74" w:right="-105"/>
                  <w:rPr>
                    <w:rFonts w:ascii="Palatino Linotype" w:eastAsia="Palatino Linotype" w:hAnsi="Palatino Linotype" w:cs="Palatino Linotype"/>
                    <w:b/>
                    <w:sz w:val="24"/>
                    <w:szCs w:val="24"/>
                  </w:rPr>
                </w:pPr>
                <w:bookmarkStart w:id="13" w:name="_heading=h.noebj9cehe3s" w:colFirst="0" w:colLast="0"/>
                <w:bookmarkEnd w:id="13"/>
                <w:r w:rsidRPr="007914A4">
                  <w:rPr>
                    <w:rFonts w:ascii="Palatino Linotype" w:eastAsia="Palatino Linotype" w:hAnsi="Palatino Linotype" w:cs="Palatino Linotype"/>
                    <w:b/>
                    <w:sz w:val="24"/>
                    <w:szCs w:val="24"/>
                  </w:rPr>
                  <w:t>Recurso de Revisión:</w:t>
                </w:r>
              </w:p>
            </w:tc>
            <w:tc>
              <w:tcPr>
                <w:tcW w:w="4252" w:type="dxa"/>
              </w:tcPr>
              <w:p w:rsidR="009D3A07" w:rsidRPr="007914A4" w:rsidRDefault="00472B11" w:rsidP="007914A4">
                <w:pPr>
                  <w:tabs>
                    <w:tab w:val="right" w:pos="8838"/>
                  </w:tabs>
                  <w:ind w:left="-3" w:right="-105"/>
                  <w:jc w:val="both"/>
                  <w:rPr>
                    <w:rFonts w:ascii="Palatino Linotype" w:eastAsia="Palatino Linotype" w:hAnsi="Palatino Linotype" w:cs="Palatino Linotype"/>
                    <w:sz w:val="24"/>
                    <w:szCs w:val="24"/>
                  </w:rPr>
                </w:pPr>
                <w:r w:rsidRPr="007914A4">
                  <w:rPr>
                    <w:rFonts w:ascii="Palatino Linotype" w:eastAsia="Palatino Linotype" w:hAnsi="Palatino Linotype" w:cs="Palatino Linotype"/>
                    <w:sz w:val="24"/>
                    <w:szCs w:val="24"/>
                  </w:rPr>
                  <w:t>04488/INFOEM/IP/RR/2025</w:t>
                </w:r>
              </w:p>
            </w:tc>
            <w:tc>
              <w:tcPr>
                <w:tcW w:w="2979" w:type="dxa"/>
              </w:tcPr>
              <w:p w:rsidR="009D3A07" w:rsidRDefault="009D3A07">
                <w:pPr>
                  <w:tabs>
                    <w:tab w:val="right" w:pos="8838"/>
                  </w:tabs>
                  <w:ind w:left="-74" w:right="-105"/>
                  <w:jc w:val="both"/>
                  <w:rPr>
                    <w:rFonts w:ascii="Palatino Linotype" w:eastAsia="Palatino Linotype" w:hAnsi="Palatino Linotype" w:cs="Palatino Linotype"/>
                    <w:sz w:val="22"/>
                    <w:szCs w:val="22"/>
                  </w:rPr>
                </w:pPr>
              </w:p>
            </w:tc>
          </w:tr>
          <w:tr w:rsidR="009D3A07" w:rsidTr="00063094">
            <w:trPr>
              <w:trHeight w:val="144"/>
            </w:trPr>
            <w:tc>
              <w:tcPr>
                <w:tcW w:w="2542" w:type="dxa"/>
              </w:tcPr>
              <w:p w:rsidR="009D3A07" w:rsidRPr="007914A4" w:rsidRDefault="00472B11" w:rsidP="007914A4">
                <w:pPr>
                  <w:tabs>
                    <w:tab w:val="right" w:pos="8838"/>
                  </w:tabs>
                  <w:ind w:left="-74" w:right="-105"/>
                  <w:rPr>
                    <w:rFonts w:ascii="Palatino Linotype" w:eastAsia="Palatino Linotype" w:hAnsi="Palatino Linotype" w:cs="Palatino Linotype"/>
                    <w:b/>
                    <w:sz w:val="24"/>
                    <w:szCs w:val="24"/>
                  </w:rPr>
                </w:pPr>
                <w:bookmarkStart w:id="14" w:name="_heading=h.2ujypb74m5sz" w:colFirst="0" w:colLast="0"/>
                <w:bookmarkEnd w:id="14"/>
                <w:r w:rsidRPr="007914A4">
                  <w:rPr>
                    <w:rFonts w:ascii="Palatino Linotype" w:eastAsia="Palatino Linotype" w:hAnsi="Palatino Linotype" w:cs="Palatino Linotype"/>
                    <w:b/>
                    <w:sz w:val="24"/>
                    <w:szCs w:val="24"/>
                  </w:rPr>
                  <w:t>Recurrente:</w:t>
                </w:r>
              </w:p>
            </w:tc>
            <w:tc>
              <w:tcPr>
                <w:tcW w:w="4252" w:type="dxa"/>
              </w:tcPr>
              <w:p w:rsidR="009D3A07" w:rsidRPr="007914A4" w:rsidRDefault="009D3A07" w:rsidP="007914A4">
                <w:pPr>
                  <w:tabs>
                    <w:tab w:val="left" w:pos="3122"/>
                    <w:tab w:val="right" w:pos="8838"/>
                  </w:tabs>
                  <w:ind w:right="1457"/>
                  <w:jc w:val="both"/>
                  <w:rPr>
                    <w:rFonts w:ascii="Palatino Linotype" w:eastAsia="Palatino Linotype" w:hAnsi="Palatino Linotype" w:cs="Palatino Linotype"/>
                    <w:sz w:val="24"/>
                    <w:szCs w:val="24"/>
                  </w:rPr>
                </w:pPr>
              </w:p>
            </w:tc>
            <w:tc>
              <w:tcPr>
                <w:tcW w:w="2979" w:type="dxa"/>
              </w:tcPr>
              <w:p w:rsidR="009D3A07" w:rsidRDefault="009D3A07">
                <w:pPr>
                  <w:tabs>
                    <w:tab w:val="left" w:pos="3122"/>
                    <w:tab w:val="right" w:pos="8838"/>
                  </w:tabs>
                  <w:ind w:right="-105"/>
                  <w:jc w:val="both"/>
                  <w:rPr>
                    <w:rFonts w:ascii="Palatino Linotype" w:eastAsia="Palatino Linotype" w:hAnsi="Palatino Linotype" w:cs="Palatino Linotype"/>
                    <w:sz w:val="22"/>
                    <w:szCs w:val="22"/>
                  </w:rPr>
                </w:pPr>
              </w:p>
            </w:tc>
          </w:tr>
          <w:tr w:rsidR="009D3A07" w:rsidTr="00063094">
            <w:trPr>
              <w:trHeight w:val="283"/>
            </w:trPr>
            <w:tc>
              <w:tcPr>
                <w:tcW w:w="2542" w:type="dxa"/>
              </w:tcPr>
              <w:p w:rsidR="009D3A07" w:rsidRPr="007914A4" w:rsidRDefault="00472B11" w:rsidP="007914A4">
                <w:pPr>
                  <w:tabs>
                    <w:tab w:val="right" w:pos="8838"/>
                  </w:tabs>
                  <w:ind w:left="-74" w:right="-105"/>
                  <w:rPr>
                    <w:rFonts w:ascii="Palatino Linotype" w:eastAsia="Palatino Linotype" w:hAnsi="Palatino Linotype" w:cs="Palatino Linotype"/>
                    <w:b/>
                    <w:sz w:val="24"/>
                    <w:szCs w:val="24"/>
                  </w:rPr>
                </w:pPr>
                <w:r w:rsidRPr="007914A4">
                  <w:rPr>
                    <w:rFonts w:ascii="Palatino Linotype" w:eastAsia="Palatino Linotype" w:hAnsi="Palatino Linotype" w:cs="Palatino Linotype"/>
                    <w:b/>
                    <w:sz w:val="24"/>
                    <w:szCs w:val="24"/>
                  </w:rPr>
                  <w:t>Sujeto Obligado:</w:t>
                </w:r>
              </w:p>
            </w:tc>
            <w:tc>
              <w:tcPr>
                <w:tcW w:w="4252" w:type="dxa"/>
              </w:tcPr>
              <w:p w:rsidR="009D3A07" w:rsidRPr="007914A4" w:rsidRDefault="00472B11" w:rsidP="007914A4">
                <w:pPr>
                  <w:tabs>
                    <w:tab w:val="left" w:pos="2834"/>
                    <w:tab w:val="right" w:pos="8838"/>
                  </w:tabs>
                  <w:ind w:left="-3" w:right="-105"/>
                  <w:jc w:val="both"/>
                  <w:rPr>
                    <w:rFonts w:ascii="Palatino Linotype" w:eastAsia="Palatino Linotype" w:hAnsi="Palatino Linotype" w:cs="Palatino Linotype"/>
                    <w:sz w:val="24"/>
                    <w:szCs w:val="24"/>
                  </w:rPr>
                </w:pPr>
                <w:r w:rsidRPr="007914A4">
                  <w:rPr>
                    <w:rFonts w:ascii="Palatino Linotype" w:eastAsia="Palatino Linotype" w:hAnsi="Palatino Linotype" w:cs="Palatino Linotype"/>
                    <w:color w:val="000000"/>
                    <w:sz w:val="24"/>
                    <w:szCs w:val="24"/>
                  </w:rPr>
                  <w:t>Ayuntamiento de Toluca</w:t>
                </w:r>
              </w:p>
            </w:tc>
            <w:tc>
              <w:tcPr>
                <w:tcW w:w="2979" w:type="dxa"/>
              </w:tcPr>
              <w:p w:rsidR="009D3A07" w:rsidRDefault="009D3A07">
                <w:pPr>
                  <w:tabs>
                    <w:tab w:val="left" w:pos="2834"/>
                    <w:tab w:val="right" w:pos="8838"/>
                  </w:tabs>
                  <w:ind w:left="-74" w:right="-105"/>
                  <w:jc w:val="both"/>
                  <w:rPr>
                    <w:rFonts w:ascii="Palatino Linotype" w:eastAsia="Palatino Linotype" w:hAnsi="Palatino Linotype" w:cs="Palatino Linotype"/>
                    <w:b/>
                  </w:rPr>
                </w:pPr>
              </w:p>
            </w:tc>
          </w:tr>
          <w:tr w:rsidR="009D3A07" w:rsidTr="00063094">
            <w:trPr>
              <w:trHeight w:val="283"/>
            </w:trPr>
            <w:tc>
              <w:tcPr>
                <w:tcW w:w="2542" w:type="dxa"/>
              </w:tcPr>
              <w:p w:rsidR="009D3A07" w:rsidRPr="007914A4" w:rsidRDefault="00472B11" w:rsidP="007914A4">
                <w:pPr>
                  <w:tabs>
                    <w:tab w:val="right" w:pos="8838"/>
                  </w:tabs>
                  <w:ind w:left="-74" w:right="-105"/>
                  <w:rPr>
                    <w:rFonts w:ascii="Palatino Linotype" w:eastAsia="Palatino Linotype" w:hAnsi="Palatino Linotype" w:cs="Palatino Linotype"/>
                    <w:b/>
                    <w:sz w:val="24"/>
                    <w:szCs w:val="24"/>
                  </w:rPr>
                </w:pPr>
                <w:r w:rsidRPr="007914A4">
                  <w:rPr>
                    <w:rFonts w:ascii="Palatino Linotype" w:eastAsia="Palatino Linotype" w:hAnsi="Palatino Linotype" w:cs="Palatino Linotype"/>
                    <w:b/>
                    <w:sz w:val="24"/>
                    <w:szCs w:val="24"/>
                  </w:rPr>
                  <w:t>Comisionada Ponente:</w:t>
                </w:r>
              </w:p>
            </w:tc>
            <w:tc>
              <w:tcPr>
                <w:tcW w:w="4252" w:type="dxa"/>
              </w:tcPr>
              <w:p w:rsidR="009D3A07" w:rsidRPr="007914A4" w:rsidRDefault="00472B11" w:rsidP="007914A4">
                <w:pPr>
                  <w:tabs>
                    <w:tab w:val="right" w:pos="8838"/>
                  </w:tabs>
                  <w:ind w:left="-3" w:right="-105"/>
                  <w:jc w:val="both"/>
                  <w:rPr>
                    <w:rFonts w:ascii="Palatino Linotype" w:eastAsia="Palatino Linotype" w:hAnsi="Palatino Linotype" w:cs="Palatino Linotype"/>
                    <w:sz w:val="24"/>
                    <w:szCs w:val="24"/>
                  </w:rPr>
                </w:pPr>
                <w:r w:rsidRPr="007914A4">
                  <w:rPr>
                    <w:rFonts w:ascii="Palatino Linotype" w:eastAsia="Palatino Linotype" w:hAnsi="Palatino Linotype" w:cs="Palatino Linotype"/>
                    <w:sz w:val="24"/>
                    <w:szCs w:val="24"/>
                  </w:rPr>
                  <w:t>María del Rosario Mejía Ayala</w:t>
                </w:r>
              </w:p>
            </w:tc>
            <w:tc>
              <w:tcPr>
                <w:tcW w:w="2979" w:type="dxa"/>
              </w:tcPr>
              <w:p w:rsidR="009D3A07" w:rsidRDefault="009D3A07">
                <w:pPr>
                  <w:tabs>
                    <w:tab w:val="right" w:pos="8838"/>
                  </w:tabs>
                  <w:ind w:left="-74" w:right="-105"/>
                  <w:jc w:val="both"/>
                  <w:rPr>
                    <w:rFonts w:ascii="Palatino Linotype" w:eastAsia="Palatino Linotype" w:hAnsi="Palatino Linotype" w:cs="Palatino Linotype"/>
                    <w:b/>
                  </w:rPr>
                </w:pPr>
              </w:p>
            </w:tc>
          </w:tr>
        </w:tbl>
        <w:p w:rsidR="009D3A07" w:rsidRDefault="009D3A07">
          <w:pPr>
            <w:tabs>
              <w:tab w:val="right" w:pos="8838"/>
            </w:tabs>
            <w:ind w:left="-28"/>
            <w:jc w:val="both"/>
            <w:rPr>
              <w:rFonts w:ascii="Arial" w:eastAsia="Arial" w:hAnsi="Arial" w:cs="Arial"/>
              <w:b/>
              <w:sz w:val="22"/>
              <w:szCs w:val="22"/>
            </w:rPr>
          </w:pPr>
        </w:p>
      </w:tc>
    </w:tr>
  </w:tbl>
  <w:p w:rsidR="009D3A07" w:rsidRDefault="000E7428" w:rsidP="00063094">
    <w:pPr>
      <w:pBdr>
        <w:top w:val="nil"/>
        <w:left w:val="nil"/>
        <w:bottom w:val="nil"/>
        <w:right w:val="nil"/>
        <w:between w:val="nil"/>
      </w:pBdr>
      <w:tabs>
        <w:tab w:val="center" w:pos="4419"/>
        <w:tab w:val="right" w:pos="8838"/>
        <w:tab w:val="center" w:pos="4522"/>
      </w:tabs>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57.85pt;margin-top:-138.85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6BB1"/>
    <w:multiLevelType w:val="multilevel"/>
    <w:tmpl w:val="775EC0EE"/>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1" w15:restartNumberingAfterBreak="0">
    <w:nsid w:val="0F18440D"/>
    <w:multiLevelType w:val="multilevel"/>
    <w:tmpl w:val="C9CA04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FAE4B88"/>
    <w:multiLevelType w:val="multilevel"/>
    <w:tmpl w:val="B596EB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42B0DF9"/>
    <w:multiLevelType w:val="multilevel"/>
    <w:tmpl w:val="95AA19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A4473C"/>
    <w:multiLevelType w:val="hybridMultilevel"/>
    <w:tmpl w:val="E9B2F8D4"/>
    <w:lvl w:ilvl="0" w:tplc="A70E75AC">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4C2B63"/>
    <w:multiLevelType w:val="multilevel"/>
    <w:tmpl w:val="6B980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704678"/>
    <w:multiLevelType w:val="multilevel"/>
    <w:tmpl w:val="577C94F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FB4E61"/>
    <w:multiLevelType w:val="multilevel"/>
    <w:tmpl w:val="26E2F606"/>
    <w:lvl w:ilvl="0">
      <w:start w:val="29"/>
      <w:numFmt w:val="decimal"/>
      <w:pStyle w:val="Listaconvietas2"/>
      <w:lvlText w:val="%1."/>
      <w:lvlJc w:val="left"/>
      <w:pPr>
        <w:ind w:left="502" w:hanging="360"/>
      </w:pPr>
      <w:rPr>
        <w:b/>
        <w:i w:val="0"/>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74C45449"/>
    <w:multiLevelType w:val="multilevel"/>
    <w:tmpl w:val="9374449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7"/>
  </w:num>
  <w:num w:numId="2">
    <w:abstractNumId w:val="6"/>
  </w:num>
  <w:num w:numId="3">
    <w:abstractNumId w:val="8"/>
  </w:num>
  <w:num w:numId="4">
    <w:abstractNumId w:val="2"/>
  </w:num>
  <w:num w:numId="5">
    <w:abstractNumId w:val="0"/>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A07"/>
    <w:rsid w:val="00063094"/>
    <w:rsid w:val="000E7428"/>
    <w:rsid w:val="001514B7"/>
    <w:rsid w:val="0031220E"/>
    <w:rsid w:val="00472B11"/>
    <w:rsid w:val="004B39C3"/>
    <w:rsid w:val="00565AD1"/>
    <w:rsid w:val="007914A4"/>
    <w:rsid w:val="009D3A07"/>
    <w:rsid w:val="00BC0473"/>
    <w:rsid w:val="00EE62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B924223-D345-4C1B-9088-7C6FCF037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pPr>
      <w:keepNext/>
      <w:keepLines/>
      <w:spacing w:before="40"/>
      <w:outlineLvl w:val="3"/>
    </w:pPr>
    <w:rPr>
      <w:rFonts w:ascii="Calibri" w:eastAsia="Calibri" w:hAnsi="Calibri" w:cs="Calibri"/>
      <w:i/>
      <w:color w:val="2F5496"/>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next w:val="Normal"/>
    <w:uiPriority w:val="39"/>
    <w:unhideWhenUsed/>
    <w:qFormat/>
    <w:rsid w:val="008E6432"/>
    <w:pPr>
      <w:spacing w:line="259" w:lineRule="auto"/>
    </w:pPr>
    <w:rPr>
      <w:rFonts w:ascii="Palatino Linotype" w:hAnsi="Palatino Linotype"/>
      <w:b/>
      <w:sz w:val="24"/>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rPr>
  </w:style>
  <w:style w:type="table" w:styleId="Tabladecuadrcula6concolores">
    <w:name w:val="Grid Table 6 Colorful"/>
    <w:basedOn w:val="Tablanormal"/>
    <w:uiPriority w:val="51"/>
    <w:rsid w:val="008E6432"/>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rPr>
      <w:rFonts w:asciiTheme="minorHAnsi"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rPr>
  </w:style>
  <w:style w:type="paragraph" w:styleId="Continuarlista">
    <w:name w:val="List Continue"/>
    <w:basedOn w:val="Normal"/>
    <w:uiPriority w:val="99"/>
    <w:unhideWhenUsed/>
    <w:rsid w:val="006B2A7B"/>
    <w:pPr>
      <w:spacing w:after="120"/>
      <w:ind w:left="283"/>
      <w:contextualSpacing/>
    </w:pPr>
    <w:rPr>
      <w:sz w:val="24"/>
      <w:szCs w:val="24"/>
    </w:rPr>
  </w:style>
  <w:style w:type="character" w:customStyle="1" w:styleId="Hipervnculo151">
    <w:name w:val="Hipervínculo151"/>
    <w:basedOn w:val="Fuentedeprrafopredeter"/>
    <w:uiPriority w:val="99"/>
    <w:unhideWhenUsed/>
    <w:rsid w:val="00081064"/>
    <w:rPr>
      <w:color w:val="0000FF"/>
      <w:u w:val="single"/>
    </w:rPr>
  </w:style>
  <w:style w:type="character" w:customStyle="1" w:styleId="uv3um">
    <w:name w:val="uv3um"/>
    <w:basedOn w:val="Fuentedeprrafopredeter"/>
    <w:rsid w:val="00702C0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H.AyuntamientoDeToluca/"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nstagram.com/ayuntamientodetoluc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ayuntamientodetolucamx/featured"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x.com/TolucaGob"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2.toluca.gob.mx/comunicacionsocial/"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xKVYGA7OrYCvMWbipZzbuuIHA==">CgMxLjAyDmgubXpxeG9naDhwYm9uMghoLmdqZGd4czIJaC4zMGowemxsMgloLjFmb2I5dGUyCWguM3pueXNoNzIJaC4yZXQ5MnAwMg5oLnE3bDludnhsNjFpcjIIaC5sbnhiejkyCWguMzVua3VuMjIJaC40ZDM0b2c4MghoLnR5amN3dDIOaC5zZWJ3dXJycnVtNDYyDmgubm9lYmo5Y2VoZTNzMg5oLjJ1anlwYjc0bTVzejgAciExWlJDOW9wbWNTZE44S1dlTXN3T3dVV0FJM0ZiVkFjN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17</Pages>
  <Words>3114</Words>
  <Characters>17132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Cuenta Microsoft</cp:lastModifiedBy>
  <cp:revision>6</cp:revision>
  <cp:lastPrinted>2025-09-19T15:56:00Z</cp:lastPrinted>
  <dcterms:created xsi:type="dcterms:W3CDTF">2025-09-10T23:34:00Z</dcterms:created>
  <dcterms:modified xsi:type="dcterms:W3CDTF">2025-10-07T22:53:00Z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