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F61" w:rsidRPr="00B37267" w:rsidRDefault="00046D05" w:rsidP="00DE79DD">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B37267">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w:t>
      </w:r>
      <w:r w:rsidR="008666B4">
        <w:rPr>
          <w:rFonts w:ascii="Palatino Linotype" w:eastAsia="Palatino Linotype" w:hAnsi="Palatino Linotype" w:cs="Palatino Linotype"/>
          <w:color w:val="000000" w:themeColor="text1"/>
        </w:rPr>
        <w:t xml:space="preserve">n Metepec, Estado de México; </w:t>
      </w:r>
      <w:r w:rsidR="008666B4" w:rsidRPr="008666B4">
        <w:rPr>
          <w:rFonts w:ascii="Palatino Linotype" w:eastAsia="Palatino Linotype" w:hAnsi="Palatino Linotype" w:cs="Palatino Linotype"/>
          <w:b/>
          <w:color w:val="000000" w:themeColor="text1"/>
        </w:rPr>
        <w:t>de fecha</w:t>
      </w:r>
      <w:r w:rsidRPr="00B37267">
        <w:rPr>
          <w:rFonts w:ascii="Palatino Linotype" w:eastAsia="Palatino Linotype" w:hAnsi="Palatino Linotype" w:cs="Palatino Linotype"/>
          <w:color w:val="000000" w:themeColor="text1"/>
        </w:rPr>
        <w:t xml:space="preserve"> </w:t>
      </w:r>
      <w:r w:rsidRPr="00B37267">
        <w:rPr>
          <w:rFonts w:ascii="Palatino Linotype" w:eastAsia="Palatino Linotype" w:hAnsi="Palatino Linotype" w:cs="Palatino Linotype"/>
          <w:b/>
          <w:color w:val="000000" w:themeColor="text1"/>
        </w:rPr>
        <w:t xml:space="preserve">veinte </w:t>
      </w:r>
      <w:r w:rsidR="008666B4">
        <w:rPr>
          <w:rFonts w:ascii="Palatino Linotype" w:eastAsia="Palatino Linotype" w:hAnsi="Palatino Linotype" w:cs="Palatino Linotype"/>
          <w:b/>
          <w:color w:val="000000" w:themeColor="text1"/>
        </w:rPr>
        <w:t xml:space="preserve">(20) </w:t>
      </w:r>
      <w:r w:rsidRPr="00B37267">
        <w:rPr>
          <w:rFonts w:ascii="Palatino Linotype" w:eastAsia="Palatino Linotype" w:hAnsi="Palatino Linotype" w:cs="Palatino Linotype"/>
          <w:b/>
          <w:color w:val="000000" w:themeColor="text1"/>
        </w:rPr>
        <w:t>de agosto de dos mil veinticinco.</w:t>
      </w:r>
      <w:r w:rsidRPr="00B37267">
        <w:rPr>
          <w:rFonts w:ascii="Palatino Linotype" w:eastAsia="Palatino Linotype" w:hAnsi="Palatino Linotype" w:cs="Palatino Linotype"/>
          <w:color w:val="000000" w:themeColor="text1"/>
        </w:rPr>
        <w:t xml:space="preserve"> </w:t>
      </w:r>
    </w:p>
    <w:p w:rsidR="004B0F61" w:rsidRPr="00B37267" w:rsidRDefault="004B0F61" w:rsidP="00DE79DD">
      <w:pPr>
        <w:tabs>
          <w:tab w:val="left" w:pos="0"/>
        </w:tabs>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b/>
          <w:color w:val="000000" w:themeColor="text1"/>
        </w:rPr>
        <w:t>VISTO</w:t>
      </w:r>
      <w:r w:rsidRPr="00B37267">
        <w:rPr>
          <w:rFonts w:ascii="Palatino Linotype" w:eastAsia="Palatino Linotype" w:hAnsi="Palatino Linotype" w:cs="Palatino Linotype"/>
          <w:color w:val="000000" w:themeColor="text1"/>
        </w:rPr>
        <w:t xml:space="preserve"> el expediente electrónico formado con motivo del recurso de revisión </w:t>
      </w:r>
      <w:r w:rsidRPr="00B37267">
        <w:rPr>
          <w:rFonts w:ascii="Palatino Linotype" w:eastAsia="Palatino Linotype" w:hAnsi="Palatino Linotype" w:cs="Palatino Linotype"/>
          <w:b/>
          <w:color w:val="000000" w:themeColor="text1"/>
        </w:rPr>
        <w:t xml:space="preserve">06848/INFOEM/IP/RR/2025, </w:t>
      </w:r>
      <w:r w:rsidRPr="00B37267">
        <w:rPr>
          <w:rFonts w:ascii="Palatino Linotype" w:eastAsia="Palatino Linotype" w:hAnsi="Palatino Linotype" w:cs="Palatino Linotype"/>
          <w:color w:val="000000" w:themeColor="text1"/>
        </w:rPr>
        <w:t xml:space="preserve">promovido por </w:t>
      </w:r>
      <w:r w:rsidRPr="00B37267">
        <w:rPr>
          <w:rFonts w:ascii="Palatino Linotype" w:eastAsia="Palatino Linotype" w:hAnsi="Palatino Linotype" w:cs="Palatino Linotype"/>
          <w:b/>
          <w:color w:val="000000" w:themeColor="text1"/>
        </w:rPr>
        <w:t>una persona que no proporcionó datos de identificación</w:t>
      </w:r>
      <w:r w:rsidRPr="00B37267">
        <w:rPr>
          <w:rFonts w:ascii="Palatino Linotype" w:eastAsia="Palatino Linotype" w:hAnsi="Palatino Linotype" w:cs="Palatino Linotype"/>
          <w:color w:val="000000" w:themeColor="text1"/>
        </w:rPr>
        <w:t xml:space="preserve">, a través del Sistema de Acceso a la Información Mexiquense </w:t>
      </w:r>
      <w:r w:rsidRPr="008666B4">
        <w:rPr>
          <w:rFonts w:ascii="Palatino Linotype" w:eastAsia="Palatino Linotype" w:hAnsi="Palatino Linotype" w:cs="Palatino Linotype"/>
          <w:b/>
          <w:color w:val="000000" w:themeColor="text1"/>
        </w:rPr>
        <w:t>(SAIMEX)</w:t>
      </w:r>
      <w:r w:rsidRPr="00B37267">
        <w:rPr>
          <w:rFonts w:ascii="Palatino Linotype" w:eastAsia="Palatino Linotype" w:hAnsi="Palatino Linotype" w:cs="Palatino Linotype"/>
          <w:color w:val="000000" w:themeColor="text1"/>
        </w:rPr>
        <w:t xml:space="preserve">, a quien en lo sucesivo se le identificará como </w:t>
      </w:r>
      <w:r w:rsidRPr="00B37267">
        <w:rPr>
          <w:rFonts w:ascii="Palatino Linotype" w:eastAsia="Palatino Linotype" w:hAnsi="Palatino Linotype" w:cs="Palatino Linotype"/>
          <w:b/>
          <w:color w:val="000000" w:themeColor="text1"/>
        </w:rPr>
        <w:t>EL RECURRENTE</w:t>
      </w:r>
      <w:r w:rsidRPr="00B37267">
        <w:rPr>
          <w:rFonts w:ascii="Palatino Linotype" w:eastAsia="Palatino Linotype" w:hAnsi="Palatino Linotype" w:cs="Palatino Linotype"/>
          <w:color w:val="000000" w:themeColor="text1"/>
        </w:rPr>
        <w:t>, en contra de las respuestas del</w:t>
      </w:r>
      <w:r w:rsidRPr="00B37267">
        <w:rPr>
          <w:rFonts w:ascii="Palatino Linotype" w:eastAsia="Palatino Linotype" w:hAnsi="Palatino Linotype" w:cs="Palatino Linotype"/>
          <w:b/>
          <w:color w:val="000000" w:themeColor="text1"/>
        </w:rPr>
        <w:t xml:space="preserve"> Ayuntamiento de Toluca</w:t>
      </w:r>
      <w:r w:rsidRPr="00B37267">
        <w:rPr>
          <w:rFonts w:ascii="Palatino Linotype" w:eastAsia="Palatino Linotype" w:hAnsi="Palatino Linotype" w:cs="Palatino Linotype"/>
          <w:color w:val="000000" w:themeColor="text1"/>
        </w:rPr>
        <w:t xml:space="preserve">, en </w:t>
      </w:r>
      <w:r w:rsidR="00B2538F">
        <w:rPr>
          <w:rFonts w:ascii="Palatino Linotype" w:eastAsia="Palatino Linotype" w:hAnsi="Palatino Linotype" w:cs="Palatino Linotype"/>
          <w:color w:val="000000" w:themeColor="text1"/>
        </w:rPr>
        <w:t>adelante</w:t>
      </w:r>
      <w:r w:rsidRPr="00B37267">
        <w:rPr>
          <w:rFonts w:ascii="Palatino Linotype" w:eastAsia="Palatino Linotype" w:hAnsi="Palatino Linotype" w:cs="Palatino Linotype"/>
          <w:color w:val="000000" w:themeColor="text1"/>
        </w:rPr>
        <w:t xml:space="preserve"> </w:t>
      </w:r>
      <w:r w:rsidRPr="00B37267">
        <w:rPr>
          <w:rFonts w:ascii="Palatino Linotype" w:eastAsia="Palatino Linotype" w:hAnsi="Palatino Linotype" w:cs="Palatino Linotype"/>
          <w:b/>
          <w:color w:val="000000" w:themeColor="text1"/>
        </w:rPr>
        <w:t>EL SUJETO OBLIGADO</w:t>
      </w:r>
      <w:r w:rsidRPr="00B37267">
        <w:rPr>
          <w:rFonts w:ascii="Palatino Linotype" w:eastAsia="Palatino Linotype" w:hAnsi="Palatino Linotype" w:cs="Palatino Linotype"/>
          <w:color w:val="000000" w:themeColor="text1"/>
        </w:rPr>
        <w:t>, se procede a dictar la presente resolución, con base en los siguientes:</w:t>
      </w:r>
    </w:p>
    <w:p w:rsidR="004B0F61" w:rsidRPr="00B37267" w:rsidRDefault="004B0F61" w:rsidP="00DE79DD">
      <w:pP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bk0fs8yzk7tm" w:colFirst="0" w:colLast="0"/>
      <w:bookmarkEnd w:id="1"/>
      <w:r w:rsidRPr="00B37267">
        <w:rPr>
          <w:rFonts w:ascii="Palatino Linotype" w:eastAsia="Palatino Linotype" w:hAnsi="Palatino Linotype" w:cs="Palatino Linotype"/>
          <w:b/>
          <w:color w:val="000000" w:themeColor="text1"/>
        </w:rPr>
        <w:t>A</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N</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T</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E</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C</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E</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D</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E</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N</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T</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E</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S</w:t>
      </w:r>
    </w:p>
    <w:p w:rsidR="004B0F61" w:rsidRPr="00B37267" w:rsidRDefault="004B0F61" w:rsidP="00DE79DD">
      <w:pPr>
        <w:keepNext/>
        <w:keepLines/>
        <w:tabs>
          <w:tab w:val="left" w:pos="0"/>
        </w:tabs>
        <w:spacing w:line="360" w:lineRule="auto"/>
        <w:jc w:val="center"/>
        <w:rPr>
          <w:rFonts w:ascii="Palatino Linotype" w:eastAsia="Palatino Linotype" w:hAnsi="Palatino Linotype" w:cs="Palatino Linotype"/>
          <w:b/>
          <w:color w:val="000000" w:themeColor="text1"/>
        </w:rPr>
      </w:pPr>
    </w:p>
    <w:p w:rsidR="004B0F61" w:rsidRPr="00B37267" w:rsidRDefault="00046D05" w:rsidP="00DE79DD">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El </w:t>
      </w:r>
      <w:r w:rsidRPr="00B37267">
        <w:rPr>
          <w:rFonts w:ascii="Palatino Linotype" w:eastAsia="Palatino Linotype" w:hAnsi="Palatino Linotype" w:cs="Palatino Linotype"/>
          <w:b/>
          <w:color w:val="000000" w:themeColor="text1"/>
        </w:rPr>
        <w:t>veintiuno de mayo de dos mil veinticinco</w:t>
      </w:r>
      <w:r w:rsidRPr="00B37267">
        <w:rPr>
          <w:rFonts w:ascii="Palatino Linotype" w:eastAsia="Palatino Linotype" w:hAnsi="Palatino Linotype" w:cs="Palatino Linotype"/>
          <w:color w:val="000000" w:themeColor="text1"/>
        </w:rPr>
        <w:t>, el</w:t>
      </w:r>
      <w:r w:rsidRPr="00B37267">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color w:val="000000" w:themeColor="text1"/>
        </w:rPr>
        <w:t>solicitante</w:t>
      </w:r>
      <w:r w:rsidRPr="00B37267">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color w:val="000000" w:themeColor="text1"/>
        </w:rPr>
        <w:t>presentó</w:t>
      </w:r>
      <w:r w:rsidRPr="00B37267">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color w:val="000000" w:themeColor="text1"/>
        </w:rPr>
        <w:t xml:space="preserve">ante el </w:t>
      </w:r>
      <w:r w:rsidRPr="00B37267">
        <w:rPr>
          <w:rFonts w:ascii="Palatino Linotype" w:eastAsia="Palatino Linotype" w:hAnsi="Palatino Linotype" w:cs="Palatino Linotype"/>
          <w:b/>
          <w:color w:val="000000" w:themeColor="text1"/>
        </w:rPr>
        <w:t>SUJETO OBLIGADO,</w:t>
      </w:r>
      <w:r w:rsidRPr="00B37267">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B37267">
        <w:rPr>
          <w:rFonts w:ascii="Palatino Linotype" w:eastAsia="Palatino Linotype" w:hAnsi="Palatino Linotype" w:cs="Palatino Linotype"/>
          <w:b/>
          <w:color w:val="000000" w:themeColor="text1"/>
        </w:rPr>
        <w:t>02933/TOLUCA/IP/2025</w:t>
      </w:r>
      <w:r w:rsidRPr="00B37267">
        <w:rPr>
          <w:rFonts w:ascii="Palatino Linotype" w:eastAsia="Palatino Linotype" w:hAnsi="Palatino Linotype" w:cs="Palatino Linotype"/>
          <w:color w:val="000000" w:themeColor="text1"/>
        </w:rPr>
        <w:t xml:space="preserve">, </w:t>
      </w:r>
      <w:r w:rsidR="008666B4">
        <w:rPr>
          <w:rFonts w:ascii="Palatino Linotype" w:eastAsia="Palatino Linotype" w:hAnsi="Palatino Linotype" w:cs="Palatino Linotype"/>
          <w:color w:val="000000" w:themeColor="text1"/>
        </w:rPr>
        <w:t xml:space="preserve">en la que </w:t>
      </w:r>
      <w:r w:rsidRPr="00B37267">
        <w:rPr>
          <w:rFonts w:ascii="Palatino Linotype" w:eastAsia="Palatino Linotype" w:hAnsi="Palatino Linotype" w:cs="Palatino Linotype"/>
          <w:color w:val="000000" w:themeColor="text1"/>
        </w:rPr>
        <w:t xml:space="preserve"> se solicitó:</w:t>
      </w:r>
    </w:p>
    <w:p w:rsidR="004B0F61" w:rsidRPr="00B37267" w:rsidRDefault="004B0F61" w:rsidP="00DE79DD">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“Las renuncias y bajas de los Servidores Públicos de enero a la fecha”. (Sic.)</w:t>
      </w:r>
    </w:p>
    <w:p w:rsidR="004B0F61" w:rsidRDefault="004B0F61" w:rsidP="00DE79DD">
      <w:pPr>
        <w:tabs>
          <w:tab w:val="left" w:pos="0"/>
        </w:tabs>
        <w:spacing w:line="360" w:lineRule="auto"/>
        <w:jc w:val="both"/>
        <w:rPr>
          <w:rFonts w:ascii="Palatino Linotype" w:eastAsia="Palatino Linotype" w:hAnsi="Palatino Linotype" w:cs="Palatino Linotype"/>
          <w:color w:val="000000" w:themeColor="text1"/>
        </w:rPr>
      </w:pPr>
    </w:p>
    <w:p w:rsidR="008666B4" w:rsidRPr="00B37267" w:rsidRDefault="008666B4" w:rsidP="00DE79DD">
      <w:pPr>
        <w:tabs>
          <w:tab w:val="left" w:pos="0"/>
        </w:tabs>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color w:val="000000" w:themeColor="text1"/>
        </w:rPr>
        <w:t>Se hace constar que se señaló como modalidad de entrega de la información a través de SAIMEX.</w:t>
      </w:r>
    </w:p>
    <w:p w:rsidR="004B0F61" w:rsidRPr="00B37267" w:rsidRDefault="004B0F61" w:rsidP="00DE79DD">
      <w:pPr>
        <w:rPr>
          <w:rFonts w:ascii="Palatino Linotype" w:eastAsia="Palatino Linotype" w:hAnsi="Palatino Linotype" w:cs="Palatino Linotype"/>
          <w:color w:val="000000" w:themeColor="text1"/>
        </w:rPr>
      </w:pPr>
    </w:p>
    <w:p w:rsidR="004B0F61" w:rsidRPr="00B37267" w:rsidRDefault="00046D05" w:rsidP="00DE79DD">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El </w:t>
      </w:r>
      <w:r w:rsidRPr="00B37267">
        <w:rPr>
          <w:rFonts w:ascii="Palatino Linotype" w:eastAsia="Palatino Linotype" w:hAnsi="Palatino Linotype" w:cs="Palatino Linotype"/>
          <w:b/>
          <w:color w:val="000000" w:themeColor="text1"/>
        </w:rPr>
        <w:t>once de junio de dos mil veinticinco</w:t>
      </w:r>
      <w:r w:rsidRPr="00B37267">
        <w:rPr>
          <w:rFonts w:ascii="Palatino Linotype" w:eastAsia="Palatino Linotype" w:hAnsi="Palatino Linotype" w:cs="Palatino Linotype"/>
          <w:color w:val="000000" w:themeColor="text1"/>
        </w:rPr>
        <w:t>, el Sujeto Obligado brindó respuesta a la solicitud de información en el siguiente sentido:</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046D05" w:rsidRPr="00B37267" w:rsidRDefault="00046D05" w:rsidP="00DE79DD">
      <w:pPr>
        <w:jc w:val="both"/>
        <w:rPr>
          <w:rFonts w:ascii="Palatino Linotype" w:eastAsia="Palatino Linotype" w:hAnsi="Palatino Linotype" w:cs="Palatino Linotype"/>
          <w:i/>
          <w:color w:val="000000" w:themeColor="text1"/>
        </w:rPr>
      </w:pP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En atención a la solicitud de información con folio 02933/TOLUCA/IP/2025, se adjunta la respuesta correspondiente de la Dirección General de Administración, sin más por el momento, reciba un cordial saludo...” (Sic)</w:t>
      </w:r>
    </w:p>
    <w:p w:rsidR="004B0F61" w:rsidRPr="00B37267" w:rsidRDefault="004B0F61" w:rsidP="00DE79DD">
      <w:pPr>
        <w:tabs>
          <w:tab w:val="left" w:pos="0"/>
        </w:tabs>
        <w:spacing w:line="360" w:lineRule="auto"/>
        <w:jc w:val="both"/>
        <w:rPr>
          <w:rFonts w:ascii="Palatino Linotype" w:eastAsia="Palatino Linotype" w:hAnsi="Palatino Linotype" w:cs="Palatino Linotype"/>
          <w:color w:val="000000" w:themeColor="text1"/>
        </w:rPr>
      </w:pPr>
      <w:bookmarkStart w:id="2" w:name="_heading=h.99ffmmvyov1h" w:colFirst="0" w:colLast="0"/>
      <w:bookmarkEnd w:id="2"/>
    </w:p>
    <w:p w:rsidR="004B0F61" w:rsidRPr="00B37267" w:rsidRDefault="00046D05" w:rsidP="008666B4">
      <w:pPr>
        <w:pStyle w:val="Prrafodelista"/>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rPr>
      </w:pPr>
      <w:r w:rsidRPr="00B37267">
        <w:rPr>
          <w:rFonts w:ascii="Palatino Linotype" w:eastAsia="Palatino Linotype" w:hAnsi="Palatino Linotype" w:cs="Palatino Linotype"/>
          <w:color w:val="000000" w:themeColor="text1"/>
          <w:sz w:val="24"/>
        </w:rPr>
        <w:t xml:space="preserve">Se adjuntó el archivo electrónico denominado </w:t>
      </w:r>
      <w:r w:rsidRPr="00B37267">
        <w:rPr>
          <w:rFonts w:ascii="Palatino Linotype" w:eastAsia="Palatino Linotype" w:hAnsi="Palatino Linotype" w:cs="Palatino Linotype"/>
          <w:b/>
          <w:color w:val="000000" w:themeColor="text1"/>
          <w:sz w:val="24"/>
        </w:rPr>
        <w:t>ADM 2933.pdf</w:t>
      </w:r>
      <w:r w:rsidRPr="00B37267">
        <w:rPr>
          <w:rFonts w:ascii="Palatino Linotype" w:eastAsia="Palatino Linotype" w:hAnsi="Palatino Linotype" w:cs="Palatino Linotype"/>
          <w:color w:val="000000" w:themeColor="text1"/>
          <w:sz w:val="24"/>
        </w:rPr>
        <w:t xml:space="preserve">, mismo que contiene el oficio </w:t>
      </w:r>
      <w:r w:rsidRPr="00B37267">
        <w:rPr>
          <w:rFonts w:ascii="Palatino Linotype" w:eastAsia="Palatino Linotype" w:hAnsi="Palatino Linotype" w:cs="Palatino Linotype"/>
          <w:b/>
          <w:color w:val="000000" w:themeColor="text1"/>
          <w:sz w:val="24"/>
        </w:rPr>
        <w:t>206010000/3129/2025</w:t>
      </w:r>
      <w:r w:rsidRPr="00B37267">
        <w:rPr>
          <w:rFonts w:ascii="Palatino Linotype" w:eastAsia="Palatino Linotype" w:hAnsi="Palatino Linotype" w:cs="Palatino Linotype"/>
          <w:color w:val="000000" w:themeColor="text1"/>
          <w:sz w:val="24"/>
        </w:rPr>
        <w:t>, de fecha once de junio de dos mil veinticinco, constante de una foja, signado por la Directora de Administración, cuyo contenido es el siguiente:</w:t>
      </w:r>
    </w:p>
    <w:p w:rsidR="004B0F61" w:rsidRPr="00B37267" w:rsidRDefault="004B0F61" w:rsidP="00DE79DD">
      <w:pPr>
        <w:pBdr>
          <w:top w:val="nil"/>
          <w:left w:val="nil"/>
          <w:bottom w:val="nil"/>
          <w:right w:val="nil"/>
          <w:between w:val="nil"/>
        </w:pBdr>
        <w:jc w:val="both"/>
        <w:rPr>
          <w:rFonts w:ascii="Palatino Linotype" w:eastAsia="Palatino Linotype" w:hAnsi="Palatino Linotype" w:cs="Palatino Linotype"/>
          <w:b/>
          <w:color w:val="000000" w:themeColor="text1"/>
        </w:rPr>
      </w:pPr>
    </w:p>
    <w:p w:rsidR="00046D05" w:rsidRPr="00B37267" w:rsidRDefault="00046D05" w:rsidP="00DE79DD">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 xml:space="preserve">“…Despúes de haber realizado una búsqueda exhaustiva y razonables en los archivos que obran en la Dirección de Recursos Humanos y sus </w:t>
      </w:r>
      <w:r w:rsidR="006B4DA3" w:rsidRPr="00B37267">
        <w:rPr>
          <w:rFonts w:ascii="Palatino Linotype" w:eastAsia="Palatino Linotype" w:hAnsi="Palatino Linotype" w:cs="Palatino Linotype"/>
          <w:i/>
          <w:color w:val="000000" w:themeColor="text1"/>
        </w:rPr>
        <w:t>departamentos, se informa que hubo 174 renuncias y 655 bajas de enero a la fecha</w:t>
      </w:r>
    </w:p>
    <w:p w:rsidR="004B0F61" w:rsidRPr="00B37267" w:rsidRDefault="00046D05" w:rsidP="00DE79DD">
      <w:pPr>
        <w:pBdr>
          <w:top w:val="nil"/>
          <w:left w:val="nil"/>
          <w:bottom w:val="nil"/>
          <w:right w:val="nil"/>
          <w:between w:val="nil"/>
        </w:pBdr>
        <w:tabs>
          <w:tab w:val="left" w:pos="8222"/>
        </w:tabs>
        <w:jc w:val="both"/>
        <w:rPr>
          <w:rFonts w:ascii="Palatino Linotype" w:eastAsia="Palatino Linotype" w:hAnsi="Palatino Linotype" w:cs="Palatino Linotype"/>
          <w:b/>
          <w:color w:val="000000" w:themeColor="text1"/>
        </w:rPr>
      </w:pPr>
      <w:r w:rsidRPr="00B37267">
        <w:rPr>
          <w:rFonts w:ascii="Palatino Linotype" w:eastAsia="Palatino Linotype" w:hAnsi="Palatino Linotype" w:cs="Palatino Linotype"/>
          <w:i/>
          <w:color w:val="000000" w:themeColor="text1"/>
        </w:rPr>
        <w:t>…” (Sic.)</w:t>
      </w:r>
    </w:p>
    <w:p w:rsidR="004B0F61" w:rsidRPr="00B37267" w:rsidRDefault="004B0F61" w:rsidP="00DE79DD">
      <w:pPr>
        <w:tabs>
          <w:tab w:val="left" w:pos="0"/>
        </w:tabs>
        <w:spacing w:line="360" w:lineRule="auto"/>
        <w:jc w:val="both"/>
        <w:rPr>
          <w:rFonts w:ascii="Palatino Linotype" w:eastAsia="Palatino Linotype" w:hAnsi="Palatino Linotype" w:cs="Palatino Linotype"/>
          <w:color w:val="000000" w:themeColor="text1"/>
        </w:rPr>
      </w:pPr>
    </w:p>
    <w:p w:rsidR="004B0F61" w:rsidRPr="00B37267" w:rsidRDefault="00046D05" w:rsidP="008666B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El </w:t>
      </w:r>
      <w:r w:rsidR="006B4DA3" w:rsidRPr="00B37267">
        <w:rPr>
          <w:rFonts w:ascii="Palatino Linotype" w:eastAsia="Palatino Linotype" w:hAnsi="Palatino Linotype" w:cs="Palatino Linotype"/>
          <w:b/>
          <w:color w:val="000000" w:themeColor="text1"/>
        </w:rPr>
        <w:t xml:space="preserve">once de junio </w:t>
      </w:r>
      <w:r w:rsidRPr="00B37267">
        <w:rPr>
          <w:rFonts w:ascii="Palatino Linotype" w:eastAsia="Palatino Linotype" w:hAnsi="Palatino Linotype" w:cs="Palatino Linotype"/>
          <w:b/>
          <w:color w:val="000000" w:themeColor="text1"/>
        </w:rPr>
        <w:t xml:space="preserve">de dos mil </w:t>
      </w:r>
      <w:r w:rsidR="006B4DA3" w:rsidRPr="00B37267">
        <w:rPr>
          <w:rFonts w:ascii="Palatino Linotype" w:eastAsia="Palatino Linotype" w:hAnsi="Palatino Linotype" w:cs="Palatino Linotype"/>
          <w:b/>
          <w:color w:val="000000" w:themeColor="text1"/>
        </w:rPr>
        <w:t>veinticinco</w:t>
      </w:r>
      <w:r w:rsidRPr="00B37267">
        <w:rPr>
          <w:rFonts w:ascii="Palatino Linotype" w:eastAsia="Palatino Linotype" w:hAnsi="Palatino Linotype" w:cs="Palatino Linotype"/>
          <w:color w:val="000000" w:themeColor="text1"/>
        </w:rPr>
        <w:t xml:space="preserve">, el solicitante interpuso recurso de revisión en la solicitud de información </w:t>
      </w:r>
      <w:r w:rsidR="006B4DA3" w:rsidRPr="00B37267">
        <w:rPr>
          <w:rFonts w:ascii="Palatino Linotype" w:eastAsia="Palatino Linotype" w:hAnsi="Palatino Linotype" w:cs="Palatino Linotype"/>
          <w:b/>
          <w:color w:val="000000" w:themeColor="text1"/>
        </w:rPr>
        <w:t>02933</w:t>
      </w:r>
      <w:r w:rsidRPr="00B37267">
        <w:rPr>
          <w:rFonts w:ascii="Palatino Linotype" w:eastAsia="Palatino Linotype" w:hAnsi="Palatino Linotype" w:cs="Palatino Linotype"/>
          <w:b/>
          <w:color w:val="000000" w:themeColor="text1"/>
        </w:rPr>
        <w:t>/</w:t>
      </w:r>
      <w:r w:rsidR="006B4DA3" w:rsidRPr="00B37267">
        <w:rPr>
          <w:rFonts w:ascii="Palatino Linotype" w:eastAsia="Palatino Linotype" w:hAnsi="Palatino Linotype" w:cs="Palatino Linotype"/>
          <w:b/>
          <w:color w:val="000000" w:themeColor="text1"/>
        </w:rPr>
        <w:t>TOLUCA</w:t>
      </w:r>
      <w:r w:rsidRPr="00B37267">
        <w:rPr>
          <w:rFonts w:ascii="Palatino Linotype" w:eastAsia="Palatino Linotype" w:hAnsi="Palatino Linotype" w:cs="Palatino Linotype"/>
          <w:b/>
          <w:color w:val="000000" w:themeColor="text1"/>
        </w:rPr>
        <w:t xml:space="preserve">/IP/2025, </w:t>
      </w:r>
      <w:r w:rsidRPr="00B37267">
        <w:rPr>
          <w:rFonts w:ascii="Palatino Linotype" w:eastAsia="Palatino Linotype" w:hAnsi="Palatino Linotype" w:cs="Palatino Linotype"/>
          <w:color w:val="000000" w:themeColor="text1"/>
        </w:rPr>
        <w:t xml:space="preserve">en contra de la respuesta emitida por el </w:t>
      </w:r>
      <w:r w:rsidRPr="00B37267">
        <w:rPr>
          <w:rFonts w:ascii="Palatino Linotype" w:eastAsia="Palatino Linotype" w:hAnsi="Palatino Linotype" w:cs="Palatino Linotype"/>
          <w:b/>
          <w:color w:val="000000" w:themeColor="text1"/>
        </w:rPr>
        <w:t>SUJETO OBLIGADO</w:t>
      </w:r>
      <w:r w:rsidRPr="00B37267">
        <w:rPr>
          <w:rFonts w:ascii="Palatino Linotype" w:eastAsia="Palatino Linotype" w:hAnsi="Palatino Linotype" w:cs="Palatino Linotype"/>
          <w:color w:val="000000" w:themeColor="text1"/>
        </w:rPr>
        <w:t>, señalando las siguientes razones o motivos de inconformidad:</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8666B4" w:rsidRDefault="00046D05" w:rsidP="008666B4">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8666B4">
        <w:rPr>
          <w:rFonts w:ascii="Palatino Linotype" w:eastAsia="Palatino Linotype" w:hAnsi="Palatino Linotype" w:cs="Palatino Linotype"/>
          <w:b/>
          <w:color w:val="000000" w:themeColor="text1"/>
          <w:sz w:val="24"/>
        </w:rPr>
        <w:t>Acto Impugnado</w:t>
      </w:r>
    </w:p>
    <w:p w:rsidR="004B0F61" w:rsidRPr="008666B4" w:rsidRDefault="008666B4" w:rsidP="00DE79D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666B4">
        <w:rPr>
          <w:rFonts w:ascii="Palatino Linotype" w:eastAsia="Palatino Linotype" w:hAnsi="Palatino Linotype" w:cs="Palatino Linotype"/>
          <w:i/>
          <w:color w:val="000000" w:themeColor="text1"/>
        </w:rPr>
        <w:t xml:space="preserve">     </w:t>
      </w:r>
      <w:r w:rsidR="00046D05" w:rsidRPr="008666B4">
        <w:rPr>
          <w:rFonts w:ascii="Palatino Linotype" w:eastAsia="Palatino Linotype" w:hAnsi="Palatino Linotype" w:cs="Palatino Linotype"/>
          <w:i/>
          <w:color w:val="000000" w:themeColor="text1"/>
        </w:rPr>
        <w:t>“</w:t>
      </w:r>
      <w:r w:rsidR="006B4DA3" w:rsidRPr="008666B4">
        <w:rPr>
          <w:rFonts w:ascii="Palatino Linotype" w:eastAsia="Palatino Linotype" w:hAnsi="Palatino Linotype" w:cs="Palatino Linotype"/>
          <w:i/>
          <w:color w:val="000000" w:themeColor="text1"/>
        </w:rPr>
        <w:t>La respuesta no está completa</w:t>
      </w:r>
      <w:r w:rsidR="00046D05" w:rsidRPr="008666B4">
        <w:rPr>
          <w:rFonts w:ascii="Palatino Linotype" w:eastAsia="Palatino Linotype" w:hAnsi="Palatino Linotype" w:cs="Palatino Linotype"/>
          <w:i/>
          <w:color w:val="000000" w:themeColor="text1"/>
        </w:rPr>
        <w:t>”</w:t>
      </w:r>
    </w:p>
    <w:p w:rsidR="004B0F61" w:rsidRPr="008666B4" w:rsidRDefault="00046D05" w:rsidP="008666B4">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8666B4">
        <w:rPr>
          <w:rFonts w:ascii="Palatino Linotype" w:eastAsia="Palatino Linotype" w:hAnsi="Palatino Linotype" w:cs="Palatino Linotype"/>
          <w:b/>
          <w:color w:val="000000" w:themeColor="text1"/>
          <w:sz w:val="24"/>
        </w:rPr>
        <w:t>Razones o Motivos de la Inconformidad</w:t>
      </w:r>
    </w:p>
    <w:p w:rsidR="004B0F61" w:rsidRPr="008666B4" w:rsidRDefault="008666B4" w:rsidP="00DE79D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666B4">
        <w:rPr>
          <w:rFonts w:ascii="Palatino Linotype" w:eastAsia="Palatino Linotype" w:hAnsi="Palatino Linotype" w:cs="Palatino Linotype"/>
          <w:i/>
          <w:color w:val="000000" w:themeColor="text1"/>
        </w:rPr>
        <w:t xml:space="preserve">     </w:t>
      </w:r>
      <w:r w:rsidR="00046D05" w:rsidRPr="008666B4">
        <w:rPr>
          <w:rFonts w:ascii="Palatino Linotype" w:eastAsia="Palatino Linotype" w:hAnsi="Palatino Linotype" w:cs="Palatino Linotype"/>
          <w:i/>
          <w:color w:val="000000" w:themeColor="text1"/>
        </w:rPr>
        <w:t>“</w:t>
      </w:r>
      <w:r w:rsidR="006B4DA3" w:rsidRPr="008666B4">
        <w:rPr>
          <w:rFonts w:ascii="Palatino Linotype" w:eastAsia="Palatino Linotype" w:hAnsi="Palatino Linotype" w:cs="Palatino Linotype"/>
          <w:i/>
          <w:color w:val="000000" w:themeColor="text1"/>
        </w:rPr>
        <w:t>se solicitó los documentos y no lo entrega se pide la expresión documental</w:t>
      </w:r>
      <w:r w:rsidR="00046D05" w:rsidRPr="008666B4">
        <w:rPr>
          <w:rFonts w:ascii="Palatino Linotype" w:eastAsia="Palatino Linotype" w:hAnsi="Palatino Linotype" w:cs="Palatino Linotype"/>
          <w:i/>
          <w:color w:val="000000" w:themeColor="text1"/>
        </w:rPr>
        <w:t>”</w:t>
      </w:r>
    </w:p>
    <w:p w:rsidR="008666B4" w:rsidRPr="00B37267" w:rsidRDefault="008666B4" w:rsidP="00DE79D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B0F61" w:rsidRPr="00B37267" w:rsidRDefault="00046D05" w:rsidP="00DE79D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w:t>
      </w:r>
      <w:r w:rsidRPr="00B37267">
        <w:rPr>
          <w:rFonts w:ascii="Palatino Linotype" w:eastAsia="Palatino Linotype" w:hAnsi="Palatino Linotype" w:cs="Palatino Linotype"/>
          <w:color w:val="000000" w:themeColor="text1"/>
        </w:rPr>
        <w:lastRenderedPageBreak/>
        <w:t xml:space="preserve">Transparencia y Acceso a la Información Pública del Estado de México y Municipios se turnó a la </w:t>
      </w:r>
      <w:r w:rsidRPr="00B37267">
        <w:rPr>
          <w:rFonts w:ascii="Palatino Linotype" w:eastAsia="Palatino Linotype" w:hAnsi="Palatino Linotype" w:cs="Palatino Linotype"/>
          <w:b/>
          <w:color w:val="000000" w:themeColor="text1"/>
        </w:rPr>
        <w:t>Comisionada María del Rosario Mejía Ayala</w:t>
      </w:r>
      <w:r w:rsidR="00B2538F">
        <w:rPr>
          <w:rFonts w:ascii="Palatino Linotype" w:eastAsia="Palatino Linotype" w:hAnsi="Palatino Linotype" w:cs="Palatino Linotype"/>
          <w:b/>
          <w:color w:val="000000" w:themeColor="text1"/>
        </w:rPr>
        <w:t>,</w:t>
      </w:r>
      <w:r w:rsidRPr="00B37267">
        <w:rPr>
          <w:rFonts w:ascii="Palatino Linotype" w:eastAsia="Palatino Linotype" w:hAnsi="Palatino Linotype" w:cs="Palatino Linotype"/>
          <w:color w:val="000000" w:themeColor="text1"/>
        </w:rPr>
        <w:t xml:space="preserve"> </w:t>
      </w:r>
      <w:r w:rsidR="008666B4">
        <w:rPr>
          <w:rFonts w:ascii="Palatino Linotype" w:eastAsia="Palatino Linotype" w:hAnsi="Palatino Linotype" w:cs="Palatino Linotype"/>
          <w:color w:val="000000" w:themeColor="text1"/>
        </w:rPr>
        <w:t>para</w:t>
      </w:r>
      <w:r w:rsidRPr="00B37267">
        <w:rPr>
          <w:rFonts w:ascii="Palatino Linotype" w:eastAsia="Palatino Linotype" w:hAnsi="Palatino Linotype" w:cs="Palatino Linotype"/>
          <w:color w:val="000000" w:themeColor="text1"/>
        </w:rPr>
        <w:t xml:space="preserve"> su análisis.</w:t>
      </w:r>
    </w:p>
    <w:p w:rsidR="004B0F61" w:rsidRPr="00B37267" w:rsidRDefault="004B0F61" w:rsidP="00DE79DD">
      <w:pPr>
        <w:spacing w:line="360" w:lineRule="auto"/>
        <w:jc w:val="both"/>
        <w:rPr>
          <w:rFonts w:ascii="Palatino Linotype" w:eastAsia="Palatino Linotype" w:hAnsi="Palatino Linotype" w:cs="Palatino Linotype"/>
          <w:i/>
          <w:color w:val="000000" w:themeColor="text1"/>
        </w:rPr>
      </w:pPr>
    </w:p>
    <w:p w:rsidR="004B0F61" w:rsidRPr="00B37267" w:rsidRDefault="00046D05" w:rsidP="00DE79D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B37267">
        <w:rPr>
          <w:rFonts w:ascii="Palatino Linotype" w:eastAsia="Palatino Linotype" w:hAnsi="Palatino Linotype" w:cs="Palatino Linotype"/>
          <w:b/>
          <w:color w:val="000000" w:themeColor="text1"/>
        </w:rPr>
        <w:t xml:space="preserve">acuerdo de admisión </w:t>
      </w:r>
      <w:r w:rsidRPr="00B37267">
        <w:rPr>
          <w:rFonts w:ascii="Palatino Linotype" w:eastAsia="Palatino Linotype" w:hAnsi="Palatino Linotype" w:cs="Palatino Linotype"/>
          <w:color w:val="000000" w:themeColor="text1"/>
        </w:rPr>
        <w:t xml:space="preserve">de fecha </w:t>
      </w:r>
      <w:r w:rsidR="006B4DA3" w:rsidRPr="00B37267">
        <w:rPr>
          <w:rFonts w:ascii="Palatino Linotype" w:eastAsia="Palatino Linotype" w:hAnsi="Palatino Linotype" w:cs="Palatino Linotype"/>
          <w:b/>
          <w:color w:val="000000" w:themeColor="text1"/>
        </w:rPr>
        <w:t xml:space="preserve">dieciséis de junio </w:t>
      </w:r>
      <w:r w:rsidRPr="00B37267">
        <w:rPr>
          <w:rFonts w:ascii="Palatino Linotype" w:eastAsia="Palatino Linotype" w:hAnsi="Palatino Linotype" w:cs="Palatino Linotype"/>
          <w:b/>
          <w:color w:val="000000" w:themeColor="text1"/>
        </w:rPr>
        <w:t>de dos mil veinticinco</w:t>
      </w:r>
      <w:r w:rsidRPr="00B37267">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B37267">
        <w:rPr>
          <w:rFonts w:ascii="Palatino Linotype" w:eastAsia="Palatino Linotype" w:hAnsi="Palatino Linotype" w:cs="Palatino Linotype"/>
          <w:b/>
          <w:color w:val="000000" w:themeColor="text1"/>
        </w:rPr>
        <w:t xml:space="preserve">SUJETO OBLIGADO </w:t>
      </w:r>
      <w:r w:rsidRPr="00B37267">
        <w:rPr>
          <w:rFonts w:ascii="Palatino Linotype" w:eastAsia="Palatino Linotype" w:hAnsi="Palatino Linotype" w:cs="Palatino Linotype"/>
          <w:color w:val="000000" w:themeColor="text1"/>
        </w:rPr>
        <w:t>presentara el Informe Justificado procedente.</w:t>
      </w:r>
    </w:p>
    <w:p w:rsidR="004B0F61" w:rsidRPr="00B37267"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6B4DA3" w:rsidRPr="00B37267" w:rsidRDefault="00046D05" w:rsidP="00DE79D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color w:val="000000" w:themeColor="text1"/>
        </w:rPr>
        <w:t xml:space="preserve">De lo anterior </w:t>
      </w:r>
      <w:r w:rsidR="006B4DA3" w:rsidRPr="00B37267">
        <w:rPr>
          <w:rFonts w:ascii="Palatino Linotype" w:eastAsia="Palatino Linotype" w:hAnsi="Palatino Linotype" w:cs="Palatino Linotype"/>
          <w:color w:val="000000" w:themeColor="text1"/>
        </w:rPr>
        <w:t xml:space="preserve">en fecha </w:t>
      </w:r>
      <w:r w:rsidR="006B4DA3" w:rsidRPr="00B37267">
        <w:rPr>
          <w:rFonts w:ascii="Palatino Linotype" w:eastAsia="Palatino Linotype" w:hAnsi="Palatino Linotype" w:cs="Palatino Linotype"/>
          <w:b/>
          <w:color w:val="000000" w:themeColor="text1"/>
        </w:rPr>
        <w:t xml:space="preserve">veinticinco de junio de dos mil veinticinco </w:t>
      </w:r>
      <w:r w:rsidRPr="00B37267">
        <w:rPr>
          <w:rFonts w:ascii="Palatino Linotype" w:eastAsia="Palatino Linotype" w:hAnsi="Palatino Linotype" w:cs="Palatino Linotype"/>
          <w:color w:val="000000" w:themeColor="text1"/>
        </w:rPr>
        <w:t xml:space="preserve">el </w:t>
      </w:r>
      <w:r w:rsidR="006B4DA3" w:rsidRPr="00B37267">
        <w:rPr>
          <w:rFonts w:ascii="Palatino Linotype" w:eastAsia="Palatino Linotype" w:hAnsi="Palatino Linotype" w:cs="Palatino Linotype"/>
          <w:b/>
          <w:color w:val="000000" w:themeColor="text1"/>
        </w:rPr>
        <w:t xml:space="preserve">SUJETO OBLIGADO </w:t>
      </w:r>
      <w:r w:rsidR="006B4DA3" w:rsidRPr="00B37267">
        <w:rPr>
          <w:rFonts w:ascii="Palatino Linotype" w:eastAsia="Palatino Linotype" w:hAnsi="Palatino Linotype" w:cs="Palatino Linotype"/>
          <w:color w:val="000000" w:themeColor="text1"/>
        </w:rPr>
        <w:t>remitió</w:t>
      </w:r>
      <w:r w:rsidR="006B4DA3" w:rsidRPr="00B37267">
        <w:rPr>
          <w:rFonts w:ascii="Palatino Linotype" w:eastAsia="Palatino Linotype" w:hAnsi="Palatino Linotype" w:cs="Palatino Linotype"/>
          <w:b/>
          <w:color w:val="000000" w:themeColor="text1"/>
        </w:rPr>
        <w:t xml:space="preserve"> informe justificado, </w:t>
      </w:r>
      <w:r w:rsidR="006B4DA3" w:rsidRPr="00B37267">
        <w:rPr>
          <w:rFonts w:ascii="Palatino Linotype" w:eastAsia="Palatino Linotype" w:hAnsi="Palatino Linotype" w:cs="Palatino Linotype"/>
          <w:color w:val="000000" w:themeColor="text1"/>
        </w:rPr>
        <w:t>mediante el cual ratifica su respuesta.</w:t>
      </w:r>
    </w:p>
    <w:p w:rsidR="006B4DA3" w:rsidRPr="00B37267" w:rsidRDefault="006B4DA3" w:rsidP="00DE79DD">
      <w:pPr>
        <w:pStyle w:val="Prrafodelista"/>
        <w:ind w:left="0"/>
        <w:rPr>
          <w:rFonts w:ascii="Palatino Linotype" w:eastAsia="Palatino Linotype" w:hAnsi="Palatino Linotype" w:cs="Palatino Linotype"/>
          <w:b/>
          <w:color w:val="000000" w:themeColor="text1"/>
          <w:sz w:val="24"/>
        </w:rPr>
      </w:pPr>
    </w:p>
    <w:p w:rsidR="004B0F61" w:rsidRPr="00B37267" w:rsidRDefault="0010618E" w:rsidP="00DE79D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color w:val="000000" w:themeColor="text1"/>
        </w:rPr>
        <w:t xml:space="preserve">Por su parte </w:t>
      </w:r>
      <w:r w:rsidR="00046D05" w:rsidRPr="00B37267">
        <w:rPr>
          <w:rFonts w:ascii="Palatino Linotype" w:eastAsia="Palatino Linotype" w:hAnsi="Palatino Linotype" w:cs="Palatino Linotype"/>
          <w:b/>
          <w:color w:val="000000" w:themeColor="text1"/>
        </w:rPr>
        <w:t xml:space="preserve">el RECURRENTE </w:t>
      </w:r>
      <w:r w:rsidRPr="00B37267">
        <w:rPr>
          <w:rFonts w:ascii="Palatino Linotype" w:eastAsia="Palatino Linotype" w:hAnsi="Palatino Linotype" w:cs="Palatino Linotype"/>
          <w:color w:val="000000" w:themeColor="text1"/>
        </w:rPr>
        <w:t>dejó</w:t>
      </w:r>
      <w:r w:rsidR="00046D05" w:rsidRPr="00B37267">
        <w:rPr>
          <w:rFonts w:ascii="Palatino Linotype" w:eastAsia="Palatino Linotype" w:hAnsi="Palatino Linotype" w:cs="Palatino Linotype"/>
          <w:color w:val="000000" w:themeColor="text1"/>
        </w:rPr>
        <w:t xml:space="preserve"> de realizar manifestaciones que a su derecho conviniera y asistiera, respectivamente </w:t>
      </w:r>
      <w:r w:rsidRPr="00B37267">
        <w:rPr>
          <w:rFonts w:ascii="Palatino Linotype" w:eastAsia="Palatino Linotype" w:hAnsi="Palatino Linotype" w:cs="Palatino Linotype"/>
          <w:color w:val="000000" w:themeColor="text1"/>
        </w:rPr>
        <w:t xml:space="preserve">en el </w:t>
      </w:r>
      <w:r w:rsidR="00046D05" w:rsidRPr="00B37267">
        <w:rPr>
          <w:rFonts w:ascii="Palatino Linotype" w:eastAsia="Palatino Linotype" w:hAnsi="Palatino Linotype" w:cs="Palatino Linotype"/>
          <w:color w:val="000000" w:themeColor="text1"/>
        </w:rPr>
        <w:t xml:space="preserve">recurso de revisión. </w:t>
      </w:r>
    </w:p>
    <w:p w:rsidR="0010618E" w:rsidRPr="00B37267" w:rsidRDefault="0010618E" w:rsidP="00DE79DD">
      <w:pPr>
        <w:pStyle w:val="Prrafodelista"/>
        <w:ind w:left="0"/>
        <w:rPr>
          <w:rFonts w:ascii="Palatino Linotype" w:eastAsia="Palatino Linotype" w:hAnsi="Palatino Linotype" w:cs="Palatino Linotype"/>
          <w:i/>
          <w:color w:val="000000" w:themeColor="text1"/>
          <w:sz w:val="24"/>
        </w:rPr>
      </w:pPr>
    </w:p>
    <w:p w:rsidR="0010618E" w:rsidRPr="00B37267" w:rsidRDefault="0010618E" w:rsidP="00DE79DD">
      <w:pPr>
        <w:pStyle w:val="Prrafodelista"/>
        <w:numPr>
          <w:ilvl w:val="0"/>
          <w:numId w:val="1"/>
        </w:numPr>
        <w:tabs>
          <w:tab w:val="left" w:pos="0"/>
          <w:tab w:val="left" w:pos="567"/>
        </w:tabs>
        <w:spacing w:line="360" w:lineRule="auto"/>
        <w:ind w:left="0" w:firstLine="0"/>
        <w:jc w:val="both"/>
        <w:rPr>
          <w:rFonts w:ascii="Palatino Linotype" w:hAnsi="Palatino Linotype"/>
          <w:color w:val="000000" w:themeColor="text1"/>
          <w:sz w:val="24"/>
        </w:rPr>
      </w:pPr>
      <w:r w:rsidRPr="00B37267">
        <w:rPr>
          <w:rFonts w:ascii="Palatino Linotype" w:hAnsi="Palatino Linotype"/>
          <w:color w:val="000000" w:themeColor="text1"/>
          <w:sz w:val="24"/>
        </w:rPr>
        <w:t xml:space="preserve">El </w:t>
      </w:r>
      <w:r w:rsidRPr="00B37267">
        <w:rPr>
          <w:rFonts w:ascii="Palatino Linotype" w:hAnsi="Palatino Linotype"/>
          <w:b/>
          <w:color w:val="000000" w:themeColor="text1"/>
          <w:sz w:val="24"/>
        </w:rPr>
        <w:t>catorce de agosto de dos mil veinticinco</w:t>
      </w:r>
      <w:r w:rsidRPr="00B37267">
        <w:rPr>
          <w:rFonts w:ascii="Palatino Linotype" w:hAnsi="Palatino Linotype"/>
          <w:color w:val="000000" w:themeColor="text1"/>
          <w:sz w:val="24"/>
        </w:rPr>
        <w:t>, se notificó el acuerdo mediante el cual se amplió el plazo para emitir resolución por un término de 15 días adicionales.</w:t>
      </w:r>
    </w:p>
    <w:p w:rsidR="004B0F61" w:rsidRPr="00B37267" w:rsidRDefault="004B0F61" w:rsidP="00DE79DD">
      <w:pPr>
        <w:spacing w:line="360" w:lineRule="auto"/>
        <w:jc w:val="both"/>
        <w:rPr>
          <w:rFonts w:ascii="Palatino Linotype" w:eastAsia="Palatino Linotype" w:hAnsi="Palatino Linotype" w:cs="Palatino Linotype"/>
          <w:i/>
          <w:color w:val="000000" w:themeColor="text1"/>
        </w:rPr>
      </w:pPr>
    </w:p>
    <w:p w:rsidR="004B0F61" w:rsidRPr="00B37267" w:rsidRDefault="00046D05" w:rsidP="00DE79DD">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color w:val="000000" w:themeColor="text1"/>
        </w:rPr>
        <w:t xml:space="preserve">Finalmente, la Comisionada Ponente mediante acuerdo del </w:t>
      </w:r>
      <w:r w:rsidR="0010618E" w:rsidRPr="00B37267">
        <w:rPr>
          <w:rFonts w:ascii="Palatino Linotype" w:eastAsia="Palatino Linotype" w:hAnsi="Palatino Linotype" w:cs="Palatino Linotype"/>
          <w:b/>
          <w:color w:val="000000" w:themeColor="text1"/>
        </w:rPr>
        <w:t xml:space="preserve">veinte de agosto </w:t>
      </w:r>
      <w:r w:rsidRPr="00B37267">
        <w:rPr>
          <w:rFonts w:ascii="Palatino Linotype" w:eastAsia="Palatino Linotype" w:hAnsi="Palatino Linotype" w:cs="Palatino Linotype"/>
          <w:b/>
          <w:color w:val="000000" w:themeColor="text1"/>
        </w:rPr>
        <w:t>de dos mil veinticinco</w:t>
      </w:r>
      <w:r w:rsidRPr="00B37267">
        <w:rPr>
          <w:rFonts w:ascii="Palatino Linotype" w:eastAsia="Palatino Linotype" w:hAnsi="Palatino Linotype" w:cs="Palatino Linotype"/>
          <w:color w:val="000000" w:themeColor="text1"/>
        </w:rPr>
        <w:t>, decretó el cierre de instrucción del expediente, por lo que no ha</w:t>
      </w:r>
      <w:r w:rsidR="008666B4">
        <w:rPr>
          <w:rFonts w:ascii="Palatino Linotype" w:eastAsia="Palatino Linotype" w:hAnsi="Palatino Linotype" w:cs="Palatino Linotype"/>
          <w:color w:val="000000" w:themeColor="text1"/>
        </w:rPr>
        <w:t>biendo más que hacer constar, y -----------------------------------------------------------------------------------------------</w:t>
      </w:r>
      <w:r w:rsidRPr="00B37267">
        <w:rPr>
          <w:rFonts w:ascii="Palatino Linotype" w:eastAsia="Palatino Linotype" w:hAnsi="Palatino Linotype" w:cs="Palatino Linotype"/>
          <w:color w:val="000000" w:themeColor="text1"/>
        </w:rPr>
        <w:t xml:space="preserve"> </w:t>
      </w:r>
    </w:p>
    <w:p w:rsidR="004B0F61" w:rsidRPr="00B37267" w:rsidRDefault="00046D05" w:rsidP="009263F3">
      <w:pPr>
        <w:keepNext/>
        <w:keepLines/>
        <w:spacing w:line="360" w:lineRule="auto"/>
        <w:jc w:val="center"/>
        <w:rPr>
          <w:rFonts w:ascii="Palatino Linotype" w:eastAsia="Palatino Linotype" w:hAnsi="Palatino Linotype" w:cs="Palatino Linotype"/>
          <w:b/>
          <w:color w:val="000000" w:themeColor="text1"/>
        </w:rPr>
      </w:pPr>
      <w:bookmarkStart w:id="3" w:name="_heading=h.qzz2ou9r4mzu" w:colFirst="0" w:colLast="0"/>
      <w:bookmarkEnd w:id="3"/>
      <w:r w:rsidRPr="00B37267">
        <w:rPr>
          <w:rFonts w:ascii="Palatino Linotype" w:eastAsia="Palatino Linotype" w:hAnsi="Palatino Linotype" w:cs="Palatino Linotype"/>
          <w:b/>
          <w:color w:val="000000" w:themeColor="text1"/>
        </w:rPr>
        <w:lastRenderedPageBreak/>
        <w:t>C</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O</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N</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S</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I</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D</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E</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R</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A</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N</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D</w:t>
      </w:r>
      <w:r w:rsidR="008666B4">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b/>
          <w:color w:val="000000" w:themeColor="text1"/>
        </w:rPr>
        <w:t>O</w:t>
      </w:r>
      <w:r w:rsidR="008666B4">
        <w:rPr>
          <w:rFonts w:ascii="Palatino Linotype" w:eastAsia="Palatino Linotype" w:hAnsi="Palatino Linotype" w:cs="Palatino Linotype"/>
          <w:b/>
          <w:color w:val="000000" w:themeColor="text1"/>
        </w:rPr>
        <w:t xml:space="preserve"> </w:t>
      </w:r>
    </w:p>
    <w:p w:rsidR="004B0F61" w:rsidRPr="00B37267" w:rsidRDefault="004B0F61" w:rsidP="00DE79DD">
      <w:pPr>
        <w:keepNext/>
        <w:keepLines/>
        <w:spacing w:line="360" w:lineRule="auto"/>
        <w:jc w:val="center"/>
        <w:rPr>
          <w:rFonts w:ascii="Palatino Linotype" w:eastAsia="Palatino Linotype" w:hAnsi="Palatino Linotype" w:cs="Palatino Linotype"/>
          <w:b/>
          <w:color w:val="000000" w:themeColor="text1"/>
        </w:rPr>
      </w:pPr>
    </w:p>
    <w:p w:rsidR="004B0F61" w:rsidRPr="00B37267" w:rsidRDefault="00046D05" w:rsidP="009263F3">
      <w:pPr>
        <w:keepNext/>
        <w:keepLines/>
        <w:spacing w:line="360" w:lineRule="auto"/>
        <w:rPr>
          <w:rFonts w:ascii="Palatino Linotype" w:eastAsia="Palatino Linotype" w:hAnsi="Palatino Linotype" w:cs="Palatino Linotype"/>
          <w:b/>
          <w:color w:val="000000" w:themeColor="text1"/>
        </w:rPr>
      </w:pPr>
      <w:bookmarkStart w:id="4" w:name="_heading=h.jrbrpx2o2t1q" w:colFirst="0" w:colLast="0"/>
      <w:bookmarkEnd w:id="4"/>
      <w:r w:rsidRPr="00B37267">
        <w:rPr>
          <w:rFonts w:ascii="Palatino Linotype" w:eastAsia="Palatino Linotype" w:hAnsi="Palatino Linotype" w:cs="Palatino Linotype"/>
          <w:b/>
          <w:color w:val="000000" w:themeColor="text1"/>
        </w:rPr>
        <w:t>PRIMERO. De la competencia.</w:t>
      </w:r>
    </w:p>
    <w:p w:rsidR="004B0F61" w:rsidRPr="00B37267" w:rsidRDefault="00046D05" w:rsidP="00DE79DD">
      <w:pPr>
        <w:keepNext/>
        <w:keepLines/>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color w:val="000000" w:themeColor="text1"/>
        </w:rPr>
      </w:pPr>
      <w:r w:rsidRPr="00B3726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B37267">
        <w:rPr>
          <w:rFonts w:ascii="Palatino Linotype" w:eastAsia="Palatino Linotype" w:hAnsi="Palatino Linotype" w:cs="Palatino Linotype"/>
          <w:b/>
          <w:color w:val="000000" w:themeColor="text1"/>
        </w:rPr>
        <w:t>Constitución Política de los Estados Unidos Mexicanos</w:t>
      </w:r>
      <w:r w:rsidRPr="00B37267">
        <w:rPr>
          <w:rFonts w:ascii="Palatino Linotype" w:eastAsia="Palatino Linotype" w:hAnsi="Palatino Linotype" w:cs="Palatino Linotype"/>
          <w:color w:val="000000" w:themeColor="text1"/>
        </w:rPr>
        <w:t>; 5, párrafos trigésimo segundo, trigésimo tercero y trigésimo cuarto fracciones IV y V de la </w:t>
      </w:r>
      <w:r w:rsidRPr="00B37267">
        <w:rPr>
          <w:rFonts w:ascii="Palatino Linotype" w:eastAsia="Palatino Linotype" w:hAnsi="Palatino Linotype" w:cs="Palatino Linotype"/>
          <w:b/>
          <w:color w:val="000000" w:themeColor="text1"/>
        </w:rPr>
        <w:t>Constitución Política del Estado Libre y Soberano de México</w:t>
      </w:r>
      <w:r w:rsidRPr="00B37267">
        <w:rPr>
          <w:rFonts w:ascii="Palatino Linotype" w:eastAsia="Palatino Linotype" w:hAnsi="Palatino Linotype" w:cs="Palatino Linotype"/>
          <w:color w:val="000000" w:themeColor="text1"/>
        </w:rPr>
        <w:t>; artículos 1, 2 fracción II, 13, 29, 36 fracciones I y II, 176, 178, 179, 181 párrafo tercero y 185 de la </w:t>
      </w:r>
      <w:r w:rsidRPr="00B37267">
        <w:rPr>
          <w:rFonts w:ascii="Palatino Linotype" w:eastAsia="Palatino Linotype" w:hAnsi="Palatino Linotype" w:cs="Palatino Linotype"/>
          <w:b/>
          <w:color w:val="000000" w:themeColor="text1"/>
        </w:rPr>
        <w:t>Ley de Transparencia y Acceso a la Información Pública del Estado de México y Municipios</w:t>
      </w:r>
      <w:r w:rsidRPr="00B37267">
        <w:rPr>
          <w:rFonts w:ascii="Palatino Linotype" w:eastAsia="Palatino Linotype" w:hAnsi="Palatino Linotype" w:cs="Palatino Linotype"/>
          <w:color w:val="000000" w:themeColor="text1"/>
        </w:rPr>
        <w:t>; y 7, 9 fracciones I y XXIII, y 11 del </w:t>
      </w:r>
      <w:r w:rsidRPr="00B37267">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B37267">
        <w:rPr>
          <w:rFonts w:ascii="Palatino Linotype" w:eastAsia="Palatino Linotype" w:hAnsi="Palatino Linotype" w:cs="Palatino Linotype"/>
          <w:color w:val="000000" w:themeColor="text1"/>
        </w:rPr>
        <w:t>.</w:t>
      </w:r>
    </w:p>
    <w:p w:rsidR="004B0F61" w:rsidRPr="00B37267" w:rsidRDefault="004B0F61" w:rsidP="00DE79DD">
      <w:pPr>
        <w:keepNext/>
        <w:keepLines/>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p>
    <w:p w:rsidR="004B0F61" w:rsidRPr="00B37267" w:rsidRDefault="00046D05" w:rsidP="00DE79DD">
      <w:pPr>
        <w:keepNext/>
        <w:keepLines/>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B37267">
        <w:rPr>
          <w:rFonts w:ascii="Palatino Linotype" w:eastAsia="Palatino Linotype" w:hAnsi="Palatino Linotype" w:cs="Palatino Linotype"/>
          <w:b/>
          <w:color w:val="000000" w:themeColor="text1"/>
        </w:rPr>
        <w:t>SEGUNDO. De la oportunidad y procedencia.</w:t>
      </w:r>
    </w:p>
    <w:p w:rsidR="0010618E" w:rsidRPr="00B37267" w:rsidRDefault="00046D05" w:rsidP="00DE79D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El medio de impugnación fue presentado a través del </w:t>
      </w:r>
      <w:r w:rsidRPr="00B37267">
        <w:rPr>
          <w:rFonts w:ascii="Palatino Linotype" w:eastAsia="Palatino Linotype" w:hAnsi="Palatino Linotype" w:cs="Palatino Linotype"/>
          <w:b/>
          <w:color w:val="000000" w:themeColor="text1"/>
        </w:rPr>
        <w:t>SAIMEX,</w:t>
      </w:r>
      <w:r w:rsidRPr="00B3726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B37267">
        <w:rPr>
          <w:rFonts w:ascii="Palatino Linotype" w:eastAsia="Palatino Linotype" w:hAnsi="Palatino Linotype" w:cs="Palatino Linotype"/>
          <w:b/>
          <w:color w:val="000000" w:themeColor="text1"/>
        </w:rPr>
        <w:t>SUJETO OBLIGADO</w:t>
      </w:r>
      <w:r w:rsidRPr="00B37267">
        <w:rPr>
          <w:rFonts w:ascii="Palatino Linotype" w:eastAsia="Palatino Linotype" w:hAnsi="Palatino Linotype" w:cs="Palatino Linotype"/>
          <w:color w:val="000000" w:themeColor="text1"/>
        </w:rPr>
        <w:t xml:space="preserve"> entregó respuesta el día </w:t>
      </w:r>
      <w:r w:rsidR="0010618E" w:rsidRPr="00B37267">
        <w:rPr>
          <w:rFonts w:ascii="Palatino Linotype" w:eastAsia="Palatino Linotype" w:hAnsi="Palatino Linotype" w:cs="Palatino Linotype"/>
          <w:b/>
          <w:color w:val="000000" w:themeColor="text1"/>
        </w:rPr>
        <w:t xml:space="preserve">once de junio </w:t>
      </w:r>
      <w:r w:rsidRPr="00B37267">
        <w:rPr>
          <w:rFonts w:ascii="Palatino Linotype" w:eastAsia="Palatino Linotype" w:hAnsi="Palatino Linotype" w:cs="Palatino Linotype"/>
          <w:b/>
          <w:color w:val="000000" w:themeColor="text1"/>
        </w:rPr>
        <w:t>de dos mil veinticinco</w:t>
      </w:r>
      <w:r w:rsidRPr="00B37267">
        <w:rPr>
          <w:rFonts w:ascii="Palatino Linotype" w:eastAsia="Palatino Linotype" w:hAnsi="Palatino Linotype" w:cs="Palatino Linotype"/>
          <w:color w:val="000000" w:themeColor="text1"/>
        </w:rPr>
        <w:t xml:space="preserve">, de tal forma que el plazo para interponer el recurso transcurrió del </w:t>
      </w:r>
      <w:r w:rsidR="0010618E" w:rsidRPr="00B37267">
        <w:rPr>
          <w:rFonts w:ascii="Palatino Linotype" w:eastAsia="Palatino Linotype" w:hAnsi="Palatino Linotype" w:cs="Palatino Linotype"/>
          <w:b/>
          <w:color w:val="000000" w:themeColor="text1"/>
        </w:rPr>
        <w:t xml:space="preserve">doce de junio al dos de julio </w:t>
      </w:r>
      <w:r w:rsidRPr="00B37267">
        <w:rPr>
          <w:rFonts w:ascii="Palatino Linotype" w:eastAsia="Palatino Linotype" w:hAnsi="Palatino Linotype" w:cs="Palatino Linotype"/>
          <w:b/>
          <w:color w:val="000000" w:themeColor="text1"/>
        </w:rPr>
        <w:t>de dos mil veinticinco</w:t>
      </w:r>
      <w:r w:rsidRPr="00B37267">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día </w:t>
      </w:r>
      <w:r w:rsidR="0010618E" w:rsidRPr="00B37267">
        <w:rPr>
          <w:rFonts w:ascii="Palatino Linotype" w:eastAsia="Palatino Linotype" w:hAnsi="Palatino Linotype" w:cs="Palatino Linotype"/>
          <w:b/>
          <w:color w:val="000000" w:themeColor="text1"/>
        </w:rPr>
        <w:t xml:space="preserve">once de junio </w:t>
      </w:r>
      <w:r w:rsidRPr="00B37267">
        <w:rPr>
          <w:rFonts w:ascii="Palatino Linotype" w:eastAsia="Palatino Linotype" w:hAnsi="Palatino Linotype" w:cs="Palatino Linotype"/>
          <w:b/>
          <w:color w:val="000000" w:themeColor="text1"/>
        </w:rPr>
        <w:t>de dos mil veinticinco</w:t>
      </w:r>
      <w:r w:rsidRPr="00B37267">
        <w:rPr>
          <w:rFonts w:ascii="Palatino Linotype" w:eastAsia="Palatino Linotype" w:hAnsi="Palatino Linotype" w:cs="Palatino Linotype"/>
          <w:color w:val="000000" w:themeColor="text1"/>
        </w:rPr>
        <w:t xml:space="preserve">, se encuentra dentro de los márgenes temporales previstos en el </w:t>
      </w:r>
      <w:r w:rsidRPr="00B37267">
        <w:rPr>
          <w:rFonts w:ascii="Palatino Linotype" w:eastAsia="Palatino Linotype" w:hAnsi="Palatino Linotype" w:cs="Palatino Linotype"/>
          <w:color w:val="000000" w:themeColor="text1"/>
        </w:rPr>
        <w:lastRenderedPageBreak/>
        <w:t xml:space="preserve">artículo 178 de la </w:t>
      </w:r>
      <w:r w:rsidRPr="00B3726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37267">
        <w:rPr>
          <w:rFonts w:ascii="Palatino Linotype" w:eastAsia="Palatino Linotype" w:hAnsi="Palatino Linotype" w:cs="Palatino Linotype"/>
          <w:color w:val="000000" w:themeColor="text1"/>
        </w:rPr>
        <w:t xml:space="preserve">vigente. </w:t>
      </w:r>
    </w:p>
    <w:p w:rsidR="0010618E" w:rsidRPr="00B37267" w:rsidRDefault="0010618E" w:rsidP="00DE79DD">
      <w:pPr>
        <w:spacing w:line="360" w:lineRule="auto"/>
        <w:jc w:val="both"/>
        <w:rPr>
          <w:rFonts w:ascii="Palatino Linotype" w:eastAsia="Palatino Linotype" w:hAnsi="Palatino Linotype" w:cs="Palatino Linotype"/>
          <w:color w:val="000000" w:themeColor="text1"/>
        </w:rPr>
      </w:pPr>
    </w:p>
    <w:p w:rsidR="0010618E" w:rsidRPr="00B37267" w:rsidRDefault="0010618E" w:rsidP="00DE79D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hAnsi="Palatino Linotype" w:cs="Arial"/>
          <w:color w:val="000000" w:themeColor="text1"/>
        </w:rPr>
        <w:t>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10618E" w:rsidRPr="00B37267" w:rsidRDefault="0010618E" w:rsidP="00DE79DD">
      <w:pPr>
        <w:pStyle w:val="Prrafodelista"/>
        <w:ind w:left="0"/>
        <w:rPr>
          <w:rFonts w:ascii="Palatino Linotype" w:hAnsi="Palatino Linotype" w:cs="Arial"/>
          <w:color w:val="000000" w:themeColor="text1"/>
          <w:sz w:val="24"/>
        </w:rPr>
      </w:pPr>
    </w:p>
    <w:p w:rsidR="0010618E" w:rsidRPr="00B37267" w:rsidRDefault="0010618E" w:rsidP="00DE79D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hAnsi="Palatino Linotype" w:cs="Arial"/>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10618E" w:rsidRPr="00B37267" w:rsidRDefault="0010618E" w:rsidP="00DE79DD">
      <w:pPr>
        <w:contextualSpacing/>
        <w:jc w:val="both"/>
        <w:rPr>
          <w:rFonts w:ascii="Palatino Linotype" w:hAnsi="Palatino Linotype" w:cs="Arial"/>
          <w:i/>
          <w:color w:val="000000" w:themeColor="text1"/>
        </w:rPr>
      </w:pPr>
      <w:r w:rsidRPr="00B37267">
        <w:rPr>
          <w:rFonts w:ascii="Palatino Linotype" w:hAnsi="Palatino Linotype" w:cs="Arial"/>
          <w:b/>
          <w:i/>
          <w:color w:val="000000" w:themeColor="text1"/>
        </w:rPr>
        <w:t>“RECURSO DE RECLAMACIÓN. SU INTERPOSICIÓN NO ES EXTEMPORÁNEA SI SE REALIZA ANTES DE QUE INICIE EL PLAZO PARA HACERLO</w:t>
      </w:r>
      <w:r w:rsidRPr="00B37267">
        <w:rPr>
          <w:rFonts w:ascii="Palatino Linotype" w:hAnsi="Palatino Linotype" w:cs="Arial"/>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10618E" w:rsidRPr="00B37267" w:rsidRDefault="0010618E" w:rsidP="00DE79DD">
      <w:pPr>
        <w:spacing w:line="360" w:lineRule="auto"/>
        <w:contextualSpacing/>
        <w:jc w:val="both"/>
        <w:rPr>
          <w:rFonts w:ascii="Palatino Linotype" w:eastAsiaTheme="minorEastAsia" w:hAnsi="Palatino Linotype"/>
          <w:color w:val="000000" w:themeColor="text1"/>
          <w:lang w:eastAsia="es-ES"/>
        </w:rPr>
      </w:pPr>
    </w:p>
    <w:p w:rsidR="0010618E" w:rsidRPr="00B37267" w:rsidRDefault="0010618E" w:rsidP="00DE79DD">
      <w:pPr>
        <w:pStyle w:val="Prrafodelista"/>
        <w:numPr>
          <w:ilvl w:val="0"/>
          <w:numId w:val="1"/>
        </w:numPr>
        <w:spacing w:line="360" w:lineRule="auto"/>
        <w:ind w:left="0" w:firstLine="0"/>
        <w:jc w:val="both"/>
        <w:rPr>
          <w:rFonts w:ascii="Palatino Linotype" w:hAnsi="Palatino Linotype" w:cs="Arial"/>
          <w:i/>
          <w:color w:val="000000" w:themeColor="text1"/>
          <w:sz w:val="24"/>
        </w:rPr>
      </w:pPr>
      <w:r w:rsidRPr="00B37267">
        <w:rPr>
          <w:rFonts w:ascii="Palatino Linotype" w:hAnsi="Palatino Linotype" w:cs="Arial"/>
          <w:color w:val="000000" w:themeColor="text1"/>
          <w:sz w:val="24"/>
        </w:rPr>
        <w:t>Esto</w:t>
      </w:r>
      <w:r w:rsidRPr="00B37267">
        <w:rPr>
          <w:rFonts w:ascii="Palatino Linotype" w:hAnsi="Palatino Linotype" w:cstheme="minorBidi"/>
          <w:color w:val="000000" w:themeColor="text1"/>
          <w:sz w:val="24"/>
        </w:rPr>
        <w:t xml:space="preserve"> es así porque en primer lugar es necesario que </w:t>
      </w:r>
      <w:r w:rsidRPr="00B37267">
        <w:rPr>
          <w:rFonts w:ascii="Palatino Linotype" w:hAnsi="Palatino Linotype" w:cstheme="minorBidi"/>
          <w:b/>
          <w:color w:val="000000" w:themeColor="text1"/>
          <w:sz w:val="24"/>
        </w:rPr>
        <w:t>EL RECURRENTE</w:t>
      </w:r>
      <w:r w:rsidRPr="00B37267">
        <w:rPr>
          <w:rFonts w:ascii="Palatino Linotype" w:hAnsi="Palatino Linotype" w:cstheme="minorBidi"/>
          <w:color w:val="000000" w:themeColor="text1"/>
          <w:sz w:val="24"/>
        </w:rPr>
        <w:t xml:space="preserve"> conozca el acto que le provoca agravio y a partir de ahí formular su recurso de revisión </w:t>
      </w:r>
      <w:r w:rsidRPr="00B37267">
        <w:rPr>
          <w:rFonts w:ascii="Palatino Linotype" w:hAnsi="Palatino Linotype" w:cs="Arial"/>
          <w:color w:val="000000" w:themeColor="text1"/>
          <w:sz w:val="24"/>
        </w:rPr>
        <w:t>señalando</w:t>
      </w:r>
      <w:r w:rsidRPr="00B37267">
        <w:rPr>
          <w:rFonts w:ascii="Palatino Linotype" w:hAnsi="Palatino Linotype" w:cstheme="minorBidi"/>
          <w:color w:val="000000" w:themeColor="text1"/>
          <w:sz w:val="24"/>
        </w:rPr>
        <w:t xml:space="preserve"> </w:t>
      </w:r>
      <w:r w:rsidRPr="00B37267">
        <w:rPr>
          <w:rFonts w:ascii="Palatino Linotype" w:hAnsi="Palatino Linotype" w:cs="Arial"/>
          <w:color w:val="000000" w:themeColor="text1"/>
          <w:sz w:val="24"/>
        </w:rPr>
        <w:t>tanto</w:t>
      </w:r>
      <w:r w:rsidRPr="00B37267">
        <w:rPr>
          <w:rFonts w:ascii="Palatino Linotype" w:hAnsi="Palatino Linotype" w:cstheme="minorBidi"/>
          <w:color w:val="000000" w:themeColor="text1"/>
          <w:sz w:val="24"/>
        </w:rPr>
        <w:t xml:space="preserve"> el acto impugnado como el motivo de inconformidad. Y si bien la ley señala que el plazo corre </w:t>
      </w:r>
      <w:r w:rsidRPr="00B37267">
        <w:rPr>
          <w:rFonts w:ascii="Palatino Linotype" w:hAnsi="Palatino Linotype" w:cstheme="minorBidi"/>
          <w:color w:val="000000" w:themeColor="text1"/>
          <w:sz w:val="24"/>
        </w:rPr>
        <w:lastRenderedPageBreak/>
        <w:t xml:space="preserve">un día después de haber sido notificada la respuesta, en nada se afecta al proceso que el mismo día de </w:t>
      </w:r>
      <w:r w:rsidRPr="00B37267">
        <w:rPr>
          <w:rFonts w:ascii="Palatino Linotype" w:hAnsi="Palatino Linotype" w:cstheme="minorBidi"/>
          <w:b/>
          <w:color w:val="000000" w:themeColor="text1"/>
          <w:sz w:val="24"/>
        </w:rPr>
        <w:t>notificada EL RECURRENTE</w:t>
      </w:r>
      <w:r w:rsidRPr="00B37267">
        <w:rPr>
          <w:rFonts w:ascii="Palatino Linotype" w:hAnsi="Palatino Linotype" w:cstheme="minorBidi"/>
          <w:color w:val="000000" w:themeColor="text1"/>
          <w:sz w:val="24"/>
        </w:rPr>
        <w:t xml:space="preserve"> actúe, ya que al contrario lo que demuestra es el interés del mismo para ejercer su derecho bajo el principio constitucional de justicia expedita.</w:t>
      </w:r>
    </w:p>
    <w:p w:rsidR="0010618E" w:rsidRPr="00B37267" w:rsidRDefault="0010618E" w:rsidP="00DE79DD">
      <w:pPr>
        <w:spacing w:line="360" w:lineRule="auto"/>
        <w:contextualSpacing/>
        <w:jc w:val="both"/>
        <w:rPr>
          <w:rFonts w:ascii="Palatino Linotype" w:eastAsiaTheme="minorEastAsia" w:hAnsi="Palatino Linotype"/>
          <w:color w:val="000000" w:themeColor="text1"/>
          <w:lang w:eastAsia="es-ES"/>
        </w:rPr>
      </w:pPr>
    </w:p>
    <w:p w:rsidR="0010618E" w:rsidRPr="00B37267" w:rsidRDefault="0010618E" w:rsidP="00DE79DD">
      <w:pPr>
        <w:numPr>
          <w:ilvl w:val="0"/>
          <w:numId w:val="1"/>
        </w:numPr>
        <w:spacing w:line="360" w:lineRule="auto"/>
        <w:ind w:left="0" w:firstLine="0"/>
        <w:contextualSpacing/>
        <w:jc w:val="both"/>
        <w:rPr>
          <w:rFonts w:ascii="Palatino Linotype" w:hAnsi="Palatino Linotype" w:cs="Arial"/>
          <w:i/>
          <w:color w:val="000000" w:themeColor="text1"/>
        </w:rPr>
      </w:pPr>
      <w:r w:rsidRPr="00B37267">
        <w:rPr>
          <w:rFonts w:ascii="Palatino Linotype" w:hAnsi="Palatino Linotype" w:cstheme="minorBidi"/>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10618E" w:rsidRPr="00B37267" w:rsidRDefault="0010618E" w:rsidP="00DE79DD">
      <w:pPr>
        <w:pStyle w:val="Prrafodelista"/>
        <w:ind w:left="0"/>
        <w:rPr>
          <w:rFonts w:ascii="Palatino Linotype" w:hAnsi="Palatino Linotype" w:cs="Arial"/>
          <w:i/>
          <w:color w:val="000000" w:themeColor="text1"/>
          <w:sz w:val="24"/>
        </w:rPr>
      </w:pPr>
    </w:p>
    <w:p w:rsidR="0010618E" w:rsidRPr="00B37267" w:rsidRDefault="0010618E" w:rsidP="00DE79DD">
      <w:pPr>
        <w:numPr>
          <w:ilvl w:val="0"/>
          <w:numId w:val="1"/>
        </w:numPr>
        <w:spacing w:line="360" w:lineRule="auto"/>
        <w:ind w:left="0" w:firstLine="0"/>
        <w:contextualSpacing/>
        <w:jc w:val="both"/>
        <w:rPr>
          <w:rFonts w:ascii="Palatino Linotype" w:hAnsi="Palatino Linotype" w:cs="Arial"/>
          <w:i/>
          <w:color w:val="000000" w:themeColor="text1"/>
        </w:rPr>
      </w:pPr>
      <w:r w:rsidRPr="00B37267">
        <w:rPr>
          <w:rFonts w:ascii="Palatino Linotype" w:hAnsi="Palatino Linotype" w:cstheme="minorBidi"/>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B37267">
        <w:rPr>
          <w:rFonts w:ascii="Palatino Linotype" w:hAnsi="Palatino Linotype" w:cstheme="minorBidi"/>
          <w:b/>
          <w:color w:val="000000" w:themeColor="text1"/>
        </w:rPr>
        <w:t>SUJETO OBLIGADO.</w:t>
      </w:r>
    </w:p>
    <w:p w:rsidR="0010618E" w:rsidRPr="00B37267" w:rsidRDefault="0010618E" w:rsidP="00DE79DD">
      <w:pP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B0F61" w:rsidRPr="00B37267" w:rsidRDefault="00046D05" w:rsidP="00DE79DD">
      <w:pPr>
        <w:pBdr>
          <w:top w:val="nil"/>
          <w:left w:val="nil"/>
          <w:bottom w:val="nil"/>
          <w:right w:val="nil"/>
          <w:between w:val="nil"/>
        </w:pBdr>
        <w:tabs>
          <w:tab w:val="left" w:pos="7655"/>
        </w:tabs>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r w:rsidRPr="00B37267">
        <w:rPr>
          <w:rFonts w:ascii="Palatino Linotype" w:eastAsia="Palatino Linotype" w:hAnsi="Palatino Linotype" w:cs="Palatino Linotype"/>
          <w:b/>
          <w:i/>
          <w:color w:val="000000" w:themeColor="text1"/>
        </w:rPr>
        <w:t>Las solicitudes anónimas</w:t>
      </w:r>
      <w:r w:rsidRPr="00B37267">
        <w:rPr>
          <w:rFonts w:ascii="Palatino Linotype" w:eastAsia="Palatino Linotype" w:hAnsi="Palatino Linotype" w:cs="Palatino Linotype"/>
          <w:i/>
          <w:color w:val="000000" w:themeColor="text1"/>
        </w:rPr>
        <w:t xml:space="preserve">, con nombre incompleto o seudónimo </w:t>
      </w:r>
      <w:r w:rsidRPr="00B37267">
        <w:rPr>
          <w:rFonts w:ascii="Palatino Linotype" w:eastAsia="Palatino Linotype" w:hAnsi="Palatino Linotype" w:cs="Palatino Linotype"/>
          <w:b/>
          <w:i/>
          <w:color w:val="000000" w:themeColor="text1"/>
        </w:rPr>
        <w:t>serán procedentes para su trámite por parte del sujeto obligado ante quien se presente</w:t>
      </w:r>
      <w:r w:rsidRPr="00B37267">
        <w:rPr>
          <w:rFonts w:ascii="Palatino Linotype" w:eastAsia="Palatino Linotype" w:hAnsi="Palatino Linotype" w:cs="Palatino Linotype"/>
          <w:i/>
          <w:color w:val="000000" w:themeColor="text1"/>
        </w:rPr>
        <w:t>. No podrá requerirse información adicional con motivo del nombre proporcionado por el solicitante."</w:t>
      </w:r>
    </w:p>
    <w:p w:rsidR="004B0F61" w:rsidRPr="00B37267"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lastRenderedPageBreak/>
        <w:t>"</w:t>
      </w:r>
      <w:r w:rsidRPr="00B37267">
        <w:rPr>
          <w:rFonts w:ascii="Palatino Linotype" w:eastAsia="Palatino Linotype" w:hAnsi="Palatino Linotype" w:cs="Palatino Linotype"/>
          <w:b/>
          <w:i/>
          <w:color w:val="000000" w:themeColor="text1"/>
        </w:rPr>
        <w:t>Artículo 6.-</w:t>
      </w:r>
      <w:r w:rsidRPr="00B37267">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B0F61" w:rsidRPr="00B37267" w:rsidRDefault="004B0F61" w:rsidP="00DE79DD">
      <w:pPr>
        <w:pBdr>
          <w:top w:val="nil"/>
          <w:left w:val="nil"/>
          <w:bottom w:val="nil"/>
          <w:right w:val="nil"/>
          <w:between w:val="nil"/>
        </w:pBdr>
        <w:jc w:val="both"/>
        <w:rPr>
          <w:rFonts w:ascii="Palatino Linotype" w:eastAsia="Palatino Linotype" w:hAnsi="Palatino Linotype" w:cs="Palatino Linotype"/>
          <w:i/>
          <w:color w:val="000000" w:themeColor="text1"/>
        </w:rPr>
      </w:pP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Para efectos de lo dispuesto en el presente artículo se observará lo siguiente:</w:t>
      </w:r>
    </w:p>
    <w:p w:rsidR="004B0F61" w:rsidRPr="00B37267" w:rsidRDefault="004B0F61" w:rsidP="00DE79DD">
      <w:pPr>
        <w:pBdr>
          <w:top w:val="nil"/>
          <w:left w:val="nil"/>
          <w:bottom w:val="nil"/>
          <w:right w:val="nil"/>
          <w:between w:val="nil"/>
        </w:pBdr>
        <w:jc w:val="both"/>
        <w:rPr>
          <w:rFonts w:ascii="Palatino Linotype" w:eastAsia="Palatino Linotype" w:hAnsi="Palatino Linotype" w:cs="Palatino Linotype"/>
          <w:i/>
          <w:color w:val="000000" w:themeColor="text1"/>
        </w:rPr>
      </w:pP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4B0F61" w:rsidRPr="00B37267" w:rsidRDefault="004B0F61" w:rsidP="00DE79DD">
      <w:pPr>
        <w:pBdr>
          <w:top w:val="nil"/>
          <w:left w:val="nil"/>
          <w:bottom w:val="nil"/>
          <w:right w:val="nil"/>
          <w:between w:val="nil"/>
        </w:pBdr>
        <w:jc w:val="both"/>
        <w:rPr>
          <w:rFonts w:ascii="Palatino Linotype" w:eastAsia="Palatino Linotype" w:hAnsi="Palatino Linotype" w:cs="Palatino Linotype"/>
          <w:i/>
          <w:color w:val="000000" w:themeColor="text1"/>
        </w:rPr>
      </w:pP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B37267">
        <w:rPr>
          <w:rFonts w:ascii="Palatino Linotype" w:eastAsia="Palatino Linotype" w:hAnsi="Palatino Linotype" w:cs="Palatino Linotype"/>
          <w:color w:val="000000" w:themeColor="text1"/>
        </w:rPr>
        <w:t>(Sic)</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r w:rsidRPr="00B37267">
        <w:rPr>
          <w:rFonts w:ascii="Palatino Linotype" w:eastAsia="Palatino Linotype" w:hAnsi="Palatino Linotype" w:cs="Palatino Linotype"/>
          <w:b/>
          <w:i/>
          <w:color w:val="000000" w:themeColor="text1"/>
        </w:rPr>
        <w:t>Artículo 5.-</w:t>
      </w:r>
      <w:r w:rsidRPr="00B37267">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lastRenderedPageBreak/>
        <w:t>...</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37267">
        <w:rPr>
          <w:rFonts w:ascii="Palatino Linotype" w:eastAsia="Palatino Linotype" w:hAnsi="Palatino Linotype" w:cs="Palatino Linotype"/>
          <w:color w:val="000000" w:themeColor="text1"/>
        </w:rPr>
        <w:t>(Sic)</w:t>
      </w:r>
    </w:p>
    <w:p w:rsidR="004B0F61" w:rsidRDefault="004B0F61" w:rsidP="00DE79DD">
      <w:pPr>
        <w:tabs>
          <w:tab w:val="left" w:pos="7655"/>
        </w:tabs>
        <w:jc w:val="both"/>
        <w:rPr>
          <w:rFonts w:ascii="Palatino Linotype" w:eastAsia="Palatino Linotype" w:hAnsi="Palatino Linotype" w:cs="Palatino Linotype"/>
          <w:i/>
          <w:color w:val="000000" w:themeColor="text1"/>
        </w:rPr>
      </w:pPr>
    </w:p>
    <w:p w:rsidR="008666B4" w:rsidRPr="00B37267" w:rsidRDefault="008666B4" w:rsidP="00DE79DD">
      <w:pPr>
        <w:tabs>
          <w:tab w:val="left" w:pos="7655"/>
        </w:tabs>
        <w:jc w:val="both"/>
        <w:rPr>
          <w:rFonts w:ascii="Palatino Linotype" w:eastAsia="Palatino Linotype" w:hAnsi="Palatino Linotype" w:cs="Palatino Linotype"/>
          <w:i/>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r w:rsidRPr="00B37267">
        <w:rPr>
          <w:rFonts w:ascii="Palatino Linotype" w:eastAsia="Palatino Linotype" w:hAnsi="Palatino Linotype" w:cs="Palatino Linotype"/>
          <w:b/>
          <w:i/>
          <w:color w:val="000000" w:themeColor="text1"/>
        </w:rPr>
        <w:t>Artículo 1</w:t>
      </w:r>
      <w:r w:rsidRPr="00B37267">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4B0F61" w:rsidRPr="00B37267" w:rsidRDefault="004B0F61" w:rsidP="00DE79DD">
      <w:pPr>
        <w:spacing w:line="360" w:lineRule="auto"/>
        <w:jc w:val="both"/>
        <w:rPr>
          <w:rFonts w:ascii="Palatino Linotype" w:eastAsia="Palatino Linotype" w:hAnsi="Palatino Linotype" w:cs="Palatino Linotype"/>
          <w:color w:val="000000" w:themeColor="text1"/>
        </w:rPr>
      </w:pPr>
    </w:p>
    <w:p w:rsidR="004B0F61" w:rsidRDefault="00046D05" w:rsidP="00DE79D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B37267">
        <w:rPr>
          <w:rFonts w:ascii="Palatino Linotype" w:eastAsia="Palatino Linotype" w:hAnsi="Palatino Linotype" w:cs="Palatino Linotype"/>
          <w:i/>
          <w:color w:val="000000" w:themeColor="text1"/>
        </w:rPr>
        <w:t>derecho fundamental exime a quien lo ejerce</w:t>
      </w:r>
      <w:r w:rsidRPr="00B37267">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2538F" w:rsidRPr="00B37267" w:rsidRDefault="00B2538F" w:rsidP="00B2538F">
      <w:pP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lastRenderedPageBreak/>
        <w:t xml:space="preserve">En consecuencia, dado lo expuesto y fundado con anterioridad, se estima que el requisito relativo al nombre del </w:t>
      </w:r>
      <w:r w:rsidRPr="00B37267">
        <w:rPr>
          <w:rFonts w:ascii="Palatino Linotype" w:eastAsia="Palatino Linotype" w:hAnsi="Palatino Linotype" w:cs="Palatino Linotype"/>
          <w:b/>
          <w:color w:val="000000" w:themeColor="text1"/>
        </w:rPr>
        <w:t>RECURRENTE</w:t>
      </w:r>
      <w:r w:rsidRPr="00B37267">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4B0F61" w:rsidRPr="00B37267" w:rsidRDefault="004B0F61" w:rsidP="00DE79DD">
      <w:pPr>
        <w:spacing w:line="360" w:lineRule="auto"/>
        <w:jc w:val="both"/>
        <w:rPr>
          <w:rFonts w:ascii="Palatino Linotype" w:eastAsia="Palatino Linotype" w:hAnsi="Palatino Linotype" w:cs="Palatino Linotype"/>
          <w:b/>
          <w:color w:val="000000" w:themeColor="text1"/>
        </w:rPr>
      </w:pPr>
    </w:p>
    <w:p w:rsidR="004B0F61" w:rsidRPr="00B37267" w:rsidRDefault="00046D05" w:rsidP="00DE79DD">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B37267">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B0F61" w:rsidRPr="00B37267" w:rsidRDefault="004B0F61" w:rsidP="00DE79DD">
      <w:pPr>
        <w:spacing w:line="360" w:lineRule="auto"/>
        <w:jc w:val="both"/>
        <w:rPr>
          <w:rFonts w:ascii="Palatino Linotype" w:eastAsia="Palatino Linotype" w:hAnsi="Palatino Linotype" w:cs="Palatino Linotype"/>
          <w:b/>
          <w:color w:val="000000" w:themeColor="text1"/>
        </w:rPr>
      </w:pPr>
    </w:p>
    <w:p w:rsidR="004B0F61" w:rsidRPr="00B37267" w:rsidRDefault="00046D05" w:rsidP="00DE79DD">
      <w:pPr>
        <w:keepNext/>
        <w:keepLines/>
        <w:spacing w:line="360" w:lineRule="auto"/>
        <w:rPr>
          <w:rFonts w:ascii="Palatino Linotype" w:eastAsia="Palatino Linotype" w:hAnsi="Palatino Linotype" w:cs="Palatino Linotype"/>
          <w:b/>
          <w:color w:val="000000" w:themeColor="text1"/>
        </w:rPr>
      </w:pPr>
      <w:bookmarkStart w:id="5" w:name="_heading=h.zdiou7x9n0jm" w:colFirst="0" w:colLast="0"/>
      <w:bookmarkEnd w:id="5"/>
      <w:r w:rsidRPr="00B37267">
        <w:rPr>
          <w:rFonts w:ascii="Palatino Linotype" w:eastAsia="Palatino Linotype" w:hAnsi="Palatino Linotype" w:cs="Palatino Linotype"/>
          <w:b/>
          <w:color w:val="000000" w:themeColor="text1"/>
        </w:rPr>
        <w:t>TERCERO. Planteamiento de la Litis.</w:t>
      </w: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color w:val="000000" w:themeColor="text1"/>
        </w:rPr>
        <w:t xml:space="preserve">El particular </w:t>
      </w:r>
      <w:r w:rsidRPr="00B37267">
        <w:rPr>
          <w:rFonts w:ascii="Palatino Linotype" w:eastAsia="Palatino Linotype" w:hAnsi="Palatino Linotype" w:cs="Palatino Linotype"/>
          <w:b/>
          <w:color w:val="000000" w:themeColor="text1"/>
        </w:rPr>
        <w:t xml:space="preserve">solicitó del uno de enero al </w:t>
      </w:r>
      <w:r w:rsidR="0010618E" w:rsidRPr="00B37267">
        <w:rPr>
          <w:rFonts w:ascii="Palatino Linotype" w:eastAsia="Palatino Linotype" w:hAnsi="Palatino Linotype" w:cs="Palatino Linotype"/>
          <w:b/>
          <w:color w:val="000000" w:themeColor="text1"/>
        </w:rPr>
        <w:t xml:space="preserve">veintiuno de mayo </w:t>
      </w:r>
      <w:r w:rsidR="00165BC8" w:rsidRPr="00B37267">
        <w:rPr>
          <w:rFonts w:ascii="Palatino Linotype" w:eastAsia="Palatino Linotype" w:hAnsi="Palatino Linotype" w:cs="Palatino Linotype"/>
          <w:b/>
          <w:color w:val="000000" w:themeColor="text1"/>
        </w:rPr>
        <w:t>de dos mil veinticinco</w:t>
      </w:r>
      <w:r w:rsidRPr="00B37267">
        <w:rPr>
          <w:rFonts w:ascii="Palatino Linotype" w:eastAsia="Palatino Linotype" w:hAnsi="Palatino Linotype" w:cs="Palatino Linotype"/>
          <w:b/>
          <w:color w:val="000000" w:themeColor="text1"/>
        </w:rPr>
        <w:t>:</w:t>
      </w:r>
      <w:r w:rsidRPr="00B37267">
        <w:rPr>
          <w:rFonts w:ascii="Palatino Linotype" w:eastAsia="Palatino Linotype" w:hAnsi="Palatino Linotype" w:cs="Palatino Linotype"/>
          <w:color w:val="000000" w:themeColor="text1"/>
        </w:rPr>
        <w:t xml:space="preserve"> </w:t>
      </w:r>
    </w:p>
    <w:p w:rsidR="004B0F61" w:rsidRPr="00B37267" w:rsidRDefault="00046D05" w:rsidP="008666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B37267">
        <w:rPr>
          <w:rFonts w:ascii="Palatino Linotype" w:eastAsia="Palatino Linotype" w:hAnsi="Palatino Linotype" w:cs="Palatino Linotype"/>
          <w:b/>
          <w:color w:val="000000" w:themeColor="text1"/>
        </w:rPr>
        <w:t>Renuncias</w:t>
      </w:r>
    </w:p>
    <w:p w:rsidR="004B0F61" w:rsidRPr="00B37267" w:rsidRDefault="00046D05" w:rsidP="008666B4">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B37267">
        <w:rPr>
          <w:rFonts w:ascii="Palatino Linotype" w:eastAsia="Palatino Linotype" w:hAnsi="Palatino Linotype" w:cs="Palatino Linotype"/>
          <w:b/>
          <w:color w:val="000000" w:themeColor="text1"/>
        </w:rPr>
        <w:t>Bajas</w:t>
      </w:r>
    </w:p>
    <w:p w:rsidR="00165BC8" w:rsidRPr="00B37267" w:rsidRDefault="00165BC8"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En respuesta, el </w:t>
      </w:r>
      <w:r w:rsidRPr="00B37267">
        <w:rPr>
          <w:rFonts w:ascii="Palatino Linotype" w:eastAsia="Palatino Linotype" w:hAnsi="Palatino Linotype" w:cs="Palatino Linotype"/>
          <w:b/>
          <w:color w:val="000000" w:themeColor="text1"/>
        </w:rPr>
        <w:t xml:space="preserve">SUJETO OBLIGADO </w:t>
      </w:r>
      <w:r w:rsidRPr="00B37267">
        <w:rPr>
          <w:rFonts w:ascii="Palatino Linotype" w:eastAsia="Palatino Linotype" w:hAnsi="Palatino Linotype" w:cs="Palatino Linotype"/>
          <w:color w:val="000000" w:themeColor="text1"/>
        </w:rPr>
        <w:t>por medio de</w:t>
      </w:r>
      <w:r w:rsidR="00165BC8" w:rsidRPr="00B37267">
        <w:rPr>
          <w:rFonts w:ascii="Palatino Linotype" w:eastAsia="Palatino Linotype" w:hAnsi="Palatino Linotype" w:cs="Palatino Linotype"/>
          <w:color w:val="000000" w:themeColor="text1"/>
        </w:rPr>
        <w:t xml:space="preserve"> </w:t>
      </w:r>
      <w:r w:rsidRPr="00B37267">
        <w:rPr>
          <w:rFonts w:ascii="Palatino Linotype" w:eastAsia="Palatino Linotype" w:hAnsi="Palatino Linotype" w:cs="Palatino Linotype"/>
          <w:color w:val="000000" w:themeColor="text1"/>
        </w:rPr>
        <w:t>l</w:t>
      </w:r>
      <w:r w:rsidR="00165BC8" w:rsidRPr="00B37267">
        <w:rPr>
          <w:rFonts w:ascii="Palatino Linotype" w:eastAsia="Palatino Linotype" w:hAnsi="Palatino Linotype" w:cs="Palatino Linotype"/>
          <w:color w:val="000000" w:themeColor="text1"/>
        </w:rPr>
        <w:t>a</w:t>
      </w:r>
      <w:r w:rsidRPr="00B37267">
        <w:rPr>
          <w:rFonts w:ascii="Palatino Linotype" w:eastAsia="Palatino Linotype" w:hAnsi="Palatino Linotype" w:cs="Palatino Linotype"/>
          <w:color w:val="000000" w:themeColor="text1"/>
        </w:rPr>
        <w:t xml:space="preserve"> Director</w:t>
      </w:r>
      <w:r w:rsidR="00165BC8" w:rsidRPr="00B37267">
        <w:rPr>
          <w:rFonts w:ascii="Palatino Linotype" w:eastAsia="Palatino Linotype" w:hAnsi="Palatino Linotype" w:cs="Palatino Linotype"/>
          <w:color w:val="000000" w:themeColor="text1"/>
        </w:rPr>
        <w:t>a</w:t>
      </w:r>
      <w:r w:rsidRPr="00B37267">
        <w:rPr>
          <w:rFonts w:ascii="Palatino Linotype" w:eastAsia="Palatino Linotype" w:hAnsi="Palatino Linotype" w:cs="Palatino Linotype"/>
          <w:color w:val="000000" w:themeColor="text1"/>
        </w:rPr>
        <w:t xml:space="preserve"> de Administración,</w:t>
      </w:r>
      <w:r w:rsidRPr="00B37267">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color w:val="000000" w:themeColor="text1"/>
        </w:rPr>
        <w:t xml:space="preserve">refirió que </w:t>
      </w:r>
      <w:r w:rsidR="00165BC8" w:rsidRPr="00B37267">
        <w:rPr>
          <w:rFonts w:ascii="Palatino Linotype" w:eastAsia="Palatino Linotype" w:hAnsi="Palatino Linotype" w:cs="Palatino Linotype"/>
          <w:color w:val="000000" w:themeColor="text1"/>
        </w:rPr>
        <w:t xml:space="preserve">después de haber realizado una búsqueda exhaustiva y razonable en los archivos </w:t>
      </w:r>
      <w:r w:rsidR="00165BC8" w:rsidRPr="00B37267">
        <w:rPr>
          <w:rFonts w:ascii="Palatino Linotype" w:eastAsia="Palatino Linotype" w:hAnsi="Palatino Linotype" w:cs="Palatino Linotype"/>
          <w:color w:val="000000" w:themeColor="text1"/>
        </w:rPr>
        <w:lastRenderedPageBreak/>
        <w:t xml:space="preserve">que obran en la Dirección de Recursos Humanos y sus Departamentos, se obtuvieron 174 renuncias y 655 bajas de enero a la fecha de la solicitud. </w:t>
      </w:r>
    </w:p>
    <w:p w:rsidR="004B0F61" w:rsidRPr="00B37267"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El </w:t>
      </w:r>
      <w:r w:rsidRPr="00B37267">
        <w:rPr>
          <w:rFonts w:ascii="Palatino Linotype" w:eastAsia="Palatino Linotype" w:hAnsi="Palatino Linotype" w:cs="Palatino Linotype"/>
          <w:b/>
          <w:color w:val="000000" w:themeColor="text1"/>
        </w:rPr>
        <w:t>RECURRENTE</w:t>
      </w:r>
      <w:r w:rsidRPr="00B37267">
        <w:rPr>
          <w:rFonts w:ascii="Palatino Linotype" w:eastAsia="Palatino Linotype" w:hAnsi="Palatino Linotype" w:cs="Palatino Linotype"/>
          <w:color w:val="000000" w:themeColor="text1"/>
        </w:rPr>
        <w:t xml:space="preserve">, se inconformó por la </w:t>
      </w:r>
      <w:r w:rsidR="00165BC8" w:rsidRPr="00B37267">
        <w:rPr>
          <w:rFonts w:ascii="Palatino Linotype" w:eastAsia="Palatino Linotype" w:hAnsi="Palatino Linotype" w:cs="Palatino Linotype"/>
          <w:color w:val="000000" w:themeColor="text1"/>
        </w:rPr>
        <w:t>entrega de información incompleta</w:t>
      </w:r>
      <w:r w:rsidRPr="00B37267">
        <w:rPr>
          <w:rFonts w:ascii="Palatino Linotype" w:eastAsia="Palatino Linotype" w:hAnsi="Palatino Linotype" w:cs="Palatino Linotype"/>
          <w:color w:val="000000" w:themeColor="text1"/>
        </w:rPr>
        <w:t xml:space="preserve">, en los siguientes términos: </w:t>
      </w:r>
      <w:r w:rsidRPr="00B37267">
        <w:rPr>
          <w:rFonts w:ascii="Palatino Linotype" w:eastAsia="Palatino Linotype" w:hAnsi="Palatino Linotype" w:cs="Palatino Linotype"/>
          <w:i/>
          <w:color w:val="000000" w:themeColor="text1"/>
        </w:rPr>
        <w:t>“</w:t>
      </w:r>
      <w:r w:rsidR="00165BC8" w:rsidRPr="00B37267">
        <w:rPr>
          <w:rFonts w:ascii="Palatino Linotype" w:eastAsia="Palatino Linotype" w:hAnsi="Palatino Linotype" w:cs="Palatino Linotype"/>
          <w:i/>
          <w:color w:val="000000" w:themeColor="text1"/>
        </w:rPr>
        <w:t>se solicito los documentos y no lo entrega se pide expresión documental</w:t>
      </w:r>
      <w:r w:rsidRPr="00B37267">
        <w:rPr>
          <w:rFonts w:ascii="Palatino Linotype" w:eastAsia="Palatino Linotype" w:hAnsi="Palatino Linotype" w:cs="Palatino Linotype"/>
          <w:i/>
          <w:color w:val="000000" w:themeColor="text1"/>
        </w:rPr>
        <w:t>” (Sic)</w:t>
      </w:r>
    </w:p>
    <w:p w:rsidR="00165BC8" w:rsidRPr="00B37267" w:rsidRDefault="00165BC8" w:rsidP="00DE79DD">
      <w:pPr>
        <w:pStyle w:val="Prrafodelista"/>
        <w:ind w:left="0"/>
        <w:rPr>
          <w:rFonts w:ascii="Palatino Linotype" w:eastAsia="Palatino Linotype" w:hAnsi="Palatino Linotype" w:cs="Palatino Linotype"/>
          <w:color w:val="000000" w:themeColor="text1"/>
          <w:sz w:val="24"/>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color w:val="000000" w:themeColor="text1"/>
        </w:rPr>
        <w:t xml:space="preserve">En dichas condiciones, la </w:t>
      </w:r>
      <w:r w:rsidRPr="00B37267">
        <w:rPr>
          <w:rFonts w:ascii="Palatino Linotype" w:eastAsia="Palatino Linotype" w:hAnsi="Palatino Linotype" w:cs="Palatino Linotype"/>
          <w:i/>
          <w:color w:val="000000" w:themeColor="text1"/>
        </w:rPr>
        <w:t>Litis</w:t>
      </w:r>
      <w:r w:rsidRPr="00B37267">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165BC8" w:rsidRPr="00B37267">
        <w:rPr>
          <w:rFonts w:ascii="Palatino Linotype" w:eastAsia="Palatino Linotype" w:hAnsi="Palatino Linotype" w:cs="Palatino Linotype"/>
          <w:b/>
          <w:color w:val="000000" w:themeColor="text1"/>
        </w:rPr>
        <w:t>fracción V</w:t>
      </w:r>
      <w:r w:rsidRPr="00B37267">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color w:val="000000" w:themeColor="text1"/>
        </w:rPr>
        <w:t>de la Ley</w:t>
      </w:r>
      <w:r w:rsidRPr="00B37267">
        <w:rPr>
          <w:rFonts w:ascii="Palatino Linotype" w:eastAsia="Palatino Linotype" w:hAnsi="Palatino Linotype" w:cs="Palatino Linotype"/>
          <w:b/>
          <w:color w:val="000000" w:themeColor="text1"/>
        </w:rPr>
        <w:t xml:space="preserve"> de Transparencia y Acceso a la Información Pública del Estado de </w:t>
      </w:r>
      <w:r w:rsidRPr="00B37267">
        <w:rPr>
          <w:rFonts w:ascii="Palatino Linotype" w:eastAsia="Palatino Linotype" w:hAnsi="Palatino Linotype" w:cs="Palatino Linotype"/>
          <w:color w:val="000000" w:themeColor="text1"/>
        </w:rPr>
        <w:t>México</w:t>
      </w:r>
      <w:r w:rsidRPr="00B37267">
        <w:rPr>
          <w:rFonts w:ascii="Palatino Linotype" w:eastAsia="Palatino Linotype" w:hAnsi="Palatino Linotype" w:cs="Palatino Linotype"/>
          <w:b/>
          <w:color w:val="000000" w:themeColor="text1"/>
        </w:rPr>
        <w:t xml:space="preserve"> y Municipios</w:t>
      </w:r>
      <w:r w:rsidRPr="00B37267">
        <w:rPr>
          <w:rFonts w:ascii="Palatino Linotype" w:eastAsia="Palatino Linotype" w:hAnsi="Palatino Linotype" w:cs="Palatino Linotype"/>
          <w:color w:val="000000" w:themeColor="text1"/>
        </w:rPr>
        <w:t xml:space="preserve">; fracción que determina la hipótesis jurídica relativa a </w:t>
      </w:r>
      <w:r w:rsidRPr="00B37267">
        <w:rPr>
          <w:rFonts w:ascii="Palatino Linotype" w:eastAsia="Palatino Linotype" w:hAnsi="Palatino Linotype" w:cs="Palatino Linotype"/>
          <w:b/>
          <w:color w:val="000000" w:themeColor="text1"/>
        </w:rPr>
        <w:t xml:space="preserve">la </w:t>
      </w:r>
      <w:r w:rsidR="00165BC8" w:rsidRPr="00B37267">
        <w:rPr>
          <w:rFonts w:ascii="Palatino Linotype" w:eastAsia="Palatino Linotype" w:hAnsi="Palatino Linotype" w:cs="Palatino Linotype"/>
          <w:b/>
          <w:color w:val="000000" w:themeColor="text1"/>
        </w:rPr>
        <w:t xml:space="preserve">entrega de información incompleta </w:t>
      </w:r>
      <w:r w:rsidRPr="00B37267">
        <w:rPr>
          <w:rFonts w:ascii="Palatino Linotype" w:eastAsia="Palatino Linotype" w:hAnsi="Palatino Linotype" w:cs="Palatino Linotype"/>
          <w:color w:val="000000" w:themeColor="text1"/>
        </w:rPr>
        <w:t xml:space="preserve">por el </w:t>
      </w:r>
      <w:r w:rsidRPr="00B37267">
        <w:rPr>
          <w:rFonts w:ascii="Palatino Linotype" w:eastAsia="Palatino Linotype" w:hAnsi="Palatino Linotype" w:cs="Palatino Linotype"/>
          <w:b/>
          <w:color w:val="000000" w:themeColor="text1"/>
        </w:rPr>
        <w:t>SUJETO OBLIGADO</w:t>
      </w:r>
      <w:r w:rsidRPr="00B37267">
        <w:rPr>
          <w:rFonts w:ascii="Palatino Linotype" w:eastAsia="Palatino Linotype" w:hAnsi="Palatino Linotype" w:cs="Palatino Linotype"/>
          <w:color w:val="000000" w:themeColor="text1"/>
        </w:rPr>
        <w:t xml:space="preserve">; contexto del cual se dolió </w:t>
      </w:r>
      <w:r w:rsidRPr="00B37267">
        <w:rPr>
          <w:rFonts w:ascii="Palatino Linotype" w:eastAsia="Palatino Linotype" w:hAnsi="Palatino Linotype" w:cs="Palatino Linotype"/>
          <w:b/>
          <w:color w:val="000000" w:themeColor="text1"/>
        </w:rPr>
        <w:t xml:space="preserve">EL RECURRENTE </w:t>
      </w:r>
      <w:r w:rsidRPr="00B37267">
        <w:rPr>
          <w:rFonts w:ascii="Palatino Linotype" w:eastAsia="Palatino Linotype" w:hAnsi="Palatino Linotype" w:cs="Palatino Linotype"/>
          <w:color w:val="000000" w:themeColor="text1"/>
        </w:rPr>
        <w:t>al momento de interponer su inconformidad.</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ij0f47segzrf" w:colFirst="0" w:colLast="0"/>
      <w:bookmarkEnd w:id="6"/>
      <w:r w:rsidRPr="00B37267">
        <w:rPr>
          <w:rFonts w:ascii="Palatino Linotype" w:eastAsia="Palatino Linotype" w:hAnsi="Palatino Linotype" w:cs="Palatino Linotype"/>
          <w:b/>
          <w:color w:val="000000" w:themeColor="text1"/>
          <w:sz w:val="24"/>
          <w:szCs w:val="24"/>
        </w:rPr>
        <w:t>CUARTO. Del estudio y resolución del recurso de revisión.</w:t>
      </w:r>
    </w:p>
    <w:p w:rsidR="004B0F61" w:rsidRPr="00B37267" w:rsidRDefault="00046D05" w:rsidP="008666B4">
      <w:pPr>
        <w:keepNext/>
        <w:keepLines/>
        <w:numPr>
          <w:ilvl w:val="0"/>
          <w:numId w:val="3"/>
        </w:numPr>
        <w:spacing w:after="240" w:line="360" w:lineRule="auto"/>
        <w:ind w:left="0" w:firstLine="0"/>
        <w:rPr>
          <w:rFonts w:ascii="Palatino Linotype" w:eastAsia="Palatino Linotype" w:hAnsi="Palatino Linotype" w:cs="Palatino Linotype"/>
          <w:b/>
          <w:color w:val="000000" w:themeColor="text1"/>
        </w:rPr>
      </w:pPr>
      <w:r w:rsidRPr="00B37267">
        <w:rPr>
          <w:rFonts w:ascii="Palatino Linotype" w:eastAsia="Palatino Linotype" w:hAnsi="Palatino Linotype" w:cs="Palatino Linotype"/>
          <w:b/>
          <w:color w:val="000000" w:themeColor="text1"/>
        </w:rPr>
        <w:t>Del derecho de acceso a la información.</w:t>
      </w: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Definiendo el Derecho de Acceso a la Información Pública como: </w:t>
      </w:r>
      <w:r w:rsidRPr="00B37267">
        <w:rPr>
          <w:rFonts w:ascii="Palatino Linotype" w:eastAsia="Palatino Linotype" w:hAnsi="Palatino Linotype" w:cs="Palatino Linotype"/>
          <w:i/>
          <w:color w:val="000000" w:themeColor="text1"/>
        </w:rPr>
        <w:t>La igualdad de oportunidades para recibir, buscar e impartir información</w:t>
      </w:r>
      <w:r w:rsidRPr="00B37267">
        <w:rPr>
          <w:rFonts w:ascii="Palatino Linotype" w:eastAsia="Century Gothic" w:hAnsi="Palatino Linotype" w:cs="Century Gothic"/>
          <w:i/>
          <w:color w:val="000000" w:themeColor="text1"/>
          <w:vertAlign w:val="superscript"/>
        </w:rPr>
        <w:footnoteReference w:id="1"/>
      </w:r>
      <w:r w:rsidRPr="00B37267">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w:t>
      </w:r>
      <w:r w:rsidRPr="00B37267">
        <w:rPr>
          <w:rFonts w:ascii="Palatino Linotype" w:eastAsia="Palatino Linotype" w:hAnsi="Palatino Linotype" w:cs="Palatino Linotype"/>
          <w:i/>
          <w:color w:val="000000" w:themeColor="text1"/>
        </w:rPr>
        <w:lastRenderedPageBreak/>
        <w:t>políticos, fideicomisos y fondos públicos, así como de cualquier persona física, moral o sindicato que reciba y ejerza recursos públicos o realice actos de autoridad en el ámbito federal, estatal y municipal,</w:t>
      </w:r>
      <w:r w:rsidRPr="00B37267">
        <w:rPr>
          <w:rFonts w:ascii="Palatino Linotype" w:eastAsia="Century Gothic" w:hAnsi="Palatino Linotype" w:cs="Century Gothic"/>
          <w:i/>
          <w:color w:val="000000" w:themeColor="text1"/>
          <w:vertAlign w:val="superscript"/>
        </w:rPr>
        <w:footnoteReference w:id="2"/>
      </w:r>
      <w:r w:rsidRPr="00B37267">
        <w:rPr>
          <w:rFonts w:ascii="Palatino Linotype" w:eastAsia="Palatino Linotype" w:hAnsi="Palatino Linotype" w:cs="Palatino Linotype"/>
          <w:color w:val="000000" w:themeColor="text1"/>
        </w:rPr>
        <w:t>que se constituye como una herramienta fundamental para ejercer</w:t>
      </w:r>
      <w:r w:rsidRPr="00B3726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B37267">
        <w:rPr>
          <w:rFonts w:ascii="Palatino Linotype" w:eastAsia="Century Gothic" w:hAnsi="Palatino Linotype" w:cs="Century Gothic"/>
          <w:i/>
          <w:color w:val="000000" w:themeColor="text1"/>
          <w:vertAlign w:val="superscript"/>
        </w:rPr>
        <w:footnoteReference w:id="3"/>
      </w:r>
      <w:r w:rsidRPr="00B37267">
        <w:rPr>
          <w:rFonts w:ascii="Palatino Linotype" w:eastAsia="Palatino Linotype" w:hAnsi="Palatino Linotype" w:cs="Palatino Linotype"/>
          <w:color w:val="000000" w:themeColor="text1"/>
        </w:rPr>
        <w:t>fomentando</w:t>
      </w:r>
      <w:r w:rsidRPr="00B37267">
        <w:rPr>
          <w:rFonts w:ascii="Palatino Linotype" w:eastAsia="Palatino Linotype" w:hAnsi="Palatino Linotype" w:cs="Palatino Linotype"/>
          <w:i/>
          <w:color w:val="000000" w:themeColor="text1"/>
        </w:rPr>
        <w:t xml:space="preserve"> la transparencia de las actividades estatales y </w:t>
      </w:r>
      <w:r w:rsidRPr="00B37267">
        <w:rPr>
          <w:rFonts w:ascii="Palatino Linotype" w:eastAsia="Palatino Linotype" w:hAnsi="Palatino Linotype" w:cs="Palatino Linotype"/>
          <w:color w:val="000000" w:themeColor="text1"/>
        </w:rPr>
        <w:t>promoviendo</w:t>
      </w:r>
      <w:r w:rsidRPr="00B37267">
        <w:rPr>
          <w:rFonts w:ascii="Palatino Linotype" w:eastAsia="Palatino Linotype" w:hAnsi="Palatino Linotype" w:cs="Palatino Linotype"/>
          <w:i/>
          <w:color w:val="000000" w:themeColor="text1"/>
        </w:rPr>
        <w:t xml:space="preserve"> la responsabilidad de los funcionarios sobre su gestión pública,</w:t>
      </w:r>
      <w:r w:rsidRPr="00B37267">
        <w:rPr>
          <w:rFonts w:ascii="Palatino Linotype" w:eastAsia="Century Gothic" w:hAnsi="Palatino Linotype" w:cs="Century Gothic"/>
          <w:i/>
          <w:color w:val="000000" w:themeColor="text1"/>
          <w:vertAlign w:val="superscript"/>
        </w:rPr>
        <w:footnoteReference w:id="4"/>
      </w:r>
      <w:r w:rsidRPr="00B37267">
        <w:rPr>
          <w:rFonts w:ascii="Palatino Linotype" w:eastAsia="Palatino Linotype" w:hAnsi="Palatino Linotype" w:cs="Palatino Linotype"/>
          <w:color w:val="000000" w:themeColor="text1"/>
        </w:rPr>
        <w:t>que permite</w:t>
      </w:r>
      <w:r w:rsidRPr="00B3726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4B0F61" w:rsidRPr="00B37267" w:rsidRDefault="00046D05" w:rsidP="00DE79DD">
      <w:pPr>
        <w:tabs>
          <w:tab w:val="left" w:pos="7655"/>
        </w:tabs>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r w:rsidRPr="00B37267">
        <w:rPr>
          <w:rFonts w:ascii="Palatino Linotype" w:eastAsia="Palatino Linotype" w:hAnsi="Palatino Linotype" w:cs="Palatino Linotype"/>
          <w:b/>
          <w:i/>
          <w:color w:val="000000" w:themeColor="text1"/>
        </w:rPr>
        <w:t>Artículo 1.-</w:t>
      </w:r>
      <w:r w:rsidRPr="00B37267">
        <w:rPr>
          <w:rFonts w:ascii="Palatino Linotype" w:eastAsia="Palatino Linotype" w:hAnsi="Palatino Linotype" w:cs="Palatino Linotype"/>
          <w:i/>
          <w:color w:val="000000" w:themeColor="text1"/>
        </w:rPr>
        <w:t xml:space="preserve"> </w:t>
      </w:r>
    </w:p>
    <w:p w:rsidR="004B0F61" w:rsidRPr="00B37267" w:rsidRDefault="00046D05" w:rsidP="00DE79DD">
      <w:pPr>
        <w:tabs>
          <w:tab w:val="left" w:pos="7655"/>
        </w:tabs>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p>
    <w:p w:rsidR="004B0F61" w:rsidRPr="00B37267" w:rsidRDefault="00046D05" w:rsidP="00DE79DD">
      <w:pPr>
        <w:tabs>
          <w:tab w:val="left" w:pos="7655"/>
        </w:tabs>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Todas las</w:t>
      </w:r>
      <w:r w:rsidRPr="00B37267">
        <w:rPr>
          <w:rFonts w:ascii="Palatino Linotype" w:eastAsia="Palatino Linotype" w:hAnsi="Palatino Linotype" w:cs="Palatino Linotype"/>
          <w:color w:val="000000" w:themeColor="text1"/>
        </w:rPr>
        <w:t xml:space="preserve"> </w:t>
      </w:r>
      <w:r w:rsidRPr="00B3726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B0F61" w:rsidRPr="00B37267" w:rsidRDefault="00046D05" w:rsidP="00DE79DD">
      <w:pPr>
        <w:tabs>
          <w:tab w:val="left" w:pos="7655"/>
        </w:tabs>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i/>
          <w:color w:val="000000" w:themeColor="text1"/>
        </w:rPr>
        <w:t>(…)</w:t>
      </w:r>
      <w:r w:rsidRPr="00B37267">
        <w:rPr>
          <w:rFonts w:ascii="Palatino Linotype" w:eastAsia="Palatino Linotype" w:hAnsi="Palatino Linotype" w:cs="Palatino Linotype"/>
          <w:color w:val="000000" w:themeColor="text1"/>
        </w:rPr>
        <w:t>”.</w:t>
      </w:r>
    </w:p>
    <w:p w:rsidR="004B0F61" w:rsidRPr="00B37267" w:rsidRDefault="004B0F61" w:rsidP="00DE79DD">
      <w:pP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Además del </w:t>
      </w:r>
      <w:r w:rsidRPr="00B37267">
        <w:rPr>
          <w:rFonts w:ascii="Palatino Linotype" w:eastAsia="Palatino Linotype" w:hAnsi="Palatino Linotype" w:cs="Palatino Linotype"/>
          <w:color w:val="000000" w:themeColor="text1"/>
        </w:rPr>
        <w:lastRenderedPageBreak/>
        <w:t>derecho, también se reconocen garantías para su protección, lo que vincula con el mandato del párrafo tercero del mismo artículo.</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4B0F61" w:rsidRPr="00B37267" w:rsidRDefault="00046D05" w:rsidP="00DE79DD">
      <w:pPr>
        <w:spacing w:after="240"/>
        <w:jc w:val="both"/>
        <w:rPr>
          <w:rFonts w:ascii="Palatino Linotype" w:eastAsia="Palatino Linotype" w:hAnsi="Palatino Linotype" w:cs="Palatino Linotype"/>
          <w:b/>
          <w:i/>
          <w:color w:val="000000" w:themeColor="text1"/>
        </w:rPr>
      </w:pPr>
      <w:r w:rsidRPr="00B37267">
        <w:rPr>
          <w:rFonts w:ascii="Palatino Linotype" w:eastAsia="Palatino Linotype" w:hAnsi="Palatino Linotype" w:cs="Palatino Linotype"/>
          <w:b/>
          <w:i/>
          <w:color w:val="000000" w:themeColor="text1"/>
        </w:rPr>
        <w:t>Constitución Política de los Estados Unidos Mexicanos</w:t>
      </w:r>
    </w:p>
    <w:p w:rsidR="004B0F61" w:rsidRPr="00B37267" w:rsidRDefault="00046D05" w:rsidP="00DE79DD">
      <w:pPr>
        <w:spacing w:before="240" w:after="240"/>
        <w:jc w:val="both"/>
        <w:rPr>
          <w:rFonts w:ascii="Palatino Linotype" w:eastAsia="Palatino Linotype" w:hAnsi="Palatino Linotype" w:cs="Palatino Linotype"/>
          <w:b/>
          <w:i/>
          <w:color w:val="000000" w:themeColor="text1"/>
        </w:rPr>
      </w:pPr>
      <w:r w:rsidRPr="00B37267">
        <w:rPr>
          <w:rFonts w:ascii="Palatino Linotype" w:eastAsia="Palatino Linotype" w:hAnsi="Palatino Linotype" w:cs="Palatino Linotype"/>
          <w:b/>
          <w:i/>
          <w:color w:val="000000" w:themeColor="text1"/>
        </w:rPr>
        <w:t>“Artículo 6.</w:t>
      </w:r>
    </w:p>
    <w:p w:rsidR="004B0F61" w:rsidRPr="00B37267" w:rsidRDefault="00046D05" w:rsidP="00DE79DD">
      <w:pPr>
        <w:spacing w:before="240" w:after="24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p>
    <w:p w:rsidR="004B0F61" w:rsidRPr="00B37267" w:rsidRDefault="00046D05" w:rsidP="00DE79DD">
      <w:pPr>
        <w:spacing w:before="240" w:after="24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Para efectos de lo dispuesto en el presente artículo se observará lo siguiente:</w:t>
      </w:r>
    </w:p>
    <w:p w:rsidR="004B0F61" w:rsidRPr="00B37267" w:rsidRDefault="00046D05" w:rsidP="00DE79DD">
      <w:pPr>
        <w:spacing w:before="240" w:after="240"/>
        <w:jc w:val="both"/>
        <w:rPr>
          <w:rFonts w:ascii="Palatino Linotype" w:eastAsia="Palatino Linotype" w:hAnsi="Palatino Linotype" w:cs="Palatino Linotype"/>
          <w:b/>
          <w:i/>
          <w:color w:val="000000" w:themeColor="text1"/>
        </w:rPr>
      </w:pPr>
      <w:r w:rsidRPr="00B37267">
        <w:rPr>
          <w:rFonts w:ascii="Palatino Linotype" w:eastAsia="Palatino Linotype" w:hAnsi="Palatino Linotype" w:cs="Palatino Linotype"/>
          <w:b/>
          <w:i/>
          <w:color w:val="000000" w:themeColor="text1"/>
        </w:rPr>
        <w:t>A</w:t>
      </w:r>
      <w:r w:rsidRPr="00B37267">
        <w:rPr>
          <w:rFonts w:ascii="Palatino Linotype" w:eastAsia="Palatino Linotype" w:hAnsi="Palatino Linotype" w:cs="Palatino Linotype"/>
          <w:i/>
          <w:color w:val="000000" w:themeColor="text1"/>
        </w:rPr>
        <w:t xml:space="preserve">. </w:t>
      </w:r>
      <w:r w:rsidRPr="00B37267">
        <w:rPr>
          <w:rFonts w:ascii="Palatino Linotype" w:eastAsia="Palatino Linotype" w:hAnsi="Palatino Linotype" w:cs="Palatino Linotype"/>
          <w:b/>
          <w:i/>
          <w:color w:val="000000" w:themeColor="text1"/>
        </w:rPr>
        <w:t>Para el ejercicio del derecho de acceso a la información</w:t>
      </w:r>
      <w:r w:rsidRPr="00B37267">
        <w:rPr>
          <w:rFonts w:ascii="Palatino Linotype" w:eastAsia="Palatino Linotype" w:hAnsi="Palatino Linotype" w:cs="Palatino Linotype"/>
          <w:i/>
          <w:color w:val="000000" w:themeColor="text1"/>
        </w:rPr>
        <w:t xml:space="preserve">, la Federación y </w:t>
      </w:r>
      <w:r w:rsidRPr="00B3726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4B0F61" w:rsidRPr="00B37267" w:rsidRDefault="00046D05" w:rsidP="00DE79DD">
      <w:pPr>
        <w:spacing w:before="240" w:after="24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b/>
          <w:i/>
          <w:color w:val="000000" w:themeColor="text1"/>
        </w:rPr>
        <w:t>I. Toda la información en posesión de cualquier</w:t>
      </w:r>
      <w:r w:rsidRPr="00B37267">
        <w:rPr>
          <w:rFonts w:ascii="Palatino Linotype" w:eastAsia="Palatino Linotype" w:hAnsi="Palatino Linotype" w:cs="Palatino Linotype"/>
          <w:i/>
          <w:color w:val="000000" w:themeColor="text1"/>
        </w:rPr>
        <w:t xml:space="preserve"> </w:t>
      </w:r>
      <w:r w:rsidRPr="00B37267">
        <w:rPr>
          <w:rFonts w:ascii="Palatino Linotype" w:eastAsia="Palatino Linotype" w:hAnsi="Palatino Linotype" w:cs="Palatino Linotype"/>
          <w:b/>
          <w:i/>
          <w:color w:val="000000" w:themeColor="text1"/>
        </w:rPr>
        <w:t>autoridad</w:t>
      </w:r>
      <w:r w:rsidRPr="00B3726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37267">
        <w:rPr>
          <w:rFonts w:ascii="Palatino Linotype" w:eastAsia="Palatino Linotype" w:hAnsi="Palatino Linotype" w:cs="Palatino Linotype"/>
          <w:b/>
          <w:i/>
          <w:color w:val="000000" w:themeColor="text1"/>
        </w:rPr>
        <w:t>municipal</w:t>
      </w:r>
      <w:r w:rsidRPr="00B37267">
        <w:rPr>
          <w:rFonts w:ascii="Palatino Linotype" w:eastAsia="Palatino Linotype" w:hAnsi="Palatino Linotype" w:cs="Palatino Linotype"/>
          <w:i/>
          <w:color w:val="000000" w:themeColor="text1"/>
        </w:rPr>
        <w:t xml:space="preserve">, </w:t>
      </w:r>
      <w:r w:rsidRPr="00B37267">
        <w:rPr>
          <w:rFonts w:ascii="Palatino Linotype" w:eastAsia="Palatino Linotype" w:hAnsi="Palatino Linotype" w:cs="Palatino Linotype"/>
          <w:b/>
          <w:i/>
          <w:color w:val="000000" w:themeColor="text1"/>
        </w:rPr>
        <w:t>es pública</w:t>
      </w:r>
      <w:r w:rsidRPr="00B3726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B3726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B3726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B0F61" w:rsidRPr="00B37267" w:rsidRDefault="004B0F61" w:rsidP="00DE79DD">
      <w:pPr>
        <w:tabs>
          <w:tab w:val="left" w:pos="567"/>
        </w:tabs>
        <w:spacing w:before="240"/>
        <w:jc w:val="both"/>
        <w:rPr>
          <w:rFonts w:ascii="Palatino Linotype" w:eastAsia="Palatino Linotype" w:hAnsi="Palatino Linotype" w:cs="Palatino Linotype"/>
          <w:b/>
          <w:i/>
          <w:color w:val="000000" w:themeColor="text1"/>
        </w:rPr>
      </w:pPr>
    </w:p>
    <w:p w:rsidR="004B0F61" w:rsidRPr="00B37267" w:rsidRDefault="00046D05" w:rsidP="00DE79DD">
      <w:pPr>
        <w:spacing w:after="240"/>
        <w:jc w:val="both"/>
        <w:rPr>
          <w:rFonts w:ascii="Palatino Linotype" w:eastAsia="Palatino Linotype" w:hAnsi="Palatino Linotype" w:cs="Palatino Linotype"/>
          <w:b/>
          <w:i/>
          <w:color w:val="000000" w:themeColor="text1"/>
        </w:rPr>
      </w:pPr>
      <w:r w:rsidRPr="00B37267">
        <w:rPr>
          <w:rFonts w:ascii="Palatino Linotype" w:eastAsia="Palatino Linotype" w:hAnsi="Palatino Linotype" w:cs="Palatino Linotype"/>
          <w:b/>
          <w:i/>
          <w:color w:val="000000" w:themeColor="text1"/>
        </w:rPr>
        <w:t>Constitución Política del Estado Libre y Soberano de México</w:t>
      </w:r>
    </w:p>
    <w:p w:rsidR="004B0F61" w:rsidRPr="00B37267" w:rsidRDefault="00046D05" w:rsidP="00DE79DD">
      <w:pPr>
        <w:spacing w:before="240" w:after="24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b/>
          <w:i/>
          <w:color w:val="000000" w:themeColor="text1"/>
        </w:rPr>
        <w:t>“Artículo 5</w:t>
      </w:r>
      <w:r w:rsidRPr="00B37267">
        <w:rPr>
          <w:rFonts w:ascii="Palatino Linotype" w:eastAsia="Palatino Linotype" w:hAnsi="Palatino Linotype" w:cs="Palatino Linotype"/>
          <w:i/>
          <w:color w:val="000000" w:themeColor="text1"/>
        </w:rPr>
        <w:t xml:space="preserve">.- </w:t>
      </w:r>
    </w:p>
    <w:p w:rsidR="004B0F61" w:rsidRPr="00B37267" w:rsidRDefault="00046D05" w:rsidP="00DE79DD">
      <w:pPr>
        <w:spacing w:before="240" w:after="24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lastRenderedPageBreak/>
        <w:t>(…)</w:t>
      </w:r>
    </w:p>
    <w:p w:rsidR="004B0F61" w:rsidRPr="00B37267" w:rsidRDefault="00046D05" w:rsidP="00DE79DD">
      <w:pPr>
        <w:spacing w:before="240" w:after="24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B37267">
        <w:rPr>
          <w:rFonts w:ascii="Palatino Linotype" w:eastAsia="Palatino Linotype" w:hAnsi="Palatino Linotype" w:cs="Palatino Linotype"/>
          <w:i/>
          <w:color w:val="000000" w:themeColor="text1"/>
        </w:rPr>
        <w:t>.</w:t>
      </w:r>
    </w:p>
    <w:p w:rsidR="004B0F61" w:rsidRPr="00B37267" w:rsidRDefault="00046D05" w:rsidP="00DE79DD">
      <w:pPr>
        <w:spacing w:before="240" w:after="24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B0F61" w:rsidRPr="00B37267" w:rsidRDefault="00046D05" w:rsidP="00DE79DD">
      <w:pPr>
        <w:spacing w:before="240" w:after="24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b/>
          <w:i/>
          <w:color w:val="000000" w:themeColor="text1"/>
        </w:rPr>
        <w:t>Este derecho se regirá por los principios y bases siguientes</w:t>
      </w:r>
      <w:r w:rsidRPr="00B37267">
        <w:rPr>
          <w:rFonts w:ascii="Palatino Linotype" w:eastAsia="Palatino Linotype" w:hAnsi="Palatino Linotype" w:cs="Palatino Linotype"/>
          <w:i/>
          <w:color w:val="000000" w:themeColor="text1"/>
        </w:rPr>
        <w:t>:</w:t>
      </w:r>
    </w:p>
    <w:p w:rsidR="004B0F61" w:rsidRPr="008666B4" w:rsidRDefault="00046D05" w:rsidP="008666B4">
      <w:pPr>
        <w:pStyle w:val="Prrafodelista"/>
        <w:numPr>
          <w:ilvl w:val="0"/>
          <w:numId w:val="12"/>
        </w:numPr>
        <w:spacing w:before="240" w:after="240"/>
        <w:ind w:left="709"/>
        <w:jc w:val="both"/>
        <w:rPr>
          <w:rFonts w:ascii="Palatino Linotype" w:eastAsia="Palatino Linotype" w:hAnsi="Palatino Linotype" w:cs="Palatino Linotype"/>
          <w:i/>
          <w:color w:val="000000" w:themeColor="text1"/>
          <w:sz w:val="24"/>
        </w:rPr>
      </w:pPr>
      <w:r w:rsidRPr="008666B4">
        <w:rPr>
          <w:rFonts w:ascii="Palatino Linotype" w:eastAsia="Palatino Linotype" w:hAnsi="Palatino Linotype" w:cs="Palatino Linotype"/>
          <w:b/>
          <w:i/>
          <w:color w:val="000000" w:themeColor="text1"/>
          <w:sz w:val="24"/>
        </w:rPr>
        <w:t>Toda la información en posesión de cualquier autoridad, entidad, órgano y organismos de los</w:t>
      </w:r>
      <w:r w:rsidRPr="008666B4">
        <w:rPr>
          <w:rFonts w:ascii="Palatino Linotype" w:eastAsia="Palatino Linotype" w:hAnsi="Palatino Linotype" w:cs="Palatino Linotype"/>
          <w:i/>
          <w:color w:val="000000" w:themeColor="text1"/>
          <w:sz w:val="24"/>
        </w:rPr>
        <w:t xml:space="preserve"> Poderes Ejecutivo, Legislativo y Judicial, órganos autónomos, partidos políticos, fideicomisos y fondos públicos estatales y </w:t>
      </w:r>
      <w:r w:rsidRPr="008666B4">
        <w:rPr>
          <w:rFonts w:ascii="Palatino Linotype" w:eastAsia="Palatino Linotype" w:hAnsi="Palatino Linotype" w:cs="Palatino Linotype"/>
          <w:b/>
          <w:i/>
          <w:color w:val="000000" w:themeColor="text1"/>
          <w:sz w:val="24"/>
        </w:rPr>
        <w:t>municipales</w:t>
      </w:r>
      <w:r w:rsidRPr="008666B4">
        <w:rPr>
          <w:rFonts w:ascii="Palatino Linotype" w:eastAsia="Palatino Linotype" w:hAnsi="Palatino Linotype" w:cs="Palatino Linotype"/>
          <w:i/>
          <w:color w:val="000000" w:themeColor="text1"/>
          <w:sz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666B4">
        <w:rPr>
          <w:rFonts w:ascii="Palatino Linotype" w:eastAsia="Palatino Linotype" w:hAnsi="Palatino Linotype" w:cs="Palatino Linotype"/>
          <w:b/>
          <w:i/>
          <w:color w:val="000000" w:themeColor="text1"/>
          <w:sz w:val="24"/>
        </w:rPr>
        <w:t>es pública</w:t>
      </w:r>
      <w:r w:rsidRPr="008666B4">
        <w:rPr>
          <w:rFonts w:ascii="Palatino Linotype" w:eastAsia="Palatino Linotype" w:hAnsi="Palatino Linotype" w:cs="Palatino Linotype"/>
          <w:i/>
          <w:color w:val="000000" w:themeColor="text1"/>
          <w:sz w:val="24"/>
        </w:rPr>
        <w:t xml:space="preserve"> y sólo podrá ser reservada temporalmente por razones previstas en la Constitución Política de los Estados Unidos Mexicanos de interés público y seguridad, en los términos que fijen las leyes. </w:t>
      </w:r>
      <w:r w:rsidRPr="008666B4">
        <w:rPr>
          <w:rFonts w:ascii="Palatino Linotype" w:eastAsia="Palatino Linotype" w:hAnsi="Palatino Linotype" w:cs="Palatino Linotype"/>
          <w:b/>
          <w:i/>
          <w:color w:val="000000" w:themeColor="text1"/>
          <w:sz w:val="24"/>
        </w:rPr>
        <w:t>En la interpretación de este derecho deberá prevalecer el principio de máxima publicidad</w:t>
      </w:r>
      <w:r w:rsidRPr="008666B4">
        <w:rPr>
          <w:rFonts w:ascii="Palatino Linotype" w:eastAsia="Palatino Linotype" w:hAnsi="Palatino Linotype" w:cs="Palatino Linotype"/>
          <w:i/>
          <w:color w:val="000000" w:themeColor="text1"/>
          <w:sz w:val="24"/>
        </w:rPr>
        <w:t xml:space="preserve">. </w:t>
      </w:r>
      <w:r w:rsidRPr="008666B4">
        <w:rPr>
          <w:rFonts w:ascii="Palatino Linotype" w:eastAsia="Palatino Linotype" w:hAnsi="Palatino Linotype" w:cs="Palatino Linotype"/>
          <w:b/>
          <w:i/>
          <w:color w:val="000000" w:themeColor="text1"/>
          <w:sz w:val="24"/>
        </w:rPr>
        <w:t>Los sujetos obligados deberán documentar todo acto que derive del ejercicio de sus facultades, competencias o funciones</w:t>
      </w:r>
      <w:r w:rsidRPr="008666B4">
        <w:rPr>
          <w:rFonts w:ascii="Palatino Linotype" w:eastAsia="Palatino Linotype" w:hAnsi="Palatino Linotype" w:cs="Palatino Linotype"/>
          <w:i/>
          <w:color w:val="000000" w:themeColor="text1"/>
          <w:sz w:val="24"/>
        </w:rPr>
        <w:t>, la ley determinará los supuestos específicos bajo los cuales procederá la declaración de inexistencia de la información.”</w:t>
      </w:r>
    </w:p>
    <w:p w:rsidR="008666B4" w:rsidRPr="008666B4" w:rsidRDefault="008666B4" w:rsidP="008666B4">
      <w:pPr>
        <w:spacing w:before="240" w:after="240"/>
        <w:jc w:val="both"/>
        <w:rPr>
          <w:rFonts w:ascii="Palatino Linotype" w:eastAsia="Palatino Linotype" w:hAnsi="Palatino Linotype" w:cs="Palatino Linotype"/>
          <w:i/>
          <w:color w:val="000000" w:themeColor="text1"/>
        </w:rPr>
      </w:pPr>
    </w:p>
    <w:p w:rsidR="004B0F61" w:rsidRPr="00B37267" w:rsidRDefault="00046D05" w:rsidP="00DE79DD">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B3726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B37267">
        <w:rPr>
          <w:rFonts w:ascii="Palatino Linotype" w:eastAsia="Palatino Linotype" w:hAnsi="Palatino Linotype" w:cs="Palatino Linotype"/>
          <w:color w:val="000000" w:themeColor="text1"/>
        </w:rPr>
        <w:t>, contemplando el derecho de las personas con discapacidad y hablantes de lengua indígena.</w:t>
      </w:r>
    </w:p>
    <w:p w:rsidR="004B0F61" w:rsidRPr="00B37267" w:rsidRDefault="004B0F61" w:rsidP="00DE79DD">
      <w:pPr>
        <w:spacing w:before="240"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B37267">
        <w:rPr>
          <w:rFonts w:ascii="Palatino Linotype" w:eastAsia="Palatino Linotype" w:hAnsi="Palatino Linotype" w:cs="Palatino Linotype"/>
          <w:i/>
          <w:color w:val="000000" w:themeColor="text1"/>
        </w:rPr>
        <w:t>solicitudes de acceso a la información</w:t>
      </w:r>
      <w:r w:rsidRPr="00B37267">
        <w:rPr>
          <w:rFonts w:ascii="Palatino Linotype" w:eastAsia="Palatino Linotype" w:hAnsi="Palatino Linotype" w:cs="Palatino Linotype"/>
          <w:color w:val="000000" w:themeColor="text1"/>
        </w:rPr>
        <w:t>.</w:t>
      </w:r>
    </w:p>
    <w:p w:rsidR="004B0F61" w:rsidRPr="00B37267"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4B0F61" w:rsidRPr="00B37267" w:rsidRDefault="00046D05" w:rsidP="00DE79DD">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lastRenderedPageBreak/>
        <w:t xml:space="preserve">Así entonces, se procede analizar, en primer lugar, si el </w:t>
      </w:r>
      <w:r w:rsidRPr="00B37267">
        <w:rPr>
          <w:rFonts w:ascii="Palatino Linotype" w:eastAsia="Palatino Linotype" w:hAnsi="Palatino Linotype" w:cs="Palatino Linotype"/>
          <w:b/>
          <w:color w:val="000000" w:themeColor="text1"/>
        </w:rPr>
        <w:t>SUJETO OBLIGADO</w:t>
      </w:r>
      <w:r w:rsidRPr="00B3726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4B0F61" w:rsidRPr="00B37267"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4B0F61" w:rsidRPr="00B37267" w:rsidRDefault="00046D05" w:rsidP="00DE79DD">
      <w:pPr>
        <w:keepNext/>
        <w:keepLines/>
        <w:spacing w:after="240" w:line="360" w:lineRule="auto"/>
        <w:rPr>
          <w:rFonts w:ascii="Palatino Linotype" w:eastAsia="Palatino Linotype" w:hAnsi="Palatino Linotype" w:cs="Palatino Linotype"/>
          <w:b/>
          <w:color w:val="000000" w:themeColor="text1"/>
        </w:rPr>
      </w:pPr>
      <w:r w:rsidRPr="00B37267">
        <w:rPr>
          <w:rFonts w:ascii="Palatino Linotype" w:eastAsia="Palatino Linotype" w:hAnsi="Palatino Linotype" w:cs="Palatino Linotype"/>
          <w:b/>
          <w:color w:val="000000" w:themeColor="text1"/>
        </w:rPr>
        <w:t>II. De la información solicitada y la respuesta del SUJETO OBLIGADO</w:t>
      </w: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Para efectos de estudio es conveniente reiterar que el solicitante requirió </w:t>
      </w:r>
      <w:r w:rsidRPr="00B37267">
        <w:rPr>
          <w:rFonts w:ascii="Palatino Linotype" w:eastAsia="Palatino Linotype" w:hAnsi="Palatino Linotype" w:cs="Palatino Linotype"/>
          <w:b/>
          <w:color w:val="000000" w:themeColor="text1"/>
        </w:rPr>
        <w:t xml:space="preserve">los del uno de enero al </w:t>
      </w:r>
      <w:r w:rsidR="00165BC8" w:rsidRPr="00B37267">
        <w:rPr>
          <w:rFonts w:ascii="Palatino Linotype" w:eastAsia="Palatino Linotype" w:hAnsi="Palatino Linotype" w:cs="Palatino Linotype"/>
          <w:b/>
          <w:color w:val="000000" w:themeColor="text1"/>
        </w:rPr>
        <w:t xml:space="preserve">veintiuno de mayo de </w:t>
      </w:r>
      <w:r w:rsidRPr="00B37267">
        <w:rPr>
          <w:rFonts w:ascii="Palatino Linotype" w:eastAsia="Palatino Linotype" w:hAnsi="Palatino Linotype" w:cs="Palatino Linotype"/>
          <w:b/>
          <w:color w:val="000000" w:themeColor="text1"/>
        </w:rPr>
        <w:t>dos mil veinticinco las:</w:t>
      </w:r>
    </w:p>
    <w:p w:rsidR="004B0F61" w:rsidRPr="00B37267" w:rsidRDefault="00046D05" w:rsidP="008666B4">
      <w:pPr>
        <w:numPr>
          <w:ilvl w:val="0"/>
          <w:numId w:val="8"/>
        </w:numPr>
        <w:pBdr>
          <w:top w:val="nil"/>
          <w:left w:val="nil"/>
          <w:bottom w:val="nil"/>
          <w:right w:val="nil"/>
          <w:between w:val="nil"/>
        </w:pBdr>
        <w:ind w:left="0" w:firstLine="0"/>
        <w:rPr>
          <w:rFonts w:ascii="Palatino Linotype" w:eastAsia="Palatino Linotype" w:hAnsi="Palatino Linotype" w:cs="Palatino Linotype"/>
          <w:b/>
          <w:color w:val="000000" w:themeColor="text1"/>
        </w:rPr>
      </w:pPr>
      <w:r w:rsidRPr="00B37267">
        <w:rPr>
          <w:rFonts w:ascii="Palatino Linotype" w:eastAsia="Palatino Linotype" w:hAnsi="Palatino Linotype" w:cs="Palatino Linotype"/>
          <w:b/>
          <w:color w:val="000000" w:themeColor="text1"/>
        </w:rPr>
        <w:t xml:space="preserve">Renuncias </w:t>
      </w:r>
    </w:p>
    <w:p w:rsidR="004B0F61" w:rsidRPr="00B37267" w:rsidRDefault="00046D05" w:rsidP="008666B4">
      <w:pPr>
        <w:numPr>
          <w:ilvl w:val="0"/>
          <w:numId w:val="8"/>
        </w:numPr>
        <w:pBdr>
          <w:top w:val="nil"/>
          <w:left w:val="nil"/>
          <w:bottom w:val="nil"/>
          <w:right w:val="nil"/>
          <w:between w:val="nil"/>
        </w:pBdr>
        <w:ind w:left="0" w:firstLine="0"/>
        <w:rPr>
          <w:rFonts w:ascii="Palatino Linotype" w:eastAsia="Palatino Linotype" w:hAnsi="Palatino Linotype" w:cs="Palatino Linotype"/>
          <w:b/>
          <w:color w:val="000000" w:themeColor="text1"/>
        </w:rPr>
      </w:pPr>
      <w:r w:rsidRPr="00B37267">
        <w:rPr>
          <w:rFonts w:ascii="Palatino Linotype" w:eastAsia="Palatino Linotype" w:hAnsi="Palatino Linotype" w:cs="Palatino Linotype"/>
          <w:b/>
          <w:color w:val="000000" w:themeColor="text1"/>
        </w:rPr>
        <w:t xml:space="preserve">Bajas </w:t>
      </w:r>
    </w:p>
    <w:p w:rsidR="004B0F61"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8666B4" w:rsidRPr="00B37267" w:rsidRDefault="008666B4" w:rsidP="00DE79DD">
      <w:pPr>
        <w:pBdr>
          <w:top w:val="nil"/>
          <w:left w:val="nil"/>
          <w:bottom w:val="nil"/>
          <w:right w:val="nil"/>
          <w:between w:val="nil"/>
        </w:pBdr>
        <w:rPr>
          <w:rFonts w:ascii="Palatino Linotype" w:eastAsia="Palatino Linotype" w:hAnsi="Palatino Linotype" w:cs="Palatino Linotype"/>
          <w:color w:val="000000" w:themeColor="text1"/>
        </w:rPr>
      </w:pPr>
    </w:p>
    <w:p w:rsidR="00165BC8"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En respuesta, el </w:t>
      </w:r>
      <w:r w:rsidRPr="00B37267">
        <w:rPr>
          <w:rFonts w:ascii="Palatino Linotype" w:eastAsia="Palatino Linotype" w:hAnsi="Palatino Linotype" w:cs="Palatino Linotype"/>
          <w:b/>
          <w:color w:val="000000" w:themeColor="text1"/>
        </w:rPr>
        <w:t xml:space="preserve">SUJETO OBLIGADO, </w:t>
      </w:r>
      <w:r w:rsidR="00165BC8" w:rsidRPr="00B37267">
        <w:rPr>
          <w:rFonts w:ascii="Palatino Linotype" w:eastAsia="Palatino Linotype" w:hAnsi="Palatino Linotype" w:cs="Palatino Linotype"/>
          <w:color w:val="000000" w:themeColor="text1"/>
        </w:rPr>
        <w:t>comunicó que después de realizar una búsqueda exhaustiva y razonable en los archivos que obran en la Dirección de Recursos Humanos y sus Departamentos se obtuvieron 174 renuncias y 655 bajas de enero a la fecha de la solicitud</w:t>
      </w:r>
      <w:r w:rsidR="00AB0E4E" w:rsidRPr="00B37267">
        <w:rPr>
          <w:rFonts w:ascii="Palatino Linotype" w:eastAsia="Palatino Linotype" w:hAnsi="Palatino Linotype" w:cs="Palatino Linotype"/>
          <w:color w:val="000000" w:themeColor="text1"/>
        </w:rPr>
        <w:t>, sin embargo no adjunto las documentales que den cuenta de lo informado</w:t>
      </w:r>
      <w:r w:rsidR="004C7D57" w:rsidRPr="00B37267">
        <w:rPr>
          <w:rFonts w:ascii="Palatino Linotype" w:eastAsia="Palatino Linotype" w:hAnsi="Palatino Linotype" w:cs="Palatino Linotype"/>
          <w:color w:val="000000" w:themeColor="text1"/>
        </w:rPr>
        <w:t>, situación de la que se duele el impetrante.</w:t>
      </w:r>
    </w:p>
    <w:p w:rsidR="00165BC8" w:rsidRPr="00B37267" w:rsidRDefault="00165BC8"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lastRenderedPageBreak/>
        <w:t xml:space="preserve">En consecuencia, el </w:t>
      </w:r>
      <w:r w:rsidRPr="00B37267">
        <w:rPr>
          <w:rFonts w:ascii="Palatino Linotype" w:eastAsia="Palatino Linotype" w:hAnsi="Palatino Linotype" w:cs="Palatino Linotype"/>
          <w:b/>
          <w:color w:val="000000" w:themeColor="text1"/>
        </w:rPr>
        <w:t>RECURRENTE</w:t>
      </w:r>
      <w:r w:rsidRPr="00B37267">
        <w:rPr>
          <w:rFonts w:ascii="Palatino Linotype" w:eastAsia="Palatino Linotype" w:hAnsi="Palatino Linotype" w:cs="Palatino Linotype"/>
          <w:color w:val="000000" w:themeColor="text1"/>
        </w:rPr>
        <w:t xml:space="preserve"> se inconforma por la respuesta del </w:t>
      </w:r>
      <w:r w:rsidRPr="00B37267">
        <w:rPr>
          <w:rFonts w:ascii="Palatino Linotype" w:eastAsia="Palatino Linotype" w:hAnsi="Palatino Linotype" w:cs="Palatino Linotype"/>
          <w:b/>
          <w:color w:val="000000" w:themeColor="text1"/>
        </w:rPr>
        <w:t>SUJETO OBLIGADO.</w:t>
      </w:r>
    </w:p>
    <w:p w:rsidR="004B0F61" w:rsidRPr="00B37267"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Expuesto lo anterior, se advierte que el </w:t>
      </w:r>
      <w:r w:rsidRPr="00B37267">
        <w:rPr>
          <w:rFonts w:ascii="Palatino Linotype" w:eastAsia="Palatino Linotype" w:hAnsi="Palatino Linotype" w:cs="Palatino Linotype"/>
          <w:b/>
          <w:color w:val="000000" w:themeColor="text1"/>
        </w:rPr>
        <w:t xml:space="preserve">SUJETO OBLIGADO, </w:t>
      </w:r>
      <w:r w:rsidRPr="00B37267">
        <w:rPr>
          <w:rFonts w:ascii="Palatino Linotype" w:eastAsia="Palatino Linotype" w:hAnsi="Palatino Linotype" w:cs="Palatino Linotype"/>
          <w:color w:val="000000" w:themeColor="text1"/>
        </w:rPr>
        <w:t xml:space="preserve">brindó respuesta a través del Director de Administración de </w:t>
      </w:r>
      <w:r w:rsidR="00165BC8" w:rsidRPr="00B37267">
        <w:rPr>
          <w:rFonts w:ascii="Palatino Linotype" w:eastAsia="Palatino Linotype" w:hAnsi="Palatino Linotype" w:cs="Palatino Linotype"/>
          <w:color w:val="000000" w:themeColor="text1"/>
        </w:rPr>
        <w:t>Toluca</w:t>
      </w:r>
      <w:r w:rsidRPr="00B37267">
        <w:rPr>
          <w:rFonts w:ascii="Palatino Linotype" w:eastAsia="Palatino Linotype" w:hAnsi="Palatino Linotype" w:cs="Palatino Linotype"/>
          <w:color w:val="000000" w:themeColor="text1"/>
        </w:rPr>
        <w:t xml:space="preserve">, quien de acuerdo a lo señalado por el </w:t>
      </w:r>
      <w:r w:rsidR="00165BC8" w:rsidRPr="00B37267">
        <w:rPr>
          <w:rFonts w:ascii="Palatino Linotype" w:eastAsia="Palatino Linotype" w:hAnsi="Palatino Linotype" w:cs="Palatino Linotype"/>
          <w:color w:val="000000" w:themeColor="text1"/>
        </w:rPr>
        <w:t>Código Reglamentario Municipal</w:t>
      </w:r>
      <w:r w:rsidRPr="00B37267">
        <w:rPr>
          <w:rFonts w:ascii="Palatino Linotype" w:eastAsia="Palatino Linotype" w:hAnsi="Palatino Linotype" w:cs="Palatino Linotype"/>
          <w:color w:val="000000" w:themeColor="text1"/>
        </w:rPr>
        <w:t>, es la encargada de proporcionar el recurso humano y organizacional, a fin de atender las necesidades de la Administración Pública, por lo que tendrá las siguientes atribuciones:</w:t>
      </w:r>
    </w:p>
    <w:p w:rsidR="004B0F61" w:rsidRPr="00B37267" w:rsidRDefault="00165BC8" w:rsidP="00DE79D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37267">
        <w:rPr>
          <w:rFonts w:ascii="Palatino Linotype" w:eastAsia="Palatino Linotype" w:hAnsi="Palatino Linotype" w:cs="Palatino Linotype"/>
          <w:b/>
          <w:i/>
          <w:color w:val="000000" w:themeColor="text1"/>
        </w:rPr>
        <w:t>ARTÍCULO 3.43</w:t>
      </w:r>
      <w:r w:rsidR="00046D05" w:rsidRPr="00B37267">
        <w:rPr>
          <w:rFonts w:ascii="Palatino Linotype" w:eastAsia="Palatino Linotype" w:hAnsi="Palatino Linotype" w:cs="Palatino Linotype"/>
          <w:b/>
          <w:i/>
          <w:color w:val="000000" w:themeColor="text1"/>
        </w:rPr>
        <w:t xml:space="preserve">.- </w:t>
      </w:r>
      <w:r w:rsidRPr="00B37267">
        <w:rPr>
          <w:rFonts w:ascii="Palatino Linotype" w:eastAsia="Palatino Linotype" w:hAnsi="Palatino Linotype" w:cs="Palatino Linotype"/>
          <w:b/>
          <w:i/>
          <w:color w:val="000000" w:themeColor="text1"/>
        </w:rPr>
        <w:t>La o el titular de la Dirección General de Administración, tiene las siguientes atribuciones</w:t>
      </w:r>
      <w:r w:rsidR="00046D05" w:rsidRPr="00B37267">
        <w:rPr>
          <w:rFonts w:ascii="Palatino Linotype" w:eastAsia="Palatino Linotype" w:hAnsi="Palatino Linotype" w:cs="Palatino Linotype"/>
          <w:b/>
          <w:i/>
          <w:color w:val="000000" w:themeColor="text1"/>
        </w:rPr>
        <w:t xml:space="preserve">: </w:t>
      </w:r>
    </w:p>
    <w:p w:rsidR="004B0F61" w:rsidRPr="00B37267" w:rsidRDefault="004B0F61" w:rsidP="00DE79DD">
      <w:pPr>
        <w:pBdr>
          <w:top w:val="nil"/>
          <w:left w:val="nil"/>
          <w:bottom w:val="nil"/>
          <w:right w:val="nil"/>
          <w:between w:val="nil"/>
        </w:pBdr>
        <w:jc w:val="both"/>
        <w:rPr>
          <w:rFonts w:ascii="Palatino Linotype" w:eastAsia="Palatino Linotype" w:hAnsi="Palatino Linotype" w:cs="Palatino Linotype"/>
          <w:i/>
          <w:color w:val="000000" w:themeColor="text1"/>
        </w:rPr>
      </w:pPr>
    </w:p>
    <w:p w:rsidR="002D54ED" w:rsidRPr="00B37267" w:rsidRDefault="002D54ED" w:rsidP="00DE79DD">
      <w:pPr>
        <w:pBdr>
          <w:top w:val="nil"/>
          <w:left w:val="nil"/>
          <w:bottom w:val="nil"/>
          <w:right w:val="nil"/>
          <w:between w:val="nil"/>
        </w:pBdr>
        <w:jc w:val="both"/>
        <w:rPr>
          <w:rFonts w:ascii="Palatino Linotype" w:hAnsi="Palatino Linotype"/>
          <w:color w:val="000000" w:themeColor="text1"/>
        </w:rPr>
      </w:pPr>
      <w:r w:rsidRPr="00B37267">
        <w:rPr>
          <w:rFonts w:ascii="Palatino Linotype" w:hAnsi="Palatino Linotype"/>
          <w:color w:val="000000" w:themeColor="text1"/>
        </w:rPr>
        <w:t>I.-</w:t>
      </w:r>
      <w:r w:rsidR="00165BC8" w:rsidRPr="00B37267">
        <w:rPr>
          <w:rFonts w:ascii="Palatino Linotype" w:hAnsi="Palatino Linotype"/>
          <w:color w:val="000000" w:themeColor="text1"/>
        </w:rPr>
        <w:t xml:space="preserve">Coordinar y dirigir los sistemas de reclutamiento, selección, contratación e inducción y desarrollo de personal; </w:t>
      </w:r>
    </w:p>
    <w:p w:rsidR="002D54ED" w:rsidRPr="00B37267" w:rsidRDefault="00165BC8" w:rsidP="00DE79DD">
      <w:pPr>
        <w:pBdr>
          <w:top w:val="nil"/>
          <w:left w:val="nil"/>
          <w:bottom w:val="nil"/>
          <w:right w:val="nil"/>
          <w:between w:val="nil"/>
        </w:pBdr>
        <w:jc w:val="both"/>
        <w:rPr>
          <w:rFonts w:ascii="Palatino Linotype" w:hAnsi="Palatino Linotype"/>
          <w:color w:val="000000" w:themeColor="text1"/>
        </w:rPr>
      </w:pPr>
      <w:r w:rsidRPr="00B37267">
        <w:rPr>
          <w:rFonts w:ascii="Palatino Linotype" w:hAnsi="Palatino Linotype"/>
          <w:color w:val="000000" w:themeColor="text1"/>
        </w:rPr>
        <w:t xml:space="preserve">II. Verificar que se cumplan las disposiciones en materia de trabajo, seguridad e higiene laboral, así como las del Código Reglamentario, respecto de los derechos y obligaciones del personal; </w:t>
      </w:r>
    </w:p>
    <w:p w:rsidR="002D54ED" w:rsidRPr="00B37267" w:rsidRDefault="00165BC8" w:rsidP="00DE79DD">
      <w:pPr>
        <w:pBdr>
          <w:top w:val="nil"/>
          <w:left w:val="nil"/>
          <w:bottom w:val="nil"/>
          <w:right w:val="nil"/>
          <w:between w:val="nil"/>
        </w:pBdr>
        <w:jc w:val="both"/>
        <w:rPr>
          <w:rFonts w:ascii="Palatino Linotype" w:hAnsi="Palatino Linotype"/>
          <w:color w:val="000000" w:themeColor="text1"/>
        </w:rPr>
      </w:pPr>
      <w:r w:rsidRPr="00B37267">
        <w:rPr>
          <w:rFonts w:ascii="Palatino Linotype" w:hAnsi="Palatino Linotype"/>
          <w:b/>
          <w:color w:val="000000" w:themeColor="text1"/>
          <w:u w:val="single"/>
        </w:rPr>
        <w:t>III. Autorizar las altas, bajas, cambios, permisos, licencias, comisiones del personal, entre otras, para su trámite y efectos</w:t>
      </w:r>
      <w:r w:rsidRPr="00B37267">
        <w:rPr>
          <w:rFonts w:ascii="Palatino Linotype" w:hAnsi="Palatino Linotype"/>
          <w:color w:val="000000" w:themeColor="text1"/>
        </w:rPr>
        <w:t xml:space="preserve">; </w:t>
      </w:r>
    </w:p>
    <w:p w:rsidR="002D54ED" w:rsidRPr="00B37267" w:rsidRDefault="00165BC8" w:rsidP="00DE79DD">
      <w:pPr>
        <w:pBdr>
          <w:top w:val="nil"/>
          <w:left w:val="nil"/>
          <w:bottom w:val="nil"/>
          <w:right w:val="nil"/>
          <w:between w:val="nil"/>
        </w:pBdr>
        <w:jc w:val="both"/>
        <w:rPr>
          <w:rFonts w:ascii="Palatino Linotype" w:hAnsi="Palatino Linotype"/>
          <w:color w:val="000000" w:themeColor="text1"/>
        </w:rPr>
      </w:pPr>
      <w:r w:rsidRPr="00B37267">
        <w:rPr>
          <w:rFonts w:ascii="Palatino Linotype" w:hAnsi="Palatino Linotype"/>
          <w:color w:val="000000" w:themeColor="text1"/>
        </w:rPr>
        <w:t xml:space="preserve">IV. Autorizar la elaboración y distribución oportuna de la nómina al personal que labora en el Ayuntamiento, apegándose a la normatividad en la materia y al presupuesto autorizado; </w:t>
      </w:r>
    </w:p>
    <w:p w:rsidR="002D54ED" w:rsidRPr="00B37267" w:rsidRDefault="00165BC8" w:rsidP="00DE79DD">
      <w:pPr>
        <w:pBdr>
          <w:top w:val="nil"/>
          <w:left w:val="nil"/>
          <w:bottom w:val="nil"/>
          <w:right w:val="nil"/>
          <w:between w:val="nil"/>
        </w:pBdr>
        <w:jc w:val="both"/>
        <w:rPr>
          <w:rFonts w:ascii="Palatino Linotype" w:hAnsi="Palatino Linotype"/>
          <w:color w:val="000000" w:themeColor="text1"/>
        </w:rPr>
      </w:pPr>
      <w:r w:rsidRPr="00B37267">
        <w:rPr>
          <w:rFonts w:ascii="Palatino Linotype" w:hAnsi="Palatino Linotype"/>
          <w:color w:val="000000" w:themeColor="text1"/>
        </w:rPr>
        <w:t xml:space="preserve">V. Coordinar, programar y establecer las políticas de capacitación y adiestramiento para el desarrollo adecuado de personal, conforme a las necesidades institucionales y a las propias del personal; </w:t>
      </w:r>
    </w:p>
    <w:p w:rsidR="002D54ED" w:rsidRPr="00B37267" w:rsidRDefault="002D54ED" w:rsidP="00DE79DD">
      <w:pPr>
        <w:pBdr>
          <w:top w:val="nil"/>
          <w:left w:val="nil"/>
          <w:bottom w:val="nil"/>
          <w:right w:val="nil"/>
          <w:between w:val="nil"/>
        </w:pBdr>
        <w:jc w:val="both"/>
        <w:rPr>
          <w:rFonts w:ascii="Palatino Linotype" w:hAnsi="Palatino Linotype"/>
          <w:color w:val="000000" w:themeColor="text1"/>
        </w:rPr>
      </w:pPr>
      <w:r w:rsidRPr="00B37267">
        <w:rPr>
          <w:rFonts w:ascii="Palatino Linotype" w:hAnsi="Palatino Linotype"/>
          <w:color w:val="000000" w:themeColor="text1"/>
        </w:rPr>
        <w:t xml:space="preserve">(…) </w:t>
      </w:r>
    </w:p>
    <w:p w:rsidR="002D54ED" w:rsidRPr="00B37267" w:rsidRDefault="002D54ED" w:rsidP="00DE79DD">
      <w:pPr>
        <w:pBdr>
          <w:top w:val="nil"/>
          <w:left w:val="nil"/>
          <w:bottom w:val="nil"/>
          <w:right w:val="nil"/>
          <w:between w:val="nil"/>
        </w:pBdr>
        <w:jc w:val="both"/>
        <w:rPr>
          <w:rFonts w:ascii="Palatino Linotype" w:hAnsi="Palatino Linotype"/>
          <w:color w:val="000000" w:themeColor="text1"/>
        </w:rPr>
      </w:pPr>
    </w:p>
    <w:p w:rsidR="004B0F61" w:rsidRPr="00B37267" w:rsidRDefault="002D54ED" w:rsidP="00DE79DD">
      <w:pPr>
        <w:pBdr>
          <w:top w:val="nil"/>
          <w:left w:val="nil"/>
          <w:bottom w:val="nil"/>
          <w:right w:val="nil"/>
          <w:between w:val="nil"/>
        </w:pBdr>
        <w:jc w:val="both"/>
        <w:rPr>
          <w:rFonts w:ascii="Palatino Linotype" w:hAnsi="Palatino Linotype"/>
          <w:b/>
          <w:i/>
          <w:color w:val="000000" w:themeColor="text1"/>
        </w:rPr>
      </w:pPr>
      <w:r w:rsidRPr="00B37267">
        <w:rPr>
          <w:rFonts w:ascii="Palatino Linotype" w:hAnsi="Palatino Linotype"/>
          <w:b/>
          <w:i/>
          <w:color w:val="000000" w:themeColor="text1"/>
        </w:rPr>
        <w:t>Artículo 3.44.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r w:rsidRPr="00B37267">
        <w:rPr>
          <w:rFonts w:ascii="Palatino Linotype" w:hAnsi="Palatino Linotype"/>
          <w:color w:val="000000" w:themeColor="text1"/>
        </w:rPr>
        <w:t xml:space="preserve"> (Sic.</w:t>
      </w:r>
      <w:r w:rsidR="00046D05" w:rsidRPr="00B37267">
        <w:rPr>
          <w:rFonts w:ascii="Palatino Linotype" w:hAnsi="Palatino Linotype"/>
          <w:color w:val="000000" w:themeColor="text1"/>
        </w:rPr>
        <w:t>)</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Con lo anterior se desprende que  el servidor público que proporcionó la información, corresponde a la Unidad Administrativa que de acuerdo a sus atribuciones, tiene </w:t>
      </w:r>
      <w:r w:rsidRPr="00B37267">
        <w:rPr>
          <w:rFonts w:ascii="Palatino Linotype" w:eastAsia="Palatino Linotype" w:hAnsi="Palatino Linotype" w:cs="Palatino Linotype"/>
          <w:color w:val="000000" w:themeColor="text1"/>
        </w:rPr>
        <w:lastRenderedPageBreak/>
        <w:t xml:space="preserve">conocimiento del requerimiento que realiza el particular, sin embargo </w:t>
      </w:r>
      <w:r w:rsidR="002D54ED" w:rsidRPr="00B37267">
        <w:rPr>
          <w:rFonts w:ascii="Palatino Linotype" w:eastAsia="Palatino Linotype" w:hAnsi="Palatino Linotype" w:cs="Palatino Linotype"/>
          <w:color w:val="000000" w:themeColor="text1"/>
        </w:rPr>
        <w:t>no remitió los documentos que acrediten lo informado, situación de la que se duele el solicitante</w:t>
      </w:r>
      <w:r w:rsidRPr="00B37267">
        <w:rPr>
          <w:rFonts w:ascii="Palatino Linotype" w:eastAsia="Palatino Linotype" w:hAnsi="Palatino Linotype" w:cs="Palatino Linotype"/>
          <w:color w:val="000000" w:themeColor="text1"/>
        </w:rPr>
        <w:t>.</w:t>
      </w:r>
    </w:p>
    <w:p w:rsidR="004B0F61" w:rsidRPr="00B37267" w:rsidRDefault="00046D05"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 </w:t>
      </w: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ccu30oj4uh0p" w:colFirst="0" w:colLast="0"/>
      <w:bookmarkEnd w:id="7"/>
      <w:r w:rsidRPr="00B37267">
        <w:rPr>
          <w:rFonts w:ascii="Palatino Linotype" w:eastAsia="Palatino Linotype" w:hAnsi="Palatino Linotype" w:cs="Palatino Linotype"/>
          <w:color w:val="000000" w:themeColor="text1"/>
        </w:rPr>
        <w:t>Descrito lo anterior, es viable precisar que la información solicitada por el particular, son datos que obran en documentos que deben ser del conocimiento de los particulares en la respectiva versión pública, por tanto se procederá a precisar el estudio de los documentos que podrían colmar la petición del hoy recurrente.</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Ahora bien, es viable precisar que la conclusión de una relación laboral se puede realizar de dos maneras:</w:t>
      </w:r>
    </w:p>
    <w:p w:rsidR="004B0F61" w:rsidRPr="00B37267" w:rsidRDefault="00046D05" w:rsidP="008666B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Por terminación</w:t>
      </w:r>
    </w:p>
    <w:p w:rsidR="004B0F61" w:rsidRPr="00B37267" w:rsidRDefault="00046D05" w:rsidP="008666B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Por rescisión</w:t>
      </w:r>
    </w:p>
    <w:p w:rsidR="004B0F61" w:rsidRPr="00B37267"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Por lo que de acuerdo al artículo 89 de la Ley del Trabajo de los Servidores Públicos del Estado y Municipios, la terminación de la relación laboral  se da por:</w:t>
      </w:r>
    </w:p>
    <w:p w:rsidR="004B0F61" w:rsidRPr="00B37267" w:rsidRDefault="00046D05" w:rsidP="008666B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La renuncia del servidor público </w:t>
      </w:r>
    </w:p>
    <w:p w:rsidR="004B0F61" w:rsidRPr="00B37267" w:rsidRDefault="00046D05" w:rsidP="008666B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El mutuo consentimiento de las partes</w:t>
      </w:r>
    </w:p>
    <w:p w:rsidR="004B0F61" w:rsidRPr="00B37267" w:rsidRDefault="00046D05" w:rsidP="008666B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El vencimiento del termino o conclusión de la obra definitivos de la contratación</w:t>
      </w:r>
    </w:p>
    <w:p w:rsidR="004B0F61" w:rsidRPr="00B37267" w:rsidRDefault="00046D05" w:rsidP="008666B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El termino o conclusión de la administración en la cual fue contratado el servidor público </w:t>
      </w:r>
    </w:p>
    <w:p w:rsidR="004B0F61" w:rsidRPr="00B37267" w:rsidRDefault="00046D05" w:rsidP="008666B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La muerte del servidor público </w:t>
      </w:r>
    </w:p>
    <w:p w:rsidR="004B0F61" w:rsidRDefault="00046D05" w:rsidP="008666B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La incapacidad permanente del servidor público que le impida el desempeño de sus labores</w:t>
      </w:r>
    </w:p>
    <w:p w:rsidR="00B2538F" w:rsidRPr="00B37267" w:rsidRDefault="00B2538F" w:rsidP="00B2538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lastRenderedPageBreak/>
        <w:t>Así mismo, el ordenamiento legal referido en el párrafo que antecede, nos establece en sus artículos 93 y 95 las causas de rescisión laboral, que a la letra señalan:</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b/>
          <w:i/>
          <w:color w:val="000000" w:themeColor="text1"/>
        </w:rPr>
        <w:t>“ARTÍCULO 93.</w:t>
      </w:r>
      <w:r w:rsidRPr="00B37267">
        <w:rPr>
          <w:rFonts w:ascii="Palatino Linotype" w:eastAsia="Palatino Linotype" w:hAnsi="Palatino Linotype" w:cs="Palatino Linotype"/>
          <w:i/>
          <w:color w:val="000000" w:themeColor="text1"/>
        </w:rPr>
        <w:t xml:space="preserve"> Son causas de rescisión de la relación laboral, sin responsabilidad para las instituciones públicas:</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I. Engañar el servidor público con documentación o referencias falsas que le atribuyan capacidad, aptitudes o grados académicos de los que carezca. Esta causa dejará de tener efecto después de treinta días naturales de conocido el hecho;</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II. Tener asignada más de una plaza en la misma o en diferentes instituciones públicas o dependencias, con las excepciones que esta ley señala, o bien cobrar un sueldo sin desempeñar funciones;</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IV. Incurrir en cuatro o más faltas de asistencia a sus labores sin causa justificada, dentro de un lapso de treinta días;</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V. Abandonar las labores sin autorización previa o razón plenamente justificada, en contravención a lo establecido en las condiciones generales de trabajo;</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VI. Causar daños intencionalmente a edificios, obras, equipo, maquinaria, instrumentos, materias primas y demás objetos relacionados con el trabajo, o por sustraerlos en beneficio propio;</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VII. Cometer actos inmorales durante el trabajo;</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VIII. Revelar los asuntos confidenciales o reservados así calificados por la institución pública o dependencia donde labore, de los cuales tuviese conocimiento con motivo de su trabajo;</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IX. Comprometer por su imprudencia, descuido o negligencia, la seguridad del taller, oficina o dependencia donde preste sus servicios o de las personas que ahí se encuentren; X. Desobedecer sin justificación, las órdenes que reciba de sus superiores, en relación al trabajo que desempeñe;</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XI. Concurrir al trabajo en estado de embriaguez, o bien bajo la influencia de algún narcótico o droga enervante, salvo que en éste último caso, exista prescripción médica, la que deberá presentar al superior jerárquico antes de iniciar las labores;</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XII. Portar armas de cualquier clase durante las horas de trabajo, salvo que la naturaleza de éste lo exija;</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XIII. Suspender las labores en el caso previsto en el artículo 176 de esta ley o suspenderlas sin la debida autorización;</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XIV. Incumplir reiteradamente disposiciones establecidas en las condiciones generales de trabajo de la institución pública o dependencia respectiva que constituyan faltas graves;</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XV. Ser condenado a prisión como resultado de una sentencia ejecutoriada, que le impida el cumplimiento de la relación de trabajo;</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XVI. Portar y hacer uso de credenciales de identificación no autorizadas por la autoridad competente;</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lastRenderedPageBreak/>
        <w:t>XVII. Sustraer tarjetas o listas de puntualidad y asistencia del lugar destinado para ello, ya sea la del propio servidor público o la de otro, utilizar o registrar asistencia con gafete credencial o tarjeta distinto al suyo o alterar en cualquier forma los registros de control de puntualidad y asistencia; siempre y cuando no sea resultado de un error involuntario;</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XVIII. Las análogas a las establecidas en las fracciones anteriores, de igual manera graves y de consecuencias semejantes en lo que al trabajo se refiere; e</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XIX. Incurrir en actos de violencia laboral, entendiéndose por éstos los relativos a discriminación, acoso u hostigamiento sexual; 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 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XX. La falta de requisitos que exijan las leyes y reglamentos, necesarios para la prestación del servicio cuando sea imputable al trabajador, desde la fecha en que el patrón tenga conocimiento del hecho, hasta por un periodo de dos meses.</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b/>
          <w:i/>
          <w:color w:val="000000" w:themeColor="text1"/>
        </w:rPr>
        <w:t>ARTÍCULO 95.</w:t>
      </w:r>
      <w:r w:rsidRPr="00B37267">
        <w:rPr>
          <w:rFonts w:ascii="Palatino Linotype" w:eastAsia="Palatino Linotype" w:hAnsi="Palatino Linotype" w:cs="Palatino Linotype"/>
          <w:i/>
          <w:color w:val="000000" w:themeColor="text1"/>
        </w:rPr>
        <w:t xml:space="preserve"> Son causas de rescisión de la relación laboral, sin responsabilidad para el servidor público: </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I. Engañarlo la institución pública o dependencia en relación a las condiciones en que se le ofreció el trabajo. Esta causa dejará de tener efecto después de 30 días naturales a partir de su incorporación al servicio;</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 xml:space="preserve">II. Incurrir alguno de sus superiores jerárquicos o personal directivo y/o sus representantes o compañeros de trabajo, dentro del servicio, en faltas de probidad u honradez, actos de violencia, amenazas, injurias, malos tratos, actos de violencia laboral entendiéndose por éstos los relativos a discriminación, acoso u hostigamiento sexual y acoso laboral, en contra del servidor público, su cónyuge, concubina o concubinario, padres, hijos o hermanos; </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 xml:space="preserve">III. Incumplir la institución pública o dependencia las condiciones laborales y salariales acordadas para el desempeño de sus funciones y las que estipula esta ley; </w:t>
      </w:r>
    </w:p>
    <w:p w:rsidR="004B0F61" w:rsidRPr="00B37267" w:rsidRDefault="00046D05" w:rsidP="00DE79DD">
      <w:pPr>
        <w:jc w:val="both"/>
        <w:rPr>
          <w:rFonts w:ascii="Palatino Linotype" w:hAnsi="Palatino Linotype"/>
          <w:color w:val="000000" w:themeColor="text1"/>
        </w:rPr>
      </w:pPr>
      <w:r w:rsidRPr="00B37267">
        <w:rPr>
          <w:rFonts w:ascii="Palatino Linotype" w:eastAsia="Palatino Linotype" w:hAnsi="Palatino Linotype" w:cs="Palatino Linotype"/>
          <w:i/>
          <w:color w:val="000000" w:themeColor="text1"/>
        </w:rPr>
        <w:t>IV. Existir peligro grave para la seguridad o salud del servidor público por carecer de condiciones higiénicas en su lugar de trabajo o no cumplirse las medidas preventivas y de seguridad que las leyes establezcan</w:t>
      </w:r>
      <w:r w:rsidRPr="00B37267">
        <w:rPr>
          <w:rFonts w:ascii="Palatino Linotype" w:hAnsi="Palatino Linotype"/>
          <w:color w:val="000000" w:themeColor="text1"/>
        </w:rPr>
        <w:t>;</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 xml:space="preserve">V. No inscribirlo en el Instituto de Seguridad Social del Estado de México y Municipios o no cubrir a éste las aportaciones que le correspondan; y </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 xml:space="preserve">VI. Las análogas a las establecidas en las fracciones anteriores, de igual manera graves y de consecuencias semejantes. </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u w:val="single"/>
        </w:rPr>
        <w:lastRenderedPageBreak/>
        <w:t>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 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r w:rsidRPr="00B37267">
        <w:rPr>
          <w:rFonts w:ascii="Palatino Linotype" w:eastAsia="Palatino Linotype" w:hAnsi="Palatino Linotype" w:cs="Palatino Linotype"/>
          <w:i/>
          <w:color w:val="000000" w:themeColor="text1"/>
        </w:rPr>
        <w:t xml:space="preserve">. </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Para el pago de cualquier indemnización que se genere por las relaciones laborales entre las instituciones o dependencias y sus servidores públicos señaladas en esta ley no generarán ningún tipo de interés.” (Sic)</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Lo antes expuesto, establece que en cualquier momento se podrá terminar por causa justificada la relación laboral, sin embargo la Institución Pública, deberá dar aviso por escrito</w:t>
      </w:r>
      <w:r w:rsidRPr="00B37267">
        <w:rPr>
          <w:rFonts w:ascii="Palatino Linotype" w:eastAsia="Palatino Linotype" w:hAnsi="Palatino Linotype" w:cs="Palatino Linotype"/>
          <w:color w:val="000000" w:themeColor="text1"/>
          <w:vertAlign w:val="superscript"/>
        </w:rPr>
        <w:footnoteReference w:id="5"/>
      </w:r>
      <w:r w:rsidRPr="00B37267">
        <w:rPr>
          <w:rFonts w:ascii="Palatino Linotype" w:eastAsia="Palatino Linotype" w:hAnsi="Palatino Linotype" w:cs="Palatino Linotype"/>
          <w:color w:val="000000" w:themeColor="text1"/>
        </w:rPr>
        <w:t xml:space="preserve"> al servidor público de manera personal, en donde se establezca la fecha y causas de la terminación de la relación laboral.; así mismo, señala </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Adicionalmente que sirve como analogía el criterio  004/2006 del Comité de Información emitido por el Poder Judicial sobre la publicidad de la información de los expedientes laborales de los servidores públicos que señala lo siguiente:</w:t>
      </w:r>
    </w:p>
    <w:p w:rsidR="008666B4" w:rsidRDefault="008666B4" w:rsidP="00DE79DD">
      <w:pPr>
        <w:tabs>
          <w:tab w:val="left" w:pos="8222"/>
        </w:tabs>
        <w:jc w:val="both"/>
        <w:rPr>
          <w:rFonts w:ascii="Palatino Linotype" w:eastAsia="Palatino Linotype" w:hAnsi="Palatino Linotype" w:cs="Palatino Linotype"/>
          <w:b/>
          <w:i/>
          <w:color w:val="000000" w:themeColor="text1"/>
        </w:rPr>
      </w:pPr>
    </w:p>
    <w:p w:rsidR="004B0F61" w:rsidRPr="00B37267" w:rsidRDefault="00046D05" w:rsidP="00DE79DD">
      <w:pPr>
        <w:tabs>
          <w:tab w:val="left" w:pos="8222"/>
        </w:tabs>
        <w:jc w:val="both"/>
        <w:rPr>
          <w:rFonts w:ascii="Palatino Linotype" w:eastAsia="Palatino Linotype" w:hAnsi="Palatino Linotype" w:cs="Palatino Linotype"/>
          <w:b/>
          <w:i/>
          <w:color w:val="000000" w:themeColor="text1"/>
        </w:rPr>
      </w:pPr>
      <w:r w:rsidRPr="00B37267">
        <w:rPr>
          <w:rFonts w:ascii="Palatino Linotype" w:eastAsia="Palatino Linotype" w:hAnsi="Palatino Linotype" w:cs="Palatino Linotype"/>
          <w:b/>
          <w:i/>
          <w:color w:val="000000" w:themeColor="text1"/>
        </w:rPr>
        <w:lastRenderedPageBreak/>
        <w:t>Criterio 04/2006</w:t>
      </w:r>
    </w:p>
    <w:p w:rsidR="004B0F61" w:rsidRPr="00B37267" w:rsidRDefault="00046D05" w:rsidP="00DE79DD">
      <w:pPr>
        <w:tabs>
          <w:tab w:val="left" w:pos="8222"/>
        </w:tabs>
        <w:jc w:val="both"/>
        <w:rPr>
          <w:rFonts w:ascii="Palatino Linotype" w:eastAsia="Palatino Linotype" w:hAnsi="Palatino Linotype" w:cs="Palatino Linotype"/>
          <w:b/>
          <w:i/>
          <w:color w:val="000000" w:themeColor="text1"/>
        </w:rPr>
      </w:pPr>
      <w:r w:rsidRPr="00B37267">
        <w:rPr>
          <w:rFonts w:ascii="Palatino Linotype" w:eastAsia="Palatino Linotype" w:hAnsi="Palatino Linotype" w:cs="Palatino Linotype"/>
          <w:b/>
          <w:i/>
          <w:color w:val="000000" w:themeColor="text1"/>
        </w:rPr>
        <w:t xml:space="preserve">NOMBRAMIENTOS Y AVISOS DE BAJA DE LOS SERVIDORES PÚBLICOS DE LA SUPREMA CORTE DE JUSTICIA DE LA NACIÓN. EL DOCUMENTO EN EL QUE CONSTEN ES PÚBLICO, CON EXCEPCIÓN DE LOS DATOS PERSONALES QUE CONTENGAN, LOS QUE CONSTITUYEN INFORMACIÓN CONFIDENCIAL QUE DEBE SUPRIMIRSE DE LA VERSIÓN PÚBLICA QUE SE GENERE. </w:t>
      </w:r>
    </w:p>
    <w:p w:rsidR="004B0F61" w:rsidRPr="00B37267" w:rsidRDefault="00046D05" w:rsidP="00DE79DD">
      <w:pPr>
        <w:tabs>
          <w:tab w:val="left" w:pos="8222"/>
        </w:tabs>
        <w:jc w:val="both"/>
        <w:rPr>
          <w:rFonts w:ascii="Palatino Linotype" w:eastAsia="Palatino Linotype" w:hAnsi="Palatino Linotype" w:cs="Palatino Linotype"/>
          <w:b/>
          <w:i/>
          <w:color w:val="000000" w:themeColor="text1"/>
          <w:u w:val="single"/>
        </w:rPr>
      </w:pPr>
      <w:r w:rsidRPr="00B37267">
        <w:rPr>
          <w:rFonts w:ascii="Palatino Linotype" w:eastAsia="Palatino Linotype" w:hAnsi="Palatino Linotype" w:cs="Palatino Linotype"/>
          <w:b/>
          <w:i/>
          <w:color w:val="000000" w:themeColor="text1"/>
          <w:u w:val="single"/>
        </w:rPr>
        <w:t xml:space="preserve">Los documentos </w:t>
      </w:r>
      <w:r w:rsidRPr="00B37267">
        <w:rPr>
          <w:rFonts w:ascii="Palatino Linotype" w:eastAsia="Palatino Linotype" w:hAnsi="Palatino Linotype" w:cs="Palatino Linotype"/>
          <w:b/>
          <w:i/>
          <w:color w:val="000000" w:themeColor="text1"/>
        </w:rPr>
        <w:t>relativos a los nombramientos y</w:t>
      </w:r>
      <w:r w:rsidRPr="00B37267">
        <w:rPr>
          <w:rFonts w:ascii="Palatino Linotype" w:eastAsia="Palatino Linotype" w:hAnsi="Palatino Linotype" w:cs="Palatino Linotype"/>
          <w:b/>
          <w:i/>
          <w:color w:val="000000" w:themeColor="text1"/>
          <w:u w:val="single"/>
        </w:rPr>
        <w:t xml:space="preserve"> avisos de baja de los servidores públicos de la Suprema Corte de Justicia de la Nación constituyen información pública, toda vez que se trata de actos administrativos relativos al manejo de su personal y, por ende, justifican parte del ejercicio del presupuesto público asignado.</w:t>
      </w:r>
      <w:r w:rsidRPr="00B37267">
        <w:rPr>
          <w:rFonts w:ascii="Palatino Linotype" w:eastAsia="Palatino Linotype" w:hAnsi="Palatino Linotype" w:cs="Palatino Linotype"/>
          <w:i/>
          <w:color w:val="000000" w:themeColor="text1"/>
        </w:rPr>
        <w:t xml:space="preserve"> En este sentido, si bien se trata de información de</w:t>
      </w:r>
      <w:r w:rsidRPr="00B37267">
        <w:rPr>
          <w:rFonts w:ascii="Palatino Linotype" w:eastAsia="Palatino Linotype" w:hAnsi="Palatino Linotype" w:cs="Palatino Linotype"/>
          <w:b/>
          <w:i/>
          <w:color w:val="000000" w:themeColor="text1"/>
        </w:rPr>
        <w:t xml:space="preserve"> </w:t>
      </w:r>
      <w:r w:rsidRPr="00B37267">
        <w:rPr>
          <w:rFonts w:ascii="Palatino Linotype" w:eastAsia="Palatino Linotype" w:hAnsi="Palatino Linotype" w:cs="Palatino Linotype"/>
          <w:i/>
          <w:color w:val="000000" w:themeColor="text1"/>
        </w:rPr>
        <w:t>naturaleza pública, lo cierto es que en acatamiento a lo dispuesto</w:t>
      </w:r>
      <w:r w:rsidRPr="00B37267">
        <w:rPr>
          <w:rFonts w:ascii="Palatino Linotype" w:eastAsia="Palatino Linotype" w:hAnsi="Palatino Linotype" w:cs="Palatino Linotype"/>
          <w:b/>
          <w:i/>
          <w:color w:val="000000" w:themeColor="text1"/>
        </w:rPr>
        <w:t xml:space="preserve"> </w:t>
      </w:r>
      <w:r w:rsidRPr="00B37267">
        <w:rPr>
          <w:rFonts w:ascii="Palatino Linotype" w:eastAsia="Palatino Linotype" w:hAnsi="Palatino Linotype" w:cs="Palatino Linotype"/>
          <w:i/>
          <w:color w:val="000000" w:themeColor="text1"/>
        </w:rPr>
        <w:t>en la Ley Federal de Transparencia y Acceso a la Información</w:t>
      </w:r>
      <w:r w:rsidRPr="00B37267">
        <w:rPr>
          <w:rFonts w:ascii="Palatino Linotype" w:eastAsia="Palatino Linotype" w:hAnsi="Palatino Linotype" w:cs="Palatino Linotype"/>
          <w:b/>
          <w:i/>
          <w:color w:val="000000" w:themeColor="text1"/>
        </w:rPr>
        <w:t xml:space="preserve"> </w:t>
      </w:r>
      <w:r w:rsidRPr="00B37267">
        <w:rPr>
          <w:rFonts w:ascii="Palatino Linotype" w:eastAsia="Palatino Linotype" w:hAnsi="Palatino Linotype" w:cs="Palatino Linotype"/>
          <w:i/>
          <w:color w:val="000000" w:themeColor="text1"/>
        </w:rPr>
        <w:t xml:space="preserve">Pública Gubernamental </w:t>
      </w:r>
      <w:r w:rsidRPr="00B37267">
        <w:rPr>
          <w:rFonts w:ascii="Palatino Linotype" w:eastAsia="Palatino Linotype" w:hAnsi="Palatino Linotype" w:cs="Palatino Linotype"/>
          <w:i/>
          <w:color w:val="000000" w:themeColor="text1"/>
          <w:u w:val="single"/>
        </w:rPr>
        <w:t>para dar acceso a los referidos</w:t>
      </w:r>
      <w:r w:rsidRPr="00B37267">
        <w:rPr>
          <w:rFonts w:ascii="Palatino Linotype" w:eastAsia="Palatino Linotype" w:hAnsi="Palatino Linotype" w:cs="Palatino Linotype"/>
          <w:b/>
          <w:i/>
          <w:color w:val="000000" w:themeColor="text1"/>
          <w:u w:val="single"/>
        </w:rPr>
        <w:t xml:space="preserve"> </w:t>
      </w:r>
      <w:r w:rsidRPr="00B37267">
        <w:rPr>
          <w:rFonts w:ascii="Palatino Linotype" w:eastAsia="Palatino Linotype" w:hAnsi="Palatino Linotype" w:cs="Palatino Linotype"/>
          <w:i/>
          <w:color w:val="000000" w:themeColor="text1"/>
          <w:u w:val="single"/>
        </w:rPr>
        <w:t>documentos es necesario generar una versión pública de la</w:t>
      </w:r>
      <w:r w:rsidRPr="00B37267">
        <w:rPr>
          <w:rFonts w:ascii="Palatino Linotype" w:eastAsia="Palatino Linotype" w:hAnsi="Palatino Linotype" w:cs="Palatino Linotype"/>
          <w:b/>
          <w:i/>
          <w:color w:val="000000" w:themeColor="text1"/>
          <w:u w:val="single"/>
        </w:rPr>
        <w:t xml:space="preserve"> </w:t>
      </w:r>
      <w:r w:rsidRPr="00B37267">
        <w:rPr>
          <w:rFonts w:ascii="Palatino Linotype" w:eastAsia="Palatino Linotype" w:hAnsi="Palatino Linotype" w:cs="Palatino Linotype"/>
          <w:i/>
          <w:color w:val="000000" w:themeColor="text1"/>
          <w:u w:val="single"/>
        </w:rPr>
        <w:t>que se supriman los datos confidenciales que contengan, como</w:t>
      </w:r>
      <w:r w:rsidRPr="00B37267">
        <w:rPr>
          <w:rFonts w:ascii="Palatino Linotype" w:eastAsia="Palatino Linotype" w:hAnsi="Palatino Linotype" w:cs="Palatino Linotype"/>
          <w:b/>
          <w:i/>
          <w:color w:val="000000" w:themeColor="text1"/>
          <w:u w:val="single"/>
        </w:rPr>
        <w:t xml:space="preserve"> </w:t>
      </w:r>
      <w:r w:rsidRPr="00B37267">
        <w:rPr>
          <w:rFonts w:ascii="Palatino Linotype" w:eastAsia="Palatino Linotype" w:hAnsi="Palatino Linotype" w:cs="Palatino Linotype"/>
          <w:i/>
          <w:color w:val="000000" w:themeColor="text1"/>
          <w:u w:val="single"/>
        </w:rPr>
        <w:t>pueden ser el domicilio, el estado civil o el teléfono particular</w:t>
      </w:r>
      <w:r w:rsidRPr="00B37267">
        <w:rPr>
          <w:rFonts w:ascii="Palatino Linotype" w:eastAsia="Palatino Linotype" w:hAnsi="Palatino Linotype" w:cs="Palatino Linotype"/>
          <w:b/>
          <w:i/>
          <w:color w:val="000000" w:themeColor="text1"/>
          <w:u w:val="single"/>
        </w:rPr>
        <w:t xml:space="preserve"> </w:t>
      </w:r>
      <w:r w:rsidRPr="00B37267">
        <w:rPr>
          <w:rFonts w:ascii="Palatino Linotype" w:eastAsia="Palatino Linotype" w:hAnsi="Palatino Linotype" w:cs="Palatino Linotype"/>
          <w:i/>
          <w:color w:val="000000" w:themeColor="text1"/>
          <w:u w:val="single"/>
        </w:rPr>
        <w:t>del servidor público respectivo.</w:t>
      </w:r>
    </w:p>
    <w:p w:rsidR="004B0F61" w:rsidRPr="00B37267" w:rsidRDefault="00046D05" w:rsidP="00DE79DD">
      <w:pPr>
        <w:tabs>
          <w:tab w:val="left" w:pos="8222"/>
        </w:tabs>
        <w:jc w:val="both"/>
        <w:rPr>
          <w:rFonts w:ascii="Palatino Linotype" w:eastAsia="Palatino Linotype" w:hAnsi="Palatino Linotype" w:cs="Palatino Linotype"/>
          <w:b/>
          <w:i/>
          <w:color w:val="000000" w:themeColor="text1"/>
        </w:rPr>
      </w:pPr>
      <w:r w:rsidRPr="00B37267">
        <w:rPr>
          <w:rFonts w:ascii="Palatino Linotype" w:eastAsia="Palatino Linotype" w:hAnsi="Palatino Linotype" w:cs="Palatino Linotype"/>
          <w:b/>
          <w:i/>
          <w:color w:val="000000" w:themeColor="text1"/>
        </w:rPr>
        <w:t xml:space="preserve">Clasificación de Información 10/2006-A, </w:t>
      </w:r>
      <w:r w:rsidRPr="00B37267">
        <w:rPr>
          <w:rFonts w:ascii="Palatino Linotype" w:eastAsia="Palatino Linotype" w:hAnsi="Palatino Linotype" w:cs="Palatino Linotype"/>
          <w:i/>
          <w:color w:val="000000" w:themeColor="text1"/>
        </w:rPr>
        <w:t>derivada de la solicitud</w:t>
      </w:r>
      <w:r w:rsidRPr="00B37267">
        <w:rPr>
          <w:rFonts w:ascii="Palatino Linotype" w:eastAsia="Palatino Linotype" w:hAnsi="Palatino Linotype" w:cs="Palatino Linotype"/>
          <w:b/>
          <w:i/>
          <w:color w:val="000000" w:themeColor="text1"/>
        </w:rPr>
        <w:t xml:space="preserve"> </w:t>
      </w:r>
      <w:r w:rsidRPr="00B37267">
        <w:rPr>
          <w:rFonts w:ascii="Palatino Linotype" w:eastAsia="Palatino Linotype" w:hAnsi="Palatino Linotype" w:cs="Palatino Linotype"/>
          <w:i/>
          <w:color w:val="000000" w:themeColor="text1"/>
        </w:rPr>
        <w:t>de acceso a la información presentada por Aldo González</w:t>
      </w:r>
      <w:r w:rsidRPr="00B37267">
        <w:rPr>
          <w:rFonts w:ascii="Palatino Linotype" w:eastAsia="Palatino Linotype" w:hAnsi="Palatino Linotype" w:cs="Palatino Linotype"/>
          <w:b/>
          <w:i/>
          <w:color w:val="000000" w:themeColor="text1"/>
        </w:rPr>
        <w:t xml:space="preserve"> </w:t>
      </w:r>
      <w:r w:rsidRPr="00B37267">
        <w:rPr>
          <w:rFonts w:ascii="Palatino Linotype" w:eastAsia="Palatino Linotype" w:hAnsi="Palatino Linotype" w:cs="Palatino Linotype"/>
          <w:i/>
          <w:color w:val="000000" w:themeColor="text1"/>
        </w:rPr>
        <w:t>Gutiérrez.- 11 de abril de 2006.- Unanimidad de votos.</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Por otro lado, </w:t>
      </w:r>
      <w:r w:rsidRPr="00B37267">
        <w:rPr>
          <w:rFonts w:ascii="Palatino Linotype" w:eastAsia="Palatino Linotype" w:hAnsi="Palatino Linotype" w:cs="Palatino Linotype"/>
          <w:b/>
          <w:color w:val="000000" w:themeColor="text1"/>
        </w:rPr>
        <w:t>sobre la renuncia requerida</w:t>
      </w:r>
      <w:r w:rsidRPr="00B37267">
        <w:rPr>
          <w:rFonts w:ascii="Palatino Linotype" w:eastAsia="Palatino Linotype" w:hAnsi="Palatino Linotype" w:cs="Palatino Linotype"/>
          <w:color w:val="000000" w:themeColor="text1"/>
        </w:rPr>
        <w:t>, el diccionario de la real academia española lo define como:</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37267">
        <w:rPr>
          <w:rFonts w:ascii="Palatino Linotype" w:eastAsia="Palatino Linotype" w:hAnsi="Palatino Linotype" w:cs="Palatino Linotype"/>
          <w:i/>
          <w:color w:val="000000" w:themeColor="text1"/>
        </w:rPr>
        <w:t>“</w:t>
      </w:r>
      <w:r w:rsidRPr="00B37267">
        <w:rPr>
          <w:rFonts w:ascii="Palatino Linotype" w:eastAsia="Palatino Linotype" w:hAnsi="Palatino Linotype" w:cs="Palatino Linotype"/>
          <w:b/>
          <w:i/>
          <w:color w:val="000000" w:themeColor="text1"/>
        </w:rPr>
        <w:t>Renuncia:</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Terminación del contrato de trabajo por decisión unilateral del trabajador” (Sic)</w:t>
      </w:r>
    </w:p>
    <w:p w:rsidR="004B0F61" w:rsidRDefault="004B0F61" w:rsidP="00DE79DD">
      <w:pPr>
        <w:pBdr>
          <w:top w:val="nil"/>
          <w:left w:val="nil"/>
          <w:bottom w:val="nil"/>
          <w:right w:val="nil"/>
          <w:between w:val="nil"/>
        </w:pBdr>
        <w:jc w:val="both"/>
        <w:rPr>
          <w:rFonts w:ascii="Palatino Linotype" w:eastAsia="Palatino Linotype" w:hAnsi="Palatino Linotype" w:cs="Palatino Linotype"/>
          <w:i/>
          <w:color w:val="000000" w:themeColor="text1"/>
        </w:rPr>
      </w:pPr>
    </w:p>
    <w:p w:rsidR="008666B4" w:rsidRPr="00B37267" w:rsidRDefault="008666B4" w:rsidP="00DE79DD">
      <w:pPr>
        <w:pBdr>
          <w:top w:val="nil"/>
          <w:left w:val="nil"/>
          <w:bottom w:val="nil"/>
          <w:right w:val="nil"/>
          <w:between w:val="nil"/>
        </w:pBdr>
        <w:jc w:val="both"/>
        <w:rPr>
          <w:rFonts w:ascii="Palatino Linotype" w:eastAsia="Palatino Linotype" w:hAnsi="Palatino Linotype" w:cs="Palatino Linotype"/>
          <w:i/>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Esto es, que la conclusión de una relación laboral se puede dar por renuncia del trabajador por una decisión unilateral de este, lo cual como ya se mencionó se encuentra establecido en el artículo 89 fracción I de la Ley del Trabajo de los Servidores Públicos del Estado de México y Municipios.</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Es decir, que una de las formas de terminar con la relación laboral de los Servidores Públicos con el </w:t>
      </w:r>
      <w:r w:rsidRPr="00B37267">
        <w:rPr>
          <w:rFonts w:ascii="Palatino Linotype" w:eastAsia="Palatino Linotype" w:hAnsi="Palatino Linotype" w:cs="Palatino Linotype"/>
          <w:b/>
          <w:color w:val="000000" w:themeColor="text1"/>
        </w:rPr>
        <w:t>SUJETO OBLIGADO</w:t>
      </w:r>
      <w:r w:rsidRPr="00B37267">
        <w:rPr>
          <w:rFonts w:ascii="Palatino Linotype" w:eastAsia="Palatino Linotype" w:hAnsi="Palatino Linotype" w:cs="Palatino Linotype"/>
          <w:color w:val="000000" w:themeColor="text1"/>
        </w:rPr>
        <w:t xml:space="preserve">, es a través del consentimiento unilateral del Servidor Público mediante la renuncia presentada por este último; luego entonces como ya también </w:t>
      </w:r>
      <w:r w:rsidRPr="00B37267">
        <w:rPr>
          <w:rFonts w:ascii="Palatino Linotype" w:eastAsia="Palatino Linotype" w:hAnsi="Palatino Linotype" w:cs="Palatino Linotype"/>
          <w:color w:val="000000" w:themeColor="text1"/>
        </w:rPr>
        <w:lastRenderedPageBreak/>
        <w:t>se estableció los sujetos obligados tiene la obligación de documentar todo acto que derive del ejercicio de sus facultades, competencias o funciones, lo anterior se robustece con el criterio 004/2006 del Comité de Información emitido por el Poder Judicial, sobre la publicidad de la información de los expedientes laborales de los servidores públicos, previamente citado.</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Es así, que debe precisarse que respecto del documento que evidencie la renuncia de algún servidor público; este Organismo Garante ha señalado que debe tenerse especial cuidado respecto de su contenido, toda vez que en los motivos o causas que les dieron origen, podrían desprenderse información relativa a la vida privada de las personas, o bien, podría contener argumentos que le conciernen en esencia al interesado, y que por tal motivo, dicha información es susceptible de clasificarse como confidencial, a través de la versión pública que deje a la vista el resto de la información requerida, en términos de lo señalado por el considerando quinto del presente fallo.</w:t>
      </w:r>
    </w:p>
    <w:p w:rsidR="004B0F61" w:rsidRPr="00B37267"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En seguimiento, resulta viable señalar que el </w:t>
      </w:r>
      <w:r w:rsidRPr="00B37267">
        <w:rPr>
          <w:rFonts w:ascii="Palatino Linotype" w:eastAsia="Palatino Linotype" w:hAnsi="Palatino Linotype" w:cs="Palatino Linotype"/>
          <w:b/>
          <w:color w:val="000000" w:themeColor="text1"/>
        </w:rPr>
        <w:t xml:space="preserve">SUJETO OBLIGADO, </w:t>
      </w:r>
      <w:r w:rsidRPr="00B37267">
        <w:rPr>
          <w:rFonts w:ascii="Palatino Linotype" w:eastAsia="Palatino Linotype" w:hAnsi="Palatino Linotype" w:cs="Palatino Linotype"/>
          <w:color w:val="000000" w:themeColor="text1"/>
        </w:rPr>
        <w:t>tiene la obligación de presentar ante el Órgano Superior de Fiscalización del Estado de México, como parte integral del informe trimestral; por lo que, dicho Órgano emite los lineamientos para la Integración del Informe Trimestral, en términos del artículo 8 de la Ley de Fiscalización Superior del Estado de México, al referir:</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b/>
          <w:i/>
          <w:color w:val="000000" w:themeColor="text1"/>
        </w:rPr>
        <w:t xml:space="preserve">“Artículo 8. </w:t>
      </w:r>
      <w:r w:rsidRPr="00B37267">
        <w:rPr>
          <w:rFonts w:ascii="Palatino Linotype" w:eastAsia="Palatino Linotype" w:hAnsi="Palatino Linotype" w:cs="Palatino Linotype"/>
          <w:i/>
          <w:color w:val="000000" w:themeColor="text1"/>
        </w:rPr>
        <w:t>El Órgano Superior tendrá las siguientes atribuciones:</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p>
    <w:p w:rsidR="004B0F61" w:rsidRPr="00B37267" w:rsidRDefault="00046D05" w:rsidP="00DE79DD">
      <w:pPr>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b/>
          <w:i/>
          <w:color w:val="000000" w:themeColor="text1"/>
        </w:rPr>
        <w:t xml:space="preserve">XI. </w:t>
      </w:r>
      <w:r w:rsidRPr="00B37267">
        <w:rPr>
          <w:rFonts w:ascii="Palatino Linotype" w:eastAsia="Palatino Linotype" w:hAnsi="Palatino Linotype" w:cs="Palatino Linotype"/>
          <w:i/>
          <w:color w:val="000000" w:themeColor="text1"/>
        </w:rPr>
        <w:t>Establecer los lineamientos, criterios, procedimientos, métodos y sistemas para las acciones de control y evaluación, necesarios para la fiscalización de las cuentas públicas y los informes trimestrales;</w:t>
      </w:r>
      <w:r w:rsidRPr="00B37267">
        <w:rPr>
          <w:rFonts w:ascii="Palatino Linotype" w:eastAsia="Palatino Linotype" w:hAnsi="Palatino Linotype" w:cs="Palatino Linotype"/>
          <w:color w:val="000000" w:themeColor="text1"/>
        </w:rPr>
        <w:t>”</w:t>
      </w:r>
    </w:p>
    <w:p w:rsidR="004B0F61"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8666B4" w:rsidRPr="00B37267" w:rsidRDefault="008666B4" w:rsidP="00DE79DD">
      <w:pPr>
        <w:pBdr>
          <w:top w:val="nil"/>
          <w:left w:val="nil"/>
          <w:bottom w:val="nil"/>
          <w:right w:val="nil"/>
          <w:between w:val="nil"/>
        </w:pBdr>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lastRenderedPageBreak/>
        <w:t>Cabe precisar que dentro de los Lineamientos correspondientes al Informe Trimestral del Ejercicio fiscal 2025, dentro del Instructivo 4, en específico el Módulo 2. de la Información Administrativa, Reporte 7 de Plazas Ocupadas, se precisa el documento que indica la variación en las plazas ocupadas; así como la clasificación o categoría que presentan los servidores públicos en un periodo determinado, del cual se desprende el apartado denominado Bajas Realizadas durante el mes, como  se muestra con la siguiente captura de pantalla:</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noProof/>
          <w:color w:val="000000" w:themeColor="text1"/>
        </w:rPr>
        <w:drawing>
          <wp:inline distT="0" distB="0" distL="0" distR="0">
            <wp:extent cx="5201162" cy="35393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r="8116" b="2097"/>
                    <a:stretch>
                      <a:fillRect/>
                    </a:stretch>
                  </pic:blipFill>
                  <pic:spPr>
                    <a:xfrm>
                      <a:off x="0" y="0"/>
                      <a:ext cx="5201162" cy="3539335"/>
                    </a:xfrm>
                    <a:prstGeom prst="rect">
                      <a:avLst/>
                    </a:prstGeom>
                    <a:ln/>
                  </pic:spPr>
                </pic:pic>
              </a:graphicData>
            </a:graphic>
          </wp:inline>
        </w:drawing>
      </w:r>
      <w:r w:rsidRPr="00B37267">
        <w:rPr>
          <w:rFonts w:ascii="Palatino Linotype" w:hAnsi="Palatino Linotype"/>
          <w:noProof/>
          <w:color w:val="000000" w:themeColor="text1"/>
        </w:rPr>
        <mc:AlternateContent>
          <mc:Choice Requires="wps">
            <w:drawing>
              <wp:anchor distT="0" distB="0" distL="114300" distR="114300" simplePos="0" relativeHeight="251658240" behindDoc="0" locked="0" layoutInCell="1" hidden="0" allowOverlap="1">
                <wp:simplePos x="0" y="0"/>
                <wp:positionH relativeFrom="column">
                  <wp:posOffset>2336800</wp:posOffset>
                </wp:positionH>
                <wp:positionV relativeFrom="paragraph">
                  <wp:posOffset>622300</wp:posOffset>
                </wp:positionV>
                <wp:extent cx="1655437" cy="460375"/>
                <wp:effectExtent l="0" t="0" r="0" b="0"/>
                <wp:wrapNone/>
                <wp:docPr id="7" name="Rectángulo 7"/>
                <wp:cNvGraphicFramePr/>
                <a:graphic xmlns:a="http://schemas.openxmlformats.org/drawingml/2006/main">
                  <a:graphicData uri="http://schemas.microsoft.com/office/word/2010/wordprocessingShape">
                    <wps:wsp>
                      <wps:cNvSpPr/>
                      <wps:spPr>
                        <a:xfrm>
                          <a:off x="4532569" y="3564100"/>
                          <a:ext cx="1626862" cy="431800"/>
                        </a:xfrm>
                        <a:prstGeom prst="rect">
                          <a:avLst/>
                        </a:prstGeom>
                        <a:noFill/>
                        <a:ln w="28575" cap="flat" cmpd="sng">
                          <a:solidFill>
                            <a:srgbClr val="FF0000"/>
                          </a:solidFill>
                          <a:prstDash val="solid"/>
                          <a:miter lim="800000"/>
                          <a:headEnd type="none" w="sm" len="sm"/>
                          <a:tailEnd type="none" w="sm" len="sm"/>
                        </a:ln>
                      </wps:spPr>
                      <wps:txbx>
                        <w:txbxContent>
                          <w:p w:rsidR="00165BC8" w:rsidRDefault="00165BC8">
                            <w:pPr>
                              <w:textDirection w:val="btLr"/>
                            </w:pPr>
                          </w:p>
                        </w:txbxContent>
                      </wps:txbx>
                      <wps:bodyPr spcFirstLastPara="1" wrap="square" lIns="91425" tIns="91425" rIns="91425" bIns="91425" anchor="ctr" anchorCtr="0">
                        <a:noAutofit/>
                      </wps:bodyPr>
                    </wps:wsp>
                  </a:graphicData>
                </a:graphic>
              </wp:anchor>
            </w:drawing>
          </mc:Choice>
          <mc:Fallback>
            <w:pict>
              <v:rect id="Rectángulo 7" o:spid="_x0000_s1026" style="position:absolute;left:0;text-align:left;margin-left:184pt;margin-top:49pt;width:130.35pt;height:36.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" filled="f" strokecolor="red" strokeweight="2.25pt">
                <v:stroke startarrowwidth="narrow" startarrowlength="short" endarrowwidth="narrow" endarrowlength="short"/>
                <v:textbox inset="2.53958mm,2.53958mm,2.53958mm,2.53958mm">
                  <w:txbxContent>
                    <w:p w:rsidR="00165BC8" w:rsidRDefault="00165BC8">
                      <w:pPr>
                        <w:textDirection w:val="btLr"/>
                      </w:pPr>
                    </w:p>
                  </w:txbxContent>
                </v:textbox>
              </v:rect>
            </w:pict>
          </mc:Fallback>
        </mc:AlternateContent>
      </w:r>
      <w:r w:rsidRPr="00B37267">
        <w:rPr>
          <w:rFonts w:ascii="Palatino Linotype" w:hAnsi="Palatino Linotype"/>
          <w:noProof/>
          <w:color w:val="000000" w:themeColor="text1"/>
        </w:rPr>
        <mc:AlternateContent>
          <mc:Choice Requires="wps">
            <w:drawing>
              <wp:anchor distT="0" distB="0" distL="114300" distR="114300" simplePos="0" relativeHeight="251659264" behindDoc="0" locked="0" layoutInCell="1" hidden="0" allowOverlap="1">
                <wp:simplePos x="0" y="0"/>
                <wp:positionH relativeFrom="column">
                  <wp:posOffset>203200</wp:posOffset>
                </wp:positionH>
                <wp:positionV relativeFrom="paragraph">
                  <wp:posOffset>2895600</wp:posOffset>
                </wp:positionV>
                <wp:extent cx="2914650" cy="488315"/>
                <wp:effectExtent l="0" t="0" r="0" b="0"/>
                <wp:wrapNone/>
                <wp:docPr id="9" name="Rectángulo 9"/>
                <wp:cNvGraphicFramePr/>
                <a:graphic xmlns:a="http://schemas.openxmlformats.org/drawingml/2006/main">
                  <a:graphicData uri="http://schemas.microsoft.com/office/word/2010/wordprocessingShape">
                    <wps:wsp>
                      <wps:cNvSpPr/>
                      <wps:spPr>
                        <a:xfrm>
                          <a:off x="3902963" y="3550130"/>
                          <a:ext cx="2886075" cy="459740"/>
                        </a:xfrm>
                        <a:prstGeom prst="rect">
                          <a:avLst/>
                        </a:prstGeom>
                        <a:noFill/>
                        <a:ln w="28575" cap="flat" cmpd="sng">
                          <a:solidFill>
                            <a:srgbClr val="FF0000"/>
                          </a:solidFill>
                          <a:prstDash val="solid"/>
                          <a:miter lim="800000"/>
                          <a:headEnd type="none" w="sm" len="sm"/>
                          <a:tailEnd type="none" w="sm" len="sm"/>
                        </a:ln>
                      </wps:spPr>
                      <wps:txbx>
                        <w:txbxContent>
                          <w:p w:rsidR="00165BC8" w:rsidRDefault="00165BC8">
                            <w:pPr>
                              <w:textDirection w:val="btLr"/>
                            </w:pPr>
                          </w:p>
                        </w:txbxContent>
                      </wps:txbx>
                      <wps:bodyPr spcFirstLastPara="1" wrap="square" lIns="91425" tIns="91425" rIns="91425" bIns="91425" anchor="ctr" anchorCtr="0">
                        <a:noAutofit/>
                      </wps:bodyPr>
                    </wps:wsp>
                  </a:graphicData>
                </a:graphic>
              </wp:anchor>
            </w:drawing>
          </mc:Choice>
          <mc:Fallback>
            <w:pict>
              <v:rect id="Rectángulo 9" o:spid="_x0000_s1027" style="position:absolute;left:0;text-align:left;margin-left:16pt;margin-top:228pt;width:229.5pt;height:3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" filled="f" strokecolor="red" strokeweight="2.25pt">
                <v:stroke startarrowwidth="narrow" startarrowlength="short" endarrowwidth="narrow" endarrowlength="short"/>
                <v:textbox inset="2.53958mm,2.53958mm,2.53958mm,2.53958mm">
                  <w:txbxContent>
                    <w:p w:rsidR="00165BC8" w:rsidRDefault="00165BC8">
                      <w:pPr>
                        <w:textDirection w:val="btLr"/>
                      </w:pPr>
                    </w:p>
                  </w:txbxContent>
                </v:textbox>
              </v:rect>
            </w:pict>
          </mc:Fallback>
        </mc:AlternateContent>
      </w:r>
    </w:p>
    <w:p w:rsidR="004B0F61" w:rsidRPr="00B37267" w:rsidRDefault="004B0F61" w:rsidP="00DE79DD">
      <w:pP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En esa misma tesitura, estable la entrega del documento que contiene el registro detallado de las percepciones y deducciones que integran el sueldo neto, así como la información bancaria del pago realizado a cada uno de los servidores públicos en un periodo determinado, del cual se vislumbra que existe un apartado con la información solicitada por el particular tal y como se demuestra con la siguiente captura de pantalla:</w:t>
      </w:r>
    </w:p>
    <w:p w:rsidR="004B0F61" w:rsidRPr="00B37267" w:rsidRDefault="00046D05" w:rsidP="00DE79DD">
      <w:pPr>
        <w:spacing w:line="360" w:lineRule="auto"/>
        <w:jc w:val="center"/>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noProof/>
          <w:color w:val="000000" w:themeColor="text1"/>
        </w:rPr>
        <w:lastRenderedPageBreak/>
        <w:drawing>
          <wp:inline distT="0" distB="0" distL="0" distR="0">
            <wp:extent cx="4843902" cy="146506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5923" r="28764"/>
                    <a:stretch>
                      <a:fillRect/>
                    </a:stretch>
                  </pic:blipFill>
                  <pic:spPr>
                    <a:xfrm>
                      <a:off x="0" y="0"/>
                      <a:ext cx="4843902" cy="1465065"/>
                    </a:xfrm>
                    <a:prstGeom prst="rect">
                      <a:avLst/>
                    </a:prstGeom>
                    <a:ln/>
                  </pic:spPr>
                </pic:pic>
              </a:graphicData>
            </a:graphic>
          </wp:inline>
        </w:drawing>
      </w:r>
      <w:r w:rsidRPr="00B37267">
        <w:rPr>
          <w:rFonts w:ascii="Palatino Linotype" w:hAnsi="Palatino Linotype"/>
          <w:noProof/>
          <w:color w:val="000000" w:themeColor="text1"/>
        </w:rPr>
        <mc:AlternateContent>
          <mc:Choice Requires="wps">
            <w:drawing>
              <wp:anchor distT="0" distB="0" distL="114300" distR="114300" simplePos="0" relativeHeight="251660288" behindDoc="0" locked="0" layoutInCell="1" hidden="0" allowOverlap="1">
                <wp:simplePos x="0" y="0"/>
                <wp:positionH relativeFrom="column">
                  <wp:posOffset>1346200</wp:posOffset>
                </wp:positionH>
                <wp:positionV relativeFrom="paragraph">
                  <wp:posOffset>558800</wp:posOffset>
                </wp:positionV>
                <wp:extent cx="2130425" cy="428625"/>
                <wp:effectExtent l="0" t="0" r="0" b="0"/>
                <wp:wrapNone/>
                <wp:docPr id="8" name="Rectángulo 8"/>
                <wp:cNvGraphicFramePr/>
                <a:graphic xmlns:a="http://schemas.openxmlformats.org/drawingml/2006/main">
                  <a:graphicData uri="http://schemas.microsoft.com/office/word/2010/wordprocessingShape">
                    <wps:wsp>
                      <wps:cNvSpPr/>
                      <wps:spPr>
                        <a:xfrm>
                          <a:off x="4295075" y="3579975"/>
                          <a:ext cx="2101850" cy="400050"/>
                        </a:xfrm>
                        <a:prstGeom prst="rect">
                          <a:avLst/>
                        </a:prstGeom>
                        <a:noFill/>
                        <a:ln w="28575" cap="flat" cmpd="sng">
                          <a:solidFill>
                            <a:srgbClr val="FF0000"/>
                          </a:solidFill>
                          <a:prstDash val="solid"/>
                          <a:miter lim="800000"/>
                          <a:headEnd type="none" w="sm" len="sm"/>
                          <a:tailEnd type="none" w="sm" len="sm"/>
                        </a:ln>
                      </wps:spPr>
                      <wps:txbx>
                        <w:txbxContent>
                          <w:p w:rsidR="00165BC8" w:rsidRDefault="00165BC8">
                            <w:pPr>
                              <w:textDirection w:val="btLr"/>
                            </w:pPr>
                          </w:p>
                        </w:txbxContent>
                      </wps:txbx>
                      <wps:bodyPr spcFirstLastPara="1" wrap="square" lIns="91425" tIns="91425" rIns="91425" bIns="91425" anchor="ctr" anchorCtr="0">
                        <a:noAutofit/>
                      </wps:bodyPr>
                    </wps:wsp>
                  </a:graphicData>
                </a:graphic>
              </wp:anchor>
            </w:drawing>
          </mc:Choice>
          <mc:Fallback>
            <w:pict>
              <v:rect id="Rectángulo 8" o:spid="_x0000_s1028" style="position:absolute;left:0;text-align:left;margin-left:106pt;margin-top:44pt;width:167.7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" filled="f" strokecolor="red" strokeweight="2.25pt">
                <v:stroke startarrowwidth="narrow" startarrowlength="short" endarrowwidth="narrow" endarrowlength="short"/>
                <v:textbox inset="2.53958mm,2.53958mm,2.53958mm,2.53958mm">
                  <w:txbxContent>
                    <w:p w:rsidR="00165BC8" w:rsidRDefault="00165BC8">
                      <w:pPr>
                        <w:textDirection w:val="btLr"/>
                      </w:pPr>
                    </w:p>
                  </w:txbxContent>
                </v:textbox>
              </v:rect>
            </w:pict>
          </mc:Fallback>
        </mc:AlternateContent>
      </w:r>
    </w:p>
    <w:p w:rsidR="004B0F61" w:rsidRPr="00B37267" w:rsidRDefault="004B0F61" w:rsidP="00DE79DD">
      <w:pP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themeColor="text1"/>
        </w:rPr>
      </w:pPr>
      <w:r w:rsidRPr="00B37267">
        <w:rPr>
          <w:rFonts w:ascii="Palatino Linotype" w:eastAsia="Palatino Linotype" w:hAnsi="Palatino Linotype" w:cs="Palatino Linotype"/>
          <w:color w:val="000000" w:themeColor="text1"/>
        </w:rPr>
        <w:t xml:space="preserve">De lo antes expuesto, se advierte que el </w:t>
      </w:r>
      <w:r w:rsidRPr="00B37267">
        <w:rPr>
          <w:rFonts w:ascii="Palatino Linotype" w:eastAsia="Palatino Linotype" w:hAnsi="Palatino Linotype" w:cs="Palatino Linotype"/>
          <w:b/>
          <w:color w:val="000000" w:themeColor="text1"/>
        </w:rPr>
        <w:t xml:space="preserve">SUJETO OBLIGADO, </w:t>
      </w:r>
      <w:r w:rsidRPr="00B37267">
        <w:rPr>
          <w:rFonts w:ascii="Palatino Linotype" w:eastAsia="Palatino Linotype" w:hAnsi="Palatino Linotype" w:cs="Palatino Linotype"/>
          <w:color w:val="000000" w:themeColor="text1"/>
        </w:rPr>
        <w:t xml:space="preserve">tiene el deber de generar el reporte de altas y bajas del personal, información que deberá remitir al OSFEM, en informe trimestral, sin embargo esto no implica que a la fecha de la solicitud no cuente con la información solicitada, toda vez que si bien es cierto el informe se entrega cada trimestre, también lo es que esa información se tiene que actualizar cada quincena. </w:t>
      </w:r>
    </w:p>
    <w:p w:rsidR="004B0F61" w:rsidRPr="00B37267" w:rsidRDefault="004B0F61" w:rsidP="00DE79DD">
      <w:pPr>
        <w:pBdr>
          <w:top w:val="nil"/>
          <w:left w:val="nil"/>
          <w:bottom w:val="nil"/>
          <w:right w:val="nil"/>
          <w:between w:val="nil"/>
        </w:pBdr>
        <w:spacing w:line="360" w:lineRule="auto"/>
        <w:jc w:val="both"/>
        <w:rPr>
          <w:rFonts w:ascii="Palatino Linotype" w:eastAsia="Century Gothic" w:hAnsi="Palatino Linotype" w:cs="Century Gothic"/>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Así mismo, Sobre el tema, las altas y bajas de personal, la </w:t>
      </w:r>
      <w:r w:rsidRPr="00B37267">
        <w:rPr>
          <w:rFonts w:ascii="Palatino Linotype" w:eastAsia="Palatino Linotype" w:hAnsi="Palatino Linotype" w:cs="Palatino Linotype"/>
          <w:b/>
          <w:color w:val="000000" w:themeColor="text1"/>
        </w:rPr>
        <w:t xml:space="preserve">Guía técnica 07 “La administración del personal municipal” </w:t>
      </w:r>
      <w:r w:rsidRPr="00B37267">
        <w:rPr>
          <w:rFonts w:ascii="Palatino Linotype" w:eastAsia="Palatino Linotype" w:hAnsi="Palatino Linotype" w:cs="Palatino Linotype"/>
          <w:color w:val="000000" w:themeColor="text1"/>
        </w:rPr>
        <w:t xml:space="preserve">del Instituto Nacional de Administración Pública establece que, dentro de las actividades básicas de la administración de personal, se encuentran la </w:t>
      </w:r>
      <w:r w:rsidRPr="00B37267">
        <w:rPr>
          <w:rFonts w:ascii="Palatino Linotype" w:eastAsia="Palatino Linotype" w:hAnsi="Palatino Linotype" w:cs="Palatino Linotype"/>
          <w:b/>
          <w:color w:val="000000" w:themeColor="text1"/>
        </w:rPr>
        <w:t xml:space="preserve">Terminación de la relación laboral </w:t>
      </w:r>
      <w:r w:rsidRPr="00B37267">
        <w:rPr>
          <w:rFonts w:ascii="Palatino Linotype" w:eastAsia="Palatino Linotype" w:hAnsi="Palatino Linotype" w:cs="Palatino Linotype"/>
          <w:color w:val="000000" w:themeColor="text1"/>
        </w:rPr>
        <w:t xml:space="preserve">que sucede cuando un empleado puede dejar de prestar sus servicios al municipio por diferentes casusas, como son: jubilación, renuncia, terminación, suspensión o rescisión del contrato. </w:t>
      </w:r>
    </w:p>
    <w:p w:rsidR="004B0F61" w:rsidRPr="00B37267" w:rsidRDefault="004B0F61" w:rsidP="00DE79DD">
      <w:pPr>
        <w:pBdr>
          <w:top w:val="nil"/>
          <w:left w:val="nil"/>
          <w:bottom w:val="nil"/>
          <w:right w:val="nil"/>
          <w:between w:val="nil"/>
        </w:pBdr>
        <w:rPr>
          <w:rFonts w:ascii="Palatino Linotype" w:eastAsia="Century Gothic" w:hAnsi="Palatino Linotype" w:cs="Century Gothic"/>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En ese contexto, al artículo 89 de la Ley del Trabajo de los Servidores Públicos del Estado y Municipios, precisa que son causas de terminación de la relación laboral sin responsabilidad para las instituciones públicas las siguientes: la renuncia del servidor público, el mutuo acuerdo de las partes, el vencimiento del término o conclusión de la administración en la cual fue contratado, la muerte del servidor público y la incapacidad permanente del servidor público. </w:t>
      </w: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lastRenderedPageBreak/>
        <w:t xml:space="preserve">Así, se advierte que derivado de las actividades básicas de la administración de personal, las Instituciones Públicas realizan diversos actos por medio de los cuales se da cuenta de la terminación de la relación laboral con los servidores públicos; tan es así,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sidRPr="00B37267">
        <w:rPr>
          <w:rFonts w:ascii="Palatino Linotype" w:eastAsia="Palatino Linotype" w:hAnsi="Palatino Linotype" w:cs="Palatino Linotype"/>
          <w:b/>
          <w:color w:val="000000" w:themeColor="text1"/>
        </w:rPr>
        <w:t xml:space="preserve">los Avisos de Movimiento (Alta y Baja), </w:t>
      </w:r>
      <w:r w:rsidRPr="00B37267">
        <w:rPr>
          <w:rFonts w:ascii="Palatino Linotype" w:eastAsia="Palatino Linotype" w:hAnsi="Palatino Linotype" w:cs="Palatino Linotype"/>
          <w:color w:val="000000" w:themeColor="text1"/>
        </w:rPr>
        <w:t>para realizar sus respectivos trámites ante el Instituto de Seguridad Social del Estado de México y Municipios.</w:t>
      </w:r>
    </w:p>
    <w:p w:rsidR="004B0F61" w:rsidRPr="00B37267"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37267">
        <w:rPr>
          <w:rFonts w:ascii="Palatino Linotype" w:eastAsia="Palatino Linotype" w:hAnsi="Palatino Linotype" w:cs="Palatino Linotype"/>
          <w:color w:val="000000" w:themeColor="text1"/>
        </w:rPr>
        <w:t xml:space="preserve">Como ya se refirió en líneas anteriores, se puede inferir que lo solicitado por el </w:t>
      </w:r>
      <w:r w:rsidRPr="00B37267">
        <w:rPr>
          <w:rFonts w:ascii="Palatino Linotype" w:eastAsia="Palatino Linotype" w:hAnsi="Palatino Linotype" w:cs="Palatino Linotype"/>
          <w:b/>
          <w:color w:val="000000" w:themeColor="text1"/>
        </w:rPr>
        <w:t>RECURRENTE</w:t>
      </w:r>
      <w:r w:rsidRPr="00B37267">
        <w:rPr>
          <w:rFonts w:ascii="Palatino Linotype" w:eastAsia="Palatino Linotype" w:hAnsi="Palatino Linotype" w:cs="Palatino Linotype"/>
          <w:color w:val="000000" w:themeColor="text1"/>
        </w:rPr>
        <w:t>, son datos que obran en documentos que deben ser del conocimiento de los particulares e</w:t>
      </w:r>
      <w:r w:rsidR="002D54ED" w:rsidRPr="00B37267">
        <w:rPr>
          <w:rFonts w:ascii="Palatino Linotype" w:eastAsia="Palatino Linotype" w:hAnsi="Palatino Linotype" w:cs="Palatino Linotype"/>
          <w:color w:val="000000" w:themeColor="text1"/>
        </w:rPr>
        <w:t>n la respectiva versión pública</w:t>
      </w:r>
      <w:r w:rsidRPr="00B37267">
        <w:rPr>
          <w:rFonts w:ascii="Palatino Linotype" w:eastAsia="Palatino Linotype" w:hAnsi="Palatino Linotype" w:cs="Palatino Linotype"/>
          <w:color w:val="000000" w:themeColor="text1"/>
        </w:rPr>
        <w:t xml:space="preserve">; luego entonces, lo procedente es ordenar al </w:t>
      </w:r>
      <w:r w:rsidRPr="00B37267">
        <w:rPr>
          <w:rFonts w:ascii="Palatino Linotype" w:eastAsia="Palatino Linotype" w:hAnsi="Palatino Linotype" w:cs="Palatino Linotype"/>
          <w:b/>
          <w:color w:val="000000" w:themeColor="text1"/>
        </w:rPr>
        <w:t>SUJETO OBLIGADO</w:t>
      </w:r>
      <w:r w:rsidRPr="00B37267">
        <w:rPr>
          <w:rFonts w:ascii="Palatino Linotype" w:eastAsia="Palatino Linotype" w:hAnsi="Palatino Linotype" w:cs="Palatino Linotype"/>
          <w:color w:val="000000" w:themeColor="text1"/>
        </w:rPr>
        <w:t xml:space="preserve">, haga entrega en </w:t>
      </w:r>
      <w:r w:rsidRPr="00B37267">
        <w:rPr>
          <w:rFonts w:ascii="Palatino Linotype" w:eastAsia="Palatino Linotype" w:hAnsi="Palatino Linotype" w:cs="Palatino Linotype"/>
          <w:b/>
          <w:color w:val="000000" w:themeColor="text1"/>
        </w:rPr>
        <w:t>versión pública</w:t>
      </w:r>
      <w:r w:rsidRPr="00B37267">
        <w:rPr>
          <w:rFonts w:ascii="Palatino Linotype" w:eastAsia="Palatino Linotype" w:hAnsi="Palatino Linotype" w:cs="Palatino Linotype"/>
          <w:color w:val="000000" w:themeColor="text1"/>
        </w:rPr>
        <w:t xml:space="preserve"> el </w:t>
      </w:r>
      <w:r w:rsidRPr="00B37267">
        <w:rPr>
          <w:rFonts w:ascii="Palatino Linotype" w:eastAsia="Palatino Linotype" w:hAnsi="Palatino Linotype" w:cs="Palatino Linotype"/>
          <w:b/>
          <w:color w:val="000000" w:themeColor="text1"/>
        </w:rPr>
        <w:t>documento donde conste</w:t>
      </w:r>
      <w:r w:rsidR="002D54ED" w:rsidRPr="00B37267">
        <w:rPr>
          <w:rFonts w:ascii="Palatino Linotype" w:eastAsia="Palatino Linotype" w:hAnsi="Palatino Linotype" w:cs="Palatino Linotype"/>
          <w:b/>
          <w:color w:val="000000" w:themeColor="text1"/>
        </w:rPr>
        <w:t>n</w:t>
      </w:r>
      <w:r w:rsidRPr="00B37267">
        <w:rPr>
          <w:rFonts w:ascii="Palatino Linotype" w:eastAsia="Palatino Linotype" w:hAnsi="Palatino Linotype" w:cs="Palatino Linotype"/>
          <w:b/>
          <w:color w:val="000000" w:themeColor="text1"/>
        </w:rPr>
        <w:t xml:space="preserve"> </w:t>
      </w:r>
      <w:r w:rsidR="002D54ED" w:rsidRPr="00B37267">
        <w:rPr>
          <w:rFonts w:ascii="Palatino Linotype" w:eastAsia="Palatino Linotype" w:hAnsi="Palatino Linotype" w:cs="Palatino Linotype"/>
          <w:b/>
          <w:color w:val="000000" w:themeColor="text1"/>
        </w:rPr>
        <w:t xml:space="preserve">las renuncias y bajas </w:t>
      </w:r>
      <w:r w:rsidRPr="00B37267">
        <w:rPr>
          <w:rFonts w:ascii="Palatino Linotype" w:eastAsia="Palatino Linotype" w:hAnsi="Palatino Linotype" w:cs="Palatino Linotype"/>
          <w:b/>
          <w:color w:val="000000" w:themeColor="text1"/>
        </w:rPr>
        <w:t>de los entonces servidores públicos</w:t>
      </w:r>
      <w:r w:rsidR="002D54ED" w:rsidRPr="00B37267">
        <w:rPr>
          <w:rFonts w:ascii="Palatino Linotype" w:eastAsia="Palatino Linotype" w:hAnsi="Palatino Linotype" w:cs="Palatino Linotype"/>
          <w:b/>
          <w:color w:val="000000" w:themeColor="text1"/>
        </w:rPr>
        <w:t xml:space="preserve"> referidos en respuesta</w:t>
      </w:r>
      <w:r w:rsidRPr="00B37267">
        <w:rPr>
          <w:rFonts w:ascii="Palatino Linotype" w:eastAsia="Palatino Linotype" w:hAnsi="Palatino Linotype" w:cs="Palatino Linotype"/>
          <w:b/>
          <w:color w:val="000000" w:themeColor="text1"/>
        </w:rPr>
        <w:t>.</w:t>
      </w:r>
    </w:p>
    <w:p w:rsidR="004B0F61" w:rsidRPr="00B37267" w:rsidRDefault="004B0F61" w:rsidP="00DE79DD">
      <w:pPr>
        <w:pBdr>
          <w:top w:val="nil"/>
          <w:left w:val="nil"/>
          <w:bottom w:val="nil"/>
          <w:right w:val="nil"/>
          <w:between w:val="nil"/>
        </w:pBdr>
        <w:rPr>
          <w:rFonts w:ascii="Palatino Linotype" w:eastAsia="Palatino Linotype" w:hAnsi="Palatino Linotype" w:cs="Palatino Linotype"/>
          <w:b/>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Atento a ello, primeramente es importante señalar que el artículo 4, párrafo segundo de la Ley de Transparencia y Acceso a la Información Pública del Estado de México y Municipios, dispone:</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r w:rsidRPr="00B37267">
        <w:rPr>
          <w:rFonts w:ascii="Palatino Linotype" w:eastAsia="Palatino Linotype" w:hAnsi="Palatino Linotype" w:cs="Palatino Linotype"/>
          <w:b/>
          <w:i/>
          <w:color w:val="000000" w:themeColor="text1"/>
        </w:rPr>
        <w:t xml:space="preserve">Artículo 4. </w:t>
      </w:r>
      <w:r w:rsidRPr="00B37267">
        <w:rPr>
          <w:rFonts w:ascii="Palatino Linotype" w:eastAsia="Palatino Linotype" w:hAnsi="Palatino Linotype" w:cs="Palatino Linotype"/>
          <w:i/>
          <w:color w:val="000000" w:themeColor="text1"/>
        </w:rPr>
        <w:t xml:space="preserve">… </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 xml:space="preserve"> ...”</w:t>
      </w:r>
    </w:p>
    <w:p w:rsidR="004B0F61" w:rsidRDefault="004B0F61" w:rsidP="00DE79DD">
      <w:pPr>
        <w:pBdr>
          <w:top w:val="nil"/>
          <w:left w:val="nil"/>
          <w:bottom w:val="nil"/>
          <w:right w:val="nil"/>
          <w:between w:val="nil"/>
        </w:pBdr>
        <w:jc w:val="both"/>
        <w:rPr>
          <w:rFonts w:ascii="Palatino Linotype" w:eastAsia="Palatino Linotype" w:hAnsi="Palatino Linotype" w:cs="Palatino Linotype"/>
          <w:color w:val="000000" w:themeColor="text1"/>
        </w:rPr>
      </w:pPr>
    </w:p>
    <w:p w:rsidR="008666B4" w:rsidRPr="00B37267" w:rsidRDefault="008666B4" w:rsidP="00DE79DD">
      <w:pPr>
        <w:pBdr>
          <w:top w:val="nil"/>
          <w:left w:val="nil"/>
          <w:bottom w:val="nil"/>
          <w:right w:val="nil"/>
          <w:between w:val="nil"/>
        </w:pBdr>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color w:val="000000" w:themeColor="text1"/>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r w:rsidRPr="00B37267">
        <w:rPr>
          <w:rFonts w:ascii="Palatino Linotype" w:eastAsia="Palatino Linotype" w:hAnsi="Palatino Linotype" w:cs="Palatino Linotype"/>
          <w:b/>
          <w:i/>
          <w:color w:val="000000" w:themeColor="text1"/>
        </w:rPr>
        <w:t>Artículo 12.</w:t>
      </w:r>
      <w:r w:rsidRPr="00B37267">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 xml:space="preserve"> </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B0F61" w:rsidRDefault="004B0F61" w:rsidP="00DE79DD">
      <w:pPr>
        <w:pBdr>
          <w:top w:val="nil"/>
          <w:left w:val="nil"/>
          <w:bottom w:val="nil"/>
          <w:right w:val="nil"/>
          <w:between w:val="nil"/>
        </w:pBdr>
        <w:jc w:val="both"/>
        <w:rPr>
          <w:rFonts w:ascii="Palatino Linotype" w:eastAsia="Palatino Linotype" w:hAnsi="Palatino Linotype" w:cs="Palatino Linotype"/>
          <w:i/>
          <w:color w:val="000000" w:themeColor="text1"/>
        </w:rPr>
      </w:pPr>
    </w:p>
    <w:p w:rsidR="008666B4" w:rsidRPr="00B37267" w:rsidRDefault="008666B4" w:rsidP="00DE79DD">
      <w:pPr>
        <w:pBdr>
          <w:top w:val="nil"/>
          <w:left w:val="nil"/>
          <w:bottom w:val="nil"/>
          <w:right w:val="nil"/>
          <w:between w:val="nil"/>
        </w:pBdr>
        <w:jc w:val="both"/>
        <w:rPr>
          <w:rFonts w:ascii="Palatino Linotype" w:eastAsia="Palatino Linotype" w:hAnsi="Palatino Linotype" w:cs="Palatino Linotype"/>
          <w:i/>
          <w:color w:val="000000" w:themeColor="text1"/>
        </w:rPr>
      </w:pPr>
    </w:p>
    <w:p w:rsidR="004B0F61"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En síntesis, el derecho de acceso a la información pública se satisface en aquellos casos en que se entregue el soporte documental en que conste la información pública, toda vez que, los Sujetos Obligados</w:t>
      </w:r>
      <w:r w:rsidRPr="00B37267">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color w:val="000000" w:themeColor="text1"/>
        </w:rPr>
        <w:t xml:space="preserve">no tienen el deber de generar, poseer o administrar la información pública con el grado de detalle solicitado; esto es, que no tienen el deber de generar un documento </w:t>
      </w:r>
      <w:r w:rsidRPr="00B37267">
        <w:rPr>
          <w:rFonts w:ascii="Palatino Linotype" w:eastAsia="Palatino Linotype" w:hAnsi="Palatino Linotype" w:cs="Palatino Linotype"/>
          <w:i/>
          <w:color w:val="000000" w:themeColor="text1"/>
        </w:rPr>
        <w:t>ad hoc</w:t>
      </w:r>
      <w:r w:rsidRPr="00B37267">
        <w:rPr>
          <w:rFonts w:ascii="Palatino Linotype" w:eastAsia="Palatino Linotype" w:hAnsi="Palatino Linotype" w:cs="Palatino Linotype"/>
          <w:color w:val="000000" w:themeColor="text1"/>
        </w:rPr>
        <w:t>, para satisfacer el derecho de acceso a la información pública.</w:t>
      </w:r>
    </w:p>
    <w:p w:rsidR="00B2538F" w:rsidRPr="00B37267" w:rsidRDefault="00B2538F" w:rsidP="00B2538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37267">
        <w:rPr>
          <w:rFonts w:ascii="Palatino Linotype" w:eastAsia="Palatino Linotype" w:hAnsi="Palatino Linotype" w:cs="Palatino Linotype"/>
          <w:color w:val="000000" w:themeColor="text1"/>
        </w:rPr>
        <w:lastRenderedPageBreak/>
        <w:t>Como apoyo a lo anterior, es aplicable el Criterio 03-17, emitido por el Instituto Nacional de Transparencia, Acceso a la Información y Protección de Datos Personales, que dice:</w:t>
      </w:r>
      <w:r w:rsidRPr="00B37267">
        <w:rPr>
          <w:rFonts w:ascii="Palatino Linotype" w:eastAsia="Palatino Linotype" w:hAnsi="Palatino Linotype" w:cs="Palatino Linotype"/>
          <w:b/>
          <w:color w:val="000000" w:themeColor="text1"/>
        </w:rPr>
        <w:t xml:space="preserve"> </w:t>
      </w:r>
    </w:p>
    <w:p w:rsidR="004B0F61" w:rsidRPr="00B37267" w:rsidRDefault="00046D05" w:rsidP="00DE79DD">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r w:rsidRPr="00B37267">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B37267">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B0F61" w:rsidRPr="00B37267" w:rsidRDefault="00046D05" w:rsidP="00DE79DD">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 xml:space="preserve">Resoluciones: </w:t>
      </w:r>
    </w:p>
    <w:p w:rsidR="004B0F61" w:rsidRPr="00B37267" w:rsidRDefault="00046D05" w:rsidP="00DE79DD">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B37267">
        <w:rPr>
          <w:rFonts w:ascii="Palatino Linotype" w:eastAsia="Symbol" w:hAnsi="Palatino Linotype" w:cs="Symbol"/>
          <w:color w:val="000000" w:themeColor="text1"/>
        </w:rPr>
        <w:t>∙</w:t>
      </w:r>
      <w:r w:rsidRPr="00B37267">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w:t>
      </w:r>
    </w:p>
    <w:p w:rsidR="004B0F61" w:rsidRPr="00B37267" w:rsidRDefault="00046D05" w:rsidP="00DE79DD">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B37267">
        <w:rPr>
          <w:rFonts w:ascii="Palatino Linotype" w:eastAsia="Symbol" w:hAnsi="Palatino Linotype" w:cs="Symbol"/>
          <w:color w:val="000000" w:themeColor="text1"/>
        </w:rPr>
        <w:t>∙</w:t>
      </w:r>
      <w:r w:rsidRPr="00B37267">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4B0F61" w:rsidRPr="00B37267" w:rsidRDefault="00046D05" w:rsidP="00DE79DD">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B37267">
        <w:rPr>
          <w:rFonts w:ascii="Palatino Linotype" w:eastAsia="Symbol" w:hAnsi="Palatino Linotype" w:cs="Symbol"/>
          <w:color w:val="000000" w:themeColor="text1"/>
        </w:rPr>
        <w:t>∙</w:t>
      </w:r>
      <w:r w:rsidRPr="00B37267">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rsidR="004B0F61" w:rsidRPr="00B37267" w:rsidRDefault="004B0F61" w:rsidP="00DE79DD">
      <w:pPr>
        <w:pBdr>
          <w:top w:val="nil"/>
          <w:left w:val="nil"/>
          <w:bottom w:val="nil"/>
          <w:right w:val="nil"/>
          <w:between w:val="nil"/>
        </w:pBdr>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w:t>
      </w:r>
      <w:r w:rsidRPr="00B37267">
        <w:rPr>
          <w:rFonts w:ascii="Palatino Linotype" w:eastAsia="Palatino Linotype" w:hAnsi="Palatino Linotype" w:cs="Palatino Linotype"/>
          <w:color w:val="000000" w:themeColor="text1"/>
        </w:rPr>
        <w:lastRenderedPageBreak/>
        <w:t xml:space="preserve">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r w:rsidRPr="00B37267">
        <w:rPr>
          <w:rFonts w:ascii="Palatino Linotype" w:eastAsia="Palatino Linotype" w:hAnsi="Palatino Linotype" w:cs="Palatino Linotype"/>
          <w:b/>
          <w:i/>
          <w:color w:val="000000" w:themeColor="text1"/>
        </w:rPr>
        <w:t xml:space="preserve">Artículo 3. </w:t>
      </w:r>
      <w:r w:rsidRPr="00B37267">
        <w:rPr>
          <w:rFonts w:ascii="Palatino Linotype" w:eastAsia="Palatino Linotype" w:hAnsi="Palatino Linotype" w:cs="Palatino Linotype"/>
          <w:i/>
          <w:color w:val="000000" w:themeColor="text1"/>
        </w:rPr>
        <w:t>Para los efectos de la presente Ley se entenderá por:</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b/>
          <w:i/>
          <w:color w:val="000000" w:themeColor="text1"/>
        </w:rPr>
        <w:t>XI. Documento:</w:t>
      </w:r>
      <w:r w:rsidRPr="00B37267">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b/>
          <w:i/>
          <w:color w:val="000000" w:themeColor="text1"/>
        </w:rPr>
        <w:t>…</w:t>
      </w:r>
      <w:r w:rsidRPr="00B37267">
        <w:rPr>
          <w:rFonts w:ascii="Palatino Linotype" w:eastAsia="Palatino Linotype" w:hAnsi="Palatino Linotype" w:cs="Palatino Linotype"/>
          <w:i/>
          <w:color w:val="000000" w:themeColor="text1"/>
        </w:rPr>
        <w:t>”</w:t>
      </w:r>
    </w:p>
    <w:p w:rsidR="004B0F61" w:rsidRDefault="004B0F61" w:rsidP="00DE79DD">
      <w:pPr>
        <w:pBdr>
          <w:top w:val="nil"/>
          <w:left w:val="nil"/>
          <w:bottom w:val="nil"/>
          <w:right w:val="nil"/>
          <w:between w:val="nil"/>
        </w:pBdr>
        <w:jc w:val="both"/>
        <w:rPr>
          <w:rFonts w:ascii="Palatino Linotype" w:eastAsia="Palatino Linotype" w:hAnsi="Palatino Linotype" w:cs="Palatino Linotype"/>
          <w:color w:val="000000" w:themeColor="text1"/>
        </w:rPr>
      </w:pPr>
    </w:p>
    <w:p w:rsidR="008666B4" w:rsidRPr="00B37267" w:rsidRDefault="008666B4" w:rsidP="00DE79DD">
      <w:pPr>
        <w:pBdr>
          <w:top w:val="nil"/>
          <w:left w:val="nil"/>
          <w:bottom w:val="nil"/>
          <w:right w:val="nil"/>
          <w:between w:val="nil"/>
        </w:pBdr>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B37267">
        <w:rPr>
          <w:rFonts w:ascii="Palatino Linotype" w:eastAsia="Palatino Linotype" w:hAnsi="Palatino Linotype" w:cs="Palatino Linotype"/>
          <w:b/>
          <w:color w:val="000000" w:themeColor="text1"/>
        </w:rPr>
        <w:t>“</w:t>
      </w:r>
      <w:r w:rsidRPr="00B37267">
        <w:rPr>
          <w:rFonts w:ascii="Palatino Linotype" w:eastAsia="Palatino Linotype" w:hAnsi="Palatino Linotype" w:cs="Palatino Linotype"/>
          <w:b/>
          <w:i/>
          <w:color w:val="000000" w:themeColor="text1"/>
        </w:rPr>
        <w:t>CRITERIO 0002-11</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b/>
          <w:i/>
          <w:color w:val="000000" w:themeColor="text1"/>
          <w:u w:val="single"/>
        </w:rPr>
        <w:t>INFORMACIÓN PÚBLICA, CONCEPTO DE, EN MATERIA DE TRANSPARENCIA. INTERPRETACIÓN SISTEMÁTICA DE LOS ARTÍCULOS 2°, FRACCIÓN V, XV, Y XVI, 3°, 4°, 11 Y 41.</w:t>
      </w:r>
      <w:r w:rsidRPr="00B37267">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B37267">
        <w:rPr>
          <w:rFonts w:ascii="Palatino Linotype" w:eastAsia="Palatino Linotype" w:hAnsi="Palatino Linotype" w:cs="Palatino Linotype"/>
          <w:b/>
          <w:i/>
          <w:color w:val="000000" w:themeColor="text1"/>
          <w:u w:val="single"/>
        </w:rPr>
        <w:lastRenderedPageBreak/>
        <w:t>1) Que se trate de información registrada en cualquier soporte documental, que en ejercicio de las atribuciones conferidas, sea generada por los Sujetos Obligados;</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(SIC)</w:t>
      </w:r>
    </w:p>
    <w:p w:rsidR="004B0F61" w:rsidRPr="00B37267" w:rsidRDefault="00046D05" w:rsidP="00DE79DD">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color w:val="000000" w:themeColor="text1"/>
        </w:rPr>
        <w:t>(Énfasis Añadido)</w:t>
      </w:r>
    </w:p>
    <w:p w:rsidR="004B0F61" w:rsidRDefault="004B0F61" w:rsidP="00DE79DD">
      <w:pPr>
        <w:pBdr>
          <w:top w:val="nil"/>
          <w:left w:val="nil"/>
          <w:bottom w:val="nil"/>
          <w:right w:val="nil"/>
          <w:between w:val="nil"/>
        </w:pBdr>
        <w:jc w:val="both"/>
        <w:rPr>
          <w:rFonts w:ascii="Palatino Linotype" w:eastAsia="Palatino Linotype" w:hAnsi="Palatino Linotype" w:cs="Palatino Linotype"/>
          <w:i/>
          <w:color w:val="000000" w:themeColor="text1"/>
        </w:rPr>
      </w:pPr>
    </w:p>
    <w:p w:rsidR="008666B4" w:rsidRPr="00B37267" w:rsidRDefault="008666B4" w:rsidP="00DE79DD">
      <w:pPr>
        <w:pBdr>
          <w:top w:val="nil"/>
          <w:left w:val="nil"/>
          <w:bottom w:val="nil"/>
          <w:right w:val="nil"/>
          <w:between w:val="nil"/>
        </w:pBdr>
        <w:jc w:val="both"/>
        <w:rPr>
          <w:rFonts w:ascii="Palatino Linotype" w:eastAsia="Palatino Linotype" w:hAnsi="Palatino Linotype" w:cs="Palatino Linotype"/>
          <w:i/>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Además es importante señalar que el artículo 18 de la Ley en la materia los Sujetos Obligados cuentan con la obligación de documentar todos los actos que derive de sus atribuciones, funciones y competencia desde que su origen la eventual y reutilización de la información que generen, por lo tanto toda la que sea generada, poseída y administrada,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así como tampoco hay obligatoriedad de presentarla conforme a los interés de los particulares.</w:t>
      </w:r>
    </w:p>
    <w:p w:rsidR="004B0F61" w:rsidRPr="00B37267" w:rsidRDefault="004B0F61" w:rsidP="00DE79D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De la misma forma, de acuerdo al contenido del artículo 160 de la Ley General de Transparencia y Acceso a la Información Pública que a la letra dispone:</w:t>
      </w:r>
    </w:p>
    <w:p w:rsidR="004B0F61" w:rsidRPr="00B37267" w:rsidRDefault="00046D05" w:rsidP="00DE79DD">
      <w:pPr>
        <w:pBdr>
          <w:top w:val="nil"/>
          <w:left w:val="nil"/>
          <w:bottom w:val="nil"/>
          <w:right w:val="nil"/>
          <w:between w:val="nil"/>
        </w:pBdr>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b/>
          <w:i/>
          <w:color w:val="000000" w:themeColor="text1"/>
        </w:rPr>
        <w:lastRenderedPageBreak/>
        <w:t>“Artículo 160</w:t>
      </w:r>
      <w:r w:rsidRPr="00B37267">
        <w:rPr>
          <w:rFonts w:ascii="Palatino Linotype" w:eastAsia="Palatino Linotype" w:hAnsi="Palatino Linotype" w:cs="Palatino Linotype"/>
          <w:i/>
          <w:color w:val="000000" w:themeColor="text1"/>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Finalmente, no pasa desapercibido que si bien el </w:t>
      </w:r>
      <w:r w:rsidRPr="00B37267">
        <w:rPr>
          <w:rFonts w:ascii="Palatino Linotype" w:eastAsia="Palatino Linotype" w:hAnsi="Palatino Linotype" w:cs="Palatino Linotype"/>
          <w:b/>
          <w:color w:val="000000" w:themeColor="text1"/>
        </w:rPr>
        <w:t>SUJETO OBLIGADO</w:t>
      </w:r>
      <w:r w:rsidRPr="00B37267">
        <w:rPr>
          <w:rFonts w:ascii="Palatino Linotype" w:eastAsia="Palatino Linotype" w:hAnsi="Palatino Linotype" w:cs="Palatino Linotype"/>
          <w:color w:val="000000" w:themeColor="text1"/>
        </w:rPr>
        <w:t>, tiene la obligación o deber de proporcionar la información pública que obren en su poder conforme el estado que se encuentra como lo establece el artículo 12 de la Ley de Transparencia y Acceso a la Información Pública del Estado de México y Municipios, el cual a la letra dice:</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t>“</w:t>
      </w:r>
      <w:r w:rsidRPr="00B37267">
        <w:rPr>
          <w:rFonts w:ascii="Palatino Linotype" w:eastAsia="Palatino Linotype" w:hAnsi="Palatino Linotype" w:cs="Palatino Linotype"/>
          <w:b/>
          <w:i/>
          <w:color w:val="000000" w:themeColor="text1"/>
        </w:rPr>
        <w:t>Artículo12.-</w:t>
      </w:r>
      <w:r w:rsidRPr="00B37267">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B37267">
        <w:rPr>
          <w:rFonts w:ascii="Palatino Linotype" w:eastAsia="Palatino Linotype" w:hAnsi="Palatino Linotype" w:cs="Palatino Linotype"/>
          <w:i/>
          <w:color w:val="000000" w:themeColor="text1"/>
        </w:rPr>
        <w:t xml:space="preserve">. </w:t>
      </w:r>
      <w:r w:rsidRPr="00B37267">
        <w:rPr>
          <w:rFonts w:ascii="Palatino Linotype" w:eastAsia="Palatino Linotype" w:hAnsi="Palatino Linotype" w:cs="Palatino Linotype"/>
          <w:b/>
          <w:i/>
          <w:color w:val="000000" w:themeColor="text1"/>
        </w:rPr>
        <w:t xml:space="preserve">La obligación de proporcionar información no comprende el procesamiento de la misma, ni el presentarla conforme al interés del solicitante; no estarán obligados a generarla, resumirla, efectuar cálculos o practicar investigaciones.” </w:t>
      </w:r>
    </w:p>
    <w:p w:rsidR="004B0F61" w:rsidRPr="00B37267" w:rsidRDefault="004B0F61" w:rsidP="00DE79DD">
      <w:pP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Sirve de apoyo a lo anterior, el criterio 03-17, expuesto por el Instituto Nacional de Transparencia, Acceso a la Información y Protección de Datos Personales, que dice:</w:t>
      </w:r>
    </w:p>
    <w:p w:rsidR="004B0F61" w:rsidRPr="00B37267" w:rsidRDefault="00046D05" w:rsidP="008666B4">
      <w:pPr>
        <w:spacing w:line="360" w:lineRule="auto"/>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i/>
          <w:color w:val="000000" w:themeColor="text1"/>
        </w:rPr>
        <w:t>“</w:t>
      </w:r>
      <w:r w:rsidRPr="00B37267">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B37267">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Palatino Linotype" w:hAnsi="Palatino Linotype" w:cs="Palatino Linotype"/>
          <w:i/>
          <w:color w:val="000000" w:themeColor="text1"/>
        </w:rPr>
        <w:lastRenderedPageBreak/>
        <w:t xml:space="preserve">Resoluciones: </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Symbol" w:hAnsi="Palatino Linotype" w:cs="Symbol"/>
          <w:i/>
          <w:color w:val="000000" w:themeColor="text1"/>
        </w:rPr>
        <w:t>∙</w:t>
      </w:r>
      <w:r w:rsidRPr="00B37267">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Symbol" w:hAnsi="Palatino Linotype" w:cs="Symbol"/>
          <w:i/>
          <w:color w:val="000000" w:themeColor="text1"/>
        </w:rPr>
        <w:t>∙</w:t>
      </w:r>
      <w:r w:rsidRPr="00B37267">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4B0F61" w:rsidRPr="00B37267" w:rsidRDefault="00046D05" w:rsidP="00DE79DD">
      <w:pPr>
        <w:jc w:val="both"/>
        <w:rPr>
          <w:rFonts w:ascii="Palatino Linotype" w:eastAsia="Palatino Linotype" w:hAnsi="Palatino Linotype" w:cs="Palatino Linotype"/>
          <w:i/>
          <w:color w:val="000000" w:themeColor="text1"/>
        </w:rPr>
      </w:pPr>
      <w:r w:rsidRPr="00B37267">
        <w:rPr>
          <w:rFonts w:ascii="Palatino Linotype" w:eastAsia="Symbol" w:hAnsi="Palatino Linotype" w:cs="Symbol"/>
          <w:i/>
          <w:color w:val="000000" w:themeColor="text1"/>
        </w:rPr>
        <w:t>∙</w:t>
      </w:r>
      <w:r w:rsidRPr="00B37267">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4B0F61" w:rsidRPr="00B37267" w:rsidRDefault="004B0F61" w:rsidP="00DE79DD">
      <w:pP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B37267">
        <w:rPr>
          <w:rFonts w:ascii="Palatino Linotype" w:eastAsia="Palatino Linotype" w:hAnsi="Palatino Linotype" w:cs="Palatino Linotype"/>
          <w:color w:val="000000" w:themeColor="text1"/>
        </w:rPr>
        <w:t>Sin embargo, la Ley de Transparencia no constriñe a los Sujetos Obligado para que no den cumplimiento a las solicitudes de acceso a la información a través estos documentos, por lo que se puede dar cumplimento al derecho de acceso a la información pública con documentos, que cumpla con lo ordenado.</w:t>
      </w:r>
      <w:r w:rsidRPr="00B37267">
        <w:rPr>
          <w:rFonts w:ascii="Palatino Linotype" w:eastAsia="Palatino Linotype" w:hAnsi="Palatino Linotype" w:cs="Palatino Linotype"/>
          <w:b/>
          <w:color w:val="000000" w:themeColor="text1"/>
          <w:u w:val="single"/>
        </w:rPr>
        <w:t xml:space="preserve"> </w:t>
      </w:r>
    </w:p>
    <w:p w:rsidR="004B0F61" w:rsidRPr="00B37267"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Por lo anteriormente señalado, se advierte que el </w:t>
      </w:r>
      <w:r w:rsidRPr="00B37267">
        <w:rPr>
          <w:rFonts w:ascii="Palatino Linotype" w:eastAsia="Palatino Linotype" w:hAnsi="Palatino Linotype" w:cs="Palatino Linotype"/>
          <w:b/>
          <w:color w:val="000000" w:themeColor="text1"/>
        </w:rPr>
        <w:t>SUJETO OBLIGADO</w:t>
      </w:r>
      <w:r w:rsidRPr="00B37267">
        <w:rPr>
          <w:rFonts w:ascii="Palatino Linotype" w:eastAsia="Palatino Linotype" w:hAnsi="Palatino Linotype" w:cs="Palatino Linotype"/>
          <w:color w:val="000000" w:themeColor="text1"/>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B37267">
        <w:rPr>
          <w:rFonts w:ascii="Palatino Linotype" w:eastAsia="Palatino Linotype" w:hAnsi="Palatino Linotype" w:cs="Palatino Linotype"/>
          <w:b/>
          <w:color w:val="000000" w:themeColor="text1"/>
        </w:rPr>
        <w:t>RECURRENTE</w:t>
      </w:r>
      <w:r w:rsidRPr="00B37267">
        <w:rPr>
          <w:rFonts w:ascii="Palatino Linotype" w:eastAsia="Palatino Linotype" w:hAnsi="Palatino Linotype" w:cs="Palatino Linotype"/>
          <w:color w:val="000000" w:themeColor="text1"/>
        </w:rPr>
        <w:t xml:space="preserve"> dentro del recurso de revisión </w:t>
      </w:r>
      <w:r w:rsidR="00545C75" w:rsidRPr="00B37267">
        <w:rPr>
          <w:rFonts w:ascii="Palatino Linotype" w:eastAsia="Palatino Linotype" w:hAnsi="Palatino Linotype" w:cs="Palatino Linotype"/>
          <w:b/>
          <w:color w:val="000000" w:themeColor="text1"/>
        </w:rPr>
        <w:t>06848</w:t>
      </w:r>
      <w:r w:rsidRPr="00B37267">
        <w:rPr>
          <w:rFonts w:ascii="Palatino Linotype" w:eastAsia="Palatino Linotype" w:hAnsi="Palatino Linotype" w:cs="Palatino Linotype"/>
          <w:b/>
          <w:color w:val="000000" w:themeColor="text1"/>
        </w:rPr>
        <w:t>/INFOEM/IP/RR/2025</w:t>
      </w:r>
      <w:r w:rsidRPr="00B37267">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00545C75" w:rsidRPr="00B37267">
        <w:rPr>
          <w:rFonts w:ascii="Palatino Linotype" w:eastAsia="Palatino Linotype" w:hAnsi="Palatino Linotype" w:cs="Palatino Linotype"/>
          <w:b/>
          <w:color w:val="000000" w:themeColor="text1"/>
        </w:rPr>
        <w:t>MODIFICA</w:t>
      </w:r>
      <w:r w:rsidRPr="00B37267">
        <w:rPr>
          <w:rFonts w:ascii="Palatino Linotype" w:eastAsia="Palatino Linotype" w:hAnsi="Palatino Linotype" w:cs="Palatino Linotype"/>
          <w:color w:val="000000" w:themeColor="text1"/>
        </w:rPr>
        <w:t xml:space="preserve"> la respuesta del Sujeto Obligado. </w:t>
      </w:r>
    </w:p>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B37267">
        <w:rPr>
          <w:rFonts w:ascii="Palatino Linotype" w:eastAsia="Palatino Linotype" w:hAnsi="Palatino Linotype" w:cs="Palatino Linotype"/>
          <w:b/>
          <w:color w:val="000000" w:themeColor="text1"/>
        </w:rPr>
        <w:t>QUINTO. De la versión pública.</w:t>
      </w:r>
    </w:p>
    <w:p w:rsidR="004B0F61" w:rsidRPr="00B37267" w:rsidRDefault="00046D05" w:rsidP="00DE79D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Debe destacarse que, debido a la naturaleza de la información solicitada</w:t>
      </w:r>
      <w:r w:rsidRPr="00B37267">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color w:val="000000" w:themeColor="text1"/>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w:t>
      </w:r>
      <w:r w:rsidRPr="00B37267">
        <w:rPr>
          <w:rFonts w:ascii="Palatino Linotype" w:eastAsia="Palatino Linotype" w:hAnsi="Palatino Linotype" w:cs="Palatino Linotype"/>
          <w:color w:val="000000" w:themeColor="text1"/>
        </w:rPr>
        <w:lastRenderedPageBreak/>
        <w:t>personales aun tratándose de servidores públicos y en su caso generar la versión pública de los documentos por las consideraciones que se estimen pertinentes.</w:t>
      </w:r>
    </w:p>
    <w:p w:rsidR="004B0F61" w:rsidRPr="00B37267" w:rsidRDefault="004B0F61" w:rsidP="00DE79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4B0F61" w:rsidRPr="00B37267" w:rsidRDefault="004B0F61" w:rsidP="00DE79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4"/>
        <w:tblW w:w="977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830"/>
        <w:gridCol w:w="6946"/>
      </w:tblGrid>
      <w:tr w:rsidR="00DE79DD" w:rsidRPr="00B37267" w:rsidTr="008666B4">
        <w:tc>
          <w:tcPr>
            <w:tcW w:w="2830" w:type="dxa"/>
          </w:tcPr>
          <w:p w:rsidR="004B0F61" w:rsidRPr="00B37267" w:rsidRDefault="00046D05" w:rsidP="00DE79DD">
            <w:pPr>
              <w:spacing w:line="360" w:lineRule="auto"/>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a) Requisitos previos.</w:t>
            </w:r>
          </w:p>
        </w:tc>
        <w:tc>
          <w:tcPr>
            <w:tcW w:w="6946" w:type="dxa"/>
          </w:tcPr>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B37267">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B37267">
              <w:rPr>
                <w:rFonts w:ascii="Palatino Linotype" w:eastAsia="Palatino Linotype" w:hAnsi="Palatino Linotype" w:cs="Palatino Linotype"/>
                <w:color w:val="000000" w:themeColor="text1"/>
              </w:rPr>
              <w:t xml:space="preserve">sin individualizar su análisis y tampoco se puede hacer un acuerdo </w:t>
            </w:r>
            <w:r w:rsidRPr="00B37267">
              <w:rPr>
                <w:rFonts w:ascii="Palatino Linotype" w:eastAsia="Palatino Linotype" w:hAnsi="Palatino Linotype" w:cs="Palatino Linotype"/>
                <w:color w:val="000000" w:themeColor="text1"/>
              </w:rPr>
              <w:lastRenderedPageBreak/>
              <w:t>por cada dato que se vaya a clasificar dentro de un documento con diez datos, por ejemplo, susceptibles de ser clasificados.</w:t>
            </w:r>
          </w:p>
        </w:tc>
      </w:tr>
      <w:tr w:rsidR="00DE79DD" w:rsidRPr="00B37267" w:rsidTr="008666B4">
        <w:tc>
          <w:tcPr>
            <w:tcW w:w="2830" w:type="dxa"/>
          </w:tcPr>
          <w:p w:rsidR="004B0F61" w:rsidRPr="00B37267" w:rsidRDefault="00046D05" w:rsidP="00DE79DD">
            <w:pPr>
              <w:spacing w:line="360" w:lineRule="auto"/>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lastRenderedPageBreak/>
              <w:t>b) Supuestos de clasificación.</w:t>
            </w:r>
          </w:p>
        </w:tc>
        <w:tc>
          <w:tcPr>
            <w:tcW w:w="6946" w:type="dxa"/>
          </w:tcPr>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El </w:t>
            </w:r>
            <w:r w:rsidRPr="00B37267">
              <w:rPr>
                <w:rFonts w:ascii="Palatino Linotype" w:eastAsia="Palatino Linotype" w:hAnsi="Palatino Linotype" w:cs="Palatino Linotype"/>
                <w:b/>
                <w:color w:val="000000" w:themeColor="text1"/>
              </w:rPr>
              <w:t>SUJETO OBLIGADO</w:t>
            </w:r>
            <w:r w:rsidRPr="00B3726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E79DD" w:rsidRPr="00B37267" w:rsidTr="008666B4">
        <w:tc>
          <w:tcPr>
            <w:tcW w:w="2830" w:type="dxa"/>
          </w:tcPr>
          <w:p w:rsidR="004B0F61" w:rsidRPr="00B37267" w:rsidRDefault="00046D05" w:rsidP="00DE79DD">
            <w:pPr>
              <w:spacing w:line="360" w:lineRule="auto"/>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c) Formalidades para emitir el acuerdo de clasificación.</w:t>
            </w:r>
          </w:p>
        </w:tc>
        <w:tc>
          <w:tcPr>
            <w:tcW w:w="6946" w:type="dxa"/>
          </w:tcPr>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lastRenderedPageBreak/>
              <w:t xml:space="preserve">Es necesario que </w:t>
            </w:r>
            <w:r w:rsidRPr="00B37267">
              <w:rPr>
                <w:rFonts w:ascii="Palatino Linotype" w:eastAsia="Palatino Linotype" w:hAnsi="Palatino Linotype" w:cs="Palatino Linotype"/>
                <w:b/>
                <w:color w:val="000000" w:themeColor="text1"/>
                <w:u w:val="single"/>
              </w:rPr>
              <w:t>el acto reúna con los requisitos elementales</w:t>
            </w:r>
            <w:r w:rsidRPr="00B37267">
              <w:rPr>
                <w:rFonts w:ascii="Palatino Linotype" w:eastAsia="Palatino Linotype" w:hAnsi="Palatino Linotype" w:cs="Palatino Linotype"/>
                <w:color w:val="000000" w:themeColor="text1"/>
              </w:rPr>
              <w:t>, entre ellos, que la autoridad que va a emitir el acto de autoridad sea la legalmente facultada para ello.</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E79DD" w:rsidRPr="00B37267" w:rsidTr="008666B4">
        <w:tc>
          <w:tcPr>
            <w:tcW w:w="2830" w:type="dxa"/>
          </w:tcPr>
          <w:p w:rsidR="004B0F61" w:rsidRPr="00B37267" w:rsidRDefault="004B0F61" w:rsidP="00DE79DD">
            <w:pPr>
              <w:spacing w:line="360" w:lineRule="auto"/>
              <w:rPr>
                <w:rFonts w:ascii="Palatino Linotype" w:eastAsia="Palatino Linotype" w:hAnsi="Palatino Linotype" w:cs="Palatino Linotype"/>
                <w:color w:val="000000" w:themeColor="text1"/>
              </w:rPr>
            </w:pP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d) Requisitos de fondo del acuerdo de clasificación. </w:t>
            </w:r>
          </w:p>
        </w:tc>
        <w:tc>
          <w:tcPr>
            <w:tcW w:w="6946" w:type="dxa"/>
          </w:tcPr>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37267">
              <w:rPr>
                <w:rFonts w:ascii="Palatino Linotype" w:eastAsia="Palatino Linotype" w:hAnsi="Palatino Linotype" w:cs="Palatino Linotype"/>
                <w:b/>
                <w:color w:val="000000" w:themeColor="text1"/>
              </w:rPr>
              <w:t>Sujetos Obligados</w:t>
            </w:r>
            <w:r w:rsidRPr="00B37267">
              <w:rPr>
                <w:rFonts w:ascii="Palatino Linotype" w:eastAsia="Palatino Linotype" w:hAnsi="Palatino Linotype" w:cs="Palatino Linotype"/>
                <w:color w:val="000000" w:themeColor="text1"/>
              </w:rPr>
              <w:t xml:space="preserve">, por lo que deberán fundar y motivar debidamente la clasificación. </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De lo anterior, se desprende que para una correcta </w:t>
            </w:r>
            <w:r w:rsidRPr="00B37267">
              <w:rPr>
                <w:rFonts w:ascii="Palatino Linotype" w:eastAsia="Palatino Linotype" w:hAnsi="Palatino Linotype" w:cs="Palatino Linotype"/>
                <w:b/>
                <w:color w:val="000000" w:themeColor="text1"/>
              </w:rPr>
              <w:t>clasificación total o parcial</w:t>
            </w:r>
            <w:r w:rsidRPr="00B37267">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w:t>
            </w:r>
            <w:r w:rsidRPr="00B37267">
              <w:rPr>
                <w:rFonts w:ascii="Palatino Linotype" w:eastAsia="Palatino Linotype" w:hAnsi="Palatino Linotype" w:cs="Palatino Linotype"/>
                <w:color w:val="000000" w:themeColor="text1"/>
              </w:rPr>
              <w:lastRenderedPageBreak/>
              <w:t>autoridad pronuncie en el ejercicio de sus atribuciones, debe expresar los fundamentos legales que le dieron origen y las razones por las que se deben aplicar al caso concreto.</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Ahora bien, </w:t>
            </w:r>
            <w:r w:rsidRPr="00B37267">
              <w:rPr>
                <w:rFonts w:ascii="Palatino Linotype" w:eastAsia="Palatino Linotype" w:hAnsi="Palatino Linotype" w:cs="Palatino Linotype"/>
                <w:b/>
                <w:color w:val="000000" w:themeColor="text1"/>
                <w:u w:val="single"/>
              </w:rPr>
              <w:t>para cada caso además de fundar y motivar</w:t>
            </w:r>
            <w:r w:rsidRPr="00B37267">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B0F61" w:rsidRPr="00B37267" w:rsidTr="008666B4">
        <w:tc>
          <w:tcPr>
            <w:tcW w:w="2830" w:type="dxa"/>
          </w:tcPr>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4B0F61" w:rsidRPr="00B37267" w:rsidRDefault="004B0F61" w:rsidP="00DE79DD">
            <w:pPr>
              <w:spacing w:line="360" w:lineRule="auto"/>
              <w:rPr>
                <w:rFonts w:ascii="Palatino Linotype" w:eastAsia="Palatino Linotype" w:hAnsi="Palatino Linotype" w:cs="Palatino Linotype"/>
                <w:color w:val="000000" w:themeColor="text1"/>
              </w:rPr>
            </w:pPr>
          </w:p>
        </w:tc>
        <w:tc>
          <w:tcPr>
            <w:tcW w:w="6946" w:type="dxa"/>
          </w:tcPr>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B0F61" w:rsidRPr="00B37267" w:rsidRDefault="00046D05" w:rsidP="00DE79DD">
            <w:pPr>
              <w:spacing w:line="360" w:lineRule="auto"/>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B0F61" w:rsidRPr="00B37267" w:rsidRDefault="004B0F61" w:rsidP="00DE79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B0F61" w:rsidRPr="00B37267" w:rsidRDefault="004B0F61" w:rsidP="00DE79DD">
      <w:pPr>
        <w:pBdr>
          <w:top w:val="nil"/>
          <w:left w:val="nil"/>
          <w:bottom w:val="nil"/>
          <w:right w:val="nil"/>
          <w:between w:val="nil"/>
        </w:pBdr>
        <w:rPr>
          <w:rFonts w:ascii="Palatino Linotype" w:eastAsia="Palatino Linotype" w:hAnsi="Palatino Linotype" w:cs="Palatino Linotype"/>
          <w:color w:val="000000" w:themeColor="text1"/>
        </w:rPr>
      </w:pPr>
    </w:p>
    <w:p w:rsidR="004B0F61" w:rsidRPr="00B37267" w:rsidRDefault="00046D05" w:rsidP="00DE79DD">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 xml:space="preserve">Por lo anteriormente expuesto y fundado, este </w:t>
      </w:r>
      <w:r w:rsidRPr="00B37267">
        <w:rPr>
          <w:rFonts w:ascii="Palatino Linotype" w:eastAsia="Palatino Linotype" w:hAnsi="Palatino Linotype" w:cs="Palatino Linotype"/>
          <w:b/>
          <w:color w:val="000000" w:themeColor="text1"/>
        </w:rPr>
        <w:t>ÓRGANO GARANTE</w:t>
      </w:r>
      <w:r w:rsidRPr="00B37267">
        <w:rPr>
          <w:rFonts w:ascii="Palatino Linotype" w:eastAsia="Palatino Linotype" w:hAnsi="Palatino Linotype" w:cs="Palatino Linotype"/>
          <w:color w:val="000000" w:themeColor="text1"/>
        </w:rPr>
        <w:t xml:space="preserve"> emite los siguientes:</w:t>
      </w:r>
      <w:r w:rsidR="008666B4">
        <w:rPr>
          <w:rFonts w:ascii="Palatino Linotype" w:eastAsia="Palatino Linotype" w:hAnsi="Palatino Linotype" w:cs="Palatino Linotype"/>
          <w:color w:val="000000" w:themeColor="text1"/>
        </w:rPr>
        <w:t xml:space="preserve"> -----------------------------------------------------------------------------------------------------------</w:t>
      </w:r>
    </w:p>
    <w:p w:rsidR="004B0F61" w:rsidRPr="00B37267" w:rsidRDefault="00046D05" w:rsidP="00DE79DD">
      <w:pPr>
        <w:keepNext/>
        <w:keepLines/>
        <w:spacing w:line="360" w:lineRule="auto"/>
        <w:jc w:val="center"/>
        <w:rPr>
          <w:rFonts w:ascii="Palatino Linotype" w:eastAsia="Palatino Linotype" w:hAnsi="Palatino Linotype" w:cs="Palatino Linotype"/>
          <w:b/>
          <w:color w:val="000000" w:themeColor="text1"/>
        </w:rPr>
      </w:pPr>
      <w:bookmarkStart w:id="8" w:name="_heading=h.vo3x1xfmc9eq" w:colFirst="0" w:colLast="0"/>
      <w:bookmarkEnd w:id="8"/>
      <w:r w:rsidRPr="00B37267">
        <w:rPr>
          <w:rFonts w:ascii="Palatino Linotype" w:eastAsia="Palatino Linotype" w:hAnsi="Palatino Linotype" w:cs="Palatino Linotype"/>
          <w:b/>
          <w:color w:val="000000" w:themeColor="text1"/>
        </w:rPr>
        <w:lastRenderedPageBreak/>
        <w:t>R E S O L U T I V O S</w:t>
      </w:r>
    </w:p>
    <w:p w:rsidR="004B0F61" w:rsidRPr="00B37267" w:rsidRDefault="004B0F61" w:rsidP="00DE79DD">
      <w:pPr>
        <w:keepNext/>
        <w:keepLines/>
        <w:spacing w:line="360" w:lineRule="auto"/>
        <w:jc w:val="center"/>
        <w:rPr>
          <w:rFonts w:ascii="Palatino Linotype" w:eastAsia="Palatino Linotype" w:hAnsi="Palatino Linotype" w:cs="Palatino Linotype"/>
          <w:b/>
          <w:color w:val="000000" w:themeColor="text1"/>
        </w:rPr>
      </w:pP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b/>
          <w:color w:val="000000" w:themeColor="text1"/>
        </w:rPr>
        <w:t xml:space="preserve">PRIMERO. </w:t>
      </w:r>
      <w:r w:rsidRPr="00B37267">
        <w:rPr>
          <w:rFonts w:ascii="Palatino Linotype" w:eastAsia="Palatino Linotype" w:hAnsi="Palatino Linotype" w:cs="Palatino Linotype"/>
          <w:color w:val="000000" w:themeColor="text1"/>
        </w:rPr>
        <w:t>Resultan fundadas las</w:t>
      </w:r>
      <w:r w:rsidRPr="00B37267">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color w:val="000000" w:themeColor="text1"/>
        </w:rPr>
        <w:t xml:space="preserve">razones o motivos de inconformidad hechos valer en el recurso de revisión </w:t>
      </w:r>
      <w:r w:rsidR="00545C75" w:rsidRPr="00B37267">
        <w:rPr>
          <w:rFonts w:ascii="Palatino Linotype" w:eastAsia="Palatino Linotype" w:hAnsi="Palatino Linotype" w:cs="Palatino Linotype"/>
          <w:b/>
          <w:color w:val="000000" w:themeColor="text1"/>
        </w:rPr>
        <w:t>06848</w:t>
      </w:r>
      <w:r w:rsidRPr="00B37267">
        <w:rPr>
          <w:rFonts w:ascii="Palatino Linotype" w:eastAsia="Palatino Linotype" w:hAnsi="Palatino Linotype" w:cs="Palatino Linotype"/>
          <w:b/>
          <w:color w:val="000000" w:themeColor="text1"/>
        </w:rPr>
        <w:t xml:space="preserve">/INFOEM/IP/RR/2025, </w:t>
      </w:r>
      <w:r w:rsidRPr="00B37267">
        <w:rPr>
          <w:rFonts w:ascii="Palatino Linotype" w:eastAsia="Palatino Linotype" w:hAnsi="Palatino Linotype" w:cs="Palatino Linotype"/>
          <w:color w:val="000000" w:themeColor="text1"/>
        </w:rPr>
        <w:t xml:space="preserve">en términos del </w:t>
      </w:r>
      <w:r w:rsidRPr="00B37267">
        <w:rPr>
          <w:rFonts w:ascii="Palatino Linotype" w:eastAsia="Palatino Linotype" w:hAnsi="Palatino Linotype" w:cs="Palatino Linotype"/>
          <w:b/>
          <w:color w:val="000000" w:themeColor="text1"/>
        </w:rPr>
        <w:t>Considerando</w:t>
      </w:r>
      <w:r w:rsidRPr="00B37267">
        <w:rPr>
          <w:rFonts w:ascii="Palatino Linotype" w:eastAsia="Palatino Linotype" w:hAnsi="Palatino Linotype" w:cs="Palatino Linotype"/>
          <w:color w:val="000000" w:themeColor="text1"/>
        </w:rPr>
        <w:t xml:space="preserve"> </w:t>
      </w:r>
      <w:r w:rsidRPr="00B37267">
        <w:rPr>
          <w:rFonts w:ascii="Palatino Linotype" w:eastAsia="Palatino Linotype" w:hAnsi="Palatino Linotype" w:cs="Palatino Linotype"/>
          <w:b/>
          <w:color w:val="000000" w:themeColor="text1"/>
        </w:rPr>
        <w:t xml:space="preserve">CUARTO y QUINTO </w:t>
      </w:r>
      <w:r w:rsidRPr="00B37267">
        <w:rPr>
          <w:rFonts w:ascii="Palatino Linotype" w:eastAsia="Palatino Linotype" w:hAnsi="Palatino Linotype" w:cs="Palatino Linotype"/>
          <w:color w:val="000000" w:themeColor="text1"/>
        </w:rPr>
        <w:t>de la presente resolución.</w:t>
      </w:r>
    </w:p>
    <w:p w:rsidR="004B0F61" w:rsidRPr="00B37267" w:rsidRDefault="004B0F61" w:rsidP="00DE79DD">
      <w:pP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bookmarkStart w:id="9" w:name="_heading=h.pg3wvnjh5792" w:colFirst="0" w:colLast="0"/>
      <w:bookmarkEnd w:id="9"/>
      <w:r w:rsidRPr="00B37267">
        <w:rPr>
          <w:rFonts w:ascii="Palatino Linotype" w:eastAsia="Palatino Linotype" w:hAnsi="Palatino Linotype" w:cs="Palatino Linotype"/>
          <w:b/>
          <w:color w:val="000000" w:themeColor="text1"/>
        </w:rPr>
        <w:t>SEGUNDO.</w:t>
      </w:r>
      <w:r w:rsidRPr="00B37267">
        <w:rPr>
          <w:rFonts w:ascii="Palatino Linotype" w:eastAsia="Palatino Linotype" w:hAnsi="Palatino Linotype" w:cs="Palatino Linotype"/>
          <w:color w:val="000000" w:themeColor="text1"/>
        </w:rPr>
        <w:t xml:space="preserve"> Se</w:t>
      </w:r>
      <w:r w:rsidRPr="00B37267">
        <w:rPr>
          <w:rFonts w:ascii="Palatino Linotype" w:eastAsia="Palatino Linotype" w:hAnsi="Palatino Linotype" w:cs="Palatino Linotype"/>
          <w:b/>
          <w:color w:val="000000" w:themeColor="text1"/>
        </w:rPr>
        <w:t xml:space="preserve"> </w:t>
      </w:r>
      <w:r w:rsidR="00545C75" w:rsidRPr="00B37267">
        <w:rPr>
          <w:rFonts w:ascii="Palatino Linotype" w:eastAsia="Palatino Linotype" w:hAnsi="Palatino Linotype" w:cs="Palatino Linotype"/>
          <w:b/>
          <w:color w:val="000000" w:themeColor="text1"/>
        </w:rPr>
        <w:t>MODIFICA</w:t>
      </w:r>
      <w:r w:rsidRPr="00B37267">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color w:val="000000" w:themeColor="text1"/>
        </w:rPr>
        <w:t xml:space="preserve">la respuesta emitida por el </w:t>
      </w:r>
      <w:r w:rsidRPr="00B37267">
        <w:rPr>
          <w:rFonts w:ascii="Palatino Linotype" w:eastAsia="Palatino Linotype" w:hAnsi="Palatino Linotype" w:cs="Palatino Linotype"/>
          <w:b/>
          <w:color w:val="000000" w:themeColor="text1"/>
        </w:rPr>
        <w:t xml:space="preserve">Ayuntamiento de </w:t>
      </w:r>
      <w:r w:rsidR="00545C75" w:rsidRPr="00B37267">
        <w:rPr>
          <w:rFonts w:ascii="Palatino Linotype" w:eastAsia="Palatino Linotype" w:hAnsi="Palatino Linotype" w:cs="Palatino Linotype"/>
          <w:b/>
          <w:color w:val="000000" w:themeColor="text1"/>
        </w:rPr>
        <w:t>Toluca</w:t>
      </w:r>
      <w:r w:rsidRPr="00B37267">
        <w:rPr>
          <w:rFonts w:ascii="Palatino Linotype" w:eastAsia="Palatino Linotype" w:hAnsi="Palatino Linotype" w:cs="Palatino Linotype"/>
          <w:b/>
          <w:color w:val="000000" w:themeColor="text1"/>
        </w:rPr>
        <w:t xml:space="preserve"> </w:t>
      </w:r>
      <w:r w:rsidRPr="00B37267">
        <w:rPr>
          <w:rFonts w:ascii="Palatino Linotype" w:eastAsia="Palatino Linotype" w:hAnsi="Palatino Linotype" w:cs="Palatino Linotype"/>
          <w:color w:val="000000" w:themeColor="text1"/>
        </w:rPr>
        <w:t>y se</w:t>
      </w:r>
      <w:r w:rsidRPr="00B37267">
        <w:rPr>
          <w:rFonts w:ascii="Palatino Linotype" w:eastAsia="Palatino Linotype" w:hAnsi="Palatino Linotype" w:cs="Palatino Linotype"/>
          <w:b/>
          <w:color w:val="000000" w:themeColor="text1"/>
        </w:rPr>
        <w:t xml:space="preserve"> ORDENA </w:t>
      </w:r>
      <w:r w:rsidRPr="00B37267">
        <w:rPr>
          <w:rFonts w:ascii="Palatino Linotype" w:eastAsia="Palatino Linotype" w:hAnsi="Palatino Linotype" w:cs="Palatino Linotype"/>
          <w:color w:val="000000" w:themeColor="text1"/>
        </w:rPr>
        <w:t xml:space="preserve">entregar vía Sistema de Accesos a la Información Mexiquense (SAIMEX), </w:t>
      </w:r>
      <w:r w:rsidRPr="00B37267">
        <w:rPr>
          <w:rFonts w:ascii="Palatino Linotype" w:eastAsia="Palatino Linotype" w:hAnsi="Palatino Linotype" w:cs="Palatino Linotype"/>
          <w:b/>
          <w:color w:val="000000" w:themeColor="text1"/>
        </w:rPr>
        <w:t>en versión pública</w:t>
      </w:r>
      <w:r w:rsidRPr="00B37267">
        <w:rPr>
          <w:rFonts w:ascii="Palatino Linotype" w:eastAsia="Palatino Linotype" w:hAnsi="Palatino Linotype" w:cs="Palatino Linotype"/>
          <w:color w:val="000000" w:themeColor="text1"/>
        </w:rPr>
        <w:t>, la siguiente información:</w:t>
      </w:r>
    </w:p>
    <w:p w:rsidR="004B0F61" w:rsidRPr="00B37267" w:rsidRDefault="004B0F61" w:rsidP="00DE79DD">
      <w:pPr>
        <w:spacing w:line="360" w:lineRule="auto"/>
        <w:jc w:val="both"/>
        <w:rPr>
          <w:rFonts w:ascii="Palatino Linotype" w:eastAsia="Palatino Linotype" w:hAnsi="Palatino Linotype" w:cs="Palatino Linotype"/>
          <w:color w:val="000000" w:themeColor="text1"/>
        </w:rPr>
      </w:pPr>
    </w:p>
    <w:p w:rsidR="004B0F61" w:rsidRPr="00B37267" w:rsidRDefault="00046D05" w:rsidP="008666B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37267">
        <w:rPr>
          <w:rFonts w:ascii="Palatino Linotype" w:eastAsia="Palatino Linotype" w:hAnsi="Palatino Linotype" w:cs="Palatino Linotype"/>
          <w:b/>
          <w:color w:val="000000" w:themeColor="text1"/>
        </w:rPr>
        <w:t>Documento</w:t>
      </w:r>
      <w:r w:rsidR="00545C75" w:rsidRPr="00B37267">
        <w:rPr>
          <w:rFonts w:ascii="Palatino Linotype" w:eastAsia="Palatino Linotype" w:hAnsi="Palatino Linotype" w:cs="Palatino Linotype"/>
          <w:b/>
          <w:color w:val="000000" w:themeColor="text1"/>
        </w:rPr>
        <w:t>s</w:t>
      </w:r>
      <w:r w:rsidRPr="00B37267">
        <w:rPr>
          <w:rFonts w:ascii="Palatino Linotype" w:eastAsia="Palatino Linotype" w:hAnsi="Palatino Linotype" w:cs="Palatino Linotype"/>
          <w:b/>
          <w:color w:val="000000" w:themeColor="text1"/>
        </w:rPr>
        <w:t xml:space="preserve"> donde conste</w:t>
      </w:r>
      <w:r w:rsidR="00545C75" w:rsidRPr="00B37267">
        <w:rPr>
          <w:rFonts w:ascii="Palatino Linotype" w:eastAsia="Palatino Linotype" w:hAnsi="Palatino Linotype" w:cs="Palatino Linotype"/>
          <w:b/>
          <w:color w:val="000000" w:themeColor="text1"/>
        </w:rPr>
        <w:t>n</w:t>
      </w:r>
      <w:r w:rsidRPr="00B37267">
        <w:rPr>
          <w:rFonts w:ascii="Palatino Linotype" w:eastAsia="Palatino Linotype" w:hAnsi="Palatino Linotype" w:cs="Palatino Linotype"/>
          <w:b/>
          <w:color w:val="000000" w:themeColor="text1"/>
        </w:rPr>
        <w:t xml:space="preserve"> </w:t>
      </w:r>
      <w:r w:rsidR="00545C75" w:rsidRPr="00B37267">
        <w:rPr>
          <w:rFonts w:ascii="Palatino Linotype" w:eastAsia="Palatino Linotype" w:hAnsi="Palatino Linotype" w:cs="Palatino Linotype"/>
          <w:b/>
          <w:color w:val="000000" w:themeColor="text1"/>
        </w:rPr>
        <w:t>las renuncias y bajas referidas en respuesta.</w:t>
      </w:r>
    </w:p>
    <w:p w:rsidR="00545C75" w:rsidRPr="00B37267" w:rsidRDefault="00545C75" w:rsidP="00DE79D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4B0F61" w:rsidRPr="00B37267" w:rsidRDefault="004B0F61" w:rsidP="00DE79DD">
      <w:pPr>
        <w:tabs>
          <w:tab w:val="left" w:pos="8080"/>
        </w:tabs>
        <w:spacing w:line="360" w:lineRule="auto"/>
        <w:jc w:val="both"/>
        <w:rPr>
          <w:rFonts w:ascii="Palatino Linotype" w:eastAsia="Palatino Linotype" w:hAnsi="Palatino Linotype" w:cs="Palatino Linotype"/>
          <w:b/>
          <w:color w:val="000000" w:themeColor="text1"/>
        </w:rPr>
      </w:pPr>
    </w:p>
    <w:p w:rsidR="004B0F61" w:rsidRPr="00B37267" w:rsidRDefault="00046D05" w:rsidP="00DE79DD">
      <w:pPr>
        <w:tabs>
          <w:tab w:val="left" w:pos="8080"/>
        </w:tabs>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b/>
          <w:color w:val="000000" w:themeColor="text1"/>
        </w:rPr>
        <w:t xml:space="preserve">TERCERO. Notifíquese </w:t>
      </w:r>
      <w:r w:rsidRPr="00B37267">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B37267">
        <w:rPr>
          <w:rFonts w:ascii="Palatino Linotype" w:eastAsia="Palatino Linotype" w:hAnsi="Palatino Linotype" w:cs="Palatino Linotype"/>
          <w:b/>
          <w:color w:val="000000" w:themeColor="text1"/>
        </w:rPr>
        <w:t>dé cumplimiento a lo ordenado dentro del plazo de diez días hábiles</w:t>
      </w:r>
      <w:r w:rsidRPr="00B3726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w:t>
      </w:r>
      <w:r w:rsidRPr="00B37267">
        <w:rPr>
          <w:rFonts w:ascii="Palatino Linotype" w:eastAsia="Palatino Linotype" w:hAnsi="Palatino Linotype" w:cs="Palatino Linotype"/>
          <w:color w:val="000000" w:themeColor="text1"/>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B0F61" w:rsidRPr="00B37267" w:rsidRDefault="004B0F61" w:rsidP="00DE79DD">
      <w:pPr>
        <w:tabs>
          <w:tab w:val="left" w:pos="8080"/>
        </w:tabs>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shd w:val="clear" w:color="auto" w:fill="FFFFFF"/>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b/>
          <w:color w:val="000000" w:themeColor="text1"/>
        </w:rPr>
        <w:t>CUARTO. Notifíquese al RECURRENTE</w:t>
      </w:r>
      <w:r w:rsidRPr="00B37267">
        <w:rPr>
          <w:rFonts w:ascii="Palatino Linotype" w:eastAsia="Palatino Linotype" w:hAnsi="Palatino Linotype" w:cs="Palatino Linotype"/>
          <w:color w:val="000000" w:themeColor="text1"/>
        </w:rPr>
        <w:t xml:space="preserve"> la presente resolución vía SAIMEX.</w:t>
      </w:r>
    </w:p>
    <w:p w:rsidR="004B0F61" w:rsidRPr="00B37267" w:rsidRDefault="004B0F61" w:rsidP="00DE79DD">
      <w:pPr>
        <w:shd w:val="clear" w:color="auto" w:fill="FFFFFF"/>
        <w:spacing w:line="360" w:lineRule="auto"/>
        <w:jc w:val="both"/>
        <w:rPr>
          <w:rFonts w:ascii="Palatino Linotype" w:eastAsia="Palatino Linotype" w:hAnsi="Palatino Linotype" w:cs="Palatino Linotype"/>
          <w:b/>
          <w:color w:val="000000" w:themeColor="text1"/>
        </w:rPr>
      </w:pP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b/>
          <w:color w:val="000000" w:themeColor="text1"/>
        </w:rPr>
        <w:t>QUINTO.</w:t>
      </w:r>
      <w:r w:rsidRPr="00B37267">
        <w:rPr>
          <w:rFonts w:ascii="Palatino Linotype" w:eastAsia="Palatino Linotype" w:hAnsi="Palatino Linotype" w:cs="Palatino Linotype"/>
          <w:color w:val="000000" w:themeColor="text1"/>
        </w:rPr>
        <w:t xml:space="preserve"> Se hace del conocimiento del </w:t>
      </w:r>
      <w:r w:rsidRPr="00B37267">
        <w:rPr>
          <w:rFonts w:ascii="Palatino Linotype" w:eastAsia="Palatino Linotype" w:hAnsi="Palatino Linotype" w:cs="Palatino Linotype"/>
          <w:b/>
          <w:color w:val="000000" w:themeColor="text1"/>
        </w:rPr>
        <w:t>RECURRENTE</w:t>
      </w:r>
      <w:r w:rsidRPr="00B3726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B0F61" w:rsidRPr="00B37267" w:rsidRDefault="004B0F61" w:rsidP="00DE79DD">
      <w:pPr>
        <w:spacing w:line="360" w:lineRule="auto"/>
        <w:jc w:val="both"/>
        <w:rPr>
          <w:rFonts w:ascii="Palatino Linotype" w:eastAsia="Palatino Linotype" w:hAnsi="Palatino Linotype" w:cs="Palatino Linotype"/>
          <w:color w:val="000000" w:themeColor="text1"/>
        </w:rPr>
      </w:pPr>
    </w:p>
    <w:p w:rsidR="004B0F61" w:rsidRPr="00B37267" w:rsidRDefault="00046D05" w:rsidP="00DE79DD">
      <w:pPr>
        <w:spacing w:line="360" w:lineRule="auto"/>
        <w:jc w:val="both"/>
        <w:rPr>
          <w:rFonts w:ascii="Palatino Linotype" w:eastAsia="Palatino Linotype" w:hAnsi="Palatino Linotype" w:cs="Palatino Linotype"/>
          <w:color w:val="000000" w:themeColor="text1"/>
        </w:rPr>
      </w:pPr>
      <w:r w:rsidRPr="00B37267">
        <w:rPr>
          <w:rFonts w:ascii="Palatino Linotype" w:eastAsia="Palatino Linotype" w:hAnsi="Palatino Linotype" w:cs="Palatino Linotype"/>
          <w:b/>
          <w:color w:val="000000" w:themeColor="text1"/>
        </w:rPr>
        <w:t xml:space="preserve">SEXTO. </w:t>
      </w:r>
      <w:r w:rsidRPr="00B37267">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B0F61" w:rsidRPr="00B37267" w:rsidRDefault="004B0F61" w:rsidP="00DE79DD">
      <w:pPr>
        <w:shd w:val="clear" w:color="auto" w:fill="FFFFFF"/>
        <w:spacing w:line="360" w:lineRule="auto"/>
        <w:jc w:val="both"/>
        <w:rPr>
          <w:rFonts w:ascii="Palatino Linotype" w:eastAsia="Palatino Linotype" w:hAnsi="Palatino Linotype" w:cs="Palatino Linotype"/>
          <w:color w:val="000000" w:themeColor="text1"/>
        </w:rPr>
      </w:pPr>
    </w:p>
    <w:p w:rsidR="007B18B1" w:rsidRPr="009B0452" w:rsidRDefault="00B37267" w:rsidP="007B18B1">
      <w:pPr>
        <w:spacing w:line="360" w:lineRule="auto"/>
        <w:ind w:right="49"/>
        <w:jc w:val="both"/>
        <w:rPr>
          <w:rFonts w:ascii="Palatino Linotype" w:eastAsia="Palatino Linotype" w:hAnsi="Palatino Linotype" w:cs="Palatino Linotype"/>
        </w:rPr>
      </w:pPr>
      <w:r w:rsidRPr="00B3726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7B18B1" w:rsidRPr="00B37267">
        <w:rPr>
          <w:rFonts w:ascii="Palatino Linotype" w:eastAsia="Palatino Linotype" w:hAnsi="Palatino Linotype" w:cs="Palatino Linotype"/>
        </w:rPr>
        <w:t>.</w:t>
      </w:r>
    </w:p>
    <w:p w:rsidR="004B0F61" w:rsidRPr="00DE79DD" w:rsidRDefault="004B0F61" w:rsidP="00DE79DD">
      <w:pPr>
        <w:spacing w:line="360" w:lineRule="auto"/>
        <w:jc w:val="both"/>
        <w:rPr>
          <w:rFonts w:ascii="Palatino Linotype" w:eastAsia="Palatino Linotype" w:hAnsi="Palatino Linotype" w:cs="Palatino Linotype"/>
          <w:color w:val="000000" w:themeColor="text1"/>
        </w:rPr>
      </w:pPr>
    </w:p>
    <w:p w:rsidR="004B0F61" w:rsidRPr="00DE79DD" w:rsidRDefault="004B0F61" w:rsidP="00DE79DD">
      <w:pPr>
        <w:spacing w:line="360" w:lineRule="auto"/>
        <w:jc w:val="both"/>
        <w:rPr>
          <w:rFonts w:ascii="Palatino Linotype" w:eastAsia="Palatino Linotype" w:hAnsi="Palatino Linotype" w:cs="Palatino Linotype"/>
          <w:color w:val="000000" w:themeColor="text1"/>
        </w:rPr>
      </w:pPr>
    </w:p>
    <w:p w:rsidR="004B0F61" w:rsidRPr="00DE79DD" w:rsidRDefault="004B0F61" w:rsidP="00DE79DD">
      <w:pPr>
        <w:spacing w:line="360" w:lineRule="auto"/>
        <w:rPr>
          <w:rFonts w:ascii="Palatino Linotype" w:eastAsia="Palatino Linotype" w:hAnsi="Palatino Linotype" w:cs="Palatino Linotype"/>
          <w:color w:val="000000" w:themeColor="text1"/>
        </w:rPr>
      </w:pPr>
    </w:p>
    <w:p w:rsidR="004B0F61" w:rsidRPr="00DE79DD" w:rsidRDefault="004B0F61" w:rsidP="00DE79DD">
      <w:pPr>
        <w:spacing w:line="360" w:lineRule="auto"/>
        <w:rPr>
          <w:rFonts w:ascii="Palatino Linotype" w:eastAsia="Palatino Linotype" w:hAnsi="Palatino Linotype" w:cs="Palatino Linotype"/>
          <w:color w:val="000000" w:themeColor="text1"/>
        </w:rPr>
      </w:pPr>
    </w:p>
    <w:p w:rsidR="004B0F61" w:rsidRPr="00DE79DD" w:rsidRDefault="004B0F61" w:rsidP="00DE79DD">
      <w:pPr>
        <w:spacing w:line="360" w:lineRule="auto"/>
        <w:rPr>
          <w:rFonts w:ascii="Palatino Linotype" w:eastAsia="Palatino Linotype" w:hAnsi="Palatino Linotype" w:cs="Palatino Linotype"/>
          <w:color w:val="000000" w:themeColor="text1"/>
        </w:rPr>
      </w:pPr>
    </w:p>
    <w:p w:rsidR="004B0F61" w:rsidRPr="00DE79DD" w:rsidRDefault="004B0F61" w:rsidP="00DE79DD">
      <w:pPr>
        <w:spacing w:line="360" w:lineRule="auto"/>
        <w:rPr>
          <w:rFonts w:ascii="Palatino Linotype" w:eastAsia="Palatino Linotype" w:hAnsi="Palatino Linotype" w:cs="Palatino Linotype"/>
          <w:color w:val="000000" w:themeColor="text1"/>
        </w:rPr>
      </w:pPr>
    </w:p>
    <w:p w:rsidR="004B0F61" w:rsidRPr="00DE79DD" w:rsidRDefault="004B0F61" w:rsidP="00DE79DD">
      <w:pPr>
        <w:spacing w:line="360" w:lineRule="auto"/>
        <w:rPr>
          <w:rFonts w:ascii="Palatino Linotype" w:eastAsia="Palatino Linotype" w:hAnsi="Palatino Linotype" w:cs="Palatino Linotype"/>
          <w:color w:val="000000" w:themeColor="text1"/>
        </w:rPr>
      </w:pPr>
    </w:p>
    <w:p w:rsidR="004B0F61" w:rsidRPr="00DE79DD" w:rsidRDefault="004B0F61" w:rsidP="00DE79DD">
      <w:pPr>
        <w:spacing w:line="360" w:lineRule="auto"/>
        <w:rPr>
          <w:rFonts w:ascii="Palatino Linotype" w:eastAsia="Palatino Linotype" w:hAnsi="Palatino Linotype" w:cs="Palatino Linotype"/>
          <w:color w:val="000000" w:themeColor="text1"/>
        </w:rPr>
      </w:pPr>
    </w:p>
    <w:p w:rsidR="004B0F61" w:rsidRPr="00DE79DD" w:rsidRDefault="004B0F61" w:rsidP="00DE79DD">
      <w:pPr>
        <w:spacing w:line="360" w:lineRule="auto"/>
        <w:rPr>
          <w:rFonts w:ascii="Palatino Linotype" w:eastAsia="Palatino Linotype" w:hAnsi="Palatino Linotype" w:cs="Palatino Linotype"/>
          <w:color w:val="000000" w:themeColor="text1"/>
        </w:rPr>
      </w:pPr>
    </w:p>
    <w:p w:rsidR="004B0F61" w:rsidRPr="00DE79DD" w:rsidRDefault="004B0F61" w:rsidP="00DE79DD">
      <w:pPr>
        <w:spacing w:line="360" w:lineRule="auto"/>
        <w:rPr>
          <w:rFonts w:ascii="Palatino Linotype" w:eastAsia="Palatino Linotype" w:hAnsi="Palatino Linotype" w:cs="Palatino Linotype"/>
          <w:color w:val="000000" w:themeColor="text1"/>
        </w:rPr>
      </w:pPr>
    </w:p>
    <w:p w:rsidR="004B0F61" w:rsidRPr="00DE79DD" w:rsidRDefault="004B0F61" w:rsidP="00DE79DD">
      <w:pPr>
        <w:spacing w:line="360" w:lineRule="auto"/>
        <w:rPr>
          <w:rFonts w:ascii="Palatino Linotype" w:eastAsia="Palatino Linotype" w:hAnsi="Palatino Linotype" w:cs="Palatino Linotype"/>
          <w:color w:val="000000" w:themeColor="text1"/>
        </w:rPr>
      </w:pPr>
    </w:p>
    <w:p w:rsidR="004B0F61" w:rsidRPr="00DE79DD" w:rsidRDefault="004B0F61" w:rsidP="00DE79DD">
      <w:pPr>
        <w:spacing w:line="360" w:lineRule="auto"/>
        <w:rPr>
          <w:rFonts w:ascii="Palatino Linotype" w:eastAsia="Palatino Linotype" w:hAnsi="Palatino Linotype" w:cs="Palatino Linotype"/>
          <w:color w:val="000000" w:themeColor="text1"/>
        </w:rPr>
      </w:pPr>
    </w:p>
    <w:p w:rsidR="004B0F61" w:rsidRPr="00DE79DD" w:rsidRDefault="004B0F61" w:rsidP="00DE79DD">
      <w:pPr>
        <w:rPr>
          <w:rFonts w:ascii="Palatino Linotype" w:eastAsia="Palatino Linotype" w:hAnsi="Palatino Linotype" w:cs="Palatino Linotype"/>
          <w:color w:val="000000" w:themeColor="text1"/>
        </w:rPr>
      </w:pPr>
    </w:p>
    <w:p w:rsidR="004B0F61" w:rsidRPr="00DE79DD" w:rsidRDefault="004B0F61" w:rsidP="00DE79DD">
      <w:pPr>
        <w:rPr>
          <w:rFonts w:ascii="Palatino Linotype" w:eastAsia="Palatino Linotype" w:hAnsi="Palatino Linotype" w:cs="Palatino Linotype"/>
          <w:color w:val="000000" w:themeColor="text1"/>
        </w:rPr>
      </w:pPr>
    </w:p>
    <w:p w:rsidR="004B0F61" w:rsidRPr="00DE79DD" w:rsidRDefault="004B0F61" w:rsidP="00DE79DD">
      <w:pPr>
        <w:rPr>
          <w:rFonts w:ascii="Palatino Linotype" w:eastAsia="Palatino Linotype" w:hAnsi="Palatino Linotype" w:cs="Palatino Linotype"/>
          <w:color w:val="000000" w:themeColor="text1"/>
        </w:rPr>
      </w:pPr>
    </w:p>
    <w:p w:rsidR="004B0F61" w:rsidRPr="00DE79DD" w:rsidRDefault="004B0F61" w:rsidP="00DE79DD">
      <w:pPr>
        <w:rPr>
          <w:rFonts w:ascii="Palatino Linotype" w:eastAsia="Palatino Linotype" w:hAnsi="Palatino Linotype" w:cs="Palatino Linotype"/>
          <w:color w:val="000000" w:themeColor="text1"/>
        </w:rPr>
      </w:pPr>
    </w:p>
    <w:p w:rsidR="004B0F61" w:rsidRDefault="004B0F61" w:rsidP="00DE79DD">
      <w:pPr>
        <w:rPr>
          <w:rFonts w:ascii="Palatino Linotype" w:eastAsia="Palatino Linotype" w:hAnsi="Palatino Linotype" w:cs="Palatino Linotype"/>
          <w:color w:val="000000" w:themeColor="text1"/>
        </w:rPr>
      </w:pPr>
    </w:p>
    <w:p w:rsidR="00113932" w:rsidRDefault="00113932" w:rsidP="00DE79DD">
      <w:pPr>
        <w:rPr>
          <w:rFonts w:ascii="Palatino Linotype" w:eastAsia="Palatino Linotype" w:hAnsi="Palatino Linotype" w:cs="Palatino Linotype"/>
          <w:color w:val="000000" w:themeColor="text1"/>
        </w:rPr>
      </w:pPr>
    </w:p>
    <w:p w:rsidR="00113932" w:rsidRDefault="00113932" w:rsidP="00DE79DD">
      <w:pPr>
        <w:rPr>
          <w:rFonts w:ascii="Palatino Linotype" w:eastAsia="Palatino Linotype" w:hAnsi="Palatino Linotype" w:cs="Palatino Linotype"/>
          <w:color w:val="000000" w:themeColor="text1"/>
        </w:rPr>
      </w:pPr>
    </w:p>
    <w:p w:rsidR="00113932" w:rsidRDefault="00113932" w:rsidP="00DE79DD">
      <w:pPr>
        <w:rPr>
          <w:rFonts w:ascii="Palatino Linotype" w:eastAsia="Palatino Linotype" w:hAnsi="Palatino Linotype" w:cs="Palatino Linotype"/>
          <w:color w:val="000000" w:themeColor="text1"/>
        </w:rPr>
      </w:pPr>
    </w:p>
    <w:p w:rsidR="00113932" w:rsidRDefault="00113932" w:rsidP="00DE79DD">
      <w:pPr>
        <w:rPr>
          <w:rFonts w:ascii="Palatino Linotype" w:eastAsia="Palatino Linotype" w:hAnsi="Palatino Linotype" w:cs="Palatino Linotype"/>
          <w:color w:val="000000" w:themeColor="text1"/>
        </w:rPr>
      </w:pPr>
    </w:p>
    <w:p w:rsidR="00113932" w:rsidRDefault="00113932" w:rsidP="00DE79DD">
      <w:pPr>
        <w:rPr>
          <w:rFonts w:ascii="Palatino Linotype" w:eastAsia="Palatino Linotype" w:hAnsi="Palatino Linotype" w:cs="Palatino Linotype"/>
          <w:color w:val="000000" w:themeColor="text1"/>
        </w:rPr>
      </w:pPr>
    </w:p>
    <w:p w:rsidR="00113932" w:rsidRPr="00DE79DD" w:rsidRDefault="00113932" w:rsidP="00DE79DD">
      <w:pPr>
        <w:rPr>
          <w:rFonts w:ascii="Palatino Linotype" w:eastAsia="Palatino Linotype" w:hAnsi="Palatino Linotype" w:cs="Palatino Linotype"/>
          <w:color w:val="000000" w:themeColor="text1"/>
        </w:rPr>
      </w:pPr>
    </w:p>
    <w:p w:rsidR="004B0F61" w:rsidRPr="00DE79DD" w:rsidRDefault="004B0F61" w:rsidP="00DE79DD">
      <w:pPr>
        <w:rPr>
          <w:rFonts w:ascii="Palatino Linotype" w:eastAsia="Palatino Linotype" w:hAnsi="Palatino Linotype" w:cs="Palatino Linotype"/>
          <w:color w:val="000000" w:themeColor="text1"/>
        </w:rPr>
      </w:pPr>
    </w:p>
    <w:p w:rsidR="004B0F61" w:rsidRPr="00DE79DD" w:rsidRDefault="004B0F61" w:rsidP="00DE79DD">
      <w:pPr>
        <w:rPr>
          <w:rFonts w:ascii="Palatino Linotype" w:eastAsia="Palatino Linotype" w:hAnsi="Palatino Linotype" w:cs="Palatino Linotype"/>
          <w:color w:val="000000" w:themeColor="text1"/>
        </w:rPr>
      </w:pPr>
    </w:p>
    <w:sectPr w:rsidR="004B0F61" w:rsidRPr="00DE79DD" w:rsidSect="008666B4">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B41" w:rsidRDefault="00250B41">
      <w:r>
        <w:separator/>
      </w:r>
    </w:p>
  </w:endnote>
  <w:endnote w:type="continuationSeparator" w:id="0">
    <w:p w:rsidR="00250B41" w:rsidRDefault="0025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BC8" w:rsidRDefault="00165BC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2538F">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2538F">
      <w:rPr>
        <w:b/>
        <w:noProof/>
        <w:color w:val="000000"/>
      </w:rPr>
      <w:t>38</w:t>
    </w:r>
    <w:r>
      <w:rPr>
        <w:b/>
        <w:color w:val="000000"/>
      </w:rPr>
      <w:fldChar w:fldCharType="end"/>
    </w:r>
  </w:p>
  <w:p w:rsidR="00165BC8" w:rsidRDefault="00165BC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BC8" w:rsidRDefault="00165BC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2538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2538F">
      <w:rPr>
        <w:b/>
        <w:noProof/>
        <w:color w:val="000000"/>
      </w:rPr>
      <w:t>38</w:t>
    </w:r>
    <w:r>
      <w:rPr>
        <w:b/>
        <w:color w:val="000000"/>
      </w:rPr>
      <w:fldChar w:fldCharType="end"/>
    </w:r>
  </w:p>
  <w:p w:rsidR="00165BC8" w:rsidRDefault="00165BC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B41" w:rsidRDefault="00250B41">
      <w:r>
        <w:separator/>
      </w:r>
    </w:p>
  </w:footnote>
  <w:footnote w:type="continuationSeparator" w:id="0">
    <w:p w:rsidR="00250B41" w:rsidRDefault="00250B41">
      <w:r>
        <w:continuationSeparator/>
      </w:r>
    </w:p>
  </w:footnote>
  <w:footnote w:id="1">
    <w:p w:rsidR="00165BC8" w:rsidRDefault="00165BC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165BC8" w:rsidRDefault="00165BC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165BC8" w:rsidRDefault="00165BC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165BC8" w:rsidRDefault="00165BC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165BC8" w:rsidRDefault="00165BC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94. </w:t>
      </w:r>
      <w:r>
        <w:rPr>
          <w:rFonts w:ascii="Palatino Linotype" w:eastAsia="Palatino Linotype" w:hAnsi="Palatino Linotype" w:cs="Palatino Linotype"/>
          <w:sz w:val="16"/>
          <w:szCs w:val="16"/>
        </w:rPr>
        <w:t>La institución pública deberá dar aviso por escrito al servidor público de manera personal, de la fecha y causa o causas de la rescisión de la relación laboral.</w:t>
      </w:r>
    </w:p>
    <w:p w:rsidR="00165BC8" w:rsidRDefault="00165BC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w:t>
      </w:r>
    </w:p>
    <w:p w:rsidR="00165BC8" w:rsidRDefault="00165BC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sea notificado el servidor público.</w:t>
      </w:r>
    </w:p>
    <w:p w:rsidR="00165BC8" w:rsidRDefault="00165BC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falta de aviso al servidor público, al Tribunal o a la Sala por sí sola bastará para considerar que el despido fue injustificado.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BC8" w:rsidRDefault="00250B4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348" w:type="dxa"/>
      <w:tblInd w:w="0" w:type="dxa"/>
      <w:tblLayout w:type="fixed"/>
      <w:tblLook w:val="0400" w:firstRow="0" w:lastRow="0" w:firstColumn="0" w:lastColumn="0" w:noHBand="0" w:noVBand="1"/>
    </w:tblPr>
    <w:tblGrid>
      <w:gridCol w:w="3402"/>
      <w:gridCol w:w="6946"/>
    </w:tblGrid>
    <w:tr w:rsidR="00165BC8" w:rsidTr="008666B4">
      <w:trPr>
        <w:trHeight w:val="1435"/>
      </w:trPr>
      <w:tc>
        <w:tcPr>
          <w:tcW w:w="3402" w:type="dxa"/>
          <w:shd w:val="clear" w:color="auto" w:fill="auto"/>
        </w:tcPr>
        <w:p w:rsidR="00165BC8" w:rsidRDefault="00165BC8">
          <w:pPr>
            <w:tabs>
              <w:tab w:val="right" w:pos="4273"/>
            </w:tabs>
            <w:rPr>
              <w:rFonts w:ascii="Garamond" w:eastAsia="Garamond" w:hAnsi="Garamond" w:cs="Garamond"/>
              <w:sz w:val="16"/>
              <w:szCs w:val="16"/>
            </w:rPr>
          </w:pPr>
        </w:p>
      </w:tc>
      <w:tc>
        <w:tcPr>
          <w:tcW w:w="6946" w:type="dxa"/>
          <w:shd w:val="clear" w:color="auto" w:fill="auto"/>
        </w:tcPr>
        <w:tbl>
          <w:tblPr>
            <w:tblStyle w:val="a6"/>
            <w:tblW w:w="6791" w:type="dxa"/>
            <w:tblInd w:w="40" w:type="dxa"/>
            <w:tblLayout w:type="fixed"/>
            <w:tblLook w:val="0400" w:firstRow="0" w:lastRow="0" w:firstColumn="0" w:lastColumn="0" w:noHBand="0" w:noVBand="1"/>
          </w:tblPr>
          <w:tblGrid>
            <w:gridCol w:w="2680"/>
            <w:gridCol w:w="4111"/>
          </w:tblGrid>
          <w:tr w:rsidR="00165BC8" w:rsidTr="00113932">
            <w:trPr>
              <w:trHeight w:val="150"/>
            </w:trPr>
            <w:tc>
              <w:tcPr>
                <w:tcW w:w="2680" w:type="dxa"/>
                <w:shd w:val="clear" w:color="auto" w:fill="auto"/>
              </w:tcPr>
              <w:p w:rsidR="00165BC8" w:rsidRPr="00113932" w:rsidRDefault="00165BC8">
                <w:pPr>
                  <w:tabs>
                    <w:tab w:val="right" w:pos="8838"/>
                  </w:tabs>
                  <w:ind w:right="-105"/>
                  <w:jc w:val="right"/>
                  <w:rPr>
                    <w:rFonts w:ascii="Palatino Linotype" w:eastAsia="Palatino Linotype" w:hAnsi="Palatino Linotype" w:cs="Palatino Linotype"/>
                    <w:b/>
                  </w:rPr>
                </w:pPr>
                <w:r w:rsidRPr="00113932">
                  <w:rPr>
                    <w:rFonts w:ascii="Palatino Linotype" w:eastAsia="Palatino Linotype" w:hAnsi="Palatino Linotype" w:cs="Palatino Linotype"/>
                    <w:b/>
                  </w:rPr>
                  <w:t>Recurso de Revisión:</w:t>
                </w:r>
              </w:p>
            </w:tc>
            <w:tc>
              <w:tcPr>
                <w:tcW w:w="4111" w:type="dxa"/>
                <w:shd w:val="clear" w:color="auto" w:fill="auto"/>
              </w:tcPr>
              <w:p w:rsidR="00165BC8" w:rsidRPr="00113932" w:rsidRDefault="00165BC8" w:rsidP="00113932">
                <w:pPr>
                  <w:tabs>
                    <w:tab w:val="right" w:pos="8838"/>
                  </w:tabs>
                  <w:ind w:right="-102"/>
                  <w:rPr>
                    <w:rFonts w:ascii="Palatino Linotype" w:eastAsia="Palatino Linotype" w:hAnsi="Palatino Linotype" w:cs="Palatino Linotype"/>
                  </w:rPr>
                </w:pPr>
                <w:r w:rsidRPr="00113932">
                  <w:rPr>
                    <w:rFonts w:ascii="Palatino Linotype" w:eastAsia="Palatino Linotype" w:hAnsi="Palatino Linotype" w:cs="Palatino Linotype"/>
                  </w:rPr>
                  <w:t>06848/INFOEM/IP/RR/2025</w:t>
                </w:r>
              </w:p>
            </w:tc>
          </w:tr>
          <w:tr w:rsidR="00165BC8" w:rsidTr="00113932">
            <w:trPr>
              <w:trHeight w:val="295"/>
            </w:trPr>
            <w:tc>
              <w:tcPr>
                <w:tcW w:w="2680" w:type="dxa"/>
                <w:shd w:val="clear" w:color="auto" w:fill="auto"/>
              </w:tcPr>
              <w:p w:rsidR="00165BC8" w:rsidRPr="00113932" w:rsidRDefault="00165BC8">
                <w:pPr>
                  <w:tabs>
                    <w:tab w:val="right" w:pos="8838"/>
                  </w:tabs>
                  <w:ind w:right="-105"/>
                  <w:jc w:val="right"/>
                  <w:rPr>
                    <w:rFonts w:ascii="Palatino Linotype" w:eastAsia="Palatino Linotype" w:hAnsi="Palatino Linotype" w:cs="Palatino Linotype"/>
                    <w:b/>
                  </w:rPr>
                </w:pPr>
                <w:r w:rsidRPr="00113932">
                  <w:rPr>
                    <w:rFonts w:ascii="Palatino Linotype" w:eastAsia="Palatino Linotype" w:hAnsi="Palatino Linotype" w:cs="Palatino Linotype"/>
                    <w:b/>
                  </w:rPr>
                  <w:t>Sujeto Obligado:</w:t>
                </w:r>
              </w:p>
            </w:tc>
            <w:tc>
              <w:tcPr>
                <w:tcW w:w="4111" w:type="dxa"/>
                <w:shd w:val="clear" w:color="auto" w:fill="auto"/>
              </w:tcPr>
              <w:p w:rsidR="00165BC8" w:rsidRPr="00113932" w:rsidRDefault="00165BC8" w:rsidP="00113932">
                <w:pPr>
                  <w:tabs>
                    <w:tab w:val="left" w:pos="2834"/>
                    <w:tab w:val="right" w:pos="8838"/>
                  </w:tabs>
                  <w:ind w:right="-102"/>
                  <w:rPr>
                    <w:rFonts w:ascii="Palatino Linotype" w:eastAsia="Palatino Linotype" w:hAnsi="Palatino Linotype" w:cs="Palatino Linotype"/>
                  </w:rPr>
                </w:pPr>
                <w:r w:rsidRPr="00113932">
                  <w:rPr>
                    <w:rFonts w:ascii="Palatino Linotype" w:eastAsia="Palatino Linotype" w:hAnsi="Palatino Linotype" w:cs="Palatino Linotype"/>
                  </w:rPr>
                  <w:t>Ayuntamiento de Toluca</w:t>
                </w:r>
              </w:p>
            </w:tc>
          </w:tr>
          <w:tr w:rsidR="00165BC8" w:rsidTr="00113932">
            <w:trPr>
              <w:trHeight w:val="295"/>
            </w:trPr>
            <w:tc>
              <w:tcPr>
                <w:tcW w:w="2680" w:type="dxa"/>
                <w:shd w:val="clear" w:color="auto" w:fill="auto"/>
              </w:tcPr>
              <w:p w:rsidR="00165BC8" w:rsidRPr="00113932" w:rsidRDefault="00165BC8">
                <w:pPr>
                  <w:tabs>
                    <w:tab w:val="right" w:pos="8838"/>
                  </w:tabs>
                  <w:ind w:right="-105"/>
                  <w:jc w:val="right"/>
                  <w:rPr>
                    <w:rFonts w:ascii="Palatino Linotype" w:eastAsia="Palatino Linotype" w:hAnsi="Palatino Linotype" w:cs="Palatino Linotype"/>
                    <w:b/>
                  </w:rPr>
                </w:pPr>
                <w:r w:rsidRPr="00113932">
                  <w:rPr>
                    <w:rFonts w:ascii="Palatino Linotype" w:eastAsia="Palatino Linotype" w:hAnsi="Palatino Linotype" w:cs="Palatino Linotype"/>
                    <w:b/>
                  </w:rPr>
                  <w:t>Comisionada ponente:</w:t>
                </w:r>
              </w:p>
            </w:tc>
            <w:tc>
              <w:tcPr>
                <w:tcW w:w="4111" w:type="dxa"/>
                <w:shd w:val="clear" w:color="auto" w:fill="auto"/>
              </w:tcPr>
              <w:p w:rsidR="00165BC8" w:rsidRPr="00113932" w:rsidRDefault="00165BC8" w:rsidP="00113932">
                <w:pPr>
                  <w:tabs>
                    <w:tab w:val="right" w:pos="8838"/>
                  </w:tabs>
                  <w:ind w:right="171"/>
                  <w:rPr>
                    <w:rFonts w:ascii="Palatino Linotype" w:eastAsia="Palatino Linotype" w:hAnsi="Palatino Linotype" w:cs="Palatino Linotype"/>
                    <w:b/>
                  </w:rPr>
                </w:pPr>
                <w:r w:rsidRPr="00113932">
                  <w:rPr>
                    <w:rFonts w:ascii="Palatino Linotype" w:eastAsia="Palatino Linotype" w:hAnsi="Palatino Linotype" w:cs="Palatino Linotype"/>
                  </w:rPr>
                  <w:t>María del Rosario Mejía Ayala</w:t>
                </w:r>
              </w:p>
            </w:tc>
          </w:tr>
        </w:tbl>
        <w:p w:rsidR="00165BC8" w:rsidRDefault="00165BC8">
          <w:pPr>
            <w:tabs>
              <w:tab w:val="right" w:pos="8838"/>
            </w:tabs>
            <w:ind w:left="-28"/>
            <w:jc w:val="right"/>
            <w:rPr>
              <w:rFonts w:ascii="Arial" w:eastAsia="Arial" w:hAnsi="Arial" w:cs="Arial"/>
              <w:b/>
              <w:sz w:val="22"/>
              <w:szCs w:val="22"/>
            </w:rPr>
          </w:pPr>
        </w:p>
      </w:tc>
    </w:tr>
  </w:tbl>
  <w:p w:rsidR="00165BC8" w:rsidRDefault="00250B41">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206" w:type="dxa"/>
      <w:tblInd w:w="0" w:type="dxa"/>
      <w:tblLayout w:type="fixed"/>
      <w:tblLook w:val="0400" w:firstRow="0" w:lastRow="0" w:firstColumn="0" w:lastColumn="0" w:noHBand="0" w:noVBand="1"/>
    </w:tblPr>
    <w:tblGrid>
      <w:gridCol w:w="2268"/>
      <w:gridCol w:w="7938"/>
    </w:tblGrid>
    <w:tr w:rsidR="00165BC8" w:rsidTr="008666B4">
      <w:trPr>
        <w:trHeight w:val="1435"/>
      </w:trPr>
      <w:tc>
        <w:tcPr>
          <w:tcW w:w="2268" w:type="dxa"/>
          <w:shd w:val="clear" w:color="auto" w:fill="auto"/>
        </w:tcPr>
        <w:p w:rsidR="00165BC8" w:rsidRDefault="00165BC8">
          <w:pPr>
            <w:tabs>
              <w:tab w:val="right" w:pos="4273"/>
            </w:tabs>
            <w:rPr>
              <w:rFonts w:ascii="Garamond" w:eastAsia="Garamond" w:hAnsi="Garamond" w:cs="Garamond"/>
              <w:sz w:val="22"/>
              <w:szCs w:val="22"/>
            </w:rPr>
          </w:pPr>
        </w:p>
      </w:tc>
      <w:tc>
        <w:tcPr>
          <w:tcW w:w="7938" w:type="dxa"/>
          <w:shd w:val="clear" w:color="auto" w:fill="auto"/>
        </w:tcPr>
        <w:tbl>
          <w:tblPr>
            <w:tblStyle w:val="a8"/>
            <w:tblW w:w="6938" w:type="dxa"/>
            <w:tblInd w:w="1161" w:type="dxa"/>
            <w:tblLayout w:type="fixed"/>
            <w:tblLook w:val="0400" w:firstRow="0" w:lastRow="0" w:firstColumn="0" w:lastColumn="0" w:noHBand="0" w:noVBand="1"/>
          </w:tblPr>
          <w:tblGrid>
            <w:gridCol w:w="2720"/>
            <w:gridCol w:w="4218"/>
          </w:tblGrid>
          <w:tr w:rsidR="00165BC8" w:rsidTr="008666B4">
            <w:trPr>
              <w:trHeight w:val="144"/>
            </w:trPr>
            <w:tc>
              <w:tcPr>
                <w:tcW w:w="2720" w:type="dxa"/>
                <w:shd w:val="clear" w:color="auto" w:fill="auto"/>
              </w:tcPr>
              <w:p w:rsidR="00165BC8" w:rsidRPr="00DE79DD" w:rsidRDefault="00165BC8">
                <w:pPr>
                  <w:tabs>
                    <w:tab w:val="right" w:pos="8838"/>
                  </w:tabs>
                  <w:ind w:left="-264" w:right="-105" w:firstLine="195"/>
                  <w:jc w:val="right"/>
                  <w:rPr>
                    <w:rFonts w:ascii="Palatino Linotype" w:eastAsia="Palatino Linotype" w:hAnsi="Palatino Linotype" w:cs="Palatino Linotype"/>
                    <w:b/>
                  </w:rPr>
                </w:pPr>
                <w:r w:rsidRPr="00DE79DD">
                  <w:rPr>
                    <w:rFonts w:ascii="Palatino Linotype" w:eastAsia="Palatino Linotype" w:hAnsi="Palatino Linotype" w:cs="Palatino Linotype"/>
                    <w:b/>
                  </w:rPr>
                  <w:t>Recurso de Revisión:</w:t>
                </w:r>
              </w:p>
            </w:tc>
            <w:tc>
              <w:tcPr>
                <w:tcW w:w="4218" w:type="dxa"/>
                <w:shd w:val="clear" w:color="auto" w:fill="auto"/>
              </w:tcPr>
              <w:p w:rsidR="00165BC8" w:rsidRPr="00DE79DD" w:rsidRDefault="00DE79DD" w:rsidP="00DE79DD">
                <w:pPr>
                  <w:tabs>
                    <w:tab w:val="right" w:pos="8838"/>
                  </w:tabs>
                  <w:ind w:left="27" w:right="-105"/>
                  <w:rPr>
                    <w:rFonts w:ascii="Palatino Linotype" w:eastAsia="Palatino Linotype" w:hAnsi="Palatino Linotype" w:cs="Palatino Linotype"/>
                  </w:rPr>
                </w:pPr>
                <w:r>
                  <w:rPr>
                    <w:rFonts w:ascii="Palatino Linotype" w:eastAsia="Palatino Linotype" w:hAnsi="Palatino Linotype" w:cs="Palatino Linotype"/>
                  </w:rPr>
                  <w:t>0</w:t>
                </w:r>
                <w:r w:rsidR="00165BC8" w:rsidRPr="00DE79DD">
                  <w:rPr>
                    <w:rFonts w:ascii="Palatino Linotype" w:eastAsia="Palatino Linotype" w:hAnsi="Palatino Linotype" w:cs="Palatino Linotype"/>
                  </w:rPr>
                  <w:t>6848/INFOEM/IP/RR/2025</w:t>
                </w:r>
              </w:p>
            </w:tc>
          </w:tr>
          <w:tr w:rsidR="00165BC8" w:rsidTr="008666B4">
            <w:trPr>
              <w:trHeight w:val="144"/>
            </w:trPr>
            <w:tc>
              <w:tcPr>
                <w:tcW w:w="2720" w:type="dxa"/>
                <w:shd w:val="clear" w:color="auto" w:fill="auto"/>
              </w:tcPr>
              <w:p w:rsidR="00165BC8" w:rsidRPr="00DE79DD" w:rsidRDefault="00165BC8">
                <w:pPr>
                  <w:tabs>
                    <w:tab w:val="right" w:pos="8838"/>
                  </w:tabs>
                  <w:ind w:left="-74" w:right="-105"/>
                  <w:jc w:val="right"/>
                  <w:rPr>
                    <w:rFonts w:ascii="Palatino Linotype" w:eastAsia="Palatino Linotype" w:hAnsi="Palatino Linotype" w:cs="Palatino Linotype"/>
                    <w:b/>
                  </w:rPr>
                </w:pPr>
                <w:r w:rsidRPr="00DE79DD">
                  <w:rPr>
                    <w:rFonts w:ascii="Palatino Linotype" w:eastAsia="Palatino Linotype" w:hAnsi="Palatino Linotype" w:cs="Palatino Linotype"/>
                    <w:b/>
                  </w:rPr>
                  <w:t>Recurrente:</w:t>
                </w:r>
              </w:p>
            </w:tc>
            <w:tc>
              <w:tcPr>
                <w:tcW w:w="4218" w:type="dxa"/>
                <w:shd w:val="clear" w:color="auto" w:fill="auto"/>
              </w:tcPr>
              <w:p w:rsidR="00165BC8" w:rsidRPr="00DE79DD" w:rsidRDefault="00165BC8" w:rsidP="00DE79DD">
                <w:pPr>
                  <w:tabs>
                    <w:tab w:val="left" w:pos="3122"/>
                    <w:tab w:val="right" w:pos="8838"/>
                  </w:tabs>
                  <w:ind w:left="27" w:right="-105"/>
                  <w:rPr>
                    <w:rFonts w:ascii="Palatino Linotype" w:eastAsia="Palatino Linotype" w:hAnsi="Palatino Linotype" w:cs="Palatino Linotype"/>
                  </w:rPr>
                </w:pPr>
              </w:p>
            </w:tc>
          </w:tr>
          <w:tr w:rsidR="00165BC8" w:rsidTr="008666B4">
            <w:trPr>
              <w:trHeight w:val="283"/>
            </w:trPr>
            <w:tc>
              <w:tcPr>
                <w:tcW w:w="2720" w:type="dxa"/>
                <w:shd w:val="clear" w:color="auto" w:fill="auto"/>
              </w:tcPr>
              <w:p w:rsidR="00165BC8" w:rsidRPr="00DE79DD" w:rsidRDefault="00165BC8">
                <w:pPr>
                  <w:tabs>
                    <w:tab w:val="right" w:pos="8838"/>
                  </w:tabs>
                  <w:ind w:left="-74" w:right="-105"/>
                  <w:jc w:val="right"/>
                  <w:rPr>
                    <w:rFonts w:ascii="Palatino Linotype" w:eastAsia="Palatino Linotype" w:hAnsi="Palatino Linotype" w:cs="Palatino Linotype"/>
                    <w:b/>
                  </w:rPr>
                </w:pPr>
                <w:r w:rsidRPr="00DE79DD">
                  <w:rPr>
                    <w:rFonts w:ascii="Palatino Linotype" w:eastAsia="Palatino Linotype" w:hAnsi="Palatino Linotype" w:cs="Palatino Linotype"/>
                    <w:b/>
                  </w:rPr>
                  <w:t>Sujeto Obligado:</w:t>
                </w:r>
              </w:p>
            </w:tc>
            <w:tc>
              <w:tcPr>
                <w:tcW w:w="4218" w:type="dxa"/>
                <w:shd w:val="clear" w:color="auto" w:fill="auto"/>
              </w:tcPr>
              <w:p w:rsidR="00165BC8" w:rsidRPr="00DE79DD" w:rsidRDefault="00165BC8" w:rsidP="00DE79DD">
                <w:pPr>
                  <w:tabs>
                    <w:tab w:val="left" w:pos="2834"/>
                    <w:tab w:val="right" w:pos="8838"/>
                  </w:tabs>
                  <w:ind w:left="27" w:right="-105"/>
                  <w:rPr>
                    <w:rFonts w:ascii="Palatino Linotype" w:eastAsia="Palatino Linotype" w:hAnsi="Palatino Linotype" w:cs="Palatino Linotype"/>
                  </w:rPr>
                </w:pPr>
                <w:r w:rsidRPr="00DE79DD">
                  <w:rPr>
                    <w:rFonts w:ascii="Palatino Linotype" w:eastAsia="Palatino Linotype" w:hAnsi="Palatino Linotype" w:cs="Palatino Linotype"/>
                  </w:rPr>
                  <w:t xml:space="preserve">Ayuntamiento de Toluca </w:t>
                </w:r>
              </w:p>
            </w:tc>
          </w:tr>
          <w:tr w:rsidR="00165BC8" w:rsidTr="008666B4">
            <w:trPr>
              <w:trHeight w:val="283"/>
            </w:trPr>
            <w:tc>
              <w:tcPr>
                <w:tcW w:w="2720" w:type="dxa"/>
                <w:shd w:val="clear" w:color="auto" w:fill="auto"/>
              </w:tcPr>
              <w:p w:rsidR="00165BC8" w:rsidRPr="00DE79DD" w:rsidRDefault="00165BC8">
                <w:pPr>
                  <w:tabs>
                    <w:tab w:val="right" w:pos="8838"/>
                  </w:tabs>
                  <w:ind w:left="-74" w:right="-105"/>
                  <w:jc w:val="right"/>
                  <w:rPr>
                    <w:rFonts w:ascii="Palatino Linotype" w:eastAsia="Palatino Linotype" w:hAnsi="Palatino Linotype" w:cs="Palatino Linotype"/>
                    <w:b/>
                  </w:rPr>
                </w:pPr>
                <w:r w:rsidRPr="00DE79DD">
                  <w:rPr>
                    <w:rFonts w:ascii="Palatino Linotype" w:eastAsia="Palatino Linotype" w:hAnsi="Palatino Linotype" w:cs="Palatino Linotype"/>
                    <w:b/>
                  </w:rPr>
                  <w:t>Comisionada ponente:</w:t>
                </w:r>
              </w:p>
            </w:tc>
            <w:tc>
              <w:tcPr>
                <w:tcW w:w="4218" w:type="dxa"/>
                <w:shd w:val="clear" w:color="auto" w:fill="auto"/>
              </w:tcPr>
              <w:p w:rsidR="00165BC8" w:rsidRPr="00DE79DD" w:rsidRDefault="00165BC8" w:rsidP="00DE79DD">
                <w:pPr>
                  <w:tabs>
                    <w:tab w:val="right" w:pos="8838"/>
                  </w:tabs>
                  <w:ind w:left="27" w:right="-105"/>
                  <w:rPr>
                    <w:rFonts w:ascii="Palatino Linotype" w:eastAsia="Palatino Linotype" w:hAnsi="Palatino Linotype" w:cs="Palatino Linotype"/>
                  </w:rPr>
                </w:pPr>
                <w:r w:rsidRPr="00DE79DD">
                  <w:rPr>
                    <w:rFonts w:ascii="Palatino Linotype" w:eastAsia="Palatino Linotype" w:hAnsi="Palatino Linotype" w:cs="Palatino Linotype"/>
                  </w:rPr>
                  <w:t>María del Rosario Mejía Ayala</w:t>
                </w:r>
              </w:p>
              <w:p w:rsidR="00165BC8" w:rsidRPr="00DE79DD" w:rsidRDefault="00165BC8" w:rsidP="00DE79DD">
                <w:pPr>
                  <w:tabs>
                    <w:tab w:val="right" w:pos="8838"/>
                  </w:tabs>
                  <w:ind w:left="27" w:right="-105"/>
                  <w:rPr>
                    <w:rFonts w:ascii="Palatino Linotype" w:eastAsia="Palatino Linotype" w:hAnsi="Palatino Linotype" w:cs="Palatino Linotype"/>
                  </w:rPr>
                </w:pPr>
              </w:p>
            </w:tc>
          </w:tr>
        </w:tbl>
        <w:p w:rsidR="00165BC8" w:rsidRDefault="00165BC8">
          <w:pPr>
            <w:tabs>
              <w:tab w:val="right" w:pos="8838"/>
            </w:tabs>
            <w:ind w:left="-28"/>
            <w:jc w:val="both"/>
            <w:rPr>
              <w:rFonts w:ascii="Arial" w:eastAsia="Arial" w:hAnsi="Arial" w:cs="Arial"/>
              <w:b/>
              <w:sz w:val="22"/>
              <w:szCs w:val="22"/>
            </w:rPr>
          </w:pPr>
        </w:p>
      </w:tc>
    </w:tr>
  </w:tbl>
  <w:p w:rsidR="00165BC8" w:rsidRDefault="00250B41">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41F9D"/>
    <w:multiLevelType w:val="multilevel"/>
    <w:tmpl w:val="0CDE184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0AAB01FB"/>
    <w:multiLevelType w:val="multilevel"/>
    <w:tmpl w:val="34EC90A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11353FE2"/>
    <w:multiLevelType w:val="multilevel"/>
    <w:tmpl w:val="0D2E03F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CE5B44"/>
    <w:multiLevelType w:val="hybridMultilevel"/>
    <w:tmpl w:val="03F2B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9A5927"/>
    <w:multiLevelType w:val="hybridMultilevel"/>
    <w:tmpl w:val="1158D4A6"/>
    <w:lvl w:ilvl="0" w:tplc="6A9AF8D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CA07C5"/>
    <w:multiLevelType w:val="multilevel"/>
    <w:tmpl w:val="6464E9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0E5D08"/>
    <w:multiLevelType w:val="multilevel"/>
    <w:tmpl w:val="777436F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5975283C"/>
    <w:multiLevelType w:val="multilevel"/>
    <w:tmpl w:val="A1827EC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8752C7"/>
    <w:multiLevelType w:val="multilevel"/>
    <w:tmpl w:val="D6E0FD54"/>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E743226"/>
    <w:multiLevelType w:val="hybridMultilevel"/>
    <w:tmpl w:val="23888A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75ED523A"/>
    <w:multiLevelType w:val="multilevel"/>
    <w:tmpl w:val="8754022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0"/>
  </w:num>
  <w:num w:numId="3">
    <w:abstractNumId w:val="8"/>
  </w:num>
  <w:num w:numId="4">
    <w:abstractNumId w:val="2"/>
  </w:num>
  <w:num w:numId="5">
    <w:abstractNumId w:val="7"/>
  </w:num>
  <w:num w:numId="6">
    <w:abstractNumId w:val="5"/>
  </w:num>
  <w:num w:numId="7">
    <w:abstractNumId w:val="1"/>
  </w:num>
  <w:num w:numId="8">
    <w:abstractNumId w:val="6"/>
  </w:num>
  <w:num w:numId="9">
    <w:abstractNumId w:val="10"/>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61"/>
    <w:rsid w:val="00046D05"/>
    <w:rsid w:val="0010618E"/>
    <w:rsid w:val="00113932"/>
    <w:rsid w:val="00130656"/>
    <w:rsid w:val="00165BC8"/>
    <w:rsid w:val="00250B41"/>
    <w:rsid w:val="002D54ED"/>
    <w:rsid w:val="00402B30"/>
    <w:rsid w:val="004B0F61"/>
    <w:rsid w:val="004C7D57"/>
    <w:rsid w:val="00545C75"/>
    <w:rsid w:val="005A33D5"/>
    <w:rsid w:val="006565F6"/>
    <w:rsid w:val="006B4DA3"/>
    <w:rsid w:val="006C7BE0"/>
    <w:rsid w:val="007B18B1"/>
    <w:rsid w:val="008666B4"/>
    <w:rsid w:val="009263F3"/>
    <w:rsid w:val="00A1408A"/>
    <w:rsid w:val="00AB0E4E"/>
    <w:rsid w:val="00B2538F"/>
    <w:rsid w:val="00B37267"/>
    <w:rsid w:val="00C34E94"/>
    <w:rsid w:val="00DE79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E5B0643-CE06-49F8-9948-EDB129DF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styleId="Hipervnculovisitado">
    <w:name w:val="FollowedHyperlink"/>
    <w:basedOn w:val="Fuentedeprrafopredeter"/>
    <w:uiPriority w:val="99"/>
    <w:semiHidden/>
    <w:unhideWhenUsed/>
    <w:rsid w:val="00A61970"/>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xgmail-msolistparagraph">
    <w:name w:val="x_gmail-msolistparagraph"/>
    <w:basedOn w:val="Normal"/>
    <w:rsid w:val="00C518FE"/>
    <w:pPr>
      <w:spacing w:before="100" w:beforeAutospacing="1" w:after="100" w:afterAutospacing="1"/>
    </w:pPr>
  </w:style>
  <w:style w:type="paragraph" w:customStyle="1" w:styleId="xmsonormal">
    <w:name w:val="x_msonormal"/>
    <w:basedOn w:val="Normal"/>
    <w:rsid w:val="00C518FE"/>
    <w:pPr>
      <w:spacing w:before="100" w:beforeAutospacing="1" w:after="100" w:afterAutospacing="1"/>
    </w:pPr>
  </w:style>
  <w:style w:type="paragraph" w:customStyle="1" w:styleId="xgmail-msonormal">
    <w:name w:val="x_gmail-msonormal"/>
    <w:basedOn w:val="Normal"/>
    <w:rsid w:val="00C518FE"/>
    <w:pPr>
      <w:spacing w:before="100" w:beforeAutospacing="1" w:after="100" w:afterAutospacing="1"/>
    </w:pPr>
  </w:style>
  <w:style w:type="character" w:customStyle="1" w:styleId="xgmail-msocommentreference">
    <w:name w:val="x_gmail-msocommentreference"/>
    <w:basedOn w:val="Fuentedeprrafopredeter"/>
    <w:rsid w:val="00C518FE"/>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7wdGgWQwJf9q3UkJoumeGLDp0A==">CgMxLjAyDmguYmswZnM4eXprN3RtMg5oLjk5ZmZtbXZ5b3YxaDIOaC5xenoyb3U5cjRtenUyDmguanJicnB4Mm8ydDFxMg5oLnpkaW91N3g5bjBqbTIOaC5pajBmNDdzZWd6cmYyDmguY2N1MzBvajR1aDBwMg5oLnZvM3gxeGZtYzllcTIOaC5wZzN3dm5qaDU3OTI4AHIhMUIybWFUOUI4ZnRSNmxPbkZZYlJwWU0wV3labk5abFZm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10145</Words>
  <Characters>55801</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8</cp:revision>
  <cp:lastPrinted>2025-08-22T17:04:00Z</cp:lastPrinted>
  <dcterms:created xsi:type="dcterms:W3CDTF">2025-08-14T16:57:00Z</dcterms:created>
  <dcterms:modified xsi:type="dcterms:W3CDTF">2025-08-28T22:54:00Z</dcterms:modified>
</cp:coreProperties>
</file>