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CE1" w:rsidRPr="005E56EF" w:rsidRDefault="00DC0395">
      <w:pPr>
        <w:spacing w:after="0" w:line="360" w:lineRule="auto"/>
        <w:ind w:right="49"/>
        <w:jc w:val="both"/>
        <w:rPr>
          <w:rFonts w:ascii="Palatino Linotype" w:eastAsia="Palatino Linotype" w:hAnsi="Palatino Linotype" w:cs="Palatino Linotype"/>
        </w:rPr>
      </w:pPr>
      <w:bookmarkStart w:id="0" w:name="_GoBack"/>
      <w:bookmarkEnd w:id="0"/>
      <w:r w:rsidRPr="005E56E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rsidR="00A37CE1" w:rsidRPr="005E56EF" w:rsidRDefault="00A37CE1">
      <w:pPr>
        <w:spacing w:after="0" w:line="360" w:lineRule="auto"/>
        <w:ind w:right="49"/>
        <w:jc w:val="center"/>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b/>
        </w:rPr>
      </w:pPr>
      <w:r w:rsidRPr="005E56EF">
        <w:rPr>
          <w:rFonts w:ascii="Palatino Linotype" w:eastAsia="Palatino Linotype" w:hAnsi="Palatino Linotype" w:cs="Palatino Linotype"/>
        </w:rPr>
        <w:t xml:space="preserve">Visto el expediente relativo al recurso de revisión </w:t>
      </w:r>
      <w:r w:rsidRPr="005E56EF">
        <w:rPr>
          <w:rFonts w:ascii="Palatino Linotype" w:eastAsia="Palatino Linotype" w:hAnsi="Palatino Linotype" w:cs="Palatino Linotype"/>
          <w:b/>
        </w:rPr>
        <w:t>07589/INFOEM/IP/RR/2025</w:t>
      </w:r>
      <w:r w:rsidRPr="005E56EF">
        <w:rPr>
          <w:rFonts w:ascii="Palatino Linotype" w:eastAsia="Palatino Linotype" w:hAnsi="Palatino Linotype" w:cs="Palatino Linotype"/>
        </w:rPr>
        <w:t xml:space="preserve">, interpuesto por </w:t>
      </w:r>
      <w:r w:rsidRPr="005E56EF">
        <w:rPr>
          <w:rFonts w:ascii="Palatino Linotype" w:eastAsia="Palatino Linotype" w:hAnsi="Palatino Linotype" w:cs="Palatino Linotype"/>
          <w:b/>
        </w:rPr>
        <w:t>un particular que no proporcionó nombre o seudónimo</w:t>
      </w:r>
      <w:r w:rsidRPr="005E56EF">
        <w:rPr>
          <w:rFonts w:ascii="Palatino Linotype" w:eastAsia="Palatino Linotype" w:hAnsi="Palatino Linotype" w:cs="Palatino Linotype"/>
        </w:rPr>
        <w:t xml:space="preserve">, al cual en lo sucesivo se le denominará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en contra de la respuesta a su solicitud de información identificada con número de folio</w:t>
      </w:r>
      <w:r w:rsidRPr="005E56EF">
        <w:rPr>
          <w:rFonts w:ascii="Palatino Linotype" w:eastAsia="Palatino Linotype" w:hAnsi="Palatino Linotype" w:cs="Palatino Linotype"/>
          <w:b/>
        </w:rPr>
        <w:t xml:space="preserve"> 00365/ATLACOM/IP/2025 </w:t>
      </w:r>
      <w:r w:rsidRPr="005E56EF">
        <w:rPr>
          <w:rFonts w:ascii="Palatino Linotype" w:eastAsia="Palatino Linotype" w:hAnsi="Palatino Linotype" w:cs="Palatino Linotype"/>
        </w:rPr>
        <w:t xml:space="preserve">proporcionada por parte del </w:t>
      </w:r>
      <w:r w:rsidRPr="005E56EF">
        <w:rPr>
          <w:rFonts w:ascii="Palatino Linotype" w:eastAsia="Palatino Linotype" w:hAnsi="Palatino Linotype" w:cs="Palatino Linotype"/>
          <w:b/>
        </w:rPr>
        <w:t>Ayuntamiento de Atlacomulco</w:t>
      </w:r>
      <w:r w:rsidRPr="005E56EF">
        <w:rPr>
          <w:rFonts w:ascii="Palatino Linotype" w:eastAsia="Palatino Linotype" w:hAnsi="Palatino Linotype" w:cs="Palatino Linotype"/>
        </w:rPr>
        <w:t xml:space="preserve">, en lo sucesivo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se procede a dictar la presente resolución, con base en los siguientes:</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center"/>
        <w:rPr>
          <w:rFonts w:ascii="Palatino Linotype" w:eastAsia="Palatino Linotype" w:hAnsi="Palatino Linotype" w:cs="Palatino Linotype"/>
          <w:b/>
        </w:rPr>
      </w:pPr>
      <w:r w:rsidRPr="005E56EF">
        <w:rPr>
          <w:rFonts w:ascii="Palatino Linotype" w:eastAsia="Palatino Linotype" w:hAnsi="Palatino Linotype" w:cs="Palatino Linotype"/>
          <w:b/>
        </w:rPr>
        <w:t>I.</w:t>
      </w:r>
      <w:r w:rsidRPr="005E56EF">
        <w:rPr>
          <w:rFonts w:ascii="Palatino Linotype" w:eastAsia="Palatino Linotype" w:hAnsi="Palatino Linotype" w:cs="Palatino Linotype"/>
          <w:b/>
        </w:rPr>
        <w:tab/>
        <w:t>A N T E C E D E N T E S</w:t>
      </w:r>
    </w:p>
    <w:p w:rsidR="00A37CE1" w:rsidRPr="005E56EF" w:rsidRDefault="00A37CE1">
      <w:pPr>
        <w:spacing w:after="0" w:line="360" w:lineRule="auto"/>
        <w:ind w:right="49"/>
        <w:jc w:val="center"/>
        <w:rPr>
          <w:rFonts w:ascii="Palatino Linotype" w:eastAsia="Palatino Linotype" w:hAnsi="Palatino Linotype" w:cs="Palatino Linotype"/>
          <w:b/>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Solicitud de acceso a la información.</w:t>
      </w:r>
      <w:r w:rsidRPr="005E56EF">
        <w:rPr>
          <w:rFonts w:ascii="Palatino Linotype" w:eastAsia="Palatino Linotype" w:hAnsi="Palatino Linotype" w:cs="Palatino Linotype"/>
        </w:rPr>
        <w:t xml:space="preserve"> Con fecha </w:t>
      </w:r>
      <w:r w:rsidRPr="005E56EF">
        <w:rPr>
          <w:rFonts w:ascii="Palatino Linotype" w:eastAsia="Palatino Linotype" w:hAnsi="Palatino Linotype" w:cs="Palatino Linotype"/>
          <w:b/>
        </w:rPr>
        <w:t>treinta de mayo de dos mil veinticinco</w:t>
      </w:r>
      <w:r w:rsidRPr="005E56EF">
        <w:rPr>
          <w:rFonts w:ascii="Palatino Linotype" w:eastAsia="Palatino Linotype" w:hAnsi="Palatino Linotype" w:cs="Palatino Linotype"/>
        </w:rPr>
        <w:t xml:space="preserve">,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formuló solicitud de acceso a información pública al</w:t>
      </w:r>
      <w:r w:rsidRPr="005E56EF">
        <w:rPr>
          <w:rFonts w:ascii="Palatino Linotype" w:eastAsia="Palatino Linotype" w:hAnsi="Palatino Linotype" w:cs="Palatino Linotype"/>
          <w:b/>
        </w:rPr>
        <w:t xml:space="preserve"> Sujeto Obligado</w:t>
      </w:r>
      <w:r w:rsidRPr="005E56EF">
        <w:rPr>
          <w:rFonts w:ascii="Palatino Linotype" w:eastAsia="Palatino Linotype" w:hAnsi="Palatino Linotype" w:cs="Palatino Linotype"/>
        </w:rPr>
        <w:t xml:space="preserve"> a través del Sistema de Acceso a la Información Mexiquense, en adelante SAIMEX, en la que requirió lo siguiente: </w:t>
      </w:r>
    </w:p>
    <w:p w:rsidR="00A37CE1" w:rsidRPr="005E56EF" w:rsidRDefault="00A37CE1">
      <w:pPr>
        <w:spacing w:after="0"/>
        <w:ind w:left="851" w:right="843"/>
        <w:jc w:val="both"/>
        <w:rPr>
          <w:rFonts w:ascii="Palatino Linotype" w:eastAsia="Palatino Linotype" w:hAnsi="Palatino Linotype" w:cs="Palatino Linotype"/>
          <w:i/>
        </w:rPr>
      </w:pPr>
      <w:bookmarkStart w:id="1" w:name="_heading=h.30j0zll" w:colFirst="0" w:colLast="0"/>
      <w:bookmarkEnd w:id="1"/>
    </w:p>
    <w:p w:rsidR="00A37CE1" w:rsidRPr="005E56EF" w:rsidRDefault="00DC0395">
      <w:pPr>
        <w:spacing w:after="0"/>
        <w:ind w:left="851" w:right="843"/>
        <w:jc w:val="both"/>
        <w:rPr>
          <w:rFonts w:ascii="Palatino Linotype" w:eastAsia="Palatino Linotype" w:hAnsi="Palatino Linotype" w:cs="Palatino Linotype"/>
          <w:i/>
        </w:rPr>
      </w:pPr>
      <w:bookmarkStart w:id="2" w:name="_heading=h.yu024as2wdqs" w:colFirst="0" w:colLast="0"/>
      <w:bookmarkEnd w:id="2"/>
      <w:r w:rsidRPr="005E56EF">
        <w:rPr>
          <w:rFonts w:ascii="Palatino Linotype" w:eastAsia="Palatino Linotype" w:hAnsi="Palatino Linotype" w:cs="Palatino Linotype"/>
          <w:i/>
        </w:rPr>
        <w:t xml:space="preserve">“Listado de Patrimonio municipal registrado en 2025”. </w:t>
      </w:r>
    </w:p>
    <w:p w:rsidR="00A37CE1" w:rsidRPr="005E56EF" w:rsidRDefault="00A37CE1">
      <w:pPr>
        <w:spacing w:after="0" w:line="360" w:lineRule="auto"/>
        <w:ind w:right="49"/>
        <w:jc w:val="both"/>
        <w:rPr>
          <w:rFonts w:ascii="Palatino Linotype" w:eastAsia="Palatino Linotype" w:hAnsi="Palatino Linotype" w:cs="Palatino Linotype"/>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b/>
        </w:rPr>
        <w:t>Modalidad elegida para la entrega de la información:</w:t>
      </w:r>
      <w:r w:rsidRPr="005E56EF">
        <w:rPr>
          <w:rFonts w:ascii="Palatino Linotype" w:eastAsia="Palatino Linotype" w:hAnsi="Palatino Linotype" w:cs="Palatino Linotype"/>
        </w:rPr>
        <w:t xml:space="preserve"> a través del Sistema de Acceso a la Información Mexiquense (SAIMEX). </w:t>
      </w:r>
    </w:p>
    <w:p w:rsidR="00A37CE1" w:rsidRPr="005E56EF" w:rsidRDefault="00A37CE1">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 xml:space="preserve">Respuesta. </w:t>
      </w:r>
      <w:r w:rsidRPr="005E56EF">
        <w:rPr>
          <w:rFonts w:ascii="Palatino Linotype" w:eastAsia="Palatino Linotype" w:hAnsi="Palatino Linotype" w:cs="Palatino Linotype"/>
        </w:rPr>
        <w:t xml:space="preserve">En fecha </w:t>
      </w:r>
      <w:r w:rsidRPr="005E56EF">
        <w:rPr>
          <w:rFonts w:ascii="Palatino Linotype" w:eastAsia="Palatino Linotype" w:hAnsi="Palatino Linotype" w:cs="Palatino Linotype"/>
          <w:b/>
        </w:rPr>
        <w:t>veinte de junio de dos mil veinticinco</w:t>
      </w:r>
      <w:r w:rsidRPr="005E56EF">
        <w:rPr>
          <w:rFonts w:ascii="Palatino Linotype" w:eastAsia="Palatino Linotype" w:hAnsi="Palatino Linotype" w:cs="Palatino Linotype"/>
        </w:rPr>
        <w:t xml:space="preserve">, el </w:t>
      </w:r>
      <w:r w:rsidRPr="005E56EF">
        <w:rPr>
          <w:rFonts w:ascii="Palatino Linotype" w:eastAsia="Palatino Linotype" w:hAnsi="Palatino Linotype" w:cs="Palatino Linotype"/>
          <w:b/>
        </w:rPr>
        <w:t xml:space="preserve">Sujeto Obligado </w:t>
      </w:r>
      <w:r w:rsidRPr="005E56EF">
        <w:rPr>
          <w:rFonts w:ascii="Palatino Linotype" w:eastAsia="Palatino Linotype" w:hAnsi="Palatino Linotype" w:cs="Palatino Linotype"/>
        </w:rPr>
        <w:t xml:space="preserve">proporcionó respuesta a la solicitud de información, al tenor de lo siguiente: </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Me permito remitir respuesta a su solicitud de información.</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ATENTAMENTE</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C. Claudia Monroy Amparo”</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3" w:name="_heading=h.l54nhgt8zd1g" w:colFirst="0" w:colLast="0"/>
      <w:bookmarkEnd w:id="3"/>
      <w:r w:rsidRPr="005E56EF">
        <w:rPr>
          <w:rFonts w:ascii="Palatino Linotype" w:eastAsia="Palatino Linotype" w:hAnsi="Palatino Linotype" w:cs="Palatino Linotype"/>
        </w:rPr>
        <w:t>Asimismo, adjuntó los documentos que se describen a continuación:</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numPr>
          <w:ilvl w:val="0"/>
          <w:numId w:val="3"/>
        </w:numPr>
        <w:pBdr>
          <w:top w:val="nil"/>
          <w:left w:val="nil"/>
          <w:bottom w:val="nil"/>
          <w:right w:val="nil"/>
          <w:between w:val="nil"/>
        </w:pBdr>
        <w:spacing w:after="0" w:line="360" w:lineRule="auto"/>
        <w:ind w:right="418"/>
        <w:jc w:val="both"/>
        <w:rPr>
          <w:rFonts w:ascii="Palatino Linotype" w:eastAsia="Palatino Linotype" w:hAnsi="Palatino Linotype" w:cs="Palatino Linotype"/>
          <w:b/>
          <w:i/>
          <w:u w:val="single"/>
        </w:rPr>
      </w:pPr>
      <w:r w:rsidRPr="005E56EF">
        <w:rPr>
          <w:rFonts w:ascii="Palatino Linotype" w:eastAsia="Palatino Linotype" w:hAnsi="Palatino Linotype" w:cs="Palatino Linotype"/>
          <w:b/>
          <w:i/>
        </w:rPr>
        <w:t xml:space="preserve">Contestaciòn solicitud 365- ATLACOM-IP-2025.pdf: </w:t>
      </w:r>
      <w:r w:rsidRPr="005E56EF">
        <w:rPr>
          <w:rFonts w:ascii="Palatino Linotype" w:eastAsia="Palatino Linotype" w:hAnsi="Palatino Linotype" w:cs="Palatino Linotype"/>
        </w:rPr>
        <w:t xml:space="preserve">Oficio número SM/373/06/2025 de fecha cinco de junio de dos mil veinticinco, signado por la Síndica Municipal en el que informó que de primero de enero a la fecha </w:t>
      </w:r>
      <w:r w:rsidRPr="005E56EF">
        <w:rPr>
          <w:rFonts w:ascii="Palatino Linotype" w:eastAsia="Palatino Linotype" w:hAnsi="Palatino Linotype" w:cs="Palatino Linotype"/>
          <w:b/>
          <w:u w:val="single"/>
        </w:rPr>
        <w:t xml:space="preserve">no se han registrado bienes inmuebles. </w:t>
      </w:r>
    </w:p>
    <w:p w:rsidR="00A37CE1" w:rsidRPr="005E56EF" w:rsidRDefault="00A37CE1">
      <w:pPr>
        <w:pBdr>
          <w:top w:val="nil"/>
          <w:left w:val="nil"/>
          <w:bottom w:val="nil"/>
          <w:right w:val="nil"/>
          <w:between w:val="nil"/>
        </w:pBdr>
        <w:spacing w:after="0" w:line="360" w:lineRule="auto"/>
        <w:ind w:left="720" w:right="418"/>
        <w:jc w:val="both"/>
        <w:rPr>
          <w:rFonts w:ascii="Palatino Linotype" w:eastAsia="Palatino Linotype" w:hAnsi="Palatino Linotype" w:cs="Palatino Linotype"/>
          <w:b/>
          <w:i/>
        </w:rPr>
      </w:pPr>
    </w:p>
    <w:p w:rsidR="00A37CE1" w:rsidRPr="005E56EF" w:rsidRDefault="00DC0395">
      <w:pPr>
        <w:numPr>
          <w:ilvl w:val="0"/>
          <w:numId w:val="3"/>
        </w:numPr>
        <w:pBdr>
          <w:top w:val="nil"/>
          <w:left w:val="nil"/>
          <w:bottom w:val="nil"/>
          <w:right w:val="nil"/>
          <w:between w:val="nil"/>
        </w:pBdr>
        <w:spacing w:after="0" w:line="360" w:lineRule="auto"/>
        <w:ind w:right="418"/>
        <w:jc w:val="both"/>
        <w:rPr>
          <w:rFonts w:ascii="Palatino Linotype" w:eastAsia="Palatino Linotype" w:hAnsi="Palatino Linotype" w:cs="Palatino Linotype"/>
        </w:rPr>
      </w:pPr>
      <w:r w:rsidRPr="005E56EF">
        <w:rPr>
          <w:rFonts w:ascii="Palatino Linotype" w:eastAsia="Palatino Linotype" w:hAnsi="Palatino Linotype" w:cs="Palatino Linotype"/>
          <w:b/>
          <w:i/>
        </w:rPr>
        <w:t>0365_SOL_SA_2025.pdf</w:t>
      </w:r>
      <w:r w:rsidRPr="005E56EF">
        <w:rPr>
          <w:rFonts w:ascii="Palatino Linotype" w:eastAsia="Palatino Linotype" w:hAnsi="Palatino Linotype" w:cs="Palatino Linotype"/>
        </w:rPr>
        <w:t xml:space="preserve">: Oficio número PM/SA/02636/06/2025 de fecha veinte de junio de dos mil veinticinco, signado por el Secretario del Ayuntamiento en el que informó la entrega del oficio número SA/CCP/122/06/2025 signado por el Coordinador de control Patrimonial. </w:t>
      </w:r>
    </w:p>
    <w:p w:rsidR="00A37CE1" w:rsidRPr="005E56EF" w:rsidRDefault="00A37CE1">
      <w:pPr>
        <w:pBdr>
          <w:top w:val="nil"/>
          <w:left w:val="nil"/>
          <w:bottom w:val="nil"/>
          <w:right w:val="nil"/>
          <w:between w:val="nil"/>
        </w:pBdr>
        <w:spacing w:after="0" w:line="360" w:lineRule="auto"/>
        <w:ind w:left="720" w:right="418"/>
        <w:rPr>
          <w:rFonts w:ascii="Palatino Linotype" w:eastAsia="Palatino Linotype" w:hAnsi="Palatino Linotype" w:cs="Palatino Linotype"/>
          <w:color w:val="000000"/>
        </w:rPr>
      </w:pPr>
    </w:p>
    <w:p w:rsidR="00A37CE1" w:rsidRPr="005E56EF" w:rsidRDefault="00DC0395">
      <w:pPr>
        <w:numPr>
          <w:ilvl w:val="0"/>
          <w:numId w:val="3"/>
        </w:numPr>
        <w:pBdr>
          <w:top w:val="nil"/>
          <w:left w:val="nil"/>
          <w:bottom w:val="nil"/>
          <w:right w:val="nil"/>
          <w:between w:val="nil"/>
        </w:pBdr>
        <w:spacing w:after="0" w:line="360" w:lineRule="auto"/>
        <w:ind w:right="418"/>
        <w:jc w:val="both"/>
        <w:rPr>
          <w:rFonts w:ascii="Palatino Linotype" w:eastAsia="Palatino Linotype" w:hAnsi="Palatino Linotype" w:cs="Palatino Linotype"/>
        </w:rPr>
      </w:pPr>
      <w:r w:rsidRPr="005E56EF">
        <w:rPr>
          <w:rFonts w:ascii="Palatino Linotype" w:eastAsia="Palatino Linotype" w:hAnsi="Palatino Linotype" w:cs="Palatino Linotype"/>
          <w:b/>
          <w:i/>
        </w:rPr>
        <w:t>0365_SOL_ANEXO1_SA_2025.pdf</w:t>
      </w:r>
      <w:r w:rsidRPr="005E56EF">
        <w:rPr>
          <w:rFonts w:ascii="Palatino Linotype" w:eastAsia="Palatino Linotype" w:hAnsi="Palatino Linotype" w:cs="Palatino Linotype"/>
        </w:rPr>
        <w:t xml:space="preserve">: Oficio número SA/CCP/122/06/2025 de fecha veinte de junio de dos mil veinticinco, suscrito por el Coordinador de Control Patrimonial, en el que informó la entrega del listado de bienes patrimoniales que han sido registrados durante el periodo 2025, los cuales se muestran a continuación: </w:t>
      </w:r>
    </w:p>
    <w:p w:rsidR="00A37CE1" w:rsidRPr="005E56EF" w:rsidRDefault="00DC0395">
      <w:pPr>
        <w:pBdr>
          <w:top w:val="nil"/>
          <w:left w:val="nil"/>
          <w:bottom w:val="nil"/>
          <w:right w:val="nil"/>
          <w:between w:val="nil"/>
        </w:pBdr>
        <w:spacing w:after="0"/>
        <w:ind w:left="720"/>
        <w:rPr>
          <w:rFonts w:ascii="Palatino Linotype" w:eastAsia="Palatino Linotype" w:hAnsi="Palatino Linotype" w:cs="Palatino Linotype"/>
          <w:color w:val="000000"/>
        </w:rPr>
      </w:pPr>
      <w:r w:rsidRPr="005E56EF">
        <w:rPr>
          <w:rFonts w:ascii="Palatino Linotype" w:eastAsia="Palatino Linotype" w:hAnsi="Palatino Linotype" w:cs="Palatino Linotype"/>
          <w:noProof/>
          <w:color w:val="000000"/>
        </w:rPr>
        <w:lastRenderedPageBreak/>
        <w:drawing>
          <wp:inline distT="0" distB="0" distL="0" distR="0" wp14:anchorId="4742C94E" wp14:editId="68319E29">
            <wp:extent cx="4588047" cy="2523552"/>
            <wp:effectExtent l="0" t="0" r="0" b="0"/>
            <wp:docPr id="1451892698"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8"/>
                    <a:srcRect/>
                    <a:stretch>
                      <a:fillRect/>
                    </a:stretch>
                  </pic:blipFill>
                  <pic:spPr>
                    <a:xfrm>
                      <a:off x="0" y="0"/>
                      <a:ext cx="4588047" cy="2523552"/>
                    </a:xfrm>
                    <a:prstGeom prst="rect">
                      <a:avLst/>
                    </a:prstGeom>
                    <a:ln/>
                  </pic:spPr>
                </pic:pic>
              </a:graphicData>
            </a:graphic>
          </wp:inline>
        </w:drawing>
      </w:r>
    </w:p>
    <w:p w:rsidR="00A37CE1" w:rsidRPr="005E56EF" w:rsidRDefault="00A37CE1">
      <w:pPr>
        <w:pBdr>
          <w:top w:val="nil"/>
          <w:left w:val="nil"/>
          <w:bottom w:val="nil"/>
          <w:right w:val="nil"/>
          <w:between w:val="nil"/>
        </w:pBdr>
        <w:spacing w:after="0"/>
        <w:ind w:left="720"/>
        <w:rPr>
          <w:rFonts w:ascii="Palatino Linotype" w:eastAsia="Palatino Linotype" w:hAnsi="Palatino Linotype" w:cs="Palatino Linotype"/>
          <w:color w:val="000000"/>
        </w:rPr>
      </w:pPr>
    </w:p>
    <w:p w:rsidR="00A37CE1" w:rsidRPr="005E56EF" w:rsidRDefault="00DC0395">
      <w:pPr>
        <w:numPr>
          <w:ilvl w:val="0"/>
          <w:numId w:val="3"/>
        </w:numPr>
        <w:pBdr>
          <w:top w:val="nil"/>
          <w:left w:val="nil"/>
          <w:bottom w:val="nil"/>
          <w:right w:val="nil"/>
          <w:between w:val="nil"/>
        </w:pBdr>
        <w:spacing w:after="0" w:line="360" w:lineRule="auto"/>
        <w:ind w:right="418"/>
        <w:jc w:val="both"/>
        <w:rPr>
          <w:rFonts w:ascii="Palatino Linotype" w:eastAsia="Palatino Linotype" w:hAnsi="Palatino Linotype" w:cs="Palatino Linotype"/>
        </w:rPr>
      </w:pPr>
      <w:r w:rsidRPr="005E56EF">
        <w:rPr>
          <w:rFonts w:ascii="Palatino Linotype" w:eastAsia="Palatino Linotype" w:hAnsi="Palatino Linotype" w:cs="Palatino Linotype"/>
          <w:b/>
          <w:i/>
        </w:rPr>
        <w:t>0365_RESP_2025.pdf</w:t>
      </w:r>
      <w:r w:rsidRPr="005E56EF">
        <w:rPr>
          <w:rFonts w:ascii="Palatino Linotype" w:eastAsia="Palatino Linotype" w:hAnsi="Palatino Linotype" w:cs="Palatino Linotype"/>
        </w:rPr>
        <w:t xml:space="preserve">: Oficio número PM/UT/365/2025 de fecha veinte de junio de dos mil veinticinco, suscrito por la Titular de la Unidad de Transparencia, en el que informó la entrega del oficio remitió por el área a la que fue turnada la solicitud de información. </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 xml:space="preserve">Recurso de Revisión. </w:t>
      </w:r>
      <w:r w:rsidRPr="005E56EF">
        <w:rPr>
          <w:rFonts w:ascii="Palatino Linotype" w:eastAsia="Palatino Linotype" w:hAnsi="Palatino Linotype" w:cs="Palatino Linotype"/>
        </w:rPr>
        <w:t xml:space="preserve">En fecha </w:t>
      </w:r>
      <w:r w:rsidRPr="005E56EF">
        <w:rPr>
          <w:rFonts w:ascii="Palatino Linotype" w:eastAsia="Palatino Linotype" w:hAnsi="Palatino Linotype" w:cs="Palatino Linotype"/>
          <w:b/>
        </w:rPr>
        <w:t xml:space="preserve">veintidós de junio de dos mil veinticinco, </w:t>
      </w:r>
      <w:r w:rsidRPr="005E56EF">
        <w:rPr>
          <w:rFonts w:ascii="Palatino Linotype" w:eastAsia="Palatino Linotype" w:hAnsi="Palatino Linotype" w:cs="Palatino Linotype"/>
        </w:rPr>
        <w:t xml:space="preserve">la persona Solicitante interpuso Recurso de Revisión a través del </w:t>
      </w:r>
      <w:r w:rsidRPr="005E56EF">
        <w:rPr>
          <w:rFonts w:ascii="Palatino Linotype" w:eastAsia="Palatino Linotype" w:hAnsi="Palatino Linotype" w:cs="Palatino Linotype"/>
          <w:b/>
        </w:rPr>
        <w:t>SAIMEX</w:t>
      </w:r>
      <w:r w:rsidRPr="005E56EF">
        <w:rPr>
          <w:rFonts w:ascii="Palatino Linotype" w:eastAsia="Palatino Linotype" w:hAnsi="Palatino Linotype" w:cs="Palatino Linotype"/>
        </w:rPr>
        <w:t>, sin embargo, al corresponder a un día inhábil se tuvo por presentada el día</w:t>
      </w:r>
      <w:r w:rsidRPr="005E56EF">
        <w:rPr>
          <w:rFonts w:ascii="Palatino Linotype" w:eastAsia="Palatino Linotype" w:hAnsi="Palatino Linotype" w:cs="Palatino Linotype"/>
          <w:b/>
        </w:rPr>
        <w:t xml:space="preserve"> veintitrés de junio de dos mil veinticinco, </w:t>
      </w:r>
      <w:r w:rsidRPr="005E56EF">
        <w:rPr>
          <w:rFonts w:ascii="Palatino Linotype" w:eastAsia="Palatino Linotype" w:hAnsi="Palatino Linotype" w:cs="Palatino Linotype"/>
        </w:rPr>
        <w:t>a través del cual expresó lo siguiente:</w:t>
      </w:r>
    </w:p>
    <w:p w:rsidR="00A37CE1" w:rsidRPr="005E56EF" w:rsidRDefault="00A37CE1">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rsidR="00A37CE1" w:rsidRPr="005E56EF" w:rsidRDefault="00DC039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i/>
        </w:rPr>
      </w:pPr>
      <w:r w:rsidRPr="005E56EF">
        <w:rPr>
          <w:rFonts w:ascii="Palatino Linotype" w:eastAsia="Palatino Linotype" w:hAnsi="Palatino Linotype" w:cs="Palatino Linotype"/>
          <w:b/>
        </w:rPr>
        <w:t>Acto impugnado</w:t>
      </w:r>
      <w:r w:rsidRPr="005E56EF">
        <w:rPr>
          <w:rFonts w:ascii="Palatino Linotype" w:eastAsia="Palatino Linotype" w:hAnsi="Palatino Linotype" w:cs="Palatino Linotype"/>
          <w:b/>
          <w:i/>
        </w:rPr>
        <w:t xml:space="preserve">. </w:t>
      </w:r>
    </w:p>
    <w:p w:rsidR="00A37CE1" w:rsidRPr="005E56EF" w:rsidRDefault="00A37CE1">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p>
    <w:p w:rsidR="00A37CE1" w:rsidRPr="005E56EF" w:rsidRDefault="00DC039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5E56EF">
        <w:rPr>
          <w:rFonts w:ascii="Palatino Linotype" w:eastAsia="Palatino Linotype" w:hAnsi="Palatino Linotype" w:cs="Palatino Linotype"/>
          <w:i/>
        </w:rPr>
        <w:t>“Información incompleta”.</w:t>
      </w:r>
    </w:p>
    <w:p w:rsidR="00A37CE1" w:rsidRPr="005E56EF" w:rsidRDefault="00A37CE1">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rsidR="00A37CE1" w:rsidRPr="005E56EF" w:rsidRDefault="00DC039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5E56EF">
        <w:rPr>
          <w:rFonts w:ascii="Palatino Linotype" w:eastAsia="Palatino Linotype" w:hAnsi="Palatino Linotype" w:cs="Palatino Linotype"/>
          <w:b/>
        </w:rPr>
        <w:t xml:space="preserve">Razones o motivos de la inconformidad: </w:t>
      </w:r>
    </w:p>
    <w:p w:rsidR="00A37CE1" w:rsidRPr="005E56EF" w:rsidRDefault="00A37CE1">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rsidR="00A37CE1" w:rsidRPr="005E56EF" w:rsidRDefault="00DC039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“Como </w:t>
      </w:r>
      <w:r w:rsidRPr="005E56EF">
        <w:rPr>
          <w:rFonts w:ascii="Palatino Linotype" w:eastAsia="Palatino Linotype" w:hAnsi="Palatino Linotype" w:cs="Palatino Linotype"/>
          <w:b/>
          <w:i/>
          <w:u w:val="single"/>
        </w:rPr>
        <w:t>es poque el síndico diga que no hay registros</w:t>
      </w:r>
      <w:r w:rsidRPr="005E56EF">
        <w:rPr>
          <w:rFonts w:ascii="Palatino Linotype" w:eastAsia="Palatino Linotype" w:hAnsi="Palatino Linotype" w:cs="Palatino Linotype"/>
          <w:i/>
        </w:rPr>
        <w:t>, es evidente que no entregan información”.</w:t>
      </w:r>
    </w:p>
    <w:p w:rsidR="00A37CE1" w:rsidRPr="005E56EF" w:rsidRDefault="00A37CE1">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Turno.</w:t>
      </w:r>
      <w:r w:rsidRPr="005E56EF">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5E56EF">
        <w:rPr>
          <w:rFonts w:ascii="Palatino Linotype" w:eastAsia="Palatino Linotype" w:hAnsi="Palatino Linotype" w:cs="Palatino Linotype"/>
          <w:b/>
        </w:rPr>
        <w:t>07589/INFOEM/IP/RR/2025</w:t>
      </w:r>
      <w:r w:rsidRPr="005E56EF">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Admisión del recurso de revisión</w:t>
      </w:r>
      <w:r w:rsidRPr="005E56EF">
        <w:rPr>
          <w:rFonts w:ascii="Palatino Linotype" w:eastAsia="Palatino Linotype" w:hAnsi="Palatino Linotype" w:cs="Palatino Linotype"/>
        </w:rPr>
        <w:t xml:space="preserve">: En fecha </w:t>
      </w:r>
      <w:r w:rsidRPr="005E56EF">
        <w:rPr>
          <w:rFonts w:ascii="Palatino Linotype" w:eastAsia="Palatino Linotype" w:hAnsi="Palatino Linotype" w:cs="Palatino Linotype"/>
          <w:b/>
        </w:rPr>
        <w:t>veintiséis de junio de dos mil veinticinco</w:t>
      </w:r>
      <w:r w:rsidRPr="005E56EF">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37CE1" w:rsidRPr="005E56EF" w:rsidRDefault="00A37CE1">
      <w:pPr>
        <w:pBdr>
          <w:top w:val="nil"/>
          <w:left w:val="nil"/>
          <w:bottom w:val="nil"/>
          <w:right w:val="nil"/>
          <w:between w:val="nil"/>
        </w:pBdr>
        <w:spacing w:after="0"/>
        <w:ind w:left="720"/>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5E56EF">
        <w:rPr>
          <w:rFonts w:ascii="Palatino Linotype" w:eastAsia="Palatino Linotype" w:hAnsi="Palatino Linotype" w:cs="Palatino Linotype"/>
          <w:b/>
        </w:rPr>
        <w:t xml:space="preserve">Manifestaciones. </w:t>
      </w:r>
      <w:r w:rsidRPr="005E56EF">
        <w:rPr>
          <w:rFonts w:ascii="Palatino Linotype" w:eastAsia="Palatino Linotype" w:hAnsi="Palatino Linotype" w:cs="Palatino Linotype"/>
        </w:rPr>
        <w:t xml:space="preserve">En fecha </w:t>
      </w:r>
      <w:r w:rsidRPr="005E56EF">
        <w:rPr>
          <w:rFonts w:ascii="Palatino Linotype" w:eastAsia="Palatino Linotype" w:hAnsi="Palatino Linotype" w:cs="Palatino Linotype"/>
          <w:b/>
        </w:rPr>
        <w:t xml:space="preserve">cuatro de julio de dos mil veinticinco, </w:t>
      </w:r>
      <w:r w:rsidRPr="005E56EF">
        <w:rPr>
          <w:rFonts w:ascii="Palatino Linotype" w:eastAsia="Palatino Linotype" w:hAnsi="Palatino Linotype" w:cs="Palatino Linotype"/>
        </w:rPr>
        <w:t xml:space="preserve">el </w:t>
      </w:r>
      <w:r w:rsidRPr="005E56EF">
        <w:rPr>
          <w:rFonts w:ascii="Palatino Linotype" w:eastAsia="Palatino Linotype" w:hAnsi="Palatino Linotype" w:cs="Palatino Linotype"/>
          <w:b/>
        </w:rPr>
        <w:t xml:space="preserve">Sujeto Obligado </w:t>
      </w:r>
      <w:r w:rsidRPr="005E56EF">
        <w:rPr>
          <w:rFonts w:ascii="Palatino Linotype" w:eastAsia="Palatino Linotype" w:hAnsi="Palatino Linotype" w:cs="Palatino Linotype"/>
        </w:rPr>
        <w:t xml:space="preserve">remitió, a través del SAIMEX, el archivo electrónico denominado </w:t>
      </w:r>
      <w:r w:rsidRPr="005E56EF">
        <w:rPr>
          <w:rFonts w:ascii="Palatino Linotype" w:eastAsia="Palatino Linotype" w:hAnsi="Palatino Linotype" w:cs="Palatino Linotype"/>
          <w:b/>
          <w:i/>
        </w:rPr>
        <w:t>“</w:t>
      </w:r>
      <w:r w:rsidRPr="005E56EF">
        <w:rPr>
          <w:rFonts w:ascii="Palatino Linotype" w:eastAsia="Palatino Linotype" w:hAnsi="Palatino Linotype" w:cs="Palatino Linotype"/>
          <w:b/>
          <w:i/>
        </w:rPr>
        <w:tab/>
        <w:t>07589_RR_IFJ_2025.pdf”</w:t>
      </w:r>
      <w:r w:rsidRPr="005E56EF">
        <w:rPr>
          <w:rFonts w:ascii="Palatino Linotype" w:eastAsia="Palatino Linotype" w:hAnsi="Palatino Linotype" w:cs="Palatino Linotype"/>
        </w:rPr>
        <w:t xml:space="preserve">, mismo que fue hecho del conocimiento del ahora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en fecha </w:t>
      </w:r>
      <w:r w:rsidRPr="005E56EF">
        <w:rPr>
          <w:rFonts w:ascii="Palatino Linotype" w:eastAsia="Palatino Linotype" w:hAnsi="Palatino Linotype" w:cs="Palatino Linotype"/>
          <w:b/>
        </w:rPr>
        <w:t>primero de octubre de dos mil veinticinco</w:t>
      </w:r>
      <w:r w:rsidRPr="005E56EF">
        <w:rPr>
          <w:rFonts w:ascii="Palatino Linotype" w:eastAsia="Palatino Linotype" w:hAnsi="Palatino Linotype" w:cs="Palatino Linotype"/>
        </w:rPr>
        <w:t xml:space="preserve">, mediante el cual la Sindica Municipal y la Secretaría del Ayuntamiento ratifican su respuesta inicial. </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rsidR="00A37CE1" w:rsidRPr="005E56EF" w:rsidRDefault="00DC039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De las constancias que obran en el expediente electrónico del SAIMEX se desprende que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fue omisa en presentar sus alegatos o manifestación alguna.</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Ampliación del plazo para emitir resolución.</w:t>
      </w:r>
      <w:r w:rsidRPr="005E56EF">
        <w:rPr>
          <w:rFonts w:ascii="Palatino Linotype" w:eastAsia="Palatino Linotype" w:hAnsi="Palatino Linotype" w:cs="Palatino Linotype"/>
        </w:rPr>
        <w:t xml:space="preserve"> El </w:t>
      </w:r>
      <w:r w:rsidRPr="005E56EF">
        <w:rPr>
          <w:rFonts w:ascii="Palatino Linotype" w:eastAsia="Palatino Linotype" w:hAnsi="Palatino Linotype" w:cs="Palatino Linotype"/>
          <w:b/>
        </w:rPr>
        <w:t>primero de octubre de dos mil veinticinco</w:t>
      </w:r>
      <w:r w:rsidRPr="005E56E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37CE1" w:rsidRPr="005E56EF" w:rsidRDefault="00A37CE1">
      <w:pPr>
        <w:tabs>
          <w:tab w:val="left" w:pos="709"/>
        </w:tabs>
        <w:spacing w:after="0" w:line="360" w:lineRule="auto"/>
        <w:ind w:left="567" w:right="560"/>
        <w:jc w:val="both"/>
        <w:rPr>
          <w:rFonts w:ascii="Palatino Linotype" w:eastAsia="Palatino Linotype" w:hAnsi="Palatino Linotype" w:cs="Palatino Linotype"/>
          <w:b/>
        </w:rPr>
      </w:pPr>
    </w:p>
    <w:p w:rsidR="00A37CE1" w:rsidRPr="005E56EF" w:rsidRDefault="00DC0395">
      <w:pPr>
        <w:tabs>
          <w:tab w:val="left" w:pos="709"/>
        </w:tabs>
        <w:spacing w:after="0" w:line="360" w:lineRule="auto"/>
        <w:ind w:left="567" w:right="560"/>
        <w:jc w:val="both"/>
        <w:rPr>
          <w:rFonts w:ascii="Palatino Linotype" w:eastAsia="Palatino Linotype" w:hAnsi="Palatino Linotype" w:cs="Palatino Linotype"/>
        </w:rPr>
      </w:pPr>
      <w:r w:rsidRPr="005E56EF">
        <w:rPr>
          <w:rFonts w:ascii="Palatino Linotype" w:eastAsia="Palatino Linotype" w:hAnsi="Palatino Linotype" w:cs="Palatino Linotype"/>
          <w:b/>
        </w:rPr>
        <w:t>a)    Complejidad del asunto:</w:t>
      </w:r>
      <w:r w:rsidRPr="005E56EF">
        <w:rPr>
          <w:rFonts w:ascii="Palatino Linotype" w:eastAsia="Palatino Linotype" w:hAnsi="Palatino Linotype" w:cs="Palatino Linotype"/>
        </w:rPr>
        <w:t xml:space="preserve"> La complejidad de la prueba, la pluralidad de sujetos procesales, el tiempo transcurrido, las características y contexto del recurso.</w:t>
      </w:r>
    </w:p>
    <w:p w:rsidR="00A37CE1" w:rsidRPr="005E56EF" w:rsidRDefault="00DC0395">
      <w:pPr>
        <w:tabs>
          <w:tab w:val="left" w:pos="709"/>
        </w:tabs>
        <w:spacing w:after="0" w:line="360" w:lineRule="auto"/>
        <w:ind w:left="567" w:right="560"/>
        <w:jc w:val="both"/>
        <w:rPr>
          <w:rFonts w:ascii="Palatino Linotype" w:eastAsia="Palatino Linotype" w:hAnsi="Palatino Linotype" w:cs="Palatino Linotype"/>
        </w:rPr>
      </w:pPr>
      <w:r w:rsidRPr="005E56EF">
        <w:rPr>
          <w:rFonts w:ascii="Palatino Linotype" w:eastAsia="Palatino Linotype" w:hAnsi="Palatino Linotype" w:cs="Palatino Linotype"/>
          <w:b/>
        </w:rPr>
        <w:t>b)   Actividad Procesal del interesado</w:t>
      </w:r>
      <w:r w:rsidRPr="005E56EF">
        <w:rPr>
          <w:rFonts w:ascii="Palatino Linotype" w:eastAsia="Palatino Linotype" w:hAnsi="Palatino Linotype" w:cs="Palatino Linotype"/>
        </w:rPr>
        <w:t>: Acciones u omisiones del interesado.</w:t>
      </w:r>
    </w:p>
    <w:p w:rsidR="00A37CE1" w:rsidRPr="005E56EF" w:rsidRDefault="00DC0395">
      <w:pPr>
        <w:tabs>
          <w:tab w:val="left" w:pos="851"/>
        </w:tabs>
        <w:spacing w:after="0" w:line="360" w:lineRule="auto"/>
        <w:ind w:left="567" w:right="560"/>
        <w:jc w:val="both"/>
        <w:rPr>
          <w:rFonts w:ascii="Palatino Linotype" w:eastAsia="Palatino Linotype" w:hAnsi="Palatino Linotype" w:cs="Palatino Linotype"/>
        </w:rPr>
      </w:pPr>
      <w:r w:rsidRPr="005E56EF">
        <w:rPr>
          <w:rFonts w:ascii="Palatino Linotype" w:eastAsia="Palatino Linotype" w:hAnsi="Palatino Linotype" w:cs="Palatino Linotype"/>
          <w:b/>
        </w:rPr>
        <w:t>c)  Conducta de la Autoridad:</w:t>
      </w:r>
      <w:r w:rsidRPr="005E56EF">
        <w:rPr>
          <w:rFonts w:ascii="Palatino Linotype" w:eastAsia="Palatino Linotype" w:hAnsi="Palatino Linotype" w:cs="Palatino Linotype"/>
        </w:rPr>
        <w:t xml:space="preserve"> Las Acciones u omisiones realizadas en el procedimiento. Así como si la autoridad actuó con la debida diligencia.</w:t>
      </w:r>
    </w:p>
    <w:p w:rsidR="00A37CE1" w:rsidRPr="005E56EF" w:rsidRDefault="00DC0395">
      <w:pPr>
        <w:tabs>
          <w:tab w:val="left" w:pos="851"/>
        </w:tabs>
        <w:spacing w:after="0" w:line="360" w:lineRule="auto"/>
        <w:ind w:left="567" w:right="560"/>
        <w:jc w:val="both"/>
        <w:rPr>
          <w:rFonts w:ascii="Palatino Linotype" w:eastAsia="Palatino Linotype" w:hAnsi="Palatino Linotype" w:cs="Palatino Linotype"/>
        </w:rPr>
      </w:pPr>
      <w:r w:rsidRPr="005E56EF">
        <w:rPr>
          <w:rFonts w:ascii="Palatino Linotype" w:eastAsia="Palatino Linotype" w:hAnsi="Palatino Linotype" w:cs="Palatino Linotype"/>
          <w:b/>
        </w:rPr>
        <w:t>d) La afectación generada en la situación jurídica de la persona involucrada en el proceso:</w:t>
      </w:r>
      <w:r w:rsidRPr="005E56EF">
        <w:rPr>
          <w:rFonts w:ascii="Palatino Linotype" w:eastAsia="Palatino Linotype" w:hAnsi="Palatino Linotype" w:cs="Palatino Linotype"/>
        </w:rPr>
        <w:t xml:space="preserve"> Violación a sus derechos humanos.</w:t>
      </w:r>
    </w:p>
    <w:p w:rsidR="00A37CE1" w:rsidRPr="005E56EF" w:rsidRDefault="00A37CE1">
      <w:pPr>
        <w:tabs>
          <w:tab w:val="left" w:pos="851"/>
        </w:tabs>
        <w:spacing w:after="0" w:line="360" w:lineRule="auto"/>
        <w:ind w:left="567" w:right="560"/>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Argumento que encuentra sustento en la jurisprudencia P./J. 32/92 emitida por el Pleno de la Suprema Corte de Justicia de la Nación de rubro “</w:t>
      </w:r>
      <w:r w:rsidRPr="005E56EF">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5E56EF">
        <w:rPr>
          <w:rFonts w:ascii="Palatino Linotype" w:eastAsia="Palatino Linotype" w:hAnsi="Palatino Linotype" w:cs="Palatino Linotype"/>
        </w:rPr>
        <w:t>, visible en la Gaceta del Seminario Judicial de la Federación con el registro digital 205635.</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616"/>
        <w:jc w:val="both"/>
        <w:rPr>
          <w:rFonts w:ascii="Palatino Linotype" w:eastAsia="Palatino Linotype" w:hAnsi="Palatino Linotype" w:cs="Palatino Linotype"/>
          <w:i/>
        </w:rPr>
      </w:pPr>
      <w:r w:rsidRPr="005E56EF">
        <w:rPr>
          <w:rFonts w:ascii="Palatino Linotype" w:eastAsia="Palatino Linotype" w:hAnsi="Palatino Linotype" w:cs="Palatino Linotype"/>
          <w:b/>
          <w:i/>
        </w:rPr>
        <w:t>“PLAZO RAZONABLE PARA RESOLVER. DIMENSIÓN Y EFECTOS DE ESTE CONCEPTO CUANDO SE ADUCE EXCESIVA CARGA DE TRABAJO.”</w:t>
      </w:r>
      <w:r w:rsidRPr="005E56EF">
        <w:rPr>
          <w:rFonts w:ascii="Palatino Linotype" w:eastAsia="Palatino Linotype" w:hAnsi="Palatino Linotype" w:cs="Palatino Linotype"/>
          <w:i/>
        </w:rPr>
        <w:t xml:space="preserve"> consultable en el Seminario Judicial de la Federación y su gaceta, con el registro digital 2002351.</w:t>
      </w:r>
    </w:p>
    <w:p w:rsidR="00A37CE1" w:rsidRPr="005E56EF" w:rsidRDefault="00DC0395">
      <w:pPr>
        <w:spacing w:after="0"/>
        <w:ind w:left="851" w:right="616"/>
        <w:jc w:val="both"/>
        <w:rPr>
          <w:rFonts w:ascii="Palatino Linotype" w:eastAsia="Palatino Linotype" w:hAnsi="Palatino Linotype" w:cs="Palatino Linotype"/>
        </w:rPr>
      </w:pPr>
      <w:r w:rsidRPr="005E56EF">
        <w:rPr>
          <w:rFonts w:ascii="Palatino Linotype" w:eastAsia="Palatino Linotype" w:hAnsi="Palatino Linotype" w:cs="Palatino Linotype"/>
          <w:b/>
          <w:i/>
        </w:rPr>
        <w:t>“PLAZO RAZONABLE PARA RESOLVER. CONCEPTO Y ELEMENTOS QUE LO INTEGRAN A LA LUZ DEL DERECHO INTERNACIONAL DE LOS DERECHOS HUMANOS.”,</w:t>
      </w:r>
      <w:r w:rsidRPr="005E56EF">
        <w:rPr>
          <w:rFonts w:ascii="Palatino Linotype" w:eastAsia="Palatino Linotype" w:hAnsi="Palatino Linotype" w:cs="Palatino Linotype"/>
          <w:i/>
        </w:rPr>
        <w:t xml:space="preserve"> visible en el Seminario Judicial de la Federación y su gaceta, con el registro digital 2002350</w:t>
      </w:r>
      <w:r w:rsidRPr="005E56EF">
        <w:rPr>
          <w:rFonts w:ascii="Palatino Linotype" w:eastAsia="Palatino Linotype" w:hAnsi="Palatino Linotype" w:cs="Palatino Linotype"/>
        </w:rPr>
        <w:t>.</w:t>
      </w:r>
    </w:p>
    <w:p w:rsidR="00A37CE1" w:rsidRPr="005E56EF" w:rsidRDefault="00A37CE1">
      <w:pPr>
        <w:spacing w:after="0"/>
        <w:ind w:left="851" w:right="616"/>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56EF">
        <w:rPr>
          <w:rFonts w:ascii="Palatino Linotype" w:eastAsia="Palatino Linotype" w:hAnsi="Palatino Linotype" w:cs="Palatino Linotype"/>
          <w:b/>
        </w:rPr>
        <w:t>Cierre de instrucción</w:t>
      </w:r>
      <w:r w:rsidRPr="005E56EF">
        <w:rPr>
          <w:rFonts w:ascii="Palatino Linotype" w:eastAsia="Palatino Linotype" w:hAnsi="Palatino Linotype" w:cs="Palatino Linotype"/>
        </w:rPr>
        <w:t xml:space="preserve">. En fecha </w:t>
      </w:r>
      <w:r w:rsidRPr="005E56EF">
        <w:rPr>
          <w:rFonts w:ascii="Palatino Linotype" w:eastAsia="Palatino Linotype" w:hAnsi="Palatino Linotype" w:cs="Palatino Linotype"/>
          <w:b/>
        </w:rPr>
        <w:t>siete de octubre de dos mil veinticinco</w:t>
      </w:r>
      <w:r w:rsidRPr="005E56E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center"/>
        <w:rPr>
          <w:rFonts w:ascii="Palatino Linotype" w:eastAsia="Palatino Linotype" w:hAnsi="Palatino Linotype" w:cs="Palatino Linotype"/>
          <w:b/>
        </w:rPr>
      </w:pPr>
      <w:r w:rsidRPr="005E56EF">
        <w:rPr>
          <w:rFonts w:ascii="Palatino Linotype" w:eastAsia="Palatino Linotype" w:hAnsi="Palatino Linotype" w:cs="Palatino Linotype"/>
          <w:b/>
        </w:rPr>
        <w:t>II.</w:t>
      </w:r>
      <w:r w:rsidRPr="005E56EF">
        <w:rPr>
          <w:rFonts w:ascii="Palatino Linotype" w:eastAsia="Palatino Linotype" w:hAnsi="Palatino Linotype" w:cs="Palatino Linotype"/>
          <w:b/>
        </w:rPr>
        <w:tab/>
        <w:t>C O N S I D E R A N D O:</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b/>
        </w:rPr>
        <w:t xml:space="preserve">Primero. Competencia. </w:t>
      </w:r>
      <w:r w:rsidRPr="005E56EF">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b/>
        </w:rPr>
        <w:t>Segundo. Oportunidad y Procedibilidad del Recurso de Revisión.</w:t>
      </w:r>
      <w:r w:rsidRPr="005E56EF">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remitió la respuesta a la solicitud de información el </w:t>
      </w:r>
      <w:r w:rsidRPr="005E56EF">
        <w:rPr>
          <w:rFonts w:ascii="Palatino Linotype" w:eastAsia="Palatino Linotype" w:hAnsi="Palatino Linotype" w:cs="Palatino Linotype"/>
          <w:b/>
        </w:rPr>
        <w:t>veinte de junio de dos mil veinticinco</w:t>
      </w:r>
      <w:r w:rsidRPr="005E56EF">
        <w:rPr>
          <w:rFonts w:ascii="Palatino Linotype" w:eastAsia="Palatino Linotype" w:hAnsi="Palatino Linotype" w:cs="Palatino Linotype"/>
        </w:rPr>
        <w:t xml:space="preserve">, mientras que el recurso de revisión interpuesto por la parte </w:t>
      </w:r>
      <w:r w:rsidRPr="005E56EF">
        <w:rPr>
          <w:rFonts w:ascii="Palatino Linotype" w:eastAsia="Palatino Linotype" w:hAnsi="Palatino Linotype" w:cs="Palatino Linotype"/>
          <w:b/>
        </w:rPr>
        <w:t xml:space="preserve">Recurrente </w:t>
      </w:r>
      <w:r w:rsidRPr="005E56EF">
        <w:rPr>
          <w:rFonts w:ascii="Palatino Linotype" w:eastAsia="Palatino Linotype" w:hAnsi="Palatino Linotype" w:cs="Palatino Linotype"/>
        </w:rPr>
        <w:t xml:space="preserve">se tuvo por presentado el </w:t>
      </w:r>
      <w:r w:rsidRPr="005E56EF">
        <w:rPr>
          <w:rFonts w:ascii="Palatino Linotype" w:eastAsia="Palatino Linotype" w:hAnsi="Palatino Linotype" w:cs="Palatino Linotype"/>
          <w:b/>
        </w:rPr>
        <w:t>veintidós de junio de dos mil veinticinco</w:t>
      </w:r>
      <w:r w:rsidRPr="005E56EF">
        <w:rPr>
          <w:rFonts w:ascii="Palatino Linotype" w:eastAsia="Palatino Linotype" w:hAnsi="Palatino Linotype" w:cs="Palatino Linotype"/>
        </w:rPr>
        <w:t>, sin embargo al corresponder a un día inhábil se tuvo por presentada el día</w:t>
      </w:r>
      <w:r w:rsidRPr="005E56EF">
        <w:rPr>
          <w:rFonts w:ascii="Palatino Linotype" w:eastAsia="Palatino Linotype" w:hAnsi="Palatino Linotype" w:cs="Palatino Linotype"/>
          <w:b/>
        </w:rPr>
        <w:t xml:space="preserve"> veintitrés de junio de dos mil veinticinco, </w:t>
      </w:r>
      <w:r w:rsidRPr="005E56EF">
        <w:rPr>
          <w:rFonts w:ascii="Palatino Linotype" w:eastAsia="Palatino Linotype" w:hAnsi="Palatino Linotype" w:cs="Palatino Linotype"/>
        </w:rPr>
        <w:t>esto es al primer día hábil en que se tuvo conocimiento de la respuesta.</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Es de suma importancia mencionar que, si bien,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5E56EF">
        <w:rPr>
          <w:rFonts w:ascii="Palatino Linotype" w:eastAsia="Palatino Linotype" w:hAnsi="Palatino Linotype" w:cs="Palatino Linotype"/>
          <w:b/>
        </w:rPr>
        <w:t>SAIMEX</w:t>
      </w:r>
      <w:r w:rsidRPr="005E56EF">
        <w:rPr>
          <w:rFonts w:ascii="Palatino Linotype" w:eastAsia="Palatino Linotype" w:hAnsi="Palatino Linotype" w:cs="Palatino Linotype"/>
        </w:rPr>
        <w:t xml:space="preserve">.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V de la Ley de la materia, que a la letra dice:</w:t>
      </w:r>
    </w:p>
    <w:p w:rsidR="00A37CE1" w:rsidRPr="005E56EF" w:rsidRDefault="00A37CE1">
      <w:pPr>
        <w:spacing w:after="0"/>
        <w:ind w:left="567" w:right="560"/>
        <w:jc w:val="both"/>
        <w:rPr>
          <w:rFonts w:ascii="Palatino Linotype" w:eastAsia="Palatino Linotype" w:hAnsi="Palatino Linotype" w:cs="Palatino Linotype"/>
          <w:i/>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Artículo 179.</w:t>
      </w:r>
      <w:r w:rsidRPr="005E56E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V. La entrega de información incompleta;</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A37CE1">
      <w:pPr>
        <w:spacing w:after="0" w:line="360" w:lineRule="auto"/>
        <w:ind w:left="567" w:right="560"/>
        <w:jc w:val="both"/>
        <w:rPr>
          <w:rFonts w:ascii="Palatino Linotype" w:eastAsia="Palatino Linotype" w:hAnsi="Palatino Linotype" w:cs="Palatino Linotype"/>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b/>
        </w:rPr>
        <w:t>Tercero. Materia de la revisión</w:t>
      </w:r>
      <w:r w:rsidRPr="005E56EF">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V del artículo 179 de la Ley en la materia.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b/>
        </w:rPr>
        <w:t>Cuarto.</w:t>
      </w:r>
      <w:r w:rsidRPr="005E56EF">
        <w:rPr>
          <w:rFonts w:ascii="Palatino Linotype" w:eastAsia="Palatino Linotype" w:hAnsi="Palatino Linotype" w:cs="Palatino Linotype"/>
        </w:rPr>
        <w:t xml:space="preserve"> </w:t>
      </w:r>
      <w:r w:rsidRPr="005E56EF">
        <w:rPr>
          <w:rFonts w:ascii="Palatino Linotype" w:eastAsia="Palatino Linotype" w:hAnsi="Palatino Linotype" w:cs="Palatino Linotype"/>
          <w:b/>
        </w:rPr>
        <w:t>Estudio de fondo del asunto.</w:t>
      </w:r>
      <w:r w:rsidRPr="005E56EF">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37CE1" w:rsidRPr="005E56EF" w:rsidRDefault="00A37CE1">
      <w:pPr>
        <w:spacing w:after="0"/>
        <w:ind w:left="567" w:right="560"/>
        <w:jc w:val="both"/>
        <w:rPr>
          <w:rFonts w:ascii="Palatino Linotype" w:eastAsia="Palatino Linotype" w:hAnsi="Palatino Linotype" w:cs="Palatino Linotype"/>
          <w:i/>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b/>
          <w:i/>
        </w:rPr>
        <w:t>Artículo 1o.</w:t>
      </w:r>
      <w:r w:rsidRPr="005E56E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43"/>
        <w:jc w:val="both"/>
        <w:rPr>
          <w:rFonts w:ascii="Palatino Linotype" w:eastAsia="Palatino Linotype" w:hAnsi="Palatino Linotype" w:cs="Palatino Linotype"/>
          <w:b/>
          <w:i/>
        </w:rPr>
      </w:pPr>
      <w:r w:rsidRPr="005E56EF">
        <w:rPr>
          <w:rFonts w:ascii="Palatino Linotype" w:eastAsia="Palatino Linotype" w:hAnsi="Palatino Linotype" w:cs="Palatino Linotype"/>
          <w:b/>
          <w:i/>
        </w:rPr>
        <w:t>“Artículo 6o.</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b/>
          <w:i/>
        </w:rPr>
        <w:t xml:space="preserve">A. Para el ejercicio del derecho de acceso a la información, la Federación y </w:t>
      </w:r>
      <w:r w:rsidRPr="005E56EF">
        <w:rPr>
          <w:rFonts w:ascii="Palatino Linotype" w:eastAsia="Palatino Linotype" w:hAnsi="Palatino Linotype" w:cs="Palatino Linotype"/>
          <w:b/>
          <w:i/>
          <w:u w:val="single"/>
        </w:rPr>
        <w:t>las entidades federativas</w:t>
      </w:r>
      <w:r w:rsidRPr="005E56EF">
        <w:rPr>
          <w:rFonts w:ascii="Palatino Linotype" w:eastAsia="Palatino Linotype" w:hAnsi="Palatino Linotype" w:cs="Palatino Linotype"/>
          <w:b/>
          <w:i/>
        </w:rPr>
        <w:t>,</w:t>
      </w:r>
      <w:r w:rsidRPr="005E56EF">
        <w:rPr>
          <w:rFonts w:ascii="Palatino Linotype" w:eastAsia="Palatino Linotype" w:hAnsi="Palatino Linotype" w:cs="Palatino Linotype"/>
          <w:i/>
        </w:rPr>
        <w:t xml:space="preserve"> en el ámbito de sus respectivas competencias, se regirán por los siguientes principios y bases:</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I. </w:t>
      </w:r>
      <w:r w:rsidRPr="005E56EF">
        <w:rPr>
          <w:rFonts w:ascii="Palatino Linotype" w:eastAsia="Palatino Linotype" w:hAnsi="Palatino Linotype" w:cs="Palatino Linotype"/>
          <w:b/>
          <w:i/>
          <w:u w:val="single"/>
        </w:rPr>
        <w:t>Toda la información en posesión de cualquier autoridad, entidad, órgano y organismo de los Poderes</w:t>
      </w:r>
      <w:r w:rsidRPr="005E56EF">
        <w:rPr>
          <w:rFonts w:ascii="Palatino Linotype" w:eastAsia="Palatino Linotype" w:hAnsi="Palatino Linotype" w:cs="Palatino Linotype"/>
          <w:i/>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E56EF">
        <w:rPr>
          <w:rFonts w:ascii="Palatino Linotype" w:eastAsia="Palatino Linotype" w:hAnsi="Palatino Linotype" w:cs="Palatino Linotype"/>
          <w:b/>
          <w:i/>
        </w:rPr>
        <w:t>es pública y sólo podrá ser reservada temporalmente por razones de interés público y seguridad nacional,</w:t>
      </w:r>
      <w:r w:rsidRPr="005E56E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sidRPr="005E56EF">
        <w:rPr>
          <w:rFonts w:ascii="Palatino Linotype" w:eastAsia="Palatino Linotype" w:hAnsi="Palatino Linotype" w:cs="Palatino Linotype"/>
          <w:i/>
        </w:rPr>
        <w:t>Para tal efecto, los sujetos obligados contarán con las facultades suficientes para su atención.</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III. </w:t>
      </w:r>
      <w:r w:rsidRPr="005E56E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E56EF">
        <w:rPr>
          <w:rFonts w:ascii="Palatino Linotype" w:eastAsia="Palatino Linotype" w:hAnsi="Palatino Linotype" w:cs="Palatino Linotype"/>
          <w:i/>
        </w:rPr>
        <w:t xml:space="preserve"> a sus datos personales o a la rectificación de éstos.</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IV. </w:t>
      </w:r>
      <w:r w:rsidRPr="005E56EF">
        <w:rPr>
          <w:rFonts w:ascii="Palatino Linotype" w:eastAsia="Palatino Linotype" w:hAnsi="Palatino Linotype" w:cs="Palatino Linotype"/>
          <w:i/>
        </w:rPr>
        <w:t>Se establecerán mecanismos de acceso a la información y procedimientos de revisión expeditos que se sustanciarán ante las instancias competentes en los términos que fija esta Constitución y las leyes.</w:t>
      </w:r>
      <w:r w:rsidRPr="005E56EF">
        <w:rPr>
          <w:rFonts w:ascii="Palatino Linotype" w:eastAsia="Palatino Linotype" w:hAnsi="Palatino Linotype" w:cs="Palatino Linotype"/>
          <w:i/>
        </w:rPr>
        <w:br/>
      </w:r>
      <w:r w:rsidRPr="005E56EF">
        <w:rPr>
          <w:rFonts w:ascii="Palatino Linotype" w:eastAsia="Palatino Linotype" w:hAnsi="Palatino Linotype" w:cs="Palatino Linotype"/>
          <w:b/>
          <w:i/>
        </w:rPr>
        <w:t xml:space="preserve">V. </w:t>
      </w:r>
      <w:r w:rsidRPr="005E56E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37CE1" w:rsidRPr="005E56EF" w:rsidRDefault="00DC0395">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VI. </w:t>
      </w:r>
      <w:r w:rsidRPr="005E56E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w:t>
      </w:r>
      <w:r w:rsidRPr="005E56EF">
        <w:rPr>
          <w:rFonts w:ascii="Palatino Linotype" w:eastAsia="Palatino Linotype" w:hAnsi="Palatino Linotype" w:cs="Palatino Linotype"/>
          <w:b/>
          <w:i/>
        </w:rPr>
        <w:t xml:space="preserve">VII. </w:t>
      </w:r>
      <w:r w:rsidRPr="005E56EF">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A37CE1" w:rsidRPr="005E56EF" w:rsidRDefault="00A37CE1">
      <w:pPr>
        <w:spacing w:after="0"/>
        <w:ind w:left="567" w:right="560"/>
        <w:jc w:val="both"/>
        <w:rPr>
          <w:rFonts w:ascii="Palatino Linotype" w:eastAsia="Palatino Linotype" w:hAnsi="Palatino Linotype" w:cs="Palatino Linotype"/>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Artículo 4.</w:t>
      </w:r>
      <w:r w:rsidRPr="005E56E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A37CE1" w:rsidRPr="005E56EF" w:rsidRDefault="00A37CE1">
      <w:pPr>
        <w:spacing w:after="0" w:line="360" w:lineRule="auto"/>
        <w:ind w:left="567" w:right="560"/>
        <w:jc w:val="both"/>
        <w:rPr>
          <w:rFonts w:ascii="Palatino Linotype" w:eastAsia="Palatino Linotype" w:hAnsi="Palatino Linotype" w:cs="Palatino Linotype"/>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Artículo 12.</w:t>
      </w:r>
      <w:r w:rsidRPr="005E56E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b/>
          <w:i/>
        </w:rPr>
      </w:pPr>
      <w:r w:rsidRPr="005E56EF">
        <w:rPr>
          <w:rFonts w:ascii="Palatino Linotype" w:eastAsia="Palatino Linotype" w:hAnsi="Palatino Linotype" w:cs="Palatino Linotype"/>
          <w:b/>
          <w:i/>
        </w:rPr>
        <w:t>Criterio 03/17</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b/>
          <w:i/>
        </w:rPr>
        <w:t xml:space="preserve">“NO EXISTE OBLIGACIÓN DE ELABORAR DOCUMENTOS AD HOC PARA ATENDER LAS SOLICITUDES DE ACCESO A LA INFORMACIÓN. </w:t>
      </w:r>
      <w:r w:rsidRPr="005E56EF">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37CE1" w:rsidRPr="005E56EF" w:rsidRDefault="00A37CE1">
      <w:pPr>
        <w:spacing w:after="0" w:line="360" w:lineRule="auto"/>
        <w:ind w:left="567" w:right="560"/>
        <w:jc w:val="both"/>
        <w:rPr>
          <w:rFonts w:ascii="Palatino Linotype" w:eastAsia="Palatino Linotype" w:hAnsi="Palatino Linotype" w:cs="Palatino Linotype"/>
          <w:b/>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Artículo 3.</w:t>
      </w:r>
      <w:r w:rsidRPr="005E56EF">
        <w:rPr>
          <w:rFonts w:ascii="Palatino Linotype" w:eastAsia="Palatino Linotype" w:hAnsi="Palatino Linotype" w:cs="Palatino Linotype"/>
          <w:i/>
        </w:rPr>
        <w:t xml:space="preserve"> Para los efectos de la presente Ley se entenderá por:</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b/>
          <w:i/>
        </w:rPr>
        <w:t>XI. Documento:</w:t>
      </w:r>
      <w:r w:rsidRPr="005E56E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b/>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CRITERIO 0002-11</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E56E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En consecuencia el acceso a la información se refiere a que se cumplan cualquiera de los siguientes tres supuestos:</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1)</w:t>
      </w:r>
      <w:r w:rsidRPr="005E56EF">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2)</w:t>
      </w:r>
      <w:r w:rsidRPr="005E56EF">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De las actuaciones que integran el expediente electrónico, se procede al análisis de los agravios hechos valer por la parte Recurrente, relativos a la entrega de la información incompleta, lo que actualiza la causal de procedencia prevista en la fracción I del artículo 179 de la Ley de Transparencia y Acceso a la Información Pública del Estado de México y Municipios.</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Para ello, en principio resulta recordar que la pretensión de la parte ahora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es obtener la siguiente información: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numPr>
          <w:ilvl w:val="0"/>
          <w:numId w:val="4"/>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bookmarkStart w:id="4" w:name="_heading=h.9mm0h0o9yv5a" w:colFirst="0" w:colLast="0"/>
      <w:bookmarkEnd w:id="4"/>
      <w:r w:rsidRPr="005E56EF">
        <w:rPr>
          <w:rFonts w:ascii="Palatino Linotype" w:eastAsia="Palatino Linotype" w:hAnsi="Palatino Linotype" w:cs="Palatino Linotype"/>
          <w:b/>
        </w:rPr>
        <w:t xml:space="preserve">Listado de Patrimonio Municipal </w:t>
      </w:r>
      <w:r w:rsidRPr="005E56EF">
        <w:rPr>
          <w:rFonts w:ascii="Palatino Linotype" w:eastAsia="Palatino Linotype" w:hAnsi="Palatino Linotype" w:cs="Palatino Linotype"/>
          <w:b/>
          <w:u w:val="single"/>
        </w:rPr>
        <w:t xml:space="preserve">registrado </w:t>
      </w:r>
      <w:r w:rsidRPr="005E56EF">
        <w:rPr>
          <w:rFonts w:ascii="Palatino Linotype" w:eastAsia="Palatino Linotype" w:hAnsi="Palatino Linotype" w:cs="Palatino Linotype"/>
          <w:b/>
        </w:rPr>
        <w:t xml:space="preserve">en 2025. </w:t>
      </w:r>
    </w:p>
    <w:p w:rsidR="00A37CE1" w:rsidRPr="005E56EF" w:rsidRDefault="00A37CE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En respuesta,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a través de la Síndica Municipal informó que del primero de enero a la fecha no se han registrado bienes inmuebles. </w:t>
      </w:r>
    </w:p>
    <w:p w:rsidR="00A37CE1" w:rsidRPr="005E56EF" w:rsidRDefault="00A37CE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Mientras que, el Coordinador de Control Patrimonial informó la entrega del listado de bienes patrimoniales que han sido registrados durante el periodo 2025. </w:t>
      </w:r>
    </w:p>
    <w:p w:rsidR="00A37CE1" w:rsidRPr="005E56EF" w:rsidRDefault="00A37CE1">
      <w:pPr>
        <w:pBdr>
          <w:top w:val="nil"/>
          <w:left w:val="nil"/>
          <w:bottom w:val="nil"/>
          <w:right w:val="nil"/>
          <w:between w:val="nil"/>
        </w:pBdr>
        <w:tabs>
          <w:tab w:val="left" w:pos="993"/>
        </w:tabs>
        <w:spacing w:after="0" w:line="360" w:lineRule="auto"/>
        <w:ind w:right="49"/>
        <w:jc w:val="center"/>
        <w:rPr>
          <w:rFonts w:ascii="Palatino Linotype" w:eastAsia="Palatino Linotype" w:hAnsi="Palatino Linotype" w:cs="Palatino Linotype"/>
        </w:rPr>
      </w:pPr>
    </w:p>
    <w:p w:rsidR="00A37CE1" w:rsidRPr="005E56EF" w:rsidRDefault="00DC039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Derivado de lo anterior,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se inconformó arguyendo la entrega de la información incompleta, por considerar que el síndico sí debe tener registros.  </w:t>
      </w:r>
    </w:p>
    <w:p w:rsidR="00A37CE1" w:rsidRPr="005E56EF" w:rsidRDefault="00A37CE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Es así que, el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no realizó manifestaciones, alegatos o pruebas que a su derecho convinieran y por su parte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en Informe Justificado medularmente ratificó su respuesta inicial.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pues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se inconformó de manera expresa por la respuesta emitida por la Sindicatura, esto es lo referente al registro de bienes inmuebles; por lo que se colige que, la parte de la respuesta que no fue impugnada debe declararse consentida; respecto al listado de bienes patrimoniales registrados durante el periodo dos mil veinticinco, remitidos por el Coordinador Patrimonial,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Lo anterior es así, debido a que cuando la parte </w:t>
      </w:r>
      <w:r w:rsidRPr="005E56EF">
        <w:rPr>
          <w:rFonts w:ascii="Palatino Linotype" w:eastAsia="Palatino Linotype" w:hAnsi="Palatino Linotype" w:cs="Palatino Linotype"/>
          <w:b/>
        </w:rPr>
        <w:t>Recurrente i</w:t>
      </w:r>
      <w:r w:rsidRPr="005E56EF">
        <w:rPr>
          <w:rFonts w:ascii="Palatino Linotype" w:eastAsia="Palatino Linotype" w:hAnsi="Palatino Linotype" w:cs="Palatino Linotype"/>
        </w:rPr>
        <w:t>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A37CE1" w:rsidRPr="005E56EF" w:rsidRDefault="00A37CE1">
      <w:pPr>
        <w:spacing w:after="0"/>
        <w:ind w:left="567" w:right="616"/>
        <w:jc w:val="both"/>
        <w:rPr>
          <w:rFonts w:ascii="Palatino Linotype" w:eastAsia="Palatino Linotype" w:hAnsi="Palatino Linotype" w:cs="Palatino Linotype"/>
          <w:i/>
        </w:rPr>
      </w:pPr>
    </w:p>
    <w:p w:rsidR="00A37CE1" w:rsidRPr="005E56EF" w:rsidRDefault="00DC0395">
      <w:pPr>
        <w:spacing w:after="0"/>
        <w:ind w:left="567" w:right="616"/>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 xml:space="preserve">REVISIÓN EN AMPARO. LOS RESOLUTIVOS NO COMBATIDOS DEBEN DECLARARSE FIRMES. </w:t>
      </w:r>
      <w:r w:rsidRPr="005E56EF">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Consecuentemente, se insiste, ante la falta de impugnación eficaz, la respuesta entregada debe declararse consentida por persona solicitante.</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ind w:left="851" w:right="902"/>
        <w:jc w:val="both"/>
        <w:rPr>
          <w:rFonts w:ascii="Palatino Linotype" w:eastAsia="Palatino Linotype" w:hAnsi="Palatino Linotype" w:cs="Palatino Linotype"/>
          <w:i/>
          <w:color w:val="000000"/>
        </w:rPr>
      </w:pPr>
      <w:r w:rsidRPr="005E56EF">
        <w:rPr>
          <w:rFonts w:ascii="Palatino Linotype" w:eastAsia="Palatino Linotype" w:hAnsi="Palatino Linotype" w:cs="Palatino Linotype"/>
          <w:i/>
          <w:color w:val="000000"/>
        </w:rPr>
        <w:t>“</w:t>
      </w:r>
      <w:r w:rsidRPr="005E56EF">
        <w:rPr>
          <w:rFonts w:ascii="Palatino Linotype" w:eastAsia="Palatino Linotype" w:hAnsi="Palatino Linotype" w:cs="Palatino Linotype"/>
          <w:b/>
          <w:i/>
          <w:color w:val="000000"/>
        </w:rPr>
        <w:t xml:space="preserve">Actos consentidos tácitamente. Improcedencia de su análisis. </w:t>
      </w:r>
      <w:r w:rsidRPr="005E56EF">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A37CE1" w:rsidRPr="005E56EF" w:rsidRDefault="00A37CE1">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A37CE1" w:rsidRPr="005E56EF" w:rsidRDefault="00A37CE1">
      <w:pPr>
        <w:spacing w:after="0" w:line="360" w:lineRule="auto"/>
        <w:ind w:left="851" w:right="900"/>
        <w:jc w:val="both"/>
        <w:rPr>
          <w:rFonts w:ascii="Palatino Linotype" w:eastAsia="Palatino Linotype" w:hAnsi="Palatino Linotype" w:cs="Palatino Linotype"/>
          <w:b/>
          <w:i/>
          <w:smallCaps/>
        </w:rPr>
      </w:pPr>
    </w:p>
    <w:p w:rsidR="00A37CE1" w:rsidRPr="005E56EF" w:rsidRDefault="00DC0395">
      <w:pPr>
        <w:tabs>
          <w:tab w:val="left" w:pos="851"/>
          <w:tab w:val="left" w:pos="1276"/>
          <w:tab w:val="left" w:pos="8080"/>
        </w:tabs>
        <w:spacing w:after="0"/>
        <w:ind w:left="851" w:right="843"/>
        <w:jc w:val="both"/>
        <w:rPr>
          <w:rFonts w:ascii="Palatino Linotype" w:eastAsia="Palatino Linotype" w:hAnsi="Palatino Linotype" w:cs="Palatino Linotype"/>
        </w:rPr>
      </w:pPr>
      <w:r w:rsidRPr="005E56EF">
        <w:rPr>
          <w:rFonts w:ascii="Palatino Linotype" w:eastAsia="Palatino Linotype" w:hAnsi="Palatino Linotype" w:cs="Palatino Linotype"/>
          <w:b/>
          <w:i/>
          <w:smallCaps/>
        </w:rPr>
        <w:t xml:space="preserve">“ACTOS CONSENTIDOS. SON LOS QUE NO SE IMPUGNAN MEDIANTE EL RECURSO IDÓNEO. </w:t>
      </w:r>
      <w:r w:rsidRPr="005E56EF">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37CE1" w:rsidRPr="005E56EF" w:rsidRDefault="00A37C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5E56EF">
        <w:rPr>
          <w:rFonts w:ascii="Palatino Linotype" w:eastAsia="Palatino Linotype" w:hAnsi="Palatino Linotype" w:cs="Palatino Linotype"/>
        </w:rPr>
        <w:t xml:space="preserve">Dicho lo anterior, la información de la que resulta procedente pronunciarse </w:t>
      </w:r>
      <w:r w:rsidRPr="005E56EF">
        <w:rPr>
          <w:rFonts w:ascii="Palatino Linotype" w:eastAsia="Palatino Linotype" w:hAnsi="Palatino Linotype" w:cs="Palatino Linotype"/>
          <w:b/>
          <w:u w:val="single"/>
        </w:rPr>
        <w:t xml:space="preserve">es respecto al inventario de bienes inmuebles.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Dicho lo anterior, se determina que la información proporcionada por 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xml:space="preserve"> en razón de las consideraciones de derecho que a continuación se exponen:</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En ese sentido, es necesario precisar que se entiende por patrimonio el cual es definido por la real academia como:</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“1. m. Hacienda que alguien ha heredado de sus ascendientes.</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2. m. </w:t>
      </w:r>
      <w:r w:rsidRPr="005E56EF">
        <w:rPr>
          <w:rFonts w:ascii="Palatino Linotype" w:eastAsia="Palatino Linotype" w:hAnsi="Palatino Linotype" w:cs="Palatino Linotype"/>
          <w:b/>
          <w:i/>
        </w:rPr>
        <w:t>Conjunto de los bienes y derechos propios adquiridos por cualquier título</w:t>
      </w:r>
      <w:r w:rsidRPr="005E56EF">
        <w:rPr>
          <w:rFonts w:ascii="Palatino Linotype" w:eastAsia="Palatino Linotype" w:hAnsi="Palatino Linotype" w:cs="Palatino Linotype"/>
          <w:i/>
        </w:rPr>
        <w:t>.</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Sin:</w:t>
      </w:r>
      <w:r w:rsidRPr="005E56EF">
        <w:rPr>
          <w:rFonts w:ascii="Palatino Linotype" w:eastAsia="Palatino Linotype" w:hAnsi="Palatino Linotype" w:cs="Palatino Linotype"/>
          <w:i/>
        </w:rPr>
        <w:tab/>
        <w:t xml:space="preserve">fortuna, hacienda, propiedad, capital, caudal, haber, acervo, heredad, dote </w:t>
      </w:r>
    </w:p>
    <w:p w:rsidR="00A37CE1" w:rsidRPr="005E56EF" w:rsidRDefault="00DC0395">
      <w:pPr>
        <w:spacing w:after="0"/>
        <w:ind w:left="851" w:right="843"/>
        <w:jc w:val="both"/>
        <w:rPr>
          <w:rFonts w:ascii="Palatino Linotype" w:eastAsia="Palatino Linotype" w:hAnsi="Palatino Linotype" w:cs="Palatino Linotype"/>
          <w:b/>
          <w:i/>
        </w:rPr>
      </w:pPr>
      <w:r w:rsidRPr="005E56EF">
        <w:rPr>
          <w:rFonts w:ascii="Palatino Linotype" w:eastAsia="Palatino Linotype" w:hAnsi="Palatino Linotype" w:cs="Palatino Linotype"/>
          <w:i/>
        </w:rPr>
        <w:t xml:space="preserve">3. m. </w:t>
      </w:r>
      <w:r w:rsidRPr="005E56EF">
        <w:rPr>
          <w:rFonts w:ascii="Palatino Linotype" w:eastAsia="Palatino Linotype" w:hAnsi="Palatino Linotype" w:cs="Palatino Linotype"/>
          <w:b/>
          <w:i/>
        </w:rPr>
        <w:t>patrimonialidad.</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Sin.:</w:t>
      </w:r>
      <w:r w:rsidRPr="005E56EF">
        <w:rPr>
          <w:rFonts w:ascii="Palatino Linotype" w:eastAsia="Palatino Linotype" w:hAnsi="Palatino Linotype" w:cs="Palatino Linotype"/>
          <w:i/>
        </w:rPr>
        <w:tab/>
        <w:t>patrimonialidad.</w:t>
      </w: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4. m. Der. </w:t>
      </w:r>
      <w:r w:rsidRPr="005E56EF">
        <w:rPr>
          <w:rFonts w:ascii="Palatino Linotype" w:eastAsia="Palatino Linotype" w:hAnsi="Palatino Linotype" w:cs="Palatino Linotype"/>
          <w:b/>
          <w:i/>
        </w:rPr>
        <w:t>Conjunto de bienes pertenecientes a una persona natural o jurídica</w:t>
      </w:r>
      <w:r w:rsidRPr="005E56EF">
        <w:rPr>
          <w:rFonts w:ascii="Palatino Linotype" w:eastAsia="Palatino Linotype" w:hAnsi="Palatino Linotype" w:cs="Palatino Linotype"/>
          <w:i/>
        </w:rPr>
        <w:t>, o afectos a un fin, susceptibles de estimación económica.”</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Esto es, que el patrimonio corresponde a los bienes pertenecientes a una persona adquiridos por cualquier título.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Luego entonces se advierte que lo que quiere conocer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del Ayuntamiento de Atlacomulco es su patrimonio en el que se detalle los bienes y derechos de su propiedad, registrados del primero de enero al treinta de mayo de dos mil veinticinco, fecha en la que se presentó la solicitud de información.</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De este modo, resulta procedente traer a contexto la siguiente normatividad:</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ind w:left="851" w:right="899"/>
        <w:jc w:val="center"/>
        <w:rPr>
          <w:rFonts w:ascii="Palatino Linotype" w:eastAsia="Palatino Linotype" w:hAnsi="Palatino Linotype" w:cs="Palatino Linotype"/>
          <w:i/>
        </w:rPr>
      </w:pPr>
      <w:r w:rsidRPr="005E56EF">
        <w:rPr>
          <w:rFonts w:ascii="Palatino Linotype" w:eastAsia="Palatino Linotype" w:hAnsi="Palatino Linotype" w:cs="Palatino Linotype"/>
          <w:b/>
          <w:i/>
        </w:rPr>
        <w:t>“LEY ORGÁNICA MUNICIPAL DEL ESTADO DE MÉXICO</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b/>
          <w:i/>
        </w:rPr>
        <w:t xml:space="preserve">Artículo 53.- </w:t>
      </w:r>
      <w:r w:rsidRPr="005E56EF">
        <w:rPr>
          <w:rFonts w:ascii="Palatino Linotype" w:eastAsia="Palatino Linotype" w:hAnsi="Palatino Linotype" w:cs="Palatino Linotype"/>
          <w:i/>
        </w:rPr>
        <w:t xml:space="preserve">Los </w:t>
      </w:r>
      <w:r w:rsidRPr="005E56EF">
        <w:rPr>
          <w:rFonts w:ascii="Palatino Linotype" w:eastAsia="Palatino Linotype" w:hAnsi="Palatino Linotype" w:cs="Palatino Linotype"/>
          <w:b/>
          <w:i/>
        </w:rPr>
        <w:t>síndicos tendrán las siguientes atribuciones</w:t>
      </w:r>
      <w:r w:rsidRPr="005E56EF">
        <w:rPr>
          <w:rFonts w:ascii="Palatino Linotype" w:eastAsia="Palatino Linotype" w:hAnsi="Palatino Linotype" w:cs="Palatino Linotype"/>
          <w:i/>
        </w:rPr>
        <w:t>:</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b/>
          <w:i/>
        </w:rPr>
        <w:t xml:space="preserve">VII. Intervenir en la formulación del inventario general de los bienes muebles e inmuebles propiedad del municipio, </w:t>
      </w:r>
      <w:r w:rsidRPr="005E56EF">
        <w:rPr>
          <w:rFonts w:ascii="Palatino Linotype" w:eastAsia="Palatino Linotype" w:hAnsi="Palatino Linotype" w:cs="Palatino Linotype"/>
          <w:i/>
        </w:rPr>
        <w:t xml:space="preserve">haciendo que se inscriban en el libro especial, con expresión de sus valores y de todas las características de identificación, así como el uso y destino de los mismos; </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b/>
          <w:i/>
        </w:rPr>
        <w:t xml:space="preserve">VIII. Regularizar la propiedad de los bienes inmuebles municipales, </w:t>
      </w:r>
      <w:r w:rsidRPr="005E56EF">
        <w:rPr>
          <w:rFonts w:ascii="Palatino Linotype" w:eastAsia="Palatino Linotype" w:hAnsi="Palatino Linotype" w:cs="Palatino Linotype"/>
          <w:i/>
        </w:rPr>
        <w:t xml:space="preserve">para ello tendrán un plazo de ciento veinte días hábiles, contados a partir de la adquisición; </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b/>
          <w:i/>
        </w:rPr>
        <w:t xml:space="preserve">IX. Inscribir los bienes inmuebles municipales en el Registro Público de la Propiedad, </w:t>
      </w:r>
      <w:r w:rsidRPr="005E56EF">
        <w:rPr>
          <w:rFonts w:ascii="Palatino Linotype" w:eastAsia="Palatino Linotype" w:hAnsi="Palatino Linotype" w:cs="Palatino Linotype"/>
          <w:i/>
        </w:rPr>
        <w:t>para iniciar los trámites correspondientes tendrán un plazo de ciento veinte días hábiles contados a partir de aquel en que concluyo el proceso de regularización.</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b/>
          <w:i/>
        </w:rPr>
        <w:t>Artículo 91.-</w:t>
      </w:r>
      <w:r w:rsidRPr="005E56EF">
        <w:rPr>
          <w:rFonts w:ascii="Palatino Linotype" w:eastAsia="Palatino Linotype" w:hAnsi="Palatino Linotype" w:cs="Palatino Linotype"/>
          <w:i/>
        </w:rPr>
        <w:t xml:space="preserve"> La </w:t>
      </w:r>
      <w:r w:rsidRPr="005E56EF">
        <w:rPr>
          <w:rFonts w:ascii="Palatino Linotype" w:eastAsia="Palatino Linotype" w:hAnsi="Palatino Linotype" w:cs="Palatino Linotype"/>
          <w:b/>
          <w:i/>
        </w:rPr>
        <w:t xml:space="preserve">Secretaría del Ayuntamiento </w:t>
      </w:r>
      <w:r w:rsidRPr="005E56EF">
        <w:rPr>
          <w:rFonts w:ascii="Palatino Linotype" w:eastAsia="Palatino Linotype" w:hAnsi="Palatino Linotype" w:cs="Palatino Linotype"/>
          <w:i/>
        </w:rPr>
        <w:t xml:space="preserve">estará a cargo de un Secretario, el que, sin ser miembro del mismo, deberá ser nombrado por el propio Ayuntamiento a propuesta del Presidente Municipal como lo marca el artículo 31 de la presente ley. </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Sus faltas temporales serán cubiertas por quien designe el Ayuntamiento y sus </w:t>
      </w:r>
      <w:r w:rsidRPr="005E56EF">
        <w:rPr>
          <w:rFonts w:ascii="Palatino Linotype" w:eastAsia="Palatino Linotype" w:hAnsi="Palatino Linotype" w:cs="Palatino Linotype"/>
          <w:b/>
          <w:i/>
        </w:rPr>
        <w:t>atribuciones son las siguientes</w:t>
      </w:r>
      <w:r w:rsidRPr="005E56EF">
        <w:rPr>
          <w:rFonts w:ascii="Palatino Linotype" w:eastAsia="Palatino Linotype" w:hAnsi="Palatino Linotype" w:cs="Palatino Linotype"/>
          <w:i/>
        </w:rPr>
        <w:t>:</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p>
    <w:p w:rsidR="00A37CE1" w:rsidRPr="005E56EF" w:rsidRDefault="00DC0395">
      <w:pPr>
        <w:spacing w:after="0"/>
        <w:ind w:left="851" w:right="899"/>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XI. </w:t>
      </w:r>
      <w:r w:rsidRPr="005E56EF">
        <w:rPr>
          <w:rFonts w:ascii="Palatino Linotype" w:eastAsia="Palatino Linotype" w:hAnsi="Palatino Linotype" w:cs="Palatino Linotype"/>
          <w:b/>
          <w:i/>
          <w:u w:val="single"/>
        </w:rPr>
        <w:t>Elaborar con la intervención del síndico el inventario general de los bienes muebles e inmuebles municipales,</w:t>
      </w:r>
      <w:r w:rsidRPr="005E56EF">
        <w:rPr>
          <w:rFonts w:ascii="Palatino Linotype" w:eastAsia="Palatino Linotype" w:hAnsi="Palatino Linotype" w:cs="Palatino Linotype"/>
          <w:i/>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Con relación a lo anterior, la Secretaría del Ayuntamiento elabora con la intervención del Síndico el inventario general de bienes muebles e inmuebles, siendo el documento que daría cuenta de lo solicitado, toda vez que en estos formatos se lleva a cabo el registro de los bienes muebles e inmuebles con los que cuenta la entidad municipal, como se observa a continuación:</w:t>
      </w:r>
    </w:p>
    <w:p w:rsidR="00A37CE1" w:rsidRPr="005E56EF" w:rsidRDefault="00A37CE1">
      <w:pPr>
        <w:spacing w:after="0"/>
        <w:ind w:right="899"/>
        <w:jc w:val="both"/>
        <w:rPr>
          <w:rFonts w:ascii="Palatino Linotype" w:eastAsia="Palatino Linotype" w:hAnsi="Palatino Linotype" w:cs="Palatino Linotype"/>
          <w:i/>
        </w:rPr>
      </w:pPr>
    </w:p>
    <w:p w:rsidR="00A37CE1" w:rsidRPr="005E56EF" w:rsidRDefault="00DC0395">
      <w:pPr>
        <w:spacing w:after="0"/>
        <w:ind w:right="899"/>
        <w:jc w:val="center"/>
        <w:rPr>
          <w:rFonts w:ascii="Palatino Linotype" w:eastAsia="Palatino Linotype" w:hAnsi="Palatino Linotype" w:cs="Palatino Linotype"/>
          <w:i/>
        </w:rPr>
      </w:pPr>
      <w:r w:rsidRPr="005E56EF">
        <w:rPr>
          <w:rFonts w:ascii="Palatino Linotype" w:eastAsia="Palatino Linotype" w:hAnsi="Palatino Linotype" w:cs="Palatino Linotype"/>
          <w:i/>
          <w:noProof/>
        </w:rPr>
        <w:drawing>
          <wp:inline distT="0" distB="0" distL="0" distR="0" wp14:anchorId="528D6927" wp14:editId="1607EA57">
            <wp:extent cx="4269355" cy="2860723"/>
            <wp:effectExtent l="0" t="0" r="0" b="0"/>
            <wp:docPr id="1451892700" name="image3.png" descr="Interfaz de usuario gráfica, Aplicación,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Tabla&#10;&#10;El contenido generado por IA puede ser incorrecto."/>
                    <pic:cNvPicPr preferRelativeResize="0"/>
                  </pic:nvPicPr>
                  <pic:blipFill>
                    <a:blip r:embed="rId9"/>
                    <a:srcRect/>
                    <a:stretch>
                      <a:fillRect/>
                    </a:stretch>
                  </pic:blipFill>
                  <pic:spPr>
                    <a:xfrm>
                      <a:off x="0" y="0"/>
                      <a:ext cx="4269355" cy="2860723"/>
                    </a:xfrm>
                    <a:prstGeom prst="rect">
                      <a:avLst/>
                    </a:prstGeom>
                    <a:ln/>
                  </pic:spPr>
                </pic:pic>
              </a:graphicData>
            </a:graphic>
          </wp:inline>
        </w:drawing>
      </w:r>
    </w:p>
    <w:p w:rsidR="00A37CE1" w:rsidRPr="005E56EF" w:rsidRDefault="00DC0395">
      <w:pPr>
        <w:spacing w:after="0"/>
        <w:ind w:right="899"/>
        <w:jc w:val="center"/>
        <w:rPr>
          <w:rFonts w:ascii="Palatino Linotype" w:eastAsia="Palatino Linotype" w:hAnsi="Palatino Linotype" w:cs="Palatino Linotype"/>
          <w:i/>
        </w:rPr>
      </w:pPr>
      <w:r w:rsidRPr="005E56EF">
        <w:rPr>
          <w:rFonts w:ascii="Palatino Linotype" w:eastAsia="Palatino Linotype" w:hAnsi="Palatino Linotype" w:cs="Palatino Linotype"/>
          <w:i/>
          <w:noProof/>
        </w:rPr>
        <w:drawing>
          <wp:inline distT="0" distB="0" distL="0" distR="0" wp14:anchorId="48B5D808" wp14:editId="032D8F3D">
            <wp:extent cx="4369972" cy="3363408"/>
            <wp:effectExtent l="0" t="0" r="0" b="0"/>
            <wp:docPr id="1451892699"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10"/>
                    <a:srcRect/>
                    <a:stretch>
                      <a:fillRect/>
                    </a:stretch>
                  </pic:blipFill>
                  <pic:spPr>
                    <a:xfrm>
                      <a:off x="0" y="0"/>
                      <a:ext cx="4369972" cy="3363408"/>
                    </a:xfrm>
                    <a:prstGeom prst="rect">
                      <a:avLst/>
                    </a:prstGeom>
                    <a:ln/>
                  </pic:spPr>
                </pic:pic>
              </a:graphicData>
            </a:graphic>
          </wp:inline>
        </w:drawing>
      </w:r>
    </w:p>
    <w:p w:rsidR="00A37CE1" w:rsidRPr="005E56EF" w:rsidRDefault="00A37CE1">
      <w:pPr>
        <w:spacing w:after="0"/>
        <w:ind w:right="899"/>
        <w:jc w:val="both"/>
        <w:rPr>
          <w:rFonts w:ascii="Palatino Linotype" w:eastAsia="Palatino Linotype" w:hAnsi="Palatino Linotype" w:cs="Palatino Linotype"/>
          <w:i/>
        </w:rPr>
      </w:pPr>
    </w:p>
    <w:p w:rsidR="00A37CE1" w:rsidRPr="005E56EF"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De lo anteriormente expuesto se advierte que la Secretaría del Ayuntamiento y la Sindicatura Municipal, son las unidades administrativas que tienen atribuciones para conocer de la información solicitada por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mismas que emitieron un pronunciamiento en el presente asunto. </w:t>
      </w:r>
    </w:p>
    <w:p w:rsidR="00A37CE1" w:rsidRPr="005E56EF" w:rsidRDefault="00A37CE1">
      <w:pPr>
        <w:spacing w:after="0" w:line="360" w:lineRule="auto"/>
        <w:ind w:right="49"/>
        <w:jc w:val="both"/>
        <w:rPr>
          <w:rFonts w:ascii="Palatino Linotype" w:eastAsia="Palatino Linotype" w:hAnsi="Palatino Linotype" w:cs="Palatino Linotype"/>
        </w:rPr>
      </w:pPr>
    </w:p>
    <w:p w:rsidR="00A37CE1" w:rsidRPr="005E56EF" w:rsidRDefault="00DC0395">
      <w:pPr>
        <w:widowControl w:val="0"/>
        <w:tabs>
          <w:tab w:val="left" w:pos="1701"/>
          <w:tab w:val="left" w:pos="1843"/>
        </w:tabs>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Por lo tanto, se dio cabal cumplimiento con el requisito de turnar la solicitud de información al área competente que puede poseer, generar y/o administrar la información requerida. </w:t>
      </w:r>
    </w:p>
    <w:p w:rsidR="00A37CE1" w:rsidRPr="005E56EF" w:rsidRDefault="00A37CE1">
      <w:pPr>
        <w:widowControl w:val="0"/>
        <w:tabs>
          <w:tab w:val="left" w:pos="1701"/>
          <w:tab w:val="left" w:pos="1843"/>
        </w:tabs>
        <w:spacing w:after="0" w:line="360" w:lineRule="auto"/>
        <w:ind w:right="49"/>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A37CE1" w:rsidRPr="005E56EF" w:rsidRDefault="00A37CE1">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A37CE1" w:rsidRPr="005E56EF" w:rsidRDefault="00A37CE1">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A37CE1" w:rsidRPr="005E56EF" w:rsidRDefault="00A37CE1">
      <w:pPr>
        <w:pBdr>
          <w:top w:val="nil"/>
          <w:left w:val="nil"/>
          <w:bottom w:val="nil"/>
          <w:right w:val="nil"/>
          <w:between w:val="nil"/>
        </w:pBdr>
        <w:spacing w:after="0" w:line="360" w:lineRule="auto"/>
        <w:ind w:left="720"/>
        <w:rPr>
          <w:rFonts w:ascii="Palatino Linotype" w:eastAsia="Palatino Linotype" w:hAnsi="Palatino Linotype" w:cs="Palatino Linotype"/>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5E56EF">
        <w:rPr>
          <w:rFonts w:ascii="Palatino Linotype" w:eastAsia="Palatino Linotype" w:hAnsi="Palatino Linotype" w:cs="Palatino Linotype"/>
          <w:b/>
        </w:rPr>
        <w:t>quince días, contados a partir del día siguiente a la presentación de ésta.</w:t>
      </w:r>
      <w:r w:rsidRPr="005E56EF">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rsidR="00A37CE1" w:rsidRPr="005E56EF" w:rsidRDefault="00A37CE1">
      <w:pPr>
        <w:pBdr>
          <w:top w:val="nil"/>
          <w:left w:val="nil"/>
          <w:bottom w:val="nil"/>
          <w:right w:val="nil"/>
          <w:between w:val="nil"/>
        </w:pBdr>
        <w:spacing w:after="0" w:line="360" w:lineRule="auto"/>
        <w:ind w:left="720"/>
        <w:rPr>
          <w:rFonts w:ascii="Palatino Linotype" w:eastAsia="Palatino Linotype" w:hAnsi="Palatino Linotype" w:cs="Palatino Linotype"/>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5E56EF">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A37CE1" w:rsidRPr="005E56EF" w:rsidRDefault="00A37CE1">
      <w:pPr>
        <w:pBdr>
          <w:top w:val="nil"/>
          <w:left w:val="nil"/>
          <w:bottom w:val="nil"/>
          <w:right w:val="nil"/>
          <w:between w:val="nil"/>
        </w:pBdr>
        <w:spacing w:after="0" w:line="360" w:lineRule="auto"/>
        <w:ind w:left="720"/>
        <w:rPr>
          <w:rFonts w:ascii="Palatino Linotype" w:eastAsia="Palatino Linotype" w:hAnsi="Palatino Linotype" w:cs="Palatino Linotype"/>
          <w:b/>
          <w:u w:val="single"/>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5E56EF">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A37CE1" w:rsidRPr="005E56EF" w:rsidRDefault="00A37CE1">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rsidR="00A37CE1" w:rsidRPr="005E56EF" w:rsidRDefault="00DC039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5E56EF">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A37CE1" w:rsidRPr="005E56EF" w:rsidRDefault="00A37CE1">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rsidR="00A37CE1" w:rsidRPr="005E56EF" w:rsidRDefault="00DC039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5E56EF">
        <w:rPr>
          <w:rFonts w:ascii="Palatino Linotype" w:eastAsia="Palatino Linotype" w:hAnsi="Palatino Linotype" w:cs="Palatino Linotype"/>
        </w:rPr>
        <w:t xml:space="preserve">En virtud de lo anterior, se tiene que, </w:t>
      </w:r>
      <w:r w:rsidRPr="005E56EF">
        <w:rPr>
          <w:rFonts w:ascii="Palatino Linotype" w:eastAsia="Palatino Linotype" w:hAnsi="Palatino Linotype" w:cs="Palatino Linotype"/>
          <w:b/>
          <w:u w:val="single"/>
        </w:rPr>
        <w:t>el procedimiento de búsqueda de la información se tiene por atendido.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 xml:space="preserve">Dicho lo anterior y dado que el motivo de inconformidad que subsiste se centra únicamente en la respuesta proporcionada por la Sindica Municipal, al respecto, se debe tener en consideración que la parte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únicamente solicitó el Listado del patrimonio municipal </w:t>
      </w:r>
      <w:r w:rsidRPr="005E56EF">
        <w:rPr>
          <w:rFonts w:ascii="Palatino Linotype" w:eastAsia="Palatino Linotype" w:hAnsi="Palatino Linotype" w:cs="Palatino Linotype"/>
          <w:b/>
          <w:u w:val="single"/>
        </w:rPr>
        <w:t>registrado</w:t>
      </w:r>
      <w:r w:rsidRPr="005E56EF">
        <w:rPr>
          <w:rFonts w:ascii="Palatino Linotype" w:eastAsia="Palatino Linotype" w:hAnsi="Palatino Linotype" w:cs="Palatino Linotype"/>
        </w:rPr>
        <w:t xml:space="preserve"> en el 2025; razón por la que la unidad administrativa competente para conocer del registro de los bienes inmuebles del Sujeto Obligado manifestó que del primero de enero a la fecha no se han registrado bienes inmuebles; por lo que, nos encontramos ante un hecho negativo, destacando entonces que el Pleno de este Organismo Garante, ha sostenido que ante la presencia de un hecho negativo, </w:t>
      </w:r>
      <w:r w:rsidRPr="005E56EF">
        <w:rPr>
          <w:rFonts w:ascii="Palatino Linotype" w:eastAsia="Palatino Linotype" w:hAnsi="Palatino Linotype" w:cs="Palatino Linotype"/>
          <w:b/>
        </w:rPr>
        <w:t>resultaría innecesaria una declaratoria de inexistencia</w:t>
      </w:r>
      <w:r w:rsidRPr="005E56EF">
        <w:rPr>
          <w:rFonts w:ascii="Palatino Linotype" w:eastAsia="Palatino Linotype" w:hAnsi="Palatino Linotype" w:cs="Palatino Linotype"/>
        </w:rPr>
        <w:t>, como es en el presente caso, en donde el</w:t>
      </w:r>
      <w:r w:rsidRPr="005E56EF">
        <w:rPr>
          <w:rFonts w:ascii="Palatino Linotype" w:eastAsia="Palatino Linotype" w:hAnsi="Palatino Linotype" w:cs="Palatino Linotype"/>
          <w:b/>
        </w:rPr>
        <w:t xml:space="preserve"> Sujeto Obligado </w:t>
      </w:r>
      <w:r w:rsidRPr="005E56EF">
        <w:rPr>
          <w:rFonts w:ascii="Palatino Linotype" w:eastAsia="Palatino Linotype" w:hAnsi="Palatino Linotype" w:cs="Palatino Linotype"/>
        </w:rPr>
        <w:t>declaró la inexistencia de la información solicitada, sin embargo, en términos de los artículos 19, 169 y 170 de la Ley de Transparencia y Acceso a la Información Pública del Estado de México y Municipios, y ante una hecho negativo resulta aplicable la siguiente tesis:</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ind w:left="862" w:right="561"/>
        <w:jc w:val="both"/>
        <w:rPr>
          <w:rFonts w:ascii="Palatino Linotype" w:eastAsia="Palatino Linotype" w:hAnsi="Palatino Linotype" w:cs="Palatino Linotype"/>
        </w:rPr>
      </w:pPr>
      <w:r w:rsidRPr="005E56EF">
        <w:rPr>
          <w:rFonts w:ascii="Palatino Linotype" w:eastAsia="Palatino Linotype" w:hAnsi="Palatino Linotype" w:cs="Palatino Linotype"/>
          <w:b/>
          <w:i/>
        </w:rPr>
        <w:t>“HECHOS NEGATIVOS, NO SON SUSCEPTIBLES DE DEMOSTRACIÓN.</w:t>
      </w:r>
    </w:p>
    <w:p w:rsidR="00A37CE1" w:rsidRPr="005E56EF" w:rsidRDefault="00DC0395">
      <w:pPr>
        <w:spacing w:after="0"/>
        <w:ind w:left="862" w:right="561"/>
        <w:jc w:val="both"/>
        <w:rPr>
          <w:rFonts w:ascii="Palatino Linotype" w:eastAsia="Palatino Linotype" w:hAnsi="Palatino Linotype" w:cs="Palatino Linotype"/>
        </w:rPr>
      </w:pPr>
      <w:r w:rsidRPr="005E56EF">
        <w:rPr>
          <w:rFonts w:ascii="Palatino Linotype" w:eastAsia="Palatino Linotype" w:hAnsi="Palatino Linotype" w:cs="Palatino Linotype"/>
          <w:i/>
        </w:rPr>
        <w:t>Tratándose de un hecho negativo, el Juez no tiene por que invocar prueba alguna de la que se desprenda, ya que es bien sabido que esta clase de hechos no son susceptibles de demostración.</w:t>
      </w:r>
    </w:p>
    <w:p w:rsidR="00A37CE1" w:rsidRPr="005E56EF" w:rsidRDefault="00DC0395">
      <w:pPr>
        <w:spacing w:after="0"/>
        <w:ind w:left="862" w:right="561"/>
        <w:jc w:val="both"/>
        <w:rPr>
          <w:rFonts w:ascii="Palatino Linotype" w:eastAsia="Palatino Linotype" w:hAnsi="Palatino Linotype" w:cs="Palatino Linotype"/>
          <w:i/>
        </w:rPr>
      </w:pPr>
      <w:r w:rsidRPr="005E56EF">
        <w:rPr>
          <w:rFonts w:ascii="Palatino Linotype" w:eastAsia="Palatino Linotype" w:hAnsi="Palatino Linotype" w:cs="Palatino Linotype"/>
          <w:i/>
        </w:rPr>
        <w:t>Amparo en revisión 2022/61. José García Florín (Menor). 9 de octubre de 1961. Cinco votos. Ponente: José Rivera Pérez Campos.”</w:t>
      </w:r>
    </w:p>
    <w:p w:rsidR="00A37CE1" w:rsidRPr="005E56EF" w:rsidRDefault="00A37CE1">
      <w:pPr>
        <w:spacing w:after="0"/>
        <w:ind w:left="862" w:right="561"/>
        <w:jc w:val="both"/>
        <w:rPr>
          <w:rFonts w:ascii="Palatino Linotype" w:eastAsia="Palatino Linotype" w:hAnsi="Palatino Linotype" w:cs="Palatino Linotype"/>
          <w:i/>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Además, y de conformidad con lo establecido en el artículo 12 de la Ley de Transparencia y Acceso a la Información Pública del Estado de México y Municipios, anteriormente invocado el</w:t>
      </w:r>
      <w:r w:rsidRPr="005E56EF">
        <w:rPr>
          <w:rFonts w:ascii="Palatino Linotype" w:eastAsia="Palatino Linotype" w:hAnsi="Palatino Linotype" w:cs="Palatino Linotype"/>
          <w:b/>
        </w:rPr>
        <w:t xml:space="preserve"> Sujeto Obligado</w:t>
      </w:r>
      <w:r w:rsidRPr="005E56EF">
        <w:rPr>
          <w:rFonts w:ascii="Palatino Linotype" w:eastAsia="Palatino Linotype" w:hAnsi="Palatino Linotype" w:cs="Palatino Linotype"/>
        </w:rPr>
        <w:t xml:space="preserve"> sólo proporcionará la información que obra en sus archivos, lo que a</w:t>
      </w:r>
      <w:r w:rsidRPr="005E56EF">
        <w:rPr>
          <w:rFonts w:ascii="Palatino Linotype" w:eastAsia="Palatino Linotype" w:hAnsi="Palatino Linotype" w:cs="Palatino Linotype"/>
          <w:i/>
        </w:rPr>
        <w:t xml:space="preserve"> contrario sensu</w:t>
      </w:r>
      <w:r w:rsidRPr="005E56EF">
        <w:rPr>
          <w:rFonts w:ascii="Palatino Linotype" w:eastAsia="Palatino Linotype" w:hAnsi="Palatino Linotype" w:cs="Palatino Linotype"/>
        </w:rPr>
        <w:t xml:space="preserve"> significa que no se está obligado a proporcionar lo que no obre en sus archivos; motivo por el cual se colma el derecho de acceso a la información pública del particular.</w:t>
      </w:r>
    </w:p>
    <w:p w:rsidR="00A37CE1" w:rsidRPr="005E56EF" w:rsidRDefault="00A37CE1">
      <w:pPr>
        <w:pBdr>
          <w:top w:val="nil"/>
          <w:left w:val="nil"/>
          <w:bottom w:val="nil"/>
          <w:right w:val="nil"/>
          <w:between w:val="nil"/>
        </w:pBdr>
        <w:tabs>
          <w:tab w:val="left" w:pos="426"/>
          <w:tab w:val="left" w:pos="567"/>
        </w:tabs>
        <w:spacing w:after="0" w:line="360" w:lineRule="auto"/>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tabs>
          <w:tab w:val="left" w:pos="426"/>
          <w:tab w:val="left" w:pos="567"/>
        </w:tabs>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rsidR="00A37CE1" w:rsidRPr="005E56EF" w:rsidRDefault="00A37CE1">
      <w:pPr>
        <w:pBdr>
          <w:top w:val="nil"/>
          <w:left w:val="nil"/>
          <w:bottom w:val="nil"/>
          <w:right w:val="nil"/>
          <w:between w:val="nil"/>
        </w:pBdr>
        <w:tabs>
          <w:tab w:val="left" w:pos="426"/>
          <w:tab w:val="left" w:pos="567"/>
        </w:tabs>
        <w:spacing w:after="0" w:line="360" w:lineRule="auto"/>
        <w:jc w:val="both"/>
        <w:rPr>
          <w:rFonts w:ascii="Palatino Linotype" w:eastAsia="Palatino Linotype" w:hAnsi="Palatino Linotype" w:cs="Palatino Linotype"/>
        </w:rPr>
      </w:pPr>
    </w:p>
    <w:p w:rsidR="00A37CE1" w:rsidRPr="005E56EF" w:rsidRDefault="00DC0395">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5E56EF">
        <w:rPr>
          <w:rFonts w:ascii="Palatino Linotype" w:eastAsia="Palatino Linotype" w:hAnsi="Palatino Linotype" w:cs="Palatino Linotype"/>
          <w:i/>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En este tenor, al haberse pronunciado los servidores públicos habilitados con facultades, competencias y funciones para atender la solicitud de información, éste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rPr>
        <w:t>Sirviendo de apoyo a lo anterior por analogía, el criterio orientador 31-10 emitido por el entonces Instituto Nacional de Transparencia, Acceso a la Información y Protección de Datos Personales, que a la letra dice:</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ind w:left="851" w:right="843"/>
        <w:jc w:val="both"/>
        <w:rPr>
          <w:rFonts w:ascii="Palatino Linotype" w:eastAsia="Palatino Linotype" w:hAnsi="Palatino Linotype" w:cs="Palatino Linotype"/>
          <w:i/>
        </w:rPr>
      </w:pPr>
      <w:r w:rsidRPr="005E56EF">
        <w:rPr>
          <w:rFonts w:ascii="Palatino Linotype" w:eastAsia="Palatino Linotype" w:hAnsi="Palatino Linotype" w:cs="Palatino Linotype"/>
          <w:i/>
        </w:rPr>
        <w:t>“</w:t>
      </w:r>
      <w:r w:rsidRPr="005E56EF">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5E56EF">
        <w:rPr>
          <w:rFonts w:ascii="Palatino Linotype" w:eastAsia="Palatino Linotype" w:hAnsi="Palatino Linotype" w:cs="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b/>
        </w:rPr>
      </w:pPr>
      <w:r w:rsidRPr="005E56EF">
        <w:rPr>
          <w:rFonts w:ascii="Palatino Linotype" w:eastAsia="Palatino Linotype" w:hAnsi="Palatino Linotype" w:cs="Palatino Linotype"/>
        </w:rPr>
        <w:t xml:space="preserve">Por lo tanto, en razón de que los requerimientos formulados el </w:t>
      </w:r>
      <w:r w:rsidRPr="005E56EF">
        <w:rPr>
          <w:rFonts w:ascii="Palatino Linotype" w:eastAsia="Palatino Linotype" w:hAnsi="Palatino Linotype" w:cs="Palatino Linotype"/>
          <w:b/>
        </w:rPr>
        <w:t xml:space="preserve">Recurrente </w:t>
      </w:r>
      <w:r w:rsidRPr="005E56EF">
        <w:rPr>
          <w:rFonts w:ascii="Palatino Linotype" w:eastAsia="Palatino Linotype" w:hAnsi="Palatino Linotype" w:cs="Palatino Linotype"/>
        </w:rPr>
        <w:t xml:space="preserve">fueron atendidos por el </w:t>
      </w:r>
      <w:r w:rsidRPr="005E56EF">
        <w:rPr>
          <w:rFonts w:ascii="Palatino Linotype" w:eastAsia="Palatino Linotype" w:hAnsi="Palatino Linotype" w:cs="Palatino Linotype"/>
          <w:b/>
        </w:rPr>
        <w:t xml:space="preserve">Sujeto Obligado, </w:t>
      </w:r>
      <w:r w:rsidRPr="005E56EF">
        <w:rPr>
          <w:rFonts w:ascii="Palatino Linotype" w:eastAsia="Palatino Linotype" w:hAnsi="Palatino Linotype" w:cs="Palatino Linotype"/>
        </w:rPr>
        <w:t>el Pleno de este Instituto determina infundados</w:t>
      </w:r>
      <w:r w:rsidRPr="005E56EF">
        <w:rPr>
          <w:rFonts w:ascii="Palatino Linotype" w:eastAsia="Palatino Linotype" w:hAnsi="Palatino Linotype" w:cs="Palatino Linotype"/>
          <w:b/>
        </w:rPr>
        <w:t xml:space="preserve"> </w:t>
      </w:r>
      <w:r w:rsidRPr="005E56EF">
        <w:rPr>
          <w:rFonts w:ascii="Palatino Linotype" w:eastAsia="Palatino Linotype" w:hAnsi="Palatino Linotype" w:cs="Palatino Linotype"/>
        </w:rPr>
        <w:t xml:space="preserve">los motivos o razones de inconformidad esgrimidos por el </w:t>
      </w:r>
      <w:r w:rsidRPr="005E56EF">
        <w:rPr>
          <w:rFonts w:ascii="Palatino Linotype" w:eastAsia="Palatino Linotype" w:hAnsi="Palatino Linotype" w:cs="Palatino Linotype"/>
          <w:b/>
        </w:rPr>
        <w:t xml:space="preserve">Recurrente </w:t>
      </w:r>
      <w:r w:rsidRPr="005E56EF">
        <w:rPr>
          <w:rFonts w:ascii="Palatino Linotype" w:eastAsia="Palatino Linotype" w:hAnsi="Palatino Linotype" w:cs="Palatino Linotype"/>
        </w:rPr>
        <w:t xml:space="preserve">y lo procedente es </w:t>
      </w:r>
      <w:r w:rsidRPr="005E56EF">
        <w:rPr>
          <w:rFonts w:ascii="Palatino Linotype" w:eastAsia="Palatino Linotype" w:hAnsi="Palatino Linotype" w:cs="Palatino Linotype"/>
          <w:b/>
        </w:rPr>
        <w:t xml:space="preserve">Confirmar </w:t>
      </w:r>
      <w:r w:rsidRPr="005E56EF">
        <w:rPr>
          <w:rFonts w:ascii="Palatino Linotype" w:eastAsia="Palatino Linotype" w:hAnsi="Palatino Linotype" w:cs="Palatino Linotype"/>
        </w:rPr>
        <w:t xml:space="preserve">la respuesta emitida a la solicitud de información número </w:t>
      </w:r>
      <w:r w:rsidRPr="005E56EF">
        <w:rPr>
          <w:rFonts w:ascii="Palatino Linotype" w:eastAsia="Palatino Linotype" w:hAnsi="Palatino Linotype" w:cs="Palatino Linotype"/>
          <w:b/>
        </w:rPr>
        <w:t xml:space="preserve">00365/ATLACOM/IP/2025. </w:t>
      </w:r>
    </w:p>
    <w:p w:rsidR="00A37CE1" w:rsidRPr="005E56EF" w:rsidRDefault="00A37CE1">
      <w:pPr>
        <w:spacing w:after="0" w:line="360" w:lineRule="auto"/>
        <w:jc w:val="both"/>
        <w:rPr>
          <w:rFonts w:ascii="Palatino Linotype" w:eastAsia="Palatino Linotype" w:hAnsi="Palatino Linotype" w:cs="Palatino Linotype"/>
          <w:b/>
        </w:rPr>
      </w:pPr>
    </w:p>
    <w:p w:rsidR="00A37CE1" w:rsidRPr="005E56EF" w:rsidRDefault="00DC0395">
      <w:pPr>
        <w:spacing w:after="0" w:line="360" w:lineRule="auto"/>
        <w:jc w:val="both"/>
        <w:rPr>
          <w:rFonts w:ascii="Palatino Linotype" w:eastAsia="Palatino Linotype" w:hAnsi="Palatino Linotype" w:cs="Palatino Linotype"/>
        </w:rPr>
      </w:pPr>
      <w:bookmarkStart w:id="5" w:name="_heading=h.3dy6vkm" w:colFirst="0" w:colLast="0"/>
      <w:bookmarkEnd w:id="5"/>
      <w:r w:rsidRPr="005E56EF">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A37CE1" w:rsidRPr="005E56EF" w:rsidRDefault="00DC0395">
      <w:pPr>
        <w:spacing w:after="0" w:line="360" w:lineRule="auto"/>
        <w:jc w:val="center"/>
        <w:rPr>
          <w:rFonts w:ascii="Palatino Linotype" w:eastAsia="Palatino Linotype" w:hAnsi="Palatino Linotype" w:cs="Palatino Linotype"/>
          <w:b/>
        </w:rPr>
      </w:pPr>
      <w:r w:rsidRPr="005E56EF">
        <w:rPr>
          <w:rFonts w:ascii="Palatino Linotype" w:eastAsia="Palatino Linotype" w:hAnsi="Palatino Linotype" w:cs="Palatino Linotype"/>
          <w:b/>
        </w:rPr>
        <w:t>R E S U E L V E</w:t>
      </w:r>
    </w:p>
    <w:p w:rsidR="00A37CE1" w:rsidRPr="005E56EF" w:rsidRDefault="00A37CE1">
      <w:pPr>
        <w:spacing w:after="0" w:line="360" w:lineRule="auto"/>
        <w:jc w:val="center"/>
        <w:rPr>
          <w:rFonts w:ascii="Palatino Linotype" w:eastAsia="Palatino Linotype" w:hAnsi="Palatino Linotype" w:cs="Palatino Linotype"/>
          <w:b/>
        </w:rPr>
      </w:pPr>
    </w:p>
    <w:p w:rsidR="00A37CE1" w:rsidRPr="005E56EF" w:rsidRDefault="00DC0395">
      <w:pPr>
        <w:spacing w:after="0" w:line="360" w:lineRule="auto"/>
        <w:jc w:val="both"/>
        <w:rPr>
          <w:rFonts w:ascii="Palatino Linotype" w:eastAsia="Palatino Linotype" w:hAnsi="Palatino Linotype" w:cs="Palatino Linotype"/>
          <w:b/>
        </w:rPr>
      </w:pPr>
      <w:r w:rsidRPr="005E56EF">
        <w:rPr>
          <w:rFonts w:ascii="Palatino Linotype" w:eastAsia="Palatino Linotype" w:hAnsi="Palatino Linotype" w:cs="Palatino Linotype"/>
          <w:b/>
        </w:rPr>
        <w:t xml:space="preserve">PRIMERO. </w:t>
      </w:r>
      <w:r w:rsidRPr="005E56EF">
        <w:rPr>
          <w:rFonts w:ascii="Palatino Linotype" w:eastAsia="Palatino Linotype" w:hAnsi="Palatino Linotype" w:cs="Palatino Linotype"/>
        </w:rPr>
        <w:t xml:space="preserve">Resultan infundados los motivos de inconformidad aducidos por el </w:t>
      </w:r>
      <w:r w:rsidRPr="005E56EF">
        <w:rPr>
          <w:rFonts w:ascii="Palatino Linotype" w:eastAsia="Palatino Linotype" w:hAnsi="Palatino Linotype" w:cs="Palatino Linotype"/>
          <w:b/>
        </w:rPr>
        <w:t>Recurrente</w:t>
      </w:r>
      <w:r w:rsidRPr="005E56EF">
        <w:rPr>
          <w:rFonts w:ascii="Palatino Linotype" w:eastAsia="Palatino Linotype" w:hAnsi="Palatino Linotype" w:cs="Palatino Linotype"/>
        </w:rPr>
        <w:t xml:space="preserve"> en el recurso de revisión </w:t>
      </w:r>
      <w:r w:rsidRPr="005E56EF">
        <w:rPr>
          <w:rFonts w:ascii="Palatino Linotype" w:eastAsia="Palatino Linotype" w:hAnsi="Palatino Linotype" w:cs="Palatino Linotype"/>
          <w:b/>
        </w:rPr>
        <w:t xml:space="preserve">07589/INFOEM/IP/RR/2025 </w:t>
      </w:r>
      <w:r w:rsidRPr="005E56EF">
        <w:rPr>
          <w:rFonts w:ascii="Palatino Linotype" w:eastAsia="Palatino Linotype" w:hAnsi="Palatino Linotype" w:cs="Palatino Linotype"/>
        </w:rPr>
        <w:t xml:space="preserve">por lo que, en términos del Considerando Cuarto de esta resolución, se </w:t>
      </w:r>
      <w:r w:rsidRPr="005E56EF">
        <w:rPr>
          <w:rFonts w:ascii="Palatino Linotype" w:eastAsia="Palatino Linotype" w:hAnsi="Palatino Linotype" w:cs="Palatino Linotype"/>
          <w:b/>
        </w:rPr>
        <w:t>Confirma</w:t>
      </w:r>
      <w:r w:rsidRPr="005E56EF">
        <w:rPr>
          <w:rFonts w:ascii="Palatino Linotype" w:eastAsia="Palatino Linotype" w:hAnsi="Palatino Linotype" w:cs="Palatino Linotype"/>
        </w:rPr>
        <w:t xml:space="preserve"> la respuesta del </w:t>
      </w:r>
      <w:r w:rsidRPr="005E56EF">
        <w:rPr>
          <w:rFonts w:ascii="Palatino Linotype" w:eastAsia="Palatino Linotype" w:hAnsi="Palatino Linotype" w:cs="Palatino Linotype"/>
          <w:b/>
        </w:rPr>
        <w:t>Sujeto Obligado.</w:t>
      </w:r>
    </w:p>
    <w:p w:rsidR="00A37CE1" w:rsidRPr="005E56EF" w:rsidRDefault="00A37CE1">
      <w:pPr>
        <w:spacing w:after="0" w:line="360" w:lineRule="auto"/>
        <w:jc w:val="both"/>
        <w:rPr>
          <w:rFonts w:ascii="Palatino Linotype" w:eastAsia="Palatino Linotype" w:hAnsi="Palatino Linotype" w:cs="Palatino Linotype"/>
          <w:b/>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b/>
        </w:rPr>
        <w:t>SEGUNDO. Notifíquese </w:t>
      </w:r>
      <w:r w:rsidRPr="005E56EF">
        <w:rPr>
          <w:rFonts w:ascii="Palatino Linotype" w:eastAsia="Palatino Linotype" w:hAnsi="Palatino Linotype" w:cs="Palatino Linotype"/>
        </w:rPr>
        <w:t xml:space="preserve">vía SAIMEX la presente resolución al Titular de la Unidad de Transparencia del </w:t>
      </w:r>
      <w:r w:rsidRPr="005E56EF">
        <w:rPr>
          <w:rFonts w:ascii="Palatino Linotype" w:eastAsia="Palatino Linotype" w:hAnsi="Palatino Linotype" w:cs="Palatino Linotype"/>
          <w:b/>
        </w:rPr>
        <w:t>Sujeto Obligado</w:t>
      </w:r>
      <w:r w:rsidRPr="005E56EF">
        <w:rPr>
          <w:rFonts w:ascii="Palatino Linotype" w:eastAsia="Palatino Linotype" w:hAnsi="Palatino Linotype" w:cs="Palatino Linotype"/>
        </w:rPr>
        <w:t>, para su conocimiento.</w:t>
      </w:r>
    </w:p>
    <w:p w:rsidR="00A37CE1" w:rsidRPr="005E56EF" w:rsidRDefault="00A37CE1">
      <w:pPr>
        <w:spacing w:after="0" w:line="360" w:lineRule="auto"/>
        <w:jc w:val="both"/>
        <w:rPr>
          <w:rFonts w:ascii="Palatino Linotype" w:eastAsia="Palatino Linotype" w:hAnsi="Palatino Linotype" w:cs="Palatino Linotype"/>
        </w:rPr>
      </w:pPr>
    </w:p>
    <w:p w:rsidR="00A37CE1" w:rsidRPr="005E56EF" w:rsidRDefault="00DC0395">
      <w:pPr>
        <w:spacing w:after="0" w:line="360" w:lineRule="auto"/>
        <w:jc w:val="both"/>
        <w:rPr>
          <w:rFonts w:ascii="Palatino Linotype" w:eastAsia="Palatino Linotype" w:hAnsi="Palatino Linotype" w:cs="Palatino Linotype"/>
        </w:rPr>
      </w:pPr>
      <w:r w:rsidRPr="005E56EF">
        <w:rPr>
          <w:rFonts w:ascii="Palatino Linotype" w:eastAsia="Palatino Linotype" w:hAnsi="Palatino Linotype" w:cs="Palatino Linotype"/>
          <w:b/>
        </w:rPr>
        <w:t>TERCERO. Notifíquese </w:t>
      </w:r>
      <w:r w:rsidRPr="005E56EF">
        <w:rPr>
          <w:rFonts w:ascii="Palatino Linotype" w:eastAsia="Palatino Linotype" w:hAnsi="Palatino Linotype" w:cs="Palatino Linotype"/>
        </w:rPr>
        <w:t>vía SAIMEX</w:t>
      </w:r>
      <w:r w:rsidRPr="005E56EF">
        <w:rPr>
          <w:rFonts w:ascii="Palatino Linotype" w:eastAsia="Palatino Linotype" w:hAnsi="Palatino Linotype" w:cs="Palatino Linotype"/>
          <w:b/>
        </w:rPr>
        <w:t xml:space="preserve"> al Recurrente</w:t>
      </w:r>
      <w:r w:rsidRPr="005E56EF">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A37CE1" w:rsidRPr="005E56EF" w:rsidRDefault="00A37CE1">
      <w:pPr>
        <w:spacing w:after="0" w:line="360" w:lineRule="auto"/>
        <w:jc w:val="both"/>
        <w:rPr>
          <w:rFonts w:ascii="Palatino Linotype" w:eastAsia="Palatino Linotype" w:hAnsi="Palatino Linotype" w:cs="Palatino Linotype"/>
        </w:rPr>
      </w:pPr>
    </w:p>
    <w:p w:rsidR="00A37CE1" w:rsidRDefault="00DC0395">
      <w:pPr>
        <w:spacing w:after="0" w:line="360" w:lineRule="auto"/>
        <w:ind w:right="49"/>
        <w:jc w:val="both"/>
        <w:rPr>
          <w:rFonts w:ascii="Palatino Linotype" w:eastAsia="Palatino Linotype" w:hAnsi="Palatino Linotype" w:cs="Palatino Linotype"/>
        </w:rPr>
      </w:pPr>
      <w:r w:rsidRPr="005E56E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r>
        <w:rPr>
          <w:rFonts w:ascii="Palatino Linotype" w:eastAsia="Palatino Linotype" w:hAnsi="Palatino Linotype" w:cs="Palatino Linotype"/>
        </w:rPr>
        <w:t xml:space="preserve"> </w:t>
      </w:r>
    </w:p>
    <w:p w:rsidR="00A37CE1" w:rsidRDefault="00DC0395">
      <w:pPr>
        <w:spacing w:after="0" w:line="360" w:lineRule="auto"/>
        <w:ind w:right="49"/>
        <w:jc w:val="both"/>
        <w:rPr>
          <w:rFonts w:ascii="Palatino Linotype" w:eastAsia="Palatino Linotype" w:hAnsi="Palatino Linotype" w:cs="Palatino Linotype"/>
        </w:rPr>
        <w:sectPr w:rsidR="00A37CE1">
          <w:headerReference w:type="even" r:id="rId11"/>
          <w:headerReference w:type="default" r:id="rId12"/>
          <w:footerReference w:type="even" r:id="rId13"/>
          <w:footerReference w:type="default" r:id="rId14"/>
          <w:headerReference w:type="first" r:id="rId15"/>
          <w:footerReference w:type="first" r:id="rId16"/>
          <w:pgSz w:w="12240" w:h="15840"/>
          <w:pgMar w:top="2041" w:right="1474" w:bottom="1701" w:left="1701" w:header="709" w:footer="709" w:gutter="0"/>
          <w:pgNumType w:start="1"/>
          <w:cols w:space="720"/>
          <w:titlePg/>
        </w:sectPr>
      </w:pPr>
      <w:r>
        <w:rPr>
          <w:rFonts w:ascii="Palatino Linotype" w:eastAsia="Palatino Linotype" w:hAnsi="Palatino Linotype" w:cs="Palatino Linotype"/>
        </w:rPr>
        <w:t xml:space="preserve"> </w:t>
      </w:r>
    </w:p>
    <w:p w:rsidR="00A37CE1" w:rsidRDefault="00A37CE1">
      <w:pPr>
        <w:spacing w:after="0" w:line="360" w:lineRule="auto"/>
        <w:ind w:right="49"/>
        <w:jc w:val="both"/>
        <w:rPr>
          <w:rFonts w:ascii="Palatino Linotype" w:eastAsia="Palatino Linotype" w:hAnsi="Palatino Linotype" w:cs="Palatino Linotype"/>
        </w:rPr>
      </w:pPr>
    </w:p>
    <w:sectPr w:rsidR="00A37CE1">
      <w:head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21A" w:rsidRDefault="001B021A">
      <w:pPr>
        <w:spacing w:after="0" w:line="240" w:lineRule="auto"/>
      </w:pPr>
      <w:r>
        <w:separator/>
      </w:r>
    </w:p>
  </w:endnote>
  <w:endnote w:type="continuationSeparator" w:id="0">
    <w:p w:rsidR="001B021A" w:rsidRDefault="001B0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A37CE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DC039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F64C3">
      <w:rPr>
        <w:b/>
        <w:noProof/>
        <w:color w:val="000000"/>
        <w:sz w:val="24"/>
        <w:szCs w:val="24"/>
      </w:rPr>
      <w:t>28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F64C3">
      <w:rPr>
        <w:b/>
        <w:noProof/>
        <w:color w:val="000000"/>
        <w:sz w:val="24"/>
        <w:szCs w:val="24"/>
      </w:rPr>
      <w:t>29</w:t>
    </w:r>
    <w:r>
      <w:rPr>
        <w:b/>
        <w:color w:val="000000"/>
        <w:sz w:val="24"/>
        <w:szCs w:val="24"/>
      </w:rPr>
      <w:fldChar w:fldCharType="end"/>
    </w:r>
  </w:p>
  <w:p w:rsidR="00A37CE1" w:rsidRDefault="00A37CE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DC039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1</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F64C3">
      <w:rPr>
        <w:b/>
        <w:noProof/>
        <w:color w:val="000000"/>
        <w:sz w:val="24"/>
        <w:szCs w:val="24"/>
      </w:rPr>
      <w:t>29</w:t>
    </w:r>
    <w:r>
      <w:rPr>
        <w:b/>
        <w:color w:val="000000"/>
        <w:sz w:val="24"/>
        <w:szCs w:val="24"/>
      </w:rPr>
      <w:fldChar w:fldCharType="end"/>
    </w:r>
  </w:p>
  <w:p w:rsidR="00A37CE1" w:rsidRDefault="00A37CE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21A" w:rsidRDefault="001B021A">
      <w:pPr>
        <w:spacing w:after="0" w:line="240" w:lineRule="auto"/>
      </w:pPr>
      <w:r>
        <w:separator/>
      </w:r>
    </w:p>
  </w:footnote>
  <w:footnote w:type="continuationSeparator" w:id="0">
    <w:p w:rsidR="001B021A" w:rsidRDefault="001B0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A37CE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DC0395">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simplePos x="0" y="0"/>
          <wp:positionH relativeFrom="column">
            <wp:posOffset>-727073</wp:posOffset>
          </wp:positionH>
          <wp:positionV relativeFrom="paragraph">
            <wp:posOffset>-335913</wp:posOffset>
          </wp:positionV>
          <wp:extent cx="7809876" cy="10165823"/>
          <wp:effectExtent l="0" t="0" r="0" b="0"/>
          <wp:wrapNone/>
          <wp:docPr id="14518926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A37CE1">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07589/INFOEM/IP/RR/2025</w:t>
          </w:r>
        </w:p>
      </w:tc>
    </w:tr>
    <w:tr w:rsidR="00A37CE1">
      <w:trPr>
        <w:trHeight w:val="217"/>
      </w:trPr>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Atlacomulco</w:t>
          </w:r>
        </w:p>
      </w:tc>
    </w:tr>
    <w:tr w:rsidR="00A37CE1">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A37CE1" w:rsidRDefault="00A37CE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DC0395">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-600073</wp:posOffset>
          </wp:positionH>
          <wp:positionV relativeFrom="paragraph">
            <wp:posOffset>-286382</wp:posOffset>
          </wp:positionV>
          <wp:extent cx="7809876" cy="10165823"/>
          <wp:effectExtent l="0" t="0" r="0" b="0"/>
          <wp:wrapNone/>
          <wp:docPr id="1451892697" name="image1.pn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Forma, Flecha&#10;&#10;El contenido generado por IA puede ser incorrecto."/>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A37CE1">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07589/INFOEM/IP/RR/2025</w:t>
          </w:r>
        </w:p>
      </w:tc>
    </w:tr>
    <w:tr w:rsidR="00A37CE1">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A37CE1" w:rsidRDefault="00A37CE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A37CE1">
      <w:trPr>
        <w:trHeight w:val="152"/>
      </w:trPr>
      <w:tc>
        <w:tcPr>
          <w:tcW w:w="2551" w:type="dxa"/>
          <w:vAlign w:val="center"/>
        </w:tcPr>
        <w:p w:rsidR="00A37CE1" w:rsidRDefault="00DC0395">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Atlacomulco</w:t>
          </w:r>
        </w:p>
      </w:tc>
    </w:tr>
    <w:tr w:rsidR="00A37CE1">
      <w:tc>
        <w:tcPr>
          <w:tcW w:w="2551"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A37CE1" w:rsidRDefault="00DC039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A37CE1" w:rsidRDefault="00DC039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1" w:rsidRDefault="00A37CE1">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rsidR="00A37CE1" w:rsidRDefault="00DC039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A0A88"/>
    <w:multiLevelType w:val="multilevel"/>
    <w:tmpl w:val="6FF8EF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2A8A35A1"/>
    <w:multiLevelType w:val="multilevel"/>
    <w:tmpl w:val="356CD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58181E"/>
    <w:multiLevelType w:val="multilevel"/>
    <w:tmpl w:val="CA92FB8E"/>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776F27"/>
    <w:multiLevelType w:val="multilevel"/>
    <w:tmpl w:val="E24AB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CE1"/>
    <w:rsid w:val="001B021A"/>
    <w:rsid w:val="005E56EF"/>
    <w:rsid w:val="009F64C3"/>
    <w:rsid w:val="00A37CE1"/>
    <w:rsid w:val="00DC0395"/>
    <w:rsid w:val="00E302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E10D5-2916-4AB4-92F0-3D7DBF6D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8E3AFF"/>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paragraph" w:styleId="Textodeglobo">
    <w:name w:val="Balloon Text"/>
    <w:basedOn w:val="Normal"/>
    <w:link w:val="TextodegloboCar"/>
    <w:uiPriority w:val="99"/>
    <w:semiHidden/>
    <w:unhideWhenUsed/>
    <w:rsid w:val="005E56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6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77Q3B9xtAGu6LlUYkmkrR/aOpg==">CgMxLjAyCWguMzBqMHpsbDIOaC55dTAyNGFzMndkcXMyDmgubDU0bmhndDh6ZDFnMg5oLjltbTBoMG85eXY1YTIJaC4zZHk2dmttOAByITFsenVKME5LM1A1QVlBZUVpUExCVGpORzhqWU5PTE1DeA==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7064</Words>
  <Characters>38858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2025-10-17T00:59:00Z</cp:lastPrinted>
  <dcterms:created xsi:type="dcterms:W3CDTF">2025-11-14T17:55:00Z</dcterms:created>
  <dcterms:modified xsi:type="dcterms:W3CDTF">2025-11-14T17:55:00Z</dcterms:modified>
</cp:coreProperties>
</file>