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75983" w14:textId="77777777" w:rsidR="00AE2083" w:rsidRPr="002E7D94" w:rsidRDefault="00F63ED3">
      <w:pPr>
        <w:spacing w:before="240" w:after="240"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BA1EF4" w:rsidRPr="002E7D94">
        <w:rPr>
          <w:rFonts w:ascii="Palatino Linotype" w:eastAsia="Palatino Linotype" w:hAnsi="Palatino Linotype" w:cs="Palatino Linotype"/>
          <w:b/>
          <w:sz w:val="22"/>
          <w:szCs w:val="22"/>
        </w:rPr>
        <w:t>catorce de mayo</w:t>
      </w:r>
      <w:r w:rsidRPr="002E7D94">
        <w:rPr>
          <w:rFonts w:ascii="Palatino Linotype" w:eastAsia="Palatino Linotype" w:hAnsi="Palatino Linotype" w:cs="Palatino Linotype"/>
          <w:b/>
          <w:sz w:val="22"/>
          <w:szCs w:val="22"/>
        </w:rPr>
        <w:t xml:space="preserve"> del dos mil veinticinco</w:t>
      </w:r>
      <w:r w:rsidRPr="002E7D94">
        <w:rPr>
          <w:rFonts w:ascii="Palatino Linotype" w:eastAsia="Palatino Linotype" w:hAnsi="Palatino Linotype" w:cs="Palatino Linotype"/>
          <w:sz w:val="22"/>
          <w:szCs w:val="22"/>
        </w:rPr>
        <w:t xml:space="preserve">. </w:t>
      </w:r>
    </w:p>
    <w:p w14:paraId="49C1A81E" w14:textId="7FDFC357" w:rsidR="00AE2083" w:rsidRPr="002E7D94" w:rsidRDefault="00F63ED3">
      <w:pPr>
        <w:tabs>
          <w:tab w:val="left" w:pos="5812"/>
        </w:tabs>
        <w:spacing w:before="240" w:after="240"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b/>
          <w:sz w:val="22"/>
          <w:szCs w:val="22"/>
        </w:rPr>
        <w:t>Visto</w:t>
      </w:r>
      <w:r w:rsidRPr="002E7D94">
        <w:rPr>
          <w:rFonts w:ascii="Palatino Linotype" w:eastAsia="Palatino Linotype" w:hAnsi="Palatino Linotype" w:cs="Palatino Linotype"/>
          <w:sz w:val="22"/>
          <w:szCs w:val="22"/>
        </w:rPr>
        <w:t xml:space="preserve"> el expediente formado con motivo del recurso de revisión </w:t>
      </w:r>
      <w:r w:rsidR="00BA1EF4" w:rsidRPr="002E7D94">
        <w:rPr>
          <w:rFonts w:ascii="Palatino Linotype" w:eastAsia="Palatino Linotype" w:hAnsi="Palatino Linotype" w:cs="Palatino Linotype"/>
          <w:b/>
          <w:sz w:val="22"/>
          <w:szCs w:val="22"/>
        </w:rPr>
        <w:t>02884/INFOEM/IP/RR/2025</w:t>
      </w:r>
      <w:r w:rsidRPr="002E7D94">
        <w:rPr>
          <w:rFonts w:ascii="Palatino Linotype" w:eastAsia="Palatino Linotype" w:hAnsi="Palatino Linotype" w:cs="Palatino Linotype"/>
          <w:sz w:val="22"/>
          <w:szCs w:val="22"/>
        </w:rPr>
        <w:t>, interpuesto por</w:t>
      </w:r>
      <w:r w:rsidRPr="002E7D94">
        <w:rPr>
          <w:rFonts w:ascii="Palatino Linotype" w:eastAsia="Palatino Linotype" w:hAnsi="Palatino Linotype" w:cs="Palatino Linotype"/>
          <w:b/>
          <w:sz w:val="22"/>
          <w:szCs w:val="22"/>
        </w:rPr>
        <w:t xml:space="preserve"> </w:t>
      </w:r>
      <w:r w:rsidR="00B912C8">
        <w:rPr>
          <w:rFonts w:ascii="Palatino Linotype" w:eastAsia="Palatino Linotype" w:hAnsi="Palatino Linotype" w:cs="Palatino Linotype"/>
          <w:b/>
          <w:sz w:val="22"/>
          <w:szCs w:val="22"/>
        </w:rPr>
        <w:t>XXXXXXX</w:t>
      </w:r>
      <w:r w:rsidR="00BA1EF4" w:rsidRPr="002E7D94">
        <w:rPr>
          <w:rFonts w:ascii="Palatino Linotype" w:eastAsia="Palatino Linotype" w:hAnsi="Palatino Linotype" w:cs="Palatino Linotype"/>
          <w:b/>
          <w:sz w:val="22"/>
          <w:szCs w:val="22"/>
        </w:rPr>
        <w:t xml:space="preserve"> </w:t>
      </w:r>
      <w:r w:rsidRPr="002E7D94">
        <w:rPr>
          <w:rFonts w:ascii="Palatino Linotype" w:eastAsia="Palatino Linotype" w:hAnsi="Palatino Linotype" w:cs="Palatino Linotype"/>
          <w:sz w:val="22"/>
          <w:szCs w:val="22"/>
        </w:rPr>
        <w:t>en lo sucesivo,</w:t>
      </w:r>
      <w:r w:rsidRPr="002E7D94">
        <w:rPr>
          <w:rFonts w:ascii="Palatino Linotype" w:eastAsia="Palatino Linotype" w:hAnsi="Palatino Linotype" w:cs="Palatino Linotype"/>
          <w:b/>
          <w:sz w:val="22"/>
          <w:szCs w:val="22"/>
        </w:rPr>
        <w:t xml:space="preserve"> la parte</w:t>
      </w:r>
      <w:r w:rsidRPr="002E7D94">
        <w:rPr>
          <w:rFonts w:ascii="Palatino Linotype" w:eastAsia="Palatino Linotype" w:hAnsi="Palatino Linotype" w:cs="Palatino Linotype"/>
          <w:sz w:val="22"/>
          <w:szCs w:val="22"/>
        </w:rPr>
        <w:t xml:space="preserve"> </w:t>
      </w:r>
      <w:r w:rsidRPr="002E7D94">
        <w:rPr>
          <w:rFonts w:ascii="Palatino Linotype" w:eastAsia="Palatino Linotype" w:hAnsi="Palatino Linotype" w:cs="Palatino Linotype"/>
          <w:b/>
          <w:sz w:val="22"/>
          <w:szCs w:val="22"/>
        </w:rPr>
        <w:t>Recurrente,</w:t>
      </w:r>
      <w:r w:rsidRPr="002E7D94">
        <w:rPr>
          <w:rFonts w:ascii="Palatino Linotype" w:eastAsia="Palatino Linotype" w:hAnsi="Palatino Linotype" w:cs="Palatino Linotype"/>
          <w:sz w:val="22"/>
          <w:szCs w:val="22"/>
        </w:rPr>
        <w:t xml:space="preserve"> en contra de la respuesta a la solicitud de información con número de folio</w:t>
      </w:r>
      <w:r w:rsidRPr="002E7D94">
        <w:rPr>
          <w:rFonts w:ascii="Palatino Linotype" w:eastAsia="Palatino Linotype" w:hAnsi="Palatino Linotype" w:cs="Palatino Linotype"/>
          <w:b/>
          <w:sz w:val="22"/>
          <w:szCs w:val="22"/>
        </w:rPr>
        <w:t xml:space="preserve"> </w:t>
      </w:r>
      <w:r w:rsidR="00BA1EF4" w:rsidRPr="002E7D94">
        <w:rPr>
          <w:rFonts w:ascii="Palatino Linotype" w:eastAsia="Palatino Linotype" w:hAnsi="Palatino Linotype" w:cs="Palatino Linotype"/>
          <w:b/>
          <w:sz w:val="22"/>
          <w:szCs w:val="22"/>
        </w:rPr>
        <w:t>00140/CALIMAYA/IP/2025</w:t>
      </w:r>
      <w:r w:rsidRPr="002E7D94">
        <w:rPr>
          <w:rFonts w:ascii="Palatino Linotype" w:eastAsia="Palatino Linotype" w:hAnsi="Palatino Linotype" w:cs="Palatino Linotype"/>
          <w:b/>
          <w:sz w:val="22"/>
          <w:szCs w:val="22"/>
        </w:rPr>
        <w:t xml:space="preserve">, </w:t>
      </w:r>
      <w:r w:rsidRPr="002E7D94">
        <w:rPr>
          <w:rFonts w:ascii="Palatino Linotype" w:eastAsia="Palatino Linotype" w:hAnsi="Palatino Linotype" w:cs="Palatino Linotype"/>
          <w:sz w:val="22"/>
          <w:szCs w:val="22"/>
        </w:rPr>
        <w:t xml:space="preserve">por parte del </w:t>
      </w:r>
      <w:r w:rsidR="00BA1EF4" w:rsidRPr="002E7D94">
        <w:rPr>
          <w:rFonts w:ascii="Palatino Linotype" w:eastAsia="Palatino Linotype" w:hAnsi="Palatino Linotype" w:cs="Palatino Linotype"/>
          <w:b/>
          <w:sz w:val="22"/>
          <w:szCs w:val="22"/>
        </w:rPr>
        <w:t>Ayuntamiento de Calimaya</w:t>
      </w:r>
      <w:r w:rsidRPr="002E7D94">
        <w:rPr>
          <w:rFonts w:ascii="Palatino Linotype" w:eastAsia="Palatino Linotype" w:hAnsi="Palatino Linotype" w:cs="Palatino Linotype"/>
          <w:b/>
          <w:sz w:val="22"/>
          <w:szCs w:val="22"/>
        </w:rPr>
        <w:t xml:space="preserve">, </w:t>
      </w:r>
      <w:r w:rsidRPr="002E7D94">
        <w:rPr>
          <w:rFonts w:ascii="Palatino Linotype" w:eastAsia="Palatino Linotype" w:hAnsi="Palatino Linotype" w:cs="Palatino Linotype"/>
          <w:sz w:val="22"/>
          <w:szCs w:val="22"/>
        </w:rPr>
        <w:t xml:space="preserve">en lo sucesivo el </w:t>
      </w:r>
      <w:r w:rsidRPr="002E7D94">
        <w:rPr>
          <w:rFonts w:ascii="Palatino Linotype" w:eastAsia="Palatino Linotype" w:hAnsi="Palatino Linotype" w:cs="Palatino Linotype"/>
          <w:b/>
          <w:sz w:val="22"/>
          <w:szCs w:val="22"/>
        </w:rPr>
        <w:t xml:space="preserve">Sujeto Obligado, </w:t>
      </w:r>
      <w:r w:rsidRPr="002E7D94">
        <w:rPr>
          <w:rFonts w:ascii="Palatino Linotype" w:eastAsia="Palatino Linotype" w:hAnsi="Palatino Linotype" w:cs="Palatino Linotype"/>
          <w:sz w:val="22"/>
          <w:szCs w:val="22"/>
        </w:rPr>
        <w:t xml:space="preserve">se procede a dictar la presente resolución con base en los siguientes: </w:t>
      </w:r>
    </w:p>
    <w:p w14:paraId="255B6336" w14:textId="77777777" w:rsidR="00AE2083" w:rsidRPr="002E7D94" w:rsidRDefault="00F63ED3">
      <w:pPr>
        <w:spacing w:before="240" w:after="240" w:line="360" w:lineRule="auto"/>
        <w:jc w:val="center"/>
        <w:rPr>
          <w:rFonts w:ascii="Palatino Linotype" w:eastAsia="Palatino Linotype" w:hAnsi="Palatino Linotype" w:cs="Palatino Linotype"/>
          <w:b/>
          <w:sz w:val="22"/>
          <w:szCs w:val="22"/>
        </w:rPr>
      </w:pPr>
      <w:r w:rsidRPr="002E7D94">
        <w:rPr>
          <w:rFonts w:ascii="Palatino Linotype" w:eastAsia="Palatino Linotype" w:hAnsi="Palatino Linotype" w:cs="Palatino Linotype"/>
          <w:b/>
          <w:sz w:val="22"/>
          <w:szCs w:val="22"/>
        </w:rPr>
        <w:t>I. A N T E C E D E N T E S</w:t>
      </w:r>
    </w:p>
    <w:p w14:paraId="3DF9E011" w14:textId="77777777" w:rsidR="00AE2083" w:rsidRPr="002E7D94" w:rsidRDefault="00F63ED3">
      <w:pPr>
        <w:spacing w:before="240" w:after="240" w:line="360" w:lineRule="auto"/>
        <w:jc w:val="both"/>
        <w:rPr>
          <w:rFonts w:ascii="Palatino Linotype" w:eastAsia="Palatino Linotype" w:hAnsi="Palatino Linotype" w:cs="Palatino Linotype"/>
          <w:sz w:val="22"/>
          <w:szCs w:val="22"/>
        </w:rPr>
      </w:pPr>
      <w:bookmarkStart w:id="0" w:name="_heading=h.4d34og8" w:colFirst="0" w:colLast="0"/>
      <w:bookmarkEnd w:id="0"/>
      <w:r w:rsidRPr="002E7D94">
        <w:rPr>
          <w:rFonts w:ascii="Palatino Linotype" w:eastAsia="Palatino Linotype" w:hAnsi="Palatino Linotype" w:cs="Palatino Linotype"/>
          <w:b/>
          <w:sz w:val="22"/>
          <w:szCs w:val="22"/>
        </w:rPr>
        <w:t>1. Solicitud de acceso a la información.</w:t>
      </w:r>
      <w:r w:rsidRPr="002E7D94">
        <w:rPr>
          <w:rFonts w:ascii="Palatino Linotype" w:eastAsia="Palatino Linotype" w:hAnsi="Palatino Linotype" w:cs="Palatino Linotype"/>
          <w:sz w:val="22"/>
          <w:szCs w:val="22"/>
        </w:rPr>
        <w:t xml:space="preserve"> El </w:t>
      </w:r>
      <w:r w:rsidR="00BA1EF4" w:rsidRPr="002E7D94">
        <w:rPr>
          <w:rFonts w:ascii="Palatino Linotype" w:eastAsia="Palatino Linotype" w:hAnsi="Palatino Linotype" w:cs="Palatino Linotype"/>
          <w:b/>
          <w:sz w:val="22"/>
          <w:szCs w:val="22"/>
        </w:rPr>
        <w:t>cuatro de marz</w:t>
      </w:r>
      <w:r w:rsidRPr="002E7D94">
        <w:rPr>
          <w:rFonts w:ascii="Palatino Linotype" w:eastAsia="Palatino Linotype" w:hAnsi="Palatino Linotype" w:cs="Palatino Linotype"/>
          <w:b/>
          <w:sz w:val="22"/>
          <w:szCs w:val="22"/>
        </w:rPr>
        <w:t>o de dos mil veinticinco,</w:t>
      </w:r>
      <w:r w:rsidRPr="002E7D94">
        <w:rPr>
          <w:rFonts w:ascii="Palatino Linotype" w:eastAsia="Palatino Linotype" w:hAnsi="Palatino Linotype" w:cs="Palatino Linotype"/>
          <w:sz w:val="22"/>
          <w:szCs w:val="22"/>
        </w:rPr>
        <w:t xml:space="preserve"> la parte </w:t>
      </w:r>
      <w:r w:rsidRPr="002E7D94">
        <w:rPr>
          <w:rFonts w:ascii="Palatino Linotype" w:eastAsia="Palatino Linotype" w:hAnsi="Palatino Linotype" w:cs="Palatino Linotype"/>
          <w:b/>
          <w:sz w:val="22"/>
          <w:szCs w:val="22"/>
        </w:rPr>
        <w:t xml:space="preserve">Recurrente </w:t>
      </w:r>
      <w:r w:rsidRPr="002E7D94">
        <w:rPr>
          <w:rFonts w:ascii="Palatino Linotype" w:eastAsia="Palatino Linotype" w:hAnsi="Palatino Linotype" w:cs="Palatino Linotype"/>
          <w:sz w:val="22"/>
          <w:szCs w:val="22"/>
        </w:rPr>
        <w:t xml:space="preserve">presentó, a través del Sistema de Acceso a la Información Mexiquense, en lo subsecuente el </w:t>
      </w:r>
      <w:r w:rsidRPr="002E7D94">
        <w:rPr>
          <w:rFonts w:ascii="Palatino Linotype" w:eastAsia="Palatino Linotype" w:hAnsi="Palatino Linotype" w:cs="Palatino Linotype"/>
          <w:b/>
          <w:sz w:val="22"/>
          <w:szCs w:val="22"/>
        </w:rPr>
        <w:t>SAIMEX,</w:t>
      </w:r>
      <w:r w:rsidRPr="002E7D94">
        <w:rPr>
          <w:rFonts w:ascii="Palatino Linotype" w:eastAsia="Palatino Linotype" w:hAnsi="Palatino Linotype" w:cs="Palatino Linotype"/>
          <w:sz w:val="22"/>
          <w:szCs w:val="22"/>
        </w:rPr>
        <w:t xml:space="preserve"> ante el </w:t>
      </w:r>
      <w:r w:rsidRPr="002E7D94">
        <w:rPr>
          <w:rFonts w:ascii="Palatino Linotype" w:eastAsia="Palatino Linotype" w:hAnsi="Palatino Linotype" w:cs="Palatino Linotype"/>
          <w:b/>
          <w:sz w:val="22"/>
          <w:szCs w:val="22"/>
        </w:rPr>
        <w:t>Sujeto Obligado</w:t>
      </w:r>
      <w:r w:rsidRPr="002E7D94">
        <w:rPr>
          <w:rFonts w:ascii="Palatino Linotype" w:eastAsia="Palatino Linotype" w:hAnsi="Palatino Linotype" w:cs="Palatino Linotype"/>
          <w:sz w:val="22"/>
          <w:szCs w:val="22"/>
        </w:rPr>
        <w:t xml:space="preserve">, la solicitud de acceso a la información pública, mediante la cual requirió la información siguiente: </w:t>
      </w:r>
    </w:p>
    <w:p w14:paraId="3615B0A9" w14:textId="77777777" w:rsidR="00AE2083" w:rsidRPr="002E7D94" w:rsidRDefault="00F63ED3">
      <w:pPr>
        <w:spacing w:before="120" w:after="120"/>
        <w:ind w:left="567" w:right="902"/>
        <w:jc w:val="both"/>
        <w:rPr>
          <w:rFonts w:ascii="Palatino Linotype" w:eastAsia="Palatino Linotype" w:hAnsi="Palatino Linotype" w:cs="Palatino Linotype"/>
          <w:b/>
          <w:i/>
          <w:sz w:val="22"/>
          <w:szCs w:val="22"/>
        </w:rPr>
      </w:pPr>
      <w:bookmarkStart w:id="1" w:name="_heading=h.gjdgxs" w:colFirst="0" w:colLast="0"/>
      <w:bookmarkEnd w:id="1"/>
      <w:r w:rsidRPr="002E7D94">
        <w:rPr>
          <w:rFonts w:ascii="Palatino Linotype" w:eastAsia="Palatino Linotype" w:hAnsi="Palatino Linotype" w:cs="Palatino Linotype"/>
          <w:i/>
          <w:sz w:val="22"/>
          <w:szCs w:val="22"/>
        </w:rPr>
        <w:t xml:space="preserve"> “</w:t>
      </w:r>
      <w:r w:rsidR="00BA1EF4" w:rsidRPr="002E7D94">
        <w:rPr>
          <w:rFonts w:ascii="Palatino Linotype" w:eastAsia="Palatino Linotype" w:hAnsi="Palatino Linotype" w:cs="Palatino Linotype"/>
          <w:i/>
          <w:sz w:val="22"/>
          <w:szCs w:val="22"/>
        </w:rPr>
        <w:t>Solicito de manera formal la digitalización y acceso a</w:t>
      </w:r>
      <w:r w:rsidR="00BA1EF4" w:rsidRPr="002E7D94">
        <w:rPr>
          <w:rFonts w:ascii="Palatino Linotype" w:eastAsia="Palatino Linotype" w:hAnsi="Palatino Linotype" w:cs="Palatino Linotype"/>
          <w:b/>
          <w:i/>
          <w:sz w:val="22"/>
          <w:szCs w:val="22"/>
          <w:u w:val="single"/>
        </w:rPr>
        <w:t xml:space="preserve"> todas las actas de cabildo, tanto ordinarias como extraordinarias, celebradas por el H. Ayuntamiento de Calimaya, Administración 2025-2027, en el periodo comprendido entre el 1 de enero de 2025 y el 4 de marzo de 2025.</w:t>
      </w:r>
      <w:r w:rsidRPr="002E7D94">
        <w:rPr>
          <w:rFonts w:ascii="Palatino Linotype" w:eastAsia="Palatino Linotype" w:hAnsi="Palatino Linotype" w:cs="Palatino Linotype"/>
          <w:i/>
          <w:sz w:val="22"/>
          <w:szCs w:val="22"/>
        </w:rPr>
        <w:t>” (</w:t>
      </w:r>
      <w:r w:rsidR="00BA1EF4" w:rsidRPr="002E7D94">
        <w:rPr>
          <w:rFonts w:ascii="Palatino Linotype" w:eastAsia="Palatino Linotype" w:hAnsi="Palatino Linotype" w:cs="Palatino Linotype"/>
          <w:i/>
          <w:sz w:val="22"/>
          <w:szCs w:val="22"/>
        </w:rPr>
        <w:t>Sic</w:t>
      </w:r>
      <w:r w:rsidRPr="002E7D94">
        <w:rPr>
          <w:rFonts w:ascii="Palatino Linotype" w:eastAsia="Palatino Linotype" w:hAnsi="Palatino Linotype" w:cs="Palatino Linotype"/>
          <w:i/>
          <w:sz w:val="22"/>
          <w:szCs w:val="22"/>
        </w:rPr>
        <w:t xml:space="preserve">) </w:t>
      </w:r>
    </w:p>
    <w:p w14:paraId="79271DFB" w14:textId="77777777" w:rsidR="00AE2083" w:rsidRPr="002E7D94" w:rsidRDefault="00F63ED3">
      <w:pPr>
        <w:spacing w:before="240" w:after="240" w:line="360" w:lineRule="auto"/>
        <w:jc w:val="both"/>
        <w:rPr>
          <w:rFonts w:ascii="Palatino Linotype" w:eastAsia="Palatino Linotype" w:hAnsi="Palatino Linotype" w:cs="Palatino Linotype"/>
          <w:sz w:val="22"/>
          <w:szCs w:val="22"/>
        </w:rPr>
      </w:pPr>
      <w:bookmarkStart w:id="2" w:name="_heading=h.3dy6vkm" w:colFirst="0" w:colLast="0"/>
      <w:bookmarkEnd w:id="2"/>
      <w:r w:rsidRPr="002E7D94">
        <w:rPr>
          <w:rFonts w:ascii="Palatino Linotype" w:eastAsia="Palatino Linotype" w:hAnsi="Palatino Linotype" w:cs="Palatino Linotype"/>
          <w:b/>
          <w:sz w:val="22"/>
          <w:szCs w:val="22"/>
        </w:rPr>
        <w:t xml:space="preserve">Modalidad de Entrega: </w:t>
      </w:r>
      <w:r w:rsidRPr="002E7D94">
        <w:rPr>
          <w:rFonts w:ascii="Palatino Linotype" w:eastAsia="Palatino Linotype" w:hAnsi="Palatino Linotype" w:cs="Palatino Linotype"/>
          <w:sz w:val="22"/>
          <w:szCs w:val="22"/>
        </w:rPr>
        <w:t xml:space="preserve">A través del </w:t>
      </w:r>
      <w:r w:rsidRPr="002E7D94">
        <w:rPr>
          <w:rFonts w:ascii="Palatino Linotype" w:eastAsia="Palatino Linotype" w:hAnsi="Palatino Linotype" w:cs="Palatino Linotype"/>
          <w:b/>
          <w:sz w:val="22"/>
          <w:szCs w:val="22"/>
        </w:rPr>
        <w:t>SAIMEX</w:t>
      </w:r>
      <w:r w:rsidRPr="002E7D94">
        <w:rPr>
          <w:rFonts w:ascii="Palatino Linotype" w:eastAsia="Palatino Linotype" w:hAnsi="Palatino Linotype" w:cs="Palatino Linotype"/>
          <w:sz w:val="22"/>
          <w:szCs w:val="22"/>
        </w:rPr>
        <w:t>.</w:t>
      </w:r>
    </w:p>
    <w:p w14:paraId="6CB6172C" w14:textId="77777777" w:rsidR="00AE2083" w:rsidRPr="002E7D94" w:rsidRDefault="00F63ED3">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b/>
          <w:sz w:val="22"/>
          <w:szCs w:val="22"/>
        </w:rPr>
        <w:t xml:space="preserve">2. </w:t>
      </w:r>
      <w:r w:rsidR="00BA1EF4" w:rsidRPr="002E7D94">
        <w:rPr>
          <w:rFonts w:ascii="Palatino Linotype" w:eastAsia="Palatino Linotype" w:hAnsi="Palatino Linotype" w:cs="Palatino Linotype"/>
          <w:b/>
          <w:sz w:val="22"/>
          <w:szCs w:val="22"/>
        </w:rPr>
        <w:t>Respuesta</w:t>
      </w:r>
      <w:r w:rsidRPr="002E7D94">
        <w:rPr>
          <w:rFonts w:ascii="Palatino Linotype" w:eastAsia="Palatino Linotype" w:hAnsi="Palatino Linotype" w:cs="Palatino Linotype"/>
          <w:b/>
          <w:sz w:val="22"/>
          <w:szCs w:val="22"/>
        </w:rPr>
        <w:t xml:space="preserve">. </w:t>
      </w:r>
      <w:r w:rsidRPr="002E7D94">
        <w:rPr>
          <w:rFonts w:ascii="Palatino Linotype" w:eastAsia="Palatino Linotype" w:hAnsi="Palatino Linotype" w:cs="Palatino Linotype"/>
          <w:sz w:val="22"/>
          <w:szCs w:val="22"/>
        </w:rPr>
        <w:t xml:space="preserve">El </w:t>
      </w:r>
      <w:r w:rsidR="00BA1EF4" w:rsidRPr="002E7D94">
        <w:rPr>
          <w:rFonts w:ascii="Palatino Linotype" w:eastAsia="Palatino Linotype" w:hAnsi="Palatino Linotype" w:cs="Palatino Linotype"/>
          <w:b/>
          <w:sz w:val="22"/>
          <w:szCs w:val="22"/>
        </w:rPr>
        <w:t>trece de marzo</w:t>
      </w:r>
      <w:r w:rsidRPr="002E7D94">
        <w:rPr>
          <w:rFonts w:ascii="Palatino Linotype" w:eastAsia="Palatino Linotype" w:hAnsi="Palatino Linotype" w:cs="Palatino Linotype"/>
          <w:b/>
          <w:sz w:val="22"/>
          <w:szCs w:val="22"/>
        </w:rPr>
        <w:t xml:space="preserve"> de dos mil veinticinco,</w:t>
      </w:r>
      <w:r w:rsidRPr="002E7D94">
        <w:rPr>
          <w:rFonts w:ascii="Palatino Linotype" w:eastAsia="Palatino Linotype" w:hAnsi="Palatino Linotype" w:cs="Palatino Linotype"/>
          <w:sz w:val="22"/>
          <w:szCs w:val="22"/>
        </w:rPr>
        <w:t xml:space="preserve"> el </w:t>
      </w:r>
      <w:r w:rsidRPr="002E7D94">
        <w:rPr>
          <w:rFonts w:ascii="Palatino Linotype" w:eastAsia="Palatino Linotype" w:hAnsi="Palatino Linotype" w:cs="Palatino Linotype"/>
          <w:b/>
          <w:sz w:val="22"/>
          <w:szCs w:val="22"/>
        </w:rPr>
        <w:t xml:space="preserve">Sujeto Obligado </w:t>
      </w:r>
      <w:r w:rsidRPr="002E7D94">
        <w:rPr>
          <w:rFonts w:ascii="Palatino Linotype" w:eastAsia="Palatino Linotype" w:hAnsi="Palatino Linotype" w:cs="Palatino Linotype"/>
          <w:sz w:val="22"/>
          <w:szCs w:val="22"/>
        </w:rPr>
        <w:t xml:space="preserve">declaró su incompetencia para atender la presente solicitud de acceso a la información a través de SAIMEX, sustancialmente en los términos siguientes:   </w:t>
      </w:r>
    </w:p>
    <w:p w14:paraId="20A3EFE4" w14:textId="77777777" w:rsidR="00BA1EF4" w:rsidRPr="002E7D94" w:rsidRDefault="00F63ED3" w:rsidP="00BA1EF4">
      <w:pPr>
        <w:spacing w:before="240" w:after="240"/>
        <w:ind w:left="567" w:right="902"/>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i/>
          <w:sz w:val="22"/>
          <w:szCs w:val="22"/>
        </w:rPr>
        <w:t>“</w:t>
      </w:r>
      <w:r w:rsidR="00BA1EF4" w:rsidRPr="002E7D94">
        <w:rPr>
          <w:rFonts w:ascii="Palatino Linotype" w:eastAsia="Palatino Linotype" w:hAnsi="Palatino Linotype" w:cs="Palatino Linotype"/>
          <w:i/>
          <w:sz w:val="22"/>
          <w:szCs w:val="22"/>
        </w:rPr>
        <w:t>…</w:t>
      </w:r>
    </w:p>
    <w:p w14:paraId="4C36CFE0" w14:textId="77777777" w:rsidR="00BA1EF4" w:rsidRPr="002E7D94" w:rsidRDefault="00BA1EF4" w:rsidP="00BA1EF4">
      <w:pPr>
        <w:spacing w:before="240" w:after="240"/>
        <w:ind w:left="567" w:right="902"/>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i/>
          <w:sz w:val="22"/>
          <w:szCs w:val="22"/>
        </w:rPr>
        <w:lastRenderedPageBreak/>
        <w:t>EN ATENCIÓN A SU SOLICITUD DE INFORMACIÓN CON NÚMERO DE FOLIO 00140/CALIMAYA/IP/2025 POR ESTE MEDIO ME PERMITO HACER DE SU CONOCIMIENTO QUE SU SOLICITUD FUE TURNADA AL SERVIDOR PÚBLICO HABILITADO QUE A CONTINUACIÓN SE ENLISTAN, QUIEN EMITIÓ LA SIGUIENTE RESPUESTA Y DOCUMENTOS ADJUNTOS QUE SE ENTREGAN A TRAVÉS DEL SAIMEX, DE CONFORMIDAD A LO ESTABLECIDO EN LOS ARTÍCULOS 53 FRACCIÓN II Y IV, 59, 158, 159, 161, 162 Y 163 DE LA LEY DE TRANSPARENCIA Y ACCESO A LA INFORMACIÓN PÚBLICA DEL ESTADO DE MÉXICO Y MUNICIPIOS: “SE HACE DEL CONOCIMIENTO DEL SOLICITANTE QUE MEDIANTE LE OFICIO NÚMERO AC/SA/0312/2025 (SECRETARIA DEL AYUNTAMIENTO), SE DIÓ RESPUESTA A LA SOLICITUD CON NÚMERO DE FOLIO 00140/CALIMAYA/IP/2025, SE ADJUNTAN EL OFICIO DE RESPUESTA PARA MAYOR REFERENCIA.” SIN OTRO ASUNTO, DEJANDO A SALVO SUS PRERROGATIVAS DE INCONFORMIDAD ESTABLECIDAS EN EL TÍTULO OCTAVO DE LA LEY DE TRANSPARENCIA Y ACCESO A LA INFORMACIÓN PÚBLICA DEL ESTADO DE MÉXICO Y MUNICIPIOS, INFORMANDO QUE CUENTA, EN SU CASO, CON 15 DÍAS PARA PROMOVERLA, QUEDO DE USTED.</w:t>
      </w:r>
    </w:p>
    <w:p w14:paraId="6DD19A3E" w14:textId="77777777" w:rsidR="00BA1EF4" w:rsidRPr="002E7D94" w:rsidRDefault="00BA1EF4" w:rsidP="00BA1EF4">
      <w:pPr>
        <w:spacing w:before="240" w:after="240"/>
        <w:ind w:left="567" w:right="902"/>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i/>
          <w:sz w:val="22"/>
          <w:szCs w:val="22"/>
        </w:rPr>
        <w:t>ATENTAMENTE</w:t>
      </w:r>
    </w:p>
    <w:p w14:paraId="1D171C82" w14:textId="77777777" w:rsidR="00AE2083" w:rsidRPr="002E7D94" w:rsidRDefault="00BA1EF4" w:rsidP="00BA1EF4">
      <w:pPr>
        <w:spacing w:before="240" w:after="240"/>
        <w:ind w:left="567" w:right="902"/>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i/>
          <w:sz w:val="22"/>
          <w:szCs w:val="22"/>
        </w:rPr>
        <w:t>Mtra. Mari Toña Olmedo Carmona</w:t>
      </w:r>
      <w:r w:rsidR="001A7E96" w:rsidRPr="002E7D94">
        <w:rPr>
          <w:rFonts w:ascii="Palatino Linotype" w:eastAsia="Palatino Linotype" w:hAnsi="Palatino Linotype" w:cs="Palatino Linotype"/>
          <w:i/>
          <w:sz w:val="22"/>
          <w:szCs w:val="22"/>
        </w:rPr>
        <w:t>” (S</w:t>
      </w:r>
      <w:r w:rsidR="00F63ED3" w:rsidRPr="002E7D94">
        <w:rPr>
          <w:rFonts w:ascii="Palatino Linotype" w:eastAsia="Palatino Linotype" w:hAnsi="Palatino Linotype" w:cs="Palatino Linotype"/>
          <w:i/>
          <w:sz w:val="22"/>
          <w:szCs w:val="22"/>
        </w:rPr>
        <w:t>ic)</w:t>
      </w:r>
    </w:p>
    <w:p w14:paraId="1AAD74EE" w14:textId="77777777" w:rsidR="00AE2083" w:rsidRPr="002E7D94" w:rsidRDefault="00F63ED3">
      <w:pPr>
        <w:spacing w:before="240" w:after="240"/>
        <w:ind w:left="567" w:right="902"/>
        <w:jc w:val="both"/>
        <w:rPr>
          <w:rFonts w:ascii="Palatino Linotype" w:eastAsia="Palatino Linotype" w:hAnsi="Palatino Linotype" w:cs="Palatino Linotype"/>
          <w:b/>
          <w:sz w:val="22"/>
          <w:szCs w:val="22"/>
        </w:rPr>
      </w:pPr>
      <w:r w:rsidRPr="002E7D94">
        <w:rPr>
          <w:rFonts w:ascii="Palatino Linotype" w:eastAsia="Palatino Linotype" w:hAnsi="Palatino Linotype" w:cs="Palatino Linotype"/>
          <w:b/>
          <w:sz w:val="22"/>
          <w:szCs w:val="22"/>
        </w:rPr>
        <w:t xml:space="preserve">Archivos adjuntos: </w:t>
      </w:r>
    </w:p>
    <w:p w14:paraId="0B6B8FCD" w14:textId="77777777" w:rsidR="00AE2083" w:rsidRPr="002E7D94" w:rsidRDefault="00BA1EF4">
      <w:pPr>
        <w:spacing w:before="240" w:after="240" w:line="360" w:lineRule="auto"/>
        <w:ind w:left="567" w:right="902"/>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b/>
          <w:i/>
          <w:sz w:val="22"/>
          <w:szCs w:val="22"/>
        </w:rPr>
        <w:t>“IP 140.pdf</w:t>
      </w:r>
      <w:r w:rsidR="00F63ED3" w:rsidRPr="002E7D94">
        <w:rPr>
          <w:rFonts w:ascii="Palatino Linotype" w:eastAsia="Palatino Linotype" w:hAnsi="Palatino Linotype" w:cs="Palatino Linotype"/>
          <w:b/>
          <w:i/>
          <w:sz w:val="22"/>
          <w:szCs w:val="22"/>
        </w:rPr>
        <w:t xml:space="preserve">”: </w:t>
      </w:r>
      <w:r w:rsidR="00F63ED3" w:rsidRPr="002E7D94">
        <w:rPr>
          <w:rFonts w:ascii="Palatino Linotype" w:eastAsia="Palatino Linotype" w:hAnsi="Palatino Linotype" w:cs="Palatino Linotype"/>
          <w:sz w:val="22"/>
          <w:szCs w:val="22"/>
        </w:rPr>
        <w:t xml:space="preserve">Oficio </w:t>
      </w:r>
      <w:r w:rsidRPr="002E7D94">
        <w:rPr>
          <w:rFonts w:ascii="Palatino Linotype" w:eastAsia="Palatino Linotype" w:hAnsi="Palatino Linotype" w:cs="Palatino Linotype"/>
          <w:sz w:val="22"/>
          <w:szCs w:val="22"/>
        </w:rPr>
        <w:t xml:space="preserve">AC/SA/0312/2025, suscrito por </w:t>
      </w:r>
      <w:r w:rsidR="004331BC" w:rsidRPr="002E7D94">
        <w:rPr>
          <w:rFonts w:ascii="Palatino Linotype" w:eastAsia="Palatino Linotype" w:hAnsi="Palatino Linotype" w:cs="Palatino Linotype"/>
          <w:sz w:val="22"/>
          <w:szCs w:val="22"/>
        </w:rPr>
        <w:t>la Secretaria del Ayuntamiento, en el cual refiere medularmente lo siguiente:</w:t>
      </w:r>
    </w:p>
    <w:p w14:paraId="38786DEF" w14:textId="77777777" w:rsidR="004331BC" w:rsidRPr="002E7D94" w:rsidRDefault="004331BC" w:rsidP="001A7E96">
      <w:pPr>
        <w:spacing w:before="240" w:after="240" w:line="276" w:lineRule="auto"/>
        <w:ind w:left="567" w:right="902"/>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i/>
          <w:sz w:val="22"/>
          <w:szCs w:val="22"/>
        </w:rPr>
        <w:t>“…</w:t>
      </w:r>
    </w:p>
    <w:p w14:paraId="7F1E4815" w14:textId="77777777" w:rsidR="001A7E96" w:rsidRPr="002E7D94" w:rsidRDefault="001A7E96" w:rsidP="001A7E96">
      <w:pPr>
        <w:spacing w:before="240" w:after="240" w:line="276" w:lineRule="auto"/>
        <w:ind w:left="567" w:right="902"/>
        <w:jc w:val="both"/>
        <w:rPr>
          <w:rFonts w:ascii="Palatino Linotype" w:eastAsia="Palatino Linotype" w:hAnsi="Palatino Linotype" w:cs="Palatino Linotype"/>
          <w:b/>
          <w:i/>
          <w:sz w:val="22"/>
          <w:szCs w:val="22"/>
          <w:u w:val="single"/>
        </w:rPr>
      </w:pPr>
      <w:r w:rsidRPr="002E7D94">
        <w:rPr>
          <w:rFonts w:ascii="Palatino Linotype" w:eastAsia="Palatino Linotype" w:hAnsi="Palatino Linotype" w:cs="Palatino Linotype"/>
          <w:i/>
          <w:sz w:val="22"/>
          <w:szCs w:val="22"/>
        </w:rPr>
        <w:t xml:space="preserve">Por medio del presente le envío un cordial saludo y en cumplimiento a lo solicitado con número de folio 000140/CALIMAYA/IP/2025, turnada a esta Secretaría mediante oficio PMC/UT/205/2025, y </w:t>
      </w:r>
      <w:r w:rsidRPr="002E7D94">
        <w:rPr>
          <w:rFonts w:ascii="Palatino Linotype" w:eastAsia="Palatino Linotype" w:hAnsi="Palatino Linotype" w:cs="Palatino Linotype"/>
          <w:b/>
          <w:i/>
          <w:sz w:val="22"/>
          <w:szCs w:val="22"/>
          <w:u w:val="single"/>
        </w:rPr>
        <w:t xml:space="preserve">con fundamento en el artículo 140 de la Ley de Transparencia y Acceso a la Información Pública del Estado de México y Municipios, en el título trigésimo octavo del Acuerdo del Consejo Nacional del Sistema Nacional de Transparencia, Acceso a la Información </w:t>
      </w:r>
      <w:proofErr w:type="spellStart"/>
      <w:r w:rsidRPr="002E7D94">
        <w:rPr>
          <w:rFonts w:ascii="Palatino Linotype" w:eastAsia="Palatino Linotype" w:hAnsi="Palatino Linotype" w:cs="Palatino Linotype"/>
          <w:b/>
          <w:i/>
          <w:sz w:val="22"/>
          <w:szCs w:val="22"/>
          <w:u w:val="single"/>
        </w:rPr>
        <w:t>Publica</w:t>
      </w:r>
      <w:proofErr w:type="spellEnd"/>
      <w:r w:rsidRPr="002E7D94">
        <w:rPr>
          <w:rFonts w:ascii="Palatino Linotype" w:eastAsia="Palatino Linotype" w:hAnsi="Palatino Linotype" w:cs="Palatino Linotype"/>
          <w:b/>
          <w:i/>
          <w:sz w:val="22"/>
          <w:szCs w:val="22"/>
          <w:u w:val="single"/>
        </w:rPr>
        <w:t xml:space="preserve"> y Protección de Datos Personales, por el que se aprueban los </w:t>
      </w:r>
      <w:r w:rsidRPr="002E7D94">
        <w:rPr>
          <w:rFonts w:ascii="Palatino Linotype" w:eastAsia="Palatino Linotype" w:hAnsi="Palatino Linotype" w:cs="Palatino Linotype"/>
          <w:b/>
          <w:i/>
          <w:sz w:val="22"/>
          <w:szCs w:val="22"/>
          <w:u w:val="single"/>
        </w:rPr>
        <w:lastRenderedPageBreak/>
        <w:t>Lineamientos generales en materia de clasificación y desclasificación de la información, así como para la elaboración de versiones públicas, por el artículo 30 párrafo segundo de La Ley Orgánica Municipal de Estado de México, así como en el Reglamento Interno del Comité de Transparencia del H. Ayuntamiento de Calimaya, me permito informarle que toda vez que es apremiante salvaguardar información clasificada como reservada y que se desconocen las finalidades del ocurso de cuenta por no estar inmersas dentro de este, le extiendo atenta invitación a fin de que pueda ser consultada su petición dentro de la página oficial de esta Administración en el apartado de "Gacetas", al mismo tiempo, le comparto que, las sesiones de Cabildo se encuentran disponibles en YouTube al igual que en la página oficial del Ayuntamiento de Calimaya.</w:t>
      </w:r>
    </w:p>
    <w:p w14:paraId="47C03ACD" w14:textId="77777777" w:rsidR="004331BC" w:rsidRPr="002E7D94" w:rsidRDefault="001A7E96" w:rsidP="001A7E96">
      <w:pPr>
        <w:spacing w:before="240" w:after="240" w:line="276" w:lineRule="auto"/>
        <w:ind w:left="567" w:right="902"/>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b/>
          <w:i/>
          <w:sz w:val="22"/>
          <w:szCs w:val="22"/>
          <w:u w:val="single"/>
        </w:rPr>
        <w:t>Finalmente, y sin causar detrimento alguno en el ejercicio del artículo sexto constitucional, le comunico de la manera más atenta a que asista a las oficinas que</w:t>
      </w:r>
      <w:r w:rsidRPr="002E7D94">
        <w:rPr>
          <w:b/>
          <w:u w:val="single"/>
        </w:rPr>
        <w:t xml:space="preserve"> </w:t>
      </w:r>
      <w:r w:rsidRPr="002E7D94">
        <w:rPr>
          <w:rFonts w:ascii="Palatino Linotype" w:eastAsia="Palatino Linotype" w:hAnsi="Palatino Linotype" w:cs="Palatino Linotype"/>
          <w:b/>
          <w:i/>
          <w:sz w:val="22"/>
          <w:szCs w:val="22"/>
          <w:u w:val="single"/>
        </w:rPr>
        <w:t>ocupa esta Secretaría a verificar la información en comento</w:t>
      </w:r>
      <w:r w:rsidRPr="002E7D94">
        <w:rPr>
          <w:rFonts w:ascii="Palatino Linotype" w:eastAsia="Palatino Linotype" w:hAnsi="Palatino Linotype" w:cs="Palatino Linotype"/>
          <w:i/>
          <w:sz w:val="22"/>
          <w:szCs w:val="22"/>
        </w:rPr>
        <w:t>, ello atendiendo a la normatividad mencionada en el párrafo anterior.</w:t>
      </w:r>
    </w:p>
    <w:p w14:paraId="349C96FA" w14:textId="77777777" w:rsidR="001A7E96" w:rsidRPr="002E7D94" w:rsidRDefault="001A7E96" w:rsidP="001A7E96">
      <w:pPr>
        <w:spacing w:before="240" w:after="240" w:line="276" w:lineRule="auto"/>
        <w:ind w:left="567" w:right="902"/>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i/>
          <w:sz w:val="22"/>
          <w:szCs w:val="22"/>
        </w:rPr>
        <w:t>…” (Sic)</w:t>
      </w:r>
    </w:p>
    <w:p w14:paraId="7658B9C0" w14:textId="77777777" w:rsidR="00AE2083" w:rsidRPr="002E7D94" w:rsidRDefault="00F63ED3">
      <w:pPr>
        <w:spacing w:before="240" w:after="240" w:line="360" w:lineRule="auto"/>
        <w:ind w:right="49"/>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b/>
          <w:sz w:val="22"/>
          <w:szCs w:val="22"/>
        </w:rPr>
        <w:t xml:space="preserve">3. Interposición del recurso de revisión. </w:t>
      </w:r>
      <w:r w:rsidRPr="002E7D94">
        <w:rPr>
          <w:rFonts w:ascii="Palatino Linotype" w:eastAsia="Palatino Linotype" w:hAnsi="Palatino Linotype" w:cs="Palatino Linotype"/>
          <w:sz w:val="22"/>
          <w:szCs w:val="22"/>
        </w:rPr>
        <w:t xml:space="preserve">Inconforme con los términos de la respuesta emitida por parte del </w:t>
      </w:r>
      <w:r w:rsidRPr="002E7D94">
        <w:rPr>
          <w:rFonts w:ascii="Palatino Linotype" w:eastAsia="Palatino Linotype" w:hAnsi="Palatino Linotype" w:cs="Palatino Linotype"/>
          <w:b/>
          <w:sz w:val="22"/>
          <w:szCs w:val="22"/>
        </w:rPr>
        <w:t>Sujeto Obligado</w:t>
      </w:r>
      <w:r w:rsidRPr="002E7D94">
        <w:rPr>
          <w:rFonts w:ascii="Palatino Linotype" w:eastAsia="Palatino Linotype" w:hAnsi="Palatino Linotype" w:cs="Palatino Linotype"/>
          <w:sz w:val="22"/>
          <w:szCs w:val="22"/>
        </w:rPr>
        <w:t xml:space="preserve">, el </w:t>
      </w:r>
      <w:r w:rsidR="001A7E96" w:rsidRPr="002E7D94">
        <w:rPr>
          <w:rFonts w:ascii="Palatino Linotype" w:eastAsia="Palatino Linotype" w:hAnsi="Palatino Linotype" w:cs="Palatino Linotype"/>
          <w:b/>
          <w:sz w:val="22"/>
          <w:szCs w:val="22"/>
        </w:rPr>
        <w:t>trece de marzo</w:t>
      </w:r>
      <w:r w:rsidRPr="002E7D94">
        <w:rPr>
          <w:rFonts w:ascii="Palatino Linotype" w:eastAsia="Palatino Linotype" w:hAnsi="Palatino Linotype" w:cs="Palatino Linotype"/>
          <w:b/>
          <w:sz w:val="22"/>
          <w:szCs w:val="22"/>
        </w:rPr>
        <w:t xml:space="preserve"> de dos mil veinticinco, la parte Recurrente</w:t>
      </w:r>
      <w:r w:rsidRPr="002E7D94">
        <w:rPr>
          <w:rFonts w:ascii="Palatino Linotype" w:eastAsia="Palatino Linotype" w:hAnsi="Palatino Linotype" w:cs="Palatino Linotype"/>
          <w:sz w:val="22"/>
          <w:szCs w:val="22"/>
        </w:rPr>
        <w:t xml:space="preserve"> interpuso el recurso de revisión a través de </w:t>
      </w:r>
      <w:r w:rsidRPr="002E7D94">
        <w:rPr>
          <w:rFonts w:ascii="Palatino Linotype" w:eastAsia="Palatino Linotype" w:hAnsi="Palatino Linotype" w:cs="Palatino Linotype"/>
          <w:b/>
          <w:sz w:val="22"/>
          <w:szCs w:val="22"/>
        </w:rPr>
        <w:t xml:space="preserve">SAIMEX, </w:t>
      </w:r>
      <w:r w:rsidRPr="002E7D94">
        <w:rPr>
          <w:rFonts w:ascii="Palatino Linotype" w:eastAsia="Palatino Linotype" w:hAnsi="Palatino Linotype" w:cs="Palatino Linotype"/>
          <w:sz w:val="22"/>
          <w:szCs w:val="22"/>
        </w:rPr>
        <w:t>en donde se manifestó de la siguiente manera:</w:t>
      </w:r>
    </w:p>
    <w:p w14:paraId="44DAFF26" w14:textId="77777777" w:rsidR="00AE2083" w:rsidRPr="002E7D94" w:rsidRDefault="00F63ED3">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2E7D94">
        <w:rPr>
          <w:rFonts w:ascii="Palatino Linotype" w:eastAsia="Palatino Linotype" w:hAnsi="Palatino Linotype" w:cs="Palatino Linotype"/>
          <w:b/>
          <w:sz w:val="22"/>
          <w:szCs w:val="22"/>
        </w:rPr>
        <w:t xml:space="preserve">a) Acto impugnado: </w:t>
      </w:r>
      <w:r w:rsidRPr="002E7D94">
        <w:rPr>
          <w:rFonts w:ascii="Palatino Linotype" w:eastAsia="Palatino Linotype" w:hAnsi="Palatino Linotype" w:cs="Palatino Linotype"/>
          <w:i/>
          <w:sz w:val="22"/>
          <w:szCs w:val="22"/>
        </w:rPr>
        <w:t>“</w:t>
      </w:r>
      <w:r w:rsidR="001A7E96" w:rsidRPr="002E7D94">
        <w:rPr>
          <w:rFonts w:ascii="Palatino Linotype" w:eastAsia="Palatino Linotype" w:hAnsi="Palatino Linotype" w:cs="Palatino Linotype"/>
          <w:i/>
          <w:sz w:val="22"/>
          <w:szCs w:val="22"/>
        </w:rPr>
        <w:t xml:space="preserve">Oficio AC/SA/0312/2025, fechado el 10 de marzo de 2025, firmado por la Secretaria del Ayuntamiento de Calimaya, en el que se me informó que no se entregarían las actas solicitadas directamente, </w:t>
      </w:r>
      <w:r w:rsidR="001A7E96" w:rsidRPr="002E7D94">
        <w:rPr>
          <w:rFonts w:ascii="Palatino Linotype" w:eastAsia="Palatino Linotype" w:hAnsi="Palatino Linotype" w:cs="Palatino Linotype"/>
          <w:b/>
          <w:i/>
          <w:sz w:val="22"/>
          <w:szCs w:val="22"/>
          <w:u w:val="single"/>
        </w:rPr>
        <w:t>argumentando que contienen información clasificada como reservada y que no se especificaron las finalidades de mi solicitud. En su lugar, se me invitó a consultar la sección de "Gacetas" en la página oficial, ver sesiones en YouTube o acudir presencialmente a las oficinas de la Secretaría</w:t>
      </w:r>
      <w:r w:rsidR="001A7E96" w:rsidRPr="002E7D94">
        <w:rPr>
          <w:rFonts w:ascii="Palatino Linotype" w:eastAsia="Palatino Linotype" w:hAnsi="Palatino Linotype" w:cs="Palatino Linotype"/>
          <w:i/>
          <w:sz w:val="22"/>
          <w:szCs w:val="22"/>
        </w:rPr>
        <w:t>.</w:t>
      </w:r>
      <w:r w:rsidRPr="002E7D94">
        <w:rPr>
          <w:rFonts w:ascii="Palatino Linotype" w:eastAsia="Palatino Linotype" w:hAnsi="Palatino Linotype" w:cs="Palatino Linotype"/>
          <w:i/>
          <w:sz w:val="22"/>
          <w:szCs w:val="22"/>
        </w:rPr>
        <w:t>” (Sic)</w:t>
      </w:r>
    </w:p>
    <w:p w14:paraId="207B2D26" w14:textId="77777777" w:rsidR="00AE2083" w:rsidRPr="002E7D94" w:rsidRDefault="00F63ED3">
      <w:pPr>
        <w:spacing w:line="276" w:lineRule="auto"/>
        <w:ind w:left="567" w:right="900"/>
        <w:jc w:val="both"/>
        <w:rPr>
          <w:rFonts w:ascii="Palatino Linotype" w:eastAsia="Palatino Linotype" w:hAnsi="Palatino Linotype" w:cs="Palatino Linotype"/>
          <w:i/>
          <w:sz w:val="22"/>
          <w:szCs w:val="22"/>
        </w:rPr>
      </w:pPr>
      <w:bookmarkStart w:id="3" w:name="_heading=h.30j0zll" w:colFirst="0" w:colLast="0"/>
      <w:bookmarkEnd w:id="3"/>
      <w:r w:rsidRPr="002E7D94">
        <w:rPr>
          <w:rFonts w:ascii="Palatino Linotype" w:eastAsia="Palatino Linotype" w:hAnsi="Palatino Linotype" w:cs="Palatino Linotype"/>
          <w:b/>
          <w:sz w:val="22"/>
          <w:szCs w:val="22"/>
        </w:rPr>
        <w:t>b) Razones o motivos de inconformidad</w:t>
      </w:r>
      <w:r w:rsidRPr="002E7D94">
        <w:rPr>
          <w:rFonts w:ascii="Palatino Linotype" w:eastAsia="Palatino Linotype" w:hAnsi="Palatino Linotype" w:cs="Palatino Linotype"/>
          <w:sz w:val="22"/>
          <w:szCs w:val="22"/>
        </w:rPr>
        <w:t xml:space="preserve">: </w:t>
      </w:r>
      <w:r w:rsidRPr="002E7D94">
        <w:rPr>
          <w:rFonts w:ascii="Palatino Linotype" w:eastAsia="Palatino Linotype" w:hAnsi="Palatino Linotype" w:cs="Palatino Linotype"/>
          <w:i/>
          <w:sz w:val="22"/>
          <w:szCs w:val="22"/>
        </w:rPr>
        <w:t>“</w:t>
      </w:r>
      <w:r w:rsidR="001A7E96" w:rsidRPr="002E7D94">
        <w:rPr>
          <w:rFonts w:ascii="Palatino Linotype" w:eastAsia="Palatino Linotype" w:hAnsi="Palatino Linotype" w:cs="Palatino Linotype"/>
          <w:i/>
          <w:sz w:val="22"/>
          <w:szCs w:val="22"/>
        </w:rPr>
        <w:t xml:space="preserve">La respuesta del Ayuntamiento de Calimaya me causa agravio por las siguientes razones: 1. Incumplimiento del </w:t>
      </w:r>
      <w:r w:rsidR="001A7E96" w:rsidRPr="002E7D94">
        <w:rPr>
          <w:rFonts w:ascii="Palatino Linotype" w:eastAsia="Palatino Linotype" w:hAnsi="Palatino Linotype" w:cs="Palatino Linotype"/>
          <w:i/>
          <w:sz w:val="22"/>
          <w:szCs w:val="22"/>
        </w:rPr>
        <w:lastRenderedPageBreak/>
        <w:t xml:space="preserve">principio de máxima publicidad: Conforme al artículo 6° de la Constitución Política de los Estados Unidos Mexicanos y al artículo 9 de la Ley de Transparencia y Acceso a la Información Pública del Estado de México y Municipios, toda la información en posesión de los sujetos obligados es pública, salvo excepciones justificadas. </w:t>
      </w:r>
      <w:r w:rsidR="001A7E96" w:rsidRPr="002E7D94">
        <w:rPr>
          <w:rFonts w:ascii="Palatino Linotype" w:eastAsia="Palatino Linotype" w:hAnsi="Palatino Linotype" w:cs="Palatino Linotype"/>
          <w:b/>
          <w:i/>
          <w:sz w:val="22"/>
          <w:szCs w:val="22"/>
          <w:u w:val="single"/>
        </w:rPr>
        <w:t>El Ayuntamiento no detalla qué partes específicas de las actas de cabildo son reservadas ni acredita la procedencia de dicha clasificación, limitándose a una afirmación genérica. Esto vulnera mi derecho de acceso a la información en el formato solicitado (digitalizado). 2. Falta de fundamentación en la clasificación como reservada: El artículo 140 de la Ley de Transparencia estatal, citado por el Ayuntamiento, exige que la clasificación de información como reservada sea específica y justificada, lo cual no se cumple en el oficio AC/SA/0312/2025. No se indica qué datos de las actas (</w:t>
      </w:r>
      <w:proofErr w:type="spellStart"/>
      <w:r w:rsidR="001A7E96" w:rsidRPr="002E7D94">
        <w:rPr>
          <w:rFonts w:ascii="Palatino Linotype" w:eastAsia="Palatino Linotype" w:hAnsi="Palatino Linotype" w:cs="Palatino Linotype"/>
          <w:b/>
          <w:i/>
          <w:sz w:val="22"/>
          <w:szCs w:val="22"/>
          <w:u w:val="single"/>
        </w:rPr>
        <w:t>e.g</w:t>
      </w:r>
      <w:proofErr w:type="spellEnd"/>
      <w:r w:rsidR="001A7E96" w:rsidRPr="002E7D94">
        <w:rPr>
          <w:rFonts w:ascii="Palatino Linotype" w:eastAsia="Palatino Linotype" w:hAnsi="Palatino Linotype" w:cs="Palatino Linotype"/>
          <w:b/>
          <w:i/>
          <w:sz w:val="22"/>
          <w:szCs w:val="22"/>
          <w:u w:val="single"/>
        </w:rPr>
        <w:t>., nombres, montos, deliberaciones) son reservados ni se demuestra el daño que su divulgación causaría, incumpliendo los Lineamientos Generales en Materia de Clasificación y Desclasificación de la Información del Sistema Nacional de Transparencia. 3. Alternativas insuficientes: Las opciones ofrecidas (consulta en "Gacetas", YouTube o presencialmente) no satisfacen mi solicitud específica de digitalización de las actas completas. El Ayuntamiento no garantiza que dichas fuentes contengan la totalidad de la información requerida, lo que constituye una negativa tácita de acceso.</w:t>
      </w:r>
      <w:r w:rsidR="001A7E96" w:rsidRPr="002E7D94">
        <w:rPr>
          <w:rFonts w:ascii="Palatino Linotype" w:eastAsia="Palatino Linotype" w:hAnsi="Palatino Linotype" w:cs="Palatino Linotype"/>
          <w:i/>
          <w:sz w:val="22"/>
          <w:szCs w:val="22"/>
        </w:rPr>
        <w:t xml:space="preserve"> </w:t>
      </w:r>
      <w:r w:rsidR="001A7E96" w:rsidRPr="002E7D94">
        <w:rPr>
          <w:rFonts w:ascii="Palatino Linotype" w:eastAsia="Palatino Linotype" w:hAnsi="Palatino Linotype" w:cs="Palatino Linotype"/>
          <w:b/>
          <w:i/>
          <w:sz w:val="22"/>
          <w:szCs w:val="22"/>
          <w:u w:val="single"/>
        </w:rPr>
        <w:t>Además, la consulta presencial impone una carga indebida al solicitante, contraria al principio de facilidad de acceso establecido en el artículo 11 de la Ley de Transparencia estatal.</w:t>
      </w:r>
      <w:r w:rsidR="001A7E96" w:rsidRPr="002E7D94">
        <w:rPr>
          <w:rFonts w:ascii="Palatino Linotype" w:eastAsia="Palatino Linotype" w:hAnsi="Palatino Linotype" w:cs="Palatino Linotype"/>
          <w:i/>
          <w:sz w:val="22"/>
          <w:szCs w:val="22"/>
        </w:rPr>
        <w:t xml:space="preserve"> 4. Irrelevancia de las finalidades de la solicitud: La Ley de Transparencia no condiciona el acceso a la información pública a la exposición de las finalidades del solicitante. El argumento del Ayuntamiento sobre la falta de claridad en mis propósitos carece de sustento legal y restringe injustificadamente mi derecho constitucional. Petición Por lo expuesto, solicito respetuosamente a este H. Instituto: 1. Revocar la respuesta del Ayuntamiento de Calimaya contenida en el oficio AC/SA/0312/2025, por no cumplir con las obligaciones de transparencia. 2. Ordenar al Ayuntamiento de Calimaya que entregue la totalidad de las actas de cabildo, ordinarias y extraordinarias, del periodo del 1 de enero de 2025 al 4 de marzo de 2025, en formato digital, como fue solicitado.</w:t>
      </w:r>
      <w:r w:rsidRPr="002E7D94">
        <w:rPr>
          <w:rFonts w:ascii="Palatino Linotype" w:eastAsia="Palatino Linotype" w:hAnsi="Palatino Linotype" w:cs="Palatino Linotype"/>
          <w:i/>
          <w:sz w:val="22"/>
          <w:szCs w:val="22"/>
        </w:rPr>
        <w:t>” (Sic) (Énfasis añadido)</w:t>
      </w:r>
    </w:p>
    <w:p w14:paraId="307FC433" w14:textId="77777777" w:rsidR="00185914" w:rsidRPr="002E7D94" w:rsidRDefault="00185914">
      <w:pPr>
        <w:spacing w:line="276" w:lineRule="auto"/>
        <w:ind w:left="567" w:right="900"/>
        <w:jc w:val="both"/>
        <w:rPr>
          <w:rFonts w:ascii="Palatino Linotype" w:eastAsia="Palatino Linotype" w:hAnsi="Palatino Linotype" w:cs="Palatino Linotype"/>
          <w:sz w:val="22"/>
          <w:szCs w:val="22"/>
        </w:rPr>
      </w:pPr>
    </w:p>
    <w:p w14:paraId="3096B79D" w14:textId="77777777" w:rsidR="00185914" w:rsidRPr="002E7D94" w:rsidRDefault="00185914">
      <w:pPr>
        <w:spacing w:line="276" w:lineRule="auto"/>
        <w:ind w:left="567" w:right="900"/>
        <w:jc w:val="both"/>
        <w:rPr>
          <w:rFonts w:ascii="Palatino Linotype" w:eastAsia="Palatino Linotype" w:hAnsi="Palatino Linotype" w:cs="Palatino Linotype"/>
          <w:b/>
          <w:sz w:val="22"/>
          <w:szCs w:val="22"/>
        </w:rPr>
      </w:pPr>
      <w:r w:rsidRPr="002E7D94">
        <w:rPr>
          <w:rFonts w:ascii="Palatino Linotype" w:eastAsia="Palatino Linotype" w:hAnsi="Palatino Linotype" w:cs="Palatino Linotype"/>
          <w:b/>
          <w:sz w:val="22"/>
          <w:szCs w:val="22"/>
        </w:rPr>
        <w:t>Archivos adjuntos:</w:t>
      </w:r>
    </w:p>
    <w:p w14:paraId="210EC8C5" w14:textId="77777777" w:rsidR="00185914" w:rsidRPr="002E7D94" w:rsidRDefault="00185914" w:rsidP="00185914">
      <w:pPr>
        <w:spacing w:line="360" w:lineRule="auto"/>
        <w:ind w:left="567" w:right="900"/>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b/>
          <w:i/>
          <w:sz w:val="22"/>
          <w:szCs w:val="22"/>
        </w:rPr>
        <w:lastRenderedPageBreak/>
        <w:t>“Of. AC-SA-0312-2025 de 10-03-2025.pdf”:</w:t>
      </w:r>
      <w:r w:rsidRPr="002E7D94">
        <w:t xml:space="preserve"> </w:t>
      </w:r>
      <w:r w:rsidRPr="002E7D94">
        <w:rPr>
          <w:rFonts w:ascii="Palatino Linotype" w:eastAsia="Palatino Linotype" w:hAnsi="Palatino Linotype" w:cs="Palatino Linotype"/>
          <w:sz w:val="22"/>
          <w:szCs w:val="22"/>
        </w:rPr>
        <w:t>Oficio AC/SA/0312/2025, remitido en respuesta, el cual se describió en líneas anteriores.</w:t>
      </w:r>
    </w:p>
    <w:p w14:paraId="4F38F306" w14:textId="77777777" w:rsidR="00185914" w:rsidRPr="002E7D94" w:rsidRDefault="00185914" w:rsidP="00185914">
      <w:pPr>
        <w:spacing w:line="360" w:lineRule="auto"/>
        <w:ind w:left="567" w:right="900"/>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b/>
          <w:i/>
          <w:sz w:val="22"/>
          <w:szCs w:val="22"/>
        </w:rPr>
        <w:t xml:space="preserve">“Solicitud de información Folio 00140-CALIMAYA-IP-2025.pdf”: </w:t>
      </w:r>
      <w:r w:rsidRPr="002E7D94">
        <w:rPr>
          <w:rFonts w:ascii="Palatino Linotype" w:eastAsia="Palatino Linotype" w:hAnsi="Palatino Linotype" w:cs="Palatino Linotype"/>
          <w:sz w:val="22"/>
          <w:szCs w:val="22"/>
        </w:rPr>
        <w:t>Acuse de la solicitud de información pública 00140/CALIMAYA/IP/2025.</w:t>
      </w:r>
    </w:p>
    <w:p w14:paraId="56D015A1" w14:textId="77777777" w:rsidR="00AE2083" w:rsidRPr="002E7D94" w:rsidRDefault="00AE2083">
      <w:pPr>
        <w:spacing w:line="360" w:lineRule="auto"/>
        <w:jc w:val="both"/>
        <w:rPr>
          <w:rFonts w:ascii="Palatino Linotype" w:eastAsia="Palatino Linotype" w:hAnsi="Palatino Linotype" w:cs="Palatino Linotype"/>
          <w:b/>
        </w:rPr>
      </w:pPr>
    </w:p>
    <w:p w14:paraId="07DAA346" w14:textId="77777777" w:rsidR="00AE2083" w:rsidRPr="002E7D94" w:rsidRDefault="00F63ED3">
      <w:pPr>
        <w:spacing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b/>
          <w:sz w:val="22"/>
          <w:szCs w:val="22"/>
        </w:rPr>
        <w:t xml:space="preserve">4. Turno. </w:t>
      </w:r>
      <w:r w:rsidRPr="002E7D94">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2E7D94">
        <w:rPr>
          <w:rFonts w:ascii="Palatino Linotype" w:eastAsia="Palatino Linotype" w:hAnsi="Palatino Linotype" w:cs="Palatino Linotype"/>
          <w:b/>
          <w:sz w:val="22"/>
          <w:szCs w:val="22"/>
        </w:rPr>
        <w:t xml:space="preserve">Guadalupe Ramírez Peña, </w:t>
      </w:r>
      <w:r w:rsidRPr="002E7D94">
        <w:rPr>
          <w:rFonts w:ascii="Palatino Linotype" w:eastAsia="Palatino Linotype" w:hAnsi="Palatino Linotype" w:cs="Palatino Linotype"/>
          <w:sz w:val="22"/>
          <w:szCs w:val="22"/>
        </w:rPr>
        <w:t xml:space="preserve">a efecto de que analizara sobre su admisión o su </w:t>
      </w:r>
      <w:proofErr w:type="spellStart"/>
      <w:r w:rsidRPr="002E7D94">
        <w:rPr>
          <w:rFonts w:ascii="Palatino Linotype" w:eastAsia="Palatino Linotype" w:hAnsi="Palatino Linotype" w:cs="Palatino Linotype"/>
          <w:sz w:val="22"/>
          <w:szCs w:val="22"/>
        </w:rPr>
        <w:t>desechamiento</w:t>
      </w:r>
      <w:proofErr w:type="spellEnd"/>
      <w:r w:rsidRPr="002E7D94">
        <w:rPr>
          <w:rFonts w:ascii="Palatino Linotype" w:eastAsia="Palatino Linotype" w:hAnsi="Palatino Linotype" w:cs="Palatino Linotype"/>
          <w:sz w:val="22"/>
          <w:szCs w:val="22"/>
        </w:rPr>
        <w:t>.</w:t>
      </w:r>
    </w:p>
    <w:p w14:paraId="69B6697A" w14:textId="77777777" w:rsidR="00AE2083" w:rsidRPr="002E7D94" w:rsidRDefault="00F63ED3">
      <w:pPr>
        <w:spacing w:before="240" w:after="240" w:line="360" w:lineRule="auto"/>
        <w:jc w:val="both"/>
        <w:rPr>
          <w:rFonts w:ascii="Palatino Linotype" w:eastAsia="Palatino Linotype" w:hAnsi="Palatino Linotype" w:cs="Palatino Linotype"/>
          <w:sz w:val="22"/>
          <w:szCs w:val="22"/>
        </w:rPr>
      </w:pPr>
      <w:bookmarkStart w:id="4" w:name="_heading=h.2s8eyo1" w:colFirst="0" w:colLast="0"/>
      <w:bookmarkEnd w:id="4"/>
      <w:r w:rsidRPr="002E7D94">
        <w:rPr>
          <w:rFonts w:ascii="Palatino Linotype" w:eastAsia="Palatino Linotype" w:hAnsi="Palatino Linotype" w:cs="Palatino Linotype"/>
          <w:b/>
          <w:sz w:val="22"/>
          <w:szCs w:val="22"/>
        </w:rPr>
        <w:t>5. Admisión del Recurso de revisión.</w:t>
      </w:r>
      <w:r w:rsidRPr="002E7D94">
        <w:rPr>
          <w:rFonts w:ascii="Palatino Linotype" w:eastAsia="Palatino Linotype" w:hAnsi="Palatino Linotype" w:cs="Palatino Linotype"/>
          <w:sz w:val="22"/>
          <w:szCs w:val="22"/>
        </w:rPr>
        <w:t xml:space="preserve"> El</w:t>
      </w:r>
      <w:r w:rsidR="001A7E96" w:rsidRPr="002E7D94">
        <w:rPr>
          <w:rFonts w:ascii="Palatino Linotype" w:eastAsia="Palatino Linotype" w:hAnsi="Palatino Linotype" w:cs="Palatino Linotype"/>
          <w:b/>
          <w:sz w:val="22"/>
          <w:szCs w:val="22"/>
        </w:rPr>
        <w:t xml:space="preserve"> veinte</w:t>
      </w:r>
      <w:r w:rsidRPr="002E7D94">
        <w:rPr>
          <w:rFonts w:ascii="Palatino Linotype" w:eastAsia="Palatino Linotype" w:hAnsi="Palatino Linotype" w:cs="Palatino Linotype"/>
          <w:b/>
          <w:sz w:val="22"/>
          <w:szCs w:val="22"/>
        </w:rPr>
        <w:t xml:space="preserve"> de marzo de dos mil veinticinco, </w:t>
      </w:r>
      <w:r w:rsidRPr="002E7D94">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2E7D94">
        <w:rPr>
          <w:rFonts w:ascii="Palatino Linotype" w:eastAsia="Palatino Linotype" w:hAnsi="Palatino Linotype" w:cs="Palatino Linotype"/>
          <w:b/>
          <w:sz w:val="22"/>
          <w:szCs w:val="22"/>
        </w:rPr>
        <w:t xml:space="preserve">Sujeto Obligado </w:t>
      </w:r>
      <w:r w:rsidRPr="002E7D94">
        <w:rPr>
          <w:rFonts w:ascii="Palatino Linotype" w:eastAsia="Palatino Linotype" w:hAnsi="Palatino Linotype" w:cs="Palatino Linotype"/>
          <w:sz w:val="22"/>
          <w:szCs w:val="22"/>
        </w:rPr>
        <w:t>presentara su informe justificado.</w:t>
      </w:r>
    </w:p>
    <w:p w14:paraId="15F95E3D" w14:textId="77777777" w:rsidR="001A7E96" w:rsidRPr="002E7D94" w:rsidRDefault="00F63ED3">
      <w:pPr>
        <w:widowControl w:val="0"/>
        <w:spacing w:line="360" w:lineRule="auto"/>
        <w:ind w:right="49"/>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b/>
          <w:sz w:val="22"/>
          <w:szCs w:val="22"/>
        </w:rPr>
        <w:t xml:space="preserve">6. Manifestaciones e Informe Justificado. </w:t>
      </w:r>
      <w:r w:rsidRPr="002E7D94">
        <w:rPr>
          <w:rFonts w:ascii="Palatino Linotype" w:eastAsia="Palatino Linotype" w:hAnsi="Palatino Linotype" w:cs="Palatino Linotype"/>
          <w:sz w:val="22"/>
          <w:szCs w:val="22"/>
        </w:rPr>
        <w:t xml:space="preserve">De constancias del expediente electrónico del SAIMEX, se observa que </w:t>
      </w:r>
      <w:r w:rsidR="001A7E96" w:rsidRPr="002E7D94">
        <w:rPr>
          <w:rFonts w:ascii="Palatino Linotype" w:eastAsia="Palatino Linotype" w:hAnsi="Palatino Linotype" w:cs="Palatino Linotype"/>
          <w:sz w:val="22"/>
          <w:szCs w:val="22"/>
        </w:rPr>
        <w:t xml:space="preserve">las partes fueron omisas en adjuntar documento alguno para efecto de </w:t>
      </w:r>
      <w:r w:rsidRPr="002E7D94">
        <w:rPr>
          <w:rFonts w:ascii="Palatino Linotype" w:eastAsia="Palatino Linotype" w:hAnsi="Palatino Linotype" w:cs="Palatino Linotype"/>
          <w:sz w:val="22"/>
          <w:szCs w:val="22"/>
        </w:rPr>
        <w:t>rendir sus manifestaciones</w:t>
      </w:r>
      <w:r w:rsidR="001A7E96" w:rsidRPr="002E7D94">
        <w:rPr>
          <w:rFonts w:ascii="Palatino Linotype" w:eastAsia="Palatino Linotype" w:hAnsi="Palatino Linotype" w:cs="Palatino Linotype"/>
          <w:sz w:val="22"/>
          <w:szCs w:val="22"/>
        </w:rPr>
        <w:t xml:space="preserve"> o alegatos</w:t>
      </w:r>
      <w:r w:rsidRPr="002E7D94">
        <w:rPr>
          <w:rFonts w:ascii="Palatino Linotype" w:eastAsia="Palatino Linotype" w:hAnsi="Palatino Linotype" w:cs="Palatino Linotype"/>
          <w:sz w:val="22"/>
          <w:szCs w:val="22"/>
        </w:rPr>
        <w:t xml:space="preserve">, por lo que se tiene por precluido su derecho para tal efecto. </w:t>
      </w:r>
    </w:p>
    <w:p w14:paraId="1AA119BD" w14:textId="77777777" w:rsidR="001A7E96" w:rsidRPr="002E7D94" w:rsidRDefault="001A7E96">
      <w:pPr>
        <w:widowControl w:val="0"/>
        <w:spacing w:line="360" w:lineRule="auto"/>
        <w:ind w:right="49"/>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noProof/>
          <w:sz w:val="22"/>
          <w:szCs w:val="22"/>
        </w:rPr>
        <w:lastRenderedPageBreak/>
        <w:drawing>
          <wp:inline distT="0" distB="0" distL="0" distR="0" wp14:anchorId="31818B0C" wp14:editId="51C01371">
            <wp:extent cx="5705475" cy="1368591"/>
            <wp:effectExtent l="19050" t="19050" r="9525" b="222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7" cy="1374838"/>
                    </a:xfrm>
                    <a:prstGeom prst="rect">
                      <a:avLst/>
                    </a:prstGeom>
                    <a:ln>
                      <a:solidFill>
                        <a:schemeClr val="tx1"/>
                      </a:solidFill>
                    </a:ln>
                  </pic:spPr>
                </pic:pic>
              </a:graphicData>
            </a:graphic>
          </wp:inline>
        </w:drawing>
      </w:r>
    </w:p>
    <w:p w14:paraId="31651764" w14:textId="77777777" w:rsidR="00AE2083" w:rsidRPr="002E7D94" w:rsidRDefault="00F63ED3">
      <w:pPr>
        <w:spacing w:after="240"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b/>
          <w:sz w:val="22"/>
          <w:szCs w:val="22"/>
        </w:rPr>
        <w:t xml:space="preserve">7. Cierre de instrucción. </w:t>
      </w:r>
      <w:r w:rsidRPr="002E7D94">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1A7E96" w:rsidRPr="002E7D94">
        <w:rPr>
          <w:rFonts w:ascii="Palatino Linotype" w:eastAsia="Palatino Linotype" w:hAnsi="Palatino Linotype" w:cs="Palatino Linotype"/>
          <w:b/>
          <w:sz w:val="22"/>
          <w:szCs w:val="22"/>
        </w:rPr>
        <w:t>treinta</w:t>
      </w:r>
      <w:r w:rsidRPr="002E7D94">
        <w:rPr>
          <w:rFonts w:ascii="Palatino Linotype" w:eastAsia="Palatino Linotype" w:hAnsi="Palatino Linotype" w:cs="Palatino Linotype"/>
          <w:b/>
          <w:sz w:val="22"/>
          <w:szCs w:val="22"/>
        </w:rPr>
        <w:t xml:space="preserve"> de abril de dos mil veinticinco,</w:t>
      </w:r>
      <w:r w:rsidRPr="002E7D94">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0E3F25DB" w14:textId="77777777" w:rsidR="001A7E96" w:rsidRPr="002E7D94" w:rsidRDefault="001A7E96">
      <w:pPr>
        <w:spacing w:after="240"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b/>
          <w:sz w:val="22"/>
          <w:szCs w:val="22"/>
        </w:rPr>
        <w:t xml:space="preserve">8. Ampliación de plazo para resolver. </w:t>
      </w:r>
      <w:r w:rsidRPr="002E7D94">
        <w:rPr>
          <w:rFonts w:ascii="Palatino Linotype" w:eastAsia="Palatino Linotype" w:hAnsi="Palatino Linotype" w:cs="Palatino Linotype"/>
          <w:sz w:val="22"/>
          <w:szCs w:val="22"/>
        </w:rPr>
        <w:t>El</w:t>
      </w:r>
      <w:r w:rsidRPr="002E7D94">
        <w:rPr>
          <w:rFonts w:ascii="Palatino Linotype" w:eastAsia="Palatino Linotype" w:hAnsi="Palatino Linotype" w:cs="Palatino Linotype"/>
          <w:b/>
          <w:sz w:val="22"/>
          <w:szCs w:val="22"/>
        </w:rPr>
        <w:t xml:space="preserve"> </w:t>
      </w:r>
      <w:r w:rsidR="00C378DF" w:rsidRPr="002E7D94">
        <w:rPr>
          <w:rFonts w:ascii="Palatino Linotype" w:eastAsia="Palatino Linotype" w:hAnsi="Palatino Linotype" w:cs="Palatino Linotype"/>
          <w:b/>
          <w:sz w:val="22"/>
          <w:szCs w:val="22"/>
        </w:rPr>
        <w:t xml:space="preserve">ocho </w:t>
      </w:r>
      <w:r w:rsidRPr="002E7D94">
        <w:rPr>
          <w:rFonts w:ascii="Palatino Linotype" w:eastAsia="Palatino Linotype" w:hAnsi="Palatino Linotype" w:cs="Palatino Linotype"/>
          <w:b/>
          <w:sz w:val="22"/>
          <w:szCs w:val="22"/>
        </w:rPr>
        <w:t xml:space="preserve">de mayo de dos mil veinticinco, </w:t>
      </w:r>
      <w:r w:rsidRPr="002E7D94">
        <w:rPr>
          <w:rFonts w:ascii="Palatino Linotype" w:eastAsia="Palatino Linotype" w:hAnsi="Palatino Linotype" w:cs="Palatino Linotype"/>
          <w:sz w:val="22"/>
          <w:szCs w:val="22"/>
        </w:rPr>
        <w:t>se notificó a las partes, el acuerdo que amplía el término para resolver el recurso de revisión en términos del artículo 181 párrafo tercero de la Ley de Transparencia y Acceso a la Información Pública del Estado de México y Municipios.</w:t>
      </w:r>
    </w:p>
    <w:p w14:paraId="279C03D3" w14:textId="77777777" w:rsidR="00AE2083" w:rsidRPr="002E7D94" w:rsidRDefault="00F63ED3">
      <w:pPr>
        <w:spacing w:before="240" w:after="240"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74B7126" w14:textId="77777777" w:rsidR="00AE2083" w:rsidRPr="002E7D94" w:rsidRDefault="00F63ED3">
      <w:pPr>
        <w:widowControl w:val="0"/>
        <w:spacing w:before="240" w:after="240" w:line="360" w:lineRule="auto"/>
        <w:jc w:val="center"/>
        <w:rPr>
          <w:rFonts w:ascii="Palatino Linotype" w:eastAsia="Palatino Linotype" w:hAnsi="Palatino Linotype" w:cs="Palatino Linotype"/>
          <w:b/>
        </w:rPr>
      </w:pPr>
      <w:r w:rsidRPr="002E7D94">
        <w:rPr>
          <w:rFonts w:ascii="Palatino Linotype" w:eastAsia="Palatino Linotype" w:hAnsi="Palatino Linotype" w:cs="Palatino Linotype"/>
          <w:b/>
        </w:rPr>
        <w:t>II. C O N S I D E R A N D O S</w:t>
      </w:r>
    </w:p>
    <w:p w14:paraId="14407AD3" w14:textId="77777777" w:rsidR="00AE2083" w:rsidRPr="002E7D94" w:rsidRDefault="00F63ED3">
      <w:pPr>
        <w:spacing w:before="240" w:after="240"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b/>
          <w:sz w:val="22"/>
          <w:szCs w:val="22"/>
        </w:rPr>
        <w:t>Primero. Competencia.</w:t>
      </w:r>
      <w:r w:rsidRPr="002E7D94">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w:t>
      </w:r>
      <w:r w:rsidRPr="002E7D94">
        <w:rPr>
          <w:rFonts w:ascii="Palatino Linotype" w:eastAsia="Palatino Linotype" w:hAnsi="Palatino Linotype" w:cs="Palatino Linotype"/>
          <w:sz w:val="22"/>
          <w:szCs w:val="22"/>
        </w:rPr>
        <w:lastRenderedPageBreak/>
        <w:t>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8B4B717" w14:textId="77777777" w:rsidR="00AE2083" w:rsidRPr="002E7D94" w:rsidRDefault="00F63ED3">
      <w:pPr>
        <w:spacing w:before="240" w:after="240" w:line="360" w:lineRule="auto"/>
        <w:jc w:val="both"/>
        <w:rPr>
          <w:rFonts w:ascii="Palatino Linotype" w:eastAsia="Palatino Linotype" w:hAnsi="Palatino Linotype" w:cs="Palatino Linotype"/>
          <w:sz w:val="22"/>
          <w:szCs w:val="22"/>
        </w:rPr>
      </w:pPr>
      <w:bookmarkStart w:id="5" w:name="_heading=h.tyjcwt" w:colFirst="0" w:colLast="0"/>
      <w:bookmarkEnd w:id="5"/>
      <w:r w:rsidRPr="002E7D94">
        <w:rPr>
          <w:rFonts w:ascii="Palatino Linotype" w:eastAsia="Palatino Linotype" w:hAnsi="Palatino Linotype" w:cs="Palatino Linotype"/>
          <w:b/>
          <w:sz w:val="22"/>
          <w:szCs w:val="22"/>
        </w:rPr>
        <w:t>Segundo. Oportunidad y Procedibilidad del Recurso de Revisión</w:t>
      </w:r>
      <w:r w:rsidRPr="002E7D94">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7E096F2" w14:textId="77777777" w:rsidR="00AE2083" w:rsidRPr="002E7D94" w:rsidRDefault="00F63ED3">
      <w:pPr>
        <w:spacing w:before="240" w:after="240"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2E7D94">
        <w:rPr>
          <w:rFonts w:ascii="Palatino Linotype" w:eastAsia="Palatino Linotype" w:hAnsi="Palatino Linotype" w:cs="Palatino Linotype"/>
          <w:b/>
          <w:sz w:val="22"/>
          <w:szCs w:val="22"/>
        </w:rPr>
        <w:t xml:space="preserve">Sujeto Obligado </w:t>
      </w:r>
      <w:r w:rsidR="00722D9D" w:rsidRPr="002E7D94">
        <w:rPr>
          <w:rFonts w:ascii="Palatino Linotype" w:eastAsia="Palatino Linotype" w:hAnsi="Palatino Linotype" w:cs="Palatino Linotype"/>
          <w:sz w:val="22"/>
          <w:szCs w:val="22"/>
        </w:rPr>
        <w:t>notificó la respuesta a</w:t>
      </w:r>
      <w:r w:rsidRPr="002E7D94">
        <w:rPr>
          <w:rFonts w:ascii="Palatino Linotype" w:eastAsia="Palatino Linotype" w:hAnsi="Palatino Linotype" w:cs="Palatino Linotype"/>
          <w:sz w:val="22"/>
          <w:szCs w:val="22"/>
        </w:rPr>
        <w:t xml:space="preserve"> la solicitud de información el </w:t>
      </w:r>
      <w:r w:rsidR="00722D9D" w:rsidRPr="002E7D94">
        <w:rPr>
          <w:rFonts w:ascii="Palatino Linotype" w:eastAsia="Palatino Linotype" w:hAnsi="Palatino Linotype" w:cs="Palatino Linotype"/>
          <w:b/>
          <w:sz w:val="22"/>
          <w:szCs w:val="22"/>
        </w:rPr>
        <w:t>trece</w:t>
      </w:r>
      <w:r w:rsidRPr="002E7D94">
        <w:rPr>
          <w:rFonts w:ascii="Palatino Linotype" w:eastAsia="Palatino Linotype" w:hAnsi="Palatino Linotype" w:cs="Palatino Linotype"/>
          <w:b/>
          <w:sz w:val="22"/>
          <w:szCs w:val="22"/>
        </w:rPr>
        <w:t xml:space="preserve"> de </w:t>
      </w:r>
      <w:r w:rsidR="00722D9D" w:rsidRPr="002E7D94">
        <w:rPr>
          <w:rFonts w:ascii="Palatino Linotype" w:eastAsia="Palatino Linotype" w:hAnsi="Palatino Linotype" w:cs="Palatino Linotype"/>
          <w:b/>
          <w:sz w:val="22"/>
          <w:szCs w:val="22"/>
        </w:rPr>
        <w:t>marzo</w:t>
      </w:r>
      <w:r w:rsidRPr="002E7D94">
        <w:rPr>
          <w:rFonts w:ascii="Palatino Linotype" w:eastAsia="Palatino Linotype" w:hAnsi="Palatino Linotype" w:cs="Palatino Linotype"/>
          <w:sz w:val="22"/>
          <w:szCs w:val="22"/>
        </w:rPr>
        <w:t xml:space="preserve"> </w:t>
      </w:r>
      <w:r w:rsidRPr="002E7D94">
        <w:rPr>
          <w:rFonts w:ascii="Palatino Linotype" w:eastAsia="Palatino Linotype" w:hAnsi="Palatino Linotype" w:cs="Palatino Linotype"/>
          <w:b/>
          <w:sz w:val="22"/>
          <w:szCs w:val="22"/>
        </w:rPr>
        <w:t xml:space="preserve">de dos mil veinticinco, </w:t>
      </w:r>
      <w:r w:rsidRPr="002E7D94">
        <w:rPr>
          <w:rFonts w:ascii="Palatino Linotype" w:eastAsia="Palatino Linotype" w:hAnsi="Palatino Linotype" w:cs="Palatino Linotype"/>
          <w:sz w:val="22"/>
          <w:szCs w:val="22"/>
        </w:rPr>
        <w:t xml:space="preserve">mientras que el recurso de revisión interpuesto por </w:t>
      </w:r>
      <w:r w:rsidRPr="002E7D94">
        <w:rPr>
          <w:rFonts w:ascii="Palatino Linotype" w:eastAsia="Palatino Linotype" w:hAnsi="Palatino Linotype" w:cs="Palatino Linotype"/>
          <w:b/>
          <w:sz w:val="22"/>
          <w:szCs w:val="22"/>
        </w:rPr>
        <w:t>la parte</w:t>
      </w:r>
      <w:r w:rsidRPr="002E7D94">
        <w:rPr>
          <w:rFonts w:ascii="Palatino Linotype" w:eastAsia="Palatino Linotype" w:hAnsi="Palatino Linotype" w:cs="Palatino Linotype"/>
          <w:sz w:val="22"/>
          <w:szCs w:val="22"/>
        </w:rPr>
        <w:t xml:space="preserve"> </w:t>
      </w:r>
      <w:r w:rsidRPr="002E7D94">
        <w:rPr>
          <w:rFonts w:ascii="Palatino Linotype" w:eastAsia="Palatino Linotype" w:hAnsi="Palatino Linotype" w:cs="Palatino Linotype"/>
          <w:b/>
          <w:sz w:val="22"/>
          <w:szCs w:val="22"/>
        </w:rPr>
        <w:t>Recurrente</w:t>
      </w:r>
      <w:r w:rsidRPr="002E7D94">
        <w:rPr>
          <w:rFonts w:ascii="Palatino Linotype" w:eastAsia="Palatino Linotype" w:hAnsi="Palatino Linotype" w:cs="Palatino Linotype"/>
          <w:sz w:val="22"/>
          <w:szCs w:val="22"/>
        </w:rPr>
        <w:t xml:space="preserve">, se tuvo por presentado el día </w:t>
      </w:r>
      <w:r w:rsidR="00722D9D" w:rsidRPr="002E7D94">
        <w:rPr>
          <w:rFonts w:ascii="Palatino Linotype" w:eastAsia="Palatino Linotype" w:hAnsi="Palatino Linotype" w:cs="Palatino Linotype"/>
          <w:b/>
          <w:sz w:val="22"/>
          <w:szCs w:val="22"/>
        </w:rPr>
        <w:t>trece de marz</w:t>
      </w:r>
      <w:r w:rsidRPr="002E7D94">
        <w:rPr>
          <w:rFonts w:ascii="Palatino Linotype" w:eastAsia="Palatino Linotype" w:hAnsi="Palatino Linotype" w:cs="Palatino Linotype"/>
          <w:b/>
          <w:sz w:val="22"/>
          <w:szCs w:val="22"/>
        </w:rPr>
        <w:t xml:space="preserve">o de dos mil veinticinco, </w:t>
      </w:r>
      <w:r w:rsidRPr="002E7D94">
        <w:rPr>
          <w:rFonts w:ascii="Palatino Linotype" w:eastAsia="Palatino Linotype" w:hAnsi="Palatino Linotype" w:cs="Palatino Linotype"/>
          <w:sz w:val="22"/>
          <w:szCs w:val="22"/>
        </w:rPr>
        <w:t xml:space="preserve">esto es, el </w:t>
      </w:r>
      <w:r w:rsidR="00722D9D" w:rsidRPr="002E7D94">
        <w:rPr>
          <w:rFonts w:ascii="Palatino Linotype" w:eastAsia="Palatino Linotype" w:hAnsi="Palatino Linotype" w:cs="Palatino Linotype"/>
          <w:b/>
          <w:sz w:val="22"/>
          <w:szCs w:val="22"/>
        </w:rPr>
        <w:t>mismo</w:t>
      </w:r>
      <w:r w:rsidRPr="002E7D94">
        <w:rPr>
          <w:rFonts w:ascii="Palatino Linotype" w:eastAsia="Palatino Linotype" w:hAnsi="Palatino Linotype" w:cs="Palatino Linotype"/>
          <w:b/>
          <w:sz w:val="22"/>
          <w:szCs w:val="22"/>
        </w:rPr>
        <w:t xml:space="preserve"> día hábil en el que tuvo conocimiento de la respuesta impugnada.</w:t>
      </w:r>
      <w:r w:rsidRPr="002E7D94">
        <w:rPr>
          <w:rFonts w:ascii="Palatino Linotype" w:eastAsia="Palatino Linotype" w:hAnsi="Palatino Linotype" w:cs="Palatino Linotype"/>
          <w:sz w:val="22"/>
          <w:szCs w:val="22"/>
        </w:rPr>
        <w:t xml:space="preserve"> </w:t>
      </w:r>
    </w:p>
    <w:p w14:paraId="1E0B6E20" w14:textId="77777777" w:rsidR="00722D9D" w:rsidRPr="002E7D94" w:rsidRDefault="00722D9D" w:rsidP="00722D9D">
      <w:pPr>
        <w:pStyle w:val="NormalWeb"/>
        <w:spacing w:before="240" w:beforeAutospacing="0" w:after="240" w:afterAutospacing="0" w:line="360" w:lineRule="auto"/>
        <w:jc w:val="both"/>
        <w:rPr>
          <w:sz w:val="22"/>
        </w:rPr>
      </w:pPr>
      <w:r w:rsidRPr="002E7D94">
        <w:rPr>
          <w:rFonts w:ascii="Palatino Linotype" w:hAnsi="Palatino Linotype"/>
          <w:sz w:val="22"/>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378C7B8C" w14:textId="77777777" w:rsidR="00722D9D" w:rsidRPr="002E7D94" w:rsidRDefault="00722D9D" w:rsidP="00722D9D">
      <w:pPr>
        <w:pStyle w:val="NormalWeb"/>
        <w:spacing w:before="120" w:beforeAutospacing="0" w:after="120" w:afterAutospacing="0"/>
        <w:ind w:left="860" w:right="900"/>
        <w:jc w:val="both"/>
      </w:pPr>
      <w:r w:rsidRPr="002E7D94">
        <w:rPr>
          <w:rFonts w:ascii="Palatino Linotype" w:hAnsi="Palatino Linotype"/>
          <w:b/>
          <w:bCs/>
          <w:i/>
          <w:iCs/>
          <w:sz w:val="22"/>
          <w:szCs w:val="22"/>
        </w:rPr>
        <w:lastRenderedPageBreak/>
        <w:t>“RECURSO DE RECLAMACIÓN. SU INTERPOSICIÓN NO ES EXTEMPORÁNEA SI SE REALIZA ANTES DE QUE INICIE EL PLAZO PARA HACERLO</w:t>
      </w:r>
      <w:r w:rsidRPr="002E7D94">
        <w:rPr>
          <w:rFonts w:ascii="Palatino Linotype" w:hAnsi="Palatino Linotype"/>
          <w:i/>
          <w:iCs/>
          <w:sz w:val="22"/>
          <w:szCs w:val="22"/>
        </w:rPr>
        <w:t>.</w:t>
      </w:r>
    </w:p>
    <w:p w14:paraId="236C6CFF" w14:textId="77777777" w:rsidR="00722D9D" w:rsidRPr="002E7D94" w:rsidRDefault="00722D9D" w:rsidP="00722D9D">
      <w:pPr>
        <w:pStyle w:val="NormalWeb"/>
        <w:spacing w:before="120" w:beforeAutospacing="0" w:after="120" w:afterAutospacing="0"/>
        <w:ind w:left="860" w:right="900"/>
        <w:jc w:val="both"/>
      </w:pPr>
      <w:r w:rsidRPr="002E7D94">
        <w:rPr>
          <w:rFonts w:ascii="Palatino Linotype" w:hAnsi="Palatino Linotype"/>
          <w:i/>
          <w:iCs/>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19E42E3" w14:textId="77777777" w:rsidR="00AE2083" w:rsidRPr="002E7D94" w:rsidRDefault="00F63ED3">
      <w:pPr>
        <w:spacing w:before="240" w:after="240"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7F78C68B" w14:textId="77777777" w:rsidR="00722D9D" w:rsidRPr="002E7D94" w:rsidRDefault="00722D9D" w:rsidP="00722D9D">
      <w:pPr>
        <w:spacing w:before="240" w:after="240" w:line="360" w:lineRule="auto"/>
        <w:ind w:right="40"/>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 xml:space="preserve">Asimismo por cuanto hace a la procedibilidad del recurso de revisión, es de suma importancia señalar que </w:t>
      </w:r>
      <w:r w:rsidRPr="002E7D94">
        <w:rPr>
          <w:rFonts w:ascii="Palatino Linotype" w:eastAsia="Palatino Linotype" w:hAnsi="Palatino Linotype" w:cs="Palatino Linotype"/>
          <w:b/>
          <w:sz w:val="22"/>
          <w:szCs w:val="22"/>
        </w:rPr>
        <w:t>la parte</w:t>
      </w:r>
      <w:r w:rsidRPr="002E7D94">
        <w:rPr>
          <w:rFonts w:ascii="Palatino Linotype" w:eastAsia="Palatino Linotype" w:hAnsi="Palatino Linotype" w:cs="Palatino Linotype"/>
          <w:sz w:val="22"/>
          <w:szCs w:val="22"/>
        </w:rPr>
        <w:t xml:space="preserve"> </w:t>
      </w:r>
      <w:r w:rsidRPr="002E7D94">
        <w:rPr>
          <w:rFonts w:ascii="Palatino Linotype" w:eastAsia="Palatino Linotype" w:hAnsi="Palatino Linotype" w:cs="Palatino Linotype"/>
          <w:b/>
          <w:sz w:val="22"/>
          <w:szCs w:val="22"/>
        </w:rPr>
        <w:t>Recurrente</w:t>
      </w:r>
      <w:r w:rsidRPr="002E7D94">
        <w:rPr>
          <w:rFonts w:ascii="Palatino Linotype" w:eastAsia="Palatino Linotype" w:hAnsi="Palatino Linotype" w:cs="Palatino Linotype"/>
          <w:sz w:val="22"/>
          <w:szCs w:val="22"/>
        </w:rPr>
        <w:t xml:space="preserve"> no proporcionó nombre con el que desea que se le identifique</w:t>
      </w:r>
      <w:r w:rsidRPr="002E7D94">
        <w:rPr>
          <w:rFonts w:ascii="Palatino Linotype" w:eastAsia="Palatino Linotype" w:hAnsi="Palatino Linotype" w:cs="Palatino Linotype"/>
          <w:b/>
          <w:sz w:val="22"/>
          <w:szCs w:val="22"/>
        </w:rPr>
        <w:t>,</w:t>
      </w:r>
      <w:r w:rsidRPr="002E7D94">
        <w:rPr>
          <w:rFonts w:ascii="Palatino Linotype" w:eastAsia="Palatino Linotype" w:hAnsi="Palatino Linotype" w:cs="Palatino Linotype"/>
          <w:sz w:val="22"/>
          <w:szCs w:val="22"/>
        </w:rPr>
        <w:t xml:space="preserve"> como se advierte en el detalle de seguimiento del SAIMEX, no obstante lo anterior, no proporcionar el nombre </w:t>
      </w:r>
      <w:r w:rsidR="00E419C2" w:rsidRPr="002E7D94">
        <w:rPr>
          <w:rFonts w:ascii="Palatino Linotype" w:eastAsia="Palatino Linotype" w:hAnsi="Palatino Linotype" w:cs="Palatino Linotype"/>
          <w:sz w:val="22"/>
          <w:szCs w:val="22"/>
        </w:rPr>
        <w:t xml:space="preserve">y únicamente contar con un seudónimo, </w:t>
      </w:r>
      <w:r w:rsidRPr="002E7D94">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765B8A8" w14:textId="77777777" w:rsidR="00722D9D" w:rsidRPr="002E7D94" w:rsidRDefault="00722D9D" w:rsidP="00722D9D">
      <w:pPr>
        <w:spacing w:before="240" w:after="240" w:line="276" w:lineRule="auto"/>
        <w:ind w:left="860" w:right="900"/>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i/>
          <w:sz w:val="22"/>
          <w:szCs w:val="22"/>
        </w:rPr>
        <w:t>"</w:t>
      </w:r>
      <w:r w:rsidRPr="002E7D94">
        <w:rPr>
          <w:rFonts w:ascii="Palatino Linotype" w:eastAsia="Palatino Linotype" w:hAnsi="Palatino Linotype" w:cs="Palatino Linotype"/>
          <w:b/>
          <w:i/>
          <w:sz w:val="22"/>
          <w:szCs w:val="22"/>
        </w:rPr>
        <w:t xml:space="preserve">Las solicitudes </w:t>
      </w:r>
      <w:r w:rsidRPr="002E7D94">
        <w:rPr>
          <w:rFonts w:ascii="Palatino Linotype" w:eastAsia="Palatino Linotype" w:hAnsi="Palatino Linotype" w:cs="Palatino Linotype"/>
          <w:i/>
          <w:sz w:val="22"/>
          <w:szCs w:val="22"/>
        </w:rPr>
        <w:t xml:space="preserve">anónimas, con </w:t>
      </w:r>
      <w:r w:rsidRPr="002E7D94">
        <w:rPr>
          <w:rFonts w:ascii="Palatino Linotype" w:eastAsia="Palatino Linotype" w:hAnsi="Palatino Linotype" w:cs="Palatino Linotype"/>
          <w:b/>
          <w:i/>
          <w:sz w:val="22"/>
          <w:szCs w:val="22"/>
        </w:rPr>
        <w:t>nombre incompleto o seudónimo</w:t>
      </w:r>
      <w:r w:rsidRPr="002E7D94">
        <w:rPr>
          <w:rFonts w:ascii="Palatino Linotype" w:eastAsia="Palatino Linotype" w:hAnsi="Palatino Linotype" w:cs="Palatino Linotype"/>
          <w:i/>
          <w:sz w:val="22"/>
          <w:szCs w:val="22"/>
        </w:rPr>
        <w:t xml:space="preserve"> </w:t>
      </w:r>
      <w:r w:rsidRPr="002E7D94">
        <w:rPr>
          <w:rFonts w:ascii="Palatino Linotype" w:eastAsia="Palatino Linotype" w:hAnsi="Palatino Linotype" w:cs="Palatino Linotype"/>
          <w:b/>
          <w:i/>
          <w:sz w:val="22"/>
          <w:szCs w:val="22"/>
        </w:rPr>
        <w:t>serán procedentes para su trámite por parte del sujeto obligado ante quien se presente</w:t>
      </w:r>
      <w:r w:rsidRPr="002E7D94">
        <w:rPr>
          <w:rFonts w:ascii="Palatino Linotype" w:eastAsia="Palatino Linotype" w:hAnsi="Palatino Linotype" w:cs="Palatino Linotype"/>
          <w:i/>
          <w:sz w:val="22"/>
          <w:szCs w:val="22"/>
        </w:rPr>
        <w:t>. No podrá requerirse información adicional con motivo del nombre proporcionado por el solicitante."(Énfasis añadido)</w:t>
      </w:r>
    </w:p>
    <w:p w14:paraId="7469F01A" w14:textId="77777777" w:rsidR="00AE2083" w:rsidRPr="002E7D94" w:rsidRDefault="00F63ED3">
      <w:pPr>
        <w:tabs>
          <w:tab w:val="left" w:pos="7938"/>
        </w:tabs>
        <w:spacing w:before="240" w:after="240" w:line="360" w:lineRule="auto"/>
        <w:jc w:val="both"/>
        <w:rPr>
          <w:rFonts w:ascii="Palatino Linotype" w:eastAsia="Palatino Linotype" w:hAnsi="Palatino Linotype" w:cs="Palatino Linotype"/>
          <w:sz w:val="22"/>
          <w:szCs w:val="22"/>
        </w:rPr>
      </w:pPr>
      <w:bookmarkStart w:id="6" w:name="_heading=h.3znysh7" w:colFirst="0" w:colLast="0"/>
      <w:bookmarkEnd w:id="6"/>
      <w:r w:rsidRPr="002E7D94">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F2D04F1" w14:textId="77777777" w:rsidR="00AE2083" w:rsidRPr="002E7D94" w:rsidRDefault="00F63ED3">
      <w:pPr>
        <w:spacing w:before="240" w:after="240"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lastRenderedPageBreak/>
        <w:t xml:space="preserve">Finalmente, se advierte que resulta procedente la interposición del recurso, según lo manifestado por </w:t>
      </w:r>
      <w:r w:rsidRPr="002E7D94">
        <w:rPr>
          <w:rFonts w:ascii="Palatino Linotype" w:eastAsia="Palatino Linotype" w:hAnsi="Palatino Linotype" w:cs="Palatino Linotype"/>
          <w:b/>
          <w:sz w:val="22"/>
          <w:szCs w:val="22"/>
        </w:rPr>
        <w:t>la parte</w:t>
      </w:r>
      <w:r w:rsidRPr="002E7D94">
        <w:rPr>
          <w:rFonts w:ascii="Palatino Linotype" w:eastAsia="Palatino Linotype" w:hAnsi="Palatino Linotype" w:cs="Palatino Linotype"/>
          <w:sz w:val="22"/>
          <w:szCs w:val="22"/>
        </w:rPr>
        <w:t xml:space="preserve"> </w:t>
      </w:r>
      <w:r w:rsidRPr="002E7D94">
        <w:rPr>
          <w:rFonts w:ascii="Palatino Linotype" w:eastAsia="Palatino Linotype" w:hAnsi="Palatino Linotype" w:cs="Palatino Linotype"/>
          <w:b/>
          <w:sz w:val="22"/>
          <w:szCs w:val="22"/>
        </w:rPr>
        <w:t>Recurrente</w:t>
      </w:r>
      <w:r w:rsidRPr="002E7D94">
        <w:rPr>
          <w:rFonts w:ascii="Palatino Linotype" w:eastAsia="Palatino Linotype" w:hAnsi="Palatino Linotype" w:cs="Palatino Linotype"/>
          <w:sz w:val="22"/>
          <w:szCs w:val="22"/>
        </w:rPr>
        <w:t xml:space="preserve"> en sus motivos de inconformidad, de acuerdo </w:t>
      </w:r>
      <w:r w:rsidR="00722D9D" w:rsidRPr="002E7D94">
        <w:rPr>
          <w:rFonts w:ascii="Palatino Linotype" w:eastAsia="Palatino Linotype" w:hAnsi="Palatino Linotype" w:cs="Palatino Linotype"/>
          <w:sz w:val="22"/>
          <w:szCs w:val="22"/>
        </w:rPr>
        <w:t>al artículo 179, fracciones I y II</w:t>
      </w:r>
      <w:r w:rsidRPr="002E7D94">
        <w:rPr>
          <w:rFonts w:ascii="Palatino Linotype" w:eastAsia="Palatino Linotype" w:hAnsi="Palatino Linotype" w:cs="Palatino Linotype"/>
          <w:sz w:val="22"/>
          <w:szCs w:val="22"/>
        </w:rPr>
        <w:t xml:space="preserve"> del ordenamiento legal citado, que a la letra dice: </w:t>
      </w:r>
    </w:p>
    <w:p w14:paraId="1D234FD2" w14:textId="77777777" w:rsidR="00AE2083" w:rsidRPr="002E7D94" w:rsidRDefault="00F63ED3">
      <w:pPr>
        <w:spacing w:before="120" w:after="120"/>
        <w:ind w:left="567" w:right="902"/>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i/>
          <w:sz w:val="22"/>
          <w:szCs w:val="22"/>
        </w:rPr>
        <w:t>“</w:t>
      </w:r>
      <w:r w:rsidRPr="002E7D94">
        <w:rPr>
          <w:rFonts w:ascii="Palatino Linotype" w:eastAsia="Palatino Linotype" w:hAnsi="Palatino Linotype" w:cs="Palatino Linotype"/>
          <w:b/>
          <w:i/>
          <w:sz w:val="22"/>
          <w:szCs w:val="22"/>
        </w:rPr>
        <w:t>Artículo 179.</w:t>
      </w:r>
      <w:r w:rsidRPr="002E7D9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EB9DC97" w14:textId="77777777" w:rsidR="009E001D" w:rsidRPr="002E7D94" w:rsidRDefault="009E001D" w:rsidP="009E001D">
      <w:pPr>
        <w:spacing w:before="120" w:after="120"/>
        <w:ind w:left="567" w:right="902"/>
        <w:jc w:val="both"/>
        <w:rPr>
          <w:rFonts w:ascii="Palatino Linotype" w:eastAsia="Palatino Linotype" w:hAnsi="Palatino Linotype" w:cs="Palatino Linotype"/>
          <w:b/>
          <w:i/>
          <w:sz w:val="22"/>
          <w:szCs w:val="22"/>
          <w:u w:val="single"/>
        </w:rPr>
      </w:pPr>
      <w:r w:rsidRPr="002E7D94">
        <w:rPr>
          <w:rFonts w:ascii="Palatino Linotype" w:eastAsia="Palatino Linotype" w:hAnsi="Palatino Linotype" w:cs="Palatino Linotype"/>
          <w:b/>
          <w:i/>
          <w:sz w:val="22"/>
          <w:szCs w:val="22"/>
          <w:u w:val="single"/>
        </w:rPr>
        <w:t xml:space="preserve">I. La negativa a la información solicitada; </w:t>
      </w:r>
    </w:p>
    <w:p w14:paraId="6B507AA0" w14:textId="77777777" w:rsidR="00AE2083" w:rsidRPr="002E7D94" w:rsidRDefault="009E001D" w:rsidP="009E001D">
      <w:pPr>
        <w:spacing w:before="120" w:after="120"/>
        <w:ind w:left="567" w:right="902"/>
        <w:jc w:val="both"/>
        <w:rPr>
          <w:rFonts w:ascii="Palatino Linotype" w:eastAsia="Palatino Linotype" w:hAnsi="Palatino Linotype" w:cs="Palatino Linotype"/>
          <w:b/>
          <w:i/>
          <w:sz w:val="22"/>
          <w:szCs w:val="22"/>
          <w:u w:val="single"/>
        </w:rPr>
      </w:pPr>
      <w:r w:rsidRPr="002E7D94">
        <w:rPr>
          <w:rFonts w:ascii="Palatino Linotype" w:eastAsia="Palatino Linotype" w:hAnsi="Palatino Linotype" w:cs="Palatino Linotype"/>
          <w:b/>
          <w:i/>
          <w:sz w:val="22"/>
          <w:szCs w:val="22"/>
          <w:u w:val="single"/>
        </w:rPr>
        <w:t>II. La clasificación de la información</w:t>
      </w:r>
      <w:r w:rsidR="00F63ED3" w:rsidRPr="002E7D94">
        <w:rPr>
          <w:rFonts w:ascii="Palatino Linotype" w:eastAsia="Palatino Linotype" w:hAnsi="Palatino Linotype" w:cs="Palatino Linotype"/>
          <w:b/>
          <w:i/>
          <w:sz w:val="22"/>
          <w:szCs w:val="22"/>
          <w:u w:val="single"/>
        </w:rPr>
        <w:t>;”</w:t>
      </w:r>
      <w:r w:rsidR="00F63ED3" w:rsidRPr="002E7D94">
        <w:rPr>
          <w:rFonts w:ascii="Palatino Linotype" w:eastAsia="Palatino Linotype" w:hAnsi="Palatino Linotype" w:cs="Palatino Linotype"/>
          <w:b/>
          <w:i/>
          <w:sz w:val="22"/>
          <w:szCs w:val="22"/>
        </w:rPr>
        <w:t xml:space="preserve"> </w:t>
      </w:r>
      <w:r w:rsidR="00F63ED3" w:rsidRPr="002E7D94">
        <w:rPr>
          <w:rFonts w:ascii="Palatino Linotype" w:eastAsia="Palatino Linotype" w:hAnsi="Palatino Linotype" w:cs="Palatino Linotype"/>
          <w:i/>
          <w:sz w:val="22"/>
          <w:szCs w:val="22"/>
        </w:rPr>
        <w:t>(Énfasis añadido)</w:t>
      </w:r>
    </w:p>
    <w:p w14:paraId="097D2A04" w14:textId="77777777" w:rsidR="00AE2083" w:rsidRPr="002E7D94" w:rsidRDefault="00F63ED3">
      <w:pPr>
        <w:spacing w:before="240" w:after="240" w:line="360" w:lineRule="auto"/>
        <w:jc w:val="both"/>
        <w:rPr>
          <w:rFonts w:ascii="Palatino Linotype" w:eastAsia="Palatino Linotype" w:hAnsi="Palatino Linotype" w:cs="Palatino Linotype"/>
          <w:b/>
          <w:sz w:val="22"/>
          <w:szCs w:val="22"/>
        </w:rPr>
      </w:pPr>
      <w:r w:rsidRPr="002E7D94">
        <w:rPr>
          <w:rFonts w:ascii="Palatino Linotype" w:eastAsia="Palatino Linotype" w:hAnsi="Palatino Linotype" w:cs="Palatino Linotype"/>
          <w:b/>
          <w:sz w:val="22"/>
          <w:szCs w:val="22"/>
        </w:rPr>
        <w:t xml:space="preserve">Tercero. Materia de la revisión. </w:t>
      </w:r>
      <w:r w:rsidRPr="002E7D94">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2E7D94">
        <w:rPr>
          <w:rFonts w:ascii="Palatino Linotype" w:eastAsia="Palatino Linotype" w:hAnsi="Palatino Linotype" w:cs="Palatino Linotype"/>
          <w:b/>
          <w:sz w:val="22"/>
          <w:szCs w:val="22"/>
        </w:rPr>
        <w:t xml:space="preserve">verificar si la respuesta </w:t>
      </w:r>
      <w:r w:rsidR="009E001D" w:rsidRPr="002E7D94">
        <w:rPr>
          <w:rFonts w:ascii="Palatino Linotype" w:eastAsia="Palatino Linotype" w:hAnsi="Palatino Linotype" w:cs="Palatino Linotype"/>
          <w:b/>
          <w:sz w:val="22"/>
          <w:szCs w:val="22"/>
        </w:rPr>
        <w:t>otorgada por el Sujeto Obligado es adecuada y suficiente</w:t>
      </w:r>
      <w:r w:rsidRPr="002E7D94">
        <w:rPr>
          <w:rFonts w:ascii="Palatino Linotype" w:eastAsia="Palatino Linotype" w:hAnsi="Palatino Linotype" w:cs="Palatino Linotype"/>
          <w:b/>
          <w:sz w:val="22"/>
          <w:szCs w:val="22"/>
        </w:rPr>
        <w:t xml:space="preserve"> para satisfacer el derecho de acceso a la información pública </w:t>
      </w:r>
      <w:r w:rsidRPr="002E7D94">
        <w:rPr>
          <w:rFonts w:ascii="Palatino Linotype" w:eastAsia="Palatino Linotype" w:hAnsi="Palatino Linotype" w:cs="Palatino Linotype"/>
          <w:sz w:val="22"/>
          <w:szCs w:val="22"/>
        </w:rPr>
        <w:t xml:space="preserve">de </w:t>
      </w:r>
      <w:r w:rsidRPr="002E7D94">
        <w:rPr>
          <w:rFonts w:ascii="Palatino Linotype" w:eastAsia="Palatino Linotype" w:hAnsi="Palatino Linotype" w:cs="Palatino Linotype"/>
          <w:b/>
          <w:sz w:val="22"/>
          <w:szCs w:val="22"/>
        </w:rPr>
        <w:t>la parte</w:t>
      </w:r>
      <w:r w:rsidRPr="002E7D94">
        <w:rPr>
          <w:rFonts w:ascii="Palatino Linotype" w:eastAsia="Palatino Linotype" w:hAnsi="Palatino Linotype" w:cs="Palatino Linotype"/>
          <w:sz w:val="22"/>
          <w:szCs w:val="22"/>
        </w:rPr>
        <w:t xml:space="preserve"> </w:t>
      </w:r>
      <w:r w:rsidRPr="002E7D94">
        <w:rPr>
          <w:rFonts w:ascii="Palatino Linotype" w:eastAsia="Palatino Linotype" w:hAnsi="Palatino Linotype" w:cs="Palatino Linotype"/>
          <w:b/>
          <w:sz w:val="22"/>
          <w:szCs w:val="22"/>
        </w:rPr>
        <w:t>Recurrente</w:t>
      </w:r>
      <w:r w:rsidRPr="002E7D94">
        <w:rPr>
          <w:rFonts w:ascii="Palatino Linotype" w:eastAsia="Palatino Linotype" w:hAnsi="Palatino Linotype" w:cs="Palatino Linotype"/>
          <w:sz w:val="22"/>
          <w:szCs w:val="22"/>
        </w:rPr>
        <w:t>, o en su defecto, en caso de ser procedente, ordenar la entrega de información.</w:t>
      </w:r>
    </w:p>
    <w:p w14:paraId="21C17F7F" w14:textId="77777777" w:rsidR="00AE2083" w:rsidRPr="002E7D94" w:rsidRDefault="00F63ED3">
      <w:pPr>
        <w:pBdr>
          <w:top w:val="nil"/>
          <w:left w:val="nil"/>
          <w:bottom w:val="nil"/>
          <w:right w:val="nil"/>
          <w:between w:val="nil"/>
        </w:pBdr>
        <w:spacing w:before="240" w:after="240" w:line="360" w:lineRule="auto"/>
        <w:jc w:val="both"/>
        <w:rPr>
          <w:sz w:val="22"/>
          <w:szCs w:val="22"/>
        </w:rPr>
      </w:pPr>
      <w:bookmarkStart w:id="7" w:name="_heading=h.2et92p0" w:colFirst="0" w:colLast="0"/>
      <w:bookmarkEnd w:id="7"/>
      <w:r w:rsidRPr="002E7D94">
        <w:rPr>
          <w:rFonts w:ascii="Palatino Linotype" w:eastAsia="Palatino Linotype" w:hAnsi="Palatino Linotype" w:cs="Palatino Linotype"/>
          <w:b/>
          <w:sz w:val="22"/>
          <w:szCs w:val="22"/>
        </w:rPr>
        <w:t xml:space="preserve">Cuarto. Estudio del asunto </w:t>
      </w:r>
      <w:r w:rsidRPr="002E7D94">
        <w:rPr>
          <w:rFonts w:ascii="Palatino Linotype" w:eastAsia="Palatino Linotype" w:hAnsi="Palatino Linotype" w:cs="Palatino Linotype"/>
          <w:sz w:val="22"/>
          <w:szCs w:val="22"/>
        </w:rPr>
        <w:t xml:space="preserve">Antes de entrar al análisis de los pronunciamientos del </w:t>
      </w:r>
      <w:r w:rsidRPr="002E7D94">
        <w:rPr>
          <w:rFonts w:ascii="Palatino Linotype" w:eastAsia="Palatino Linotype" w:hAnsi="Palatino Linotype" w:cs="Palatino Linotype"/>
          <w:b/>
          <w:sz w:val="22"/>
          <w:szCs w:val="22"/>
        </w:rPr>
        <w:t>Sujeto Obligado</w:t>
      </w:r>
      <w:r w:rsidRPr="002E7D94">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744ECC7" w14:textId="77777777" w:rsidR="00AE2083" w:rsidRPr="002E7D94" w:rsidRDefault="00F63ED3">
      <w:pPr>
        <w:pBdr>
          <w:top w:val="nil"/>
          <w:left w:val="nil"/>
          <w:bottom w:val="nil"/>
          <w:right w:val="nil"/>
          <w:between w:val="nil"/>
        </w:pBdr>
        <w:spacing w:before="240" w:after="240"/>
        <w:ind w:left="851" w:right="850"/>
        <w:jc w:val="both"/>
      </w:pPr>
      <w:r w:rsidRPr="002E7D94">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E7D94">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A3C4644" w14:textId="77777777" w:rsidR="00AE2083" w:rsidRPr="002E7D94" w:rsidRDefault="00F63ED3">
      <w:pPr>
        <w:pBdr>
          <w:top w:val="nil"/>
          <w:left w:val="nil"/>
          <w:bottom w:val="nil"/>
          <w:right w:val="nil"/>
          <w:between w:val="nil"/>
        </w:pBdr>
        <w:spacing w:before="240" w:after="240"/>
        <w:ind w:left="851" w:right="850"/>
        <w:jc w:val="both"/>
      </w:pPr>
      <w:r w:rsidRPr="002E7D94">
        <w:rPr>
          <w:rFonts w:ascii="Palatino Linotype" w:eastAsia="Palatino Linotype" w:hAnsi="Palatino Linotype" w:cs="Palatino Linotype"/>
          <w:b/>
          <w:i/>
          <w:sz w:val="22"/>
          <w:szCs w:val="22"/>
        </w:rPr>
        <w:lastRenderedPageBreak/>
        <w:t>Las normas relativas a los derechos humanos se interpretarán de conformidad con esta Constitución y con los tratados internacionales de la materia favoreciendo en todo tiempo a las personas la protección más amplia.</w:t>
      </w:r>
    </w:p>
    <w:p w14:paraId="05606C7C" w14:textId="77777777" w:rsidR="00AE2083" w:rsidRPr="002E7D94" w:rsidRDefault="00F63ED3">
      <w:pPr>
        <w:pBdr>
          <w:top w:val="nil"/>
          <w:left w:val="nil"/>
          <w:bottom w:val="nil"/>
          <w:right w:val="nil"/>
          <w:between w:val="nil"/>
        </w:pBdr>
        <w:spacing w:before="240" w:after="240"/>
        <w:ind w:left="851" w:right="850"/>
        <w:jc w:val="both"/>
      </w:pPr>
      <w:r w:rsidRPr="002E7D94">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E7D94">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5F2E72FD" w14:textId="77777777" w:rsidR="00AE2083" w:rsidRPr="002E7D94" w:rsidRDefault="00F63ED3">
      <w:pPr>
        <w:pBdr>
          <w:top w:val="nil"/>
          <w:left w:val="nil"/>
          <w:bottom w:val="nil"/>
          <w:right w:val="nil"/>
          <w:between w:val="nil"/>
        </w:pBdr>
        <w:spacing w:before="240" w:after="240"/>
        <w:ind w:left="851" w:right="850"/>
        <w:jc w:val="both"/>
      </w:pPr>
      <w:r w:rsidRPr="002E7D94">
        <w:rPr>
          <w:rFonts w:ascii="Palatino Linotype" w:eastAsia="Palatino Linotype" w:hAnsi="Palatino Linotype" w:cs="Palatino Linotype"/>
          <w:i/>
          <w:sz w:val="22"/>
          <w:szCs w:val="22"/>
        </w:rPr>
        <w:t>[…]</w:t>
      </w:r>
    </w:p>
    <w:p w14:paraId="13FE389E" w14:textId="77777777" w:rsidR="00AE2083" w:rsidRPr="002E7D94" w:rsidRDefault="00F63ED3">
      <w:pPr>
        <w:pBdr>
          <w:top w:val="nil"/>
          <w:left w:val="nil"/>
          <w:bottom w:val="nil"/>
          <w:right w:val="nil"/>
          <w:between w:val="nil"/>
        </w:pBdr>
        <w:spacing w:before="240" w:after="240"/>
        <w:ind w:left="851" w:right="901"/>
        <w:jc w:val="both"/>
      </w:pPr>
      <w:r w:rsidRPr="002E7D94">
        <w:rPr>
          <w:rFonts w:ascii="Palatino Linotype" w:eastAsia="Palatino Linotype" w:hAnsi="Palatino Linotype" w:cs="Palatino Linotype"/>
          <w:b/>
          <w:i/>
          <w:sz w:val="22"/>
          <w:szCs w:val="22"/>
        </w:rPr>
        <w:t>“Artículo 6o.</w:t>
      </w:r>
    </w:p>
    <w:p w14:paraId="1ACEBDAC" w14:textId="77777777" w:rsidR="00AE2083" w:rsidRPr="002E7D94" w:rsidRDefault="00F63ED3">
      <w:pPr>
        <w:pBdr>
          <w:top w:val="nil"/>
          <w:left w:val="nil"/>
          <w:bottom w:val="nil"/>
          <w:right w:val="nil"/>
          <w:between w:val="nil"/>
        </w:pBdr>
        <w:spacing w:before="240" w:after="240"/>
        <w:ind w:left="851" w:right="901"/>
        <w:jc w:val="both"/>
      </w:pPr>
      <w:r w:rsidRPr="002E7D94">
        <w:rPr>
          <w:rFonts w:ascii="Palatino Linotype" w:eastAsia="Palatino Linotype" w:hAnsi="Palatino Linotype" w:cs="Palatino Linotype"/>
          <w:i/>
          <w:sz w:val="22"/>
          <w:szCs w:val="22"/>
        </w:rPr>
        <w:t>[...]</w:t>
      </w:r>
    </w:p>
    <w:p w14:paraId="084F32C6" w14:textId="77777777" w:rsidR="00AE2083" w:rsidRPr="002E7D94" w:rsidRDefault="00F63ED3">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b/>
          <w:i/>
          <w:sz w:val="22"/>
          <w:szCs w:val="22"/>
        </w:rPr>
        <w:t xml:space="preserve">A. Para el ejercicio del derecho de acceso a la información, la Federación y </w:t>
      </w:r>
      <w:r w:rsidRPr="002E7D94">
        <w:rPr>
          <w:rFonts w:ascii="Palatino Linotype" w:eastAsia="Palatino Linotype" w:hAnsi="Palatino Linotype" w:cs="Palatino Linotype"/>
          <w:b/>
          <w:i/>
          <w:sz w:val="22"/>
          <w:szCs w:val="22"/>
          <w:u w:val="single"/>
        </w:rPr>
        <w:t>las entidades federativas</w:t>
      </w:r>
      <w:r w:rsidRPr="002E7D94">
        <w:rPr>
          <w:rFonts w:ascii="Palatino Linotype" w:eastAsia="Palatino Linotype" w:hAnsi="Palatino Linotype" w:cs="Palatino Linotype"/>
          <w:b/>
          <w:i/>
          <w:sz w:val="22"/>
          <w:szCs w:val="22"/>
        </w:rPr>
        <w:t>,</w:t>
      </w:r>
      <w:r w:rsidRPr="002E7D94">
        <w:rPr>
          <w:rFonts w:ascii="Palatino Linotype" w:eastAsia="Palatino Linotype" w:hAnsi="Palatino Linotype" w:cs="Palatino Linotype"/>
          <w:i/>
          <w:sz w:val="22"/>
          <w:szCs w:val="22"/>
        </w:rPr>
        <w:t xml:space="preserve"> en el ámbito de sus respectivas competencias, se regirán por los siguientes principios y bases:</w:t>
      </w:r>
    </w:p>
    <w:p w14:paraId="615B8DC0" w14:textId="77777777" w:rsidR="00AE2083" w:rsidRPr="002E7D94" w:rsidRDefault="00F63ED3">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i/>
          <w:sz w:val="22"/>
          <w:szCs w:val="22"/>
        </w:rPr>
        <w:t> </w:t>
      </w:r>
      <w:r w:rsidRPr="002E7D94">
        <w:rPr>
          <w:rFonts w:ascii="Palatino Linotype" w:eastAsia="Palatino Linotype" w:hAnsi="Palatino Linotype" w:cs="Palatino Linotype"/>
          <w:b/>
          <w:i/>
          <w:sz w:val="22"/>
          <w:szCs w:val="22"/>
        </w:rPr>
        <w:t xml:space="preserve">I. </w:t>
      </w:r>
      <w:r w:rsidRPr="002E7D94">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E7D94">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2E7D94">
        <w:rPr>
          <w:rFonts w:ascii="Palatino Linotype" w:eastAsia="Palatino Linotype" w:hAnsi="Palatino Linotype" w:cs="Palatino Linotype"/>
          <w:b/>
          <w:i/>
          <w:sz w:val="22"/>
          <w:szCs w:val="22"/>
        </w:rPr>
        <w:t>es pública y sólo podrá ser reservada temporalmente por razones de interés público y seguridad nacional,</w:t>
      </w:r>
      <w:r w:rsidRPr="002E7D94">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059E4F5" w14:textId="77777777" w:rsidR="00AE2083" w:rsidRPr="002E7D94" w:rsidRDefault="00F63ED3">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2E7D94">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63B13530" w14:textId="77777777" w:rsidR="00AE2083" w:rsidRPr="002E7D94" w:rsidRDefault="00F63ED3">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i/>
          <w:sz w:val="22"/>
          <w:szCs w:val="22"/>
        </w:rPr>
        <w:lastRenderedPageBreak/>
        <w:t> </w:t>
      </w:r>
      <w:r w:rsidRPr="002E7D94">
        <w:rPr>
          <w:rFonts w:ascii="Palatino Linotype" w:eastAsia="Palatino Linotype" w:hAnsi="Palatino Linotype" w:cs="Palatino Linotype"/>
          <w:b/>
          <w:i/>
          <w:sz w:val="22"/>
          <w:szCs w:val="22"/>
        </w:rPr>
        <w:t xml:space="preserve">III. </w:t>
      </w:r>
      <w:r w:rsidRPr="002E7D94">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E7D94">
        <w:rPr>
          <w:rFonts w:ascii="Palatino Linotype" w:eastAsia="Palatino Linotype" w:hAnsi="Palatino Linotype" w:cs="Palatino Linotype"/>
          <w:i/>
          <w:sz w:val="22"/>
          <w:szCs w:val="22"/>
        </w:rPr>
        <w:t xml:space="preserve"> a sus datos personales o a la rectificación de éstos.</w:t>
      </w:r>
    </w:p>
    <w:p w14:paraId="20525665" w14:textId="77777777" w:rsidR="00AE2083" w:rsidRPr="002E7D94" w:rsidRDefault="00F63ED3">
      <w:pPr>
        <w:pBdr>
          <w:top w:val="nil"/>
          <w:left w:val="nil"/>
          <w:bottom w:val="nil"/>
          <w:right w:val="nil"/>
          <w:between w:val="nil"/>
        </w:pBdr>
        <w:spacing w:before="240" w:after="240"/>
        <w:ind w:left="851" w:right="851"/>
        <w:jc w:val="both"/>
      </w:pPr>
      <w:r w:rsidRPr="002E7D94">
        <w:rPr>
          <w:rFonts w:ascii="Palatino Linotype" w:eastAsia="Palatino Linotype" w:hAnsi="Palatino Linotype" w:cs="Palatino Linotype"/>
          <w:b/>
          <w:i/>
          <w:sz w:val="22"/>
          <w:szCs w:val="22"/>
        </w:rPr>
        <w:t>…</w:t>
      </w:r>
    </w:p>
    <w:p w14:paraId="11C92002" w14:textId="77777777" w:rsidR="00AE2083" w:rsidRPr="002E7D94" w:rsidRDefault="00F63ED3">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b/>
          <w:i/>
          <w:sz w:val="22"/>
          <w:szCs w:val="22"/>
        </w:rPr>
        <w:t>IV.</w:t>
      </w:r>
      <w:r w:rsidRPr="002E7D94">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BDDB2DB" w14:textId="77777777" w:rsidR="00AE2083" w:rsidRPr="002E7D94" w:rsidRDefault="00F63ED3">
      <w:pPr>
        <w:pBdr>
          <w:top w:val="nil"/>
          <w:left w:val="nil"/>
          <w:bottom w:val="nil"/>
          <w:right w:val="nil"/>
          <w:between w:val="nil"/>
        </w:pBdr>
        <w:spacing w:before="240" w:after="240"/>
        <w:ind w:left="851" w:right="851"/>
        <w:jc w:val="both"/>
      </w:pPr>
      <w:r w:rsidRPr="002E7D94">
        <w:rPr>
          <w:rFonts w:ascii="Palatino Linotype" w:eastAsia="Palatino Linotype" w:hAnsi="Palatino Linotype" w:cs="Palatino Linotype"/>
          <w:b/>
          <w:i/>
          <w:sz w:val="22"/>
          <w:szCs w:val="22"/>
        </w:rPr>
        <w:t xml:space="preserve">V. </w:t>
      </w:r>
      <w:r w:rsidRPr="002E7D94">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3237C5D" w14:textId="77777777" w:rsidR="00AE2083" w:rsidRPr="002E7D94" w:rsidRDefault="00F63ED3">
      <w:pPr>
        <w:pBdr>
          <w:top w:val="nil"/>
          <w:left w:val="nil"/>
          <w:bottom w:val="nil"/>
          <w:right w:val="nil"/>
          <w:between w:val="nil"/>
        </w:pBdr>
        <w:spacing w:before="240" w:after="240"/>
        <w:ind w:left="851" w:right="851"/>
        <w:jc w:val="both"/>
      </w:pPr>
      <w:r w:rsidRPr="002E7D94">
        <w:rPr>
          <w:rFonts w:ascii="Palatino Linotype" w:eastAsia="Palatino Linotype" w:hAnsi="Palatino Linotype" w:cs="Palatino Linotype"/>
          <w:i/>
          <w:sz w:val="22"/>
          <w:szCs w:val="22"/>
        </w:rPr>
        <w:t> </w:t>
      </w:r>
      <w:r w:rsidRPr="002E7D94">
        <w:rPr>
          <w:rFonts w:ascii="Palatino Linotype" w:eastAsia="Palatino Linotype" w:hAnsi="Palatino Linotype" w:cs="Palatino Linotype"/>
          <w:b/>
          <w:i/>
          <w:sz w:val="22"/>
          <w:szCs w:val="22"/>
        </w:rPr>
        <w:t xml:space="preserve">VI. </w:t>
      </w:r>
      <w:r w:rsidRPr="002E7D94">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7366B88D" w14:textId="77777777" w:rsidR="00AE2083" w:rsidRPr="002E7D94" w:rsidRDefault="00F63ED3">
      <w:pPr>
        <w:pBdr>
          <w:top w:val="nil"/>
          <w:left w:val="nil"/>
          <w:bottom w:val="nil"/>
          <w:right w:val="nil"/>
          <w:between w:val="nil"/>
        </w:pBdr>
        <w:spacing w:before="240" w:after="240"/>
        <w:ind w:left="851" w:right="851"/>
        <w:jc w:val="both"/>
      </w:pPr>
      <w:r w:rsidRPr="002E7D94">
        <w:rPr>
          <w:rFonts w:ascii="Palatino Linotype" w:eastAsia="Palatino Linotype" w:hAnsi="Palatino Linotype" w:cs="Palatino Linotype"/>
          <w:i/>
          <w:sz w:val="22"/>
          <w:szCs w:val="22"/>
        </w:rPr>
        <w:t> </w:t>
      </w:r>
      <w:r w:rsidRPr="002E7D94">
        <w:rPr>
          <w:rFonts w:ascii="Palatino Linotype" w:eastAsia="Palatino Linotype" w:hAnsi="Palatino Linotype" w:cs="Palatino Linotype"/>
          <w:b/>
          <w:i/>
          <w:sz w:val="22"/>
          <w:szCs w:val="22"/>
        </w:rPr>
        <w:t xml:space="preserve">VII. </w:t>
      </w:r>
      <w:r w:rsidRPr="002E7D94">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6C2DEFA" w14:textId="77777777" w:rsidR="00AE2083" w:rsidRPr="002E7D94" w:rsidRDefault="00F63ED3">
      <w:pPr>
        <w:pBdr>
          <w:top w:val="nil"/>
          <w:left w:val="nil"/>
          <w:bottom w:val="nil"/>
          <w:right w:val="nil"/>
          <w:between w:val="nil"/>
        </w:pBdr>
        <w:spacing w:before="240" w:after="240" w:line="360" w:lineRule="auto"/>
        <w:jc w:val="both"/>
        <w:rPr>
          <w:sz w:val="22"/>
          <w:szCs w:val="22"/>
        </w:rPr>
      </w:pPr>
      <w:r w:rsidRPr="002E7D94">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CF0EA12" w14:textId="77777777" w:rsidR="00AE2083" w:rsidRPr="002E7D94" w:rsidRDefault="00F63ED3">
      <w:pPr>
        <w:pBdr>
          <w:top w:val="nil"/>
          <w:left w:val="nil"/>
          <w:bottom w:val="nil"/>
          <w:right w:val="nil"/>
          <w:between w:val="nil"/>
        </w:pBdr>
        <w:spacing w:before="240" w:after="240"/>
        <w:ind w:left="709" w:right="760"/>
        <w:jc w:val="both"/>
      </w:pPr>
      <w:r w:rsidRPr="002E7D94">
        <w:rPr>
          <w:rFonts w:ascii="Palatino Linotype" w:eastAsia="Palatino Linotype" w:hAnsi="Palatino Linotype" w:cs="Palatino Linotype"/>
          <w:i/>
          <w:sz w:val="22"/>
          <w:szCs w:val="22"/>
        </w:rPr>
        <w:t>“</w:t>
      </w:r>
      <w:r w:rsidRPr="002E7D94">
        <w:rPr>
          <w:rFonts w:ascii="Palatino Linotype" w:eastAsia="Palatino Linotype" w:hAnsi="Palatino Linotype" w:cs="Palatino Linotype"/>
          <w:b/>
          <w:i/>
          <w:sz w:val="22"/>
          <w:szCs w:val="22"/>
        </w:rPr>
        <w:t>Artículo 4</w:t>
      </w:r>
      <w:r w:rsidRPr="002E7D94">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015098CC" w14:textId="77777777" w:rsidR="00AE2083" w:rsidRPr="002E7D94" w:rsidRDefault="00F63ED3">
      <w:pPr>
        <w:pBdr>
          <w:top w:val="nil"/>
          <w:left w:val="nil"/>
          <w:bottom w:val="nil"/>
          <w:right w:val="nil"/>
          <w:between w:val="nil"/>
        </w:pBdr>
        <w:spacing w:before="240" w:after="240"/>
        <w:ind w:left="709" w:right="760"/>
        <w:jc w:val="both"/>
      </w:pPr>
      <w:r w:rsidRPr="002E7D94">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C027EF0" w14:textId="77777777" w:rsidR="00AE2083" w:rsidRPr="002E7D94" w:rsidRDefault="00F63ED3">
      <w:pPr>
        <w:pBdr>
          <w:top w:val="nil"/>
          <w:left w:val="nil"/>
          <w:bottom w:val="nil"/>
          <w:right w:val="nil"/>
          <w:between w:val="nil"/>
        </w:pBdr>
        <w:spacing w:before="240" w:after="240"/>
        <w:ind w:left="709" w:right="760"/>
        <w:jc w:val="both"/>
      </w:pPr>
      <w:r w:rsidRPr="002E7D94">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56CC72D6" w14:textId="77777777" w:rsidR="00AE2083" w:rsidRPr="002E7D94" w:rsidRDefault="00F63ED3">
      <w:pPr>
        <w:pBdr>
          <w:top w:val="nil"/>
          <w:left w:val="nil"/>
          <w:bottom w:val="nil"/>
          <w:right w:val="nil"/>
          <w:between w:val="nil"/>
        </w:pBdr>
        <w:spacing w:before="240" w:after="240" w:line="360" w:lineRule="auto"/>
        <w:jc w:val="both"/>
        <w:rPr>
          <w:sz w:val="22"/>
          <w:szCs w:val="22"/>
        </w:rPr>
      </w:pPr>
      <w:r w:rsidRPr="002E7D94">
        <w:rPr>
          <w:rFonts w:ascii="Palatino Linotype" w:eastAsia="Palatino Linotype" w:hAnsi="Palatino Linotype" w:cs="Palatino Linotype"/>
          <w:sz w:val="22"/>
          <w:szCs w:val="22"/>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7C5E632D" w14:textId="77777777" w:rsidR="00AE2083" w:rsidRPr="002E7D94" w:rsidRDefault="00F63ED3">
      <w:pPr>
        <w:pBdr>
          <w:top w:val="nil"/>
          <w:left w:val="nil"/>
          <w:bottom w:val="nil"/>
          <w:right w:val="nil"/>
          <w:between w:val="nil"/>
        </w:pBdr>
        <w:spacing w:before="240" w:after="240"/>
        <w:ind w:left="567" w:right="758"/>
        <w:jc w:val="both"/>
        <w:rPr>
          <w:sz w:val="22"/>
          <w:szCs w:val="22"/>
        </w:rPr>
      </w:pPr>
      <w:r w:rsidRPr="002E7D94">
        <w:rPr>
          <w:rFonts w:ascii="Palatino Linotype" w:eastAsia="Palatino Linotype" w:hAnsi="Palatino Linotype" w:cs="Palatino Linotype"/>
          <w:i/>
          <w:sz w:val="22"/>
          <w:szCs w:val="22"/>
        </w:rPr>
        <w:t>“</w:t>
      </w:r>
      <w:r w:rsidRPr="002E7D94">
        <w:rPr>
          <w:rFonts w:ascii="Palatino Linotype" w:eastAsia="Palatino Linotype" w:hAnsi="Palatino Linotype" w:cs="Palatino Linotype"/>
          <w:b/>
          <w:i/>
          <w:sz w:val="22"/>
          <w:szCs w:val="22"/>
        </w:rPr>
        <w:t>Artículo 12</w:t>
      </w:r>
      <w:r w:rsidRPr="002E7D94">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4C0FBF5D" w14:textId="77777777" w:rsidR="00AE2083" w:rsidRPr="002E7D94" w:rsidRDefault="00F63ED3">
      <w:pPr>
        <w:pBdr>
          <w:top w:val="nil"/>
          <w:left w:val="nil"/>
          <w:bottom w:val="nil"/>
          <w:right w:val="nil"/>
          <w:between w:val="nil"/>
        </w:pBdr>
        <w:spacing w:before="240" w:after="240"/>
        <w:ind w:left="567" w:right="758"/>
        <w:jc w:val="both"/>
        <w:rPr>
          <w:sz w:val="22"/>
          <w:szCs w:val="22"/>
        </w:rPr>
      </w:pPr>
      <w:r w:rsidRPr="002E7D94">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32D431B" w14:textId="77777777" w:rsidR="00AE2083" w:rsidRPr="002E7D94" w:rsidRDefault="00F63ED3">
      <w:pPr>
        <w:pBdr>
          <w:top w:val="nil"/>
          <w:left w:val="nil"/>
          <w:bottom w:val="nil"/>
          <w:right w:val="nil"/>
          <w:between w:val="nil"/>
        </w:pBdr>
        <w:spacing w:before="240" w:after="240" w:line="360" w:lineRule="auto"/>
        <w:jc w:val="both"/>
        <w:rPr>
          <w:sz w:val="22"/>
          <w:szCs w:val="22"/>
        </w:rPr>
      </w:pPr>
      <w:r w:rsidRPr="002E7D94">
        <w:rPr>
          <w:rFonts w:ascii="Palatino Linotype" w:eastAsia="Palatino Linotype" w:hAnsi="Palatino Linotype" w:cs="Palatino Linotype"/>
          <w:sz w:val="22"/>
          <w:szCs w:val="22"/>
        </w:rPr>
        <w:t>Es decir, que el derecho de acceso a la información pública se satisface en aquellos casos en que se entregue documento en que conste la información requerida, toda vez que, los Sujetos Obligados</w:t>
      </w:r>
      <w:r w:rsidRPr="002E7D94">
        <w:rPr>
          <w:rFonts w:ascii="Palatino Linotype" w:eastAsia="Palatino Linotype" w:hAnsi="Palatino Linotype" w:cs="Palatino Linotype"/>
          <w:b/>
          <w:sz w:val="22"/>
          <w:szCs w:val="22"/>
        </w:rPr>
        <w:t xml:space="preserve"> </w:t>
      </w:r>
      <w:r w:rsidRPr="002E7D94">
        <w:rPr>
          <w:rFonts w:ascii="Palatino Linotype" w:eastAsia="Palatino Linotype" w:hAnsi="Palatino Linotype" w:cs="Palatino Linotype"/>
          <w:sz w:val="22"/>
          <w:szCs w:val="22"/>
        </w:rPr>
        <w:t xml:space="preserve">no tienen el deber de generar, poseer o administrar la información pública con el grado de detalle solicitado; esto es, que no tienen el deber de generar un documento </w:t>
      </w:r>
      <w:r w:rsidRPr="002E7D94">
        <w:rPr>
          <w:rFonts w:ascii="Palatino Linotype" w:eastAsia="Palatino Linotype" w:hAnsi="Palatino Linotype" w:cs="Palatino Linotype"/>
          <w:i/>
          <w:sz w:val="22"/>
          <w:szCs w:val="22"/>
        </w:rPr>
        <w:t>ad hoc</w:t>
      </w:r>
      <w:r w:rsidRPr="002E7D94">
        <w:rPr>
          <w:rFonts w:ascii="Palatino Linotype" w:eastAsia="Palatino Linotype" w:hAnsi="Palatino Linotype" w:cs="Palatino Linotype"/>
          <w:sz w:val="22"/>
          <w:szCs w:val="22"/>
        </w:rPr>
        <w:t xml:space="preserve">, </w:t>
      </w:r>
      <w:r w:rsidRPr="002E7D94">
        <w:rPr>
          <w:rFonts w:ascii="Palatino Linotype" w:eastAsia="Palatino Linotype" w:hAnsi="Palatino Linotype" w:cs="Palatino Linotype"/>
          <w:sz w:val="22"/>
          <w:szCs w:val="22"/>
        </w:rPr>
        <w:lastRenderedPageBreak/>
        <w:t xml:space="preserve">para satisfacer el derecho de acceso a la información pública, como así lo establece el criterio </w:t>
      </w:r>
      <w:r w:rsidR="009E001D" w:rsidRPr="002E7D94">
        <w:rPr>
          <w:rFonts w:ascii="Palatino Linotype" w:eastAsia="Palatino Linotype" w:hAnsi="Palatino Linotype" w:cs="Palatino Linotype"/>
          <w:sz w:val="22"/>
          <w:szCs w:val="22"/>
        </w:rPr>
        <w:t xml:space="preserve">orientador </w:t>
      </w:r>
      <w:r w:rsidRPr="002E7D94">
        <w:rPr>
          <w:rFonts w:ascii="Palatino Linotype" w:eastAsia="Palatino Linotype" w:hAnsi="Palatino Linotype" w:cs="Palatino Linotype"/>
          <w:sz w:val="22"/>
          <w:szCs w:val="22"/>
        </w:rPr>
        <w:t>03/17 emitido por el entonces Instituto Nacional de Transparencia, Acceso a la Información Pública y Protección de Datos Personales, el cual señala lo siguiente:</w:t>
      </w:r>
    </w:p>
    <w:p w14:paraId="4A742100" w14:textId="77777777" w:rsidR="00AE2083" w:rsidRPr="002E7D94" w:rsidRDefault="00F63ED3">
      <w:pPr>
        <w:pBdr>
          <w:top w:val="nil"/>
          <w:left w:val="nil"/>
          <w:bottom w:val="nil"/>
          <w:right w:val="nil"/>
          <w:between w:val="nil"/>
        </w:pBdr>
        <w:spacing w:before="240" w:after="240"/>
        <w:ind w:left="567" w:right="900"/>
        <w:jc w:val="both"/>
        <w:rPr>
          <w:sz w:val="22"/>
          <w:szCs w:val="22"/>
        </w:rPr>
      </w:pPr>
      <w:r w:rsidRPr="002E7D94">
        <w:rPr>
          <w:rFonts w:ascii="Palatino Linotype" w:eastAsia="Palatino Linotype" w:hAnsi="Palatino Linotype" w:cs="Palatino Linotype"/>
          <w:b/>
          <w:i/>
          <w:sz w:val="22"/>
          <w:szCs w:val="22"/>
        </w:rPr>
        <w:t>03/17</w:t>
      </w:r>
    </w:p>
    <w:p w14:paraId="6422CDB2" w14:textId="77777777" w:rsidR="00AE2083" w:rsidRPr="002E7D94" w:rsidRDefault="00F63ED3">
      <w:pPr>
        <w:pBdr>
          <w:top w:val="nil"/>
          <w:left w:val="nil"/>
          <w:bottom w:val="nil"/>
          <w:right w:val="nil"/>
          <w:between w:val="nil"/>
        </w:pBdr>
        <w:spacing w:before="240" w:after="240"/>
        <w:ind w:left="567" w:right="900"/>
        <w:jc w:val="both"/>
        <w:rPr>
          <w:sz w:val="22"/>
          <w:szCs w:val="22"/>
        </w:rPr>
      </w:pPr>
      <w:r w:rsidRPr="002E7D94">
        <w:rPr>
          <w:rFonts w:ascii="Palatino Linotype" w:eastAsia="Palatino Linotype" w:hAnsi="Palatino Linotype" w:cs="Palatino Linotype"/>
          <w:b/>
          <w:i/>
          <w:sz w:val="22"/>
          <w:szCs w:val="22"/>
        </w:rPr>
        <w:t>“NO EXISTE OBLIGACIÓN DE ELABORAR DOCUMENTOS AD HOC PARA ATENDER LAS SOLICITUDES DE ACCESO A LA INFORMACIÓN.</w:t>
      </w:r>
    </w:p>
    <w:p w14:paraId="263A178F" w14:textId="77777777" w:rsidR="00AE2083" w:rsidRPr="002E7D94" w:rsidRDefault="00F63ED3">
      <w:pPr>
        <w:pBdr>
          <w:top w:val="nil"/>
          <w:left w:val="nil"/>
          <w:bottom w:val="nil"/>
          <w:right w:val="nil"/>
          <w:between w:val="nil"/>
        </w:pBdr>
        <w:spacing w:before="240" w:after="240"/>
        <w:ind w:left="567" w:right="900"/>
        <w:jc w:val="both"/>
        <w:rPr>
          <w:sz w:val="22"/>
          <w:szCs w:val="22"/>
        </w:rPr>
      </w:pPr>
      <w:r w:rsidRPr="002E7D94">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DA68006" w14:textId="77777777" w:rsidR="00AE2083" w:rsidRPr="002E7D94" w:rsidRDefault="00F63ED3">
      <w:pPr>
        <w:pBdr>
          <w:top w:val="nil"/>
          <w:left w:val="nil"/>
          <w:bottom w:val="nil"/>
          <w:right w:val="nil"/>
          <w:between w:val="nil"/>
        </w:pBdr>
        <w:spacing w:before="240" w:after="240" w:line="360" w:lineRule="auto"/>
        <w:jc w:val="both"/>
        <w:rPr>
          <w:sz w:val="22"/>
          <w:szCs w:val="22"/>
        </w:rPr>
      </w:pPr>
      <w:r w:rsidRPr="002E7D94">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78A2D11" w14:textId="77777777" w:rsidR="00AE2083" w:rsidRPr="002E7D94" w:rsidRDefault="00F63ED3">
      <w:pPr>
        <w:pBdr>
          <w:top w:val="nil"/>
          <w:left w:val="nil"/>
          <w:bottom w:val="nil"/>
          <w:right w:val="nil"/>
          <w:between w:val="nil"/>
        </w:pBdr>
        <w:spacing w:before="240" w:after="240" w:line="360" w:lineRule="auto"/>
        <w:ind w:right="49"/>
        <w:jc w:val="both"/>
        <w:rPr>
          <w:sz w:val="22"/>
          <w:szCs w:val="22"/>
        </w:rPr>
      </w:pPr>
      <w:r w:rsidRPr="002E7D94">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AEF9236" w14:textId="77777777" w:rsidR="00AE2083" w:rsidRPr="002E7D94" w:rsidRDefault="00F63ED3">
      <w:pPr>
        <w:pBdr>
          <w:top w:val="nil"/>
          <w:left w:val="nil"/>
          <w:bottom w:val="nil"/>
          <w:right w:val="nil"/>
          <w:between w:val="nil"/>
        </w:pBdr>
        <w:spacing w:before="240" w:after="240" w:line="360" w:lineRule="auto"/>
        <w:jc w:val="both"/>
        <w:rPr>
          <w:sz w:val="22"/>
          <w:szCs w:val="22"/>
        </w:rPr>
      </w:pPr>
      <w:r w:rsidRPr="002E7D94">
        <w:rPr>
          <w:rFonts w:ascii="Palatino Linotype" w:eastAsia="Palatino Linotype" w:hAnsi="Palatino Linotype" w:cs="Palatino Linotype"/>
          <w:sz w:val="22"/>
          <w:szCs w:val="22"/>
        </w:rPr>
        <w:lastRenderedPageBreak/>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3C8DB76" w14:textId="77777777" w:rsidR="00AE2083" w:rsidRPr="002E7D94" w:rsidRDefault="00F63ED3">
      <w:pPr>
        <w:pBdr>
          <w:top w:val="nil"/>
          <w:left w:val="nil"/>
          <w:bottom w:val="nil"/>
          <w:right w:val="nil"/>
          <w:between w:val="nil"/>
        </w:pBdr>
        <w:spacing w:before="240" w:after="240"/>
        <w:ind w:left="567" w:right="567"/>
        <w:jc w:val="both"/>
        <w:rPr>
          <w:sz w:val="22"/>
          <w:szCs w:val="22"/>
        </w:rPr>
      </w:pPr>
      <w:r w:rsidRPr="002E7D94">
        <w:rPr>
          <w:rFonts w:ascii="Palatino Linotype" w:eastAsia="Palatino Linotype" w:hAnsi="Palatino Linotype" w:cs="Palatino Linotype"/>
          <w:i/>
          <w:sz w:val="22"/>
          <w:szCs w:val="22"/>
        </w:rPr>
        <w:t>“</w:t>
      </w:r>
      <w:r w:rsidRPr="002E7D94">
        <w:rPr>
          <w:rFonts w:ascii="Palatino Linotype" w:eastAsia="Palatino Linotype" w:hAnsi="Palatino Linotype" w:cs="Palatino Linotype"/>
          <w:b/>
          <w:i/>
          <w:sz w:val="22"/>
          <w:szCs w:val="22"/>
        </w:rPr>
        <w:t xml:space="preserve">Artículo 3. </w:t>
      </w:r>
      <w:r w:rsidRPr="002E7D94">
        <w:rPr>
          <w:rFonts w:ascii="Palatino Linotype" w:eastAsia="Palatino Linotype" w:hAnsi="Palatino Linotype" w:cs="Palatino Linotype"/>
          <w:i/>
          <w:sz w:val="22"/>
          <w:szCs w:val="22"/>
        </w:rPr>
        <w:t>Para los efectos de la presente Ley se entenderá por:</w:t>
      </w:r>
    </w:p>
    <w:p w14:paraId="0B982067" w14:textId="77777777" w:rsidR="00AE2083" w:rsidRPr="002E7D94" w:rsidRDefault="00F63ED3">
      <w:pPr>
        <w:pBdr>
          <w:top w:val="nil"/>
          <w:left w:val="nil"/>
          <w:bottom w:val="nil"/>
          <w:right w:val="nil"/>
          <w:between w:val="nil"/>
        </w:pBdr>
        <w:spacing w:before="240" w:after="240"/>
        <w:ind w:left="567" w:right="567"/>
        <w:jc w:val="both"/>
        <w:rPr>
          <w:sz w:val="22"/>
          <w:szCs w:val="22"/>
        </w:rPr>
      </w:pPr>
      <w:r w:rsidRPr="002E7D94">
        <w:rPr>
          <w:rFonts w:ascii="Palatino Linotype" w:eastAsia="Palatino Linotype" w:hAnsi="Palatino Linotype" w:cs="Palatino Linotype"/>
          <w:i/>
          <w:sz w:val="22"/>
          <w:szCs w:val="22"/>
        </w:rPr>
        <w:t>…</w:t>
      </w:r>
    </w:p>
    <w:p w14:paraId="661FBD6C" w14:textId="77777777" w:rsidR="00AE2083" w:rsidRPr="002E7D94" w:rsidRDefault="00F63ED3">
      <w:pPr>
        <w:pBdr>
          <w:top w:val="nil"/>
          <w:left w:val="nil"/>
          <w:bottom w:val="nil"/>
          <w:right w:val="nil"/>
          <w:between w:val="nil"/>
        </w:pBdr>
        <w:spacing w:before="240" w:after="240"/>
        <w:ind w:left="567" w:right="567"/>
        <w:jc w:val="both"/>
        <w:rPr>
          <w:sz w:val="22"/>
          <w:szCs w:val="22"/>
        </w:rPr>
      </w:pPr>
      <w:r w:rsidRPr="002E7D94">
        <w:rPr>
          <w:rFonts w:ascii="Palatino Linotype" w:eastAsia="Palatino Linotype" w:hAnsi="Palatino Linotype" w:cs="Palatino Linotype"/>
          <w:b/>
          <w:i/>
          <w:sz w:val="22"/>
          <w:szCs w:val="22"/>
        </w:rPr>
        <w:t>XI. Documento:</w:t>
      </w:r>
      <w:r w:rsidRPr="002E7D94">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2E7D94">
        <w:rPr>
          <w:rFonts w:ascii="Palatino Linotype" w:eastAsia="Palatino Linotype" w:hAnsi="Palatino Linotype" w:cs="Palatino Linotype"/>
          <w:b/>
          <w:i/>
          <w:sz w:val="22"/>
          <w:szCs w:val="22"/>
        </w:rPr>
        <w:t>…</w:t>
      </w:r>
      <w:r w:rsidRPr="002E7D94">
        <w:rPr>
          <w:rFonts w:ascii="Palatino Linotype" w:eastAsia="Palatino Linotype" w:hAnsi="Palatino Linotype" w:cs="Palatino Linotype"/>
          <w:i/>
          <w:sz w:val="22"/>
          <w:szCs w:val="22"/>
        </w:rPr>
        <w:t>”</w:t>
      </w:r>
    </w:p>
    <w:p w14:paraId="6AB2C64D" w14:textId="77777777" w:rsidR="00AE2083" w:rsidRPr="002E7D94" w:rsidRDefault="00F63ED3">
      <w:pPr>
        <w:pBdr>
          <w:top w:val="nil"/>
          <w:left w:val="nil"/>
          <w:bottom w:val="nil"/>
          <w:right w:val="nil"/>
          <w:between w:val="nil"/>
        </w:pBdr>
        <w:spacing w:before="240" w:after="240" w:line="360" w:lineRule="auto"/>
        <w:jc w:val="both"/>
        <w:rPr>
          <w:sz w:val="22"/>
          <w:szCs w:val="22"/>
        </w:rPr>
      </w:pPr>
      <w:r w:rsidRPr="002E7D94">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76E71A7" w14:textId="77777777" w:rsidR="00AE2083" w:rsidRPr="002E7D94" w:rsidRDefault="00F63ED3">
      <w:pPr>
        <w:pBdr>
          <w:top w:val="nil"/>
          <w:left w:val="nil"/>
          <w:bottom w:val="nil"/>
          <w:right w:val="nil"/>
          <w:between w:val="nil"/>
        </w:pBdr>
        <w:spacing w:before="240" w:after="240"/>
        <w:ind w:left="567" w:right="567"/>
        <w:jc w:val="both"/>
        <w:rPr>
          <w:sz w:val="22"/>
          <w:szCs w:val="22"/>
        </w:rPr>
      </w:pPr>
      <w:r w:rsidRPr="002E7D94">
        <w:rPr>
          <w:rFonts w:ascii="Palatino Linotype" w:eastAsia="Palatino Linotype" w:hAnsi="Palatino Linotype" w:cs="Palatino Linotype"/>
          <w:b/>
          <w:sz w:val="22"/>
          <w:szCs w:val="22"/>
        </w:rPr>
        <w:t>“</w:t>
      </w:r>
      <w:r w:rsidRPr="002E7D94">
        <w:rPr>
          <w:rFonts w:ascii="Palatino Linotype" w:eastAsia="Palatino Linotype" w:hAnsi="Palatino Linotype" w:cs="Palatino Linotype"/>
          <w:b/>
          <w:i/>
          <w:sz w:val="22"/>
          <w:szCs w:val="22"/>
        </w:rPr>
        <w:t>CRITERIO 0002-11</w:t>
      </w:r>
    </w:p>
    <w:p w14:paraId="130B1346" w14:textId="77777777" w:rsidR="00AE2083" w:rsidRPr="002E7D94" w:rsidRDefault="00F63ED3">
      <w:pPr>
        <w:pBdr>
          <w:top w:val="nil"/>
          <w:left w:val="nil"/>
          <w:bottom w:val="nil"/>
          <w:right w:val="nil"/>
          <w:between w:val="nil"/>
        </w:pBdr>
        <w:spacing w:before="240" w:after="240"/>
        <w:ind w:left="567" w:right="567"/>
        <w:jc w:val="both"/>
        <w:rPr>
          <w:sz w:val="22"/>
          <w:szCs w:val="22"/>
        </w:rPr>
      </w:pPr>
      <w:r w:rsidRPr="002E7D94">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2E7D9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w:t>
      </w:r>
      <w:r w:rsidRPr="002E7D94">
        <w:rPr>
          <w:rFonts w:ascii="Palatino Linotype" w:eastAsia="Palatino Linotype" w:hAnsi="Palatino Linotype" w:cs="Palatino Linotype"/>
          <w:i/>
          <w:sz w:val="22"/>
          <w:szCs w:val="22"/>
        </w:rPr>
        <w:lastRenderedPageBreak/>
        <w:t>en virtud del ejercicio de sus funciones de derecho público, sin importar su fuente, soporte o fecha de elaboración.</w:t>
      </w:r>
    </w:p>
    <w:p w14:paraId="2AEF24B8" w14:textId="77777777" w:rsidR="00AE2083" w:rsidRPr="002E7D94" w:rsidRDefault="00F63ED3">
      <w:pPr>
        <w:pBdr>
          <w:top w:val="nil"/>
          <w:left w:val="nil"/>
          <w:bottom w:val="nil"/>
          <w:right w:val="nil"/>
          <w:between w:val="nil"/>
        </w:pBdr>
        <w:spacing w:before="240" w:after="240"/>
        <w:ind w:left="567" w:right="567"/>
        <w:jc w:val="both"/>
        <w:rPr>
          <w:sz w:val="22"/>
          <w:szCs w:val="22"/>
        </w:rPr>
      </w:pPr>
      <w:r w:rsidRPr="002E7D94">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3607AD7" w14:textId="77777777" w:rsidR="00AE2083" w:rsidRPr="002E7D94" w:rsidRDefault="00F63ED3">
      <w:pPr>
        <w:numPr>
          <w:ilvl w:val="0"/>
          <w:numId w:val="8"/>
        </w:numPr>
        <w:pBdr>
          <w:top w:val="nil"/>
          <w:left w:val="nil"/>
          <w:bottom w:val="nil"/>
          <w:right w:val="nil"/>
          <w:between w:val="nil"/>
        </w:pBdr>
        <w:spacing w:before="240" w:after="240"/>
        <w:ind w:left="567" w:right="567" w:hanging="283"/>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17555556" w14:textId="77777777" w:rsidR="00AE2083" w:rsidRPr="002E7D94" w:rsidRDefault="00F63ED3">
      <w:pPr>
        <w:numPr>
          <w:ilvl w:val="0"/>
          <w:numId w:val="8"/>
        </w:numPr>
        <w:pBdr>
          <w:top w:val="nil"/>
          <w:left w:val="nil"/>
          <w:bottom w:val="nil"/>
          <w:right w:val="nil"/>
          <w:between w:val="nil"/>
        </w:pBdr>
        <w:spacing w:before="240" w:after="240"/>
        <w:ind w:left="567" w:right="567" w:hanging="283"/>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3FB785CE" w14:textId="77777777" w:rsidR="00AE2083" w:rsidRPr="002E7D94" w:rsidRDefault="00F63ED3">
      <w:pPr>
        <w:pBdr>
          <w:top w:val="nil"/>
          <w:left w:val="nil"/>
          <w:bottom w:val="nil"/>
          <w:right w:val="nil"/>
          <w:between w:val="nil"/>
        </w:pBdr>
        <w:spacing w:before="240" w:after="240"/>
        <w:ind w:left="567" w:right="567" w:hanging="283"/>
        <w:jc w:val="both"/>
        <w:rPr>
          <w:sz w:val="22"/>
          <w:szCs w:val="22"/>
        </w:rPr>
      </w:pPr>
      <w:r w:rsidRPr="002E7D94">
        <w:rPr>
          <w:rFonts w:ascii="Palatino Linotype" w:eastAsia="Palatino Linotype" w:hAnsi="Palatino Linotype" w:cs="Palatino Linotype"/>
          <w:i/>
          <w:sz w:val="22"/>
          <w:szCs w:val="22"/>
        </w:rPr>
        <w:t xml:space="preserve">3. </w:t>
      </w:r>
      <w:r w:rsidRPr="002E7D94">
        <w:rPr>
          <w:rFonts w:ascii="Palatino Linotype" w:eastAsia="Palatino Linotype" w:hAnsi="Palatino Linotype" w:cs="Palatino Linotype"/>
          <w:b/>
          <w:i/>
          <w:sz w:val="22"/>
          <w:szCs w:val="22"/>
        </w:rPr>
        <w:t xml:space="preserve">Que se trate de información registrada en cualquier soporte documental, que en ejercicio de las atribuciones conferidas, se encuentre en posesión de los Sujetos Obligados.” </w:t>
      </w:r>
      <w:r w:rsidRPr="002E7D94">
        <w:rPr>
          <w:rFonts w:ascii="Palatino Linotype" w:eastAsia="Palatino Linotype" w:hAnsi="Palatino Linotype" w:cs="Palatino Linotype"/>
          <w:i/>
          <w:sz w:val="22"/>
          <w:szCs w:val="22"/>
        </w:rPr>
        <w:t>(Énfasis añadido)</w:t>
      </w:r>
    </w:p>
    <w:p w14:paraId="7E950733" w14:textId="77777777" w:rsidR="00AE2083" w:rsidRPr="002E7D94" w:rsidRDefault="00F63ED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 xml:space="preserve">De ahí que el </w:t>
      </w:r>
      <w:r w:rsidRPr="002E7D94">
        <w:rPr>
          <w:rFonts w:ascii="Palatino Linotype" w:eastAsia="Palatino Linotype" w:hAnsi="Palatino Linotype" w:cs="Palatino Linotype"/>
          <w:b/>
          <w:sz w:val="22"/>
          <w:szCs w:val="22"/>
        </w:rPr>
        <w:t>Sujeto Obligado</w:t>
      </w:r>
      <w:r w:rsidRPr="002E7D94">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364227CA" w14:textId="77777777" w:rsidR="00AE2083" w:rsidRPr="002E7D94" w:rsidRDefault="00F63ED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 xml:space="preserve">Ahora bien, para profundizar en el estudio del presente asunto, es conveniente recordar que de un análisis a la solicitud de información, se advierte que la parte solicitante requirió al </w:t>
      </w:r>
      <w:r w:rsidRPr="002E7D94">
        <w:rPr>
          <w:rFonts w:ascii="Palatino Linotype" w:eastAsia="Palatino Linotype" w:hAnsi="Palatino Linotype" w:cs="Palatino Linotype"/>
          <w:b/>
          <w:sz w:val="22"/>
          <w:szCs w:val="22"/>
        </w:rPr>
        <w:t>Sujeto Obligado</w:t>
      </w:r>
      <w:r w:rsidRPr="002E7D94">
        <w:rPr>
          <w:rFonts w:ascii="Palatino Linotype" w:eastAsia="Palatino Linotype" w:hAnsi="Palatino Linotype" w:cs="Palatino Linotype"/>
          <w:sz w:val="22"/>
          <w:szCs w:val="22"/>
        </w:rPr>
        <w:t>, le proporcionara lo siguiente:</w:t>
      </w:r>
    </w:p>
    <w:p w14:paraId="22FD3864" w14:textId="77777777" w:rsidR="009E001D" w:rsidRPr="002E7D94" w:rsidRDefault="009E001D" w:rsidP="009E001D">
      <w:pPr>
        <w:pStyle w:val="Prrafodelista"/>
        <w:numPr>
          <w:ilvl w:val="0"/>
          <w:numId w:val="10"/>
        </w:numPr>
        <w:pBdr>
          <w:top w:val="nil"/>
          <w:left w:val="nil"/>
          <w:bottom w:val="nil"/>
          <w:right w:val="nil"/>
          <w:between w:val="nil"/>
        </w:pBdr>
        <w:spacing w:before="240" w:after="240" w:line="360" w:lineRule="auto"/>
        <w:ind w:left="567" w:right="900" w:hanging="283"/>
        <w:jc w:val="both"/>
        <w:rPr>
          <w:rFonts w:ascii="Palatino Linotype" w:eastAsia="Palatino Linotype" w:hAnsi="Palatino Linotype" w:cs="Palatino Linotype"/>
          <w:b/>
          <w:sz w:val="22"/>
          <w:szCs w:val="22"/>
        </w:rPr>
      </w:pPr>
      <w:r w:rsidRPr="002E7D94">
        <w:rPr>
          <w:rFonts w:ascii="Palatino Linotype" w:eastAsia="Palatino Linotype" w:hAnsi="Palatino Linotype" w:cs="Palatino Linotype"/>
          <w:b/>
          <w:sz w:val="22"/>
          <w:szCs w:val="22"/>
        </w:rPr>
        <w:t>Las actas de cabildo, tanto ordinarias como extraordinarias, celebradas por el H. Ayuntamiento de Calimaya, Administración 2025-2027, en el periodo comprendido entre el 1 de enero de 2025 y el 4 de marzo de 2025.</w:t>
      </w:r>
    </w:p>
    <w:p w14:paraId="67691D28" w14:textId="77777777" w:rsidR="009E001D" w:rsidRPr="002E7D94" w:rsidRDefault="009E001D" w:rsidP="009E001D">
      <w:pPr>
        <w:spacing w:before="240" w:after="240"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lastRenderedPageBreak/>
        <w:t xml:space="preserve">En respuesta a la solicitud de información, el </w:t>
      </w:r>
      <w:r w:rsidRPr="002E7D94">
        <w:rPr>
          <w:rFonts w:ascii="Palatino Linotype" w:eastAsia="Palatino Linotype" w:hAnsi="Palatino Linotype" w:cs="Palatino Linotype"/>
          <w:b/>
          <w:sz w:val="22"/>
          <w:szCs w:val="22"/>
        </w:rPr>
        <w:t>Sujeto Obligado</w:t>
      </w:r>
      <w:r w:rsidRPr="002E7D94">
        <w:rPr>
          <w:rFonts w:ascii="Palatino Linotype" w:eastAsia="Palatino Linotype" w:hAnsi="Palatino Linotype" w:cs="Palatino Linotype"/>
          <w:sz w:val="22"/>
          <w:szCs w:val="22"/>
        </w:rPr>
        <w:t xml:space="preserve"> pretende reservar la información, con fundamento en el artículo 140 de la Ley de Transparencia y Acceso a la Información Pública del Estado de México y Municipios, el numeral título trigésimo octavo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artículo 30 párrafo segundo de la Ley Orgánica Municipal de Estado de México, así como en el Reglamento Interno del Comité de Transparencia del H. Ayuntamiento de Calimaya, toda vez que se desconocen las finalidades del ocurso de cuenta por no estar inmersas dentro de este, sin embargo, le extiende la invitación para consultar la información solicitada dentro de la página oficial del Ayuntamiento de Calimaya en el apartado de "Gacetas", al mismo tiempo, manifiesta que, las sesiones de Cabildo se encuentran disponibles en YouTube al igual que en la página oficial del Ayuntamiento de Calimaya.</w:t>
      </w:r>
    </w:p>
    <w:p w14:paraId="469076A6" w14:textId="77777777" w:rsidR="009E001D" w:rsidRPr="002E7D94" w:rsidRDefault="009E001D" w:rsidP="009E001D">
      <w:pPr>
        <w:spacing w:before="240" w:after="240"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Finalmente, sin causar detrimento alguno en el ejercicio del artículo sexto constitucional, le refiere la posibilidad de asistir a las oficinas que ocupa esta Secretaría a verificar la información en comento.</w:t>
      </w:r>
    </w:p>
    <w:p w14:paraId="2F24A675" w14:textId="77777777" w:rsidR="009E001D" w:rsidRPr="002E7D94" w:rsidRDefault="00F63ED3">
      <w:pPr>
        <w:spacing w:before="240" w:after="240" w:line="360" w:lineRule="auto"/>
        <w:jc w:val="both"/>
        <w:rPr>
          <w:rFonts w:ascii="Palatino Linotype" w:eastAsia="Palatino Linotype" w:hAnsi="Palatino Linotype" w:cs="Palatino Linotype"/>
          <w:b/>
          <w:sz w:val="22"/>
          <w:szCs w:val="22"/>
        </w:rPr>
      </w:pPr>
      <w:r w:rsidRPr="002E7D94">
        <w:rPr>
          <w:rFonts w:ascii="Palatino Linotype" w:eastAsia="Palatino Linotype" w:hAnsi="Palatino Linotype" w:cs="Palatino Linotype"/>
          <w:sz w:val="22"/>
          <w:szCs w:val="22"/>
        </w:rPr>
        <w:t xml:space="preserve">Una vez conocido este pronunciamiento, </w:t>
      </w:r>
      <w:r w:rsidRPr="002E7D94">
        <w:rPr>
          <w:rFonts w:ascii="Palatino Linotype" w:eastAsia="Palatino Linotype" w:hAnsi="Palatino Linotype" w:cs="Palatino Linotype"/>
          <w:b/>
          <w:sz w:val="22"/>
          <w:szCs w:val="22"/>
        </w:rPr>
        <w:t xml:space="preserve">la parte Recurrente </w:t>
      </w:r>
      <w:r w:rsidRPr="002E7D94">
        <w:rPr>
          <w:rFonts w:ascii="Palatino Linotype" w:eastAsia="Palatino Linotype" w:hAnsi="Palatino Linotype" w:cs="Palatino Linotype"/>
          <w:sz w:val="22"/>
          <w:szCs w:val="22"/>
        </w:rPr>
        <w:t xml:space="preserve">presentó el medio de impugnación que nos ocupa, inconformándose medularmente por la </w:t>
      </w:r>
      <w:r w:rsidR="009E001D" w:rsidRPr="002E7D94">
        <w:rPr>
          <w:rFonts w:ascii="Palatino Linotype" w:eastAsia="Palatino Linotype" w:hAnsi="Palatino Linotype" w:cs="Palatino Linotype"/>
          <w:sz w:val="22"/>
          <w:szCs w:val="22"/>
        </w:rPr>
        <w:t xml:space="preserve">negativa a entregar la información solicitada y la clasificación realizada por el </w:t>
      </w:r>
      <w:r w:rsidR="009E001D" w:rsidRPr="002E7D94">
        <w:rPr>
          <w:rFonts w:ascii="Palatino Linotype" w:eastAsia="Palatino Linotype" w:hAnsi="Palatino Linotype" w:cs="Palatino Linotype"/>
          <w:b/>
          <w:sz w:val="22"/>
          <w:szCs w:val="22"/>
        </w:rPr>
        <w:t>Sujeto Obligado.</w:t>
      </w:r>
    </w:p>
    <w:p w14:paraId="2C129C6A" w14:textId="77777777" w:rsidR="009E001D" w:rsidRPr="002E7D94" w:rsidRDefault="00F63ED3">
      <w:pPr>
        <w:widowControl w:val="0"/>
        <w:spacing w:line="360" w:lineRule="auto"/>
        <w:ind w:right="49"/>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 xml:space="preserve">Así las cosas, durante la etapa de manifestaciones e informe justificado, </w:t>
      </w:r>
      <w:r w:rsidR="009E001D" w:rsidRPr="002E7D94">
        <w:rPr>
          <w:rFonts w:ascii="Palatino Linotype" w:eastAsia="Palatino Linotype" w:hAnsi="Palatino Linotype" w:cs="Palatino Linotype"/>
          <w:sz w:val="22"/>
          <w:szCs w:val="22"/>
        </w:rPr>
        <w:t>se advierte que las partes fueron omisas en adjuntar documento alguno, por lo que se tiene por precluido su derecho para tal efecto.</w:t>
      </w:r>
    </w:p>
    <w:p w14:paraId="6107540A" w14:textId="77777777" w:rsidR="009E001D" w:rsidRPr="002E7D94" w:rsidRDefault="009E001D">
      <w:pPr>
        <w:widowControl w:val="0"/>
        <w:spacing w:line="360" w:lineRule="auto"/>
        <w:ind w:right="49"/>
        <w:jc w:val="both"/>
        <w:rPr>
          <w:rFonts w:ascii="Palatino Linotype" w:eastAsia="Palatino Linotype" w:hAnsi="Palatino Linotype" w:cs="Palatino Linotype"/>
          <w:sz w:val="22"/>
          <w:szCs w:val="22"/>
        </w:rPr>
      </w:pPr>
    </w:p>
    <w:p w14:paraId="712FF30C" w14:textId="77777777" w:rsidR="009E001D" w:rsidRPr="002E7D94" w:rsidRDefault="00F63ED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lastRenderedPageBreak/>
        <w:t xml:space="preserve">Una vez expuestas las posturas de las partes, resulta necesario iniciar el presente análisis, recordando que </w:t>
      </w:r>
      <w:r w:rsidR="00454E22" w:rsidRPr="002E7D94">
        <w:rPr>
          <w:rFonts w:ascii="Palatino Linotype" w:eastAsia="Palatino Linotype" w:hAnsi="Palatino Linotype" w:cs="Palatino Linotype"/>
          <w:sz w:val="22"/>
          <w:szCs w:val="22"/>
        </w:rPr>
        <w:t>la unidad administrativa que se pronunció es la Secretaría del Ayuntamiento, la cual de conformidad con la Ley Orgánica Municipal del Estado de México, cuenta con las siguientes atribuciones:</w:t>
      </w:r>
    </w:p>
    <w:p w14:paraId="578C1762" w14:textId="77777777" w:rsidR="00454E22" w:rsidRPr="002E7D94" w:rsidRDefault="00454E2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469E68A" w14:textId="77777777" w:rsidR="00454E22" w:rsidRPr="002E7D94" w:rsidRDefault="00454E22" w:rsidP="00454E22">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i/>
          <w:sz w:val="22"/>
          <w:szCs w:val="22"/>
        </w:rPr>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5DBE111A" w14:textId="77777777" w:rsidR="00454E22" w:rsidRPr="002E7D94" w:rsidRDefault="00454E22" w:rsidP="00454E22">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i/>
          <w:sz w:val="22"/>
          <w:szCs w:val="22"/>
        </w:rPr>
        <w:t>…</w:t>
      </w:r>
    </w:p>
    <w:p w14:paraId="5FA2EB89" w14:textId="77777777" w:rsidR="00454E22" w:rsidRPr="002E7D94" w:rsidRDefault="00454E22" w:rsidP="00454E22">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b/>
          <w:i/>
          <w:sz w:val="22"/>
          <w:szCs w:val="22"/>
        </w:rPr>
        <w:t>IV. Llevar y conservar los libros de actas de cabildo, obteniendo las firmas de los asistentes a las sesiones</w:t>
      </w:r>
      <w:r w:rsidRPr="002E7D94">
        <w:rPr>
          <w:rFonts w:ascii="Palatino Linotype" w:eastAsia="Palatino Linotype" w:hAnsi="Palatino Linotype" w:cs="Palatino Linotype"/>
          <w:i/>
          <w:sz w:val="22"/>
          <w:szCs w:val="22"/>
        </w:rPr>
        <w:t>;” (Énfasis añadido)</w:t>
      </w:r>
    </w:p>
    <w:p w14:paraId="0832BF7D" w14:textId="77777777" w:rsidR="00454E22" w:rsidRPr="002E7D94" w:rsidRDefault="00454E22" w:rsidP="00454E22">
      <w:pPr>
        <w:pBdr>
          <w:top w:val="nil"/>
          <w:left w:val="nil"/>
          <w:bottom w:val="nil"/>
          <w:right w:val="nil"/>
          <w:between w:val="nil"/>
        </w:pBdr>
        <w:spacing w:line="276" w:lineRule="auto"/>
        <w:ind w:right="900"/>
        <w:jc w:val="both"/>
        <w:rPr>
          <w:rFonts w:ascii="Palatino Linotype" w:eastAsia="Palatino Linotype" w:hAnsi="Palatino Linotype" w:cs="Palatino Linotype"/>
          <w:b/>
          <w:i/>
          <w:sz w:val="22"/>
          <w:szCs w:val="22"/>
        </w:rPr>
      </w:pPr>
    </w:p>
    <w:p w14:paraId="1DE8D449" w14:textId="77777777" w:rsidR="00454E22" w:rsidRPr="002E7D94" w:rsidRDefault="00454E22" w:rsidP="00454E22">
      <w:pPr>
        <w:pBdr>
          <w:top w:val="nil"/>
          <w:left w:val="nil"/>
          <w:bottom w:val="nil"/>
          <w:right w:val="nil"/>
          <w:between w:val="nil"/>
        </w:pBdr>
        <w:spacing w:line="276" w:lineRule="auto"/>
        <w:ind w:right="900"/>
        <w:jc w:val="both"/>
        <w:rPr>
          <w:rFonts w:ascii="Palatino Linotype" w:eastAsia="Palatino Linotype" w:hAnsi="Palatino Linotype" w:cs="Palatino Linotype"/>
          <w:sz w:val="22"/>
          <w:szCs w:val="22"/>
        </w:rPr>
      </w:pPr>
    </w:p>
    <w:p w14:paraId="0824BF01" w14:textId="77777777" w:rsidR="00454E22" w:rsidRPr="002E7D94" w:rsidRDefault="00454E22" w:rsidP="00454E22">
      <w:pPr>
        <w:spacing w:line="360" w:lineRule="auto"/>
        <w:ind w:right="141"/>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 xml:space="preserve">En tal tesitura, se tiene que obra un pronunciamiento de la unidad administrativa encargada de llevar y conservar los libros de actas de cabildo, obteniendo las firmas de los asistentes a las sesiones por consiguiente, es dable afirmar que en el presente asunto obra un pronunciamiento de la unidad administrativa competente, por lo que se determina que el </w:t>
      </w:r>
      <w:r w:rsidRPr="002E7D94">
        <w:rPr>
          <w:rFonts w:ascii="Palatino Linotype" w:eastAsia="Palatino Linotype" w:hAnsi="Palatino Linotype" w:cs="Palatino Linotype"/>
          <w:b/>
          <w:sz w:val="22"/>
          <w:szCs w:val="22"/>
        </w:rPr>
        <w:t>Sujeto Obligado</w:t>
      </w:r>
      <w:r w:rsidRPr="002E7D94">
        <w:rPr>
          <w:rFonts w:ascii="Palatino Linotype" w:eastAsia="Palatino Linotype" w:hAnsi="Palatino Linotype" w:cs="Palatino Linotype"/>
          <w:sz w:val="22"/>
          <w:szCs w:val="22"/>
        </w:rPr>
        <w:t xml:space="preserve"> siguió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04C02B9C" w14:textId="77777777" w:rsidR="00454E22" w:rsidRPr="002E7D94" w:rsidRDefault="00454E22" w:rsidP="00454E22">
      <w:pPr>
        <w:pBdr>
          <w:top w:val="nil"/>
          <w:left w:val="nil"/>
          <w:bottom w:val="nil"/>
          <w:right w:val="nil"/>
          <w:between w:val="nil"/>
        </w:pBdr>
        <w:ind w:left="864" w:right="864"/>
        <w:jc w:val="both"/>
      </w:pPr>
      <w:r w:rsidRPr="002E7D94">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5B55B385" w14:textId="77777777" w:rsidR="00454E22" w:rsidRPr="002E7D94" w:rsidRDefault="00454E22" w:rsidP="00454E22"/>
    <w:p w14:paraId="01D4E9D6" w14:textId="77777777" w:rsidR="00454E22" w:rsidRPr="002E7D94" w:rsidRDefault="00454E22" w:rsidP="00454E22">
      <w:pPr>
        <w:pBdr>
          <w:top w:val="nil"/>
          <w:left w:val="nil"/>
          <w:bottom w:val="nil"/>
          <w:right w:val="nil"/>
          <w:between w:val="nil"/>
        </w:pBdr>
        <w:shd w:val="clear" w:color="auto" w:fill="FFFFFF"/>
        <w:spacing w:line="360" w:lineRule="auto"/>
        <w:jc w:val="both"/>
        <w:rPr>
          <w:sz w:val="22"/>
          <w:szCs w:val="22"/>
        </w:rPr>
      </w:pPr>
      <w:r w:rsidRPr="002E7D94">
        <w:rPr>
          <w:rFonts w:ascii="Palatino Linotype" w:eastAsia="Palatino Linotype" w:hAnsi="Palatino Linotype" w:cs="Palatino Linotype"/>
          <w:sz w:val="22"/>
          <w:szCs w:val="22"/>
        </w:rPr>
        <w:lastRenderedPageBreak/>
        <w:t>En este orden de ideas, se advierte que efectivamente la Unidad de Transparencia cumplió con lo expresado en el artículo 162 de la Ley de Transparencia y Acceso a la Información Pública del Estado de México y Municipios, el cual menciona lo siguiente:</w:t>
      </w:r>
    </w:p>
    <w:p w14:paraId="601B5529" w14:textId="77777777" w:rsidR="00454E22" w:rsidRPr="002E7D94" w:rsidRDefault="00454E22" w:rsidP="00454E22"/>
    <w:p w14:paraId="139EFC5D" w14:textId="77777777" w:rsidR="00454E22" w:rsidRPr="002E7D94" w:rsidRDefault="00454E22" w:rsidP="00454E22">
      <w:pPr>
        <w:pBdr>
          <w:top w:val="nil"/>
          <w:left w:val="nil"/>
          <w:bottom w:val="nil"/>
          <w:right w:val="nil"/>
          <w:between w:val="nil"/>
        </w:pBdr>
        <w:ind w:left="864" w:right="864"/>
        <w:jc w:val="both"/>
      </w:pPr>
      <w:r w:rsidRPr="002E7D94">
        <w:rPr>
          <w:rFonts w:ascii="Palatino Linotype" w:eastAsia="Palatino Linotype" w:hAnsi="Palatino Linotype" w:cs="Palatino Linotype"/>
          <w:i/>
          <w:sz w:val="22"/>
          <w:szCs w:val="22"/>
        </w:rPr>
        <w:t xml:space="preserve">“Artículo 162. Las unidades de transparencia deberán garantizar que las solicitudes </w:t>
      </w:r>
      <w:r w:rsidRPr="002E7D94">
        <w:rPr>
          <w:rFonts w:ascii="Palatino Linotype" w:eastAsia="Palatino Linotype" w:hAnsi="Palatino Linotype" w:cs="Palatino Linotype"/>
          <w:b/>
          <w:i/>
          <w:sz w:val="22"/>
          <w:szCs w:val="22"/>
        </w:rPr>
        <w:t xml:space="preserve">se turnen a todas las Áreas competentes </w:t>
      </w:r>
      <w:r w:rsidRPr="002E7D94">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55442691" w14:textId="77777777" w:rsidR="009E001D" w:rsidRPr="002E7D94" w:rsidRDefault="009E001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2887E04" w14:textId="77777777" w:rsidR="00454E22" w:rsidRPr="002E7D94" w:rsidRDefault="00454E22" w:rsidP="00454E2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 xml:space="preserve">Establecido lo anterior, se procede al análisis de la respuesta proporcionada por el </w:t>
      </w:r>
      <w:r w:rsidRPr="002E7D94">
        <w:rPr>
          <w:rFonts w:ascii="Palatino Linotype" w:eastAsia="Palatino Linotype" w:hAnsi="Palatino Linotype" w:cs="Palatino Linotype"/>
          <w:b/>
          <w:sz w:val="22"/>
          <w:szCs w:val="22"/>
        </w:rPr>
        <w:t>Sujeto Obligado</w:t>
      </w:r>
      <w:r w:rsidRPr="002E7D94">
        <w:rPr>
          <w:rFonts w:ascii="Palatino Linotype" w:eastAsia="Palatino Linotype" w:hAnsi="Palatino Linotype" w:cs="Palatino Linotype"/>
          <w:sz w:val="22"/>
          <w:szCs w:val="22"/>
        </w:rPr>
        <w:t>, para ello debemos recordar que la Secretaría del Ayuntamiento pretendió reservar la información bajo el argumento de que se desconocen las finalidades del ocurso de cuenta por no estar inmersas dentro de este, sin embargo, le extiende la invitación para consultar la información solicitada dentro de la página oficial del Ayuntamiento de Calimaya en el apartado de "Gacetas", al mismo tiempo, manifiesta que, las sesiones de Cabildo se encuentran disponibles en YouTube al igual que en la página oficial del Ayuntamiento de Calimaya.</w:t>
      </w:r>
    </w:p>
    <w:p w14:paraId="3957242A" w14:textId="77777777" w:rsidR="00454E22" w:rsidRPr="002E7D94" w:rsidRDefault="00454E22" w:rsidP="00454E2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F132863" w14:textId="77777777" w:rsidR="009E001D" w:rsidRPr="002E7D94" w:rsidRDefault="00454E22" w:rsidP="00454E2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Finalmente, sin causar detrimento alguno en el ejercicio del artículo sexto constitucional, le refiere la posibilidad de asistir a las oficinas que ocupa esta Secretaría a verificar la información en comento.</w:t>
      </w:r>
    </w:p>
    <w:p w14:paraId="7D014297" w14:textId="77777777" w:rsidR="00454E22" w:rsidRPr="002E7D94" w:rsidRDefault="00454E2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46498E3" w14:textId="77777777" w:rsidR="00EC5CFA" w:rsidRPr="002E7D94" w:rsidRDefault="00EC5CFA" w:rsidP="00AC6EE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 xml:space="preserve">Bajo ese orden de ideas, resulta importante destacar que en una aproximación inicial a la respuesta emitida por el </w:t>
      </w:r>
      <w:r w:rsidRPr="002E7D94">
        <w:rPr>
          <w:rFonts w:ascii="Palatino Linotype" w:eastAsia="Palatino Linotype" w:hAnsi="Palatino Linotype" w:cs="Palatino Linotype"/>
          <w:b/>
          <w:sz w:val="22"/>
          <w:szCs w:val="22"/>
        </w:rPr>
        <w:t>Sujeto Obligado</w:t>
      </w:r>
      <w:r w:rsidRPr="002E7D94">
        <w:rPr>
          <w:rFonts w:ascii="Palatino Linotype" w:eastAsia="Palatino Linotype" w:hAnsi="Palatino Linotype" w:cs="Palatino Linotype"/>
          <w:sz w:val="22"/>
          <w:szCs w:val="22"/>
        </w:rPr>
        <w:t xml:space="preserve">, se advierte que esta no fue emitida bajo el principio de congruencia, en virtud de que </w:t>
      </w:r>
      <w:r w:rsidR="00AC6EED" w:rsidRPr="002E7D94">
        <w:rPr>
          <w:rFonts w:ascii="Palatino Linotype" w:eastAsia="Palatino Linotype" w:hAnsi="Palatino Linotype" w:cs="Palatino Linotype"/>
          <w:sz w:val="22"/>
          <w:szCs w:val="22"/>
        </w:rPr>
        <w:t xml:space="preserve">en primera instancia </w:t>
      </w:r>
      <w:r w:rsidR="00AC6EED" w:rsidRPr="002E7D94">
        <w:rPr>
          <w:rFonts w:ascii="Palatino Linotype" w:eastAsia="Palatino Linotype" w:hAnsi="Palatino Linotype" w:cs="Palatino Linotype"/>
          <w:b/>
          <w:sz w:val="22"/>
          <w:szCs w:val="22"/>
          <w:u w:val="single"/>
        </w:rPr>
        <w:t xml:space="preserve">se pretende reservar la información </w:t>
      </w:r>
      <w:r w:rsidR="00AC6EED" w:rsidRPr="002E7D94">
        <w:rPr>
          <w:rFonts w:ascii="Palatino Linotype" w:eastAsia="Palatino Linotype" w:hAnsi="Palatino Linotype" w:cs="Palatino Linotype"/>
          <w:sz w:val="22"/>
          <w:szCs w:val="22"/>
        </w:rPr>
        <w:t xml:space="preserve">con fundamento en el artículo 140 de la Ley de Transparencia Local y el numeral trigésimo octavo de los Lineamientos generales en materia de clasificación y desclasificación de la información, así como para la elaboración de versiones públicas y el </w:t>
      </w:r>
      <w:r w:rsidR="00AC6EED" w:rsidRPr="002E7D94">
        <w:rPr>
          <w:rFonts w:ascii="Palatino Linotype" w:eastAsia="Palatino Linotype" w:hAnsi="Palatino Linotype" w:cs="Palatino Linotype"/>
          <w:sz w:val="22"/>
          <w:szCs w:val="22"/>
        </w:rPr>
        <w:lastRenderedPageBreak/>
        <w:t xml:space="preserve">segundo párrafo del artículo 30 de la Ley Orgánica Municipal del Estado de México, pero </w:t>
      </w:r>
      <w:r w:rsidR="00AC6EED" w:rsidRPr="002E7D94">
        <w:rPr>
          <w:rFonts w:ascii="Palatino Linotype" w:eastAsia="Palatino Linotype" w:hAnsi="Palatino Linotype" w:cs="Palatino Linotype"/>
          <w:b/>
          <w:sz w:val="22"/>
          <w:szCs w:val="22"/>
          <w:u w:val="single"/>
        </w:rPr>
        <w:t>posteriormente refiere que la información solicitada se encuentra publicada en la página oficial del Ayuntamiento de Calimaya en el apartado de "Gacetas", al mismo tiempo, manifiesta que, las sesiones de Cabildo se encuentran disponibles en YouTube al igual que en la página oficial del Ayuntamiento de Calimaya, e incluso le extiende la invitación a asistir a las oficinas de la Secretaría para veri</w:t>
      </w:r>
      <w:r w:rsidR="008255F5" w:rsidRPr="002E7D94">
        <w:rPr>
          <w:rFonts w:ascii="Palatino Linotype" w:eastAsia="Palatino Linotype" w:hAnsi="Palatino Linotype" w:cs="Palatino Linotype"/>
          <w:b/>
          <w:sz w:val="22"/>
          <w:szCs w:val="22"/>
          <w:u w:val="single"/>
        </w:rPr>
        <w:t xml:space="preserve">ficar la información en comento, </w:t>
      </w:r>
      <w:r w:rsidR="008255F5" w:rsidRPr="002E7D94">
        <w:rPr>
          <w:rFonts w:ascii="Palatino Linotype" w:eastAsia="Palatino Linotype" w:hAnsi="Palatino Linotype" w:cs="Palatino Linotype"/>
          <w:sz w:val="22"/>
          <w:szCs w:val="22"/>
        </w:rPr>
        <w:t>por lo tanto, de facto encontramos una incongruencia pues en primer término alega un impedimento para entregar la información vía SAIMEX pero le refiere que puede consultarla en el portal del Ayuntamiento e incluso, asistir a las oficinas de la Secretaría del Ayuntamiento para disponer de la información requerida.</w:t>
      </w:r>
    </w:p>
    <w:p w14:paraId="124A0406" w14:textId="77777777" w:rsidR="008255F5" w:rsidRPr="002E7D94" w:rsidRDefault="008255F5" w:rsidP="00AC6EED">
      <w:pPr>
        <w:pBdr>
          <w:top w:val="nil"/>
          <w:left w:val="nil"/>
          <w:bottom w:val="nil"/>
          <w:right w:val="nil"/>
          <w:between w:val="nil"/>
        </w:pBdr>
        <w:spacing w:line="360" w:lineRule="auto"/>
        <w:jc w:val="both"/>
        <w:rPr>
          <w:rFonts w:ascii="Palatino Linotype" w:eastAsia="Palatino Linotype" w:hAnsi="Palatino Linotype" w:cs="Palatino Linotype"/>
          <w:b/>
          <w:sz w:val="22"/>
          <w:szCs w:val="22"/>
          <w:u w:val="single"/>
        </w:rPr>
      </w:pPr>
    </w:p>
    <w:p w14:paraId="3C891F90" w14:textId="77777777" w:rsidR="008255F5" w:rsidRPr="002E7D94" w:rsidRDefault="008255F5" w:rsidP="008255F5">
      <w:pPr>
        <w:pStyle w:val="NormalWeb"/>
        <w:spacing w:before="0" w:beforeAutospacing="0" w:after="0" w:afterAutospacing="0" w:line="360" w:lineRule="auto"/>
        <w:jc w:val="both"/>
        <w:rPr>
          <w:sz w:val="22"/>
        </w:rPr>
      </w:pPr>
      <w:r w:rsidRPr="002E7D94">
        <w:rPr>
          <w:rFonts w:ascii="Palatino Linotype" w:hAnsi="Palatino Linotype"/>
          <w:sz w:val="22"/>
        </w:rPr>
        <w:t xml:space="preserve">Conforme a lo anteriormente señalado, es dable afirmar que en el presente caso, </w:t>
      </w:r>
      <w:r w:rsidRPr="002E7D94">
        <w:rPr>
          <w:rFonts w:ascii="Palatino Linotype" w:hAnsi="Palatino Linotype"/>
          <w:b/>
          <w:bCs/>
          <w:sz w:val="22"/>
        </w:rPr>
        <w:t>el Sujeto Obligado</w:t>
      </w:r>
      <w:r w:rsidRPr="002E7D94">
        <w:rPr>
          <w:rFonts w:ascii="Palatino Linotype" w:hAnsi="Palatino Linotype"/>
          <w:sz w:val="22"/>
        </w:rPr>
        <w:t xml:space="preserve"> cuenta con la información de interés del particular, tan es así que señaló que la misma se encontraba clasificada como reservada. </w:t>
      </w:r>
    </w:p>
    <w:p w14:paraId="738CB8CB" w14:textId="77777777" w:rsidR="008255F5" w:rsidRPr="002E7D94" w:rsidRDefault="008255F5" w:rsidP="008255F5">
      <w:pPr>
        <w:spacing w:line="360" w:lineRule="auto"/>
        <w:rPr>
          <w:sz w:val="22"/>
        </w:rPr>
      </w:pPr>
    </w:p>
    <w:p w14:paraId="789A29A5" w14:textId="77777777" w:rsidR="008255F5" w:rsidRPr="002E7D94" w:rsidRDefault="008255F5" w:rsidP="008255F5">
      <w:pPr>
        <w:pStyle w:val="NormalWeb"/>
        <w:shd w:val="clear" w:color="auto" w:fill="FFFFFF"/>
        <w:spacing w:before="0" w:beforeAutospacing="0" w:after="0" w:afterAutospacing="0" w:line="360" w:lineRule="auto"/>
        <w:ind w:right="51"/>
        <w:jc w:val="both"/>
        <w:rPr>
          <w:sz w:val="22"/>
        </w:rPr>
      </w:pPr>
      <w:r w:rsidRPr="002E7D94">
        <w:rPr>
          <w:rFonts w:ascii="Palatino Linotype" w:hAnsi="Palatino Linotype"/>
          <w:sz w:val="22"/>
        </w:rPr>
        <w:t xml:space="preserve">En este sentido, debe precisarse que la inexistencia de la información y su clasificación no podrán coexistir por lo tanto, estamos bajo el supuesto de que el </w:t>
      </w:r>
      <w:r w:rsidRPr="002E7D94">
        <w:rPr>
          <w:rFonts w:ascii="Palatino Linotype" w:hAnsi="Palatino Linotype"/>
          <w:b/>
          <w:sz w:val="22"/>
        </w:rPr>
        <w:t xml:space="preserve">Sujeto Obligado </w:t>
      </w:r>
      <w:r w:rsidRPr="002E7D94">
        <w:rPr>
          <w:rFonts w:ascii="Palatino Linotype" w:hAnsi="Palatino Linotype"/>
          <w:sz w:val="22"/>
        </w:rPr>
        <w:t>asumió con su respuesta contar con la información solicitada.</w:t>
      </w:r>
    </w:p>
    <w:p w14:paraId="4D3CA058" w14:textId="77777777" w:rsidR="008255F5" w:rsidRPr="002E7D94" w:rsidRDefault="008255F5" w:rsidP="008255F5">
      <w:pPr>
        <w:pStyle w:val="NormalWeb"/>
        <w:shd w:val="clear" w:color="auto" w:fill="FFFFFF"/>
        <w:spacing w:before="0" w:beforeAutospacing="0" w:after="0" w:afterAutospacing="0" w:line="360" w:lineRule="auto"/>
        <w:ind w:right="51"/>
        <w:jc w:val="both"/>
        <w:rPr>
          <w:sz w:val="22"/>
        </w:rPr>
      </w:pPr>
    </w:p>
    <w:p w14:paraId="29E01E1F" w14:textId="77777777" w:rsidR="008255F5" w:rsidRPr="002E7D94" w:rsidRDefault="008255F5" w:rsidP="008255F5">
      <w:pPr>
        <w:pStyle w:val="NormalWeb"/>
        <w:shd w:val="clear" w:color="auto" w:fill="FFFFFF"/>
        <w:spacing w:before="0" w:beforeAutospacing="0" w:after="0" w:afterAutospacing="0" w:line="360" w:lineRule="auto"/>
        <w:ind w:right="51"/>
        <w:jc w:val="both"/>
        <w:rPr>
          <w:sz w:val="22"/>
        </w:rPr>
      </w:pPr>
      <w:r w:rsidRPr="002E7D94">
        <w:rPr>
          <w:rFonts w:ascii="Palatino Linotype" w:hAnsi="Palatino Linotype"/>
          <w:sz w:val="22"/>
        </w:rPr>
        <w:t>A efecto de robustecer lo anterior, sirve de sustento el criterio orientador 29/10 emitido por el entonces Instituto Nacional de Transparencia, Acceso a la Información y Protección de Datos Personales, INAI</w:t>
      </w:r>
      <w:r w:rsidRPr="002E7D94">
        <w:rPr>
          <w:rFonts w:ascii="Palatino Linotype" w:hAnsi="Palatino Linotype"/>
          <w:b/>
          <w:bCs/>
          <w:sz w:val="22"/>
        </w:rPr>
        <w:t>, </w:t>
      </w:r>
      <w:r w:rsidRPr="002E7D94">
        <w:rPr>
          <w:rFonts w:ascii="Palatino Linotype" w:hAnsi="Palatino Linotype"/>
          <w:sz w:val="22"/>
        </w:rPr>
        <w:t>el cual refiere lo siguiente:</w:t>
      </w:r>
    </w:p>
    <w:p w14:paraId="15F0500C" w14:textId="77777777" w:rsidR="008255F5" w:rsidRPr="002E7D94" w:rsidRDefault="008255F5" w:rsidP="008255F5">
      <w:pPr>
        <w:pStyle w:val="NormalWeb"/>
        <w:shd w:val="clear" w:color="auto" w:fill="FFFFFF"/>
        <w:spacing w:before="0" w:beforeAutospacing="0" w:after="0" w:afterAutospacing="0"/>
        <w:ind w:right="51"/>
        <w:jc w:val="both"/>
      </w:pPr>
    </w:p>
    <w:p w14:paraId="3F3BAC75" w14:textId="77777777" w:rsidR="008255F5" w:rsidRPr="002E7D94" w:rsidRDefault="008255F5" w:rsidP="008255F5">
      <w:pPr>
        <w:pStyle w:val="NormalWeb"/>
        <w:shd w:val="clear" w:color="auto" w:fill="FFFFFF"/>
        <w:spacing w:before="0" w:beforeAutospacing="0" w:after="0" w:afterAutospacing="0"/>
        <w:ind w:left="567" w:right="902"/>
        <w:jc w:val="both"/>
      </w:pPr>
      <w:r w:rsidRPr="002E7D94">
        <w:rPr>
          <w:rFonts w:ascii="Palatino Linotype" w:hAnsi="Palatino Linotype"/>
          <w:b/>
          <w:bCs/>
          <w:i/>
          <w:iCs/>
          <w:sz w:val="22"/>
          <w:szCs w:val="22"/>
        </w:rPr>
        <w:t xml:space="preserve">“La clasificación y la inexistencia de información son conceptos que no pueden coexistir. </w:t>
      </w:r>
      <w:r w:rsidRPr="002E7D94">
        <w:rPr>
          <w:rFonts w:ascii="Palatino Linotype" w:hAnsi="Palatino Linotype"/>
          <w:i/>
          <w:iCs/>
          <w:sz w:val="22"/>
          <w:szCs w:val="22"/>
        </w:rPr>
        <w:t xml:space="preserve">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w:t>
      </w:r>
      <w:r w:rsidRPr="002E7D94">
        <w:rPr>
          <w:rFonts w:ascii="Palatino Linotype" w:hAnsi="Palatino Linotype"/>
          <w:i/>
          <w:iCs/>
          <w:sz w:val="22"/>
          <w:szCs w:val="22"/>
        </w:rPr>
        <w:lastRenderedPageBreak/>
        <w:t xml:space="preserve">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w:t>
      </w:r>
      <w:r w:rsidRPr="002E7D94">
        <w:rPr>
          <w:rFonts w:ascii="Palatino Linotype" w:hAnsi="Palatino Linotype"/>
          <w:b/>
          <w:bCs/>
          <w:i/>
          <w:iCs/>
          <w:sz w:val="22"/>
          <w:szCs w:val="22"/>
          <w:u w:val="single"/>
        </w:rPr>
        <w:t>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r w:rsidRPr="002E7D94">
        <w:rPr>
          <w:rFonts w:ascii="Palatino Linotype" w:hAnsi="Palatino Linotype"/>
          <w:i/>
          <w:iCs/>
          <w:sz w:val="22"/>
          <w:szCs w:val="22"/>
        </w:rPr>
        <w:t>"</w:t>
      </w:r>
      <w:r w:rsidRPr="002E7D94">
        <w:t xml:space="preserve"> </w:t>
      </w:r>
      <w:r w:rsidRPr="002E7D94">
        <w:rPr>
          <w:rFonts w:ascii="Palatino Linotype" w:hAnsi="Palatino Linotype"/>
          <w:bCs/>
          <w:i/>
          <w:iCs/>
          <w:sz w:val="22"/>
          <w:szCs w:val="22"/>
        </w:rPr>
        <w:t>(Énfasis añadido)</w:t>
      </w:r>
    </w:p>
    <w:p w14:paraId="6F53E502" w14:textId="77777777" w:rsidR="008255F5" w:rsidRPr="002E7D94" w:rsidRDefault="008255F5" w:rsidP="008255F5">
      <w:pPr>
        <w:pStyle w:val="NormalWeb"/>
        <w:shd w:val="clear" w:color="auto" w:fill="FFFFFF"/>
        <w:spacing w:before="0" w:beforeAutospacing="0" w:after="0" w:afterAutospacing="0"/>
        <w:ind w:left="567" w:right="902"/>
        <w:jc w:val="both"/>
      </w:pPr>
    </w:p>
    <w:p w14:paraId="00857C23" w14:textId="77777777" w:rsidR="0096277A" w:rsidRPr="002E7D94" w:rsidRDefault="008255F5" w:rsidP="00AC6EE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 xml:space="preserve">Continuando en esta línea de estudio, resulta de vital importancia </w:t>
      </w:r>
      <w:r w:rsidR="00AC6EED" w:rsidRPr="002E7D94">
        <w:rPr>
          <w:rFonts w:ascii="Palatino Linotype" w:eastAsia="Palatino Linotype" w:hAnsi="Palatino Linotype" w:cs="Palatino Linotype"/>
          <w:sz w:val="22"/>
          <w:szCs w:val="22"/>
        </w:rPr>
        <w:t xml:space="preserve">analizar la </w:t>
      </w:r>
      <w:r w:rsidR="00F63ED3" w:rsidRPr="002E7D94">
        <w:rPr>
          <w:rFonts w:ascii="Palatino Linotype" w:eastAsia="Palatino Linotype" w:hAnsi="Palatino Linotype" w:cs="Palatino Linotype"/>
          <w:sz w:val="22"/>
          <w:szCs w:val="22"/>
        </w:rPr>
        <w:t>reserva de la información</w:t>
      </w:r>
      <w:r w:rsidR="00AC6EED" w:rsidRPr="002E7D94">
        <w:rPr>
          <w:rFonts w:ascii="Palatino Linotype" w:eastAsia="Palatino Linotype" w:hAnsi="Palatino Linotype" w:cs="Palatino Linotype"/>
          <w:sz w:val="22"/>
          <w:szCs w:val="22"/>
        </w:rPr>
        <w:t xml:space="preserve"> invocada por el </w:t>
      </w:r>
      <w:r w:rsidR="00AC6EED" w:rsidRPr="002E7D94">
        <w:rPr>
          <w:rFonts w:ascii="Palatino Linotype" w:eastAsia="Palatino Linotype" w:hAnsi="Palatino Linotype" w:cs="Palatino Linotype"/>
          <w:b/>
          <w:sz w:val="22"/>
          <w:szCs w:val="22"/>
        </w:rPr>
        <w:t>Sujeto Obligado</w:t>
      </w:r>
      <w:r w:rsidR="00F63ED3" w:rsidRPr="002E7D94">
        <w:rPr>
          <w:rFonts w:ascii="Palatino Linotype" w:eastAsia="Palatino Linotype" w:hAnsi="Palatino Linotype" w:cs="Palatino Linotype"/>
          <w:sz w:val="22"/>
          <w:szCs w:val="22"/>
        </w:rPr>
        <w:t xml:space="preserve">, para ello resulta </w:t>
      </w:r>
      <w:r w:rsidR="0096277A" w:rsidRPr="002E7D94">
        <w:rPr>
          <w:rFonts w:ascii="Palatino Linotype" w:eastAsia="Palatino Linotype" w:hAnsi="Palatino Linotype" w:cs="Palatino Linotype"/>
          <w:sz w:val="22"/>
          <w:szCs w:val="22"/>
        </w:rPr>
        <w:t xml:space="preserve">de vital importancia señalar que el </w:t>
      </w:r>
      <w:r w:rsidR="0096277A" w:rsidRPr="002E7D94">
        <w:rPr>
          <w:rFonts w:ascii="Palatino Linotype" w:eastAsia="Palatino Linotype" w:hAnsi="Palatino Linotype" w:cs="Palatino Linotype"/>
          <w:b/>
          <w:sz w:val="22"/>
          <w:szCs w:val="22"/>
        </w:rPr>
        <w:t>Sujeto Obligado</w:t>
      </w:r>
      <w:r w:rsidR="0096277A" w:rsidRPr="002E7D94">
        <w:rPr>
          <w:rFonts w:ascii="Palatino Linotype" w:eastAsia="Palatino Linotype" w:hAnsi="Palatino Linotype" w:cs="Palatino Linotype"/>
          <w:sz w:val="22"/>
          <w:szCs w:val="22"/>
        </w:rPr>
        <w:t xml:space="preserve"> </w:t>
      </w:r>
      <w:r w:rsidR="00D40DBB" w:rsidRPr="002E7D94">
        <w:rPr>
          <w:rFonts w:ascii="Palatino Linotype" w:eastAsia="Palatino Linotype" w:hAnsi="Palatino Linotype" w:cs="Palatino Linotype"/>
          <w:sz w:val="22"/>
          <w:szCs w:val="22"/>
        </w:rPr>
        <w:t>fundamenta la reserva en</w:t>
      </w:r>
      <w:r w:rsidR="00D40DBB" w:rsidRPr="002E7D94">
        <w:rPr>
          <w:rFonts w:ascii="Palatino Linotype" w:eastAsia="Palatino Linotype" w:hAnsi="Palatino Linotype" w:cs="Palatino Linotype"/>
          <w:b/>
          <w:sz w:val="22"/>
          <w:szCs w:val="22"/>
        </w:rPr>
        <w:t xml:space="preserve"> </w:t>
      </w:r>
      <w:r w:rsidR="00D40DBB" w:rsidRPr="002E7D94">
        <w:rPr>
          <w:rFonts w:ascii="Palatino Linotype" w:eastAsia="Palatino Linotype" w:hAnsi="Palatino Linotype" w:cs="Palatino Linotype"/>
          <w:sz w:val="22"/>
          <w:szCs w:val="22"/>
        </w:rPr>
        <w:t>el artículo 140 de la Ley de Transparencia Local, el numeral Trigésimo Octavo de los</w:t>
      </w:r>
      <w:r w:rsidR="00D40DBB" w:rsidRPr="002E7D94">
        <w:rPr>
          <w:rFonts w:ascii="Palatino Linotype" w:eastAsia="Palatino Linotype" w:hAnsi="Palatino Linotype" w:cs="Palatino Linotype"/>
          <w:b/>
          <w:sz w:val="22"/>
          <w:szCs w:val="22"/>
        </w:rPr>
        <w:t xml:space="preserve"> </w:t>
      </w:r>
      <w:r w:rsidR="00D40DBB" w:rsidRPr="002E7D94">
        <w:rPr>
          <w:rFonts w:ascii="Palatino Linotype" w:eastAsia="Palatino Linotype" w:hAnsi="Palatino Linotype" w:cs="Palatino Linotype"/>
          <w:sz w:val="22"/>
          <w:szCs w:val="22"/>
        </w:rPr>
        <w:t xml:space="preserve">Lineamientos generales en materia de clasificación y desclasificación de la información, así como para la elaboración de versiones públicas, </w:t>
      </w:r>
      <w:r w:rsidR="00C378DF" w:rsidRPr="002E7D94">
        <w:rPr>
          <w:rFonts w:ascii="Palatino Linotype" w:eastAsia="Palatino Linotype" w:hAnsi="Palatino Linotype" w:cs="Palatino Linotype"/>
          <w:sz w:val="22"/>
          <w:szCs w:val="22"/>
        </w:rPr>
        <w:t xml:space="preserve">vigentes a la fecha de la solicitud, </w:t>
      </w:r>
      <w:r w:rsidR="00D40DBB" w:rsidRPr="002E7D94">
        <w:rPr>
          <w:rFonts w:ascii="Palatino Linotype" w:eastAsia="Palatino Linotype" w:hAnsi="Palatino Linotype" w:cs="Palatino Linotype"/>
          <w:sz w:val="22"/>
          <w:szCs w:val="22"/>
        </w:rPr>
        <w:t>artículo 30 párrafo segundo de la Ley Orgánica Municipal de Estado de México, mismos que consisten en lo siguiente:</w:t>
      </w:r>
    </w:p>
    <w:p w14:paraId="1BF7E850" w14:textId="77777777" w:rsidR="00D40DBB" w:rsidRPr="002E7D94" w:rsidRDefault="00D40DBB" w:rsidP="00AC6EE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098153D" w14:textId="77777777" w:rsidR="00D40DBB" w:rsidRPr="002E7D94" w:rsidRDefault="0010120F" w:rsidP="00AC6EED">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E7D94">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00C378DF" w:rsidRPr="002E7D94">
        <w:rPr>
          <w:rFonts w:ascii="Palatino Linotype" w:eastAsia="Palatino Linotype" w:hAnsi="Palatino Linotype" w:cs="Palatino Linotype"/>
          <w:b/>
          <w:sz w:val="22"/>
          <w:szCs w:val="22"/>
        </w:rPr>
        <w:t xml:space="preserve">, </w:t>
      </w:r>
      <w:r w:rsidR="00C378DF" w:rsidRPr="002E7D94">
        <w:rPr>
          <w:rFonts w:ascii="Palatino Linotype" w:eastAsia="Palatino Linotype" w:hAnsi="Palatino Linotype" w:cs="Palatino Linotype"/>
          <w:sz w:val="22"/>
          <w:szCs w:val="22"/>
        </w:rPr>
        <w:t>vigentes a la fecha de la solicitud</w:t>
      </w:r>
      <w:r w:rsidRPr="002E7D94">
        <w:rPr>
          <w:rFonts w:ascii="Palatino Linotype" w:eastAsia="Palatino Linotype" w:hAnsi="Palatino Linotype" w:cs="Palatino Linotype"/>
          <w:b/>
          <w:sz w:val="22"/>
          <w:szCs w:val="22"/>
        </w:rPr>
        <w:t>:</w:t>
      </w:r>
    </w:p>
    <w:p w14:paraId="357391C6" w14:textId="77777777" w:rsidR="0010120F" w:rsidRPr="002E7D94" w:rsidRDefault="0010120F" w:rsidP="00AC6EED">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2DAC3B80" w14:textId="77777777" w:rsidR="00D40DBB" w:rsidRPr="002E7D94" w:rsidRDefault="0010120F" w:rsidP="0010120F">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u w:val="single"/>
        </w:rPr>
      </w:pPr>
      <w:r w:rsidRPr="002E7D94">
        <w:rPr>
          <w:rFonts w:ascii="Palatino Linotype" w:eastAsia="Palatino Linotype" w:hAnsi="Palatino Linotype" w:cs="Palatino Linotype"/>
          <w:i/>
          <w:sz w:val="22"/>
          <w:szCs w:val="22"/>
        </w:rPr>
        <w:t>“</w:t>
      </w:r>
      <w:r w:rsidR="00D40DBB" w:rsidRPr="002E7D94">
        <w:rPr>
          <w:rFonts w:ascii="Palatino Linotype" w:eastAsia="Palatino Linotype" w:hAnsi="Palatino Linotype" w:cs="Palatino Linotype"/>
          <w:i/>
          <w:sz w:val="22"/>
          <w:szCs w:val="22"/>
        </w:rPr>
        <w:t xml:space="preserve">Trigésimo octavo. </w:t>
      </w:r>
      <w:r w:rsidR="00D40DBB" w:rsidRPr="002E7D94">
        <w:rPr>
          <w:rFonts w:ascii="Palatino Linotype" w:eastAsia="Palatino Linotype" w:hAnsi="Palatino Linotype" w:cs="Palatino Linotype"/>
          <w:b/>
          <w:i/>
          <w:sz w:val="22"/>
          <w:szCs w:val="22"/>
          <w:u w:val="single"/>
        </w:rPr>
        <w:t xml:space="preserve">Se considera susceptible de clasificarse como información confidencial: </w:t>
      </w:r>
    </w:p>
    <w:p w14:paraId="43736222" w14:textId="77777777" w:rsidR="00D40DBB" w:rsidRPr="002E7D94" w:rsidRDefault="00D40DBB" w:rsidP="0010120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i/>
          <w:sz w:val="22"/>
          <w:szCs w:val="22"/>
        </w:rPr>
        <w:t xml:space="preserve">I. Los datos personales, entendidos como cualquier información concerniente a una persona física identificada o identificable, en términos de la norma aplicable que, de manera enunciativa más no limitativa, se pueden identificar de acuerdo a las siguientes categorías: </w:t>
      </w:r>
    </w:p>
    <w:p w14:paraId="3C889AE1" w14:textId="77777777" w:rsidR="00D40DBB" w:rsidRPr="002E7D94" w:rsidRDefault="00D40DBB" w:rsidP="0010120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i/>
          <w:sz w:val="22"/>
          <w:szCs w:val="22"/>
        </w:rPr>
        <w:t xml:space="preserve">1. Datos identificativos: El nombre, alias, pseudónimo, domicilio, código postal, teléfono particular, sexo, estado civil, teléfono celular, firma, clave de Registro Federal de Contribuyentes (RFC), Clave Única de Registro de Población  (CURP), Clave de Elector, Matrícula del Servicio Militar Nacional, número de  pasaporte, lugar y fecha de nacimiento, nacionalidad, edad, fotografía,  localidad y sección electoral, y análogos. </w:t>
      </w:r>
    </w:p>
    <w:p w14:paraId="5FAA6C20" w14:textId="77777777" w:rsidR="00D40DBB" w:rsidRPr="002E7D94" w:rsidRDefault="00D40DBB" w:rsidP="0010120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i/>
          <w:sz w:val="22"/>
          <w:szCs w:val="22"/>
        </w:rPr>
        <w:lastRenderedPageBreak/>
        <w:t xml:space="preserve">2. Datos de origen: Origen, etnia, raza, color de piel, color de ojos, color y tipo de cabello, estatura, complexión, y análogos. </w:t>
      </w:r>
    </w:p>
    <w:p w14:paraId="2802DEEB" w14:textId="77777777" w:rsidR="00D40DBB" w:rsidRPr="002E7D94" w:rsidRDefault="00D40DBB" w:rsidP="0010120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i/>
          <w:sz w:val="22"/>
          <w:szCs w:val="22"/>
        </w:rPr>
        <w:t xml:space="preserve">3. Datos ideológicos: Ideologías, creencias, opinión política, afiliación política, opinión pública, afiliación sindical, religión, convicciones filosóficas y análogos. </w:t>
      </w:r>
    </w:p>
    <w:p w14:paraId="112EA84D" w14:textId="77777777" w:rsidR="00D40DBB" w:rsidRPr="002E7D94" w:rsidRDefault="00D40DBB" w:rsidP="0010120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i/>
          <w:sz w:val="22"/>
          <w:szCs w:val="22"/>
        </w:rPr>
        <w:t xml:space="preserve">4. Datos sobre la salud: El expediente clínico de cualquier atención médica,  historial médico, referencias o descripción de sintomatologías, detección de  enfermedades, incapacidades médicas, discapacidades, intervenciones  quirúrgicas, vacunas, consumo de estupefacientes, uso de aparatos  oftalmológicos, ortopédicos, auditivos, prótesis, estado físico o mental de la  persona, así como la información sobre la vida sexual, y análogos. </w:t>
      </w:r>
    </w:p>
    <w:p w14:paraId="45FB5E06" w14:textId="77777777" w:rsidR="00D40DBB" w:rsidRPr="002E7D94" w:rsidRDefault="00D40DBB" w:rsidP="0010120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i/>
          <w:sz w:val="22"/>
          <w:szCs w:val="22"/>
        </w:rPr>
        <w:t xml:space="preserve">5. Datos Laborales: Número de seguridad social, documentos de reclutamiento o selección, nombramientos, incidencia, capacitación, actividades extracurriculares, referencias laborales, referencias personales, solicitud de empleo, hoja de servicio, y análogos. </w:t>
      </w:r>
    </w:p>
    <w:p w14:paraId="5752F407" w14:textId="77777777" w:rsidR="00D40DBB" w:rsidRPr="002E7D94" w:rsidRDefault="00D40DBB" w:rsidP="0010120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i/>
          <w:sz w:val="22"/>
          <w:szCs w:val="22"/>
        </w:rPr>
        <w:t xml:space="preserve">6. Datos patrimoniales: Bienes muebles e inmuebles de su propiedad, información fiscal, historial crediticio, ingresos y egresos, número de cuenta  bancaria y/o CLABE interbancaria de personas físicas y morales privadas,  inversiones, seguros, fianzas, servicios contratados, referencias personales,  beneficiarios, dependientes económicos, decisiones patrimoniales y  análogos. </w:t>
      </w:r>
    </w:p>
    <w:p w14:paraId="2468A74E" w14:textId="77777777" w:rsidR="00D40DBB" w:rsidRPr="002E7D94" w:rsidRDefault="00D40DBB" w:rsidP="0010120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i/>
          <w:sz w:val="22"/>
          <w:szCs w:val="22"/>
        </w:rPr>
        <w:t xml:space="preserve">7. Datos sobre situación jurídica o legal: La información relativa a una persona  que se encuentre o haya sido sujeta a un procedimiento administrativo  seguido en forma de juicio o jurisdiccional en materia laboral, civil, penal,  fiscal, administrativa o de cualquier otra rama del Derecho, y análogos. </w:t>
      </w:r>
    </w:p>
    <w:p w14:paraId="5DE7315A" w14:textId="77777777" w:rsidR="00D40DBB" w:rsidRPr="002E7D94" w:rsidRDefault="00D40DBB" w:rsidP="0010120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i/>
          <w:sz w:val="22"/>
          <w:szCs w:val="22"/>
        </w:rPr>
        <w:t xml:space="preserve">8. Datos académicos: Trayectoria educativa, avances de créditos, tipos de exámenes, promedio, calificaciones, títulos, cédula profesional, certificados, reconocimientos y análogos. </w:t>
      </w:r>
    </w:p>
    <w:p w14:paraId="095D379E" w14:textId="77777777" w:rsidR="00D40DBB" w:rsidRPr="002E7D94" w:rsidRDefault="00D40DBB" w:rsidP="0010120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i/>
          <w:sz w:val="22"/>
          <w:szCs w:val="22"/>
        </w:rPr>
        <w:t xml:space="preserve">9. Datos de tránsito y movimientos migratorios: Información relativa al tránsito de las personas dentro y fuera del país, así como información migratoria, cédula migratoria, visa, pasaporte. </w:t>
      </w:r>
    </w:p>
    <w:p w14:paraId="582B6DC8" w14:textId="77777777" w:rsidR="00D40DBB" w:rsidRPr="002E7D94" w:rsidRDefault="00D40DBB" w:rsidP="0010120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i/>
          <w:sz w:val="22"/>
          <w:szCs w:val="22"/>
        </w:rPr>
        <w:t xml:space="preserve">10. Datos electrónicos: Firma electrónica, dirección de correo electrónico, código </w:t>
      </w:r>
    </w:p>
    <w:p w14:paraId="151F7324" w14:textId="77777777" w:rsidR="00D40DBB" w:rsidRPr="002E7D94" w:rsidRDefault="00D40DBB" w:rsidP="0010120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i/>
          <w:sz w:val="22"/>
          <w:szCs w:val="22"/>
        </w:rPr>
        <w:t xml:space="preserve">QR. </w:t>
      </w:r>
    </w:p>
    <w:p w14:paraId="7290EB9D" w14:textId="77777777" w:rsidR="00D40DBB" w:rsidRPr="002E7D94" w:rsidRDefault="00D40DBB" w:rsidP="0010120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i/>
          <w:sz w:val="22"/>
          <w:szCs w:val="22"/>
        </w:rPr>
        <w:t xml:space="preserve">11. Datos biométricos: Huella dactilar, reconocimiento facial, reconocimiento de iris, reconocimiento de la geometría de la mano, reconocimiento vascular, reconocimiento de escritura, reconocimiento de voz, reconocimiento de escritura de teclado y análogos. </w:t>
      </w:r>
    </w:p>
    <w:p w14:paraId="3CABE770" w14:textId="77777777" w:rsidR="00D40DBB" w:rsidRPr="002E7D94" w:rsidRDefault="00D40DBB" w:rsidP="0010120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i/>
          <w:sz w:val="22"/>
          <w:szCs w:val="22"/>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29DA81D7" w14:textId="77777777" w:rsidR="00D40DBB" w:rsidRPr="002E7D94" w:rsidRDefault="00D40DBB" w:rsidP="0010120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p>
    <w:p w14:paraId="3EB3D9E4" w14:textId="77777777" w:rsidR="0010120F" w:rsidRPr="002E7D94" w:rsidRDefault="00D40DBB" w:rsidP="0010120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i/>
          <w:sz w:val="22"/>
          <w:szCs w:val="22"/>
        </w:rPr>
        <w:t xml:space="preserve">III. Los secretos bancario, fiduciario, industrial, comercial, fiscal, bursátil y postal </w:t>
      </w:r>
      <w:r w:rsidR="0010120F" w:rsidRPr="002E7D94">
        <w:rPr>
          <w:rFonts w:ascii="Palatino Linotype" w:eastAsia="Palatino Linotype" w:hAnsi="Palatino Linotype" w:cs="Palatino Linotype"/>
          <w:i/>
          <w:sz w:val="22"/>
          <w:szCs w:val="22"/>
        </w:rPr>
        <w:t>cuya titularidad</w:t>
      </w:r>
      <w:r w:rsidRPr="002E7D94">
        <w:rPr>
          <w:rFonts w:ascii="Palatino Linotype" w:eastAsia="Palatino Linotype" w:hAnsi="Palatino Linotype" w:cs="Palatino Linotype"/>
          <w:i/>
          <w:sz w:val="22"/>
          <w:szCs w:val="22"/>
        </w:rPr>
        <w:t xml:space="preserve"> corresponda a particulares, sujetos de der</w:t>
      </w:r>
      <w:r w:rsidR="0010120F" w:rsidRPr="002E7D94">
        <w:rPr>
          <w:rFonts w:ascii="Palatino Linotype" w:eastAsia="Palatino Linotype" w:hAnsi="Palatino Linotype" w:cs="Palatino Linotype"/>
          <w:i/>
          <w:sz w:val="22"/>
          <w:szCs w:val="22"/>
        </w:rPr>
        <w:t>echo internacional o a sujetos obligados</w:t>
      </w:r>
      <w:r w:rsidRPr="002E7D94">
        <w:rPr>
          <w:rFonts w:ascii="Palatino Linotype" w:eastAsia="Palatino Linotype" w:hAnsi="Palatino Linotype" w:cs="Palatino Linotype"/>
          <w:i/>
          <w:sz w:val="22"/>
          <w:szCs w:val="22"/>
        </w:rPr>
        <w:t xml:space="preserve"> cuando no involucren el ejercicio de recursos públicos. </w:t>
      </w:r>
    </w:p>
    <w:p w14:paraId="14BACFEE" w14:textId="77777777" w:rsidR="0010120F" w:rsidRPr="002E7D94" w:rsidRDefault="00D40DBB" w:rsidP="0010120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i/>
          <w:sz w:val="22"/>
          <w:szCs w:val="22"/>
        </w:rPr>
        <w:t>La información confidencial no estará sujeta a temporalidad alguna y sólo podrán tener</w:t>
      </w:r>
      <w:r w:rsidR="0010120F" w:rsidRPr="002E7D94">
        <w:rPr>
          <w:i/>
        </w:rPr>
        <w:t xml:space="preserve"> </w:t>
      </w:r>
      <w:r w:rsidR="0010120F" w:rsidRPr="002E7D94">
        <w:rPr>
          <w:rFonts w:ascii="Palatino Linotype" w:eastAsia="Palatino Linotype" w:hAnsi="Palatino Linotype" w:cs="Palatino Linotype"/>
          <w:i/>
          <w:sz w:val="22"/>
          <w:szCs w:val="22"/>
        </w:rPr>
        <w:t xml:space="preserve">acceso a ella los titulares de la misma, sus representantes y los integrantes de los sujetos obligados facultados para ello. </w:t>
      </w:r>
    </w:p>
    <w:p w14:paraId="5DC7979B" w14:textId="77777777" w:rsidR="00D40DBB" w:rsidRPr="002E7D94" w:rsidRDefault="0010120F" w:rsidP="0010120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i/>
          <w:sz w:val="22"/>
          <w:szCs w:val="22"/>
        </w:rPr>
        <w:t>Para el tratamiento de los datos biométricos, los sujetos obligados deberán de implementar los sistemas biométricos que sean necesarios para su debida utilización y protección.”</w:t>
      </w:r>
    </w:p>
    <w:p w14:paraId="4D0FED59" w14:textId="77777777" w:rsidR="00D40DBB" w:rsidRPr="002E7D94" w:rsidRDefault="0010120F" w:rsidP="00D40DBB">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E7D94">
        <w:rPr>
          <w:rFonts w:ascii="Palatino Linotype" w:eastAsia="Palatino Linotype" w:hAnsi="Palatino Linotype" w:cs="Palatino Linotype"/>
          <w:b/>
          <w:sz w:val="22"/>
          <w:szCs w:val="22"/>
        </w:rPr>
        <w:t>Ley de Transparencia Local:</w:t>
      </w:r>
    </w:p>
    <w:p w14:paraId="77115994" w14:textId="77777777" w:rsidR="0010120F" w:rsidRPr="002E7D94" w:rsidRDefault="0010120F" w:rsidP="0010120F">
      <w:pPr>
        <w:spacing w:before="120" w:after="120"/>
        <w:ind w:left="567" w:right="851"/>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b/>
          <w:i/>
          <w:sz w:val="22"/>
          <w:szCs w:val="22"/>
        </w:rPr>
        <w:t>“Artículo 140</w:t>
      </w:r>
      <w:r w:rsidRPr="002E7D94">
        <w:rPr>
          <w:rFonts w:ascii="Palatino Linotype" w:eastAsia="Palatino Linotype" w:hAnsi="Palatino Linotype" w:cs="Palatino Linotype"/>
          <w:i/>
          <w:sz w:val="22"/>
          <w:szCs w:val="22"/>
        </w:rPr>
        <w:t xml:space="preserve">. </w:t>
      </w:r>
      <w:r w:rsidRPr="002E7D94">
        <w:rPr>
          <w:rFonts w:ascii="Palatino Linotype" w:eastAsia="Palatino Linotype" w:hAnsi="Palatino Linotype" w:cs="Palatino Linotype"/>
          <w:b/>
          <w:i/>
          <w:sz w:val="22"/>
          <w:szCs w:val="22"/>
          <w:u w:val="single"/>
        </w:rPr>
        <w:t>El acceso a la información pública será restringido excepcionalmente, cuando por razones de interés público, ésta sea clasificada como reservada</w:t>
      </w:r>
      <w:r w:rsidRPr="002E7D94">
        <w:rPr>
          <w:rFonts w:ascii="Palatino Linotype" w:eastAsia="Palatino Linotype" w:hAnsi="Palatino Linotype" w:cs="Palatino Linotype"/>
          <w:i/>
          <w:sz w:val="22"/>
          <w:szCs w:val="22"/>
        </w:rPr>
        <w:t xml:space="preserve">, conforme a los criterios siguientes: </w:t>
      </w:r>
    </w:p>
    <w:p w14:paraId="6FA67255" w14:textId="77777777" w:rsidR="0010120F" w:rsidRPr="002E7D94" w:rsidRDefault="0010120F" w:rsidP="0010120F">
      <w:pPr>
        <w:spacing w:before="120" w:after="120"/>
        <w:ind w:left="567" w:right="851"/>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b/>
          <w:i/>
          <w:sz w:val="22"/>
          <w:szCs w:val="22"/>
        </w:rPr>
        <w:t>I</w:t>
      </w:r>
      <w:r w:rsidRPr="002E7D94">
        <w:rPr>
          <w:rFonts w:ascii="Palatino Linotype" w:eastAsia="Palatino Linotype" w:hAnsi="Palatino Linotype" w:cs="Palatino Linotype"/>
          <w:i/>
          <w:sz w:val="22"/>
          <w:szCs w:val="22"/>
        </w:rPr>
        <w:t xml:space="preserve">. Comprometa la seguridad pública y cuente con un propósito genuino y un efecto demostrable; </w:t>
      </w:r>
    </w:p>
    <w:p w14:paraId="5F7D128D" w14:textId="77777777" w:rsidR="0010120F" w:rsidRPr="002E7D94" w:rsidRDefault="0010120F" w:rsidP="0010120F">
      <w:pPr>
        <w:spacing w:before="120" w:after="120"/>
        <w:ind w:left="567" w:right="851"/>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b/>
          <w:i/>
          <w:sz w:val="22"/>
          <w:szCs w:val="22"/>
        </w:rPr>
        <w:t>II.</w:t>
      </w:r>
      <w:r w:rsidRPr="002E7D94">
        <w:rPr>
          <w:rFonts w:ascii="Palatino Linotype" w:eastAsia="Palatino Linotype" w:hAnsi="Palatino Linotype" w:cs="Palatino Linotype"/>
          <w:i/>
          <w:sz w:val="22"/>
          <w:szCs w:val="22"/>
        </w:rPr>
        <w:t xml:space="preserve"> Pueda menoscabar la conducción de las negociaciones y relaciones internacionales; </w:t>
      </w:r>
    </w:p>
    <w:p w14:paraId="5C3D85CF" w14:textId="77777777" w:rsidR="0010120F" w:rsidRPr="002E7D94" w:rsidRDefault="0010120F" w:rsidP="0010120F">
      <w:pPr>
        <w:spacing w:before="120" w:after="120"/>
        <w:ind w:left="567" w:right="851"/>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b/>
          <w:i/>
          <w:sz w:val="22"/>
          <w:szCs w:val="22"/>
        </w:rPr>
        <w:t>III.</w:t>
      </w:r>
      <w:r w:rsidRPr="002E7D94">
        <w:rPr>
          <w:rFonts w:ascii="Palatino Linotype" w:eastAsia="Palatino Linotype" w:hAnsi="Palatino Linotype" w:cs="Palatino Linotype"/>
          <w:i/>
          <w:sz w:val="22"/>
          <w:szCs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3F434731" w14:textId="77777777" w:rsidR="0010120F" w:rsidRPr="002E7D94" w:rsidRDefault="0010120F" w:rsidP="0010120F">
      <w:pPr>
        <w:spacing w:before="120" w:after="120"/>
        <w:ind w:left="567" w:right="851"/>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b/>
          <w:i/>
          <w:sz w:val="22"/>
          <w:szCs w:val="22"/>
        </w:rPr>
        <w:t>IV.</w:t>
      </w:r>
      <w:r w:rsidRPr="002E7D94">
        <w:rPr>
          <w:rFonts w:ascii="Palatino Linotype" w:eastAsia="Palatino Linotype" w:hAnsi="Palatino Linotype" w:cs="Palatino Linotype"/>
          <w:i/>
          <w:sz w:val="22"/>
          <w:szCs w:val="22"/>
        </w:rPr>
        <w:t xml:space="preserve"> Ponga en riesgo la vida, la seguridad o la salud de una persona física; </w:t>
      </w:r>
    </w:p>
    <w:p w14:paraId="130EF959" w14:textId="77777777" w:rsidR="0010120F" w:rsidRPr="002E7D94" w:rsidRDefault="0010120F" w:rsidP="0010120F">
      <w:pPr>
        <w:spacing w:before="120" w:after="120"/>
        <w:ind w:left="567" w:right="851"/>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b/>
          <w:i/>
          <w:sz w:val="22"/>
          <w:szCs w:val="22"/>
        </w:rPr>
        <w:t>V</w:t>
      </w:r>
      <w:r w:rsidRPr="002E7D94">
        <w:rPr>
          <w:rFonts w:ascii="Palatino Linotype" w:eastAsia="Palatino Linotype" w:hAnsi="Palatino Linotype" w:cs="Palatino Linotype"/>
          <w:i/>
          <w:sz w:val="22"/>
          <w:szCs w:val="22"/>
        </w:rPr>
        <w:t xml:space="preserve">. Aquella cuya divulgación obstruya o pueda causar un serio perjuicio a: </w:t>
      </w:r>
    </w:p>
    <w:p w14:paraId="408076F1" w14:textId="77777777" w:rsidR="0010120F" w:rsidRPr="002E7D94" w:rsidRDefault="0010120F" w:rsidP="0010120F">
      <w:pPr>
        <w:spacing w:before="120" w:after="120"/>
        <w:ind w:left="567" w:right="851"/>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i/>
          <w:sz w:val="22"/>
          <w:szCs w:val="22"/>
        </w:rPr>
        <w:t xml:space="preserve">1. Las actividades de fiscalización, verificación, inspección, comprobación y auditoría sobre el cumplimiento de las Leyes; o </w:t>
      </w:r>
    </w:p>
    <w:p w14:paraId="1B5FCA74" w14:textId="77777777" w:rsidR="0010120F" w:rsidRPr="002E7D94" w:rsidRDefault="0010120F" w:rsidP="0010120F">
      <w:pPr>
        <w:spacing w:before="120" w:after="120"/>
        <w:ind w:left="567" w:right="851"/>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i/>
          <w:sz w:val="22"/>
          <w:szCs w:val="22"/>
        </w:rPr>
        <w:t xml:space="preserve">2. La recaudación de las contribuciones. </w:t>
      </w:r>
    </w:p>
    <w:p w14:paraId="44E681E2" w14:textId="77777777" w:rsidR="0010120F" w:rsidRPr="002E7D94" w:rsidRDefault="0010120F" w:rsidP="0010120F">
      <w:pPr>
        <w:spacing w:before="120" w:after="120"/>
        <w:ind w:left="567" w:right="851"/>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b/>
          <w:i/>
          <w:sz w:val="22"/>
          <w:szCs w:val="22"/>
        </w:rPr>
        <w:t>VI</w:t>
      </w:r>
      <w:r w:rsidRPr="002E7D94">
        <w:rPr>
          <w:rFonts w:ascii="Palatino Linotype" w:eastAsia="Palatino Linotype" w:hAnsi="Palatino Linotype" w:cs="Palatino Linotype"/>
          <w:i/>
          <w:sz w:val="22"/>
          <w:szCs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w:t>
      </w:r>
      <w:r w:rsidRPr="002E7D94">
        <w:rPr>
          <w:rFonts w:ascii="Palatino Linotype" w:eastAsia="Palatino Linotype" w:hAnsi="Palatino Linotype" w:cs="Palatino Linotype"/>
          <w:i/>
          <w:sz w:val="22"/>
          <w:szCs w:val="22"/>
        </w:rPr>
        <w:lastRenderedPageBreak/>
        <w:t xml:space="preserve">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5A11885A" w14:textId="77777777" w:rsidR="0010120F" w:rsidRPr="002E7D94" w:rsidRDefault="0010120F" w:rsidP="0010120F">
      <w:pPr>
        <w:spacing w:before="120" w:after="120"/>
        <w:ind w:left="567" w:right="851"/>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b/>
          <w:i/>
          <w:sz w:val="22"/>
          <w:szCs w:val="22"/>
        </w:rPr>
        <w:t>VII.</w:t>
      </w:r>
      <w:r w:rsidRPr="002E7D94">
        <w:rPr>
          <w:rFonts w:ascii="Palatino Linotype" w:eastAsia="Palatino Linotype" w:hAnsi="Palatino Linotype" w:cs="Palatino Linotype"/>
          <w:i/>
          <w:sz w:val="22"/>
          <w:szCs w:val="22"/>
        </w:rPr>
        <w:t xml:space="preserve"> La que contengan las opiniones, recomendaciones o puntos de vista que formen parte del proceso deliberativo de los servidores públicos, hasta en tanto sea adoptada la decisión definitiva, la cual deberá estar documentada; </w:t>
      </w:r>
    </w:p>
    <w:p w14:paraId="6DA8C8F2" w14:textId="77777777" w:rsidR="0010120F" w:rsidRPr="002E7D94" w:rsidRDefault="0010120F" w:rsidP="0010120F">
      <w:pPr>
        <w:spacing w:before="120" w:after="120"/>
        <w:ind w:left="567" w:right="851"/>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b/>
          <w:i/>
          <w:sz w:val="22"/>
          <w:szCs w:val="22"/>
        </w:rPr>
        <w:t>VIII.</w:t>
      </w:r>
      <w:r w:rsidRPr="002E7D94">
        <w:rPr>
          <w:rFonts w:ascii="Palatino Linotype" w:eastAsia="Palatino Linotype" w:hAnsi="Palatino Linotype" w:cs="Palatino Linotype"/>
          <w:i/>
          <w:sz w:val="22"/>
          <w:szCs w:val="22"/>
        </w:rPr>
        <w:t xml:space="preserve"> Vulnere la conducción de los expedientes judiciales o de los procedimientos administrativos seguidos en forma de juicio, en tanto no hayan quedado firmes; </w:t>
      </w:r>
    </w:p>
    <w:p w14:paraId="7F31ED76" w14:textId="77777777" w:rsidR="0010120F" w:rsidRPr="002E7D94" w:rsidRDefault="0010120F" w:rsidP="0010120F">
      <w:pPr>
        <w:spacing w:before="120" w:after="120"/>
        <w:ind w:left="567" w:right="851"/>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b/>
          <w:i/>
          <w:sz w:val="22"/>
          <w:szCs w:val="22"/>
        </w:rPr>
        <w:t>IX</w:t>
      </w:r>
      <w:r w:rsidRPr="002E7D94">
        <w:rPr>
          <w:rFonts w:ascii="Palatino Linotype" w:eastAsia="Palatino Linotype" w:hAnsi="Palatino Linotype" w:cs="Palatino Linotype"/>
          <w:i/>
          <w:sz w:val="22"/>
          <w:szCs w:val="22"/>
        </w:rPr>
        <w:t xml:space="preserve">. Se encuentre contenida dentro de las investigaciones de hechos que la Ley señale como delitos y se tramiten ante el Ministerio Público; </w:t>
      </w:r>
    </w:p>
    <w:p w14:paraId="396FCA51" w14:textId="77777777" w:rsidR="0010120F" w:rsidRPr="002E7D94" w:rsidRDefault="0010120F" w:rsidP="0010120F">
      <w:pPr>
        <w:spacing w:before="120" w:after="120"/>
        <w:ind w:left="567" w:right="851"/>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b/>
          <w:i/>
          <w:sz w:val="22"/>
          <w:szCs w:val="22"/>
        </w:rPr>
        <w:t>X.</w:t>
      </w:r>
      <w:r w:rsidRPr="002E7D94">
        <w:rPr>
          <w:rFonts w:ascii="Palatino Linotype" w:eastAsia="Palatino Linotype" w:hAnsi="Palatino Linotype" w:cs="Palatino Linotype"/>
          <w:i/>
          <w:sz w:val="22"/>
          <w:szCs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10B16869" w14:textId="77777777" w:rsidR="0010120F" w:rsidRPr="002E7D94" w:rsidRDefault="0010120F" w:rsidP="0010120F">
      <w:pPr>
        <w:spacing w:before="120" w:after="120"/>
        <w:ind w:left="567" w:right="851"/>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i/>
          <w:sz w:val="22"/>
          <w:szCs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00FF359A" w14:textId="77777777" w:rsidR="0010120F" w:rsidRPr="002E7D94" w:rsidRDefault="0010120F" w:rsidP="0010120F">
      <w:pPr>
        <w:spacing w:before="120" w:after="120"/>
        <w:ind w:left="567" w:right="851"/>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b/>
          <w:i/>
          <w:sz w:val="22"/>
          <w:szCs w:val="22"/>
        </w:rPr>
        <w:t>XI.</w:t>
      </w:r>
      <w:r w:rsidRPr="002E7D94">
        <w:rPr>
          <w:rFonts w:ascii="Palatino Linotype" w:eastAsia="Palatino Linotype" w:hAnsi="Palatino Linotype" w:cs="Palatino Linotype"/>
          <w:i/>
          <w:sz w:val="22"/>
          <w:szCs w:val="22"/>
        </w:rPr>
        <w:t xml:space="preserve"> Las que por disposición expresa de una ley tengan tal carácter, siempre que sean acordes con las bases, principios y disposiciones establecidos en esta Ley y no la contravengan; así como las previstas en tratados internacionales.”</w:t>
      </w:r>
    </w:p>
    <w:p w14:paraId="59B803ED" w14:textId="77777777" w:rsidR="0010120F" w:rsidRPr="002E7D94" w:rsidRDefault="0010120F" w:rsidP="00D40DB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37B70AC" w14:textId="77777777" w:rsidR="00D40DBB" w:rsidRPr="002E7D94" w:rsidRDefault="0010120F" w:rsidP="00D40DBB">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E7D94">
        <w:rPr>
          <w:rFonts w:ascii="Palatino Linotype" w:eastAsia="Palatino Linotype" w:hAnsi="Palatino Linotype" w:cs="Palatino Linotype"/>
          <w:b/>
          <w:sz w:val="22"/>
          <w:szCs w:val="22"/>
        </w:rPr>
        <w:t>Ley Orgánica Municipal del Estado de México:</w:t>
      </w:r>
    </w:p>
    <w:p w14:paraId="319E1FB2" w14:textId="77777777" w:rsidR="00D40DBB" w:rsidRPr="002E7D94" w:rsidRDefault="0010120F" w:rsidP="0010120F">
      <w:pPr>
        <w:pBdr>
          <w:top w:val="nil"/>
          <w:left w:val="nil"/>
          <w:bottom w:val="nil"/>
          <w:right w:val="nil"/>
          <w:between w:val="nil"/>
        </w:pBdr>
        <w:spacing w:line="360" w:lineRule="auto"/>
        <w:ind w:left="567" w:right="900"/>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i/>
          <w:sz w:val="22"/>
          <w:szCs w:val="22"/>
        </w:rPr>
        <w:t>“</w:t>
      </w:r>
      <w:r w:rsidRPr="002E7D94">
        <w:rPr>
          <w:rFonts w:ascii="Palatino Linotype" w:eastAsia="Palatino Linotype" w:hAnsi="Palatino Linotype" w:cs="Palatino Linotype"/>
          <w:b/>
          <w:i/>
          <w:sz w:val="22"/>
          <w:szCs w:val="22"/>
        </w:rPr>
        <w:t>Artículo 30</w:t>
      </w:r>
      <w:r w:rsidRPr="002E7D94">
        <w:rPr>
          <w:rFonts w:ascii="Palatino Linotype" w:eastAsia="Palatino Linotype" w:hAnsi="Palatino Linotype" w:cs="Palatino Linotype"/>
          <w:i/>
          <w:sz w:val="22"/>
          <w:szCs w:val="22"/>
        </w:rPr>
        <w:t>…</w:t>
      </w:r>
    </w:p>
    <w:p w14:paraId="1A32C5C2" w14:textId="77777777" w:rsidR="00D40DBB" w:rsidRPr="002E7D94" w:rsidRDefault="0010120F" w:rsidP="0010120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i/>
          <w:sz w:val="22"/>
          <w:szCs w:val="22"/>
        </w:rPr>
        <w:t>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w:t>
      </w:r>
    </w:p>
    <w:p w14:paraId="28D97201" w14:textId="77777777" w:rsidR="00D40DBB" w:rsidRPr="002E7D94" w:rsidRDefault="00D40DBB" w:rsidP="00D40DB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8F751A0" w14:textId="77777777" w:rsidR="00D40DBB" w:rsidRPr="002E7D94" w:rsidRDefault="0010120F" w:rsidP="00D40DB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 xml:space="preserve">Como se puede apreciar de los preceptos legales previamente insertados, el </w:t>
      </w:r>
      <w:r w:rsidRPr="002E7D94">
        <w:rPr>
          <w:rFonts w:ascii="Palatino Linotype" w:eastAsia="Palatino Linotype" w:hAnsi="Palatino Linotype" w:cs="Palatino Linotype"/>
          <w:b/>
          <w:sz w:val="22"/>
          <w:szCs w:val="22"/>
        </w:rPr>
        <w:t>Sujeto Obligado</w:t>
      </w:r>
      <w:r w:rsidRPr="002E7D94">
        <w:rPr>
          <w:rFonts w:ascii="Palatino Linotype" w:eastAsia="Palatino Linotype" w:hAnsi="Palatino Linotype" w:cs="Palatino Linotype"/>
          <w:sz w:val="22"/>
          <w:szCs w:val="22"/>
        </w:rPr>
        <w:t xml:space="preserve"> hace referencia por medio de los Lineamientos generales en materia de clasificación y desclasificación de la información, así como para la elaboración de versiones </w:t>
      </w:r>
      <w:r w:rsidRPr="002E7D94">
        <w:rPr>
          <w:rFonts w:ascii="Palatino Linotype" w:eastAsia="Palatino Linotype" w:hAnsi="Palatino Linotype" w:cs="Palatino Linotype"/>
          <w:sz w:val="22"/>
          <w:szCs w:val="22"/>
        </w:rPr>
        <w:lastRenderedPageBreak/>
        <w:t xml:space="preserve">públicas, a clasificación de la información confidencial, mientras que cita la Ley de Transparencia vigente en nuestra entidad para clasificar la información de manera reservada y finalmente en la Ley Orgánica Municipal, se observa únicamente la fuente obligacional para publicitar los acuerdos mediante la Gaceta Municipal sólo si no contienen información clasificada, por lo tanto, es dable afirmar que la reserva realizada no cuenta con un fundamento legal adecuado para sustentarse. </w:t>
      </w:r>
    </w:p>
    <w:p w14:paraId="030348FC" w14:textId="77777777" w:rsidR="0010120F" w:rsidRPr="002E7D94" w:rsidRDefault="0010120F" w:rsidP="00D40DB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013A791" w14:textId="77777777" w:rsidR="00AE2083" w:rsidRPr="002E7D94" w:rsidRDefault="0010120F" w:rsidP="00AC6EE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 xml:space="preserve">Continuando con este análisis, es </w:t>
      </w:r>
      <w:r w:rsidR="00F63ED3" w:rsidRPr="002E7D94">
        <w:rPr>
          <w:rFonts w:ascii="Palatino Linotype" w:eastAsia="Palatino Linotype" w:hAnsi="Palatino Linotype" w:cs="Palatino Linotype"/>
          <w:sz w:val="22"/>
          <w:szCs w:val="22"/>
        </w:rPr>
        <w:t>oportuno referir que por regla general, toda la información que generen, administren y/o posean los Sujetos Obligados, es considerada información pública, pues al ser entes que ejercen recursos públicos tienen la obligación de rendir cuentas y asumir responsabilidades ante los ciudadanos derivado del ejercicio de sus atribuciones, garantizando así el Derecho humano de acceso a la información pública, sin embargo, dicho derecho puede ser restringido de manera excepcional por razones de interés público, en los términos de las causas legítimas y estrictamente necesarias previstas por la Ley, como se desprende del artículo 91 de la Ley de la Materia que es del tenor literal siguiente:</w:t>
      </w:r>
    </w:p>
    <w:p w14:paraId="7D102C1B" w14:textId="77777777" w:rsidR="00AE2083" w:rsidRPr="002E7D94" w:rsidRDefault="00F63ED3">
      <w:pPr>
        <w:ind w:left="851" w:right="900"/>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b/>
          <w:i/>
          <w:sz w:val="22"/>
          <w:szCs w:val="22"/>
        </w:rPr>
        <w:t xml:space="preserve">“Artículo 91. </w:t>
      </w:r>
      <w:r w:rsidRPr="002E7D94">
        <w:rPr>
          <w:rFonts w:ascii="Palatino Linotype" w:eastAsia="Palatino Linotype" w:hAnsi="Palatino Linotype" w:cs="Palatino Linotype"/>
          <w:i/>
          <w:sz w:val="22"/>
          <w:szCs w:val="22"/>
        </w:rPr>
        <w:t xml:space="preserve">El acceso a la información pública será </w:t>
      </w:r>
      <w:r w:rsidR="00AC6EED" w:rsidRPr="002E7D94">
        <w:rPr>
          <w:rFonts w:ascii="Palatino Linotype" w:eastAsia="Palatino Linotype" w:hAnsi="Palatino Linotype" w:cs="Palatino Linotype"/>
          <w:i/>
          <w:sz w:val="22"/>
          <w:szCs w:val="22"/>
        </w:rPr>
        <w:t>restringido excepcionalmente</w:t>
      </w:r>
      <w:r w:rsidRPr="002E7D94">
        <w:rPr>
          <w:rFonts w:ascii="Palatino Linotype" w:eastAsia="Palatino Linotype" w:hAnsi="Palatino Linotype" w:cs="Palatino Linotype"/>
          <w:i/>
          <w:sz w:val="22"/>
          <w:szCs w:val="22"/>
        </w:rPr>
        <w:t>, cuando ésta sea clasificada como reservada o confidencial.”</w:t>
      </w:r>
    </w:p>
    <w:p w14:paraId="7079151F" w14:textId="77777777" w:rsidR="00AE2083" w:rsidRPr="002E7D94" w:rsidRDefault="00F63ED3">
      <w:pPr>
        <w:spacing w:before="240" w:after="240"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La restricción al derecho de acceso a la información implica necesariamente una clasificación la cual debe entenderse como el proceso mediante el cual el Sujeto Obligado determina que la información en su poder, actualiza alguno de los supuestos de reserva o confidencialidad, de conformidad con las normas aplicables.</w:t>
      </w:r>
    </w:p>
    <w:p w14:paraId="702C3647" w14:textId="77777777" w:rsidR="00AE2083" w:rsidRPr="002E7D94" w:rsidRDefault="00F63ED3">
      <w:pPr>
        <w:spacing w:before="240" w:after="240"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 xml:space="preserve">Debe decirse que la Ley de Transparencia y Acceso a la Información Pública del Estado de México y Municipios, define como </w:t>
      </w:r>
      <w:r w:rsidRPr="002E7D94">
        <w:rPr>
          <w:rFonts w:ascii="Palatino Linotype" w:eastAsia="Palatino Linotype" w:hAnsi="Palatino Linotype" w:cs="Palatino Linotype"/>
          <w:b/>
          <w:sz w:val="22"/>
          <w:szCs w:val="22"/>
        </w:rPr>
        <w:t xml:space="preserve">información reservada </w:t>
      </w:r>
      <w:r w:rsidRPr="002E7D94">
        <w:rPr>
          <w:rFonts w:ascii="Palatino Linotype" w:eastAsia="Palatino Linotype" w:hAnsi="Palatino Linotype" w:cs="Palatino Linotype"/>
          <w:sz w:val="22"/>
          <w:szCs w:val="22"/>
        </w:rPr>
        <w:t xml:space="preserve">a la información pública clasificada con este carácter de manera temporal por las disposiciones de la Ley de la Materia, cuya divulgación puede causar daños a la seguridad pública, la que pueda menoscabar la conducción de las negociaciones y relaciones internacionales; ponga en </w:t>
      </w:r>
      <w:r w:rsidRPr="002E7D94">
        <w:rPr>
          <w:rFonts w:ascii="Palatino Linotype" w:eastAsia="Palatino Linotype" w:hAnsi="Palatino Linotype" w:cs="Palatino Linotype"/>
          <w:sz w:val="22"/>
          <w:szCs w:val="22"/>
        </w:rPr>
        <w:lastRenderedPageBreak/>
        <w:t xml:space="preserve">riesgo la vida, la seguridad o la salud de una persona física; aquella cuya divulgación obstruya o pueda causar un serio perjuicio a las actividades de fiscalización, verificación, inspección, comprobación y auditoría sobre el cumplimiento de las Leyes; la recaudación de las contribuciones, aquella que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la que contengan las opiniones, recomendaciones o puntos de vista que formen parte del proceso deliberativo de los servidores públicos, hasta en tanto sea adoptada la decisión definitiva, la cual deberá estar documentada; vulnere la conducción de los expedientes judiciales o de los procedimientos administrativos seguidos en forma de juicio, en tanto no hayan quedado firmes, aquella que se encuentre contenida dentro de las investigaciones de hechos que la Ley señale como delitos y se tramiten ante el Ministerio Público; aquella cuyo daño que pueda producirse con la publicación de la información sea mayor que el interés público de conocer la información de referencia, siempre que esté directamente relacionado con procesos o procedimientos administrativos o judiciales que no hayan quedado firmes  y las que por disposición expresa de una ley tengan tal carácter, siempre que sean acordes con las bases, principios y disposiciones establecidos en esta Ley y no la contravengan; así como las previstas en tratados internacionales, y como </w:t>
      </w:r>
      <w:r w:rsidRPr="002E7D94">
        <w:rPr>
          <w:rFonts w:ascii="Palatino Linotype" w:eastAsia="Palatino Linotype" w:hAnsi="Palatino Linotype" w:cs="Palatino Linotype"/>
          <w:b/>
          <w:sz w:val="22"/>
          <w:szCs w:val="22"/>
        </w:rPr>
        <w:t>información confidencial</w:t>
      </w:r>
      <w:r w:rsidRPr="002E7D94">
        <w:rPr>
          <w:rFonts w:ascii="Palatino Linotype" w:eastAsia="Palatino Linotype" w:hAnsi="Palatino Linotype" w:cs="Palatino Linotype"/>
          <w:sz w:val="22"/>
          <w:szCs w:val="22"/>
        </w:rPr>
        <w:t xml:space="preserve">, la relacionada con los secretos bancario, fiduciario, industrial, comercial, fiscal, bursátil y postal, cuya titularidad corresponda a particulares, sujetos de derecho internacional o sujetos obligados cuando no involucren el ejercicio de recursos públicos, así como la información privada contenida en documentos públicos o privados que refiera a la vida privada y/o los datos personales, que no son de acceso público. </w:t>
      </w:r>
    </w:p>
    <w:p w14:paraId="6B2B30E9" w14:textId="77777777" w:rsidR="00AE2083" w:rsidRPr="002E7D94" w:rsidRDefault="00F63ED3">
      <w:pPr>
        <w:spacing w:before="240" w:after="240" w:line="360" w:lineRule="auto"/>
        <w:ind w:right="139"/>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lastRenderedPageBreak/>
        <w:t>En relación con las implicaciones anteriores, cabe considerar que los titulares de las áreas son los responsables de clasificar la información mediante el Comité de Transparencia por ser la autoridad máxima al interior de los Sujetos Obligados, al ser este un Cuerpo Colegiado que se integra para resolver sobre la información que debe clasificarse, así como para atender y resolver los requerimientos de las Unidades de Transparencia y del Instituto.</w:t>
      </w:r>
    </w:p>
    <w:p w14:paraId="730042DE" w14:textId="77777777" w:rsidR="00AE2083" w:rsidRPr="002E7D94" w:rsidRDefault="00F63ED3" w:rsidP="0010120F">
      <w:pPr>
        <w:spacing w:before="240" w:after="240" w:line="360" w:lineRule="auto"/>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sz w:val="22"/>
          <w:szCs w:val="22"/>
        </w:rPr>
        <w:t xml:space="preserve">En lo que concierne a la información clasificada como reservada, para que el acceso a la información pública pueda ser restringido, se deben actualizar los supuestos establecidos en el artículo 113 de la Ley General de Transparencia </w:t>
      </w:r>
      <w:r w:rsidR="00FC4D32" w:rsidRPr="002E7D94">
        <w:rPr>
          <w:rFonts w:ascii="Palatino Linotype" w:eastAsia="Palatino Linotype" w:hAnsi="Palatino Linotype" w:cs="Palatino Linotype"/>
          <w:sz w:val="22"/>
          <w:szCs w:val="22"/>
        </w:rPr>
        <w:t xml:space="preserve">y </w:t>
      </w:r>
      <w:r w:rsidRPr="002E7D94">
        <w:rPr>
          <w:rFonts w:ascii="Palatino Linotype" w:eastAsia="Palatino Linotype" w:hAnsi="Palatino Linotype" w:cs="Palatino Linotype"/>
          <w:sz w:val="22"/>
          <w:szCs w:val="22"/>
        </w:rPr>
        <w:t xml:space="preserve">Acceso a la Información Pública, vigente a la fecha de la solicitud y el artículo 140 de la Ley de Transparencia y Acceso a la Información Pública del Estado de México y </w:t>
      </w:r>
      <w:r w:rsidR="0010120F" w:rsidRPr="002E7D94">
        <w:rPr>
          <w:rFonts w:ascii="Palatino Linotype" w:eastAsia="Palatino Linotype" w:hAnsi="Palatino Linotype" w:cs="Palatino Linotype"/>
          <w:sz w:val="22"/>
          <w:szCs w:val="22"/>
        </w:rPr>
        <w:t>Municipios.</w:t>
      </w:r>
    </w:p>
    <w:p w14:paraId="6C1231F6" w14:textId="77777777" w:rsidR="00AE2083" w:rsidRPr="002E7D94" w:rsidRDefault="00F63ED3">
      <w:pPr>
        <w:spacing w:before="240" w:after="240"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 xml:space="preserve">Es así que, si bien es cierto el derecho de acceso a la información pública se satisface en aquellos casos en que se entregue el soporte documental en que conste la información requerida, también lo es que el derecho de acceso a la información pública puede ser restringido cuando se trate de información clasificada como </w:t>
      </w:r>
      <w:r w:rsidRPr="002E7D94">
        <w:rPr>
          <w:rFonts w:ascii="Palatino Linotype" w:eastAsia="Palatino Linotype" w:hAnsi="Palatino Linotype" w:cs="Palatino Linotype"/>
          <w:b/>
          <w:sz w:val="22"/>
          <w:szCs w:val="22"/>
        </w:rPr>
        <w:t>Reservada</w:t>
      </w:r>
      <w:r w:rsidRPr="002E7D94">
        <w:rPr>
          <w:rFonts w:ascii="Palatino Linotype" w:eastAsia="Palatino Linotype" w:hAnsi="Palatino Linotype" w:cs="Palatino Linotype"/>
          <w:sz w:val="22"/>
          <w:szCs w:val="22"/>
        </w:rPr>
        <w:t xml:space="preserve">, delimitando una serie de hipótesis de hecho en las cuales descansa la posibilidad de reserva de información, por lo que, dentro la información que generen, posean o administren los Sujetos Obligados, se considerará reservada cuando su divulgación pueda causar un daño en términos de lo establecido en la Ley, de manera enunciativa más no limitativa, cuando comprometa la seguridad pública; ponga en riesgo la vida, la seguridad o la salud de una persona física; aquella que obstruya o pueda causar un serio perjuicio a las actividades de fiscalización, verificación, inspección, comprobación y auditoría sobre el cumplimiento de las Leyes; vulnere la conducción de los expedientes judiciales; que el daño que pueda producirse con la publicación de la información sea mayor que el interés público de conocer la información de referencia, siempre que esté directamente relacionado con procesos o procedimientos </w:t>
      </w:r>
      <w:r w:rsidRPr="002E7D94">
        <w:rPr>
          <w:rFonts w:ascii="Palatino Linotype" w:eastAsia="Palatino Linotype" w:hAnsi="Palatino Linotype" w:cs="Palatino Linotype"/>
          <w:sz w:val="22"/>
          <w:szCs w:val="22"/>
        </w:rPr>
        <w:lastRenderedPageBreak/>
        <w:t>administrativos o judiciales que no hayan quedado firmes; o que por disposición expresa de una ley tengan tal carácter.</w:t>
      </w:r>
    </w:p>
    <w:p w14:paraId="11139930" w14:textId="77777777" w:rsidR="00AE2083" w:rsidRPr="002E7D94" w:rsidRDefault="00F63ED3">
      <w:pPr>
        <w:spacing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No obstante, en términos generales, las Leyes de la materia disponen que, para proceder a realizar la reserva de la información, no basta que se refiera a alguno de los supuestos que enmarque, en este caso, el artículo 140 de la Ley de Transparencia y Acceso a la Información Pública del Estado de México y Municipios, sino que, es necesario que la autoridad demuestre que la divulgación de la información, puede causar un daño al interés público protegido.</w:t>
      </w:r>
    </w:p>
    <w:p w14:paraId="37E892CA" w14:textId="77777777" w:rsidR="00AE2083" w:rsidRPr="002E7D94" w:rsidRDefault="00AE2083">
      <w:pPr>
        <w:spacing w:line="360" w:lineRule="auto"/>
        <w:jc w:val="both"/>
        <w:rPr>
          <w:rFonts w:ascii="Palatino Linotype" w:eastAsia="Palatino Linotype" w:hAnsi="Palatino Linotype" w:cs="Palatino Linotype"/>
          <w:sz w:val="22"/>
          <w:szCs w:val="22"/>
        </w:rPr>
      </w:pPr>
    </w:p>
    <w:p w14:paraId="70542CBE" w14:textId="77777777" w:rsidR="00AE2083" w:rsidRPr="002E7D94" w:rsidRDefault="00F63ED3">
      <w:pPr>
        <w:spacing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 xml:space="preserve">Dicha valoración, debe realizarse caso por caso, a través de lo que se conoce como la llamada </w:t>
      </w:r>
      <w:r w:rsidRPr="002E7D94">
        <w:rPr>
          <w:rFonts w:ascii="Palatino Linotype" w:eastAsia="Palatino Linotype" w:hAnsi="Palatino Linotype" w:cs="Palatino Linotype"/>
          <w:i/>
          <w:sz w:val="22"/>
          <w:szCs w:val="22"/>
        </w:rPr>
        <w:t>“prueba de daño”</w:t>
      </w:r>
      <w:r w:rsidRPr="002E7D94">
        <w:rPr>
          <w:rFonts w:ascii="Palatino Linotype" w:eastAsia="Palatino Linotype" w:hAnsi="Palatino Linotype" w:cs="Palatino Linotype"/>
          <w:sz w:val="22"/>
          <w:szCs w:val="22"/>
        </w:rPr>
        <w:t xml:space="preserve">, que consiste en exponer los argumentos y razones, basados en elementos objetivos o verificables, a partir de los cuales se derive que la divulgación de información, en particular, puede afectar, poner en riesgo o dañar el interés protegido, ello conforme a los artículos 129 y 134, último párrafo de la Ley de Transparencia y Acceso a la Información Pública del Estado de México y Municipios, en relación con los diversos 104 y 108, último párrafo, de la Ley General de Transparencia y Acceso a la Información Pública; asimismo, esta no debe basarse en meras especulaciones o suposiciones, sino en elementos objetivos que deban evaluar que existe un riego actual e inminente. </w:t>
      </w:r>
    </w:p>
    <w:p w14:paraId="68455B4C" w14:textId="77777777" w:rsidR="00AE2083" w:rsidRPr="002E7D94" w:rsidRDefault="00AE2083">
      <w:pPr>
        <w:spacing w:line="360" w:lineRule="auto"/>
        <w:jc w:val="both"/>
        <w:rPr>
          <w:rFonts w:ascii="Palatino Linotype" w:eastAsia="Palatino Linotype" w:hAnsi="Palatino Linotype" w:cs="Palatino Linotype"/>
          <w:sz w:val="22"/>
          <w:szCs w:val="22"/>
        </w:rPr>
      </w:pPr>
    </w:p>
    <w:p w14:paraId="47CC7090" w14:textId="77777777" w:rsidR="00AE2083" w:rsidRPr="002E7D94" w:rsidRDefault="00F63ED3">
      <w:pPr>
        <w:spacing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Es importante referir, lo que al respecto establece el Lineamiento Segundo, fracción XIII, de los Lineamientos Generales en Materia de Clasificación y Desclasificación de la Información, así como para la elaboración de Versiones Públicas, que a la letra dice:</w:t>
      </w:r>
    </w:p>
    <w:p w14:paraId="09072B1E" w14:textId="77777777" w:rsidR="00AE2083" w:rsidRPr="002E7D94" w:rsidRDefault="00AE2083">
      <w:pPr>
        <w:spacing w:line="360" w:lineRule="auto"/>
        <w:jc w:val="both"/>
        <w:rPr>
          <w:rFonts w:ascii="Palatino Linotype" w:eastAsia="Palatino Linotype" w:hAnsi="Palatino Linotype" w:cs="Palatino Linotype"/>
          <w:sz w:val="22"/>
          <w:szCs w:val="22"/>
        </w:rPr>
      </w:pPr>
    </w:p>
    <w:p w14:paraId="730DD977" w14:textId="77777777" w:rsidR="00AE2083" w:rsidRPr="002E7D94" w:rsidRDefault="00F63ED3">
      <w:pPr>
        <w:ind w:left="567" w:right="902"/>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b/>
          <w:i/>
          <w:sz w:val="22"/>
          <w:szCs w:val="22"/>
        </w:rPr>
        <w:t>“Segundo.</w:t>
      </w:r>
      <w:r w:rsidRPr="002E7D94">
        <w:rPr>
          <w:rFonts w:ascii="Palatino Linotype" w:eastAsia="Palatino Linotype" w:hAnsi="Palatino Linotype" w:cs="Palatino Linotype"/>
          <w:i/>
          <w:sz w:val="22"/>
          <w:szCs w:val="22"/>
        </w:rPr>
        <w:t xml:space="preserve"> Para efectos de los presentes Lineamientos Generales, se entenderá por: </w:t>
      </w:r>
    </w:p>
    <w:p w14:paraId="755C9394" w14:textId="77777777" w:rsidR="00AE2083" w:rsidRPr="002E7D94" w:rsidRDefault="00F63ED3">
      <w:pPr>
        <w:ind w:left="567" w:right="902"/>
        <w:jc w:val="both"/>
        <w:rPr>
          <w:rFonts w:ascii="Palatino Linotype" w:eastAsia="Palatino Linotype" w:hAnsi="Palatino Linotype" w:cs="Palatino Linotype"/>
          <w:b/>
          <w:i/>
          <w:sz w:val="22"/>
          <w:szCs w:val="22"/>
        </w:rPr>
      </w:pPr>
      <w:r w:rsidRPr="002E7D94">
        <w:rPr>
          <w:rFonts w:ascii="Palatino Linotype" w:eastAsia="Palatino Linotype" w:hAnsi="Palatino Linotype" w:cs="Palatino Linotype"/>
          <w:b/>
          <w:i/>
          <w:sz w:val="22"/>
          <w:szCs w:val="22"/>
        </w:rPr>
        <w:t>...</w:t>
      </w:r>
    </w:p>
    <w:p w14:paraId="7B967D96" w14:textId="77777777" w:rsidR="00AE2083" w:rsidRPr="002E7D94" w:rsidRDefault="00F63ED3">
      <w:pPr>
        <w:ind w:left="567" w:right="902"/>
        <w:jc w:val="both"/>
        <w:rPr>
          <w:rFonts w:ascii="Palatino Linotype" w:eastAsia="Palatino Linotype" w:hAnsi="Palatino Linotype" w:cs="Palatino Linotype"/>
          <w:b/>
          <w:i/>
          <w:sz w:val="22"/>
          <w:szCs w:val="22"/>
        </w:rPr>
      </w:pPr>
      <w:r w:rsidRPr="002E7D94">
        <w:rPr>
          <w:rFonts w:ascii="Palatino Linotype" w:eastAsia="Palatino Linotype" w:hAnsi="Palatino Linotype" w:cs="Palatino Linotype"/>
          <w:b/>
          <w:i/>
          <w:sz w:val="22"/>
          <w:szCs w:val="22"/>
        </w:rPr>
        <w:t>XIII.    Prueba de daño</w:t>
      </w:r>
      <w:r w:rsidRPr="002E7D94">
        <w:rPr>
          <w:rFonts w:ascii="Palatino Linotype" w:eastAsia="Palatino Linotype" w:hAnsi="Palatino Linotype" w:cs="Palatino Linotype"/>
          <w:i/>
          <w:sz w:val="22"/>
          <w:szCs w:val="22"/>
        </w:rPr>
        <w:t xml:space="preserve">: La argumentación fundada y motivada que deben realizar los sujetos obligados tendiente a acreditar que la divulgación de información lesiona </w:t>
      </w:r>
      <w:r w:rsidRPr="002E7D94">
        <w:rPr>
          <w:rFonts w:ascii="Palatino Linotype" w:eastAsia="Palatino Linotype" w:hAnsi="Palatino Linotype" w:cs="Palatino Linotype"/>
          <w:i/>
          <w:sz w:val="22"/>
          <w:szCs w:val="22"/>
        </w:rPr>
        <w:lastRenderedPageBreak/>
        <w:t>el interés jurídicamente protegido por la normativa aplicable y que el daño que puede producirse con la publicidad de la información es mayor que el interés de conocerla;</w:t>
      </w:r>
      <w:r w:rsidRPr="002E7D94">
        <w:rPr>
          <w:rFonts w:ascii="Palatino Linotype" w:eastAsia="Palatino Linotype" w:hAnsi="Palatino Linotype" w:cs="Palatino Linotype"/>
          <w:b/>
          <w:i/>
          <w:sz w:val="22"/>
          <w:szCs w:val="22"/>
        </w:rPr>
        <w:t>”</w:t>
      </w:r>
    </w:p>
    <w:p w14:paraId="575CE830" w14:textId="77777777" w:rsidR="00AE2083" w:rsidRPr="002E7D94" w:rsidRDefault="00AE2083">
      <w:pPr>
        <w:spacing w:line="360" w:lineRule="auto"/>
        <w:jc w:val="both"/>
        <w:rPr>
          <w:rFonts w:ascii="Palatino Linotype" w:eastAsia="Palatino Linotype" w:hAnsi="Palatino Linotype" w:cs="Palatino Linotype"/>
          <w:sz w:val="22"/>
          <w:szCs w:val="22"/>
        </w:rPr>
      </w:pPr>
    </w:p>
    <w:p w14:paraId="22446DA7" w14:textId="77777777" w:rsidR="00AE2083" w:rsidRPr="002E7D94" w:rsidRDefault="00F63ED3">
      <w:pPr>
        <w:spacing w:before="240" w:after="240"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y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362F6EF1" w14:textId="77777777" w:rsidR="00AE2083" w:rsidRPr="002E7D94" w:rsidRDefault="00F63ED3">
      <w:pPr>
        <w:spacing w:before="240" w:after="240"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De este modo, conforme al artículo 132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4BFF422" w14:textId="77777777" w:rsidR="00AE2083" w:rsidRPr="002E7D94" w:rsidRDefault="00F63ED3">
      <w:pPr>
        <w:numPr>
          <w:ilvl w:val="0"/>
          <w:numId w:val="4"/>
        </w:numPr>
        <w:spacing w:line="360" w:lineRule="auto"/>
        <w:ind w:left="851"/>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Se reciba una solicitud de acceso a la información.</w:t>
      </w:r>
    </w:p>
    <w:p w14:paraId="63059B5C" w14:textId="77777777" w:rsidR="00AE2083" w:rsidRPr="002E7D94" w:rsidRDefault="00F63ED3">
      <w:pPr>
        <w:numPr>
          <w:ilvl w:val="0"/>
          <w:numId w:val="4"/>
        </w:numPr>
        <w:spacing w:line="360" w:lineRule="auto"/>
        <w:ind w:left="851"/>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Se determine mediante resolución de autoridad competente.</w:t>
      </w:r>
    </w:p>
    <w:p w14:paraId="6925FE8C" w14:textId="77777777" w:rsidR="00AE2083" w:rsidRPr="002E7D94" w:rsidRDefault="00F63ED3">
      <w:pPr>
        <w:numPr>
          <w:ilvl w:val="0"/>
          <w:numId w:val="4"/>
        </w:numPr>
        <w:spacing w:line="360" w:lineRule="auto"/>
        <w:ind w:left="851"/>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Se generen versiones públicas para dar cumplimiento a las obligaciones de transparencia previstas en la Ley.</w:t>
      </w:r>
    </w:p>
    <w:p w14:paraId="71A330CD" w14:textId="77777777" w:rsidR="00AE2083" w:rsidRPr="002E7D94" w:rsidRDefault="00AE2083">
      <w:pPr>
        <w:spacing w:line="360" w:lineRule="auto"/>
        <w:jc w:val="both"/>
        <w:rPr>
          <w:rFonts w:ascii="Palatino Linotype" w:eastAsia="Palatino Linotype" w:hAnsi="Palatino Linotype" w:cs="Palatino Linotype"/>
          <w:sz w:val="22"/>
          <w:szCs w:val="22"/>
        </w:rPr>
      </w:pPr>
    </w:p>
    <w:p w14:paraId="1C94108D" w14:textId="77777777" w:rsidR="00AE2083" w:rsidRPr="002E7D94" w:rsidRDefault="00F63ED3">
      <w:pPr>
        <w:spacing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lastRenderedPageBreak/>
        <w:t>Situación que se robustece con el artículo 141 de la misma Ley, que señala que las causales de reserva previstas, se deberán fundar y motivar, a través de la aplicación de la prueba de daño.</w:t>
      </w:r>
    </w:p>
    <w:p w14:paraId="774BB03C" w14:textId="77777777" w:rsidR="00AE2083" w:rsidRPr="002E7D94" w:rsidRDefault="00AE2083">
      <w:pPr>
        <w:spacing w:line="360" w:lineRule="auto"/>
        <w:jc w:val="both"/>
        <w:rPr>
          <w:rFonts w:ascii="Palatino Linotype" w:eastAsia="Palatino Linotype" w:hAnsi="Palatino Linotype" w:cs="Palatino Linotype"/>
          <w:sz w:val="22"/>
          <w:szCs w:val="22"/>
        </w:rPr>
      </w:pPr>
    </w:p>
    <w:p w14:paraId="2DB4E4C9" w14:textId="77777777" w:rsidR="00AE2083" w:rsidRPr="002E7D94" w:rsidRDefault="00F63ED3">
      <w:pPr>
        <w:spacing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a saber:</w:t>
      </w:r>
    </w:p>
    <w:p w14:paraId="0FB9B795" w14:textId="77777777" w:rsidR="00AE2083" w:rsidRPr="002E7D94" w:rsidRDefault="00F63ED3">
      <w:pPr>
        <w:spacing w:before="240" w:after="240"/>
        <w:ind w:left="567" w:right="900"/>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b/>
          <w:i/>
          <w:sz w:val="22"/>
          <w:szCs w:val="22"/>
        </w:rPr>
        <w:t>“Artículo 129</w:t>
      </w:r>
      <w:r w:rsidRPr="002E7D94">
        <w:rPr>
          <w:rFonts w:ascii="Palatino Linotype" w:eastAsia="Palatino Linotype" w:hAnsi="Palatino Linotype" w:cs="Palatino Linotype"/>
          <w:i/>
          <w:sz w:val="22"/>
          <w:szCs w:val="22"/>
        </w:rPr>
        <w:t>. En la aplicación de la prueba de daño, el sujeto obligado deberá precisar las razones objetivas por las que la apertura de la información generaría una afectación, justificando que:</w:t>
      </w:r>
    </w:p>
    <w:p w14:paraId="62C48A52" w14:textId="77777777" w:rsidR="00AE2083" w:rsidRPr="002E7D94" w:rsidRDefault="00F63ED3">
      <w:pPr>
        <w:spacing w:before="240" w:after="240"/>
        <w:ind w:left="567" w:right="900"/>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b/>
          <w:i/>
          <w:sz w:val="22"/>
          <w:szCs w:val="22"/>
        </w:rPr>
        <w:t>I</w:t>
      </w:r>
      <w:r w:rsidRPr="002E7D94">
        <w:rPr>
          <w:rFonts w:ascii="Palatino Linotype" w:eastAsia="Palatino Linotype" w:hAnsi="Palatino Linotype" w:cs="Palatino Linotype"/>
          <w:i/>
          <w:sz w:val="22"/>
          <w:szCs w:val="22"/>
        </w:rPr>
        <w:t xml:space="preserve">. La divulgación de la información representa un riesgo real, demostrable e identificable del perjuicio significativo al interés público o a la seguridad pública; </w:t>
      </w:r>
    </w:p>
    <w:p w14:paraId="28FB58A9" w14:textId="77777777" w:rsidR="00AE2083" w:rsidRPr="002E7D94" w:rsidRDefault="00F63ED3">
      <w:pPr>
        <w:spacing w:before="240" w:after="240"/>
        <w:ind w:left="567" w:right="900"/>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b/>
          <w:i/>
          <w:sz w:val="22"/>
          <w:szCs w:val="22"/>
        </w:rPr>
        <w:t>II.</w:t>
      </w:r>
      <w:r w:rsidRPr="002E7D94">
        <w:rPr>
          <w:rFonts w:ascii="Palatino Linotype" w:eastAsia="Palatino Linotype" w:hAnsi="Palatino Linotype" w:cs="Palatino Linotype"/>
          <w:i/>
          <w:sz w:val="22"/>
          <w:szCs w:val="22"/>
        </w:rPr>
        <w:t xml:space="preserve"> El riesgo de perjuicio que supondría la divulgación supera el interés público general de que se difunda; y</w:t>
      </w:r>
    </w:p>
    <w:p w14:paraId="4D852250" w14:textId="77777777" w:rsidR="00AE2083" w:rsidRPr="002E7D94" w:rsidRDefault="00F63ED3">
      <w:pPr>
        <w:spacing w:before="240" w:after="240"/>
        <w:ind w:left="567" w:right="900"/>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b/>
          <w:i/>
          <w:sz w:val="22"/>
          <w:szCs w:val="22"/>
        </w:rPr>
        <w:t>III.</w:t>
      </w:r>
      <w:r w:rsidRPr="002E7D94">
        <w:rPr>
          <w:rFonts w:ascii="Palatino Linotype" w:eastAsia="Palatino Linotype" w:hAnsi="Palatino Linotype" w:cs="Palatino Linotype"/>
          <w:i/>
          <w:sz w:val="22"/>
          <w:szCs w:val="22"/>
        </w:rPr>
        <w:t xml:space="preserve"> La limitación se adecua al principio de proporcionalidad y representa el medio menos restrictivo disponible representa el medio menos restrictivo disponible para evitar el perjuicio.”</w:t>
      </w:r>
    </w:p>
    <w:p w14:paraId="07822584" w14:textId="77777777" w:rsidR="00AE2083" w:rsidRPr="002E7D94" w:rsidRDefault="00F63ED3">
      <w:pPr>
        <w:spacing w:before="240" w:after="240"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 xml:space="preserve">Al respecto, debe entenderse que la primera fracción consiste en verificar que existe un riesgo de publicar determinada información para el interés público o la seguridad pública, no implica, por el contrario, argumentar individualmente un riesgo real, demostrable e identificable, pues se entraría en una dinámica usar argumentos repetitivos en categorías de definición vaga. Por lo que el segundo paso de la prueba de daño es que, una vez que se acreditó el riesgo de hacer pública la información, es necesario ponderarlo con el interés público general de que se difunda esa información, demostrando que el primero -el riesgo al divulgarse- supera al segundo -el interés de que se conozca-. Mientras que la tercera fracción es una guía de cómo realizar dicha ponderación a través del principio de </w:t>
      </w:r>
      <w:r w:rsidRPr="002E7D94">
        <w:rPr>
          <w:rFonts w:ascii="Palatino Linotype" w:eastAsia="Palatino Linotype" w:hAnsi="Palatino Linotype" w:cs="Palatino Linotype"/>
          <w:sz w:val="22"/>
          <w:szCs w:val="22"/>
        </w:rPr>
        <w:lastRenderedPageBreak/>
        <w:t>proporcionalidad. Es decir, se debe determinar, en resumen, la idoneidad, necesidad y proporcionalidad de la reserva de la información frente al interés público de divulgarla. Además, se deben explorar las alternativas a través de las cuales se puede conseguir un menor daño a los intereses en pugna, o verificar que el medio que se eligió para reservar la información es el más benigno.</w:t>
      </w:r>
    </w:p>
    <w:p w14:paraId="26E5F340" w14:textId="77777777" w:rsidR="00AE2083" w:rsidRPr="002E7D94" w:rsidRDefault="00F63ED3">
      <w:pPr>
        <w:spacing w:before="240" w:after="240"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En el mismo tenor el Lineamiento Trigésimo Tercero, de los Lineamientos Generales en Materia de Clasificación y Desclasificación de la Información,</w:t>
      </w:r>
      <w:r w:rsidR="00C378DF" w:rsidRPr="002E7D94">
        <w:rPr>
          <w:rFonts w:ascii="Palatino Linotype" w:eastAsia="Palatino Linotype" w:hAnsi="Palatino Linotype" w:cs="Palatino Linotype"/>
          <w:sz w:val="22"/>
          <w:szCs w:val="22"/>
        </w:rPr>
        <w:t xml:space="preserve"> vigentes a la fecha de la solicitud,</w:t>
      </w:r>
      <w:r w:rsidRPr="002E7D94">
        <w:rPr>
          <w:rFonts w:ascii="Palatino Linotype" w:eastAsia="Palatino Linotype" w:hAnsi="Palatino Linotype" w:cs="Palatino Linotype"/>
          <w:sz w:val="22"/>
          <w:szCs w:val="22"/>
        </w:rPr>
        <w:t xml:space="preserve"> dispone lo siguiente:</w:t>
      </w:r>
    </w:p>
    <w:p w14:paraId="5EB19DDD" w14:textId="77777777" w:rsidR="00AE2083" w:rsidRPr="002E7D94" w:rsidRDefault="00F63ED3">
      <w:pPr>
        <w:spacing w:before="120" w:after="120"/>
        <w:ind w:left="567" w:right="758"/>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i/>
          <w:sz w:val="22"/>
          <w:szCs w:val="22"/>
        </w:rPr>
        <w:t>“</w:t>
      </w:r>
      <w:r w:rsidRPr="002E7D94">
        <w:rPr>
          <w:rFonts w:ascii="Palatino Linotype" w:eastAsia="Palatino Linotype" w:hAnsi="Palatino Linotype" w:cs="Palatino Linotype"/>
          <w:b/>
          <w:i/>
          <w:sz w:val="22"/>
          <w:szCs w:val="22"/>
        </w:rPr>
        <w:t>Trigésimo tercero</w:t>
      </w:r>
      <w:r w:rsidRPr="002E7D94">
        <w:rPr>
          <w:rFonts w:ascii="Palatino Linotype" w:eastAsia="Palatino Linotype" w:hAnsi="Palatino Linotype" w:cs="Palatino Linotype"/>
          <w:i/>
          <w:sz w:val="22"/>
          <w:szCs w:val="22"/>
        </w:rPr>
        <w:t>. Para la aplicación de la prueba de daño a la que hace referencia el artículo 104 de la Ley General, los sujetos obligados atenderán lo siguiente:</w:t>
      </w:r>
    </w:p>
    <w:p w14:paraId="5F02094A" w14:textId="77777777" w:rsidR="00AE2083" w:rsidRPr="002E7D94" w:rsidRDefault="00F63ED3">
      <w:pPr>
        <w:tabs>
          <w:tab w:val="left" w:pos="1701"/>
        </w:tabs>
        <w:spacing w:before="120" w:after="120"/>
        <w:ind w:left="567" w:right="760"/>
        <w:jc w:val="both"/>
        <w:rPr>
          <w:rFonts w:ascii="Palatino Linotype" w:eastAsia="Palatino Linotype" w:hAnsi="Palatino Linotype" w:cs="Palatino Linotype"/>
          <w:b/>
          <w:i/>
          <w:sz w:val="22"/>
          <w:szCs w:val="22"/>
        </w:rPr>
      </w:pPr>
      <w:r w:rsidRPr="002E7D94">
        <w:rPr>
          <w:rFonts w:ascii="Palatino Linotype" w:eastAsia="Palatino Linotype" w:hAnsi="Palatino Linotype" w:cs="Palatino Linotype"/>
          <w:b/>
          <w:i/>
          <w:sz w:val="22"/>
          <w:szCs w:val="22"/>
        </w:rPr>
        <w:t xml:space="preserve">I. </w:t>
      </w:r>
      <w:r w:rsidRPr="002E7D94">
        <w:rPr>
          <w:rFonts w:ascii="Palatino Linotype" w:eastAsia="Palatino Linotype" w:hAnsi="Palatino Linotype" w:cs="Palatino Linotype"/>
          <w:i/>
          <w:sz w:val="22"/>
          <w:szCs w:val="22"/>
        </w:rPr>
        <w:t>Se deberá fundar la clasificación, al citar la fracción y la hipótesis de la causal aplicable del artículo 113 de la Ley General, vinculándola con el Lineamiento específico del presente ordenamiento y cuando corresponda, el supuesto normativo que expresamente le otorga el carácter de información reservada;</w:t>
      </w:r>
    </w:p>
    <w:p w14:paraId="6C2B4C33" w14:textId="77777777" w:rsidR="00AE2083" w:rsidRPr="002E7D94" w:rsidRDefault="00F63ED3">
      <w:pPr>
        <w:tabs>
          <w:tab w:val="left" w:pos="1701"/>
        </w:tabs>
        <w:spacing w:before="120" w:after="120"/>
        <w:ind w:left="567" w:right="760"/>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b/>
          <w:i/>
          <w:sz w:val="22"/>
          <w:szCs w:val="22"/>
        </w:rPr>
        <w:t>II</w:t>
      </w:r>
      <w:r w:rsidRPr="002E7D94">
        <w:rPr>
          <w:rFonts w:ascii="Palatino Linotype" w:eastAsia="Palatino Linotype" w:hAnsi="Palatino Linotype" w:cs="Palatino Linotype"/>
          <w:i/>
          <w:sz w:val="22"/>
          <w:szCs w:val="22"/>
        </w:rPr>
        <w:t>. Se deberá motivar la clasificación, señalando las circunstancias de modo, tiempo y lugar que acrediten el vínculo entre la difusión de la información y la afectación al interés público o a la seguridad nacional;</w:t>
      </w:r>
    </w:p>
    <w:p w14:paraId="54172515" w14:textId="77777777" w:rsidR="00AE2083" w:rsidRPr="002E7D94" w:rsidRDefault="00F63ED3">
      <w:pPr>
        <w:tabs>
          <w:tab w:val="left" w:pos="1701"/>
        </w:tabs>
        <w:spacing w:before="120" w:after="120"/>
        <w:ind w:left="567" w:right="760"/>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b/>
          <w:i/>
          <w:sz w:val="22"/>
          <w:szCs w:val="22"/>
        </w:rPr>
        <w:t>III.</w:t>
      </w:r>
      <w:r w:rsidRPr="002E7D94">
        <w:rPr>
          <w:rFonts w:ascii="Palatino Linotype" w:eastAsia="Palatino Linotype" w:hAnsi="Palatino Linotype" w:cs="Palatino Linotype"/>
          <w:i/>
          <w:sz w:val="22"/>
          <w:szCs w:val="22"/>
        </w:rPr>
        <w:t xml:space="preserve"> Se deberán precisar las razones objetivas por las que la apertura de la información generaría un riesgo de perjuicio real, demostrable e identificable al interés jurídico tutelado de que se trate;</w:t>
      </w:r>
    </w:p>
    <w:p w14:paraId="16F6677B" w14:textId="77777777" w:rsidR="00AE2083" w:rsidRPr="002E7D94" w:rsidRDefault="00F63ED3">
      <w:pPr>
        <w:tabs>
          <w:tab w:val="left" w:pos="1701"/>
        </w:tabs>
        <w:spacing w:before="120" w:after="120"/>
        <w:ind w:left="567" w:right="760"/>
        <w:jc w:val="both"/>
        <w:rPr>
          <w:rFonts w:ascii="Palatino Linotype" w:eastAsia="Palatino Linotype" w:hAnsi="Palatino Linotype" w:cs="Palatino Linotype"/>
          <w:b/>
          <w:i/>
          <w:sz w:val="22"/>
          <w:szCs w:val="22"/>
        </w:rPr>
      </w:pPr>
      <w:r w:rsidRPr="002E7D94">
        <w:rPr>
          <w:rFonts w:ascii="Palatino Linotype" w:eastAsia="Palatino Linotype" w:hAnsi="Palatino Linotype" w:cs="Palatino Linotype"/>
          <w:b/>
          <w:i/>
          <w:sz w:val="22"/>
          <w:szCs w:val="22"/>
        </w:rPr>
        <w:t>IV.</w:t>
      </w:r>
      <w:r w:rsidRPr="002E7D94">
        <w:rPr>
          <w:rFonts w:ascii="Palatino Linotype" w:eastAsia="Palatino Linotype" w:hAnsi="Palatino Linotype" w:cs="Palatino Linotype"/>
          <w:i/>
          <w:sz w:val="22"/>
          <w:szCs w:val="22"/>
        </w:rPr>
        <w:t xml:space="preserve"> Mediante una ponderación entre la medida restrictiva y el derecho de acceso a la información, deberán justificar y probar objetivamente mediante los elementos señalados en la fracción anterior, que la publicidad de la información solicitada generaría un riesgo de perjuicio que supera al interés público de que la información se difunda;</w:t>
      </w:r>
      <w:r w:rsidRPr="002E7D94">
        <w:rPr>
          <w:rFonts w:ascii="Palatino Linotype" w:eastAsia="Palatino Linotype" w:hAnsi="Palatino Linotype" w:cs="Palatino Linotype"/>
          <w:b/>
          <w:i/>
          <w:sz w:val="22"/>
          <w:szCs w:val="22"/>
        </w:rPr>
        <w:t xml:space="preserve"> </w:t>
      </w:r>
    </w:p>
    <w:p w14:paraId="05EC8CCA" w14:textId="77777777" w:rsidR="00AE2083" w:rsidRPr="002E7D94" w:rsidRDefault="00F63ED3">
      <w:pPr>
        <w:tabs>
          <w:tab w:val="left" w:pos="1701"/>
        </w:tabs>
        <w:spacing w:before="120" w:after="120"/>
        <w:ind w:left="567" w:right="760"/>
        <w:jc w:val="both"/>
        <w:rPr>
          <w:rFonts w:ascii="Palatino Linotype" w:eastAsia="Palatino Linotype" w:hAnsi="Palatino Linotype" w:cs="Palatino Linotype"/>
          <w:b/>
          <w:i/>
          <w:sz w:val="22"/>
          <w:szCs w:val="22"/>
        </w:rPr>
      </w:pPr>
      <w:r w:rsidRPr="002E7D94">
        <w:rPr>
          <w:rFonts w:ascii="Palatino Linotype" w:eastAsia="Palatino Linotype" w:hAnsi="Palatino Linotype" w:cs="Palatino Linotype"/>
          <w:b/>
          <w:i/>
          <w:sz w:val="22"/>
          <w:szCs w:val="22"/>
        </w:rPr>
        <w:t>V</w:t>
      </w:r>
      <w:r w:rsidRPr="002E7D94">
        <w:rPr>
          <w:rFonts w:ascii="Palatino Linotype" w:eastAsia="Palatino Linotype" w:hAnsi="Palatino Linotype" w:cs="Palatino Linotype"/>
          <w:i/>
          <w:sz w:val="22"/>
          <w:szCs w:val="22"/>
        </w:rPr>
        <w:t>. Deberán elegir y justificar la opción de excepción al derecho de acceso a la información que menos lo restrinja y que sea adecuada y proporcional para evitar el perjuicio al interés público, evitando siempre que sea posible la reserva absoluta de documentos o expedientes; y</w:t>
      </w:r>
      <w:r w:rsidRPr="002E7D94">
        <w:rPr>
          <w:rFonts w:ascii="Palatino Linotype" w:eastAsia="Palatino Linotype" w:hAnsi="Palatino Linotype" w:cs="Palatino Linotype"/>
          <w:b/>
          <w:i/>
          <w:sz w:val="22"/>
          <w:szCs w:val="22"/>
        </w:rPr>
        <w:t xml:space="preserve"> </w:t>
      </w:r>
    </w:p>
    <w:p w14:paraId="5EE1D036" w14:textId="77777777" w:rsidR="00AE2083" w:rsidRPr="002E7D94" w:rsidRDefault="00F63ED3">
      <w:pPr>
        <w:tabs>
          <w:tab w:val="left" w:pos="1701"/>
        </w:tabs>
        <w:spacing w:before="120" w:after="120"/>
        <w:ind w:left="567" w:right="760"/>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b/>
          <w:i/>
          <w:sz w:val="22"/>
          <w:szCs w:val="22"/>
        </w:rPr>
        <w:t>VI</w:t>
      </w:r>
      <w:r w:rsidRPr="002E7D94">
        <w:rPr>
          <w:rFonts w:ascii="Palatino Linotype" w:eastAsia="Palatino Linotype" w:hAnsi="Palatino Linotype" w:cs="Palatino Linotype"/>
          <w:i/>
          <w:sz w:val="22"/>
          <w:szCs w:val="22"/>
        </w:rPr>
        <w:t xml:space="preserve">. En los casos en que se determine la clasificación total de la información, se deberán especificar en la prueba de daño, con la mayor claridad y precisión posible, los aspectos </w:t>
      </w:r>
      <w:r w:rsidRPr="002E7D94">
        <w:rPr>
          <w:rFonts w:ascii="Palatino Linotype" w:eastAsia="Palatino Linotype" w:hAnsi="Palatino Linotype" w:cs="Palatino Linotype"/>
          <w:i/>
          <w:sz w:val="22"/>
          <w:szCs w:val="22"/>
        </w:rPr>
        <w:lastRenderedPageBreak/>
        <w:t>relevantes de la información clasificada que ayuden a cumplir con el objetivo de brindar certeza al solicitante.”</w:t>
      </w:r>
    </w:p>
    <w:p w14:paraId="17FD959D" w14:textId="77777777" w:rsidR="00AE2083" w:rsidRPr="002E7D94" w:rsidRDefault="00F63ED3">
      <w:pPr>
        <w:spacing w:before="240" w:after="240"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76617462" w14:textId="77777777" w:rsidR="00AE2083" w:rsidRPr="002E7D94" w:rsidRDefault="00F63ED3">
      <w:pPr>
        <w:spacing w:before="240" w:after="240"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Lo anterior, encuentra sustento en la Tesis de la Décima Época, publicada en la Gaceta del Semanario Judicial de la Federación, sección Tribunales Colegiados de Circuito, Libro 5, de fecha abril de 2014, pág. 1523, Registro, 2, 006,299. I.1o.A.E.3 K (10a.), que literalmente señala:</w:t>
      </w:r>
    </w:p>
    <w:p w14:paraId="13BAD754" w14:textId="77777777" w:rsidR="00AE2083" w:rsidRPr="002E7D94" w:rsidRDefault="00F63ED3">
      <w:pPr>
        <w:ind w:left="851" w:right="902"/>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i/>
          <w:sz w:val="22"/>
          <w:szCs w:val="22"/>
        </w:rPr>
        <w:t>“</w:t>
      </w:r>
      <w:r w:rsidRPr="002E7D94">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2E7D94">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2E7D94">
        <w:rPr>
          <w:rFonts w:ascii="Palatino Linotype" w:eastAsia="Palatino Linotype" w:hAnsi="Palatino Linotype" w:cs="Palatino Linotype"/>
          <w:i/>
          <w:sz w:val="22"/>
          <w:szCs w:val="22"/>
        </w:rPr>
        <w:t>officio</w:t>
      </w:r>
      <w:proofErr w:type="spellEnd"/>
      <w:r w:rsidRPr="002E7D94">
        <w:rPr>
          <w:rFonts w:ascii="Palatino Linotype" w:eastAsia="Palatino Linotype" w:hAnsi="Palatino Linotype" w:cs="Palatino Linotype"/>
          <w:i/>
          <w:sz w:val="22"/>
          <w:szCs w:val="22"/>
        </w:rPr>
        <w:t>, con el propósito de obtener una versión que sea pública para la parte interesada.”</w:t>
      </w:r>
    </w:p>
    <w:p w14:paraId="01E37195" w14:textId="77777777" w:rsidR="00AE2083" w:rsidRPr="002E7D94" w:rsidRDefault="00F63ED3">
      <w:pPr>
        <w:spacing w:before="240" w:after="240"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Prueba de daño, que cobra relevancia puesto que sí esta no arroja resultados contundentes sobre un posible peligro, deberá de publicarse o difundirse la información.</w:t>
      </w:r>
    </w:p>
    <w:p w14:paraId="0D892039" w14:textId="77777777" w:rsidR="00AE2083" w:rsidRPr="002E7D94" w:rsidRDefault="00F63ED3">
      <w:pPr>
        <w:spacing w:before="240" w:after="240"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 xml:space="preserve">Asimismo, de conformidad con los artículos 108 de la Ley General de Transparencia y Acceso a la Información Pública, vigente a la fecha de la solicitud y 134 de la Ley de </w:t>
      </w:r>
      <w:r w:rsidRPr="002E7D94">
        <w:rPr>
          <w:rFonts w:ascii="Palatino Linotype" w:eastAsia="Palatino Linotype" w:hAnsi="Palatino Linotype" w:cs="Palatino Linotype"/>
          <w:sz w:val="22"/>
          <w:szCs w:val="22"/>
        </w:rPr>
        <w:lastRenderedPageBreak/>
        <w:t>Transparencia y Acceso a la Información Pública del Estado de México y Municipios, los Sujetos Obligados no pueden emitir acuerdos de carácter general ni particular que clasifiquen documentos o información como reservada, ya que dicha clasificación ya sea parcial o total, debe estar acorde con la actualización de los supuestos definidos; resaltándose además que, la clasificación de la información se debe realizar conforme a un análisis caso por caso, mediante la aplicación de la enunciada prueba de daño.</w:t>
      </w:r>
    </w:p>
    <w:p w14:paraId="60A5DBF0" w14:textId="77777777" w:rsidR="00AE2083" w:rsidRPr="002E7D94" w:rsidRDefault="00F63ED3">
      <w:pPr>
        <w:spacing w:before="240" w:after="240"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 xml:space="preserve">De este modo, es necesario que el </w:t>
      </w:r>
      <w:r w:rsidRPr="002E7D94">
        <w:rPr>
          <w:rFonts w:ascii="Palatino Linotype" w:eastAsia="Palatino Linotype" w:hAnsi="Palatino Linotype" w:cs="Palatino Linotype"/>
          <w:b/>
          <w:sz w:val="22"/>
          <w:szCs w:val="22"/>
        </w:rPr>
        <w:t>Sujeto Obligado</w:t>
      </w:r>
      <w:r w:rsidRPr="002E7D94">
        <w:rPr>
          <w:rFonts w:ascii="Palatino Linotype" w:eastAsia="Palatino Linotype" w:hAnsi="Palatino Linotype" w:cs="Palatino Linotype"/>
          <w:sz w:val="22"/>
          <w:szCs w:val="22"/>
        </w:rPr>
        <w:t>,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55F35DA1" w14:textId="77777777" w:rsidR="00AE2083" w:rsidRPr="002E7D94" w:rsidRDefault="00F63ED3">
      <w:pPr>
        <w:spacing w:before="240" w:after="240"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Aunado a lo anterior, se tiene que conforme al Lineamiento Octavo, de los Lineamientos Generales en materia de Clasificación y Desclasificación de la Información, para fundar la clasificación de la información se debe señalar el artículo, fracción, inciso, párrafo o numeral de la Ley o tratado internacional suscrito por el Estado Mexicano que expresamente le otorgue el carácter de reservada, mientras que para motivar la clasificación se deben señalar las razones o circunstancias especiales que lo llevaron a concluir que el caso particular se ajusta al supuesto previsto por la norma legal invocada como fundamento, reiterando que en el caso específico de la reserva, la motivación de la clasificación deberá comprender el análisis de la prueba de daño a que hace referencia el artículo 104 de la Ley General, en relación con el artículo Trigésimo Tercero de los Lineamientos, así como las circunstancias que justifican el establecimiento de determinado plazo de reserva, en otras palabras, para clasificar la información como reservada, el acuerdo respectivo debe estar debidamente fundado y motivado.</w:t>
      </w:r>
    </w:p>
    <w:p w14:paraId="745BC25A" w14:textId="77777777" w:rsidR="00AE2083" w:rsidRPr="002E7D94" w:rsidRDefault="00F63ED3">
      <w:pPr>
        <w:spacing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lastRenderedPageBreak/>
        <w:t>Sirve de sustento a lo anterior, la Tesis jurisprudencial número I.4º.A. J/43, publicada en el Semanario Judicial de la Federación y su Gaceta, bajo el número de registro 175,082; que a la letra dice:</w:t>
      </w:r>
    </w:p>
    <w:p w14:paraId="7F3BE0DD" w14:textId="77777777" w:rsidR="00AE2083" w:rsidRPr="002E7D94" w:rsidRDefault="00AE2083">
      <w:pPr>
        <w:spacing w:line="360" w:lineRule="auto"/>
        <w:jc w:val="both"/>
        <w:rPr>
          <w:rFonts w:ascii="Palatino Linotype" w:eastAsia="Palatino Linotype" w:hAnsi="Palatino Linotype" w:cs="Palatino Linotype"/>
          <w:sz w:val="22"/>
          <w:szCs w:val="22"/>
        </w:rPr>
      </w:pPr>
    </w:p>
    <w:p w14:paraId="372E8D53" w14:textId="77777777" w:rsidR="00AE2083" w:rsidRPr="002E7D94" w:rsidRDefault="00F63ED3">
      <w:pPr>
        <w:ind w:left="567" w:right="902"/>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i/>
          <w:sz w:val="22"/>
          <w:szCs w:val="22"/>
        </w:rPr>
        <w:t>“</w:t>
      </w:r>
      <w:r w:rsidRPr="002E7D94">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 </w:t>
      </w:r>
      <w:r w:rsidRPr="002E7D94">
        <w:rPr>
          <w:rFonts w:ascii="Palatino Linotype" w:eastAsia="Palatino Linotype" w:hAnsi="Palatino Linotype" w:cs="Palatino Linotype"/>
          <w:i/>
          <w:sz w:val="22"/>
          <w:szCs w:val="22"/>
        </w:rPr>
        <w:t>El contenido formal de la garantía de legalidad prevista en el artículo 16 constitucional relativa a la fundamentación y motivación tiene como propósito primordial y ratio que el justiciable </w:t>
      </w:r>
      <w:r w:rsidRPr="002E7D94">
        <w:rPr>
          <w:rFonts w:ascii="Palatino Linotype" w:eastAsia="Palatino Linotype" w:hAnsi="Palatino Linotype" w:cs="Palatino Linotype"/>
          <w:b/>
          <w:i/>
          <w:sz w:val="22"/>
          <w:szCs w:val="22"/>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2E7D94">
        <w:rPr>
          <w:rFonts w:ascii="Palatino Linotype" w:eastAsia="Palatino Linotype" w:hAnsi="Palatino Linotype" w:cs="Palatino Linotype"/>
          <w:i/>
          <w:sz w:val="22"/>
          <w:szCs w:val="22"/>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2E7D94">
        <w:rPr>
          <w:rFonts w:ascii="Palatino Linotype" w:eastAsia="Palatino Linotype" w:hAnsi="Palatino Linotype" w:cs="Palatino Linotype"/>
          <w:b/>
          <w:i/>
          <w:sz w:val="22"/>
          <w:szCs w:val="22"/>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2E7D94">
        <w:rPr>
          <w:rFonts w:ascii="Palatino Linotype" w:eastAsia="Palatino Linotype" w:hAnsi="Palatino Linotype" w:cs="Palatino Linotype"/>
          <w:i/>
          <w:sz w:val="22"/>
          <w:szCs w:val="22"/>
        </w:rPr>
        <w:t> del que se deduzca la relación de pertenencia lógica de los hechos al derecho invocado, que es la subsunción.”</w:t>
      </w:r>
    </w:p>
    <w:p w14:paraId="0FF0798E" w14:textId="77777777" w:rsidR="00FC4D32" w:rsidRPr="002E7D94" w:rsidRDefault="008255F5">
      <w:pPr>
        <w:spacing w:before="240" w:after="240"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Derivado de lo anteriormente insertado, en</w:t>
      </w:r>
      <w:r w:rsidR="00F63ED3" w:rsidRPr="002E7D94">
        <w:rPr>
          <w:rFonts w:ascii="Palatino Linotype" w:eastAsia="Palatino Linotype" w:hAnsi="Palatino Linotype" w:cs="Palatino Linotype"/>
          <w:sz w:val="22"/>
          <w:szCs w:val="22"/>
        </w:rPr>
        <w:t xml:space="preserve"> el caso particular, </w:t>
      </w:r>
      <w:r w:rsidRPr="002E7D94">
        <w:rPr>
          <w:rFonts w:ascii="Palatino Linotype" w:eastAsia="Palatino Linotype" w:hAnsi="Palatino Linotype" w:cs="Palatino Linotype"/>
          <w:sz w:val="22"/>
          <w:szCs w:val="22"/>
        </w:rPr>
        <w:t>abordamos a las siguientes conclusiones:</w:t>
      </w:r>
    </w:p>
    <w:p w14:paraId="1773EC3E" w14:textId="77777777" w:rsidR="008255F5" w:rsidRPr="002E7D94" w:rsidRDefault="008255F5" w:rsidP="007D7EA6">
      <w:pPr>
        <w:pStyle w:val="Prrafodelista"/>
        <w:numPr>
          <w:ilvl w:val="3"/>
          <w:numId w:val="4"/>
        </w:numPr>
        <w:spacing w:before="240" w:after="240" w:line="360" w:lineRule="auto"/>
        <w:ind w:left="426" w:right="900" w:firstLine="0"/>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 xml:space="preserve">El </w:t>
      </w:r>
      <w:r w:rsidRPr="002E7D94">
        <w:rPr>
          <w:rFonts w:ascii="Palatino Linotype" w:eastAsia="Palatino Linotype" w:hAnsi="Palatino Linotype" w:cs="Palatino Linotype"/>
          <w:b/>
          <w:sz w:val="22"/>
          <w:szCs w:val="22"/>
        </w:rPr>
        <w:t>Sujeto Obligado</w:t>
      </w:r>
      <w:r w:rsidRPr="002E7D94">
        <w:rPr>
          <w:rFonts w:ascii="Palatino Linotype" w:eastAsia="Palatino Linotype" w:hAnsi="Palatino Linotype" w:cs="Palatino Linotype"/>
          <w:sz w:val="22"/>
          <w:szCs w:val="22"/>
        </w:rPr>
        <w:t xml:space="preserve"> pretende realizar una reserva de la información con fundamento en el artículo 140 de la Ley de Transparencia Local, sin embargo, no señala de manera la fracción que encuadra la reserva de la información, por lo tanto, nos encontramos ante una reserva realizada de manera general. </w:t>
      </w:r>
    </w:p>
    <w:p w14:paraId="553ACE14" w14:textId="77777777" w:rsidR="007D7EA6" w:rsidRPr="002E7D94" w:rsidRDefault="007D7EA6" w:rsidP="007D7EA6">
      <w:pPr>
        <w:pStyle w:val="Prrafodelista"/>
        <w:spacing w:before="240" w:after="240" w:line="360" w:lineRule="auto"/>
        <w:ind w:left="426" w:right="900"/>
        <w:jc w:val="both"/>
        <w:rPr>
          <w:rFonts w:ascii="Palatino Linotype" w:eastAsia="Palatino Linotype" w:hAnsi="Palatino Linotype" w:cs="Palatino Linotype"/>
          <w:sz w:val="22"/>
          <w:szCs w:val="22"/>
        </w:rPr>
      </w:pPr>
    </w:p>
    <w:p w14:paraId="4C00C103" w14:textId="77777777" w:rsidR="007D7EA6" w:rsidRPr="002E7D94" w:rsidRDefault="0010120F" w:rsidP="007D7EA6">
      <w:pPr>
        <w:pStyle w:val="Prrafodelista"/>
        <w:spacing w:before="240" w:after="240" w:line="360" w:lineRule="auto"/>
        <w:ind w:left="426" w:right="900"/>
        <w:jc w:val="both"/>
        <w:rPr>
          <w:rFonts w:ascii="Palatino Linotype" w:eastAsia="Palatino Linotype" w:hAnsi="Palatino Linotype" w:cs="Palatino Linotype"/>
          <w:b/>
          <w:sz w:val="22"/>
          <w:szCs w:val="22"/>
          <w:u w:val="single"/>
        </w:rPr>
      </w:pPr>
      <w:r w:rsidRPr="002E7D94">
        <w:rPr>
          <w:rFonts w:ascii="Palatino Linotype" w:eastAsia="Palatino Linotype" w:hAnsi="Palatino Linotype" w:cs="Palatino Linotype"/>
          <w:sz w:val="22"/>
          <w:szCs w:val="22"/>
        </w:rPr>
        <w:lastRenderedPageBreak/>
        <w:t>Asimismo, es de precisar que invoca un numeral de los Lineamientos generales en materia de clasificación y desclasificación de la información, así como para la elaboración de versiones públicas que contempla causales para clasificar la información como confid</w:t>
      </w:r>
      <w:r w:rsidR="007D7EA6" w:rsidRPr="002E7D94">
        <w:rPr>
          <w:rFonts w:ascii="Palatino Linotype" w:eastAsia="Palatino Linotype" w:hAnsi="Palatino Linotype" w:cs="Palatino Linotype"/>
          <w:sz w:val="22"/>
          <w:szCs w:val="22"/>
        </w:rPr>
        <w:t xml:space="preserve">encial, por lo tanto, </w:t>
      </w:r>
      <w:r w:rsidR="007D7EA6" w:rsidRPr="002E7D94">
        <w:rPr>
          <w:rFonts w:ascii="Palatino Linotype" w:eastAsia="Palatino Linotype" w:hAnsi="Palatino Linotype" w:cs="Palatino Linotype"/>
          <w:b/>
          <w:sz w:val="22"/>
          <w:szCs w:val="22"/>
          <w:u w:val="single"/>
        </w:rPr>
        <w:t>no se acredita fehacientemente que la información solicitada encuadre una causal de clasificación.</w:t>
      </w:r>
    </w:p>
    <w:p w14:paraId="53F97192" w14:textId="77777777" w:rsidR="007D7EA6" w:rsidRPr="002E7D94" w:rsidRDefault="007D7EA6" w:rsidP="007D7EA6">
      <w:pPr>
        <w:pStyle w:val="Prrafodelista"/>
        <w:spacing w:before="240" w:after="240" w:line="360" w:lineRule="auto"/>
        <w:ind w:left="426" w:right="900"/>
        <w:jc w:val="both"/>
        <w:rPr>
          <w:rFonts w:ascii="Palatino Linotype" w:eastAsia="Palatino Linotype" w:hAnsi="Palatino Linotype" w:cs="Palatino Linotype"/>
          <w:sz w:val="22"/>
          <w:szCs w:val="22"/>
        </w:rPr>
      </w:pPr>
    </w:p>
    <w:p w14:paraId="2386D3F2" w14:textId="77777777" w:rsidR="008255F5" w:rsidRPr="002E7D94" w:rsidRDefault="008255F5" w:rsidP="007D7EA6">
      <w:pPr>
        <w:pStyle w:val="Prrafodelista"/>
        <w:numPr>
          <w:ilvl w:val="3"/>
          <w:numId w:val="4"/>
        </w:numPr>
        <w:spacing w:before="240" w:after="240" w:line="360" w:lineRule="auto"/>
        <w:ind w:left="426" w:right="900" w:firstLine="0"/>
        <w:jc w:val="both"/>
        <w:rPr>
          <w:rFonts w:ascii="Palatino Linotype" w:eastAsia="Palatino Linotype" w:hAnsi="Palatino Linotype" w:cs="Palatino Linotype"/>
          <w:b/>
          <w:sz w:val="22"/>
          <w:szCs w:val="22"/>
          <w:u w:val="single"/>
        </w:rPr>
      </w:pPr>
      <w:r w:rsidRPr="002E7D94">
        <w:rPr>
          <w:rFonts w:ascii="Palatino Linotype" w:eastAsia="Palatino Linotype" w:hAnsi="Palatino Linotype" w:cs="Palatino Linotype"/>
          <w:sz w:val="22"/>
          <w:szCs w:val="22"/>
        </w:rPr>
        <w:t xml:space="preserve">La pretendida reserva de la información </w:t>
      </w:r>
      <w:r w:rsidRPr="002E7D94">
        <w:rPr>
          <w:rFonts w:ascii="Palatino Linotype" w:eastAsia="Palatino Linotype" w:hAnsi="Palatino Linotype" w:cs="Palatino Linotype"/>
          <w:b/>
          <w:sz w:val="22"/>
          <w:szCs w:val="22"/>
          <w:u w:val="single"/>
        </w:rPr>
        <w:t>no fue declarada mediante acuerdo de Comité de Transparencia ni fundada en una prueba de daño, por lo tanto, no se encuentra debidamente fundada y motivada.</w:t>
      </w:r>
    </w:p>
    <w:p w14:paraId="067D9F98" w14:textId="77777777" w:rsidR="007D7EA6" w:rsidRPr="002E7D94" w:rsidRDefault="007D7EA6" w:rsidP="007D7EA6">
      <w:pPr>
        <w:pStyle w:val="Prrafodelista"/>
        <w:spacing w:before="240" w:after="240" w:line="360" w:lineRule="auto"/>
        <w:ind w:left="426" w:right="900"/>
        <w:jc w:val="both"/>
        <w:rPr>
          <w:rFonts w:ascii="Palatino Linotype" w:eastAsia="Palatino Linotype" w:hAnsi="Palatino Linotype" w:cs="Palatino Linotype"/>
          <w:sz w:val="22"/>
          <w:szCs w:val="22"/>
        </w:rPr>
      </w:pPr>
    </w:p>
    <w:p w14:paraId="1C6031EF" w14:textId="77777777" w:rsidR="00DC249B" w:rsidRPr="002E7D94" w:rsidRDefault="007D7EA6" w:rsidP="007D7EA6">
      <w:pPr>
        <w:pStyle w:val="Prrafodelista"/>
        <w:numPr>
          <w:ilvl w:val="0"/>
          <w:numId w:val="4"/>
        </w:numPr>
        <w:spacing w:before="240" w:after="240" w:line="360" w:lineRule="auto"/>
        <w:ind w:right="900"/>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 xml:space="preserve">En conclusión, el </w:t>
      </w:r>
      <w:r w:rsidRPr="002E7D94">
        <w:rPr>
          <w:rFonts w:ascii="Palatino Linotype" w:eastAsia="Palatino Linotype" w:hAnsi="Palatino Linotype" w:cs="Palatino Linotype"/>
          <w:b/>
          <w:sz w:val="22"/>
          <w:szCs w:val="22"/>
        </w:rPr>
        <w:t>Sujeto Obligado</w:t>
      </w:r>
      <w:r w:rsidRPr="002E7D94">
        <w:rPr>
          <w:rFonts w:ascii="Palatino Linotype" w:eastAsia="Palatino Linotype" w:hAnsi="Palatino Linotype" w:cs="Palatino Linotype"/>
          <w:sz w:val="22"/>
          <w:szCs w:val="22"/>
        </w:rPr>
        <w:t xml:space="preserve"> no acredita la necesidad de clasificar la información conforme a las formalidades establecidas por la norma.</w:t>
      </w:r>
    </w:p>
    <w:p w14:paraId="31685BA4" w14:textId="77777777" w:rsidR="00DC249B" w:rsidRPr="002E7D94" w:rsidRDefault="00DC249B" w:rsidP="00DC249B">
      <w:pPr>
        <w:spacing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 xml:space="preserve">No pasa desapercibido para este Organismo Garante, que el </w:t>
      </w:r>
      <w:r w:rsidRPr="002E7D94">
        <w:rPr>
          <w:rFonts w:ascii="Palatino Linotype" w:eastAsia="Palatino Linotype" w:hAnsi="Palatino Linotype" w:cs="Palatino Linotype"/>
          <w:b/>
          <w:sz w:val="22"/>
          <w:szCs w:val="22"/>
        </w:rPr>
        <w:t>Sujeto Obligado</w:t>
      </w:r>
      <w:r w:rsidRPr="002E7D94">
        <w:rPr>
          <w:rFonts w:ascii="Palatino Linotype" w:eastAsia="Palatino Linotype" w:hAnsi="Palatino Linotype" w:cs="Palatino Linotype"/>
          <w:sz w:val="22"/>
          <w:szCs w:val="22"/>
        </w:rPr>
        <w:t xml:space="preserve"> refirió que la información solicitada se encuentra publicada en la página oficial del Ayuntamiento de Calimaya en el apartado de "Gacetas", no obstante, al intentar acceder a dicho portal, este Instituto no visualizó el apartado de “Gacetas”:</w:t>
      </w:r>
    </w:p>
    <w:p w14:paraId="0B9076CD" w14:textId="77777777" w:rsidR="00DC249B" w:rsidRPr="002E7D94" w:rsidRDefault="00DC249B" w:rsidP="00DC249B">
      <w:pPr>
        <w:spacing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noProof/>
          <w:sz w:val="22"/>
          <w:szCs w:val="22"/>
        </w:rPr>
        <w:drawing>
          <wp:inline distT="0" distB="0" distL="0" distR="0" wp14:anchorId="50B6A5D9" wp14:editId="0A0560D5">
            <wp:extent cx="5612130" cy="225171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251710"/>
                    </a:xfrm>
                    <a:prstGeom prst="rect">
                      <a:avLst/>
                    </a:prstGeom>
                  </pic:spPr>
                </pic:pic>
              </a:graphicData>
            </a:graphic>
          </wp:inline>
        </w:drawing>
      </w:r>
    </w:p>
    <w:p w14:paraId="402A503E" w14:textId="77777777" w:rsidR="00DC249B" w:rsidRPr="002E7D94" w:rsidRDefault="00DC249B" w:rsidP="007D7EA6">
      <w:pPr>
        <w:spacing w:line="360" w:lineRule="auto"/>
        <w:jc w:val="both"/>
        <w:rPr>
          <w:rFonts w:ascii="Palatino Linotype" w:eastAsia="Palatino Linotype" w:hAnsi="Palatino Linotype" w:cs="Palatino Linotype"/>
          <w:sz w:val="22"/>
          <w:szCs w:val="22"/>
          <w:lang w:val="es-ES" w:eastAsia="es-ES"/>
        </w:rPr>
      </w:pPr>
    </w:p>
    <w:p w14:paraId="32553616" w14:textId="77777777" w:rsidR="00DC249B" w:rsidRPr="002E7D94" w:rsidRDefault="00DC249B" w:rsidP="00DC249B">
      <w:pPr>
        <w:pBdr>
          <w:top w:val="nil"/>
          <w:left w:val="nil"/>
          <w:bottom w:val="nil"/>
          <w:right w:val="nil"/>
          <w:between w:val="nil"/>
        </w:pBdr>
        <w:spacing w:line="360" w:lineRule="auto"/>
        <w:jc w:val="both"/>
        <w:rPr>
          <w:sz w:val="22"/>
          <w:lang w:val="es-ES"/>
        </w:rPr>
      </w:pPr>
      <w:r w:rsidRPr="002E7D94">
        <w:rPr>
          <w:rFonts w:ascii="Palatino Linotype" w:eastAsia="Palatino Linotype" w:hAnsi="Palatino Linotype" w:cs="Palatino Linotype"/>
          <w:sz w:val="22"/>
          <w:lang w:val="es-ES"/>
        </w:rPr>
        <w:lastRenderedPageBreak/>
        <w:t>Por lo tanto, no se observó lo establecido por los artículos 11 y 161 de la Ley de Transparencia y Acceso a la Información Pública del Estado de México y Municipios, en lo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0A08C27C" w14:textId="77777777" w:rsidR="00DC249B" w:rsidRPr="002E7D94" w:rsidRDefault="00DC249B" w:rsidP="00DC249B">
      <w:pPr>
        <w:spacing w:line="360" w:lineRule="auto"/>
        <w:rPr>
          <w:lang w:val="es-ES"/>
        </w:rPr>
      </w:pPr>
    </w:p>
    <w:p w14:paraId="0D19D662" w14:textId="77777777" w:rsidR="00DC249B" w:rsidRPr="002E7D94" w:rsidRDefault="00DC249B" w:rsidP="00DC249B">
      <w:pPr>
        <w:pBdr>
          <w:top w:val="nil"/>
          <w:left w:val="nil"/>
          <w:bottom w:val="nil"/>
          <w:right w:val="nil"/>
          <w:between w:val="nil"/>
        </w:pBdr>
        <w:ind w:left="567" w:right="1276"/>
        <w:jc w:val="both"/>
        <w:rPr>
          <w:lang w:val="es-ES"/>
        </w:rPr>
      </w:pPr>
      <w:r w:rsidRPr="002E7D94">
        <w:rPr>
          <w:rFonts w:ascii="Palatino Linotype" w:eastAsia="Palatino Linotype" w:hAnsi="Palatino Linotype" w:cs="Palatino Linotype"/>
          <w:b/>
          <w:i/>
          <w:sz w:val="22"/>
          <w:szCs w:val="22"/>
          <w:lang w:val="es-ES"/>
        </w:rPr>
        <w:t>“Artículo 11.</w:t>
      </w:r>
      <w:r w:rsidRPr="002E7D94">
        <w:rPr>
          <w:rFonts w:ascii="Palatino Linotype" w:eastAsia="Palatino Linotype" w:hAnsi="Palatino Linotype" w:cs="Palatino Linotype"/>
          <w:i/>
          <w:sz w:val="22"/>
          <w:szCs w:val="22"/>
          <w:lang w:val="es-ES"/>
        </w:rPr>
        <w:t xml:space="preserve"> </w:t>
      </w:r>
      <w:r w:rsidRPr="002E7D94">
        <w:rPr>
          <w:rFonts w:ascii="Palatino Linotype" w:eastAsia="Palatino Linotype" w:hAnsi="Palatino Linotype" w:cs="Palatino Linotype"/>
          <w:b/>
          <w:i/>
          <w:sz w:val="22"/>
          <w:szCs w:val="22"/>
          <w:u w:val="single"/>
          <w:lang w:val="es-ES"/>
        </w:rPr>
        <w:t>En la generación, publicación y entrega de información se deberá garantizar que ésta sea accesible, actualizada, completa, congruente, confiable, verificable, veraz, integral, oportuna y expedita</w:t>
      </w:r>
      <w:r w:rsidRPr="002E7D94">
        <w:rPr>
          <w:rFonts w:ascii="Palatino Linotype" w:eastAsia="Palatino Linotype" w:hAnsi="Palatino Linotype" w:cs="Palatino Linotype"/>
          <w:i/>
          <w:sz w:val="22"/>
          <w:szCs w:val="22"/>
          <w:lang w:val="es-ES"/>
        </w:rPr>
        <w:t>, sujeta a un claro régimen de excepciones que deberá estar definido y ser además legítima y estrictamente necesaria en una sociedad democrática, por lo que atenderá las necesidades del derecho de acceso a la información de toda persona.</w:t>
      </w:r>
    </w:p>
    <w:p w14:paraId="33421E15" w14:textId="77777777" w:rsidR="00DC249B" w:rsidRPr="002E7D94" w:rsidRDefault="00DC249B" w:rsidP="00DC249B">
      <w:pPr>
        <w:pBdr>
          <w:top w:val="nil"/>
          <w:left w:val="nil"/>
          <w:bottom w:val="nil"/>
          <w:right w:val="nil"/>
          <w:between w:val="nil"/>
        </w:pBdr>
        <w:ind w:left="567" w:right="1276"/>
        <w:jc w:val="both"/>
        <w:rPr>
          <w:lang w:val="es-ES"/>
        </w:rPr>
      </w:pPr>
      <w:r w:rsidRPr="002E7D94">
        <w:rPr>
          <w:rFonts w:ascii="Palatino Linotype" w:eastAsia="Palatino Linotype" w:hAnsi="Palatino Linotype" w:cs="Palatino Linotype"/>
          <w:i/>
          <w:sz w:val="22"/>
          <w:szCs w:val="22"/>
          <w:lang w:val="es-ES"/>
        </w:rPr>
        <w:t>[…]</w:t>
      </w:r>
    </w:p>
    <w:p w14:paraId="0A88D31D" w14:textId="77777777" w:rsidR="00DC249B" w:rsidRPr="002E7D94" w:rsidRDefault="00DC249B" w:rsidP="00DC249B">
      <w:pPr>
        <w:ind w:right="1276"/>
        <w:rPr>
          <w:lang w:val="es-ES"/>
        </w:rPr>
      </w:pPr>
    </w:p>
    <w:p w14:paraId="3E17BDF3" w14:textId="77777777" w:rsidR="00DC249B" w:rsidRPr="002E7D94" w:rsidRDefault="00DC249B" w:rsidP="00DC249B">
      <w:pPr>
        <w:pBdr>
          <w:top w:val="nil"/>
          <w:left w:val="nil"/>
          <w:bottom w:val="nil"/>
          <w:right w:val="nil"/>
          <w:between w:val="nil"/>
        </w:pBdr>
        <w:ind w:left="567" w:right="1276"/>
        <w:jc w:val="both"/>
        <w:rPr>
          <w:lang w:val="es-ES"/>
        </w:rPr>
      </w:pPr>
      <w:r w:rsidRPr="002E7D94">
        <w:rPr>
          <w:rFonts w:ascii="Palatino Linotype" w:eastAsia="Palatino Linotype" w:hAnsi="Palatino Linotype" w:cs="Palatino Linotype"/>
          <w:b/>
          <w:i/>
          <w:sz w:val="22"/>
          <w:szCs w:val="22"/>
          <w:lang w:val="es-ES"/>
        </w:rPr>
        <w:t>Artículo 161.</w:t>
      </w:r>
      <w:r w:rsidRPr="002E7D94">
        <w:rPr>
          <w:rFonts w:ascii="Palatino Linotype" w:eastAsia="Palatino Linotype" w:hAnsi="Palatino Linotype" w:cs="Palatino Linotype"/>
          <w:i/>
          <w:sz w:val="22"/>
          <w:szCs w:val="22"/>
          <w:lang w:val="es-ES"/>
        </w:rPr>
        <w:t xml:space="preserve"> </w:t>
      </w:r>
      <w:r w:rsidRPr="002E7D94">
        <w:rPr>
          <w:rFonts w:ascii="Palatino Linotype" w:eastAsia="Palatino Linotype" w:hAnsi="Palatino Linotype" w:cs="Palatino Linotype"/>
          <w:b/>
          <w:i/>
          <w:sz w:val="22"/>
          <w:szCs w:val="22"/>
          <w:u w:val="single"/>
          <w:lang w:val="es-ES"/>
        </w:rPr>
        <w:t>Cuando la información requerida por el solicitante ya esté disponible al público</w:t>
      </w:r>
      <w:r w:rsidRPr="002E7D94">
        <w:rPr>
          <w:rFonts w:ascii="Palatino Linotype" w:eastAsia="Palatino Linotype" w:hAnsi="Palatino Linotype" w:cs="Palatino Linotype"/>
          <w:i/>
          <w:sz w:val="22"/>
          <w:szCs w:val="22"/>
          <w:lang w:val="es-ES"/>
        </w:rPr>
        <w:t xml:space="preserve"> en medios impresos, tales como libros, compendios, trípticos, registros públicos, </w:t>
      </w:r>
      <w:r w:rsidRPr="002E7D94">
        <w:rPr>
          <w:rFonts w:ascii="Palatino Linotype" w:eastAsia="Palatino Linotype" w:hAnsi="Palatino Linotype" w:cs="Palatino Linotype"/>
          <w:b/>
          <w:i/>
          <w:sz w:val="22"/>
          <w:szCs w:val="22"/>
          <w:u w:val="single"/>
          <w:lang w:val="es-ES"/>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14:paraId="2FDEF8E2" w14:textId="77777777" w:rsidR="00DC249B" w:rsidRPr="002E7D94" w:rsidRDefault="00DC249B" w:rsidP="00DC249B">
      <w:pPr>
        <w:rPr>
          <w:lang w:val="es-ES"/>
        </w:rPr>
      </w:pPr>
    </w:p>
    <w:p w14:paraId="17FEB545" w14:textId="77777777" w:rsidR="00DC249B" w:rsidRPr="002E7D94" w:rsidRDefault="00DC249B" w:rsidP="00DC249B">
      <w:pPr>
        <w:pBdr>
          <w:top w:val="nil"/>
          <w:left w:val="nil"/>
          <w:bottom w:val="nil"/>
          <w:right w:val="nil"/>
          <w:between w:val="nil"/>
        </w:pBdr>
        <w:spacing w:line="360" w:lineRule="auto"/>
        <w:jc w:val="both"/>
        <w:rPr>
          <w:sz w:val="22"/>
          <w:lang w:val="es-ES"/>
        </w:rPr>
      </w:pPr>
      <w:r w:rsidRPr="002E7D94">
        <w:rPr>
          <w:rFonts w:ascii="Palatino Linotype" w:eastAsia="Palatino Linotype" w:hAnsi="Palatino Linotype" w:cs="Palatino Linotype"/>
          <w:sz w:val="22"/>
          <w:lang w:val="es-ES"/>
        </w:rPr>
        <w:t>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217CD044" w14:textId="77777777" w:rsidR="00DC249B" w:rsidRPr="002E7D94" w:rsidRDefault="00DC249B" w:rsidP="00DC249B">
      <w:pPr>
        <w:spacing w:line="360" w:lineRule="auto"/>
        <w:rPr>
          <w:sz w:val="22"/>
          <w:lang w:val="es-ES"/>
        </w:rPr>
      </w:pPr>
    </w:p>
    <w:p w14:paraId="4C4E7D05" w14:textId="77777777" w:rsidR="00DC249B" w:rsidRPr="002E7D94" w:rsidRDefault="00DC249B" w:rsidP="00C378DF">
      <w:pPr>
        <w:pStyle w:val="Prrafodelista"/>
        <w:numPr>
          <w:ilvl w:val="0"/>
          <w:numId w:val="15"/>
        </w:numPr>
        <w:pBdr>
          <w:top w:val="nil"/>
          <w:left w:val="nil"/>
          <w:bottom w:val="nil"/>
          <w:right w:val="nil"/>
          <w:between w:val="nil"/>
        </w:pBdr>
        <w:spacing w:line="360" w:lineRule="auto"/>
        <w:ind w:left="426"/>
        <w:jc w:val="both"/>
        <w:rPr>
          <w:rFonts w:ascii="Palatino Linotype" w:eastAsia="Palatino Linotype" w:hAnsi="Palatino Linotype" w:cs="Palatino Linotype"/>
          <w:sz w:val="22"/>
          <w:lang w:val="es-ES"/>
        </w:rPr>
      </w:pPr>
      <w:r w:rsidRPr="002E7D94">
        <w:rPr>
          <w:rFonts w:ascii="Palatino Linotype" w:eastAsia="Palatino Linotype" w:hAnsi="Palatino Linotype" w:cs="Palatino Linotype"/>
          <w:sz w:val="22"/>
          <w:lang w:val="es-ES"/>
        </w:rPr>
        <w:t>La fuente</w:t>
      </w:r>
    </w:p>
    <w:p w14:paraId="7A1F0B1E" w14:textId="77777777" w:rsidR="00DC249B" w:rsidRPr="002E7D94" w:rsidRDefault="00DC249B" w:rsidP="00C378DF">
      <w:pPr>
        <w:numPr>
          <w:ilvl w:val="0"/>
          <w:numId w:val="15"/>
        </w:numPr>
        <w:pBdr>
          <w:top w:val="nil"/>
          <w:left w:val="nil"/>
          <w:bottom w:val="nil"/>
          <w:right w:val="nil"/>
          <w:between w:val="nil"/>
        </w:pBdr>
        <w:spacing w:line="360" w:lineRule="auto"/>
        <w:ind w:left="426"/>
        <w:jc w:val="both"/>
        <w:rPr>
          <w:rFonts w:ascii="Palatino Linotype" w:eastAsia="Palatino Linotype" w:hAnsi="Palatino Linotype" w:cs="Palatino Linotype"/>
          <w:sz w:val="22"/>
          <w:lang w:val="es-ES"/>
        </w:rPr>
      </w:pPr>
      <w:r w:rsidRPr="002E7D94">
        <w:rPr>
          <w:rFonts w:ascii="Palatino Linotype" w:eastAsia="Palatino Linotype" w:hAnsi="Palatino Linotype" w:cs="Palatino Linotype"/>
          <w:sz w:val="22"/>
          <w:lang w:val="es-ES"/>
        </w:rPr>
        <w:t>El lugar y</w:t>
      </w:r>
    </w:p>
    <w:p w14:paraId="13FA8A18" w14:textId="77777777" w:rsidR="00DC249B" w:rsidRPr="002E7D94" w:rsidRDefault="00DC249B" w:rsidP="00C378DF">
      <w:pPr>
        <w:pStyle w:val="Prrafodelista"/>
        <w:numPr>
          <w:ilvl w:val="0"/>
          <w:numId w:val="15"/>
        </w:numPr>
        <w:pBdr>
          <w:top w:val="nil"/>
          <w:left w:val="nil"/>
          <w:bottom w:val="nil"/>
          <w:right w:val="nil"/>
          <w:between w:val="nil"/>
        </w:pBdr>
        <w:spacing w:line="360" w:lineRule="auto"/>
        <w:ind w:left="426"/>
        <w:jc w:val="both"/>
        <w:rPr>
          <w:rFonts w:ascii="Palatino Linotype" w:eastAsia="Palatino Linotype" w:hAnsi="Palatino Linotype" w:cs="Palatino Linotype"/>
          <w:sz w:val="22"/>
          <w:lang w:val="es-ES"/>
        </w:rPr>
      </w:pPr>
      <w:r w:rsidRPr="002E7D94">
        <w:rPr>
          <w:rFonts w:ascii="Palatino Linotype" w:eastAsia="Palatino Linotype" w:hAnsi="Palatino Linotype" w:cs="Palatino Linotype"/>
          <w:sz w:val="22"/>
          <w:lang w:val="es-ES"/>
        </w:rPr>
        <w:lastRenderedPageBreak/>
        <w:t>La forma </w:t>
      </w:r>
    </w:p>
    <w:p w14:paraId="0D906881" w14:textId="77777777" w:rsidR="00DC249B" w:rsidRPr="002E7D94" w:rsidRDefault="00DC249B" w:rsidP="00DC249B">
      <w:pPr>
        <w:rPr>
          <w:sz w:val="22"/>
          <w:lang w:val="es-ES"/>
        </w:rPr>
      </w:pPr>
    </w:p>
    <w:p w14:paraId="7805CFA9" w14:textId="77777777" w:rsidR="00DC249B" w:rsidRPr="002E7D94" w:rsidRDefault="00DC249B" w:rsidP="00DC249B">
      <w:pPr>
        <w:pBdr>
          <w:top w:val="nil"/>
          <w:left w:val="nil"/>
          <w:bottom w:val="nil"/>
          <w:right w:val="nil"/>
          <w:between w:val="nil"/>
        </w:pBdr>
        <w:jc w:val="both"/>
        <w:rPr>
          <w:sz w:val="22"/>
          <w:lang w:val="es-ES"/>
        </w:rPr>
      </w:pPr>
      <w:r w:rsidRPr="002E7D94">
        <w:rPr>
          <w:rFonts w:ascii="Palatino Linotype" w:eastAsia="Palatino Linotype" w:hAnsi="Palatino Linotype" w:cs="Palatino Linotype"/>
          <w:sz w:val="22"/>
          <w:lang w:val="es-ES"/>
        </w:rPr>
        <w:t>Asimismo, se establece que la fuente de la información deberá ser:</w:t>
      </w:r>
    </w:p>
    <w:p w14:paraId="11FC8C72" w14:textId="77777777" w:rsidR="00DC249B" w:rsidRPr="002E7D94" w:rsidRDefault="00DC249B" w:rsidP="00DC249B">
      <w:pPr>
        <w:rPr>
          <w:sz w:val="22"/>
          <w:lang w:val="es-ES"/>
        </w:rPr>
      </w:pPr>
      <w:r w:rsidRPr="002E7D94">
        <w:rPr>
          <w:sz w:val="22"/>
          <w:lang w:val="es-ES"/>
        </w:rPr>
        <w:br/>
      </w:r>
    </w:p>
    <w:p w14:paraId="20A4A33E" w14:textId="77777777" w:rsidR="00DC249B" w:rsidRPr="002E7D94" w:rsidRDefault="00DC249B" w:rsidP="00C378DF">
      <w:pPr>
        <w:pStyle w:val="Prrafodelista"/>
        <w:numPr>
          <w:ilvl w:val="0"/>
          <w:numId w:val="17"/>
        </w:numPr>
        <w:pBdr>
          <w:top w:val="nil"/>
          <w:left w:val="nil"/>
          <w:bottom w:val="nil"/>
          <w:right w:val="nil"/>
          <w:between w:val="nil"/>
        </w:pBdr>
        <w:ind w:left="284"/>
        <w:jc w:val="both"/>
        <w:rPr>
          <w:rFonts w:ascii="Palatino Linotype" w:eastAsia="Palatino Linotype" w:hAnsi="Palatino Linotype" w:cs="Palatino Linotype"/>
          <w:sz w:val="22"/>
          <w:lang w:val="es-ES"/>
        </w:rPr>
      </w:pPr>
      <w:r w:rsidRPr="002E7D94">
        <w:rPr>
          <w:rFonts w:ascii="Palatino Linotype" w:eastAsia="Palatino Linotype" w:hAnsi="Palatino Linotype" w:cs="Palatino Linotype"/>
          <w:sz w:val="22"/>
          <w:lang w:val="es-ES"/>
        </w:rPr>
        <w:t>Precisa</w:t>
      </w:r>
    </w:p>
    <w:p w14:paraId="67175358" w14:textId="77777777" w:rsidR="00DC249B" w:rsidRPr="002E7D94" w:rsidRDefault="00DC249B" w:rsidP="00C378DF">
      <w:pPr>
        <w:pStyle w:val="Prrafodelista"/>
        <w:numPr>
          <w:ilvl w:val="0"/>
          <w:numId w:val="17"/>
        </w:numPr>
        <w:pBdr>
          <w:top w:val="nil"/>
          <w:left w:val="nil"/>
          <w:bottom w:val="nil"/>
          <w:right w:val="nil"/>
          <w:between w:val="nil"/>
        </w:pBdr>
        <w:ind w:left="284"/>
        <w:jc w:val="both"/>
        <w:rPr>
          <w:rFonts w:ascii="Palatino Linotype" w:eastAsia="Palatino Linotype" w:hAnsi="Palatino Linotype" w:cs="Palatino Linotype"/>
          <w:sz w:val="22"/>
          <w:lang w:val="es-ES"/>
        </w:rPr>
      </w:pPr>
      <w:r w:rsidRPr="002E7D94">
        <w:rPr>
          <w:rFonts w:ascii="Palatino Linotype" w:eastAsia="Palatino Linotype" w:hAnsi="Palatino Linotype" w:cs="Palatino Linotype"/>
          <w:sz w:val="22"/>
          <w:lang w:val="es-ES"/>
        </w:rPr>
        <w:t>Concreta</w:t>
      </w:r>
    </w:p>
    <w:p w14:paraId="04E53E4C" w14:textId="77777777" w:rsidR="00DC249B" w:rsidRPr="002E7D94" w:rsidRDefault="00DC249B" w:rsidP="00C378DF">
      <w:pPr>
        <w:pStyle w:val="Prrafodelista"/>
        <w:numPr>
          <w:ilvl w:val="0"/>
          <w:numId w:val="17"/>
        </w:numPr>
        <w:pBdr>
          <w:top w:val="nil"/>
          <w:left w:val="nil"/>
          <w:bottom w:val="nil"/>
          <w:right w:val="nil"/>
          <w:between w:val="nil"/>
        </w:pBdr>
        <w:ind w:left="284" w:right="1276"/>
        <w:jc w:val="both"/>
        <w:rPr>
          <w:rFonts w:ascii="Palatino Linotype" w:eastAsia="Palatino Linotype" w:hAnsi="Palatino Linotype" w:cs="Palatino Linotype"/>
          <w:sz w:val="22"/>
          <w:lang w:val="es-ES"/>
        </w:rPr>
      </w:pPr>
      <w:r w:rsidRPr="002E7D94">
        <w:rPr>
          <w:rFonts w:ascii="Palatino Linotype" w:eastAsia="Palatino Linotype" w:hAnsi="Palatino Linotype" w:cs="Palatino Linotype"/>
          <w:b/>
          <w:sz w:val="22"/>
          <w:lang w:val="es-ES"/>
        </w:rPr>
        <w:t>Y no debe implicar que el solicitante realice una búsqueda en toda la información que se encuentre disponible</w:t>
      </w:r>
      <w:r w:rsidRPr="002E7D94">
        <w:rPr>
          <w:rFonts w:ascii="Palatino Linotype" w:eastAsia="Palatino Linotype" w:hAnsi="Palatino Linotype" w:cs="Palatino Linotype"/>
          <w:sz w:val="22"/>
          <w:lang w:val="es-ES"/>
        </w:rPr>
        <w:t>.</w:t>
      </w:r>
    </w:p>
    <w:p w14:paraId="6993AF97" w14:textId="77777777" w:rsidR="00DC249B" w:rsidRPr="002E7D94" w:rsidRDefault="00DC249B" w:rsidP="00DC249B">
      <w:pPr>
        <w:rPr>
          <w:sz w:val="22"/>
          <w:lang w:val="es-ES"/>
        </w:rPr>
      </w:pPr>
    </w:p>
    <w:p w14:paraId="61C426B8" w14:textId="77777777" w:rsidR="00DC249B" w:rsidRPr="002E7D94" w:rsidRDefault="00DC249B" w:rsidP="00DC249B">
      <w:pPr>
        <w:pBdr>
          <w:top w:val="nil"/>
          <w:left w:val="nil"/>
          <w:bottom w:val="nil"/>
          <w:right w:val="nil"/>
          <w:between w:val="nil"/>
        </w:pBdr>
        <w:spacing w:line="360" w:lineRule="auto"/>
        <w:jc w:val="both"/>
        <w:rPr>
          <w:sz w:val="22"/>
          <w:lang w:val="es-ES"/>
        </w:rPr>
      </w:pPr>
      <w:r w:rsidRPr="002E7D94">
        <w:rPr>
          <w:rFonts w:ascii="Palatino Linotype" w:eastAsia="Palatino Linotype" w:hAnsi="Palatino Linotype" w:cs="Palatino Linotype"/>
          <w:sz w:val="22"/>
          <w:lang w:val="es-ES"/>
        </w:rPr>
        <w:t xml:space="preserve">Imperativos legales que establecen el procedimiento que debe seguir el </w:t>
      </w:r>
      <w:r w:rsidRPr="002E7D94">
        <w:rPr>
          <w:rFonts w:ascii="Palatino Linotype" w:eastAsia="Palatino Linotype" w:hAnsi="Palatino Linotype" w:cs="Palatino Linotype"/>
          <w:b/>
          <w:sz w:val="22"/>
          <w:lang w:val="es-ES"/>
        </w:rPr>
        <w:t>Sujeto Obligado</w:t>
      </w:r>
      <w:r w:rsidRPr="002E7D94">
        <w:rPr>
          <w:rFonts w:ascii="Palatino Linotype" w:eastAsia="Palatino Linotype" w:hAnsi="Palatino Linotype" w:cs="Palatino Linotype"/>
          <w:sz w:val="22"/>
          <w:lang w:val="es-ES"/>
        </w:rPr>
        <w:t xml:space="preserve"> para que pueda tomarse como válida su orientación sobre la forma en que puede consultar la información requerida, y que, en el caso en concreto, no acontece; ello porque el </w:t>
      </w:r>
      <w:r w:rsidRPr="002E7D94">
        <w:rPr>
          <w:rFonts w:ascii="Palatino Linotype" w:eastAsia="Palatino Linotype" w:hAnsi="Palatino Linotype" w:cs="Palatino Linotype"/>
          <w:b/>
          <w:sz w:val="22"/>
          <w:lang w:val="es-ES"/>
        </w:rPr>
        <w:t>Sujeto Obligado</w:t>
      </w:r>
      <w:r w:rsidRPr="002E7D94">
        <w:rPr>
          <w:rFonts w:ascii="Palatino Linotype" w:eastAsia="Palatino Linotype" w:hAnsi="Palatino Linotype" w:cs="Palatino Linotype"/>
          <w:sz w:val="22"/>
          <w:lang w:val="es-ES"/>
        </w:rPr>
        <w:t xml:space="preserve"> se limitó a indicar la dirección electrónica de su página oficial y de su IPOMEX, sin que señalara puntualmente el procedimiento que el particular debe seguir para acceder a la información requerida, lo que implica que  la fuente no es precisa; no es concreta, sino por el contrario ésta resulta abstracta y genera incertidumbre entre el cúmulo de información que se observa en la página; y por último, su fuente implica que el solicitante realice una búsqueda en toda la información que se encuentra disponible, lo que a todas luces trasgrede el numeral citado.</w:t>
      </w:r>
    </w:p>
    <w:p w14:paraId="3D0E4C24" w14:textId="77777777" w:rsidR="00DC249B" w:rsidRPr="002E7D94" w:rsidRDefault="00DC249B" w:rsidP="007D7EA6">
      <w:pPr>
        <w:spacing w:line="360" w:lineRule="auto"/>
        <w:jc w:val="both"/>
        <w:rPr>
          <w:rFonts w:ascii="Palatino Linotype" w:eastAsia="Palatino Linotype" w:hAnsi="Palatino Linotype" w:cs="Palatino Linotype"/>
          <w:sz w:val="22"/>
          <w:szCs w:val="22"/>
          <w:lang w:val="es-ES" w:eastAsia="es-ES"/>
        </w:rPr>
      </w:pPr>
    </w:p>
    <w:p w14:paraId="688BDF1C" w14:textId="77777777" w:rsidR="007949EB" w:rsidRPr="002E7D94" w:rsidRDefault="007D7EA6" w:rsidP="007D7EA6">
      <w:pPr>
        <w:spacing w:line="360" w:lineRule="auto"/>
        <w:jc w:val="both"/>
        <w:rPr>
          <w:rFonts w:ascii="Palatino Linotype" w:eastAsia="Palatino Linotype" w:hAnsi="Palatino Linotype" w:cs="Palatino Linotype"/>
          <w:sz w:val="22"/>
          <w:szCs w:val="22"/>
          <w:lang w:val="es-ES" w:eastAsia="es-ES"/>
        </w:rPr>
      </w:pPr>
      <w:r w:rsidRPr="002E7D94">
        <w:rPr>
          <w:rFonts w:ascii="Palatino Linotype" w:eastAsia="Palatino Linotype" w:hAnsi="Palatino Linotype" w:cs="Palatino Linotype"/>
          <w:sz w:val="22"/>
          <w:szCs w:val="22"/>
          <w:lang w:val="es-ES" w:eastAsia="es-ES"/>
        </w:rPr>
        <w:t>Por otro lado, cabe resaltar que</w:t>
      </w:r>
      <w:r w:rsidR="007949EB" w:rsidRPr="002E7D94">
        <w:rPr>
          <w:rFonts w:ascii="Palatino Linotype" w:eastAsia="Palatino Linotype" w:hAnsi="Palatino Linotype" w:cs="Palatino Linotype"/>
          <w:sz w:val="22"/>
          <w:szCs w:val="22"/>
          <w:lang w:val="es-ES" w:eastAsia="es-ES"/>
        </w:rPr>
        <w:t xml:space="preserve"> la información de análisis</w:t>
      </w:r>
      <w:r w:rsidR="002B16BC" w:rsidRPr="002E7D94">
        <w:rPr>
          <w:rFonts w:ascii="Palatino Linotype" w:eastAsia="Palatino Linotype" w:hAnsi="Palatino Linotype" w:cs="Palatino Linotype"/>
          <w:sz w:val="22"/>
          <w:szCs w:val="22"/>
          <w:lang w:val="es-ES" w:eastAsia="es-ES"/>
        </w:rPr>
        <w:t xml:space="preserve"> es </w:t>
      </w:r>
      <w:r w:rsidR="00DC249B" w:rsidRPr="002E7D94">
        <w:rPr>
          <w:rFonts w:ascii="Palatino Linotype" w:eastAsia="Palatino Linotype" w:hAnsi="Palatino Linotype" w:cs="Palatino Linotype"/>
          <w:sz w:val="22"/>
          <w:szCs w:val="22"/>
          <w:lang w:val="es-ES" w:eastAsia="es-ES"/>
        </w:rPr>
        <w:t xml:space="preserve">de interés público, toda vez que es </w:t>
      </w:r>
      <w:r w:rsidR="002B16BC" w:rsidRPr="002E7D94">
        <w:rPr>
          <w:rFonts w:ascii="Palatino Linotype" w:eastAsia="Palatino Linotype" w:hAnsi="Palatino Linotype" w:cs="Palatino Linotype"/>
          <w:sz w:val="22"/>
          <w:szCs w:val="22"/>
          <w:lang w:val="es-ES" w:eastAsia="es-ES"/>
        </w:rPr>
        <w:t xml:space="preserve">contemplada como una obligación de transparencia específica, aplicable a los municipios, tal como lo establece el artículo 94, fracción II, inciso b), mismos que se citan a continuación: </w:t>
      </w:r>
    </w:p>
    <w:p w14:paraId="58FB33CD" w14:textId="77777777" w:rsidR="002B16BC" w:rsidRPr="002E7D94" w:rsidRDefault="002B16BC" w:rsidP="007D7EA6">
      <w:pPr>
        <w:spacing w:line="360" w:lineRule="auto"/>
        <w:jc w:val="both"/>
        <w:rPr>
          <w:rFonts w:ascii="Palatino Linotype" w:eastAsia="Palatino Linotype" w:hAnsi="Palatino Linotype" w:cs="Palatino Linotype"/>
          <w:sz w:val="22"/>
          <w:szCs w:val="22"/>
          <w:lang w:val="es-ES" w:eastAsia="es-ES"/>
        </w:rPr>
      </w:pPr>
    </w:p>
    <w:p w14:paraId="37FF1843" w14:textId="77777777" w:rsidR="002B16BC" w:rsidRPr="002E7D94" w:rsidRDefault="002B16BC" w:rsidP="002B16BC">
      <w:pPr>
        <w:spacing w:line="276" w:lineRule="auto"/>
        <w:ind w:left="567" w:right="900"/>
        <w:jc w:val="both"/>
        <w:rPr>
          <w:rFonts w:ascii="Palatino Linotype" w:hAnsi="Palatino Linotype"/>
          <w:i/>
          <w:sz w:val="22"/>
          <w:szCs w:val="22"/>
          <w:lang w:val="es-ES" w:eastAsia="es-ES"/>
        </w:rPr>
      </w:pPr>
      <w:r w:rsidRPr="002E7D94">
        <w:rPr>
          <w:rFonts w:ascii="Palatino Linotype" w:hAnsi="Palatino Linotype"/>
          <w:i/>
          <w:sz w:val="22"/>
          <w:szCs w:val="22"/>
          <w:lang w:val="es-ES" w:eastAsia="es-ES"/>
        </w:rPr>
        <w:t>“Artículo 94. Además de las obligaciones de transparencia común a que se refiere el Capítulo II de este Título, los sujetos obligados del Poder Ejecutivo Local y municipales, deberán poner a disposición del público y actualizar la siguiente información:</w:t>
      </w:r>
    </w:p>
    <w:p w14:paraId="5052A58B" w14:textId="77777777" w:rsidR="002B16BC" w:rsidRPr="002E7D94" w:rsidRDefault="002B16BC" w:rsidP="002B16BC">
      <w:pPr>
        <w:spacing w:line="276" w:lineRule="auto"/>
        <w:ind w:left="567" w:right="900"/>
        <w:jc w:val="both"/>
        <w:rPr>
          <w:rFonts w:ascii="Palatino Linotype" w:hAnsi="Palatino Linotype"/>
          <w:i/>
          <w:sz w:val="22"/>
          <w:szCs w:val="22"/>
          <w:lang w:val="es-ES" w:eastAsia="es-ES"/>
        </w:rPr>
      </w:pPr>
      <w:r w:rsidRPr="002E7D94">
        <w:rPr>
          <w:rFonts w:ascii="Palatino Linotype" w:hAnsi="Palatino Linotype"/>
          <w:i/>
          <w:sz w:val="22"/>
          <w:szCs w:val="22"/>
          <w:lang w:val="es-ES" w:eastAsia="es-ES"/>
        </w:rPr>
        <w:t>…</w:t>
      </w:r>
    </w:p>
    <w:p w14:paraId="0DA5B238" w14:textId="77777777" w:rsidR="002B16BC" w:rsidRPr="002E7D94" w:rsidRDefault="002B16BC" w:rsidP="002B16BC">
      <w:pPr>
        <w:spacing w:line="276" w:lineRule="auto"/>
        <w:ind w:left="567" w:right="900"/>
        <w:jc w:val="both"/>
        <w:rPr>
          <w:rFonts w:ascii="Palatino Linotype" w:hAnsi="Palatino Linotype"/>
          <w:b/>
          <w:i/>
          <w:sz w:val="22"/>
          <w:szCs w:val="22"/>
          <w:lang w:val="es-ES" w:eastAsia="es-ES"/>
        </w:rPr>
      </w:pPr>
      <w:r w:rsidRPr="002E7D94">
        <w:rPr>
          <w:rFonts w:ascii="Palatino Linotype" w:hAnsi="Palatino Linotype"/>
          <w:b/>
          <w:i/>
          <w:sz w:val="22"/>
          <w:szCs w:val="22"/>
          <w:lang w:val="es-ES" w:eastAsia="es-ES"/>
        </w:rPr>
        <w:t xml:space="preserve">II. Adicionalmente en el caso de los municipios: </w:t>
      </w:r>
    </w:p>
    <w:p w14:paraId="28B2D753" w14:textId="77777777" w:rsidR="002B16BC" w:rsidRPr="002E7D94" w:rsidRDefault="002B16BC" w:rsidP="002B16BC">
      <w:pPr>
        <w:spacing w:line="276" w:lineRule="auto"/>
        <w:ind w:left="567" w:right="900"/>
        <w:jc w:val="both"/>
        <w:rPr>
          <w:rFonts w:ascii="Palatino Linotype" w:hAnsi="Palatino Linotype"/>
          <w:i/>
          <w:sz w:val="22"/>
          <w:szCs w:val="22"/>
          <w:lang w:val="es-ES" w:eastAsia="es-ES"/>
        </w:rPr>
      </w:pPr>
      <w:r w:rsidRPr="002E7D94">
        <w:rPr>
          <w:rFonts w:ascii="Palatino Linotype" w:hAnsi="Palatino Linotype"/>
          <w:i/>
          <w:sz w:val="22"/>
          <w:szCs w:val="22"/>
          <w:lang w:val="es-ES" w:eastAsia="es-ES"/>
        </w:rPr>
        <w:t>…</w:t>
      </w:r>
    </w:p>
    <w:p w14:paraId="6FFB61D7" w14:textId="77777777" w:rsidR="002B16BC" w:rsidRPr="002E7D94" w:rsidRDefault="002B16BC" w:rsidP="002B16BC">
      <w:pPr>
        <w:spacing w:line="276" w:lineRule="auto"/>
        <w:ind w:left="567" w:right="900"/>
        <w:jc w:val="both"/>
        <w:rPr>
          <w:rFonts w:ascii="Palatino Linotype" w:hAnsi="Palatino Linotype"/>
          <w:i/>
          <w:sz w:val="22"/>
          <w:szCs w:val="22"/>
          <w:lang w:val="es-ES" w:eastAsia="es-ES"/>
        </w:rPr>
      </w:pPr>
      <w:r w:rsidRPr="002E7D94">
        <w:rPr>
          <w:rFonts w:ascii="Palatino Linotype" w:hAnsi="Palatino Linotype"/>
          <w:i/>
          <w:sz w:val="22"/>
          <w:szCs w:val="22"/>
          <w:lang w:val="es-ES" w:eastAsia="es-ES"/>
        </w:rPr>
        <w:lastRenderedPageBreak/>
        <w:t xml:space="preserve">b) </w:t>
      </w:r>
      <w:r w:rsidRPr="002E7D94">
        <w:rPr>
          <w:rFonts w:ascii="Palatino Linotype" w:hAnsi="Palatino Linotype"/>
          <w:b/>
          <w:i/>
          <w:sz w:val="22"/>
          <w:szCs w:val="22"/>
          <w:lang w:val="es-ES" w:eastAsia="es-ES"/>
        </w:rPr>
        <w:t>Las actas de sesiones de cabildo</w:t>
      </w:r>
      <w:r w:rsidRPr="002E7D94">
        <w:rPr>
          <w:rFonts w:ascii="Palatino Linotype" w:hAnsi="Palatino Linotype"/>
          <w:i/>
          <w:sz w:val="22"/>
          <w:szCs w:val="22"/>
          <w:lang w:val="es-ES" w:eastAsia="es-ES"/>
        </w:rPr>
        <w:t>, los controles de asistencia de los integrantes del Ayuntamiento a las sesiones de cabildo y el sentido de votación de los miembros del cabildo sobre las iniciativas o acuerdos;” (Énfasis añadido)</w:t>
      </w:r>
    </w:p>
    <w:p w14:paraId="19E57B61" w14:textId="77777777" w:rsidR="00DC249B" w:rsidRPr="002E7D94" w:rsidRDefault="00DC249B">
      <w:pPr>
        <w:spacing w:line="360" w:lineRule="auto"/>
        <w:jc w:val="both"/>
        <w:rPr>
          <w:rFonts w:ascii="Palatino Linotype" w:eastAsia="Palatino Linotype" w:hAnsi="Palatino Linotype" w:cs="Palatino Linotype"/>
          <w:sz w:val="22"/>
          <w:szCs w:val="22"/>
        </w:rPr>
      </w:pPr>
    </w:p>
    <w:p w14:paraId="13BAFEE6" w14:textId="77777777" w:rsidR="00AE2083" w:rsidRPr="002E7D94" w:rsidRDefault="00F63ED3">
      <w:pPr>
        <w:spacing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 xml:space="preserve">En tal tesitura de lo expuesto a lo largo de estas líneas administrativas es que este Organismo Garante determina pertinente </w:t>
      </w:r>
      <w:r w:rsidRPr="002E7D94">
        <w:rPr>
          <w:rFonts w:ascii="Palatino Linotype" w:eastAsia="Palatino Linotype" w:hAnsi="Palatino Linotype" w:cs="Palatino Linotype"/>
          <w:b/>
          <w:sz w:val="22"/>
          <w:szCs w:val="22"/>
        </w:rPr>
        <w:t>REVOCAR</w:t>
      </w:r>
      <w:r w:rsidRPr="002E7D94">
        <w:rPr>
          <w:rFonts w:ascii="Palatino Linotype" w:eastAsia="Palatino Linotype" w:hAnsi="Palatino Linotype" w:cs="Palatino Linotype"/>
          <w:sz w:val="22"/>
          <w:szCs w:val="22"/>
        </w:rPr>
        <w:t xml:space="preserve"> la respuesta y ordenar la</w:t>
      </w:r>
      <w:r w:rsidR="002B16BC" w:rsidRPr="002E7D94">
        <w:rPr>
          <w:rFonts w:ascii="Palatino Linotype" w:eastAsia="Palatino Linotype" w:hAnsi="Palatino Linotype" w:cs="Palatino Linotype"/>
          <w:sz w:val="22"/>
          <w:szCs w:val="22"/>
        </w:rPr>
        <w:t xml:space="preserve"> entrega de las</w:t>
      </w:r>
      <w:r w:rsidR="002B16BC" w:rsidRPr="002E7D94">
        <w:rPr>
          <w:rFonts w:ascii="Palatino Linotype" w:eastAsia="Palatino Linotype" w:hAnsi="Palatino Linotype" w:cs="Palatino Linotype"/>
          <w:b/>
          <w:sz w:val="22"/>
          <w:szCs w:val="22"/>
        </w:rPr>
        <w:t xml:space="preserve"> actas de cabildo, </w:t>
      </w:r>
      <w:r w:rsidR="00DC249B" w:rsidRPr="002E7D94">
        <w:rPr>
          <w:rFonts w:ascii="Palatino Linotype" w:eastAsia="Palatino Linotype" w:hAnsi="Palatino Linotype" w:cs="Palatino Linotype"/>
          <w:b/>
          <w:sz w:val="22"/>
          <w:szCs w:val="22"/>
        </w:rPr>
        <w:t xml:space="preserve">de sesiones </w:t>
      </w:r>
      <w:r w:rsidR="002B16BC" w:rsidRPr="002E7D94">
        <w:rPr>
          <w:rFonts w:ascii="Palatino Linotype" w:eastAsia="Palatino Linotype" w:hAnsi="Palatino Linotype" w:cs="Palatino Linotype"/>
          <w:b/>
          <w:sz w:val="22"/>
          <w:szCs w:val="22"/>
        </w:rPr>
        <w:t>ordinarias y extraordinarias, celebradas por el H. Ayuntamiento de Calimaya, Administración 2025-2027, en el periodo comprendido del 01 de enero de 2025 al 04 de marzo de 2025</w:t>
      </w:r>
      <w:r w:rsidRPr="002E7D94">
        <w:rPr>
          <w:rFonts w:ascii="Palatino Linotype" w:eastAsia="Palatino Linotype" w:hAnsi="Palatino Linotype" w:cs="Palatino Linotype"/>
          <w:b/>
          <w:sz w:val="22"/>
          <w:szCs w:val="22"/>
        </w:rPr>
        <w:t>, en versión pública</w:t>
      </w:r>
      <w:r w:rsidR="002B16BC" w:rsidRPr="002E7D94">
        <w:rPr>
          <w:rFonts w:ascii="Palatino Linotype" w:eastAsia="Palatino Linotype" w:hAnsi="Palatino Linotype" w:cs="Palatino Linotype"/>
          <w:b/>
          <w:sz w:val="22"/>
          <w:szCs w:val="22"/>
        </w:rPr>
        <w:t xml:space="preserve"> de ser procedente</w:t>
      </w:r>
      <w:r w:rsidRPr="002E7D94">
        <w:rPr>
          <w:rFonts w:ascii="Palatino Linotype" w:eastAsia="Palatino Linotype" w:hAnsi="Palatino Linotype" w:cs="Palatino Linotype"/>
          <w:sz w:val="22"/>
          <w:szCs w:val="22"/>
        </w:rPr>
        <w:t>, conforme al considerando siguiente.</w:t>
      </w:r>
    </w:p>
    <w:p w14:paraId="07D17C0C" w14:textId="77777777" w:rsidR="002B16BC" w:rsidRPr="002E7D94" w:rsidRDefault="002B16BC" w:rsidP="002B16BC">
      <w:pPr>
        <w:pBdr>
          <w:top w:val="nil"/>
          <w:left w:val="nil"/>
          <w:bottom w:val="nil"/>
          <w:right w:val="nil"/>
          <w:between w:val="nil"/>
        </w:pBdr>
        <w:spacing w:before="240" w:after="240" w:line="360" w:lineRule="auto"/>
        <w:ind w:right="49"/>
        <w:jc w:val="both"/>
        <w:rPr>
          <w:sz w:val="22"/>
          <w:szCs w:val="22"/>
        </w:rPr>
      </w:pPr>
      <w:bookmarkStart w:id="8" w:name="_heading=h.ijv98pntcd5s" w:colFirst="0" w:colLast="0"/>
      <w:bookmarkEnd w:id="8"/>
      <w:r w:rsidRPr="002E7D94">
        <w:rPr>
          <w:rFonts w:ascii="Palatino Linotype" w:eastAsia="Palatino Linotype" w:hAnsi="Palatino Linotype" w:cs="Palatino Linotype"/>
          <w:b/>
          <w:sz w:val="22"/>
          <w:szCs w:val="22"/>
        </w:rPr>
        <w:t xml:space="preserve">Quinto. Versión Pública. </w:t>
      </w:r>
      <w:r w:rsidRPr="002E7D94">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w:t>
      </w:r>
      <w:r w:rsidRPr="002E7D94">
        <w:rPr>
          <w:rFonts w:ascii="Palatino Linotype" w:eastAsia="Palatino Linotype" w:hAnsi="Palatino Linotype" w:cs="Palatino Linotype"/>
          <w:b/>
          <w:sz w:val="22"/>
          <w:szCs w:val="22"/>
        </w:rPr>
        <w:t>la parte</w:t>
      </w:r>
      <w:r w:rsidRPr="002E7D94">
        <w:rPr>
          <w:rFonts w:ascii="Palatino Linotype" w:eastAsia="Palatino Linotype" w:hAnsi="Palatino Linotype" w:cs="Palatino Linotype"/>
          <w:sz w:val="22"/>
          <w:szCs w:val="22"/>
        </w:rPr>
        <w:t xml:space="preserve"> </w:t>
      </w:r>
      <w:r w:rsidRPr="002E7D94">
        <w:rPr>
          <w:rFonts w:ascii="Palatino Linotype" w:eastAsia="Palatino Linotype" w:hAnsi="Palatino Linotype" w:cs="Palatino Linotype"/>
          <w:b/>
          <w:sz w:val="22"/>
          <w:szCs w:val="22"/>
        </w:rPr>
        <w:t>Recurrente</w:t>
      </w:r>
      <w:r w:rsidRPr="002E7D94">
        <w:rPr>
          <w:rFonts w:ascii="Palatino Linotype" w:eastAsia="Palatino Linotype" w:hAnsi="Palatino Linotype" w:cs="Palatino Linotype"/>
          <w:sz w:val="22"/>
          <w:szCs w:val="22"/>
        </w:rPr>
        <w:t xml:space="preserve"> sin menoscabar el derecho a la protección de los datos personales de terceros.</w:t>
      </w:r>
    </w:p>
    <w:p w14:paraId="0A909E92" w14:textId="77777777" w:rsidR="002B16BC" w:rsidRPr="002E7D94" w:rsidRDefault="002B16BC" w:rsidP="002B16BC">
      <w:pPr>
        <w:pBdr>
          <w:top w:val="nil"/>
          <w:left w:val="nil"/>
          <w:bottom w:val="nil"/>
          <w:right w:val="nil"/>
          <w:between w:val="nil"/>
        </w:pBdr>
        <w:spacing w:before="240" w:after="240" w:line="360" w:lineRule="auto"/>
        <w:ind w:right="49"/>
        <w:jc w:val="both"/>
        <w:rPr>
          <w:sz w:val="22"/>
          <w:szCs w:val="22"/>
        </w:rPr>
      </w:pPr>
      <w:r w:rsidRPr="002E7D94">
        <w:rPr>
          <w:rFonts w:ascii="Palatino Linotype" w:eastAsia="Palatino Linotype" w:hAnsi="Palatino Linotype" w:cs="Palatino Linotype"/>
          <w:sz w:val="22"/>
          <w:szCs w:val="22"/>
        </w:rPr>
        <w:t>Lo anterior, de conformidad a lo que señalan los artículos 3, fracciones IX, XX, XXXII, XLV; 6, 137 y 143 fracción I, de la Ley de Transparencia y Acceso a la Información Pública del Estado de México y Municipios vigente, que se leen como sigue:</w:t>
      </w:r>
    </w:p>
    <w:p w14:paraId="69200215" w14:textId="77777777" w:rsidR="002B16BC" w:rsidRPr="002E7D94" w:rsidRDefault="002B16BC" w:rsidP="002B16BC">
      <w:pPr>
        <w:pBdr>
          <w:top w:val="nil"/>
          <w:left w:val="nil"/>
          <w:bottom w:val="nil"/>
          <w:right w:val="nil"/>
          <w:between w:val="nil"/>
        </w:pBdr>
        <w:spacing w:line="276" w:lineRule="auto"/>
        <w:ind w:left="567" w:right="900"/>
        <w:jc w:val="both"/>
        <w:rPr>
          <w:sz w:val="22"/>
          <w:szCs w:val="22"/>
        </w:rPr>
      </w:pPr>
      <w:r w:rsidRPr="002E7D94">
        <w:rPr>
          <w:rFonts w:ascii="Palatino Linotype" w:eastAsia="Palatino Linotype" w:hAnsi="Palatino Linotype" w:cs="Palatino Linotype"/>
          <w:b/>
          <w:i/>
          <w:sz w:val="22"/>
          <w:szCs w:val="22"/>
        </w:rPr>
        <w:t> “Artículo 3. Para los efectos de la presente Ley se entenderá por:</w:t>
      </w:r>
    </w:p>
    <w:p w14:paraId="0BFCBE91" w14:textId="77777777" w:rsidR="002B16BC" w:rsidRPr="002E7D94" w:rsidRDefault="002B16BC" w:rsidP="002B16BC">
      <w:pPr>
        <w:pBdr>
          <w:top w:val="nil"/>
          <w:left w:val="nil"/>
          <w:bottom w:val="nil"/>
          <w:right w:val="nil"/>
          <w:between w:val="nil"/>
        </w:pBdr>
        <w:spacing w:line="276" w:lineRule="auto"/>
        <w:ind w:left="567" w:right="900"/>
        <w:jc w:val="both"/>
        <w:rPr>
          <w:sz w:val="22"/>
          <w:szCs w:val="22"/>
        </w:rPr>
      </w:pPr>
      <w:r w:rsidRPr="002E7D94">
        <w:rPr>
          <w:rFonts w:ascii="Palatino Linotype" w:eastAsia="Palatino Linotype" w:hAnsi="Palatino Linotype" w:cs="Palatino Linotype"/>
          <w:b/>
          <w:i/>
          <w:sz w:val="22"/>
          <w:szCs w:val="22"/>
        </w:rPr>
        <w:t>IX. Datos personales:</w:t>
      </w:r>
      <w:r w:rsidRPr="002E7D94">
        <w:rPr>
          <w:rFonts w:ascii="Palatino Linotype" w:eastAsia="Palatino Linotype" w:hAnsi="Palatino Linotype" w:cs="Palatino Linotype"/>
          <w:i/>
          <w:sz w:val="22"/>
          <w:szCs w:val="22"/>
        </w:rPr>
        <w:t xml:space="preserve"> </w:t>
      </w:r>
      <w:r w:rsidRPr="002E7D94">
        <w:rPr>
          <w:rFonts w:ascii="Palatino Linotype" w:eastAsia="Palatino Linotype" w:hAnsi="Palatino Linotype" w:cs="Palatino Linotype"/>
          <w:b/>
          <w:i/>
          <w:sz w:val="22"/>
          <w:szCs w:val="22"/>
        </w:rPr>
        <w:t>La información concerniente a una persona, identificada o identificable</w:t>
      </w:r>
      <w:r w:rsidRPr="002E7D94">
        <w:rPr>
          <w:rFonts w:ascii="Palatino Linotype" w:eastAsia="Palatino Linotype" w:hAnsi="Palatino Linotype" w:cs="Palatino Linotype"/>
          <w:i/>
          <w:sz w:val="22"/>
          <w:szCs w:val="22"/>
        </w:rPr>
        <w:t xml:space="preserve"> según lo dispuesto por la Ley de Protección de Datos Personales del Estado de México;</w:t>
      </w:r>
    </w:p>
    <w:p w14:paraId="7A277978" w14:textId="77777777" w:rsidR="002B16BC" w:rsidRPr="002E7D94" w:rsidRDefault="002B16BC" w:rsidP="002B16BC">
      <w:pPr>
        <w:pBdr>
          <w:top w:val="nil"/>
          <w:left w:val="nil"/>
          <w:bottom w:val="nil"/>
          <w:right w:val="nil"/>
          <w:between w:val="nil"/>
        </w:pBdr>
        <w:spacing w:line="276" w:lineRule="auto"/>
        <w:ind w:left="567" w:right="900"/>
        <w:jc w:val="both"/>
        <w:rPr>
          <w:sz w:val="22"/>
          <w:szCs w:val="22"/>
        </w:rPr>
      </w:pPr>
      <w:r w:rsidRPr="002E7D94">
        <w:rPr>
          <w:rFonts w:ascii="Palatino Linotype" w:eastAsia="Palatino Linotype" w:hAnsi="Palatino Linotype" w:cs="Palatino Linotype"/>
          <w:b/>
          <w:i/>
          <w:sz w:val="22"/>
          <w:szCs w:val="22"/>
        </w:rPr>
        <w:t>XX. Información clasificada:</w:t>
      </w:r>
      <w:r w:rsidRPr="002E7D94">
        <w:rPr>
          <w:rFonts w:ascii="Palatino Linotype" w:eastAsia="Palatino Linotype" w:hAnsi="Palatino Linotype" w:cs="Palatino Linotype"/>
          <w:i/>
          <w:sz w:val="22"/>
          <w:szCs w:val="22"/>
        </w:rPr>
        <w:t xml:space="preserve"> Aquella considerada por la presente Ley como reservada o confidencial;</w:t>
      </w:r>
    </w:p>
    <w:p w14:paraId="576BE4A8" w14:textId="77777777" w:rsidR="002B16BC" w:rsidRPr="002E7D94" w:rsidRDefault="002B16BC" w:rsidP="002B16BC">
      <w:pPr>
        <w:pBdr>
          <w:top w:val="nil"/>
          <w:left w:val="nil"/>
          <w:bottom w:val="nil"/>
          <w:right w:val="nil"/>
          <w:between w:val="nil"/>
        </w:pBdr>
        <w:spacing w:line="276" w:lineRule="auto"/>
        <w:ind w:left="567" w:right="900"/>
        <w:jc w:val="both"/>
        <w:rPr>
          <w:sz w:val="22"/>
          <w:szCs w:val="22"/>
        </w:rPr>
      </w:pPr>
      <w:r w:rsidRPr="002E7D94">
        <w:rPr>
          <w:rFonts w:ascii="Palatino Linotype" w:eastAsia="Palatino Linotype" w:hAnsi="Palatino Linotype" w:cs="Palatino Linotype"/>
          <w:b/>
          <w:i/>
          <w:sz w:val="22"/>
          <w:szCs w:val="22"/>
        </w:rPr>
        <w:lastRenderedPageBreak/>
        <w:t>XXXII. Protección de Datos Personales:</w:t>
      </w:r>
      <w:r w:rsidRPr="002E7D94">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612FE8CE" w14:textId="77777777" w:rsidR="002B16BC" w:rsidRPr="002E7D94" w:rsidRDefault="002B16BC" w:rsidP="002B16BC">
      <w:pPr>
        <w:pBdr>
          <w:top w:val="nil"/>
          <w:left w:val="nil"/>
          <w:bottom w:val="nil"/>
          <w:right w:val="nil"/>
          <w:between w:val="nil"/>
        </w:pBdr>
        <w:spacing w:line="276" w:lineRule="auto"/>
        <w:ind w:left="567" w:right="900"/>
        <w:jc w:val="both"/>
        <w:rPr>
          <w:sz w:val="22"/>
          <w:szCs w:val="22"/>
        </w:rPr>
      </w:pPr>
      <w:r w:rsidRPr="002E7D94">
        <w:rPr>
          <w:rFonts w:ascii="Palatino Linotype" w:eastAsia="Palatino Linotype" w:hAnsi="Palatino Linotype" w:cs="Palatino Linotype"/>
          <w:b/>
          <w:i/>
          <w:sz w:val="22"/>
          <w:szCs w:val="22"/>
        </w:rPr>
        <w:t>XLV. Versión pública</w:t>
      </w:r>
      <w:r w:rsidRPr="002E7D94">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060316A2" w14:textId="77777777" w:rsidR="002B16BC" w:rsidRPr="002E7D94" w:rsidRDefault="002B16BC" w:rsidP="002B16BC">
      <w:pPr>
        <w:spacing w:line="276" w:lineRule="auto"/>
        <w:ind w:left="567" w:right="900"/>
        <w:jc w:val="both"/>
        <w:rPr>
          <w:sz w:val="22"/>
          <w:szCs w:val="22"/>
        </w:rPr>
      </w:pPr>
    </w:p>
    <w:p w14:paraId="3F87F8A1" w14:textId="77777777" w:rsidR="002B16BC" w:rsidRPr="002E7D94" w:rsidRDefault="002B16BC" w:rsidP="002B16BC">
      <w:pPr>
        <w:pBdr>
          <w:top w:val="nil"/>
          <w:left w:val="nil"/>
          <w:bottom w:val="nil"/>
          <w:right w:val="nil"/>
          <w:between w:val="nil"/>
        </w:pBdr>
        <w:spacing w:line="276" w:lineRule="auto"/>
        <w:ind w:left="567" w:right="900"/>
        <w:jc w:val="both"/>
        <w:rPr>
          <w:sz w:val="22"/>
          <w:szCs w:val="22"/>
        </w:rPr>
      </w:pPr>
      <w:r w:rsidRPr="002E7D94">
        <w:rPr>
          <w:rFonts w:ascii="Palatino Linotype" w:eastAsia="Palatino Linotype" w:hAnsi="Palatino Linotype" w:cs="Palatino Linotype"/>
          <w:b/>
          <w:i/>
          <w:sz w:val="22"/>
          <w:szCs w:val="22"/>
        </w:rPr>
        <w:t>“Artículo 6.</w:t>
      </w:r>
      <w:r w:rsidRPr="002E7D94">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E59FFAB" w14:textId="77777777" w:rsidR="002B16BC" w:rsidRPr="002E7D94" w:rsidRDefault="002B16BC" w:rsidP="002B16BC">
      <w:pPr>
        <w:spacing w:line="276" w:lineRule="auto"/>
        <w:ind w:left="567" w:right="900"/>
        <w:jc w:val="both"/>
        <w:rPr>
          <w:sz w:val="22"/>
          <w:szCs w:val="22"/>
        </w:rPr>
      </w:pPr>
    </w:p>
    <w:p w14:paraId="3DB23264" w14:textId="77777777" w:rsidR="002B16BC" w:rsidRPr="002E7D94" w:rsidRDefault="002B16BC" w:rsidP="002B16BC">
      <w:pPr>
        <w:pBdr>
          <w:top w:val="nil"/>
          <w:left w:val="nil"/>
          <w:bottom w:val="nil"/>
          <w:right w:val="nil"/>
          <w:between w:val="nil"/>
        </w:pBdr>
        <w:spacing w:line="276" w:lineRule="auto"/>
        <w:ind w:left="567" w:right="900"/>
        <w:jc w:val="both"/>
        <w:rPr>
          <w:sz w:val="22"/>
          <w:szCs w:val="22"/>
        </w:rPr>
      </w:pPr>
      <w:r w:rsidRPr="002E7D94">
        <w:rPr>
          <w:rFonts w:ascii="Palatino Linotype" w:eastAsia="Palatino Linotype" w:hAnsi="Palatino Linotype" w:cs="Palatino Linotype"/>
          <w:b/>
          <w:i/>
          <w:sz w:val="22"/>
          <w:szCs w:val="22"/>
        </w:rPr>
        <w:t>“Artículo 137.</w:t>
      </w:r>
      <w:r w:rsidRPr="002E7D94">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843F60C" w14:textId="77777777" w:rsidR="002B16BC" w:rsidRPr="002E7D94" w:rsidRDefault="002B16BC" w:rsidP="002B16BC">
      <w:pPr>
        <w:spacing w:line="276" w:lineRule="auto"/>
        <w:jc w:val="both"/>
        <w:rPr>
          <w:sz w:val="22"/>
          <w:szCs w:val="22"/>
        </w:rPr>
      </w:pPr>
    </w:p>
    <w:p w14:paraId="624334C0" w14:textId="77777777" w:rsidR="002B16BC" w:rsidRPr="002E7D94" w:rsidRDefault="002B16BC" w:rsidP="002B16BC">
      <w:pPr>
        <w:pBdr>
          <w:top w:val="nil"/>
          <w:left w:val="nil"/>
          <w:bottom w:val="nil"/>
          <w:right w:val="nil"/>
          <w:between w:val="nil"/>
        </w:pBdr>
        <w:spacing w:line="276" w:lineRule="auto"/>
        <w:ind w:left="567" w:right="900"/>
        <w:jc w:val="both"/>
        <w:rPr>
          <w:sz w:val="22"/>
          <w:szCs w:val="22"/>
        </w:rPr>
      </w:pPr>
      <w:r w:rsidRPr="002E7D94">
        <w:rPr>
          <w:rFonts w:ascii="Palatino Linotype" w:eastAsia="Palatino Linotype" w:hAnsi="Palatino Linotype" w:cs="Palatino Linotype"/>
          <w:b/>
          <w:i/>
          <w:sz w:val="22"/>
          <w:szCs w:val="22"/>
        </w:rPr>
        <w:t>“Artículo 143</w:t>
      </w:r>
      <w:r w:rsidRPr="002E7D94">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74B9679" w14:textId="77777777" w:rsidR="002B16BC" w:rsidRPr="002E7D94" w:rsidRDefault="002B16BC" w:rsidP="002B16BC">
      <w:pPr>
        <w:pBdr>
          <w:top w:val="nil"/>
          <w:left w:val="nil"/>
          <w:bottom w:val="nil"/>
          <w:right w:val="nil"/>
          <w:between w:val="nil"/>
        </w:pBdr>
        <w:spacing w:line="276" w:lineRule="auto"/>
        <w:ind w:left="567" w:right="900"/>
        <w:jc w:val="both"/>
        <w:rPr>
          <w:sz w:val="22"/>
          <w:szCs w:val="22"/>
        </w:rPr>
      </w:pPr>
      <w:r w:rsidRPr="002E7D94">
        <w:rPr>
          <w:rFonts w:ascii="Palatino Linotype" w:eastAsia="Palatino Linotype" w:hAnsi="Palatino Linotype" w:cs="Palatino Linotype"/>
          <w:b/>
          <w:i/>
          <w:sz w:val="22"/>
          <w:szCs w:val="22"/>
        </w:rPr>
        <w:t>I.</w:t>
      </w:r>
      <w:r w:rsidRPr="002E7D94">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39D868F0" w14:textId="77777777" w:rsidR="002B16BC" w:rsidRPr="002E7D94" w:rsidRDefault="002B16BC" w:rsidP="002B16BC">
      <w:pPr>
        <w:pBdr>
          <w:top w:val="nil"/>
          <w:left w:val="nil"/>
          <w:bottom w:val="nil"/>
          <w:right w:val="nil"/>
          <w:between w:val="nil"/>
        </w:pBdr>
        <w:spacing w:line="276" w:lineRule="auto"/>
        <w:ind w:left="567" w:right="900"/>
        <w:jc w:val="both"/>
        <w:rPr>
          <w:sz w:val="22"/>
          <w:szCs w:val="22"/>
        </w:rPr>
      </w:pPr>
      <w:r w:rsidRPr="002E7D94">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3E3E95E1" w14:textId="77777777" w:rsidR="002B16BC" w:rsidRPr="002E7D94" w:rsidRDefault="002B16BC" w:rsidP="002B16BC">
      <w:pPr>
        <w:pBdr>
          <w:top w:val="nil"/>
          <w:left w:val="nil"/>
          <w:bottom w:val="nil"/>
          <w:right w:val="nil"/>
          <w:between w:val="nil"/>
        </w:pBdr>
        <w:spacing w:line="276" w:lineRule="auto"/>
        <w:ind w:left="567" w:right="900"/>
        <w:jc w:val="both"/>
        <w:rPr>
          <w:sz w:val="22"/>
          <w:szCs w:val="22"/>
        </w:rPr>
      </w:pPr>
      <w:r w:rsidRPr="002E7D94">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w:t>
      </w:r>
    </w:p>
    <w:p w14:paraId="0208B8A7" w14:textId="77777777" w:rsidR="002B16BC" w:rsidRPr="002E7D94" w:rsidRDefault="002B16BC" w:rsidP="002B16BC">
      <w:pPr>
        <w:spacing w:line="360" w:lineRule="auto"/>
        <w:jc w:val="both"/>
        <w:rPr>
          <w:sz w:val="22"/>
          <w:szCs w:val="22"/>
        </w:rPr>
      </w:pPr>
    </w:p>
    <w:p w14:paraId="23A07EF7" w14:textId="77777777" w:rsidR="002B16BC" w:rsidRPr="002E7D94" w:rsidRDefault="002B16BC" w:rsidP="002B16BC">
      <w:pPr>
        <w:pBdr>
          <w:top w:val="nil"/>
          <w:left w:val="nil"/>
          <w:bottom w:val="nil"/>
          <w:right w:val="nil"/>
          <w:between w:val="nil"/>
        </w:pBdr>
        <w:spacing w:line="360" w:lineRule="auto"/>
        <w:ind w:right="51"/>
        <w:jc w:val="both"/>
        <w:rPr>
          <w:sz w:val="22"/>
          <w:szCs w:val="22"/>
        </w:rPr>
      </w:pPr>
      <w:r w:rsidRPr="002E7D94">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2E7D94">
        <w:rPr>
          <w:rFonts w:ascii="Palatino Linotype" w:eastAsia="Palatino Linotype" w:hAnsi="Palatino Linotype" w:cs="Palatino Linotype"/>
          <w:b/>
          <w:sz w:val="22"/>
          <w:szCs w:val="22"/>
        </w:rPr>
        <w:t>Sujeto Obligado</w:t>
      </w:r>
      <w:r w:rsidRPr="002E7D94">
        <w:rPr>
          <w:rFonts w:ascii="Palatino Linotype" w:eastAsia="Palatino Linotype" w:hAnsi="Palatino Linotype" w:cs="Palatino Linotype"/>
          <w:sz w:val="22"/>
          <w:szCs w:val="22"/>
        </w:rPr>
        <w:t xml:space="preserve"> deberá </w:t>
      </w:r>
      <w:r w:rsidRPr="002E7D94">
        <w:rPr>
          <w:rFonts w:ascii="Palatino Linotype" w:eastAsia="Palatino Linotype" w:hAnsi="Palatino Linotype" w:cs="Palatino Linotype"/>
          <w:sz w:val="22"/>
          <w:szCs w:val="22"/>
        </w:rPr>
        <w:lastRenderedPageBreak/>
        <w:t xml:space="preserve">proceder a testar los datos personales que se encuentren contenidos en los documentos a entregar para satisfacer el derecho de acceso a la información pública de </w:t>
      </w:r>
      <w:r w:rsidRPr="002E7D94">
        <w:rPr>
          <w:rFonts w:ascii="Palatino Linotype" w:eastAsia="Palatino Linotype" w:hAnsi="Palatino Linotype" w:cs="Palatino Linotype"/>
          <w:b/>
          <w:sz w:val="22"/>
          <w:szCs w:val="22"/>
        </w:rPr>
        <w:t>la parte</w:t>
      </w:r>
      <w:r w:rsidRPr="002E7D94">
        <w:rPr>
          <w:rFonts w:ascii="Palatino Linotype" w:eastAsia="Palatino Linotype" w:hAnsi="Palatino Linotype" w:cs="Palatino Linotype"/>
          <w:sz w:val="22"/>
          <w:szCs w:val="22"/>
        </w:rPr>
        <w:t xml:space="preserve"> </w:t>
      </w:r>
      <w:r w:rsidRPr="002E7D94">
        <w:rPr>
          <w:rFonts w:ascii="Palatino Linotype" w:eastAsia="Palatino Linotype" w:hAnsi="Palatino Linotype" w:cs="Palatino Linotype"/>
          <w:b/>
          <w:sz w:val="22"/>
          <w:szCs w:val="22"/>
        </w:rPr>
        <w:t>Recurrente</w:t>
      </w:r>
      <w:r w:rsidRPr="002E7D94">
        <w:rPr>
          <w:rFonts w:ascii="Palatino Linotype" w:eastAsia="Palatino Linotype" w:hAnsi="Palatino Linotype" w:cs="Palatino Linotype"/>
          <w:sz w:val="22"/>
          <w:szCs w:val="22"/>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5F338839" w14:textId="77777777" w:rsidR="002B16BC" w:rsidRPr="002E7D94" w:rsidRDefault="002B16BC" w:rsidP="002B16BC">
      <w:pPr>
        <w:spacing w:line="360" w:lineRule="auto"/>
        <w:jc w:val="both"/>
        <w:rPr>
          <w:sz w:val="22"/>
          <w:szCs w:val="22"/>
        </w:rPr>
      </w:pPr>
    </w:p>
    <w:p w14:paraId="56FDCFEB" w14:textId="77777777" w:rsidR="002B16BC" w:rsidRPr="002E7D94" w:rsidRDefault="002B16BC" w:rsidP="002B16BC">
      <w:pPr>
        <w:pBdr>
          <w:top w:val="nil"/>
          <w:left w:val="nil"/>
          <w:bottom w:val="nil"/>
          <w:right w:val="nil"/>
          <w:between w:val="nil"/>
        </w:pBdr>
        <w:spacing w:line="360" w:lineRule="auto"/>
        <w:ind w:right="50"/>
        <w:jc w:val="both"/>
        <w:rPr>
          <w:sz w:val="22"/>
          <w:szCs w:val="22"/>
        </w:rPr>
      </w:pPr>
      <w:r w:rsidRPr="002E7D94">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21E42B6" w14:textId="77777777" w:rsidR="002B16BC" w:rsidRPr="002E7D94" w:rsidRDefault="002B16BC" w:rsidP="002B16BC">
      <w:pPr>
        <w:spacing w:line="360" w:lineRule="auto"/>
        <w:jc w:val="both"/>
        <w:rPr>
          <w:sz w:val="22"/>
          <w:szCs w:val="22"/>
        </w:rPr>
      </w:pPr>
    </w:p>
    <w:p w14:paraId="3DF21FE0" w14:textId="77777777" w:rsidR="002B16BC" w:rsidRPr="002E7D94" w:rsidRDefault="002B16BC" w:rsidP="002B16BC">
      <w:pPr>
        <w:pBdr>
          <w:top w:val="nil"/>
          <w:left w:val="nil"/>
          <w:bottom w:val="nil"/>
          <w:right w:val="nil"/>
          <w:between w:val="nil"/>
        </w:pBdr>
        <w:spacing w:line="360" w:lineRule="auto"/>
        <w:ind w:right="51"/>
        <w:jc w:val="both"/>
        <w:rPr>
          <w:sz w:val="22"/>
          <w:szCs w:val="22"/>
        </w:rPr>
      </w:pPr>
      <w:r w:rsidRPr="002E7D94">
        <w:rPr>
          <w:rFonts w:ascii="Palatino Linotype" w:eastAsia="Palatino Linotype" w:hAnsi="Palatino Linotype" w:cs="Palatino Linotype"/>
          <w:sz w:val="22"/>
          <w:szCs w:val="22"/>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Pr="002E7D94">
        <w:rPr>
          <w:rFonts w:ascii="Palatino Linotype" w:eastAsia="Palatino Linotype" w:hAnsi="Palatino Linotype" w:cs="Palatino Linotype"/>
          <w:b/>
          <w:sz w:val="22"/>
          <w:szCs w:val="22"/>
        </w:rPr>
        <w:t>Sujeto Obligado</w:t>
      </w:r>
      <w:r w:rsidRPr="002E7D94">
        <w:rPr>
          <w:rFonts w:ascii="Palatino Linotype" w:eastAsia="Palatino Linotype" w:hAnsi="Palatino Linotype" w:cs="Palatino Linotype"/>
          <w:sz w:val="22"/>
          <w:szCs w:val="22"/>
        </w:rPr>
        <w:t>, sino que ello deberá realizarse en términos de lo que disponen los artículos 49 fracción VIII, 53, fracción X y 59, fracción V, de la Ley en consulta, cuyo sentido literal es el siguiente:</w:t>
      </w:r>
    </w:p>
    <w:p w14:paraId="0CBDB376" w14:textId="77777777" w:rsidR="002B16BC" w:rsidRPr="002E7D94" w:rsidRDefault="002B16BC" w:rsidP="002B16BC">
      <w:pPr>
        <w:spacing w:line="360" w:lineRule="auto"/>
        <w:jc w:val="both"/>
        <w:rPr>
          <w:sz w:val="22"/>
          <w:szCs w:val="22"/>
        </w:rPr>
      </w:pPr>
    </w:p>
    <w:p w14:paraId="649A7C99" w14:textId="77777777" w:rsidR="002B16BC" w:rsidRPr="002E7D94" w:rsidRDefault="002B16BC" w:rsidP="002B16BC">
      <w:pPr>
        <w:pBdr>
          <w:top w:val="nil"/>
          <w:left w:val="nil"/>
          <w:bottom w:val="nil"/>
          <w:right w:val="nil"/>
          <w:between w:val="nil"/>
        </w:pBdr>
        <w:spacing w:line="276" w:lineRule="auto"/>
        <w:ind w:left="567" w:right="900"/>
        <w:jc w:val="both"/>
        <w:rPr>
          <w:sz w:val="22"/>
          <w:szCs w:val="22"/>
        </w:rPr>
      </w:pPr>
      <w:r w:rsidRPr="002E7D94">
        <w:rPr>
          <w:rFonts w:ascii="Palatino Linotype" w:eastAsia="Palatino Linotype" w:hAnsi="Palatino Linotype" w:cs="Palatino Linotype"/>
          <w:b/>
          <w:i/>
          <w:sz w:val="22"/>
          <w:szCs w:val="22"/>
        </w:rPr>
        <w:t>“Artículo 49.</w:t>
      </w:r>
      <w:r w:rsidRPr="002E7D94">
        <w:rPr>
          <w:rFonts w:ascii="Palatino Linotype" w:eastAsia="Palatino Linotype" w:hAnsi="Palatino Linotype" w:cs="Palatino Linotype"/>
          <w:i/>
          <w:sz w:val="22"/>
          <w:szCs w:val="22"/>
        </w:rPr>
        <w:t xml:space="preserve"> </w:t>
      </w:r>
      <w:r w:rsidRPr="002E7D94">
        <w:rPr>
          <w:rFonts w:ascii="Palatino Linotype" w:eastAsia="Palatino Linotype" w:hAnsi="Palatino Linotype" w:cs="Palatino Linotype"/>
          <w:b/>
          <w:i/>
          <w:sz w:val="22"/>
          <w:szCs w:val="22"/>
        </w:rPr>
        <w:t>Los Comités de Transparencia</w:t>
      </w:r>
      <w:r w:rsidRPr="002E7D94">
        <w:rPr>
          <w:rFonts w:ascii="Palatino Linotype" w:eastAsia="Palatino Linotype" w:hAnsi="Palatino Linotype" w:cs="Palatino Linotype"/>
          <w:i/>
          <w:sz w:val="22"/>
          <w:szCs w:val="22"/>
        </w:rPr>
        <w:t xml:space="preserve"> tendrán las siguientes atribuciones:</w:t>
      </w:r>
    </w:p>
    <w:p w14:paraId="15AAE568" w14:textId="77777777" w:rsidR="002B16BC" w:rsidRPr="002E7D94" w:rsidRDefault="002B16BC" w:rsidP="002B16BC">
      <w:pPr>
        <w:pBdr>
          <w:top w:val="nil"/>
          <w:left w:val="nil"/>
          <w:bottom w:val="nil"/>
          <w:right w:val="nil"/>
          <w:between w:val="nil"/>
        </w:pBdr>
        <w:spacing w:line="276" w:lineRule="auto"/>
        <w:ind w:left="567" w:right="900"/>
        <w:jc w:val="both"/>
        <w:rPr>
          <w:sz w:val="22"/>
          <w:szCs w:val="22"/>
        </w:rPr>
      </w:pPr>
      <w:r w:rsidRPr="002E7D94">
        <w:rPr>
          <w:rFonts w:ascii="Palatino Linotype" w:eastAsia="Palatino Linotype" w:hAnsi="Palatino Linotype" w:cs="Palatino Linotype"/>
          <w:b/>
          <w:i/>
          <w:sz w:val="22"/>
          <w:szCs w:val="22"/>
        </w:rPr>
        <w:t>VIII. Aprobar, modificar o revocar la clasificación de la información</w:t>
      </w:r>
      <w:r w:rsidRPr="002E7D94">
        <w:rPr>
          <w:rFonts w:ascii="Palatino Linotype" w:eastAsia="Palatino Linotype" w:hAnsi="Palatino Linotype" w:cs="Palatino Linotype"/>
          <w:i/>
          <w:sz w:val="22"/>
          <w:szCs w:val="22"/>
        </w:rPr>
        <w:t>…”</w:t>
      </w:r>
    </w:p>
    <w:p w14:paraId="582F88DE" w14:textId="77777777" w:rsidR="002B16BC" w:rsidRPr="002E7D94" w:rsidRDefault="002B16BC" w:rsidP="002B16BC">
      <w:pPr>
        <w:pBdr>
          <w:top w:val="nil"/>
          <w:left w:val="nil"/>
          <w:bottom w:val="nil"/>
          <w:right w:val="nil"/>
          <w:between w:val="nil"/>
        </w:pBdr>
        <w:spacing w:line="276" w:lineRule="auto"/>
        <w:ind w:left="567" w:right="900"/>
        <w:jc w:val="both"/>
        <w:rPr>
          <w:sz w:val="22"/>
          <w:szCs w:val="22"/>
        </w:rPr>
      </w:pPr>
      <w:r w:rsidRPr="002E7D94">
        <w:rPr>
          <w:rFonts w:ascii="Palatino Linotype" w:eastAsia="Palatino Linotype" w:hAnsi="Palatino Linotype" w:cs="Palatino Linotype"/>
          <w:i/>
          <w:sz w:val="22"/>
          <w:szCs w:val="22"/>
        </w:rPr>
        <w:t>“</w:t>
      </w:r>
      <w:r w:rsidRPr="002E7D94">
        <w:rPr>
          <w:rFonts w:ascii="Palatino Linotype" w:eastAsia="Palatino Linotype" w:hAnsi="Palatino Linotype" w:cs="Palatino Linotype"/>
          <w:b/>
          <w:i/>
          <w:sz w:val="22"/>
          <w:szCs w:val="22"/>
        </w:rPr>
        <w:t>Artículo 53.</w:t>
      </w:r>
      <w:r w:rsidRPr="002E7D94">
        <w:rPr>
          <w:rFonts w:ascii="Palatino Linotype" w:eastAsia="Palatino Linotype" w:hAnsi="Palatino Linotype" w:cs="Palatino Linotype"/>
          <w:i/>
          <w:sz w:val="22"/>
          <w:szCs w:val="22"/>
        </w:rPr>
        <w:t xml:space="preserve"> Las </w:t>
      </w:r>
      <w:r w:rsidRPr="002E7D94">
        <w:rPr>
          <w:rFonts w:ascii="Palatino Linotype" w:eastAsia="Palatino Linotype" w:hAnsi="Palatino Linotype" w:cs="Palatino Linotype"/>
          <w:b/>
          <w:i/>
          <w:sz w:val="22"/>
          <w:szCs w:val="22"/>
        </w:rPr>
        <w:t>Unidades de Transparencia</w:t>
      </w:r>
      <w:r w:rsidRPr="002E7D94">
        <w:rPr>
          <w:rFonts w:ascii="Palatino Linotype" w:eastAsia="Palatino Linotype" w:hAnsi="Palatino Linotype" w:cs="Palatino Linotype"/>
          <w:i/>
          <w:sz w:val="22"/>
          <w:szCs w:val="22"/>
        </w:rPr>
        <w:t xml:space="preserve"> tendrán las siguientes </w:t>
      </w:r>
      <w:r w:rsidRPr="002E7D94">
        <w:rPr>
          <w:rFonts w:ascii="Palatino Linotype" w:eastAsia="Palatino Linotype" w:hAnsi="Palatino Linotype" w:cs="Palatino Linotype"/>
          <w:b/>
          <w:i/>
          <w:sz w:val="22"/>
          <w:szCs w:val="22"/>
        </w:rPr>
        <w:t>funciones</w:t>
      </w:r>
      <w:r w:rsidRPr="002E7D94">
        <w:rPr>
          <w:rFonts w:ascii="Palatino Linotype" w:eastAsia="Palatino Linotype" w:hAnsi="Palatino Linotype" w:cs="Palatino Linotype"/>
          <w:i/>
          <w:sz w:val="22"/>
          <w:szCs w:val="22"/>
        </w:rPr>
        <w:t>:</w:t>
      </w:r>
    </w:p>
    <w:p w14:paraId="32A28E6E" w14:textId="77777777" w:rsidR="002B16BC" w:rsidRPr="002E7D94" w:rsidRDefault="002B16BC" w:rsidP="002B16BC">
      <w:pPr>
        <w:pBdr>
          <w:top w:val="nil"/>
          <w:left w:val="nil"/>
          <w:bottom w:val="nil"/>
          <w:right w:val="nil"/>
          <w:between w:val="nil"/>
        </w:pBdr>
        <w:spacing w:line="276" w:lineRule="auto"/>
        <w:ind w:left="567" w:right="900"/>
        <w:jc w:val="both"/>
        <w:rPr>
          <w:sz w:val="22"/>
          <w:szCs w:val="22"/>
        </w:rPr>
      </w:pPr>
      <w:r w:rsidRPr="002E7D94">
        <w:rPr>
          <w:rFonts w:ascii="Palatino Linotype" w:eastAsia="Palatino Linotype" w:hAnsi="Palatino Linotype" w:cs="Palatino Linotype"/>
          <w:b/>
          <w:i/>
          <w:sz w:val="22"/>
          <w:szCs w:val="22"/>
        </w:rPr>
        <w:t>X. Presentar ante el Comité, el proyecto de clasificación de información</w:t>
      </w:r>
      <w:r w:rsidRPr="002E7D94">
        <w:rPr>
          <w:rFonts w:ascii="Palatino Linotype" w:eastAsia="Palatino Linotype" w:hAnsi="Palatino Linotype" w:cs="Palatino Linotype"/>
          <w:i/>
          <w:sz w:val="22"/>
          <w:szCs w:val="22"/>
        </w:rPr>
        <w:t>…” </w:t>
      </w:r>
    </w:p>
    <w:p w14:paraId="213EED60" w14:textId="77777777" w:rsidR="002B16BC" w:rsidRPr="002E7D94" w:rsidRDefault="002B16BC" w:rsidP="002B16BC">
      <w:pPr>
        <w:pBdr>
          <w:top w:val="nil"/>
          <w:left w:val="nil"/>
          <w:bottom w:val="nil"/>
          <w:right w:val="nil"/>
          <w:between w:val="nil"/>
        </w:pBdr>
        <w:spacing w:line="276" w:lineRule="auto"/>
        <w:ind w:left="567" w:right="900"/>
        <w:jc w:val="both"/>
        <w:rPr>
          <w:sz w:val="22"/>
          <w:szCs w:val="22"/>
        </w:rPr>
      </w:pPr>
      <w:r w:rsidRPr="002E7D94">
        <w:rPr>
          <w:rFonts w:ascii="Palatino Linotype" w:eastAsia="Palatino Linotype" w:hAnsi="Palatino Linotype" w:cs="Palatino Linotype"/>
          <w:b/>
          <w:i/>
          <w:sz w:val="22"/>
          <w:szCs w:val="22"/>
        </w:rPr>
        <w:t>“Artículo 59.</w:t>
      </w:r>
      <w:r w:rsidRPr="002E7D94">
        <w:rPr>
          <w:rFonts w:ascii="Palatino Linotype" w:eastAsia="Palatino Linotype" w:hAnsi="Palatino Linotype" w:cs="Palatino Linotype"/>
          <w:i/>
          <w:sz w:val="22"/>
          <w:szCs w:val="22"/>
        </w:rPr>
        <w:t xml:space="preserve"> Los </w:t>
      </w:r>
      <w:r w:rsidRPr="002E7D94">
        <w:rPr>
          <w:rFonts w:ascii="Palatino Linotype" w:eastAsia="Palatino Linotype" w:hAnsi="Palatino Linotype" w:cs="Palatino Linotype"/>
          <w:b/>
          <w:i/>
          <w:sz w:val="22"/>
          <w:szCs w:val="22"/>
        </w:rPr>
        <w:t>servidores públicos habilitados</w:t>
      </w:r>
      <w:r w:rsidRPr="002E7D94">
        <w:rPr>
          <w:rFonts w:ascii="Palatino Linotype" w:eastAsia="Palatino Linotype" w:hAnsi="Palatino Linotype" w:cs="Palatino Linotype"/>
          <w:i/>
          <w:sz w:val="22"/>
          <w:szCs w:val="22"/>
        </w:rPr>
        <w:t xml:space="preserve"> tendrán las </w:t>
      </w:r>
      <w:r w:rsidRPr="002E7D94">
        <w:rPr>
          <w:rFonts w:ascii="Palatino Linotype" w:eastAsia="Palatino Linotype" w:hAnsi="Palatino Linotype" w:cs="Palatino Linotype"/>
          <w:b/>
          <w:i/>
          <w:sz w:val="22"/>
          <w:szCs w:val="22"/>
        </w:rPr>
        <w:t>funciones</w:t>
      </w:r>
      <w:r w:rsidRPr="002E7D94">
        <w:rPr>
          <w:rFonts w:ascii="Palatino Linotype" w:eastAsia="Palatino Linotype" w:hAnsi="Palatino Linotype" w:cs="Palatino Linotype"/>
          <w:i/>
          <w:sz w:val="22"/>
          <w:szCs w:val="22"/>
        </w:rPr>
        <w:t xml:space="preserve"> siguientes:</w:t>
      </w:r>
    </w:p>
    <w:p w14:paraId="0625466F" w14:textId="77777777" w:rsidR="002B16BC" w:rsidRPr="002E7D94" w:rsidRDefault="002B16BC" w:rsidP="002B16BC">
      <w:pPr>
        <w:pBdr>
          <w:top w:val="nil"/>
          <w:left w:val="nil"/>
          <w:bottom w:val="nil"/>
          <w:right w:val="nil"/>
          <w:between w:val="nil"/>
        </w:pBdr>
        <w:spacing w:line="276" w:lineRule="auto"/>
        <w:ind w:left="567" w:right="900"/>
        <w:jc w:val="both"/>
        <w:rPr>
          <w:sz w:val="22"/>
          <w:szCs w:val="22"/>
        </w:rPr>
      </w:pPr>
      <w:r w:rsidRPr="002E7D94">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2E7D94">
        <w:rPr>
          <w:rFonts w:ascii="Palatino Linotype" w:eastAsia="Palatino Linotype" w:hAnsi="Palatino Linotype" w:cs="Palatino Linotype"/>
          <w:i/>
          <w:sz w:val="22"/>
          <w:szCs w:val="22"/>
        </w:rPr>
        <w:t>, la cual tendrá los fundamentos y argumentos en que se basa dicha propuesta…” </w:t>
      </w:r>
    </w:p>
    <w:p w14:paraId="5F0BB989" w14:textId="77777777" w:rsidR="002B16BC" w:rsidRPr="002E7D94" w:rsidRDefault="002B16BC" w:rsidP="002B16BC">
      <w:pPr>
        <w:spacing w:line="360" w:lineRule="auto"/>
        <w:jc w:val="both"/>
        <w:rPr>
          <w:sz w:val="22"/>
          <w:szCs w:val="22"/>
        </w:rPr>
      </w:pPr>
    </w:p>
    <w:p w14:paraId="5FD992DC" w14:textId="77777777" w:rsidR="002B16BC" w:rsidRPr="002E7D94" w:rsidRDefault="002B16BC" w:rsidP="002B16BC">
      <w:pPr>
        <w:pBdr>
          <w:top w:val="nil"/>
          <w:left w:val="nil"/>
          <w:bottom w:val="nil"/>
          <w:right w:val="nil"/>
          <w:between w:val="nil"/>
        </w:pBdr>
        <w:spacing w:line="360" w:lineRule="auto"/>
        <w:jc w:val="both"/>
        <w:rPr>
          <w:sz w:val="22"/>
          <w:szCs w:val="22"/>
        </w:rPr>
      </w:pPr>
      <w:r w:rsidRPr="002E7D94">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8E3F6D0" w14:textId="77777777" w:rsidR="002B16BC" w:rsidRPr="002E7D94" w:rsidRDefault="002B16BC" w:rsidP="002B16BC">
      <w:pPr>
        <w:spacing w:line="360" w:lineRule="auto"/>
        <w:jc w:val="both"/>
        <w:rPr>
          <w:sz w:val="22"/>
          <w:szCs w:val="22"/>
        </w:rPr>
      </w:pPr>
    </w:p>
    <w:p w14:paraId="1C804AD4" w14:textId="77777777" w:rsidR="002B16BC" w:rsidRPr="002E7D94" w:rsidRDefault="002B16BC" w:rsidP="002B16BC">
      <w:pPr>
        <w:pBdr>
          <w:top w:val="nil"/>
          <w:left w:val="nil"/>
          <w:bottom w:val="nil"/>
          <w:right w:val="nil"/>
          <w:between w:val="nil"/>
        </w:pBdr>
        <w:spacing w:line="360" w:lineRule="auto"/>
        <w:jc w:val="both"/>
        <w:rPr>
          <w:sz w:val="22"/>
          <w:szCs w:val="22"/>
        </w:rPr>
      </w:pPr>
      <w:r w:rsidRPr="002E7D94">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00C36283" w14:textId="77777777" w:rsidR="002B16BC" w:rsidRPr="002E7D94" w:rsidRDefault="002B16BC" w:rsidP="002B16BC">
      <w:pPr>
        <w:spacing w:line="276" w:lineRule="auto"/>
        <w:jc w:val="both"/>
        <w:rPr>
          <w:sz w:val="22"/>
          <w:szCs w:val="22"/>
        </w:rPr>
      </w:pPr>
    </w:p>
    <w:p w14:paraId="62A6F79B" w14:textId="77777777" w:rsidR="002B16BC" w:rsidRPr="002E7D94" w:rsidRDefault="002B16BC" w:rsidP="002B16BC">
      <w:pPr>
        <w:pBdr>
          <w:top w:val="nil"/>
          <w:left w:val="nil"/>
          <w:bottom w:val="nil"/>
          <w:right w:val="nil"/>
          <w:between w:val="nil"/>
        </w:pBdr>
        <w:spacing w:after="240" w:line="276" w:lineRule="auto"/>
        <w:ind w:left="567" w:right="900"/>
        <w:jc w:val="both"/>
        <w:rPr>
          <w:sz w:val="22"/>
          <w:szCs w:val="22"/>
        </w:rPr>
      </w:pPr>
      <w:r w:rsidRPr="002E7D94">
        <w:rPr>
          <w:rFonts w:ascii="Palatino Linotype" w:eastAsia="Palatino Linotype" w:hAnsi="Palatino Linotype" w:cs="Palatino Linotype"/>
          <w:i/>
          <w:sz w:val="22"/>
          <w:szCs w:val="22"/>
        </w:rPr>
        <w:t>“</w:t>
      </w:r>
      <w:r w:rsidRPr="002E7D94">
        <w:rPr>
          <w:rFonts w:ascii="Palatino Linotype" w:eastAsia="Palatino Linotype" w:hAnsi="Palatino Linotype" w:cs="Palatino Linotype"/>
          <w:b/>
          <w:i/>
          <w:sz w:val="22"/>
          <w:szCs w:val="22"/>
        </w:rPr>
        <w:t>Artículo 149.</w:t>
      </w:r>
      <w:r w:rsidRPr="002E7D94">
        <w:rPr>
          <w:rFonts w:ascii="Palatino Linotype" w:eastAsia="Palatino Linotype" w:hAnsi="Palatino Linotype" w:cs="Palatino Linotype"/>
          <w:i/>
          <w:sz w:val="22"/>
          <w:szCs w:val="22"/>
        </w:rPr>
        <w:t xml:space="preserve"> El </w:t>
      </w:r>
      <w:r w:rsidRPr="002E7D94">
        <w:rPr>
          <w:rFonts w:ascii="Palatino Linotype" w:eastAsia="Palatino Linotype" w:hAnsi="Palatino Linotype" w:cs="Palatino Linotype"/>
          <w:b/>
          <w:i/>
          <w:sz w:val="22"/>
          <w:szCs w:val="22"/>
        </w:rPr>
        <w:t>acuerdo que clasifique la información como confidencial</w:t>
      </w:r>
      <w:r w:rsidRPr="002E7D94">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3A75E21B" w14:textId="77777777" w:rsidR="002B16BC" w:rsidRPr="002E7D94" w:rsidRDefault="002B16BC" w:rsidP="002B16BC">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 xml:space="preserve">Es decir, el </w:t>
      </w:r>
      <w:r w:rsidRPr="002E7D94">
        <w:rPr>
          <w:rFonts w:ascii="Palatino Linotype" w:eastAsia="Palatino Linotype" w:hAnsi="Palatino Linotype" w:cs="Palatino Linotype"/>
          <w:b/>
          <w:sz w:val="22"/>
          <w:szCs w:val="22"/>
        </w:rPr>
        <w:t>Sujeto Obligado</w:t>
      </w:r>
      <w:r w:rsidRPr="002E7D94">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57700138" w14:textId="77777777" w:rsidR="002B16BC" w:rsidRPr="002E7D94" w:rsidRDefault="002B16BC" w:rsidP="002B16BC">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p>
    <w:p w14:paraId="7EEBB242" w14:textId="77777777" w:rsidR="002B16BC" w:rsidRPr="002E7D94" w:rsidRDefault="002B16BC" w:rsidP="002B16BC">
      <w:pPr>
        <w:pBdr>
          <w:top w:val="nil"/>
          <w:left w:val="nil"/>
          <w:bottom w:val="nil"/>
          <w:right w:val="nil"/>
          <w:between w:val="nil"/>
        </w:pBdr>
        <w:spacing w:line="360" w:lineRule="auto"/>
        <w:ind w:right="51"/>
        <w:jc w:val="both"/>
        <w:rPr>
          <w:sz w:val="22"/>
          <w:szCs w:val="22"/>
        </w:rPr>
      </w:pPr>
      <w:bookmarkStart w:id="9" w:name="_heading=h.b8zb6inxa54i" w:colFirst="0" w:colLast="0"/>
      <w:bookmarkEnd w:id="9"/>
      <w:r w:rsidRPr="002E7D94">
        <w:rPr>
          <w:rFonts w:ascii="Palatino Linotype" w:eastAsia="Palatino Linotype" w:hAnsi="Palatino Linotype" w:cs="Palatino Linotype"/>
          <w:sz w:val="22"/>
          <w:szCs w:val="22"/>
        </w:rPr>
        <w:t xml:space="preserve">Al respecto, se destaca que la versión pública que elabore el </w:t>
      </w:r>
      <w:r w:rsidRPr="002E7D94">
        <w:rPr>
          <w:rFonts w:ascii="Palatino Linotype" w:eastAsia="Palatino Linotype" w:hAnsi="Palatino Linotype" w:cs="Palatino Linotype"/>
          <w:b/>
          <w:sz w:val="22"/>
          <w:szCs w:val="22"/>
        </w:rPr>
        <w:t>Sujeto Obligado</w:t>
      </w:r>
      <w:r w:rsidRPr="002E7D94">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w:t>
      </w:r>
      <w:r w:rsidRPr="002E7D94">
        <w:rPr>
          <w:rFonts w:ascii="Palatino Linotype" w:eastAsia="Palatino Linotype" w:hAnsi="Palatino Linotype" w:cs="Palatino Linotype"/>
          <w:sz w:val="22"/>
          <w:szCs w:val="22"/>
        </w:rPr>
        <w:lastRenderedPageBreak/>
        <w:t xml:space="preserve">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2E7D94">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2E7D94">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se encuentran vigentes a la fecha de la solicitud, que literalmente expresan:</w:t>
      </w:r>
    </w:p>
    <w:p w14:paraId="332283EA" w14:textId="77777777" w:rsidR="002B16BC" w:rsidRPr="002E7D94" w:rsidRDefault="002B16BC" w:rsidP="002B16BC">
      <w:pPr>
        <w:spacing w:line="360" w:lineRule="auto"/>
        <w:jc w:val="both"/>
        <w:rPr>
          <w:sz w:val="22"/>
          <w:szCs w:val="22"/>
        </w:rPr>
      </w:pPr>
    </w:p>
    <w:p w14:paraId="4E2B7E40" w14:textId="77777777" w:rsidR="002B16BC" w:rsidRPr="002E7D94" w:rsidRDefault="002B16BC" w:rsidP="002B16BC">
      <w:pPr>
        <w:pBdr>
          <w:top w:val="nil"/>
          <w:left w:val="nil"/>
          <w:bottom w:val="nil"/>
          <w:right w:val="nil"/>
          <w:between w:val="nil"/>
        </w:pBdr>
        <w:spacing w:line="276" w:lineRule="auto"/>
        <w:ind w:left="709" w:right="709"/>
        <w:jc w:val="both"/>
        <w:rPr>
          <w:sz w:val="22"/>
          <w:szCs w:val="22"/>
        </w:rPr>
      </w:pPr>
      <w:r w:rsidRPr="002E7D94">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759739B5" w14:textId="77777777" w:rsidR="002B16BC" w:rsidRPr="002E7D94" w:rsidRDefault="002B16BC" w:rsidP="002B16BC">
      <w:pPr>
        <w:pBdr>
          <w:top w:val="nil"/>
          <w:left w:val="nil"/>
          <w:bottom w:val="nil"/>
          <w:right w:val="nil"/>
          <w:between w:val="nil"/>
        </w:pBdr>
        <w:spacing w:line="276" w:lineRule="auto"/>
        <w:ind w:left="709" w:right="709"/>
        <w:jc w:val="both"/>
        <w:rPr>
          <w:sz w:val="22"/>
          <w:szCs w:val="22"/>
        </w:rPr>
      </w:pPr>
      <w:r w:rsidRPr="002E7D94">
        <w:rPr>
          <w:rFonts w:ascii="Palatino Linotype" w:eastAsia="Palatino Linotype" w:hAnsi="Palatino Linotype" w:cs="Palatino Linotype"/>
          <w:i/>
          <w:sz w:val="22"/>
          <w:szCs w:val="22"/>
        </w:rPr>
        <w:t>“</w:t>
      </w:r>
      <w:r w:rsidRPr="002E7D94">
        <w:rPr>
          <w:rFonts w:ascii="Palatino Linotype" w:eastAsia="Palatino Linotype" w:hAnsi="Palatino Linotype" w:cs="Palatino Linotype"/>
          <w:b/>
          <w:i/>
          <w:sz w:val="22"/>
          <w:szCs w:val="22"/>
        </w:rPr>
        <w:t>Segundo.-</w:t>
      </w:r>
      <w:r w:rsidRPr="002E7D94">
        <w:rPr>
          <w:rFonts w:ascii="Palatino Linotype" w:eastAsia="Palatino Linotype" w:hAnsi="Palatino Linotype" w:cs="Palatino Linotype"/>
          <w:i/>
          <w:sz w:val="22"/>
          <w:szCs w:val="22"/>
        </w:rPr>
        <w:t xml:space="preserve"> Para efectos de los presentes Lineamientos Generales, se entenderá por:</w:t>
      </w:r>
    </w:p>
    <w:p w14:paraId="458DDA80" w14:textId="77777777" w:rsidR="002B16BC" w:rsidRPr="002E7D94" w:rsidRDefault="002B16BC" w:rsidP="002B16BC">
      <w:pPr>
        <w:pBdr>
          <w:top w:val="nil"/>
          <w:left w:val="nil"/>
          <w:bottom w:val="nil"/>
          <w:right w:val="nil"/>
          <w:between w:val="nil"/>
        </w:pBdr>
        <w:spacing w:line="276" w:lineRule="auto"/>
        <w:ind w:left="709" w:right="709"/>
        <w:jc w:val="both"/>
        <w:rPr>
          <w:sz w:val="22"/>
          <w:szCs w:val="22"/>
        </w:rPr>
      </w:pPr>
      <w:r w:rsidRPr="002E7D94">
        <w:rPr>
          <w:rFonts w:ascii="Palatino Linotype" w:eastAsia="Palatino Linotype" w:hAnsi="Palatino Linotype" w:cs="Palatino Linotype"/>
          <w:b/>
          <w:i/>
          <w:sz w:val="22"/>
          <w:szCs w:val="22"/>
        </w:rPr>
        <w:t>XVIII.</w:t>
      </w:r>
      <w:r w:rsidRPr="002E7D94">
        <w:rPr>
          <w:rFonts w:ascii="Palatino Linotype" w:eastAsia="Palatino Linotype" w:hAnsi="Palatino Linotype" w:cs="Palatino Linotype"/>
          <w:i/>
          <w:sz w:val="22"/>
          <w:szCs w:val="22"/>
        </w:rPr>
        <w:t xml:space="preserve"> </w:t>
      </w:r>
      <w:r w:rsidRPr="002E7D94">
        <w:rPr>
          <w:rFonts w:ascii="Palatino Linotype" w:eastAsia="Palatino Linotype" w:hAnsi="Palatino Linotype" w:cs="Palatino Linotype"/>
          <w:b/>
          <w:i/>
          <w:sz w:val="22"/>
          <w:szCs w:val="22"/>
        </w:rPr>
        <w:t>Versión pública:</w:t>
      </w:r>
      <w:r w:rsidRPr="002E7D94">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2E7D94">
        <w:rPr>
          <w:rFonts w:ascii="Palatino Linotype" w:eastAsia="Palatino Linotype" w:hAnsi="Palatino Linotype" w:cs="Palatino Linotype"/>
          <w:b/>
          <w:i/>
          <w:sz w:val="22"/>
          <w:szCs w:val="22"/>
          <w:u w:val="single"/>
        </w:rPr>
        <w:t>fundando y motivando la</w:t>
      </w:r>
      <w:r w:rsidRPr="002E7D94">
        <w:rPr>
          <w:rFonts w:ascii="Palatino Linotype" w:eastAsia="Palatino Linotype" w:hAnsi="Palatino Linotype" w:cs="Palatino Linotype"/>
          <w:i/>
          <w:sz w:val="22"/>
          <w:szCs w:val="22"/>
        </w:rPr>
        <w:t xml:space="preserve"> reserva o </w:t>
      </w:r>
      <w:r w:rsidRPr="002E7D94">
        <w:rPr>
          <w:rFonts w:ascii="Palatino Linotype" w:eastAsia="Palatino Linotype" w:hAnsi="Palatino Linotype" w:cs="Palatino Linotype"/>
          <w:b/>
          <w:i/>
          <w:sz w:val="22"/>
          <w:szCs w:val="22"/>
          <w:u w:val="single"/>
        </w:rPr>
        <w:t>confidencialidad</w:t>
      </w:r>
      <w:r w:rsidRPr="002E7D94">
        <w:rPr>
          <w:rFonts w:ascii="Palatino Linotype" w:eastAsia="Palatino Linotype" w:hAnsi="Palatino Linotype" w:cs="Palatino Linotype"/>
          <w:i/>
          <w:sz w:val="22"/>
          <w:szCs w:val="22"/>
        </w:rPr>
        <w:t>, a través de la resolución que para tal efecto emita el Comité de Transparencia.</w:t>
      </w:r>
    </w:p>
    <w:p w14:paraId="6E04432E" w14:textId="77777777" w:rsidR="002B16BC" w:rsidRPr="002E7D94" w:rsidRDefault="002B16BC" w:rsidP="002B16BC">
      <w:pPr>
        <w:pBdr>
          <w:top w:val="nil"/>
          <w:left w:val="nil"/>
          <w:bottom w:val="nil"/>
          <w:right w:val="nil"/>
          <w:between w:val="nil"/>
        </w:pBdr>
        <w:spacing w:line="276" w:lineRule="auto"/>
        <w:ind w:left="709" w:right="709"/>
        <w:jc w:val="both"/>
        <w:rPr>
          <w:sz w:val="22"/>
          <w:szCs w:val="22"/>
        </w:rPr>
      </w:pPr>
      <w:r w:rsidRPr="002E7D94">
        <w:rPr>
          <w:rFonts w:ascii="Palatino Linotype" w:eastAsia="Palatino Linotype" w:hAnsi="Palatino Linotype" w:cs="Palatino Linotype"/>
          <w:b/>
          <w:i/>
          <w:sz w:val="22"/>
          <w:szCs w:val="22"/>
        </w:rPr>
        <w:t>Cuarto.</w:t>
      </w:r>
      <w:r w:rsidRPr="002E7D94">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4921E05" w14:textId="77777777" w:rsidR="002B16BC" w:rsidRPr="002E7D94" w:rsidRDefault="002B16BC" w:rsidP="002B16BC">
      <w:pPr>
        <w:pBdr>
          <w:top w:val="nil"/>
          <w:left w:val="nil"/>
          <w:bottom w:val="nil"/>
          <w:right w:val="nil"/>
          <w:between w:val="nil"/>
        </w:pBdr>
        <w:spacing w:line="276" w:lineRule="auto"/>
        <w:ind w:left="709" w:right="709"/>
        <w:jc w:val="both"/>
        <w:rPr>
          <w:sz w:val="22"/>
          <w:szCs w:val="22"/>
        </w:rPr>
      </w:pPr>
      <w:r w:rsidRPr="002E7D94">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4966547" w14:textId="77777777" w:rsidR="002B16BC" w:rsidRPr="002E7D94" w:rsidRDefault="002B16BC" w:rsidP="002B16BC">
      <w:pPr>
        <w:pBdr>
          <w:top w:val="nil"/>
          <w:left w:val="nil"/>
          <w:bottom w:val="nil"/>
          <w:right w:val="nil"/>
          <w:between w:val="nil"/>
        </w:pBdr>
        <w:spacing w:line="276" w:lineRule="auto"/>
        <w:ind w:left="709" w:right="709"/>
        <w:jc w:val="both"/>
        <w:rPr>
          <w:sz w:val="22"/>
          <w:szCs w:val="22"/>
        </w:rPr>
      </w:pPr>
      <w:r w:rsidRPr="002E7D94">
        <w:rPr>
          <w:rFonts w:ascii="Palatino Linotype" w:eastAsia="Palatino Linotype" w:hAnsi="Palatino Linotype" w:cs="Palatino Linotype"/>
          <w:b/>
          <w:i/>
          <w:sz w:val="22"/>
          <w:szCs w:val="22"/>
        </w:rPr>
        <w:t>Quinto.</w:t>
      </w:r>
      <w:r w:rsidRPr="002E7D94">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2E7D94">
        <w:rPr>
          <w:rFonts w:ascii="Palatino Linotype" w:eastAsia="Palatino Linotype" w:hAnsi="Palatino Linotype" w:cs="Palatino Linotype"/>
          <w:i/>
          <w:sz w:val="22"/>
          <w:szCs w:val="22"/>
        </w:rPr>
        <w:lastRenderedPageBreak/>
        <w:t>públicas para dar cumplimiento a las obligaciones de transparencia, observando lo dispuesto en la Ley General y las demás disposiciones aplicables en la materia.</w:t>
      </w:r>
    </w:p>
    <w:p w14:paraId="78B84F39" w14:textId="77777777" w:rsidR="002B16BC" w:rsidRPr="002E7D94" w:rsidRDefault="002B16BC" w:rsidP="002B16BC">
      <w:pPr>
        <w:pBdr>
          <w:top w:val="nil"/>
          <w:left w:val="nil"/>
          <w:bottom w:val="nil"/>
          <w:right w:val="nil"/>
          <w:between w:val="nil"/>
        </w:pBdr>
        <w:spacing w:line="276" w:lineRule="auto"/>
        <w:ind w:left="709" w:right="709"/>
        <w:jc w:val="both"/>
        <w:rPr>
          <w:sz w:val="22"/>
          <w:szCs w:val="22"/>
        </w:rPr>
      </w:pPr>
      <w:r w:rsidRPr="002E7D94">
        <w:rPr>
          <w:rFonts w:ascii="Palatino Linotype" w:eastAsia="Palatino Linotype" w:hAnsi="Palatino Linotype" w:cs="Palatino Linotype"/>
          <w:b/>
          <w:i/>
          <w:sz w:val="22"/>
          <w:szCs w:val="22"/>
        </w:rPr>
        <w:t>…</w:t>
      </w:r>
    </w:p>
    <w:p w14:paraId="51C43644" w14:textId="77777777" w:rsidR="002B16BC" w:rsidRPr="002E7D94" w:rsidRDefault="002B16BC" w:rsidP="002B16BC">
      <w:pPr>
        <w:pBdr>
          <w:top w:val="nil"/>
          <w:left w:val="nil"/>
          <w:bottom w:val="nil"/>
          <w:right w:val="nil"/>
          <w:between w:val="nil"/>
        </w:pBdr>
        <w:spacing w:line="276" w:lineRule="auto"/>
        <w:ind w:left="709" w:right="709"/>
        <w:jc w:val="both"/>
        <w:rPr>
          <w:sz w:val="22"/>
          <w:szCs w:val="22"/>
        </w:rPr>
      </w:pPr>
      <w:r w:rsidRPr="002E7D94">
        <w:rPr>
          <w:rFonts w:ascii="Palatino Linotype" w:eastAsia="Palatino Linotype" w:hAnsi="Palatino Linotype" w:cs="Palatino Linotype"/>
          <w:b/>
          <w:i/>
          <w:sz w:val="22"/>
          <w:szCs w:val="22"/>
        </w:rPr>
        <w:t>Séptimo.</w:t>
      </w:r>
      <w:r w:rsidRPr="002E7D94">
        <w:rPr>
          <w:rFonts w:ascii="Palatino Linotype" w:eastAsia="Palatino Linotype" w:hAnsi="Palatino Linotype" w:cs="Palatino Linotype"/>
          <w:i/>
          <w:sz w:val="22"/>
          <w:szCs w:val="22"/>
        </w:rPr>
        <w:t xml:space="preserve"> La clasificación de la información se llevará a cabo en el momento en que:</w:t>
      </w:r>
    </w:p>
    <w:p w14:paraId="6F62B294" w14:textId="77777777" w:rsidR="002B16BC" w:rsidRPr="002E7D94" w:rsidRDefault="002B16BC" w:rsidP="002B16BC">
      <w:pPr>
        <w:pBdr>
          <w:top w:val="nil"/>
          <w:left w:val="nil"/>
          <w:bottom w:val="nil"/>
          <w:right w:val="nil"/>
          <w:between w:val="nil"/>
        </w:pBdr>
        <w:spacing w:line="276" w:lineRule="auto"/>
        <w:ind w:left="709" w:right="709"/>
        <w:jc w:val="both"/>
        <w:rPr>
          <w:sz w:val="22"/>
          <w:szCs w:val="22"/>
        </w:rPr>
      </w:pPr>
      <w:r w:rsidRPr="002E7D94">
        <w:rPr>
          <w:rFonts w:ascii="Palatino Linotype" w:eastAsia="Palatino Linotype" w:hAnsi="Palatino Linotype" w:cs="Palatino Linotype"/>
          <w:b/>
          <w:i/>
          <w:sz w:val="22"/>
          <w:szCs w:val="22"/>
        </w:rPr>
        <w:t>I.</w:t>
      </w:r>
      <w:r w:rsidRPr="002E7D94">
        <w:rPr>
          <w:rFonts w:ascii="Palatino Linotype" w:eastAsia="Palatino Linotype" w:hAnsi="Palatino Linotype" w:cs="Palatino Linotype"/>
          <w:i/>
          <w:sz w:val="22"/>
          <w:szCs w:val="22"/>
        </w:rPr>
        <w:t xml:space="preserve"> Se reciba una solicitud de acceso a la información;</w:t>
      </w:r>
    </w:p>
    <w:p w14:paraId="3869DCD7" w14:textId="77777777" w:rsidR="002B16BC" w:rsidRPr="002E7D94" w:rsidRDefault="002B16BC" w:rsidP="002B16BC">
      <w:pPr>
        <w:pBdr>
          <w:top w:val="nil"/>
          <w:left w:val="nil"/>
          <w:bottom w:val="nil"/>
          <w:right w:val="nil"/>
          <w:between w:val="nil"/>
        </w:pBdr>
        <w:spacing w:line="276" w:lineRule="auto"/>
        <w:ind w:left="709" w:right="709"/>
        <w:jc w:val="both"/>
        <w:rPr>
          <w:sz w:val="22"/>
          <w:szCs w:val="22"/>
        </w:rPr>
      </w:pPr>
      <w:r w:rsidRPr="002E7D94">
        <w:rPr>
          <w:rFonts w:ascii="Palatino Linotype" w:eastAsia="Palatino Linotype" w:hAnsi="Palatino Linotype" w:cs="Palatino Linotype"/>
          <w:b/>
          <w:i/>
          <w:sz w:val="22"/>
          <w:szCs w:val="22"/>
        </w:rPr>
        <w:t>II.</w:t>
      </w:r>
      <w:r w:rsidRPr="002E7D94">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5049EE5C" w14:textId="77777777" w:rsidR="002B16BC" w:rsidRPr="002E7D94" w:rsidRDefault="002B16BC" w:rsidP="002B16BC">
      <w:pPr>
        <w:pBdr>
          <w:top w:val="nil"/>
          <w:left w:val="nil"/>
          <w:bottom w:val="nil"/>
          <w:right w:val="nil"/>
          <w:between w:val="nil"/>
        </w:pBdr>
        <w:spacing w:line="276" w:lineRule="auto"/>
        <w:ind w:left="709" w:right="709"/>
        <w:jc w:val="both"/>
        <w:rPr>
          <w:sz w:val="22"/>
          <w:szCs w:val="22"/>
        </w:rPr>
      </w:pPr>
      <w:r w:rsidRPr="002E7D94">
        <w:rPr>
          <w:rFonts w:ascii="Palatino Linotype" w:eastAsia="Palatino Linotype" w:hAnsi="Palatino Linotype" w:cs="Palatino Linotype"/>
          <w:b/>
          <w:i/>
          <w:sz w:val="22"/>
          <w:szCs w:val="22"/>
        </w:rPr>
        <w:t>III.</w:t>
      </w:r>
      <w:r w:rsidRPr="002E7D94">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3F4A197C" w14:textId="77777777" w:rsidR="002B16BC" w:rsidRPr="002E7D94" w:rsidRDefault="002B16BC" w:rsidP="002B16BC">
      <w:pPr>
        <w:pBdr>
          <w:top w:val="nil"/>
          <w:left w:val="nil"/>
          <w:bottom w:val="nil"/>
          <w:right w:val="nil"/>
          <w:between w:val="nil"/>
        </w:pBdr>
        <w:spacing w:line="276" w:lineRule="auto"/>
        <w:ind w:left="709" w:right="709"/>
        <w:jc w:val="both"/>
        <w:rPr>
          <w:sz w:val="22"/>
          <w:szCs w:val="22"/>
        </w:rPr>
      </w:pPr>
      <w:r w:rsidRPr="002E7D94">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18C090A0" w14:textId="77777777" w:rsidR="002B16BC" w:rsidRPr="002E7D94" w:rsidRDefault="002B16BC" w:rsidP="002B16BC">
      <w:pPr>
        <w:pBdr>
          <w:top w:val="nil"/>
          <w:left w:val="nil"/>
          <w:bottom w:val="nil"/>
          <w:right w:val="nil"/>
          <w:between w:val="nil"/>
        </w:pBdr>
        <w:spacing w:line="276" w:lineRule="auto"/>
        <w:ind w:left="709" w:right="709"/>
        <w:jc w:val="both"/>
        <w:rPr>
          <w:sz w:val="22"/>
          <w:szCs w:val="22"/>
        </w:rPr>
      </w:pPr>
      <w:r w:rsidRPr="002E7D94">
        <w:rPr>
          <w:rFonts w:ascii="Palatino Linotype" w:eastAsia="Palatino Linotype" w:hAnsi="Palatino Linotype" w:cs="Palatino Linotype"/>
          <w:b/>
          <w:i/>
          <w:sz w:val="22"/>
          <w:szCs w:val="22"/>
        </w:rPr>
        <w:t>Octavo.</w:t>
      </w:r>
      <w:r w:rsidRPr="002E7D94">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E791727" w14:textId="77777777" w:rsidR="002B16BC" w:rsidRPr="002E7D94" w:rsidRDefault="002B16BC" w:rsidP="002B16BC">
      <w:pPr>
        <w:pBdr>
          <w:top w:val="nil"/>
          <w:left w:val="nil"/>
          <w:bottom w:val="nil"/>
          <w:right w:val="nil"/>
          <w:between w:val="nil"/>
        </w:pBdr>
        <w:spacing w:line="276" w:lineRule="auto"/>
        <w:ind w:left="709" w:right="709"/>
        <w:jc w:val="both"/>
        <w:rPr>
          <w:sz w:val="22"/>
          <w:szCs w:val="22"/>
        </w:rPr>
      </w:pPr>
      <w:r w:rsidRPr="002E7D94">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767A0284" w14:textId="77777777" w:rsidR="002B16BC" w:rsidRPr="002E7D94" w:rsidRDefault="002B16BC" w:rsidP="002B16BC">
      <w:pPr>
        <w:pBdr>
          <w:top w:val="nil"/>
          <w:left w:val="nil"/>
          <w:bottom w:val="nil"/>
          <w:right w:val="nil"/>
          <w:between w:val="nil"/>
        </w:pBdr>
        <w:spacing w:line="276" w:lineRule="auto"/>
        <w:ind w:left="709" w:right="709"/>
        <w:jc w:val="both"/>
        <w:rPr>
          <w:sz w:val="22"/>
          <w:szCs w:val="22"/>
        </w:rPr>
      </w:pPr>
      <w:r w:rsidRPr="002E7D94">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41BF6981" w14:textId="77777777" w:rsidR="002B16BC" w:rsidRPr="002E7D94" w:rsidRDefault="002B16BC" w:rsidP="002B16BC">
      <w:pPr>
        <w:pBdr>
          <w:top w:val="nil"/>
          <w:left w:val="nil"/>
          <w:bottom w:val="nil"/>
          <w:right w:val="nil"/>
          <w:between w:val="nil"/>
        </w:pBdr>
        <w:spacing w:line="276" w:lineRule="auto"/>
        <w:ind w:left="709" w:right="709"/>
        <w:jc w:val="both"/>
        <w:rPr>
          <w:sz w:val="22"/>
          <w:szCs w:val="22"/>
        </w:rPr>
      </w:pPr>
      <w:r w:rsidRPr="002E7D94">
        <w:rPr>
          <w:rFonts w:ascii="Palatino Linotype" w:eastAsia="Palatino Linotype" w:hAnsi="Palatino Linotype" w:cs="Palatino Linotype"/>
          <w:b/>
          <w:i/>
          <w:sz w:val="22"/>
          <w:szCs w:val="22"/>
        </w:rPr>
        <w:t>Noveno.</w:t>
      </w:r>
      <w:r w:rsidRPr="002E7D94">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73F54E6" w14:textId="77777777" w:rsidR="002B16BC" w:rsidRPr="002E7D94" w:rsidRDefault="002B16BC" w:rsidP="002B16BC">
      <w:pPr>
        <w:pBdr>
          <w:top w:val="nil"/>
          <w:left w:val="nil"/>
          <w:bottom w:val="nil"/>
          <w:right w:val="nil"/>
          <w:between w:val="nil"/>
        </w:pBdr>
        <w:spacing w:line="276" w:lineRule="auto"/>
        <w:ind w:left="709" w:right="709"/>
        <w:jc w:val="both"/>
        <w:rPr>
          <w:sz w:val="22"/>
          <w:szCs w:val="22"/>
        </w:rPr>
      </w:pPr>
      <w:r w:rsidRPr="002E7D94">
        <w:rPr>
          <w:rFonts w:ascii="Palatino Linotype" w:eastAsia="Palatino Linotype" w:hAnsi="Palatino Linotype" w:cs="Palatino Linotype"/>
          <w:b/>
          <w:i/>
          <w:sz w:val="22"/>
          <w:szCs w:val="22"/>
        </w:rPr>
        <w:t>Décimo.</w:t>
      </w:r>
      <w:r w:rsidRPr="002E7D94">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3A8EFFF" w14:textId="77777777" w:rsidR="002B16BC" w:rsidRPr="002E7D94" w:rsidRDefault="002B16BC" w:rsidP="002B16BC">
      <w:pPr>
        <w:pBdr>
          <w:top w:val="nil"/>
          <w:left w:val="nil"/>
          <w:bottom w:val="nil"/>
          <w:right w:val="nil"/>
          <w:between w:val="nil"/>
        </w:pBdr>
        <w:spacing w:line="276" w:lineRule="auto"/>
        <w:ind w:left="709" w:right="709"/>
        <w:jc w:val="both"/>
        <w:rPr>
          <w:sz w:val="22"/>
          <w:szCs w:val="22"/>
        </w:rPr>
      </w:pPr>
      <w:r w:rsidRPr="002E7D94">
        <w:rPr>
          <w:rFonts w:ascii="Palatino Linotype" w:eastAsia="Palatino Linotype" w:hAnsi="Palatino Linotype" w:cs="Palatino Linotype"/>
          <w:i/>
          <w:sz w:val="22"/>
          <w:szCs w:val="22"/>
        </w:rPr>
        <w:lastRenderedPageBreak/>
        <w:t>En ausencia de los titulares de las áreas, la información será clasificada o desclasificada por la persona que lo supla, en términos de la normativa que rija la actuación del sujeto obligado.</w:t>
      </w:r>
    </w:p>
    <w:p w14:paraId="030BC775" w14:textId="77777777" w:rsidR="002B16BC" w:rsidRPr="002E7D94" w:rsidRDefault="002B16BC" w:rsidP="002B16BC">
      <w:pPr>
        <w:pBdr>
          <w:top w:val="nil"/>
          <w:left w:val="nil"/>
          <w:bottom w:val="nil"/>
          <w:right w:val="nil"/>
          <w:between w:val="nil"/>
        </w:pBdr>
        <w:spacing w:line="276" w:lineRule="auto"/>
        <w:ind w:left="709" w:right="709"/>
        <w:jc w:val="both"/>
        <w:rPr>
          <w:sz w:val="22"/>
          <w:szCs w:val="22"/>
        </w:rPr>
      </w:pPr>
      <w:r w:rsidRPr="002E7D94">
        <w:rPr>
          <w:rFonts w:ascii="Palatino Linotype" w:eastAsia="Palatino Linotype" w:hAnsi="Palatino Linotype" w:cs="Palatino Linotype"/>
          <w:b/>
          <w:i/>
          <w:sz w:val="22"/>
          <w:szCs w:val="22"/>
        </w:rPr>
        <w:t>Décimo primero.</w:t>
      </w:r>
      <w:r w:rsidRPr="002E7D94">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5EF815B" w14:textId="77777777" w:rsidR="002B16BC" w:rsidRPr="002E7D94" w:rsidRDefault="002B16BC" w:rsidP="002B16BC">
      <w:pPr>
        <w:spacing w:line="276" w:lineRule="auto"/>
        <w:jc w:val="both"/>
        <w:rPr>
          <w:sz w:val="22"/>
          <w:szCs w:val="22"/>
        </w:rPr>
      </w:pPr>
    </w:p>
    <w:p w14:paraId="00428690" w14:textId="77777777" w:rsidR="002B16BC" w:rsidRPr="002E7D94" w:rsidRDefault="002B16BC" w:rsidP="002B16BC">
      <w:pPr>
        <w:pBdr>
          <w:top w:val="nil"/>
          <w:left w:val="nil"/>
          <w:bottom w:val="nil"/>
          <w:right w:val="nil"/>
          <w:between w:val="nil"/>
        </w:pBdr>
        <w:spacing w:line="276" w:lineRule="auto"/>
        <w:ind w:left="709" w:right="709"/>
        <w:jc w:val="both"/>
        <w:rPr>
          <w:sz w:val="22"/>
          <w:szCs w:val="22"/>
        </w:rPr>
      </w:pPr>
      <w:r w:rsidRPr="002E7D94">
        <w:rPr>
          <w:rFonts w:ascii="Palatino Linotype" w:eastAsia="Palatino Linotype" w:hAnsi="Palatino Linotype" w:cs="Palatino Linotype"/>
          <w:i/>
          <w:sz w:val="22"/>
          <w:szCs w:val="22"/>
        </w:rPr>
        <w:t>[…]</w:t>
      </w:r>
    </w:p>
    <w:p w14:paraId="1330E828" w14:textId="77777777" w:rsidR="002B16BC" w:rsidRPr="002E7D94" w:rsidRDefault="002B16BC" w:rsidP="002B16BC">
      <w:pPr>
        <w:pBdr>
          <w:top w:val="nil"/>
          <w:left w:val="nil"/>
          <w:bottom w:val="nil"/>
          <w:right w:val="nil"/>
          <w:between w:val="nil"/>
        </w:pBdr>
        <w:spacing w:line="276" w:lineRule="auto"/>
        <w:ind w:left="709" w:right="709"/>
        <w:jc w:val="both"/>
        <w:rPr>
          <w:sz w:val="22"/>
          <w:szCs w:val="22"/>
        </w:rPr>
      </w:pPr>
      <w:r w:rsidRPr="002E7D94">
        <w:rPr>
          <w:rFonts w:ascii="Palatino Linotype" w:eastAsia="Palatino Linotype" w:hAnsi="Palatino Linotype" w:cs="Palatino Linotype"/>
          <w:b/>
          <w:i/>
          <w:sz w:val="22"/>
          <w:szCs w:val="22"/>
        </w:rPr>
        <w:t>CAPÍTULO VIII</w:t>
      </w:r>
    </w:p>
    <w:p w14:paraId="5646EF98" w14:textId="77777777" w:rsidR="002B16BC" w:rsidRPr="002E7D94" w:rsidRDefault="002B16BC" w:rsidP="002B16BC">
      <w:pPr>
        <w:pBdr>
          <w:top w:val="nil"/>
          <w:left w:val="nil"/>
          <w:bottom w:val="nil"/>
          <w:right w:val="nil"/>
          <w:between w:val="nil"/>
        </w:pBdr>
        <w:spacing w:after="160" w:line="276" w:lineRule="auto"/>
        <w:ind w:left="709" w:right="709"/>
        <w:jc w:val="both"/>
        <w:rPr>
          <w:sz w:val="22"/>
          <w:szCs w:val="22"/>
        </w:rPr>
      </w:pPr>
      <w:r w:rsidRPr="002E7D94">
        <w:rPr>
          <w:rFonts w:ascii="Palatino Linotype" w:eastAsia="Palatino Linotype" w:hAnsi="Palatino Linotype" w:cs="Palatino Linotype"/>
          <w:b/>
          <w:i/>
          <w:sz w:val="22"/>
          <w:szCs w:val="22"/>
        </w:rPr>
        <w:t>DE LOS ELEMENTOS PARA LA CLASIFICACIÓN</w:t>
      </w:r>
    </w:p>
    <w:p w14:paraId="7A6270BD" w14:textId="77777777" w:rsidR="002B16BC" w:rsidRPr="002E7D94" w:rsidRDefault="002B16BC" w:rsidP="002B16BC">
      <w:pPr>
        <w:pBdr>
          <w:top w:val="nil"/>
          <w:left w:val="nil"/>
          <w:bottom w:val="nil"/>
          <w:right w:val="nil"/>
          <w:between w:val="nil"/>
        </w:pBdr>
        <w:spacing w:after="160" w:line="276" w:lineRule="auto"/>
        <w:ind w:left="709" w:right="709"/>
        <w:jc w:val="both"/>
        <w:rPr>
          <w:sz w:val="22"/>
          <w:szCs w:val="22"/>
        </w:rPr>
      </w:pPr>
      <w:r w:rsidRPr="002E7D94">
        <w:rPr>
          <w:rFonts w:ascii="Palatino Linotype" w:eastAsia="Palatino Linotype" w:hAnsi="Palatino Linotype" w:cs="Palatino Linotype"/>
          <w:b/>
          <w:i/>
          <w:sz w:val="22"/>
          <w:szCs w:val="22"/>
        </w:rPr>
        <w:t>Quincuagésimo</w:t>
      </w:r>
      <w:r w:rsidRPr="002E7D94">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2D8C02DD" w14:textId="77777777" w:rsidR="002B16BC" w:rsidRPr="002E7D94" w:rsidRDefault="002B16BC" w:rsidP="002B16BC">
      <w:pPr>
        <w:pBdr>
          <w:top w:val="nil"/>
          <w:left w:val="nil"/>
          <w:bottom w:val="nil"/>
          <w:right w:val="nil"/>
          <w:between w:val="nil"/>
        </w:pBdr>
        <w:spacing w:after="160" w:line="276" w:lineRule="auto"/>
        <w:ind w:left="709" w:right="709"/>
        <w:jc w:val="both"/>
        <w:rPr>
          <w:sz w:val="22"/>
          <w:szCs w:val="22"/>
        </w:rPr>
      </w:pPr>
      <w:r w:rsidRPr="002E7D94">
        <w:rPr>
          <w:rFonts w:ascii="Palatino Linotype" w:eastAsia="Palatino Linotype" w:hAnsi="Palatino Linotype" w:cs="Palatino Linotype"/>
          <w:b/>
          <w:i/>
          <w:sz w:val="22"/>
          <w:szCs w:val="22"/>
        </w:rPr>
        <w:t>Quincuagésimo primero</w:t>
      </w:r>
      <w:r w:rsidRPr="002E7D94">
        <w:rPr>
          <w:rFonts w:ascii="Palatino Linotype" w:eastAsia="Palatino Linotype" w:hAnsi="Palatino Linotype" w:cs="Palatino Linotype"/>
          <w:i/>
          <w:sz w:val="22"/>
          <w:szCs w:val="22"/>
        </w:rPr>
        <w:t>. Toda acta del Comité de Transparencia deberá contener:</w:t>
      </w:r>
    </w:p>
    <w:p w14:paraId="6F56AA08" w14:textId="77777777" w:rsidR="002B16BC" w:rsidRPr="002E7D94" w:rsidRDefault="002B16BC" w:rsidP="002B16BC">
      <w:pPr>
        <w:pBdr>
          <w:top w:val="nil"/>
          <w:left w:val="nil"/>
          <w:bottom w:val="nil"/>
          <w:right w:val="nil"/>
          <w:between w:val="nil"/>
        </w:pBdr>
        <w:spacing w:after="160" w:line="276" w:lineRule="auto"/>
        <w:ind w:left="709" w:right="709"/>
        <w:jc w:val="both"/>
        <w:rPr>
          <w:sz w:val="22"/>
          <w:szCs w:val="22"/>
        </w:rPr>
      </w:pPr>
      <w:r w:rsidRPr="002E7D94">
        <w:rPr>
          <w:rFonts w:ascii="Palatino Linotype" w:eastAsia="Palatino Linotype" w:hAnsi="Palatino Linotype" w:cs="Palatino Linotype"/>
          <w:i/>
          <w:sz w:val="22"/>
          <w:szCs w:val="22"/>
        </w:rPr>
        <w:t>I. El número de sesión y fecha; </w:t>
      </w:r>
    </w:p>
    <w:p w14:paraId="6AC5D543" w14:textId="77777777" w:rsidR="002B16BC" w:rsidRPr="002E7D94" w:rsidRDefault="002B16BC" w:rsidP="002B16BC">
      <w:pPr>
        <w:pBdr>
          <w:top w:val="nil"/>
          <w:left w:val="nil"/>
          <w:bottom w:val="nil"/>
          <w:right w:val="nil"/>
          <w:between w:val="nil"/>
        </w:pBdr>
        <w:spacing w:after="160" w:line="276" w:lineRule="auto"/>
        <w:ind w:left="709" w:right="709"/>
        <w:jc w:val="both"/>
        <w:rPr>
          <w:sz w:val="22"/>
          <w:szCs w:val="22"/>
        </w:rPr>
      </w:pPr>
      <w:r w:rsidRPr="002E7D94">
        <w:rPr>
          <w:rFonts w:ascii="Palatino Linotype" w:eastAsia="Palatino Linotype" w:hAnsi="Palatino Linotype" w:cs="Palatino Linotype"/>
          <w:i/>
          <w:sz w:val="22"/>
          <w:szCs w:val="22"/>
        </w:rPr>
        <w:t>II. El nombre del área que solicitó la clasificación de información;</w:t>
      </w:r>
    </w:p>
    <w:p w14:paraId="42935BF5" w14:textId="77777777" w:rsidR="002B16BC" w:rsidRPr="002E7D94" w:rsidRDefault="002B16BC" w:rsidP="002B16BC">
      <w:pPr>
        <w:pBdr>
          <w:top w:val="nil"/>
          <w:left w:val="nil"/>
          <w:bottom w:val="nil"/>
          <w:right w:val="nil"/>
          <w:between w:val="nil"/>
        </w:pBdr>
        <w:spacing w:after="160" w:line="276" w:lineRule="auto"/>
        <w:ind w:left="709" w:right="709"/>
        <w:jc w:val="both"/>
        <w:rPr>
          <w:sz w:val="22"/>
          <w:szCs w:val="22"/>
        </w:rPr>
      </w:pPr>
      <w:r w:rsidRPr="002E7D94">
        <w:rPr>
          <w:rFonts w:ascii="Palatino Linotype" w:eastAsia="Palatino Linotype" w:hAnsi="Palatino Linotype" w:cs="Palatino Linotype"/>
          <w:i/>
          <w:sz w:val="22"/>
          <w:szCs w:val="22"/>
        </w:rPr>
        <w:t>III. La fundamentación legal y motivación correspondiente;</w:t>
      </w:r>
    </w:p>
    <w:p w14:paraId="2A3BA025" w14:textId="77777777" w:rsidR="002B16BC" w:rsidRPr="002E7D94" w:rsidRDefault="002B16BC" w:rsidP="002B16BC">
      <w:pPr>
        <w:pBdr>
          <w:top w:val="nil"/>
          <w:left w:val="nil"/>
          <w:bottom w:val="nil"/>
          <w:right w:val="nil"/>
          <w:between w:val="nil"/>
        </w:pBdr>
        <w:spacing w:after="160" w:line="276" w:lineRule="auto"/>
        <w:ind w:left="709" w:right="709"/>
        <w:jc w:val="both"/>
        <w:rPr>
          <w:sz w:val="22"/>
          <w:szCs w:val="22"/>
        </w:rPr>
      </w:pPr>
      <w:r w:rsidRPr="002E7D94">
        <w:rPr>
          <w:rFonts w:ascii="Palatino Linotype" w:eastAsia="Palatino Linotype" w:hAnsi="Palatino Linotype" w:cs="Palatino Linotype"/>
          <w:i/>
          <w:sz w:val="22"/>
          <w:szCs w:val="22"/>
        </w:rPr>
        <w:t>IV. La resolución o resoluciones aprobadas; y</w:t>
      </w:r>
    </w:p>
    <w:p w14:paraId="4C7B729F" w14:textId="77777777" w:rsidR="002B16BC" w:rsidRPr="002E7D94" w:rsidRDefault="002B16BC" w:rsidP="002B16BC">
      <w:pPr>
        <w:pBdr>
          <w:top w:val="nil"/>
          <w:left w:val="nil"/>
          <w:bottom w:val="nil"/>
          <w:right w:val="nil"/>
          <w:between w:val="nil"/>
        </w:pBdr>
        <w:spacing w:after="160" w:line="276" w:lineRule="auto"/>
        <w:ind w:left="709" w:right="709"/>
        <w:jc w:val="both"/>
        <w:rPr>
          <w:sz w:val="22"/>
          <w:szCs w:val="22"/>
        </w:rPr>
      </w:pPr>
      <w:r w:rsidRPr="002E7D94">
        <w:rPr>
          <w:rFonts w:ascii="Palatino Linotype" w:eastAsia="Palatino Linotype" w:hAnsi="Palatino Linotype" w:cs="Palatino Linotype"/>
          <w:i/>
          <w:sz w:val="22"/>
          <w:szCs w:val="22"/>
        </w:rPr>
        <w:t>V. La rúbrica o firma digital de cada integrante del Comité de Transparencia. </w:t>
      </w:r>
    </w:p>
    <w:p w14:paraId="36E92D08" w14:textId="77777777" w:rsidR="002B16BC" w:rsidRPr="002E7D94" w:rsidRDefault="002B16BC" w:rsidP="002B16BC">
      <w:pPr>
        <w:pBdr>
          <w:top w:val="nil"/>
          <w:left w:val="nil"/>
          <w:bottom w:val="nil"/>
          <w:right w:val="nil"/>
          <w:between w:val="nil"/>
        </w:pBdr>
        <w:spacing w:after="160" w:line="276" w:lineRule="auto"/>
        <w:ind w:left="709" w:right="709"/>
        <w:jc w:val="both"/>
        <w:rPr>
          <w:sz w:val="22"/>
          <w:szCs w:val="22"/>
        </w:rPr>
      </w:pPr>
      <w:r w:rsidRPr="002E7D94">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2A715BA2" w14:textId="77777777" w:rsidR="002B16BC" w:rsidRPr="002E7D94" w:rsidRDefault="002B16BC" w:rsidP="002B16BC">
      <w:pPr>
        <w:pBdr>
          <w:top w:val="nil"/>
          <w:left w:val="nil"/>
          <w:bottom w:val="nil"/>
          <w:right w:val="nil"/>
          <w:between w:val="nil"/>
        </w:pBdr>
        <w:spacing w:after="160" w:line="276" w:lineRule="auto"/>
        <w:ind w:left="709" w:right="709"/>
        <w:jc w:val="both"/>
        <w:rPr>
          <w:sz w:val="22"/>
          <w:szCs w:val="22"/>
        </w:rPr>
      </w:pPr>
      <w:r w:rsidRPr="002E7D94">
        <w:rPr>
          <w:rFonts w:ascii="Palatino Linotype" w:eastAsia="Palatino Linotype" w:hAnsi="Palatino Linotype" w:cs="Palatino Linotype"/>
          <w:i/>
          <w:sz w:val="22"/>
          <w:szCs w:val="22"/>
        </w:rPr>
        <w:t>I. Los motivos y razonamientos que sustenten la confirmación o modificación de la prueba de daño;</w:t>
      </w:r>
    </w:p>
    <w:p w14:paraId="59D51384" w14:textId="77777777" w:rsidR="002B16BC" w:rsidRPr="002E7D94" w:rsidRDefault="002B16BC" w:rsidP="002B16BC">
      <w:pPr>
        <w:pBdr>
          <w:top w:val="nil"/>
          <w:left w:val="nil"/>
          <w:bottom w:val="nil"/>
          <w:right w:val="nil"/>
          <w:between w:val="nil"/>
        </w:pBdr>
        <w:spacing w:after="160" w:line="276" w:lineRule="auto"/>
        <w:ind w:left="709" w:right="709"/>
        <w:jc w:val="both"/>
        <w:rPr>
          <w:sz w:val="22"/>
          <w:szCs w:val="22"/>
        </w:rPr>
      </w:pPr>
      <w:r w:rsidRPr="002E7D94">
        <w:rPr>
          <w:rFonts w:ascii="Palatino Linotype" w:eastAsia="Palatino Linotype" w:hAnsi="Palatino Linotype" w:cs="Palatino Linotype"/>
          <w:i/>
          <w:sz w:val="22"/>
          <w:szCs w:val="22"/>
        </w:rPr>
        <w:t>II. Descripción de las partes o secciones reservadas, en caso de clasificación parcial;</w:t>
      </w:r>
    </w:p>
    <w:p w14:paraId="5E5A9B99" w14:textId="77777777" w:rsidR="002B16BC" w:rsidRPr="002E7D94" w:rsidRDefault="002B16BC" w:rsidP="002B16BC">
      <w:pPr>
        <w:pBdr>
          <w:top w:val="nil"/>
          <w:left w:val="nil"/>
          <w:bottom w:val="nil"/>
          <w:right w:val="nil"/>
          <w:between w:val="nil"/>
        </w:pBdr>
        <w:spacing w:after="160" w:line="276" w:lineRule="auto"/>
        <w:ind w:left="709" w:right="709"/>
        <w:jc w:val="both"/>
        <w:rPr>
          <w:sz w:val="22"/>
          <w:szCs w:val="22"/>
        </w:rPr>
      </w:pPr>
      <w:r w:rsidRPr="002E7D94">
        <w:rPr>
          <w:rFonts w:ascii="Palatino Linotype" w:eastAsia="Palatino Linotype" w:hAnsi="Palatino Linotype" w:cs="Palatino Linotype"/>
          <w:i/>
          <w:sz w:val="22"/>
          <w:szCs w:val="22"/>
        </w:rPr>
        <w:t>III. El periodo por el que mantendrá su clasificación y fecha de expiración; y</w:t>
      </w:r>
    </w:p>
    <w:p w14:paraId="551024F5" w14:textId="77777777" w:rsidR="002B16BC" w:rsidRPr="002E7D94" w:rsidRDefault="002B16BC" w:rsidP="002B16BC">
      <w:pPr>
        <w:pBdr>
          <w:top w:val="nil"/>
          <w:left w:val="nil"/>
          <w:bottom w:val="nil"/>
          <w:right w:val="nil"/>
          <w:between w:val="nil"/>
        </w:pBdr>
        <w:spacing w:after="160" w:line="276" w:lineRule="auto"/>
        <w:ind w:left="709" w:right="709"/>
        <w:jc w:val="both"/>
        <w:rPr>
          <w:sz w:val="22"/>
          <w:szCs w:val="22"/>
        </w:rPr>
      </w:pPr>
      <w:r w:rsidRPr="002E7D94">
        <w:rPr>
          <w:rFonts w:ascii="Palatino Linotype" w:eastAsia="Palatino Linotype" w:hAnsi="Palatino Linotype" w:cs="Palatino Linotype"/>
          <w:i/>
          <w:sz w:val="22"/>
          <w:szCs w:val="22"/>
        </w:rPr>
        <w:t>IV. El nombre del titular y área encargada de realizar la versión pública del documento, en su caso.</w:t>
      </w:r>
    </w:p>
    <w:p w14:paraId="6766A5D1" w14:textId="77777777" w:rsidR="002B16BC" w:rsidRPr="002E7D94" w:rsidRDefault="002B16BC" w:rsidP="002B16BC">
      <w:pPr>
        <w:pBdr>
          <w:top w:val="nil"/>
          <w:left w:val="nil"/>
          <w:bottom w:val="nil"/>
          <w:right w:val="nil"/>
          <w:between w:val="nil"/>
        </w:pBdr>
        <w:spacing w:after="160" w:line="276" w:lineRule="auto"/>
        <w:ind w:left="709" w:right="709"/>
        <w:jc w:val="both"/>
        <w:rPr>
          <w:sz w:val="22"/>
          <w:szCs w:val="22"/>
        </w:rPr>
      </w:pPr>
      <w:r w:rsidRPr="002E7D94">
        <w:rPr>
          <w:rFonts w:ascii="Palatino Linotype" w:eastAsia="Palatino Linotype" w:hAnsi="Palatino Linotype" w:cs="Palatino Linotype"/>
          <w:i/>
          <w:sz w:val="22"/>
          <w:szCs w:val="22"/>
        </w:rPr>
        <w:lastRenderedPageBreak/>
        <w:t>En los casos en que se clasifique la información como reservada siempre se entregará o anexará la prueba de daño con la respuesta al solicitante. </w:t>
      </w:r>
    </w:p>
    <w:p w14:paraId="67F42275" w14:textId="77777777" w:rsidR="002B16BC" w:rsidRPr="002E7D94" w:rsidRDefault="002B16BC" w:rsidP="002B16BC">
      <w:pPr>
        <w:pBdr>
          <w:top w:val="nil"/>
          <w:left w:val="nil"/>
          <w:bottom w:val="nil"/>
          <w:right w:val="nil"/>
          <w:between w:val="nil"/>
        </w:pBdr>
        <w:spacing w:after="160" w:line="276" w:lineRule="auto"/>
        <w:ind w:left="709" w:right="709"/>
        <w:jc w:val="both"/>
        <w:rPr>
          <w:sz w:val="22"/>
          <w:szCs w:val="22"/>
        </w:rPr>
      </w:pPr>
      <w:r w:rsidRPr="002E7D94">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BDAD30C" w14:textId="77777777" w:rsidR="002B16BC" w:rsidRPr="002E7D94" w:rsidRDefault="002B16BC" w:rsidP="002B16BC">
      <w:pPr>
        <w:pBdr>
          <w:top w:val="nil"/>
          <w:left w:val="nil"/>
          <w:bottom w:val="nil"/>
          <w:right w:val="nil"/>
          <w:between w:val="nil"/>
        </w:pBdr>
        <w:spacing w:after="160" w:line="276" w:lineRule="auto"/>
        <w:ind w:left="709" w:right="709"/>
        <w:jc w:val="both"/>
        <w:rPr>
          <w:sz w:val="22"/>
          <w:szCs w:val="22"/>
        </w:rPr>
      </w:pPr>
      <w:r w:rsidRPr="002E7D94">
        <w:rPr>
          <w:rFonts w:ascii="Palatino Linotype" w:eastAsia="Palatino Linotype" w:hAnsi="Palatino Linotype" w:cs="Palatino Linotype"/>
          <w:b/>
          <w:i/>
          <w:sz w:val="22"/>
          <w:szCs w:val="22"/>
        </w:rPr>
        <w:t>Quincuagésimo segundo</w:t>
      </w:r>
      <w:r w:rsidRPr="002E7D94">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4DF4675" w14:textId="77777777" w:rsidR="002B16BC" w:rsidRPr="002E7D94" w:rsidRDefault="002B16BC" w:rsidP="002B16BC">
      <w:pPr>
        <w:pBdr>
          <w:top w:val="nil"/>
          <w:left w:val="nil"/>
          <w:bottom w:val="nil"/>
          <w:right w:val="nil"/>
          <w:between w:val="nil"/>
        </w:pBdr>
        <w:spacing w:after="160" w:line="276" w:lineRule="auto"/>
        <w:ind w:left="709" w:right="709"/>
        <w:jc w:val="both"/>
        <w:rPr>
          <w:sz w:val="22"/>
          <w:szCs w:val="22"/>
        </w:rPr>
      </w:pPr>
      <w:r w:rsidRPr="002E7D94">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749EBAD6" w14:textId="77777777" w:rsidR="002B16BC" w:rsidRPr="002E7D94" w:rsidRDefault="002B16BC" w:rsidP="002B16BC">
      <w:pPr>
        <w:pBdr>
          <w:top w:val="nil"/>
          <w:left w:val="nil"/>
          <w:bottom w:val="nil"/>
          <w:right w:val="nil"/>
          <w:between w:val="nil"/>
        </w:pBdr>
        <w:spacing w:after="160" w:line="276" w:lineRule="auto"/>
        <w:ind w:left="709" w:right="709"/>
        <w:jc w:val="both"/>
        <w:rPr>
          <w:sz w:val="22"/>
          <w:szCs w:val="22"/>
        </w:rPr>
      </w:pPr>
      <w:r w:rsidRPr="002E7D94">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087296C3" w14:textId="77777777" w:rsidR="002B16BC" w:rsidRPr="002E7D94" w:rsidRDefault="002B16BC" w:rsidP="002B16BC">
      <w:pPr>
        <w:pBdr>
          <w:top w:val="nil"/>
          <w:left w:val="nil"/>
          <w:bottom w:val="nil"/>
          <w:right w:val="nil"/>
          <w:between w:val="nil"/>
        </w:pBdr>
        <w:spacing w:after="160" w:line="276" w:lineRule="auto"/>
        <w:ind w:left="709" w:right="709"/>
        <w:jc w:val="both"/>
        <w:rPr>
          <w:sz w:val="22"/>
          <w:szCs w:val="22"/>
        </w:rPr>
      </w:pPr>
      <w:r w:rsidRPr="002E7D94">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2F0E636C" w14:textId="77777777" w:rsidR="002B16BC" w:rsidRPr="002E7D94" w:rsidRDefault="002B16BC" w:rsidP="002B16BC">
      <w:pPr>
        <w:pBdr>
          <w:top w:val="nil"/>
          <w:left w:val="nil"/>
          <w:bottom w:val="nil"/>
          <w:right w:val="nil"/>
          <w:between w:val="nil"/>
        </w:pBdr>
        <w:spacing w:after="160" w:line="276" w:lineRule="auto"/>
        <w:ind w:left="709" w:right="709"/>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i/>
          <w:sz w:val="22"/>
          <w:szCs w:val="22"/>
        </w:rPr>
        <w:t>III. Señalar las personas o instancias autorizadas a acceder a la información clasificada.</w:t>
      </w:r>
    </w:p>
    <w:p w14:paraId="560902FF" w14:textId="77777777" w:rsidR="002B16BC" w:rsidRPr="002E7D94" w:rsidRDefault="002B16BC" w:rsidP="002B16BC">
      <w:pPr>
        <w:pBdr>
          <w:top w:val="nil"/>
          <w:left w:val="nil"/>
          <w:bottom w:val="nil"/>
          <w:right w:val="nil"/>
          <w:between w:val="nil"/>
        </w:pBdr>
        <w:spacing w:after="160" w:line="276" w:lineRule="auto"/>
        <w:ind w:left="709" w:right="709"/>
        <w:jc w:val="both"/>
        <w:rPr>
          <w:sz w:val="22"/>
          <w:szCs w:val="22"/>
        </w:rPr>
      </w:pPr>
      <w:r w:rsidRPr="002E7D94">
        <w:rPr>
          <w:rFonts w:ascii="Palatino Linotype" w:eastAsia="Palatino Linotype" w:hAnsi="Palatino Linotype" w:cs="Palatino Linotype"/>
          <w:i/>
          <w:sz w:val="22"/>
          <w:szCs w:val="22"/>
        </w:rPr>
        <w:t>…</w:t>
      </w:r>
    </w:p>
    <w:p w14:paraId="32C4C588" w14:textId="77777777" w:rsidR="002B16BC" w:rsidRPr="002E7D94" w:rsidRDefault="002B16BC" w:rsidP="002B16BC">
      <w:pPr>
        <w:pBdr>
          <w:top w:val="nil"/>
          <w:left w:val="nil"/>
          <w:bottom w:val="nil"/>
          <w:right w:val="nil"/>
          <w:between w:val="nil"/>
        </w:pBdr>
        <w:spacing w:after="160" w:line="276" w:lineRule="auto"/>
        <w:ind w:left="709" w:right="709"/>
        <w:jc w:val="both"/>
        <w:rPr>
          <w:sz w:val="22"/>
          <w:szCs w:val="22"/>
        </w:rPr>
      </w:pPr>
      <w:r w:rsidRPr="002E7D94">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41DAC487" w14:textId="77777777" w:rsidR="002B16BC" w:rsidRPr="002E7D94" w:rsidRDefault="002B16BC" w:rsidP="002B16BC">
      <w:pPr>
        <w:pBdr>
          <w:top w:val="nil"/>
          <w:left w:val="nil"/>
          <w:bottom w:val="nil"/>
          <w:right w:val="nil"/>
          <w:between w:val="nil"/>
        </w:pBdr>
        <w:spacing w:after="160" w:line="276" w:lineRule="auto"/>
        <w:ind w:left="709" w:right="709"/>
        <w:jc w:val="both"/>
        <w:rPr>
          <w:sz w:val="22"/>
          <w:szCs w:val="22"/>
        </w:rPr>
      </w:pPr>
      <w:r w:rsidRPr="002E7D94">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2E7D94">
        <w:rPr>
          <w:rFonts w:ascii="Palatino Linotype" w:eastAsia="Palatino Linotype" w:hAnsi="Palatino Linotype" w:cs="Palatino Linotype"/>
          <w:i/>
          <w:sz w:val="22"/>
          <w:szCs w:val="22"/>
        </w:rPr>
        <w:t>testado</w:t>
      </w:r>
      <w:proofErr w:type="spellEnd"/>
      <w:r w:rsidRPr="002E7D94">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w:t>
      </w:r>
    </w:p>
    <w:p w14:paraId="00B24BE2" w14:textId="77777777" w:rsidR="002B16BC" w:rsidRPr="002E7D94" w:rsidRDefault="002B16BC" w:rsidP="002B16BC">
      <w:pPr>
        <w:spacing w:line="360" w:lineRule="auto"/>
        <w:jc w:val="both"/>
        <w:rPr>
          <w:sz w:val="22"/>
          <w:szCs w:val="22"/>
        </w:rPr>
      </w:pPr>
    </w:p>
    <w:p w14:paraId="5315D299" w14:textId="77777777" w:rsidR="002B16BC" w:rsidRPr="002E7D94" w:rsidRDefault="002B16BC" w:rsidP="002B16BC">
      <w:pPr>
        <w:pBdr>
          <w:top w:val="nil"/>
          <w:left w:val="nil"/>
          <w:bottom w:val="nil"/>
          <w:right w:val="nil"/>
          <w:between w:val="nil"/>
        </w:pBdr>
        <w:spacing w:line="360" w:lineRule="auto"/>
        <w:jc w:val="both"/>
        <w:rPr>
          <w:sz w:val="22"/>
          <w:szCs w:val="22"/>
        </w:rPr>
      </w:pPr>
      <w:r w:rsidRPr="002E7D94">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14:paraId="073D2BF3" w14:textId="77777777" w:rsidR="002B16BC" w:rsidRPr="002E7D94" w:rsidRDefault="002B16BC" w:rsidP="002B16BC">
      <w:pPr>
        <w:spacing w:line="360" w:lineRule="auto"/>
        <w:jc w:val="both"/>
        <w:rPr>
          <w:sz w:val="22"/>
          <w:szCs w:val="22"/>
        </w:rPr>
      </w:pPr>
    </w:p>
    <w:p w14:paraId="50CBCB97" w14:textId="77777777" w:rsidR="002B16BC" w:rsidRPr="002E7D94" w:rsidRDefault="002B16BC" w:rsidP="002B16BC">
      <w:pPr>
        <w:pBdr>
          <w:top w:val="nil"/>
          <w:left w:val="nil"/>
          <w:bottom w:val="nil"/>
          <w:right w:val="nil"/>
          <w:between w:val="nil"/>
        </w:pBdr>
        <w:shd w:val="clear" w:color="auto" w:fill="FFFFFF"/>
        <w:spacing w:line="360" w:lineRule="auto"/>
        <w:ind w:right="51"/>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sidRPr="002E7D94">
        <w:rPr>
          <w:rFonts w:ascii="Palatino Linotype" w:eastAsia="Palatino Linotype" w:hAnsi="Palatino Linotype" w:cs="Palatino Linotype"/>
          <w:b/>
          <w:sz w:val="22"/>
          <w:szCs w:val="22"/>
        </w:rPr>
        <w:t>la parte</w:t>
      </w:r>
      <w:r w:rsidRPr="002E7D94">
        <w:rPr>
          <w:rFonts w:ascii="Palatino Linotype" w:eastAsia="Palatino Linotype" w:hAnsi="Palatino Linotype" w:cs="Palatino Linotype"/>
          <w:sz w:val="22"/>
          <w:szCs w:val="22"/>
        </w:rPr>
        <w:t xml:space="preserve"> </w:t>
      </w:r>
      <w:r w:rsidRPr="002E7D94">
        <w:rPr>
          <w:rFonts w:ascii="Palatino Linotype" w:eastAsia="Palatino Linotype" w:hAnsi="Palatino Linotype" w:cs="Palatino Linotype"/>
          <w:b/>
          <w:sz w:val="22"/>
          <w:szCs w:val="22"/>
        </w:rPr>
        <w:t>Recurrente</w:t>
      </w:r>
      <w:r w:rsidRPr="002E7D94">
        <w:rPr>
          <w:rFonts w:ascii="Palatino Linotype" w:eastAsia="Palatino Linotype" w:hAnsi="Palatino Linotype" w:cs="Palatino Linotype"/>
          <w:sz w:val="22"/>
          <w:szCs w:val="22"/>
        </w:rPr>
        <w:t>.</w:t>
      </w:r>
    </w:p>
    <w:p w14:paraId="354E302E" w14:textId="77777777" w:rsidR="002B16BC" w:rsidRPr="002E7D94" w:rsidRDefault="002B16BC" w:rsidP="002B16BC">
      <w:pPr>
        <w:pBdr>
          <w:top w:val="nil"/>
          <w:left w:val="nil"/>
          <w:bottom w:val="nil"/>
          <w:right w:val="nil"/>
          <w:between w:val="nil"/>
        </w:pBdr>
        <w:shd w:val="clear" w:color="auto" w:fill="FFFFFF"/>
        <w:spacing w:line="360" w:lineRule="auto"/>
        <w:ind w:right="51"/>
        <w:jc w:val="both"/>
        <w:rPr>
          <w:rFonts w:ascii="Palatino Linotype" w:eastAsia="Palatino Linotype" w:hAnsi="Palatino Linotype" w:cs="Palatino Linotype"/>
          <w:sz w:val="22"/>
          <w:szCs w:val="22"/>
        </w:rPr>
      </w:pPr>
    </w:p>
    <w:p w14:paraId="139B23C3" w14:textId="77777777" w:rsidR="00AE2083" w:rsidRPr="002E7D94" w:rsidRDefault="00F63ED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sz w:val="22"/>
          <w:szCs w:val="22"/>
        </w:rPr>
        <w:t>Así, con fundamento en lo prescrito en los artícu</w:t>
      </w:r>
      <w:r w:rsidR="002B16BC" w:rsidRPr="002E7D94">
        <w:rPr>
          <w:rFonts w:ascii="Palatino Linotype" w:eastAsia="Palatino Linotype" w:hAnsi="Palatino Linotype" w:cs="Palatino Linotype"/>
          <w:sz w:val="22"/>
          <w:szCs w:val="22"/>
        </w:rPr>
        <w:t>los 5 párrafos trigésimo séptimo</w:t>
      </w:r>
      <w:r w:rsidRPr="002E7D94">
        <w:rPr>
          <w:rFonts w:ascii="Palatino Linotype" w:eastAsia="Palatino Linotype" w:hAnsi="Palatino Linotype" w:cs="Palatino Linotype"/>
          <w:sz w:val="22"/>
          <w:szCs w:val="22"/>
        </w:rPr>
        <w:t xml:space="preserve">, trigésimo </w:t>
      </w:r>
      <w:r w:rsidR="002B16BC" w:rsidRPr="002E7D94">
        <w:rPr>
          <w:rFonts w:ascii="Palatino Linotype" w:eastAsia="Palatino Linotype" w:hAnsi="Palatino Linotype" w:cs="Palatino Linotype"/>
          <w:sz w:val="22"/>
          <w:szCs w:val="22"/>
        </w:rPr>
        <w:t>octavo y trigésimo noven</w:t>
      </w:r>
      <w:r w:rsidRPr="002E7D94">
        <w:rPr>
          <w:rFonts w:ascii="Palatino Linotype" w:eastAsia="Palatino Linotype" w:hAnsi="Palatino Linotype" w:cs="Palatino Linotype"/>
          <w:sz w:val="22"/>
          <w:szCs w:val="22"/>
        </w:rPr>
        <w:t>o de la Constitución Política del Estado Libre y Soberano de México; 2, fracción II; 29, 36 fracciones I y II; 176, 178, 181, 185 y 186 fracción II de la Ley de Transparencia y Acceso a la Información Pública del Estado de México y Municipios, este Pleno:</w:t>
      </w:r>
    </w:p>
    <w:p w14:paraId="41B7BB85" w14:textId="77777777" w:rsidR="00AE2083" w:rsidRPr="002E7D94" w:rsidRDefault="00F63ED3">
      <w:pPr>
        <w:pBdr>
          <w:top w:val="nil"/>
          <w:left w:val="nil"/>
          <w:bottom w:val="nil"/>
          <w:right w:val="nil"/>
          <w:between w:val="nil"/>
        </w:pBdr>
        <w:spacing w:before="240" w:after="240" w:line="360" w:lineRule="auto"/>
        <w:jc w:val="center"/>
        <w:rPr>
          <w:rFonts w:ascii="Palatino Linotype" w:eastAsia="Palatino Linotype" w:hAnsi="Palatino Linotype" w:cs="Palatino Linotype"/>
          <w:sz w:val="22"/>
          <w:szCs w:val="22"/>
        </w:rPr>
      </w:pPr>
      <w:r w:rsidRPr="002E7D94">
        <w:rPr>
          <w:rFonts w:ascii="Palatino Linotype" w:eastAsia="Palatino Linotype" w:hAnsi="Palatino Linotype" w:cs="Palatino Linotype"/>
          <w:b/>
        </w:rPr>
        <w:t>III. R E S U E L V E</w:t>
      </w:r>
    </w:p>
    <w:p w14:paraId="40A1A253" w14:textId="77777777" w:rsidR="00AE2083" w:rsidRPr="002E7D94" w:rsidRDefault="00F63ED3">
      <w:pPr>
        <w:spacing w:before="240" w:after="240" w:line="360" w:lineRule="auto"/>
        <w:jc w:val="both"/>
        <w:rPr>
          <w:rFonts w:ascii="Palatino Linotype" w:eastAsia="Palatino Linotype" w:hAnsi="Palatino Linotype" w:cs="Palatino Linotype"/>
          <w:b/>
          <w:sz w:val="22"/>
          <w:szCs w:val="22"/>
        </w:rPr>
      </w:pPr>
      <w:bookmarkStart w:id="10" w:name="_heading=h.26in1rg" w:colFirst="0" w:colLast="0"/>
      <w:bookmarkEnd w:id="10"/>
      <w:r w:rsidRPr="002E7D94">
        <w:rPr>
          <w:rFonts w:ascii="Palatino Linotype" w:eastAsia="Palatino Linotype" w:hAnsi="Palatino Linotype" w:cs="Palatino Linotype"/>
          <w:b/>
          <w:sz w:val="22"/>
          <w:szCs w:val="22"/>
        </w:rPr>
        <w:t xml:space="preserve">Primero. </w:t>
      </w:r>
      <w:r w:rsidRPr="002E7D94">
        <w:rPr>
          <w:rFonts w:ascii="Palatino Linotype" w:eastAsia="Palatino Linotype" w:hAnsi="Palatino Linotype" w:cs="Palatino Linotype"/>
          <w:sz w:val="22"/>
          <w:szCs w:val="22"/>
        </w:rPr>
        <w:t xml:space="preserve">Resultan </w:t>
      </w:r>
      <w:r w:rsidRPr="002E7D94">
        <w:rPr>
          <w:rFonts w:ascii="Palatino Linotype" w:eastAsia="Palatino Linotype" w:hAnsi="Palatino Linotype" w:cs="Palatino Linotype"/>
          <w:b/>
          <w:sz w:val="22"/>
          <w:szCs w:val="22"/>
        </w:rPr>
        <w:t>fundadas</w:t>
      </w:r>
      <w:r w:rsidRPr="002E7D94">
        <w:rPr>
          <w:rFonts w:ascii="Palatino Linotype" w:eastAsia="Palatino Linotype" w:hAnsi="Palatino Linotype" w:cs="Palatino Linotype"/>
          <w:sz w:val="22"/>
          <w:szCs w:val="22"/>
        </w:rPr>
        <w:t xml:space="preserve"> las razones o motivos de inconformidad hechos valer por </w:t>
      </w:r>
      <w:r w:rsidRPr="002E7D94">
        <w:rPr>
          <w:rFonts w:ascii="Palatino Linotype" w:eastAsia="Palatino Linotype" w:hAnsi="Palatino Linotype" w:cs="Palatino Linotype"/>
          <w:b/>
          <w:sz w:val="22"/>
          <w:szCs w:val="22"/>
        </w:rPr>
        <w:t>la parte Recurrente</w:t>
      </w:r>
      <w:r w:rsidRPr="002E7D94">
        <w:rPr>
          <w:rFonts w:ascii="Palatino Linotype" w:eastAsia="Palatino Linotype" w:hAnsi="Palatino Linotype" w:cs="Palatino Linotype"/>
          <w:sz w:val="22"/>
          <w:szCs w:val="22"/>
        </w:rPr>
        <w:t xml:space="preserve"> en el recurso de revisión </w:t>
      </w:r>
      <w:r w:rsidR="002B16BC" w:rsidRPr="002E7D94">
        <w:rPr>
          <w:rFonts w:ascii="Palatino Linotype" w:eastAsia="Palatino Linotype" w:hAnsi="Palatino Linotype" w:cs="Palatino Linotype"/>
          <w:b/>
          <w:sz w:val="22"/>
          <w:szCs w:val="22"/>
        </w:rPr>
        <w:t>02884/INFOEM/IP/RR/2025</w:t>
      </w:r>
      <w:r w:rsidRPr="002E7D94">
        <w:rPr>
          <w:rFonts w:ascii="Palatino Linotype" w:eastAsia="Palatino Linotype" w:hAnsi="Palatino Linotype" w:cs="Palatino Linotype"/>
          <w:sz w:val="22"/>
          <w:szCs w:val="22"/>
        </w:rPr>
        <w:t xml:space="preserve">; por lo que, en </w:t>
      </w:r>
      <w:r w:rsidRPr="002E7D94">
        <w:rPr>
          <w:rFonts w:ascii="Palatino Linotype" w:eastAsia="Palatino Linotype" w:hAnsi="Palatino Linotype" w:cs="Palatino Linotype"/>
          <w:sz w:val="22"/>
          <w:szCs w:val="22"/>
        </w:rPr>
        <w:lastRenderedPageBreak/>
        <w:t xml:space="preserve">términos del </w:t>
      </w:r>
      <w:r w:rsidRPr="002E7D94">
        <w:rPr>
          <w:rFonts w:ascii="Palatino Linotype" w:eastAsia="Palatino Linotype" w:hAnsi="Palatino Linotype" w:cs="Palatino Linotype"/>
          <w:b/>
          <w:sz w:val="22"/>
          <w:szCs w:val="22"/>
        </w:rPr>
        <w:t>Considerando</w:t>
      </w:r>
      <w:r w:rsidRPr="002E7D94">
        <w:rPr>
          <w:rFonts w:ascii="Palatino Linotype" w:eastAsia="Palatino Linotype" w:hAnsi="Palatino Linotype" w:cs="Palatino Linotype"/>
          <w:sz w:val="22"/>
          <w:szCs w:val="22"/>
        </w:rPr>
        <w:t xml:space="preserve"> </w:t>
      </w:r>
      <w:r w:rsidRPr="002E7D94">
        <w:rPr>
          <w:rFonts w:ascii="Palatino Linotype" w:eastAsia="Palatino Linotype" w:hAnsi="Palatino Linotype" w:cs="Palatino Linotype"/>
          <w:b/>
          <w:sz w:val="22"/>
          <w:szCs w:val="22"/>
        </w:rPr>
        <w:t xml:space="preserve">Cuarto </w:t>
      </w:r>
      <w:r w:rsidRPr="002E7D94">
        <w:rPr>
          <w:rFonts w:ascii="Palatino Linotype" w:eastAsia="Palatino Linotype" w:hAnsi="Palatino Linotype" w:cs="Palatino Linotype"/>
          <w:sz w:val="22"/>
          <w:szCs w:val="22"/>
        </w:rPr>
        <w:t xml:space="preserve">de esta resolución, se </w:t>
      </w:r>
      <w:r w:rsidRPr="002E7D94">
        <w:rPr>
          <w:rFonts w:ascii="Palatino Linotype" w:eastAsia="Palatino Linotype" w:hAnsi="Palatino Linotype" w:cs="Palatino Linotype"/>
          <w:b/>
          <w:sz w:val="22"/>
          <w:szCs w:val="22"/>
        </w:rPr>
        <w:t xml:space="preserve">REVOCA </w:t>
      </w:r>
      <w:r w:rsidRPr="002E7D94">
        <w:rPr>
          <w:rFonts w:ascii="Palatino Linotype" w:eastAsia="Palatino Linotype" w:hAnsi="Palatino Linotype" w:cs="Palatino Linotype"/>
          <w:sz w:val="22"/>
          <w:szCs w:val="22"/>
        </w:rPr>
        <w:t xml:space="preserve">la respuesta emitida por el </w:t>
      </w:r>
      <w:r w:rsidRPr="002E7D94">
        <w:rPr>
          <w:rFonts w:ascii="Palatino Linotype" w:eastAsia="Palatino Linotype" w:hAnsi="Palatino Linotype" w:cs="Palatino Linotype"/>
          <w:b/>
          <w:sz w:val="22"/>
          <w:szCs w:val="22"/>
        </w:rPr>
        <w:t xml:space="preserve">Sujeto Obligado. </w:t>
      </w:r>
    </w:p>
    <w:p w14:paraId="13DD2F29" w14:textId="77777777" w:rsidR="00AE2083" w:rsidRPr="002E7D94" w:rsidRDefault="00F63ED3">
      <w:pPr>
        <w:spacing w:before="240" w:after="240" w:line="360" w:lineRule="auto"/>
        <w:ind w:right="49"/>
        <w:jc w:val="both"/>
        <w:rPr>
          <w:rFonts w:ascii="Palatino Linotype" w:eastAsia="Palatino Linotype" w:hAnsi="Palatino Linotype" w:cs="Palatino Linotype"/>
          <w:b/>
          <w:sz w:val="22"/>
          <w:szCs w:val="22"/>
        </w:rPr>
      </w:pPr>
      <w:r w:rsidRPr="002E7D94">
        <w:rPr>
          <w:rFonts w:ascii="Palatino Linotype" w:eastAsia="Palatino Linotype" w:hAnsi="Palatino Linotype" w:cs="Palatino Linotype"/>
          <w:b/>
          <w:sz w:val="22"/>
          <w:szCs w:val="22"/>
        </w:rPr>
        <w:t xml:space="preserve">Segundo. </w:t>
      </w:r>
      <w:r w:rsidRPr="002E7D94">
        <w:rPr>
          <w:rFonts w:ascii="Palatino Linotype" w:eastAsia="Palatino Linotype" w:hAnsi="Palatino Linotype" w:cs="Palatino Linotype"/>
          <w:sz w:val="22"/>
          <w:szCs w:val="22"/>
        </w:rPr>
        <w:t xml:space="preserve">Se </w:t>
      </w:r>
      <w:r w:rsidRPr="002E7D94">
        <w:rPr>
          <w:rFonts w:ascii="Palatino Linotype" w:eastAsia="Palatino Linotype" w:hAnsi="Palatino Linotype" w:cs="Palatino Linotype"/>
          <w:b/>
          <w:sz w:val="22"/>
          <w:szCs w:val="22"/>
        </w:rPr>
        <w:t xml:space="preserve">Ordena </w:t>
      </w:r>
      <w:r w:rsidRPr="002E7D94">
        <w:rPr>
          <w:rFonts w:ascii="Palatino Linotype" w:eastAsia="Palatino Linotype" w:hAnsi="Palatino Linotype" w:cs="Palatino Linotype"/>
          <w:sz w:val="22"/>
          <w:szCs w:val="22"/>
        </w:rPr>
        <w:t xml:space="preserve">al </w:t>
      </w:r>
      <w:r w:rsidRPr="002E7D94">
        <w:rPr>
          <w:rFonts w:ascii="Palatino Linotype" w:eastAsia="Palatino Linotype" w:hAnsi="Palatino Linotype" w:cs="Palatino Linotype"/>
          <w:b/>
          <w:sz w:val="22"/>
          <w:szCs w:val="22"/>
        </w:rPr>
        <w:t>Sujeto Obligado</w:t>
      </w:r>
      <w:r w:rsidRPr="002E7D94">
        <w:rPr>
          <w:rFonts w:ascii="Palatino Linotype" w:eastAsia="Palatino Linotype" w:hAnsi="Palatino Linotype" w:cs="Palatino Linotype"/>
          <w:sz w:val="22"/>
          <w:szCs w:val="22"/>
        </w:rPr>
        <w:t xml:space="preserve"> haga entrega, a</w:t>
      </w:r>
      <w:r w:rsidRPr="002E7D94">
        <w:rPr>
          <w:rFonts w:ascii="Palatino Linotype" w:eastAsia="Palatino Linotype" w:hAnsi="Palatino Linotype" w:cs="Palatino Linotype"/>
          <w:b/>
          <w:sz w:val="22"/>
          <w:szCs w:val="22"/>
        </w:rPr>
        <w:t xml:space="preserve"> la parte Recurrente,</w:t>
      </w:r>
      <w:r w:rsidRPr="002E7D94">
        <w:rPr>
          <w:rFonts w:ascii="Palatino Linotype" w:eastAsia="Palatino Linotype" w:hAnsi="Palatino Linotype" w:cs="Palatino Linotype"/>
          <w:sz w:val="22"/>
          <w:szCs w:val="22"/>
        </w:rPr>
        <w:t xml:space="preserve"> vía </w:t>
      </w:r>
      <w:r w:rsidRPr="002E7D94">
        <w:rPr>
          <w:rFonts w:ascii="Palatino Linotype" w:eastAsia="Palatino Linotype" w:hAnsi="Palatino Linotype" w:cs="Palatino Linotype"/>
          <w:b/>
          <w:sz w:val="22"/>
          <w:szCs w:val="22"/>
        </w:rPr>
        <w:t xml:space="preserve">SAIMEX, </w:t>
      </w:r>
      <w:r w:rsidRPr="002E7D94">
        <w:rPr>
          <w:rFonts w:ascii="Palatino Linotype" w:eastAsia="Palatino Linotype" w:hAnsi="Palatino Linotype" w:cs="Palatino Linotype"/>
          <w:sz w:val="22"/>
          <w:szCs w:val="22"/>
        </w:rPr>
        <w:t>en versión pública</w:t>
      </w:r>
      <w:r w:rsidR="002B16BC" w:rsidRPr="002E7D94">
        <w:rPr>
          <w:rFonts w:ascii="Palatino Linotype" w:eastAsia="Palatino Linotype" w:hAnsi="Palatino Linotype" w:cs="Palatino Linotype"/>
          <w:sz w:val="22"/>
          <w:szCs w:val="22"/>
        </w:rPr>
        <w:t xml:space="preserve"> de ser procedente</w:t>
      </w:r>
      <w:r w:rsidRPr="002E7D94">
        <w:rPr>
          <w:rFonts w:ascii="Palatino Linotype" w:eastAsia="Palatino Linotype" w:hAnsi="Palatino Linotype" w:cs="Palatino Linotype"/>
          <w:sz w:val="22"/>
          <w:szCs w:val="22"/>
        </w:rPr>
        <w:t xml:space="preserve">, en términos de los </w:t>
      </w:r>
      <w:r w:rsidRPr="002E7D94">
        <w:rPr>
          <w:rFonts w:ascii="Palatino Linotype" w:eastAsia="Palatino Linotype" w:hAnsi="Palatino Linotype" w:cs="Palatino Linotype"/>
          <w:b/>
          <w:sz w:val="22"/>
          <w:szCs w:val="22"/>
        </w:rPr>
        <w:t>Considerandos</w:t>
      </w:r>
      <w:r w:rsidRPr="002E7D94">
        <w:rPr>
          <w:rFonts w:ascii="Palatino Linotype" w:eastAsia="Palatino Linotype" w:hAnsi="Palatino Linotype" w:cs="Palatino Linotype"/>
          <w:sz w:val="22"/>
          <w:szCs w:val="22"/>
        </w:rPr>
        <w:t xml:space="preserve"> </w:t>
      </w:r>
      <w:r w:rsidRPr="002E7D94">
        <w:rPr>
          <w:rFonts w:ascii="Palatino Linotype" w:eastAsia="Palatino Linotype" w:hAnsi="Palatino Linotype" w:cs="Palatino Linotype"/>
          <w:b/>
          <w:sz w:val="22"/>
          <w:szCs w:val="22"/>
        </w:rPr>
        <w:t xml:space="preserve">Cuarto y Quinto, </w:t>
      </w:r>
      <w:r w:rsidRPr="002E7D94">
        <w:rPr>
          <w:rFonts w:ascii="Palatino Linotype" w:eastAsia="Palatino Linotype" w:hAnsi="Palatino Linotype" w:cs="Palatino Linotype"/>
          <w:sz w:val="22"/>
          <w:szCs w:val="22"/>
        </w:rPr>
        <w:t>de lo siguiente:</w:t>
      </w:r>
    </w:p>
    <w:p w14:paraId="2766E5AD" w14:textId="77777777" w:rsidR="00AE2083" w:rsidRPr="002E7D94" w:rsidRDefault="002B16BC" w:rsidP="002B16BC">
      <w:pPr>
        <w:numPr>
          <w:ilvl w:val="0"/>
          <w:numId w:val="7"/>
        </w:numPr>
        <w:pBdr>
          <w:top w:val="nil"/>
          <w:left w:val="nil"/>
          <w:bottom w:val="nil"/>
          <w:right w:val="nil"/>
          <w:between w:val="nil"/>
        </w:pBdr>
        <w:spacing w:line="276" w:lineRule="auto"/>
        <w:ind w:left="567" w:right="900" w:hanging="283"/>
        <w:jc w:val="both"/>
        <w:rPr>
          <w:rFonts w:ascii="Palatino Linotype" w:eastAsia="Palatino Linotype" w:hAnsi="Palatino Linotype" w:cs="Palatino Linotype"/>
          <w:b/>
          <w:i/>
          <w:sz w:val="22"/>
          <w:szCs w:val="22"/>
        </w:rPr>
      </w:pPr>
      <w:r w:rsidRPr="002E7D94">
        <w:rPr>
          <w:rFonts w:ascii="Palatino Linotype" w:eastAsia="Palatino Linotype" w:hAnsi="Palatino Linotype" w:cs="Palatino Linotype"/>
          <w:b/>
          <w:i/>
          <w:sz w:val="22"/>
          <w:szCs w:val="22"/>
        </w:rPr>
        <w:t>Las actas de cabildo de sesiones ordinarias y extraordinarias, celebradas por el H. Ayuntamiento de Cal</w:t>
      </w:r>
      <w:r w:rsidR="0051743C" w:rsidRPr="002E7D94">
        <w:rPr>
          <w:rFonts w:ascii="Palatino Linotype" w:eastAsia="Palatino Linotype" w:hAnsi="Palatino Linotype" w:cs="Palatino Linotype"/>
          <w:b/>
          <w:i/>
          <w:sz w:val="22"/>
          <w:szCs w:val="22"/>
        </w:rPr>
        <w:t>imaya, Administración 2025-2027;</w:t>
      </w:r>
      <w:r w:rsidRPr="002E7D94">
        <w:rPr>
          <w:rFonts w:ascii="Palatino Linotype" w:eastAsia="Palatino Linotype" w:hAnsi="Palatino Linotype" w:cs="Palatino Linotype"/>
          <w:b/>
          <w:i/>
          <w:sz w:val="22"/>
          <w:szCs w:val="22"/>
        </w:rPr>
        <w:t xml:space="preserve"> </w:t>
      </w:r>
      <w:r w:rsidRPr="002E7D94">
        <w:rPr>
          <w:rFonts w:ascii="Palatino Linotype" w:eastAsia="Palatino Linotype" w:hAnsi="Palatino Linotype" w:cs="Palatino Linotype"/>
          <w:b/>
          <w:i/>
          <w:sz w:val="22"/>
          <w:szCs w:val="22"/>
          <w:u w:val="single"/>
        </w:rPr>
        <w:t>en el periodo comprendido del 01 de enero de 2025 al 04 de marzo de 2025</w:t>
      </w:r>
      <w:r w:rsidR="00F63ED3" w:rsidRPr="002E7D94">
        <w:rPr>
          <w:rFonts w:ascii="Palatino Linotype" w:eastAsia="Palatino Linotype" w:hAnsi="Palatino Linotype" w:cs="Palatino Linotype"/>
          <w:b/>
          <w:i/>
          <w:sz w:val="22"/>
          <w:szCs w:val="22"/>
        </w:rPr>
        <w:t>.</w:t>
      </w:r>
    </w:p>
    <w:p w14:paraId="3185F703" w14:textId="77777777" w:rsidR="0051743C" w:rsidRPr="002E7D94" w:rsidRDefault="0051743C" w:rsidP="0051743C">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14:paraId="7B620DC5" w14:textId="77777777" w:rsidR="00AE2083" w:rsidRPr="002E7D94" w:rsidRDefault="00F63ED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2E7D94">
        <w:rPr>
          <w:rFonts w:ascii="Palatino Linotype" w:eastAsia="Palatino Linotype" w:hAnsi="Palatino Linotype" w:cs="Palatino Linotype"/>
          <w:b/>
          <w:i/>
          <w:sz w:val="22"/>
          <w:szCs w:val="22"/>
        </w:rPr>
        <w:t xml:space="preserve"> </w:t>
      </w:r>
      <w:r w:rsidRPr="002E7D94">
        <w:rPr>
          <w:rFonts w:ascii="Palatino Linotype" w:eastAsia="Palatino Linotype" w:hAnsi="Palatino Linotype" w:cs="Palatino Linotype"/>
          <w:i/>
          <w:sz w:val="22"/>
          <w:szCs w:val="22"/>
        </w:rPr>
        <w:t xml:space="preserve">Para la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w:t>
      </w:r>
      <w:r w:rsidRPr="002E7D94">
        <w:rPr>
          <w:rFonts w:ascii="Palatino Linotype" w:eastAsia="Palatino Linotype" w:hAnsi="Palatino Linotype" w:cs="Palatino Linotype"/>
          <w:b/>
          <w:i/>
          <w:sz w:val="22"/>
          <w:szCs w:val="22"/>
        </w:rPr>
        <w:t>la parte Recurrente</w:t>
      </w:r>
      <w:r w:rsidRPr="002E7D94">
        <w:rPr>
          <w:rFonts w:ascii="Palatino Linotype" w:eastAsia="Palatino Linotype" w:hAnsi="Palatino Linotype" w:cs="Palatino Linotype"/>
          <w:i/>
          <w:sz w:val="22"/>
          <w:szCs w:val="22"/>
        </w:rPr>
        <w:t>.</w:t>
      </w:r>
    </w:p>
    <w:p w14:paraId="7BB73D0B" w14:textId="77777777" w:rsidR="00AE2083" w:rsidRPr="002E7D94" w:rsidRDefault="00F63ED3">
      <w:pPr>
        <w:spacing w:before="240" w:after="240" w:line="360" w:lineRule="auto"/>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b/>
          <w:sz w:val="22"/>
          <w:szCs w:val="22"/>
        </w:rPr>
        <w:t xml:space="preserve">Tercero.  Notifíquese vía SAIMEX, </w:t>
      </w:r>
      <w:r w:rsidRPr="002E7D94">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FADC037" w14:textId="77777777" w:rsidR="00AE2083" w:rsidRPr="002E7D94" w:rsidRDefault="00F63ED3">
      <w:pPr>
        <w:spacing w:before="240" w:after="240" w:line="360" w:lineRule="auto"/>
        <w:ind w:right="49"/>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b/>
          <w:sz w:val="22"/>
          <w:szCs w:val="22"/>
        </w:rPr>
        <w:t>Cuarto. Notifíquese vía SAIMEX,</w:t>
      </w:r>
      <w:r w:rsidRPr="002E7D94">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7B3C325" w14:textId="77777777" w:rsidR="00AE2083" w:rsidRPr="002E7D94" w:rsidRDefault="00F63ED3">
      <w:pPr>
        <w:spacing w:before="240" w:after="240" w:line="360" w:lineRule="auto"/>
        <w:ind w:right="49"/>
        <w:jc w:val="both"/>
        <w:rPr>
          <w:rFonts w:ascii="Palatino Linotype" w:eastAsia="Palatino Linotype" w:hAnsi="Palatino Linotype" w:cs="Palatino Linotype"/>
          <w:sz w:val="22"/>
          <w:szCs w:val="22"/>
        </w:rPr>
      </w:pPr>
      <w:r w:rsidRPr="002E7D94">
        <w:rPr>
          <w:rFonts w:ascii="Palatino Linotype" w:eastAsia="Palatino Linotype" w:hAnsi="Palatino Linotype" w:cs="Palatino Linotype"/>
          <w:b/>
          <w:sz w:val="22"/>
          <w:szCs w:val="22"/>
        </w:rPr>
        <w:lastRenderedPageBreak/>
        <w:t xml:space="preserve">Quinto. Notifíquese vía SAIMEX, </w:t>
      </w:r>
      <w:r w:rsidRPr="002E7D94">
        <w:rPr>
          <w:rFonts w:ascii="Palatino Linotype" w:eastAsia="Palatino Linotype" w:hAnsi="Palatino Linotype" w:cs="Palatino Linotype"/>
          <w:sz w:val="22"/>
          <w:szCs w:val="22"/>
        </w:rPr>
        <w:t>a</w:t>
      </w:r>
      <w:r w:rsidRPr="002E7D94">
        <w:rPr>
          <w:rFonts w:ascii="Palatino Linotype" w:eastAsia="Palatino Linotype" w:hAnsi="Palatino Linotype" w:cs="Palatino Linotype"/>
          <w:b/>
          <w:sz w:val="22"/>
          <w:szCs w:val="22"/>
        </w:rPr>
        <w:t xml:space="preserve"> la parte Recurrente</w:t>
      </w:r>
      <w:r w:rsidRPr="002E7D94">
        <w:rPr>
          <w:rFonts w:ascii="Palatino Linotype" w:eastAsia="Palatino Linotype" w:hAnsi="Palatino Linotype" w:cs="Palatino Linotype"/>
          <w:sz w:val="22"/>
          <w:szCs w:val="22"/>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w:t>
      </w:r>
    </w:p>
    <w:p w14:paraId="165208A8" w14:textId="05CE7DC5" w:rsidR="00AE2083" w:rsidRPr="00234274" w:rsidRDefault="00F63ED3">
      <w:pPr>
        <w:spacing w:before="240" w:after="240" w:line="360" w:lineRule="auto"/>
        <w:jc w:val="both"/>
        <w:rPr>
          <w:rFonts w:ascii="Palatino Linotype" w:eastAsia="Palatino Linotype" w:hAnsi="Palatino Linotype" w:cs="Palatino Linotype"/>
        </w:rPr>
      </w:pPr>
      <w:r w:rsidRPr="002E7D94">
        <w:rPr>
          <w:rFonts w:ascii="Palatino Linotype" w:eastAsia="Palatino Linotype" w:hAnsi="Palatino Linotype" w:cs="Palatino Linotype"/>
        </w:rPr>
        <w:t xml:space="preserve">ASÍ LO </w:t>
      </w:r>
      <w:r w:rsidR="00234274" w:rsidRPr="002E7D94">
        <w:rPr>
          <w:rFonts w:ascii="Palatino Linotype" w:eastAsia="Palatino Linotype" w:hAnsi="Palatino Linotype" w:cs="Palatino Linotype"/>
        </w:rPr>
        <w:t>RESUELVE</w:t>
      </w:r>
      <w:r w:rsidRPr="002E7D94">
        <w:rPr>
          <w:rFonts w:ascii="Palatino Linotype" w:eastAsia="Palatino Linotype" w:hAnsi="Palatino Linotype" w:cs="Palatino Linotype"/>
        </w:rPr>
        <w:t xml:space="preser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EC541C" w:rsidRPr="002E7D94">
        <w:rPr>
          <w:rFonts w:ascii="Palatino Linotype" w:eastAsia="Palatino Linotype" w:hAnsi="Palatino Linotype" w:cs="Palatino Linotype"/>
        </w:rPr>
        <w:t xml:space="preserve"> </w:t>
      </w:r>
      <w:r w:rsidRPr="002E7D94">
        <w:rPr>
          <w:rFonts w:ascii="Palatino Linotype" w:eastAsia="Palatino Linotype" w:hAnsi="Palatino Linotype" w:cs="Palatino Linotype"/>
        </w:rPr>
        <w:t xml:space="preserve">Y GUADALUPE RAMÍREZ PEÑA; EN LA DÉCIMA </w:t>
      </w:r>
      <w:r w:rsidR="0051743C" w:rsidRPr="002E7D94">
        <w:rPr>
          <w:rFonts w:ascii="Palatino Linotype" w:eastAsia="Palatino Linotype" w:hAnsi="Palatino Linotype" w:cs="Palatino Linotype"/>
        </w:rPr>
        <w:t>SÉPTIMA</w:t>
      </w:r>
      <w:r w:rsidRPr="002E7D94">
        <w:rPr>
          <w:rFonts w:ascii="Palatino Linotype" w:eastAsia="Palatino Linotype" w:hAnsi="Palatino Linotype" w:cs="Palatino Linotype"/>
        </w:rPr>
        <w:t xml:space="preserve"> SESIÓN ORDINARIA CELEBRADA EL </w:t>
      </w:r>
      <w:r w:rsidR="0051743C" w:rsidRPr="002E7D94">
        <w:rPr>
          <w:rFonts w:ascii="Palatino Linotype" w:eastAsia="Palatino Linotype" w:hAnsi="Palatino Linotype" w:cs="Palatino Linotype"/>
        </w:rPr>
        <w:t>CATORCE DE MAYO</w:t>
      </w:r>
      <w:r w:rsidRPr="002E7D94">
        <w:rPr>
          <w:rFonts w:ascii="Palatino Linotype" w:eastAsia="Palatino Linotype" w:hAnsi="Palatino Linotype" w:cs="Palatino Linotype"/>
        </w:rPr>
        <w:t xml:space="preserve"> DE DOS MIL VEINTICINCO, ANTE EL SECRETARIO TÉCNICO DEL PLENO ALEXIS TAPIA RAMÍREZ.</w:t>
      </w:r>
    </w:p>
    <w:p w14:paraId="6422E0EF" w14:textId="77777777" w:rsidR="00AE2083" w:rsidRPr="00234274" w:rsidRDefault="00AE2083">
      <w:pPr>
        <w:spacing w:line="360" w:lineRule="auto"/>
        <w:ind w:right="141"/>
        <w:jc w:val="both"/>
        <w:rPr>
          <w:rFonts w:ascii="Palatino Linotype" w:eastAsia="Palatino Linotype" w:hAnsi="Palatino Linotype" w:cs="Palatino Linotype"/>
          <w:sz w:val="22"/>
          <w:szCs w:val="22"/>
        </w:rPr>
      </w:pPr>
    </w:p>
    <w:p w14:paraId="291C0ABD" w14:textId="77777777" w:rsidR="00AE2083" w:rsidRPr="00234274" w:rsidRDefault="00AE2083">
      <w:pPr>
        <w:spacing w:line="360" w:lineRule="auto"/>
        <w:ind w:right="141"/>
        <w:jc w:val="both"/>
        <w:rPr>
          <w:rFonts w:ascii="Palatino Linotype" w:eastAsia="Palatino Linotype" w:hAnsi="Palatino Linotype" w:cs="Palatino Linotype"/>
          <w:sz w:val="22"/>
          <w:szCs w:val="22"/>
        </w:rPr>
      </w:pPr>
    </w:p>
    <w:p w14:paraId="33D4CD4D" w14:textId="77777777" w:rsidR="00AE2083" w:rsidRPr="00234274" w:rsidRDefault="00AE2083">
      <w:pPr>
        <w:spacing w:line="360" w:lineRule="auto"/>
        <w:ind w:right="141"/>
        <w:jc w:val="both"/>
        <w:rPr>
          <w:rFonts w:ascii="Palatino Linotype" w:eastAsia="Palatino Linotype" w:hAnsi="Palatino Linotype" w:cs="Palatino Linotype"/>
          <w:sz w:val="22"/>
          <w:szCs w:val="22"/>
        </w:rPr>
      </w:pPr>
    </w:p>
    <w:p w14:paraId="05D4D83F" w14:textId="77777777" w:rsidR="00AE2083" w:rsidRPr="00234274" w:rsidRDefault="00AE2083">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b/>
          <w:sz w:val="22"/>
          <w:szCs w:val="22"/>
        </w:rPr>
      </w:pPr>
    </w:p>
    <w:p w14:paraId="5178911F" w14:textId="77777777" w:rsidR="00AE2083" w:rsidRPr="00234274" w:rsidRDefault="00AE2083">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b/>
          <w:sz w:val="22"/>
          <w:szCs w:val="22"/>
        </w:rPr>
      </w:pPr>
    </w:p>
    <w:p w14:paraId="196440DC" w14:textId="77777777" w:rsidR="00AE2083" w:rsidRPr="00234274" w:rsidRDefault="00AE2083">
      <w:pPr>
        <w:spacing w:before="240" w:after="240" w:line="360" w:lineRule="auto"/>
        <w:jc w:val="both"/>
        <w:rPr>
          <w:rFonts w:ascii="Palatino Linotype" w:eastAsia="Palatino Linotype" w:hAnsi="Palatino Linotype" w:cs="Palatino Linotype"/>
          <w:sz w:val="22"/>
          <w:szCs w:val="22"/>
        </w:rPr>
      </w:pPr>
    </w:p>
    <w:p w14:paraId="3618EF4B" w14:textId="77777777" w:rsidR="00AE2083" w:rsidRPr="00234274" w:rsidRDefault="00AE2083">
      <w:pPr>
        <w:spacing w:before="240" w:after="240" w:line="360" w:lineRule="auto"/>
        <w:jc w:val="both"/>
        <w:rPr>
          <w:rFonts w:ascii="Palatino Linotype" w:eastAsia="Palatino Linotype" w:hAnsi="Palatino Linotype" w:cs="Palatino Linotype"/>
          <w:b/>
        </w:rPr>
      </w:pPr>
    </w:p>
    <w:p w14:paraId="75A0F300" w14:textId="77777777" w:rsidR="00AE2083" w:rsidRPr="00234274" w:rsidRDefault="00AE2083">
      <w:pPr>
        <w:spacing w:before="240" w:after="240" w:line="360" w:lineRule="auto"/>
        <w:jc w:val="both"/>
        <w:rPr>
          <w:rFonts w:ascii="Palatino Linotype" w:eastAsia="Palatino Linotype" w:hAnsi="Palatino Linotype" w:cs="Palatino Linotype"/>
          <w:b/>
        </w:rPr>
      </w:pPr>
    </w:p>
    <w:p w14:paraId="3A973046" w14:textId="77777777" w:rsidR="00AE2083" w:rsidRPr="00234274" w:rsidRDefault="00AE2083">
      <w:pPr>
        <w:spacing w:before="240" w:after="240" w:line="360" w:lineRule="auto"/>
        <w:jc w:val="both"/>
        <w:rPr>
          <w:rFonts w:ascii="Palatino Linotype" w:eastAsia="Palatino Linotype" w:hAnsi="Palatino Linotype" w:cs="Palatino Linotype"/>
          <w:b/>
        </w:rPr>
      </w:pPr>
    </w:p>
    <w:p w14:paraId="5523CF36" w14:textId="77777777" w:rsidR="00AE2083" w:rsidRPr="00234274" w:rsidRDefault="00AE2083">
      <w:pPr>
        <w:spacing w:line="360" w:lineRule="auto"/>
        <w:jc w:val="both"/>
        <w:rPr>
          <w:rFonts w:ascii="Palatino Linotype" w:eastAsia="Palatino Linotype" w:hAnsi="Palatino Linotype" w:cs="Palatino Linotype"/>
        </w:rPr>
      </w:pPr>
    </w:p>
    <w:p w14:paraId="59D12607" w14:textId="77777777" w:rsidR="00AE2083" w:rsidRPr="00234274" w:rsidRDefault="00AE2083">
      <w:pPr>
        <w:spacing w:line="360" w:lineRule="auto"/>
        <w:jc w:val="both"/>
        <w:rPr>
          <w:rFonts w:ascii="Palatino Linotype" w:eastAsia="Palatino Linotype" w:hAnsi="Palatino Linotype" w:cs="Palatino Linotype"/>
        </w:rPr>
      </w:pPr>
    </w:p>
    <w:p w14:paraId="47ACCB76" w14:textId="77777777" w:rsidR="00AE2083" w:rsidRPr="00234274" w:rsidRDefault="00AE2083">
      <w:pPr>
        <w:spacing w:line="360" w:lineRule="auto"/>
        <w:jc w:val="both"/>
        <w:rPr>
          <w:rFonts w:ascii="Palatino Linotype" w:eastAsia="Palatino Linotype" w:hAnsi="Palatino Linotype" w:cs="Palatino Linotype"/>
        </w:rPr>
      </w:pPr>
    </w:p>
    <w:p w14:paraId="4B063D71" w14:textId="77777777" w:rsidR="00AE2083" w:rsidRPr="00234274" w:rsidRDefault="00AE2083">
      <w:pPr>
        <w:spacing w:line="360" w:lineRule="auto"/>
        <w:jc w:val="both"/>
        <w:rPr>
          <w:rFonts w:ascii="Palatino Linotype" w:eastAsia="Palatino Linotype" w:hAnsi="Palatino Linotype" w:cs="Palatino Linotype"/>
        </w:rPr>
      </w:pPr>
    </w:p>
    <w:p w14:paraId="496FEE25" w14:textId="77777777" w:rsidR="00AE2083" w:rsidRPr="00234274" w:rsidRDefault="00AE2083">
      <w:pPr>
        <w:spacing w:line="360" w:lineRule="auto"/>
        <w:jc w:val="both"/>
        <w:rPr>
          <w:rFonts w:ascii="Palatino Linotype" w:eastAsia="Palatino Linotype" w:hAnsi="Palatino Linotype" w:cs="Palatino Linotype"/>
        </w:rPr>
      </w:pPr>
    </w:p>
    <w:p w14:paraId="660FCFF7" w14:textId="77777777" w:rsidR="00AE2083" w:rsidRPr="00234274" w:rsidRDefault="00AE2083">
      <w:pPr>
        <w:spacing w:line="360" w:lineRule="auto"/>
        <w:jc w:val="both"/>
        <w:rPr>
          <w:rFonts w:ascii="Palatino Linotype" w:eastAsia="Palatino Linotype" w:hAnsi="Palatino Linotype" w:cs="Palatino Linotype"/>
        </w:rPr>
      </w:pPr>
    </w:p>
    <w:p w14:paraId="07AA1E5C" w14:textId="77777777" w:rsidR="00AE2083" w:rsidRPr="00234274" w:rsidRDefault="00AE2083">
      <w:pPr>
        <w:spacing w:line="360" w:lineRule="auto"/>
        <w:jc w:val="both"/>
        <w:rPr>
          <w:rFonts w:ascii="Palatino Linotype" w:eastAsia="Palatino Linotype" w:hAnsi="Palatino Linotype" w:cs="Palatino Linotype"/>
        </w:rPr>
      </w:pPr>
    </w:p>
    <w:p w14:paraId="245B6AEB" w14:textId="77777777" w:rsidR="00AE2083" w:rsidRPr="00234274" w:rsidRDefault="00AE2083">
      <w:pPr>
        <w:spacing w:line="360" w:lineRule="auto"/>
        <w:jc w:val="both"/>
        <w:rPr>
          <w:rFonts w:ascii="Palatino Linotype" w:eastAsia="Palatino Linotype" w:hAnsi="Palatino Linotype" w:cs="Palatino Linotype"/>
        </w:rPr>
      </w:pPr>
    </w:p>
    <w:p w14:paraId="62217563" w14:textId="77777777" w:rsidR="00AE2083" w:rsidRPr="00234274" w:rsidRDefault="00AE2083">
      <w:pPr>
        <w:spacing w:line="360" w:lineRule="auto"/>
        <w:jc w:val="both"/>
        <w:rPr>
          <w:rFonts w:ascii="Palatino Linotype" w:eastAsia="Palatino Linotype" w:hAnsi="Palatino Linotype" w:cs="Palatino Linotype"/>
        </w:rPr>
      </w:pPr>
    </w:p>
    <w:p w14:paraId="38A143C3" w14:textId="77777777" w:rsidR="00AE2083" w:rsidRPr="00234274" w:rsidRDefault="00AE2083">
      <w:pPr>
        <w:spacing w:line="360" w:lineRule="auto"/>
        <w:jc w:val="both"/>
        <w:rPr>
          <w:rFonts w:ascii="Palatino Linotype" w:eastAsia="Palatino Linotype" w:hAnsi="Palatino Linotype" w:cs="Palatino Linotype"/>
        </w:rPr>
      </w:pPr>
    </w:p>
    <w:p w14:paraId="1DB15FCA" w14:textId="77777777" w:rsidR="00AE2083" w:rsidRPr="00234274" w:rsidRDefault="00AE2083">
      <w:pPr>
        <w:spacing w:line="360" w:lineRule="auto"/>
        <w:jc w:val="both"/>
        <w:rPr>
          <w:rFonts w:ascii="Palatino Linotype" w:eastAsia="Palatino Linotype" w:hAnsi="Palatino Linotype" w:cs="Palatino Linotype"/>
        </w:rPr>
      </w:pPr>
    </w:p>
    <w:p w14:paraId="38B49AF4" w14:textId="77777777" w:rsidR="00AE2083" w:rsidRPr="00234274" w:rsidRDefault="00AE2083">
      <w:pPr>
        <w:spacing w:line="360" w:lineRule="auto"/>
        <w:jc w:val="both"/>
        <w:rPr>
          <w:rFonts w:ascii="Palatino Linotype" w:eastAsia="Palatino Linotype" w:hAnsi="Palatino Linotype" w:cs="Palatino Linotype"/>
        </w:rPr>
      </w:pPr>
    </w:p>
    <w:p w14:paraId="03A962ED" w14:textId="77777777" w:rsidR="00AE2083" w:rsidRPr="00234274" w:rsidRDefault="00AE2083">
      <w:pPr>
        <w:spacing w:line="360" w:lineRule="auto"/>
        <w:jc w:val="both"/>
        <w:rPr>
          <w:rFonts w:ascii="Palatino Linotype" w:eastAsia="Palatino Linotype" w:hAnsi="Palatino Linotype" w:cs="Palatino Linotype"/>
        </w:rPr>
      </w:pPr>
    </w:p>
    <w:p w14:paraId="1444E13D" w14:textId="77777777" w:rsidR="00AE2083" w:rsidRPr="00234274" w:rsidRDefault="00AE2083">
      <w:pPr>
        <w:spacing w:line="360" w:lineRule="auto"/>
        <w:jc w:val="both"/>
        <w:rPr>
          <w:rFonts w:ascii="Palatino Linotype" w:eastAsia="Palatino Linotype" w:hAnsi="Palatino Linotype" w:cs="Palatino Linotype"/>
        </w:rPr>
      </w:pPr>
    </w:p>
    <w:sectPr w:rsidR="00AE2083" w:rsidRPr="00234274">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8F197" w14:textId="77777777" w:rsidR="00434444" w:rsidRDefault="00434444">
      <w:r>
        <w:separator/>
      </w:r>
    </w:p>
  </w:endnote>
  <w:endnote w:type="continuationSeparator" w:id="0">
    <w:p w14:paraId="71D2827F" w14:textId="77777777" w:rsidR="00434444" w:rsidRDefault="0043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88C3B" w14:textId="77777777" w:rsidR="0010120F" w:rsidRDefault="0010120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A0E03">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A0E03">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p>
  <w:p w14:paraId="1BC8B5E3" w14:textId="77777777" w:rsidR="0010120F" w:rsidRDefault="0010120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93978" w14:textId="77777777" w:rsidR="0010120F" w:rsidRDefault="0010120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A0E0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A0E03">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p>
  <w:p w14:paraId="496E8257" w14:textId="77777777" w:rsidR="0010120F" w:rsidRDefault="0010120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399ED" w14:textId="77777777" w:rsidR="00434444" w:rsidRDefault="00434444">
      <w:r>
        <w:separator/>
      </w:r>
    </w:p>
  </w:footnote>
  <w:footnote w:type="continuationSeparator" w:id="0">
    <w:p w14:paraId="1046B6F2" w14:textId="77777777" w:rsidR="00434444" w:rsidRDefault="00434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64487" w14:textId="77777777" w:rsidR="0010120F" w:rsidRDefault="0010120F">
    <w:pPr>
      <w:rPr>
        <w:rFonts w:ascii="Cambria" w:eastAsia="Cambria" w:hAnsi="Cambria" w:cs="Cambria"/>
        <w:color w:val="000000"/>
      </w:rPr>
    </w:pPr>
    <w:r>
      <w:rPr>
        <w:noProof/>
      </w:rPr>
      <w:drawing>
        <wp:anchor distT="0" distB="0" distL="0" distR="0" simplePos="0" relativeHeight="251658240" behindDoc="1" locked="0" layoutInCell="1" hidden="0" allowOverlap="1" wp14:anchorId="0AC7D1DF" wp14:editId="2ECB2078">
          <wp:simplePos x="0" y="0"/>
          <wp:positionH relativeFrom="column">
            <wp:posOffset>-1080134</wp:posOffset>
          </wp:positionH>
          <wp:positionV relativeFrom="paragraph">
            <wp:posOffset>-488276</wp:posOffset>
          </wp:positionV>
          <wp:extent cx="7809865" cy="10165715"/>
          <wp:effectExtent l="0" t="0" r="0" b="0"/>
          <wp:wrapNone/>
          <wp:docPr id="20832964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6"/>
      <w:tblW w:w="5811" w:type="dxa"/>
      <w:tblInd w:w="3261" w:type="dxa"/>
      <w:tblLayout w:type="fixed"/>
      <w:tblLook w:val="0400" w:firstRow="0" w:lastRow="0" w:firstColumn="0" w:lastColumn="0" w:noHBand="0" w:noVBand="1"/>
    </w:tblPr>
    <w:tblGrid>
      <w:gridCol w:w="2489"/>
      <w:gridCol w:w="3322"/>
    </w:tblGrid>
    <w:tr w:rsidR="0010120F" w14:paraId="55D2FC30" w14:textId="77777777">
      <w:tc>
        <w:tcPr>
          <w:tcW w:w="2489" w:type="dxa"/>
          <w:shd w:val="clear" w:color="auto" w:fill="auto"/>
        </w:tcPr>
        <w:p w14:paraId="567FDACA" w14:textId="77777777" w:rsidR="0010120F" w:rsidRDefault="0010120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322" w:type="dxa"/>
          <w:shd w:val="clear" w:color="auto" w:fill="auto"/>
          <w:vAlign w:val="center"/>
        </w:tcPr>
        <w:p w14:paraId="01F958DE" w14:textId="77777777" w:rsidR="0010120F" w:rsidRDefault="0010120F">
          <w:pPr>
            <w:ind w:left="-53" w:right="175"/>
            <w:jc w:val="both"/>
            <w:rPr>
              <w:rFonts w:ascii="Palatino Linotype" w:eastAsia="Palatino Linotype" w:hAnsi="Palatino Linotype" w:cs="Palatino Linotype"/>
              <w:b/>
              <w:sz w:val="22"/>
              <w:szCs w:val="22"/>
            </w:rPr>
          </w:pPr>
          <w:r w:rsidRPr="00BA1EF4">
            <w:rPr>
              <w:rFonts w:ascii="Palatino Linotype" w:eastAsia="Palatino Linotype" w:hAnsi="Palatino Linotype" w:cs="Palatino Linotype"/>
              <w:b/>
              <w:sz w:val="22"/>
              <w:szCs w:val="22"/>
            </w:rPr>
            <w:t>02884/INFOEM/IP/RR/2025</w:t>
          </w:r>
        </w:p>
      </w:tc>
    </w:tr>
    <w:tr w:rsidR="0010120F" w14:paraId="4FB5D52B" w14:textId="77777777">
      <w:trPr>
        <w:trHeight w:val="228"/>
      </w:trPr>
      <w:tc>
        <w:tcPr>
          <w:tcW w:w="2489" w:type="dxa"/>
          <w:shd w:val="clear" w:color="auto" w:fill="auto"/>
          <w:vAlign w:val="center"/>
        </w:tcPr>
        <w:p w14:paraId="1A21987B" w14:textId="77777777" w:rsidR="0010120F" w:rsidRDefault="0010120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322" w:type="dxa"/>
          <w:shd w:val="clear" w:color="auto" w:fill="auto"/>
          <w:vAlign w:val="center"/>
        </w:tcPr>
        <w:p w14:paraId="15E36567" w14:textId="77777777" w:rsidR="0010120F" w:rsidRDefault="0010120F">
          <w:pPr>
            <w:ind w:left="-45" w:right="-257"/>
            <w:jc w:val="both"/>
            <w:rPr>
              <w:rFonts w:ascii="Palatino Linotype" w:eastAsia="Palatino Linotype" w:hAnsi="Palatino Linotype" w:cs="Palatino Linotype"/>
              <w:b/>
              <w:sz w:val="22"/>
              <w:szCs w:val="22"/>
            </w:rPr>
          </w:pPr>
          <w:r w:rsidRPr="00BA1EF4">
            <w:rPr>
              <w:rFonts w:ascii="Palatino Linotype" w:eastAsia="Palatino Linotype" w:hAnsi="Palatino Linotype" w:cs="Palatino Linotype"/>
              <w:b/>
              <w:sz w:val="22"/>
              <w:szCs w:val="22"/>
            </w:rPr>
            <w:t>Ayuntamiento de Calimaya</w:t>
          </w:r>
        </w:p>
      </w:tc>
    </w:tr>
    <w:tr w:rsidR="0010120F" w14:paraId="0C159A86" w14:textId="77777777">
      <w:tc>
        <w:tcPr>
          <w:tcW w:w="2489" w:type="dxa"/>
          <w:shd w:val="clear" w:color="auto" w:fill="auto"/>
          <w:vAlign w:val="center"/>
        </w:tcPr>
        <w:p w14:paraId="0DBFA7AB" w14:textId="77777777" w:rsidR="0010120F" w:rsidRDefault="0010120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322" w:type="dxa"/>
          <w:shd w:val="clear" w:color="auto" w:fill="auto"/>
          <w:vAlign w:val="center"/>
        </w:tcPr>
        <w:p w14:paraId="0C9004D2" w14:textId="77777777" w:rsidR="0010120F" w:rsidRDefault="0010120F">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3D5BCEE" w14:textId="77777777" w:rsidR="0010120F" w:rsidRDefault="0010120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3771" w14:textId="77777777" w:rsidR="0010120F" w:rsidRDefault="0010120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41A967DF" wp14:editId="1B02AC68">
          <wp:simplePos x="0" y="0"/>
          <wp:positionH relativeFrom="column">
            <wp:posOffset>-1080128</wp:posOffset>
          </wp:positionH>
          <wp:positionV relativeFrom="paragraph">
            <wp:posOffset>-369904</wp:posOffset>
          </wp:positionV>
          <wp:extent cx="7809865" cy="10165715"/>
          <wp:effectExtent l="0" t="0" r="0" b="0"/>
          <wp:wrapNone/>
          <wp:docPr id="20832964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6095" w:type="dxa"/>
      <w:tblInd w:w="3261" w:type="dxa"/>
      <w:tblLayout w:type="fixed"/>
      <w:tblLook w:val="0400" w:firstRow="0" w:lastRow="0" w:firstColumn="0" w:lastColumn="0" w:noHBand="0" w:noVBand="1"/>
    </w:tblPr>
    <w:tblGrid>
      <w:gridCol w:w="2489"/>
      <w:gridCol w:w="3606"/>
    </w:tblGrid>
    <w:tr w:rsidR="0010120F" w14:paraId="787F8556" w14:textId="77777777">
      <w:tc>
        <w:tcPr>
          <w:tcW w:w="2489" w:type="dxa"/>
          <w:shd w:val="clear" w:color="auto" w:fill="auto"/>
        </w:tcPr>
        <w:p w14:paraId="3200E5C2" w14:textId="77777777" w:rsidR="0010120F" w:rsidRDefault="0010120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06" w:type="dxa"/>
          <w:shd w:val="clear" w:color="auto" w:fill="auto"/>
          <w:vAlign w:val="center"/>
        </w:tcPr>
        <w:p w14:paraId="677B191E" w14:textId="77777777" w:rsidR="0010120F" w:rsidRDefault="0010120F">
          <w:pPr>
            <w:ind w:right="452"/>
            <w:jc w:val="both"/>
            <w:rPr>
              <w:rFonts w:ascii="Palatino Linotype" w:eastAsia="Palatino Linotype" w:hAnsi="Palatino Linotype" w:cs="Palatino Linotype"/>
              <w:b/>
              <w:sz w:val="22"/>
              <w:szCs w:val="22"/>
            </w:rPr>
          </w:pPr>
          <w:r w:rsidRPr="00BA1EF4">
            <w:rPr>
              <w:rFonts w:ascii="Palatino Linotype" w:eastAsia="Palatino Linotype" w:hAnsi="Palatino Linotype" w:cs="Palatino Linotype"/>
              <w:b/>
              <w:sz w:val="22"/>
              <w:szCs w:val="22"/>
            </w:rPr>
            <w:t>02884/INFOEM/IP/RR/2025</w:t>
          </w:r>
        </w:p>
      </w:tc>
    </w:tr>
    <w:tr w:rsidR="0010120F" w14:paraId="1C169809" w14:textId="77777777">
      <w:tc>
        <w:tcPr>
          <w:tcW w:w="2489" w:type="dxa"/>
          <w:shd w:val="clear" w:color="auto" w:fill="auto"/>
        </w:tcPr>
        <w:p w14:paraId="4F2B3498" w14:textId="77777777" w:rsidR="0010120F" w:rsidRDefault="0010120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06" w:type="dxa"/>
          <w:shd w:val="clear" w:color="auto" w:fill="auto"/>
          <w:vAlign w:val="center"/>
        </w:tcPr>
        <w:p w14:paraId="478D8AE7" w14:textId="29ED3EDE" w:rsidR="0010120F" w:rsidRDefault="00B912C8">
          <w:pPr>
            <w:ind w:right="59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w:t>
          </w:r>
        </w:p>
      </w:tc>
    </w:tr>
    <w:tr w:rsidR="0010120F" w14:paraId="11C897BB" w14:textId="77777777">
      <w:trPr>
        <w:trHeight w:val="228"/>
      </w:trPr>
      <w:tc>
        <w:tcPr>
          <w:tcW w:w="2489" w:type="dxa"/>
          <w:shd w:val="clear" w:color="auto" w:fill="auto"/>
          <w:vAlign w:val="center"/>
        </w:tcPr>
        <w:p w14:paraId="29D35C20" w14:textId="77777777" w:rsidR="0010120F" w:rsidRDefault="0010120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06" w:type="dxa"/>
          <w:shd w:val="clear" w:color="auto" w:fill="auto"/>
          <w:vAlign w:val="center"/>
        </w:tcPr>
        <w:p w14:paraId="2C81FCB6" w14:textId="77777777" w:rsidR="0010120F" w:rsidRDefault="0010120F">
          <w:pPr>
            <w:ind w:right="-257"/>
            <w:jc w:val="both"/>
            <w:rPr>
              <w:rFonts w:ascii="Palatino Linotype" w:eastAsia="Palatino Linotype" w:hAnsi="Palatino Linotype" w:cs="Palatino Linotype"/>
              <w:b/>
              <w:sz w:val="22"/>
              <w:szCs w:val="22"/>
            </w:rPr>
          </w:pPr>
          <w:r w:rsidRPr="00BA1EF4">
            <w:rPr>
              <w:rFonts w:ascii="Palatino Linotype" w:eastAsia="Palatino Linotype" w:hAnsi="Palatino Linotype" w:cs="Palatino Linotype"/>
              <w:b/>
              <w:sz w:val="22"/>
              <w:szCs w:val="22"/>
            </w:rPr>
            <w:t>Ayuntamiento de Calimaya</w:t>
          </w:r>
        </w:p>
      </w:tc>
    </w:tr>
    <w:tr w:rsidR="0010120F" w14:paraId="31E268A4" w14:textId="77777777">
      <w:tc>
        <w:tcPr>
          <w:tcW w:w="2489" w:type="dxa"/>
          <w:shd w:val="clear" w:color="auto" w:fill="auto"/>
          <w:vAlign w:val="center"/>
        </w:tcPr>
        <w:p w14:paraId="57718A98" w14:textId="77777777" w:rsidR="0010120F" w:rsidRDefault="0010120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06" w:type="dxa"/>
          <w:shd w:val="clear" w:color="auto" w:fill="auto"/>
          <w:vAlign w:val="center"/>
        </w:tcPr>
        <w:p w14:paraId="39DEC2C2" w14:textId="77777777" w:rsidR="0010120F" w:rsidRDefault="0010120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5D51F16" w14:textId="77777777" w:rsidR="0010120F" w:rsidRDefault="001012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42B8"/>
    <w:multiLevelType w:val="multilevel"/>
    <w:tmpl w:val="BD12DF6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10D60691"/>
    <w:multiLevelType w:val="multilevel"/>
    <w:tmpl w:val="83E6A34E"/>
    <w:lvl w:ilvl="0">
      <w:start w:val="1"/>
      <w:numFmt w:val="lowerLetter"/>
      <w:lvlText w:val="%1."/>
      <w:lvlJc w:val="left"/>
      <w:pPr>
        <w:ind w:left="0" w:firstLine="0"/>
      </w:pPr>
      <w:rPr>
        <w:rFonts w:ascii="Palatino Linotype" w:eastAsia="Palatino Linotype" w:hAnsi="Palatino Linotype" w:cs="Palatino Linotyp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12B3F47"/>
    <w:multiLevelType w:val="multilevel"/>
    <w:tmpl w:val="6BC4E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3837F4"/>
    <w:multiLevelType w:val="multilevel"/>
    <w:tmpl w:val="74D0E5FC"/>
    <w:lvl w:ilvl="0">
      <w:start w:val="1"/>
      <w:numFmt w:val="bullet"/>
      <w:pStyle w:val="Listaconvietas3"/>
      <w:lvlText w:val="●"/>
      <w:lvlJc w:val="left"/>
      <w:pPr>
        <w:ind w:left="776" w:hanging="360"/>
      </w:pPr>
      <w:rPr>
        <w:rFonts w:ascii="Noto Sans Symbols" w:eastAsia="Noto Sans Symbols" w:hAnsi="Noto Sans Symbols" w:cs="Noto Sans Symbols"/>
      </w:rPr>
    </w:lvl>
    <w:lvl w:ilvl="1">
      <w:start w:val="1"/>
      <w:numFmt w:val="bullet"/>
      <w:lvlText w:val="o"/>
      <w:lvlJc w:val="left"/>
      <w:pPr>
        <w:ind w:left="1496" w:hanging="360"/>
      </w:pPr>
      <w:rPr>
        <w:rFonts w:ascii="Courier New" w:eastAsia="Courier New" w:hAnsi="Courier New" w:cs="Courier New"/>
      </w:rPr>
    </w:lvl>
    <w:lvl w:ilvl="2">
      <w:start w:val="1"/>
      <w:numFmt w:val="bullet"/>
      <w:lvlText w:val="▪"/>
      <w:lvlJc w:val="left"/>
      <w:pPr>
        <w:ind w:left="2216" w:hanging="360"/>
      </w:pPr>
      <w:rPr>
        <w:rFonts w:ascii="Noto Sans Symbols" w:eastAsia="Noto Sans Symbols" w:hAnsi="Noto Sans Symbols" w:cs="Noto Sans Symbols"/>
      </w:rPr>
    </w:lvl>
    <w:lvl w:ilvl="3">
      <w:start w:val="1"/>
      <w:numFmt w:val="bullet"/>
      <w:lvlText w:val="●"/>
      <w:lvlJc w:val="left"/>
      <w:pPr>
        <w:ind w:left="2936" w:hanging="360"/>
      </w:pPr>
      <w:rPr>
        <w:rFonts w:ascii="Noto Sans Symbols" w:eastAsia="Noto Sans Symbols" w:hAnsi="Noto Sans Symbols" w:cs="Noto Sans Symbols"/>
      </w:rPr>
    </w:lvl>
    <w:lvl w:ilvl="4">
      <w:start w:val="1"/>
      <w:numFmt w:val="bullet"/>
      <w:lvlText w:val="o"/>
      <w:lvlJc w:val="left"/>
      <w:pPr>
        <w:ind w:left="3656" w:hanging="360"/>
      </w:pPr>
      <w:rPr>
        <w:rFonts w:ascii="Courier New" w:eastAsia="Courier New" w:hAnsi="Courier New" w:cs="Courier New"/>
      </w:rPr>
    </w:lvl>
    <w:lvl w:ilvl="5">
      <w:start w:val="1"/>
      <w:numFmt w:val="bullet"/>
      <w:lvlText w:val="▪"/>
      <w:lvlJc w:val="left"/>
      <w:pPr>
        <w:ind w:left="4376" w:hanging="360"/>
      </w:pPr>
      <w:rPr>
        <w:rFonts w:ascii="Noto Sans Symbols" w:eastAsia="Noto Sans Symbols" w:hAnsi="Noto Sans Symbols" w:cs="Noto Sans Symbols"/>
      </w:rPr>
    </w:lvl>
    <w:lvl w:ilvl="6">
      <w:start w:val="1"/>
      <w:numFmt w:val="bullet"/>
      <w:lvlText w:val="●"/>
      <w:lvlJc w:val="left"/>
      <w:pPr>
        <w:ind w:left="5096" w:hanging="360"/>
      </w:pPr>
      <w:rPr>
        <w:rFonts w:ascii="Noto Sans Symbols" w:eastAsia="Noto Sans Symbols" w:hAnsi="Noto Sans Symbols" w:cs="Noto Sans Symbols"/>
      </w:rPr>
    </w:lvl>
    <w:lvl w:ilvl="7">
      <w:start w:val="1"/>
      <w:numFmt w:val="bullet"/>
      <w:lvlText w:val="o"/>
      <w:lvlJc w:val="left"/>
      <w:pPr>
        <w:ind w:left="5816" w:hanging="360"/>
      </w:pPr>
      <w:rPr>
        <w:rFonts w:ascii="Courier New" w:eastAsia="Courier New" w:hAnsi="Courier New" w:cs="Courier New"/>
      </w:rPr>
    </w:lvl>
    <w:lvl w:ilvl="8">
      <w:start w:val="1"/>
      <w:numFmt w:val="bullet"/>
      <w:lvlText w:val="▪"/>
      <w:lvlJc w:val="left"/>
      <w:pPr>
        <w:ind w:left="6536" w:hanging="360"/>
      </w:pPr>
      <w:rPr>
        <w:rFonts w:ascii="Noto Sans Symbols" w:eastAsia="Noto Sans Symbols" w:hAnsi="Noto Sans Symbols" w:cs="Noto Sans Symbols"/>
      </w:rPr>
    </w:lvl>
  </w:abstractNum>
  <w:abstractNum w:abstractNumId="4" w15:restartNumberingAfterBreak="0">
    <w:nsid w:val="26315B8D"/>
    <w:multiLevelType w:val="multilevel"/>
    <w:tmpl w:val="E4AE9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551DB2"/>
    <w:multiLevelType w:val="multilevel"/>
    <w:tmpl w:val="CEAC3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8D664E0"/>
    <w:multiLevelType w:val="multilevel"/>
    <w:tmpl w:val="83E6A34E"/>
    <w:lvl w:ilvl="0">
      <w:start w:val="1"/>
      <w:numFmt w:val="lowerLetter"/>
      <w:lvlText w:val="%1."/>
      <w:lvlJc w:val="left"/>
      <w:pPr>
        <w:ind w:left="0" w:firstLine="0"/>
      </w:pPr>
      <w:rPr>
        <w:rFonts w:ascii="Palatino Linotype" w:eastAsia="Palatino Linotype" w:hAnsi="Palatino Linotype" w:cs="Palatino Linotyp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59F6172"/>
    <w:multiLevelType w:val="hybridMultilevel"/>
    <w:tmpl w:val="5450FA54"/>
    <w:lvl w:ilvl="0" w:tplc="ED9AAFAE">
      <w:start w:val="3"/>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15:restartNumberingAfterBreak="0">
    <w:nsid w:val="380262C0"/>
    <w:multiLevelType w:val="hybridMultilevel"/>
    <w:tmpl w:val="74E031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D7373D"/>
    <w:multiLevelType w:val="multilevel"/>
    <w:tmpl w:val="BDBED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C6D41D7"/>
    <w:multiLevelType w:val="multilevel"/>
    <w:tmpl w:val="4DF04E12"/>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55C06699"/>
    <w:multiLevelType w:val="multilevel"/>
    <w:tmpl w:val="83E2F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76632A6"/>
    <w:multiLevelType w:val="multilevel"/>
    <w:tmpl w:val="A76EAB38"/>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3" w15:restartNumberingAfterBreak="0">
    <w:nsid w:val="59CC2281"/>
    <w:multiLevelType w:val="multilevel"/>
    <w:tmpl w:val="DA48A8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2826889"/>
    <w:multiLevelType w:val="multilevel"/>
    <w:tmpl w:val="2FF2C08C"/>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E1A29AF"/>
    <w:multiLevelType w:val="multilevel"/>
    <w:tmpl w:val="B4CEFB06"/>
    <w:lvl w:ilvl="0">
      <w:start w:val="1"/>
      <w:numFmt w:val="decimal"/>
      <w:lvlText w:val="%1."/>
      <w:lvlJc w:val="left"/>
      <w:pPr>
        <w:ind w:left="786"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66F5EB9"/>
    <w:multiLevelType w:val="multilevel"/>
    <w:tmpl w:val="77EE56C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5"/>
  </w:num>
  <w:num w:numId="2">
    <w:abstractNumId w:val="3"/>
  </w:num>
  <w:num w:numId="3">
    <w:abstractNumId w:val="12"/>
  </w:num>
  <w:num w:numId="4">
    <w:abstractNumId w:val="2"/>
  </w:num>
  <w:num w:numId="5">
    <w:abstractNumId w:val="15"/>
  </w:num>
  <w:num w:numId="6">
    <w:abstractNumId w:val="13"/>
  </w:num>
  <w:num w:numId="7">
    <w:abstractNumId w:val="0"/>
  </w:num>
  <w:num w:numId="8">
    <w:abstractNumId w:val="16"/>
  </w:num>
  <w:num w:numId="9">
    <w:abstractNumId w:val="14"/>
  </w:num>
  <w:num w:numId="10">
    <w:abstractNumId w:val="8"/>
  </w:num>
  <w:num w:numId="11">
    <w:abstractNumId w:val="4"/>
  </w:num>
  <w:num w:numId="12">
    <w:abstractNumId w:val="11"/>
  </w:num>
  <w:num w:numId="13">
    <w:abstractNumId w:val="9"/>
  </w:num>
  <w:num w:numId="14">
    <w:abstractNumId w:val="10"/>
  </w:num>
  <w:num w:numId="15">
    <w:abstractNumId w:val="1"/>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083"/>
    <w:rsid w:val="0010120F"/>
    <w:rsid w:val="00185914"/>
    <w:rsid w:val="001A7E96"/>
    <w:rsid w:val="00234274"/>
    <w:rsid w:val="0024210F"/>
    <w:rsid w:val="002A0E03"/>
    <w:rsid w:val="002B16BC"/>
    <w:rsid w:val="002C6647"/>
    <w:rsid w:val="002E7D94"/>
    <w:rsid w:val="003F5163"/>
    <w:rsid w:val="004331BC"/>
    <w:rsid w:val="00434444"/>
    <w:rsid w:val="00454E22"/>
    <w:rsid w:val="00461925"/>
    <w:rsid w:val="004E1058"/>
    <w:rsid w:val="0051743C"/>
    <w:rsid w:val="00684DC0"/>
    <w:rsid w:val="00722D9D"/>
    <w:rsid w:val="007949EB"/>
    <w:rsid w:val="007D7EA6"/>
    <w:rsid w:val="008255F5"/>
    <w:rsid w:val="0096277A"/>
    <w:rsid w:val="009E001D"/>
    <w:rsid w:val="00AC6EED"/>
    <w:rsid w:val="00AE2083"/>
    <w:rsid w:val="00B912C8"/>
    <w:rsid w:val="00BA1EF4"/>
    <w:rsid w:val="00C348D6"/>
    <w:rsid w:val="00C378DF"/>
    <w:rsid w:val="00D40DBB"/>
    <w:rsid w:val="00DC249B"/>
    <w:rsid w:val="00E419C2"/>
    <w:rsid w:val="00E64400"/>
    <w:rsid w:val="00EC541C"/>
    <w:rsid w:val="00EC5CFA"/>
    <w:rsid w:val="00F63ED3"/>
    <w:rsid w:val="00FC4D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38A12"/>
  <w15:docId w15:val="{E776013C-7641-4C2C-B88F-90D4BABB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1A"/>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left w:w="115" w:type="dxa"/>
        <w:right w:w="115" w:type="dxa"/>
      </w:tblCellMar>
    </w:tblPr>
  </w:style>
  <w:style w:type="table" w:customStyle="1" w:styleId="a0">
    <w:basedOn w:val="TableNormal7"/>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06B5C"/>
    <w:rPr>
      <w:vertAlign w:val="superscript"/>
    </w:r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2"/>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5"/>
    <w:tblPr>
      <w:tblStyleRowBandSize w:val="1"/>
      <w:tblStyleColBandSize w:val="1"/>
      <w:tblCellMar>
        <w:left w:w="108" w:type="dxa"/>
        <w:right w:w="108" w:type="dxa"/>
      </w:tblCellMar>
    </w:tblPr>
  </w:style>
  <w:style w:type="table" w:customStyle="1" w:styleId="a6">
    <w:basedOn w:val="TableNormal5"/>
    <w:tblPr>
      <w:tblStyleRowBandSize w:val="1"/>
      <w:tblStyleColBandSize w:val="1"/>
      <w:tblCellMar>
        <w:left w:w="108" w:type="dxa"/>
        <w:right w:w="108" w:type="dxa"/>
      </w:tblCellMar>
    </w:tblPr>
  </w:style>
  <w:style w:type="table" w:customStyle="1" w:styleId="a7">
    <w:basedOn w:val="TableNormal5"/>
    <w:tblPr>
      <w:tblStyleRowBandSize w:val="1"/>
      <w:tblStyleColBandSize w:val="1"/>
      <w:tblCellMar>
        <w:left w:w="108" w:type="dxa"/>
        <w:right w:w="108" w:type="dxa"/>
      </w:tblCellMar>
    </w:tblPr>
  </w:style>
  <w:style w:type="table" w:customStyle="1" w:styleId="a8">
    <w:basedOn w:val="TableNormal5"/>
    <w:tblPr>
      <w:tblStyleRowBandSize w:val="1"/>
      <w:tblStyleColBandSize w:val="1"/>
      <w:tblCellMar>
        <w:left w:w="108" w:type="dxa"/>
        <w:right w:w="108" w:type="dxa"/>
      </w:tblCellMar>
    </w:tblPr>
  </w:style>
  <w:style w:type="table" w:customStyle="1" w:styleId="a9">
    <w:basedOn w:val="TableNormal5"/>
    <w:tblPr>
      <w:tblStyleRowBandSize w:val="1"/>
      <w:tblStyleColBandSize w:val="1"/>
      <w:tblCellMar>
        <w:left w:w="108" w:type="dxa"/>
        <w:right w:w="108"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08" w:type="dxa"/>
        <w:right w:w="108"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paragraph" w:styleId="Listaconvietas">
    <w:name w:val="List Bullet"/>
    <w:basedOn w:val="Normal"/>
    <w:uiPriority w:val="99"/>
    <w:unhideWhenUsed/>
    <w:rsid w:val="00CA1155"/>
    <w:pPr>
      <w:numPr>
        <w:numId w:val="9"/>
      </w:numPr>
      <w:contextualSpacing/>
    </w:pPr>
    <w:rPr>
      <w:lang w:eastAsia="es-ES"/>
    </w:r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6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9DVRmb7mWnPbChfPu4/awgwOZg==">CgMxLjAyCWguNGQzNG9nODIIaC5namRneHMyCWguM2R5NnZrbTIJaC4zMGowemxsMgloLjJzOGV5bzEyCGgudHlqY3d0MgloLjN6bnlzaDcyCWguMmV0OTJwMDIOaC54emlsMnl5ejYyeWEyDmguaWp2OThwbnRjZDVzMghoLmxueGJ6OTIJaC4zNW5rdW4yMgloLjFrc3Y0dXYyCWguMjZpbjFyZzgAciExMl94RWd3RUtMZjNiTGE1R2pPVnlZaUZSMS1WSlNFbDE=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14417</Words>
  <Characters>79294</Characters>
  <Application>Microsoft Office Word</Application>
  <DocSecurity>0</DocSecurity>
  <Lines>660</Lines>
  <Paragraphs>187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2025-05-16T19:59:00Z</cp:lastPrinted>
  <dcterms:created xsi:type="dcterms:W3CDTF">2025-06-03T20:00:00Z</dcterms:created>
  <dcterms:modified xsi:type="dcterms:W3CDTF">2025-06-03T20:00:00Z</dcterms:modified>
</cp:coreProperties>
</file>