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D2CFD"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quince de octubre de dos mil veinticinco. </w:t>
      </w:r>
    </w:p>
    <w:p w14:paraId="5E43C0F2" w14:textId="77777777" w:rsidR="00100FEC" w:rsidRPr="00250223" w:rsidRDefault="00100FEC">
      <w:pPr>
        <w:spacing w:after="0" w:line="360" w:lineRule="auto"/>
        <w:ind w:right="49"/>
        <w:jc w:val="center"/>
        <w:rPr>
          <w:rFonts w:ascii="Palatino Linotype" w:eastAsia="Palatino Linotype" w:hAnsi="Palatino Linotype" w:cs="Palatino Linotype"/>
        </w:rPr>
      </w:pPr>
    </w:p>
    <w:p w14:paraId="684DF85A" w14:textId="6D94F331"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Visto el expediente relativo al recurso de revisión </w:t>
      </w:r>
      <w:r w:rsidRPr="00250223">
        <w:rPr>
          <w:rFonts w:ascii="Palatino Linotype" w:eastAsia="Palatino Linotype" w:hAnsi="Palatino Linotype" w:cs="Palatino Linotype"/>
          <w:b/>
        </w:rPr>
        <w:t>06294/INFOEM/IP/RR/2025</w:t>
      </w:r>
      <w:r w:rsidRPr="00250223">
        <w:rPr>
          <w:rFonts w:ascii="Palatino Linotype" w:eastAsia="Palatino Linotype" w:hAnsi="Palatino Linotype" w:cs="Palatino Linotype"/>
        </w:rPr>
        <w:t xml:space="preserve">, interpuesto por </w:t>
      </w:r>
      <w:r w:rsidR="0005041A" w:rsidRPr="0005041A">
        <w:rPr>
          <w:rFonts w:ascii="Palatino Linotype" w:eastAsia="Palatino Linotype" w:hAnsi="Palatino Linotype" w:cs="Palatino Linotype"/>
          <w:b/>
        </w:rPr>
        <w:t>XXXXX XXXX XXXXXXX</w:t>
      </w:r>
      <w:r w:rsidRPr="0005041A">
        <w:rPr>
          <w:rFonts w:ascii="Palatino Linotype" w:eastAsia="Palatino Linotype" w:hAnsi="Palatino Linotype" w:cs="Palatino Linotype"/>
          <w:b/>
        </w:rPr>
        <w:t>,</w:t>
      </w:r>
      <w:bookmarkStart w:id="0" w:name="_GoBack"/>
      <w:bookmarkEnd w:id="0"/>
      <w:r w:rsidRPr="00250223">
        <w:rPr>
          <w:rFonts w:ascii="Palatino Linotype" w:eastAsia="Palatino Linotype" w:hAnsi="Palatino Linotype" w:cs="Palatino Linotype"/>
        </w:rPr>
        <w:t xml:space="preserve"> al cual en lo sucesivo se le denominará el </w:t>
      </w:r>
      <w:r w:rsidRPr="00250223">
        <w:rPr>
          <w:rFonts w:ascii="Palatino Linotype" w:eastAsia="Palatino Linotype" w:hAnsi="Palatino Linotype" w:cs="Palatino Linotype"/>
          <w:b/>
        </w:rPr>
        <w:t>RECURRENTE</w:t>
      </w:r>
      <w:r w:rsidRPr="00250223">
        <w:rPr>
          <w:rFonts w:ascii="Palatino Linotype" w:eastAsia="Palatino Linotype" w:hAnsi="Palatino Linotype" w:cs="Palatino Linotype"/>
        </w:rPr>
        <w:t xml:space="preserve">, en contra de la respuesta a su solicitud de información identificada con número de folio </w:t>
      </w:r>
      <w:r w:rsidRPr="00250223">
        <w:rPr>
          <w:rFonts w:ascii="Palatino Linotype" w:eastAsia="Palatino Linotype" w:hAnsi="Palatino Linotype" w:cs="Palatino Linotype"/>
          <w:b/>
        </w:rPr>
        <w:t xml:space="preserve">00218/SEGEGOB/IP/2025 </w:t>
      </w:r>
      <w:r w:rsidRPr="00250223">
        <w:rPr>
          <w:rFonts w:ascii="Palatino Linotype" w:eastAsia="Palatino Linotype" w:hAnsi="Palatino Linotype" w:cs="Palatino Linotype"/>
        </w:rPr>
        <w:t xml:space="preserve">proporcionada por parte de la Secretaría General de Gobierno, en lo sucesivo el </w:t>
      </w:r>
      <w:r w:rsidRPr="00250223">
        <w:rPr>
          <w:rFonts w:ascii="Palatino Linotype" w:eastAsia="Palatino Linotype" w:hAnsi="Palatino Linotype" w:cs="Palatino Linotype"/>
          <w:b/>
        </w:rPr>
        <w:t>SUJETO OBLIGADO</w:t>
      </w:r>
      <w:r w:rsidRPr="00250223">
        <w:rPr>
          <w:rFonts w:ascii="Palatino Linotype" w:eastAsia="Palatino Linotype" w:hAnsi="Palatino Linotype" w:cs="Palatino Linotype"/>
        </w:rPr>
        <w:t>; se procede a dictar la presente resolución, con base en los siguientes:</w:t>
      </w:r>
    </w:p>
    <w:p w14:paraId="123D78E1" w14:textId="77777777" w:rsidR="00100FEC" w:rsidRPr="00250223" w:rsidRDefault="00581D9C">
      <w:pPr>
        <w:spacing w:after="0" w:line="360" w:lineRule="auto"/>
        <w:ind w:right="49"/>
        <w:jc w:val="center"/>
        <w:rPr>
          <w:rFonts w:ascii="Palatino Linotype" w:eastAsia="Palatino Linotype" w:hAnsi="Palatino Linotype" w:cs="Palatino Linotype"/>
          <w:b/>
        </w:rPr>
      </w:pPr>
      <w:r w:rsidRPr="00250223">
        <w:rPr>
          <w:rFonts w:ascii="Palatino Linotype" w:eastAsia="Palatino Linotype" w:hAnsi="Palatino Linotype" w:cs="Palatino Linotype"/>
          <w:b/>
        </w:rPr>
        <w:t>I.</w:t>
      </w:r>
      <w:r w:rsidRPr="00250223">
        <w:rPr>
          <w:rFonts w:ascii="Palatino Linotype" w:eastAsia="Palatino Linotype" w:hAnsi="Palatino Linotype" w:cs="Palatino Linotype"/>
          <w:b/>
        </w:rPr>
        <w:tab/>
        <w:t>A N T E C E D E N T E S</w:t>
      </w:r>
    </w:p>
    <w:p w14:paraId="5B52FD98" w14:textId="77777777" w:rsidR="00100FEC" w:rsidRPr="00250223" w:rsidRDefault="00100FEC">
      <w:pPr>
        <w:spacing w:after="0" w:line="360" w:lineRule="auto"/>
        <w:ind w:right="49"/>
        <w:jc w:val="both"/>
        <w:rPr>
          <w:rFonts w:ascii="Palatino Linotype" w:eastAsia="Palatino Linotype" w:hAnsi="Palatino Linotype" w:cs="Palatino Linotype"/>
        </w:rPr>
      </w:pPr>
    </w:p>
    <w:p w14:paraId="19D7905B" w14:textId="77777777" w:rsidR="00100FEC" w:rsidRPr="00250223" w:rsidRDefault="00581D9C">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250223">
        <w:rPr>
          <w:rFonts w:ascii="Palatino Linotype" w:eastAsia="Palatino Linotype" w:hAnsi="Palatino Linotype" w:cs="Palatino Linotype"/>
          <w:b/>
        </w:rPr>
        <w:t>Solicitud de acceso a la información.</w:t>
      </w:r>
      <w:r w:rsidRPr="00250223">
        <w:rPr>
          <w:rFonts w:ascii="Palatino Linotype" w:eastAsia="Palatino Linotype" w:hAnsi="Palatino Linotype" w:cs="Palatino Linotype"/>
        </w:rPr>
        <w:t xml:space="preserve"> Con fecha </w:t>
      </w:r>
      <w:r w:rsidRPr="00250223">
        <w:rPr>
          <w:rFonts w:ascii="Palatino Linotype" w:eastAsia="Palatino Linotype" w:hAnsi="Palatino Linotype" w:cs="Palatino Linotype"/>
          <w:b/>
        </w:rPr>
        <w:t>veinte de mayo de dos mil veinticinco</w:t>
      </w:r>
      <w:r w:rsidRPr="00250223">
        <w:rPr>
          <w:rFonts w:ascii="Palatino Linotype" w:eastAsia="Palatino Linotype" w:hAnsi="Palatino Linotype" w:cs="Palatino Linotype"/>
        </w:rPr>
        <w:t xml:space="preserve">, la parte </w:t>
      </w:r>
      <w:r w:rsidRPr="00250223">
        <w:rPr>
          <w:rFonts w:ascii="Palatino Linotype" w:eastAsia="Palatino Linotype" w:hAnsi="Palatino Linotype" w:cs="Palatino Linotype"/>
          <w:b/>
        </w:rPr>
        <w:t>RECURRENTE</w:t>
      </w:r>
      <w:r w:rsidRPr="00250223">
        <w:rPr>
          <w:rFonts w:ascii="Palatino Linotype" w:eastAsia="Palatino Linotype" w:hAnsi="Palatino Linotype" w:cs="Palatino Linotype"/>
        </w:rPr>
        <w:t xml:space="preserve"> formuló solicitud de acceso a información pública al</w:t>
      </w:r>
      <w:r w:rsidRPr="00250223">
        <w:rPr>
          <w:rFonts w:ascii="Palatino Linotype" w:eastAsia="Palatino Linotype" w:hAnsi="Palatino Linotype" w:cs="Palatino Linotype"/>
          <w:b/>
        </w:rPr>
        <w:t xml:space="preserve"> SUJETO OBLIGADO</w:t>
      </w:r>
      <w:r w:rsidRPr="00250223">
        <w:rPr>
          <w:rFonts w:ascii="Palatino Linotype" w:eastAsia="Palatino Linotype" w:hAnsi="Palatino Linotype" w:cs="Palatino Linotype"/>
        </w:rPr>
        <w:t xml:space="preserve"> a través del Sistema de Acceso a la Información Mexiquense, en adelante SAIMEX, en la que requirió lo siguiente: </w:t>
      </w:r>
    </w:p>
    <w:p w14:paraId="7DC9A841" w14:textId="77777777" w:rsidR="00100FEC" w:rsidRPr="00250223" w:rsidRDefault="00581D9C">
      <w:pPr>
        <w:spacing w:after="0" w:line="276" w:lineRule="auto"/>
        <w:ind w:left="567" w:right="560"/>
        <w:jc w:val="both"/>
        <w:rPr>
          <w:rFonts w:ascii="Palatino Linotype" w:eastAsia="Palatino Linotype" w:hAnsi="Palatino Linotype" w:cs="Palatino Linotype"/>
          <w:i/>
        </w:rPr>
      </w:pPr>
      <w:bookmarkStart w:id="1" w:name="_heading=h.30j0zll" w:colFirst="0" w:colLast="0"/>
      <w:bookmarkEnd w:id="1"/>
      <w:r w:rsidRPr="00250223">
        <w:rPr>
          <w:rFonts w:ascii="Palatino Linotype" w:eastAsia="Palatino Linotype" w:hAnsi="Palatino Linotype" w:cs="Palatino Linotype"/>
          <w:i/>
        </w:rPr>
        <w:t xml:space="preserve">“- mapa topográfico de la ciudad de Toluca. - zonas de mayor actividad sísmica en la ciudad de Toluca - áreas que no son susceptibles de construcción de edificios”. </w:t>
      </w:r>
    </w:p>
    <w:p w14:paraId="3C48C478" w14:textId="77777777" w:rsidR="00100FEC" w:rsidRPr="00250223" w:rsidRDefault="00100FEC">
      <w:pPr>
        <w:spacing w:after="0" w:line="360" w:lineRule="auto"/>
        <w:ind w:left="567" w:right="560"/>
        <w:jc w:val="both"/>
        <w:rPr>
          <w:rFonts w:ascii="Palatino Linotype" w:eastAsia="Palatino Linotype" w:hAnsi="Palatino Linotype" w:cs="Palatino Linotype"/>
          <w:i/>
        </w:rPr>
      </w:pPr>
    </w:p>
    <w:p w14:paraId="4EA5F700"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b/>
        </w:rPr>
        <w:t>Modalidad elegida para la entrega de la información:</w:t>
      </w:r>
      <w:r w:rsidRPr="00250223">
        <w:rPr>
          <w:rFonts w:ascii="Palatino Linotype" w:eastAsia="Palatino Linotype" w:hAnsi="Palatino Linotype" w:cs="Palatino Linotype"/>
        </w:rPr>
        <w:t xml:space="preserve"> a través del Sistema de Acceso a la Información Mexiquense (SAIMEX). </w:t>
      </w:r>
    </w:p>
    <w:p w14:paraId="500198CF" w14:textId="77777777" w:rsidR="00100FEC" w:rsidRPr="00250223" w:rsidRDefault="00100FE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685026EC" w14:textId="77777777" w:rsidR="00100FEC" w:rsidRPr="00250223" w:rsidRDefault="00581D9C">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250223">
        <w:rPr>
          <w:rFonts w:ascii="Palatino Linotype" w:eastAsia="Palatino Linotype" w:hAnsi="Palatino Linotype" w:cs="Palatino Linotype"/>
          <w:b/>
        </w:rPr>
        <w:t>Respuesta.</w:t>
      </w:r>
      <w:r w:rsidRPr="00250223">
        <w:rPr>
          <w:rFonts w:ascii="Palatino Linotype" w:eastAsia="Palatino Linotype" w:hAnsi="Palatino Linotype" w:cs="Palatino Linotype"/>
        </w:rPr>
        <w:t xml:space="preserve"> Con fecha </w:t>
      </w:r>
      <w:r w:rsidRPr="00250223">
        <w:rPr>
          <w:rFonts w:ascii="Palatino Linotype" w:eastAsia="Palatino Linotype" w:hAnsi="Palatino Linotype" w:cs="Palatino Linotype"/>
          <w:b/>
        </w:rPr>
        <w:t>veintisiete de mayo de dos mil veinticinco</w:t>
      </w:r>
      <w:r w:rsidRPr="00250223">
        <w:rPr>
          <w:rFonts w:ascii="Palatino Linotype" w:eastAsia="Palatino Linotype" w:hAnsi="Palatino Linotype" w:cs="Palatino Linotype"/>
        </w:rPr>
        <w:t xml:space="preserve">, el </w:t>
      </w:r>
      <w:r w:rsidRPr="00250223">
        <w:rPr>
          <w:rFonts w:ascii="Palatino Linotype" w:eastAsia="Palatino Linotype" w:hAnsi="Palatino Linotype" w:cs="Palatino Linotype"/>
          <w:b/>
        </w:rPr>
        <w:t>SUJETO OBLIGADO</w:t>
      </w:r>
      <w:r w:rsidRPr="00250223">
        <w:rPr>
          <w:rFonts w:ascii="Palatino Linotype" w:eastAsia="Palatino Linotype" w:hAnsi="Palatino Linotype" w:cs="Palatino Linotype"/>
        </w:rPr>
        <w:t xml:space="preserve"> envió su respuesta, en los siguientes términos: </w:t>
      </w:r>
    </w:p>
    <w:p w14:paraId="65F210E3" w14:textId="77777777" w:rsidR="00100FEC" w:rsidRPr="00250223" w:rsidRDefault="00100FE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27EB68D" w14:textId="77777777" w:rsidR="00100FEC" w:rsidRPr="00250223" w:rsidRDefault="00581D9C">
      <w:pPr>
        <w:pBdr>
          <w:top w:val="nil"/>
          <w:left w:val="nil"/>
          <w:bottom w:val="nil"/>
          <w:right w:val="nil"/>
          <w:between w:val="nil"/>
        </w:pBdr>
        <w:spacing w:after="0" w:line="276" w:lineRule="auto"/>
        <w:ind w:left="851" w:right="843"/>
        <w:jc w:val="right"/>
        <w:rPr>
          <w:rFonts w:ascii="Palatino Linotype" w:eastAsia="Palatino Linotype" w:hAnsi="Palatino Linotype" w:cs="Palatino Linotype"/>
          <w:i/>
        </w:rPr>
      </w:pPr>
      <w:r w:rsidRPr="00250223">
        <w:rPr>
          <w:rFonts w:ascii="Palatino Linotype" w:eastAsia="Palatino Linotype" w:hAnsi="Palatino Linotype" w:cs="Palatino Linotype"/>
          <w:i/>
        </w:rPr>
        <w:lastRenderedPageBreak/>
        <w:t>“Folio de la solicitud: 00218/SEGEGOB/IP/2025</w:t>
      </w:r>
    </w:p>
    <w:p w14:paraId="222DE9C9" w14:textId="77777777" w:rsidR="00100FEC" w:rsidRPr="00250223" w:rsidRDefault="00100FEC">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i/>
        </w:rPr>
      </w:pPr>
    </w:p>
    <w:p w14:paraId="566E7E17" w14:textId="77777777" w:rsidR="00100FEC" w:rsidRPr="00250223" w:rsidRDefault="00581D9C">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i/>
        </w:rPr>
      </w:pPr>
      <w:r w:rsidRPr="00250223">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E8096D" w14:textId="77777777" w:rsidR="00100FEC" w:rsidRPr="00250223" w:rsidRDefault="00100FEC">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i/>
        </w:rPr>
      </w:pPr>
    </w:p>
    <w:p w14:paraId="4BBE88F7" w14:textId="77777777" w:rsidR="00100FEC" w:rsidRPr="00250223" w:rsidRDefault="00581D9C">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i/>
        </w:rPr>
      </w:pPr>
      <w:r w:rsidRPr="00250223">
        <w:rPr>
          <w:rFonts w:ascii="Palatino Linotype" w:eastAsia="Palatino Linotype" w:hAnsi="Palatino Linotype" w:cs="Palatino Linotype"/>
          <w:i/>
        </w:rPr>
        <w:t>Se anexa respuesta en un archivo. En caso de tener algún problema con la recepción de este archivo, favor de comunicarse al teléfono 722 2138893, ext. 111, 119 y 132.</w:t>
      </w:r>
    </w:p>
    <w:p w14:paraId="67995AEC" w14:textId="77777777" w:rsidR="00100FEC" w:rsidRPr="00250223" w:rsidRDefault="00100FEC">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i/>
        </w:rPr>
      </w:pPr>
    </w:p>
    <w:p w14:paraId="0141FEDB" w14:textId="77777777" w:rsidR="00100FEC" w:rsidRPr="00250223" w:rsidRDefault="00581D9C">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i/>
        </w:rPr>
      </w:pPr>
      <w:r w:rsidRPr="00250223">
        <w:rPr>
          <w:rFonts w:ascii="Palatino Linotype" w:eastAsia="Palatino Linotype" w:hAnsi="Palatino Linotype" w:cs="Palatino Linotype"/>
          <w:i/>
        </w:rPr>
        <w:t>ATENTAMENTE</w:t>
      </w:r>
    </w:p>
    <w:p w14:paraId="5BDAD958" w14:textId="77777777" w:rsidR="00100FEC" w:rsidRPr="00250223" w:rsidRDefault="00581D9C">
      <w:pPr>
        <w:pBdr>
          <w:top w:val="nil"/>
          <w:left w:val="nil"/>
          <w:bottom w:val="nil"/>
          <w:right w:val="nil"/>
          <w:between w:val="nil"/>
        </w:pBdr>
        <w:spacing w:after="0" w:line="276" w:lineRule="auto"/>
        <w:ind w:left="851" w:right="843"/>
        <w:jc w:val="both"/>
        <w:rPr>
          <w:rFonts w:ascii="Palatino Linotype" w:eastAsia="Palatino Linotype" w:hAnsi="Palatino Linotype" w:cs="Palatino Linotype"/>
          <w:i/>
        </w:rPr>
      </w:pPr>
      <w:r w:rsidRPr="00250223">
        <w:rPr>
          <w:rFonts w:ascii="Palatino Linotype" w:eastAsia="Palatino Linotype" w:hAnsi="Palatino Linotype" w:cs="Palatino Linotype"/>
          <w:i/>
        </w:rPr>
        <w:t>DRA. EN D. ROSARIO ARZATE AGUILAR”</w:t>
      </w:r>
    </w:p>
    <w:p w14:paraId="75D0F13D" w14:textId="77777777" w:rsidR="00100FEC" w:rsidRPr="00250223" w:rsidRDefault="00100FEC">
      <w:pPr>
        <w:pBdr>
          <w:top w:val="nil"/>
          <w:left w:val="nil"/>
          <w:bottom w:val="nil"/>
          <w:right w:val="nil"/>
          <w:between w:val="nil"/>
        </w:pBdr>
        <w:spacing w:after="0" w:line="276" w:lineRule="auto"/>
        <w:ind w:right="843"/>
        <w:jc w:val="both"/>
        <w:rPr>
          <w:rFonts w:ascii="Palatino Linotype" w:eastAsia="Palatino Linotype" w:hAnsi="Palatino Linotype" w:cs="Palatino Linotype"/>
          <w:i/>
        </w:rPr>
      </w:pPr>
    </w:p>
    <w:p w14:paraId="6BC3A885" w14:textId="77777777" w:rsidR="00100FEC" w:rsidRPr="00250223" w:rsidRDefault="00581D9C">
      <w:pPr>
        <w:pBdr>
          <w:top w:val="nil"/>
          <w:left w:val="nil"/>
          <w:bottom w:val="nil"/>
          <w:right w:val="nil"/>
          <w:between w:val="nil"/>
        </w:pBdr>
        <w:spacing w:after="0" w:line="276" w:lineRule="auto"/>
        <w:ind w:right="843"/>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El Sujeto Obligado adjuntó a su respuesta los siguientes documentos: </w:t>
      </w:r>
    </w:p>
    <w:p w14:paraId="4C24DDCB" w14:textId="77777777" w:rsidR="00100FEC" w:rsidRPr="00250223" w:rsidRDefault="00100FEC">
      <w:pPr>
        <w:pBdr>
          <w:top w:val="nil"/>
          <w:left w:val="nil"/>
          <w:bottom w:val="nil"/>
          <w:right w:val="nil"/>
          <w:between w:val="nil"/>
        </w:pBdr>
        <w:spacing w:after="0" w:line="276" w:lineRule="auto"/>
        <w:ind w:right="843"/>
        <w:jc w:val="both"/>
        <w:rPr>
          <w:rFonts w:ascii="Palatino Linotype" w:eastAsia="Palatino Linotype" w:hAnsi="Palatino Linotype" w:cs="Palatino Linotype"/>
        </w:rPr>
      </w:pPr>
    </w:p>
    <w:p w14:paraId="3D5D88BE" w14:textId="77777777" w:rsidR="00100FEC" w:rsidRPr="00250223" w:rsidRDefault="00581D9C">
      <w:pPr>
        <w:pBdr>
          <w:top w:val="nil"/>
          <w:left w:val="nil"/>
          <w:bottom w:val="nil"/>
          <w:right w:val="nil"/>
          <w:between w:val="nil"/>
        </w:pBdr>
        <w:spacing w:after="0" w:line="276" w:lineRule="auto"/>
        <w:ind w:right="843"/>
        <w:jc w:val="both"/>
        <w:rPr>
          <w:rFonts w:ascii="Palatino Linotype" w:eastAsia="Palatino Linotype" w:hAnsi="Palatino Linotype" w:cs="Palatino Linotype"/>
          <w:b/>
          <w:i/>
        </w:rPr>
      </w:pPr>
      <w:proofErr w:type="spellStart"/>
      <w:r w:rsidRPr="00250223">
        <w:rPr>
          <w:rFonts w:ascii="Palatino Linotype" w:eastAsia="Palatino Linotype" w:hAnsi="Palatino Linotype" w:cs="Palatino Linotype"/>
          <w:b/>
          <w:i/>
        </w:rPr>
        <w:t>Rpta</w:t>
      </w:r>
      <w:proofErr w:type="spellEnd"/>
      <w:r w:rsidRPr="00250223">
        <w:rPr>
          <w:rFonts w:ascii="Palatino Linotype" w:eastAsia="Palatino Linotype" w:hAnsi="Palatino Linotype" w:cs="Palatino Linotype"/>
          <w:b/>
          <w:i/>
        </w:rPr>
        <w:t xml:space="preserve">. 00218-2025.pdf. </w:t>
      </w:r>
    </w:p>
    <w:p w14:paraId="4853AC40" w14:textId="77777777" w:rsidR="00100FEC" w:rsidRPr="00250223" w:rsidRDefault="00100FEC">
      <w:pPr>
        <w:pBdr>
          <w:top w:val="nil"/>
          <w:left w:val="nil"/>
          <w:bottom w:val="nil"/>
          <w:right w:val="nil"/>
          <w:between w:val="nil"/>
        </w:pBdr>
        <w:spacing w:after="0" w:line="276" w:lineRule="auto"/>
        <w:ind w:right="843"/>
        <w:jc w:val="both"/>
        <w:rPr>
          <w:rFonts w:ascii="Palatino Linotype" w:eastAsia="Palatino Linotype" w:hAnsi="Palatino Linotype" w:cs="Palatino Linotype"/>
          <w:b/>
          <w:i/>
        </w:rPr>
      </w:pPr>
    </w:p>
    <w:p w14:paraId="4D03FB2D" w14:textId="77777777" w:rsidR="00100FEC" w:rsidRPr="00250223" w:rsidRDefault="00581D9C" w:rsidP="009F3A42">
      <w:pPr>
        <w:numPr>
          <w:ilvl w:val="0"/>
          <w:numId w:val="3"/>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Oficio signado por el Titular de la Unidad de Transparencia mediante el cual informa al solicitante que la solicitud fue turnada al Servidor Público Habilitado de la Coordinación General de Protección Civil y Gestión Integral del Riesgo, quien emitió la respuesta correspondiente. </w:t>
      </w:r>
    </w:p>
    <w:p w14:paraId="2CC7C4B7" w14:textId="77777777" w:rsidR="00100FEC" w:rsidRPr="00250223" w:rsidRDefault="00581D9C" w:rsidP="009F3A42">
      <w:pPr>
        <w:numPr>
          <w:ilvl w:val="0"/>
          <w:numId w:val="3"/>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Oficio signado por el Jefe de la Unidad de Evaluación Programática, dirigido al Titular de la Unidad de Información, mediante el cual refiere remitir el oficio expedido por la Subdirección de Riesgos, de la Dirección General de Gestión de Riesgos de la Coordinación General de Protección Civil y Gestión Integral de Riesgo. </w:t>
      </w:r>
    </w:p>
    <w:p w14:paraId="06D27262" w14:textId="77777777" w:rsidR="00100FEC" w:rsidRPr="00250223" w:rsidRDefault="00581D9C" w:rsidP="009F3A42">
      <w:pPr>
        <w:numPr>
          <w:ilvl w:val="0"/>
          <w:numId w:val="3"/>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Oficio emitido por el Subdirector de Riesgos, mediante el cual informa que después de realizar una búsqueda exhaustiva y minuciosa en los archivos de la Subdirección de Atlas de Riesgo, por lo que en aras de preservar el principio de máxima publicidad y en apego a la normatividad establecida en materia de </w:t>
      </w:r>
      <w:r w:rsidRPr="00250223">
        <w:rPr>
          <w:rFonts w:ascii="Palatino Linotype" w:eastAsia="Palatino Linotype" w:hAnsi="Palatino Linotype" w:cs="Palatino Linotype"/>
        </w:rPr>
        <w:lastRenderedPageBreak/>
        <w:t xml:space="preserve">transparencia, adjunta la liga electrónica donde podrá consultar la información solicitada (la liga electrónica es remitida en formato cerrado). </w:t>
      </w:r>
    </w:p>
    <w:p w14:paraId="527ABB2B" w14:textId="77777777" w:rsidR="00100FEC" w:rsidRPr="00250223" w:rsidRDefault="00581D9C">
      <w:pPr>
        <w:pBdr>
          <w:top w:val="nil"/>
          <w:left w:val="nil"/>
          <w:bottom w:val="nil"/>
          <w:right w:val="nil"/>
          <w:between w:val="nil"/>
        </w:pBdr>
        <w:spacing w:after="0" w:line="276" w:lineRule="auto"/>
        <w:ind w:right="843"/>
        <w:jc w:val="both"/>
        <w:rPr>
          <w:rFonts w:ascii="Palatino Linotype" w:eastAsia="Palatino Linotype" w:hAnsi="Palatino Linotype" w:cs="Palatino Linotype"/>
        </w:rPr>
      </w:pPr>
      <w:r w:rsidRPr="00250223">
        <w:rPr>
          <w:rFonts w:ascii="Palatino Linotype" w:eastAsia="Palatino Linotype" w:hAnsi="Palatino Linotype" w:cs="Palatino Linotype"/>
          <w:noProof/>
        </w:rPr>
        <w:drawing>
          <wp:inline distT="0" distB="0" distL="0" distR="0" wp14:anchorId="64558452" wp14:editId="3FC22BA2">
            <wp:extent cx="5756275" cy="1824990"/>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56275" cy="1824990"/>
                    </a:xfrm>
                    <a:prstGeom prst="rect">
                      <a:avLst/>
                    </a:prstGeom>
                    <a:ln/>
                  </pic:spPr>
                </pic:pic>
              </a:graphicData>
            </a:graphic>
          </wp:inline>
        </w:drawing>
      </w:r>
    </w:p>
    <w:p w14:paraId="496B48D9" w14:textId="77777777" w:rsidR="00100FEC" w:rsidRPr="00250223" w:rsidRDefault="00100FEC">
      <w:pPr>
        <w:pBdr>
          <w:top w:val="nil"/>
          <w:left w:val="nil"/>
          <w:bottom w:val="nil"/>
          <w:right w:val="nil"/>
          <w:between w:val="nil"/>
        </w:pBdr>
        <w:spacing w:after="0" w:line="276" w:lineRule="auto"/>
        <w:ind w:right="843"/>
        <w:jc w:val="both"/>
        <w:rPr>
          <w:rFonts w:ascii="Palatino Linotype" w:eastAsia="Palatino Linotype" w:hAnsi="Palatino Linotype" w:cs="Palatino Linotype"/>
        </w:rPr>
      </w:pPr>
    </w:p>
    <w:p w14:paraId="33D679B6" w14:textId="77777777" w:rsidR="00100FEC" w:rsidRPr="00250223" w:rsidRDefault="00100FE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607FC88" w14:textId="77777777" w:rsidR="00100FEC" w:rsidRPr="00250223" w:rsidRDefault="00581D9C">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250223">
        <w:rPr>
          <w:rFonts w:ascii="Palatino Linotype" w:eastAsia="Palatino Linotype" w:hAnsi="Palatino Linotype" w:cs="Palatino Linotype"/>
          <w:b/>
        </w:rPr>
        <w:t xml:space="preserve">Recurso de Revisión. </w:t>
      </w:r>
      <w:r w:rsidRPr="00250223">
        <w:rPr>
          <w:rFonts w:ascii="Palatino Linotype" w:eastAsia="Palatino Linotype" w:hAnsi="Palatino Linotype" w:cs="Palatino Linotype"/>
        </w:rPr>
        <w:t xml:space="preserve">En fecha </w:t>
      </w:r>
      <w:r w:rsidRPr="00250223">
        <w:rPr>
          <w:rFonts w:ascii="Palatino Linotype" w:eastAsia="Palatino Linotype" w:hAnsi="Palatino Linotype" w:cs="Palatino Linotype"/>
          <w:b/>
        </w:rPr>
        <w:t>treinta de mayo de dos mil veinticinco</w:t>
      </w:r>
      <w:r w:rsidRPr="00250223">
        <w:rPr>
          <w:rFonts w:ascii="Palatino Linotype" w:eastAsia="Palatino Linotype" w:hAnsi="Palatino Linotype" w:cs="Palatino Linotype"/>
        </w:rPr>
        <w:t xml:space="preserve"> la persona Solicitante interpuso Recurso de Revisión a través del </w:t>
      </w:r>
      <w:r w:rsidRPr="00250223">
        <w:rPr>
          <w:rFonts w:ascii="Palatino Linotype" w:eastAsia="Palatino Linotype" w:hAnsi="Palatino Linotype" w:cs="Palatino Linotype"/>
          <w:b/>
        </w:rPr>
        <w:t>SAIMEX</w:t>
      </w:r>
      <w:r w:rsidRPr="00250223">
        <w:rPr>
          <w:rFonts w:ascii="Palatino Linotype" w:eastAsia="Palatino Linotype" w:hAnsi="Palatino Linotype" w:cs="Palatino Linotype"/>
        </w:rPr>
        <w:t>, a través del cual expresó lo siguiente:</w:t>
      </w:r>
    </w:p>
    <w:p w14:paraId="3B6FB6D6" w14:textId="77777777" w:rsidR="00100FEC" w:rsidRPr="00250223" w:rsidRDefault="00100FE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7C609E1" w14:textId="77777777" w:rsidR="00100FEC" w:rsidRPr="00250223" w:rsidRDefault="00581D9C">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rPr>
      </w:pPr>
      <w:r w:rsidRPr="00250223">
        <w:rPr>
          <w:rFonts w:ascii="Palatino Linotype" w:eastAsia="Palatino Linotype" w:hAnsi="Palatino Linotype" w:cs="Palatino Linotype"/>
          <w:b/>
        </w:rPr>
        <w:t xml:space="preserve">Acto impugnado. </w:t>
      </w:r>
      <w:r w:rsidRPr="00250223">
        <w:rPr>
          <w:rFonts w:ascii="Palatino Linotype" w:eastAsia="Palatino Linotype" w:hAnsi="Palatino Linotype" w:cs="Palatino Linotype"/>
          <w:i/>
        </w:rPr>
        <w:t xml:space="preserve">“De acuerdo a la amable respuesta el link que se respondió, no lleva a ninguna </w:t>
      </w:r>
      <w:proofErr w:type="spellStart"/>
      <w:r w:rsidRPr="00250223">
        <w:rPr>
          <w:rFonts w:ascii="Palatino Linotype" w:eastAsia="Palatino Linotype" w:hAnsi="Palatino Linotype" w:cs="Palatino Linotype"/>
          <w:i/>
        </w:rPr>
        <w:t>pagina</w:t>
      </w:r>
      <w:proofErr w:type="spellEnd"/>
      <w:r w:rsidRPr="00250223">
        <w:rPr>
          <w:rFonts w:ascii="Palatino Linotype" w:eastAsia="Palatino Linotype" w:hAnsi="Palatino Linotype" w:cs="Palatino Linotype"/>
          <w:i/>
        </w:rPr>
        <w:t xml:space="preserve"> y la información no me ha sido entregada”.</w:t>
      </w:r>
    </w:p>
    <w:p w14:paraId="1375EA49" w14:textId="77777777" w:rsidR="00100FEC" w:rsidRPr="00250223" w:rsidRDefault="00100FEC">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b/>
        </w:rPr>
      </w:pPr>
    </w:p>
    <w:p w14:paraId="2DA9BB6D" w14:textId="77777777" w:rsidR="00100FEC" w:rsidRPr="00250223" w:rsidRDefault="00581D9C">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i/>
        </w:rPr>
      </w:pPr>
      <w:r w:rsidRPr="00250223">
        <w:rPr>
          <w:rFonts w:ascii="Palatino Linotype" w:eastAsia="Palatino Linotype" w:hAnsi="Palatino Linotype" w:cs="Palatino Linotype"/>
          <w:b/>
        </w:rPr>
        <w:t xml:space="preserve">Razones o motivos de la inconformidad: </w:t>
      </w:r>
      <w:r w:rsidRPr="00250223">
        <w:rPr>
          <w:rFonts w:ascii="Palatino Linotype" w:eastAsia="Palatino Linotype" w:hAnsi="Palatino Linotype" w:cs="Palatino Linotype"/>
          <w:i/>
        </w:rPr>
        <w:t>“el link se presume no es el correcto”.</w:t>
      </w:r>
    </w:p>
    <w:p w14:paraId="63881452" w14:textId="77777777" w:rsidR="00100FEC" w:rsidRPr="00250223" w:rsidRDefault="00100FEC">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rPr>
      </w:pPr>
    </w:p>
    <w:p w14:paraId="768071D1" w14:textId="77777777" w:rsidR="00100FEC" w:rsidRPr="00250223" w:rsidRDefault="00100FEC">
      <w:pPr>
        <w:pBdr>
          <w:top w:val="nil"/>
          <w:left w:val="nil"/>
          <w:bottom w:val="nil"/>
          <w:right w:val="nil"/>
          <w:between w:val="nil"/>
        </w:pBdr>
        <w:tabs>
          <w:tab w:val="left" w:pos="1276"/>
        </w:tabs>
        <w:spacing w:after="0" w:line="276" w:lineRule="auto"/>
        <w:ind w:left="567" w:right="701"/>
        <w:jc w:val="both"/>
        <w:rPr>
          <w:rFonts w:ascii="Palatino Linotype" w:eastAsia="Palatino Linotype" w:hAnsi="Palatino Linotype" w:cs="Palatino Linotype"/>
        </w:rPr>
      </w:pPr>
    </w:p>
    <w:p w14:paraId="389B4B93" w14:textId="77777777" w:rsidR="00100FEC" w:rsidRPr="00250223" w:rsidRDefault="00581D9C">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250223">
        <w:rPr>
          <w:rFonts w:ascii="Palatino Linotype" w:eastAsia="Palatino Linotype" w:hAnsi="Palatino Linotype" w:cs="Palatino Linotype"/>
          <w:b/>
        </w:rPr>
        <w:t>Turno.</w:t>
      </w:r>
      <w:r w:rsidRPr="00250223">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Pr="00250223">
        <w:rPr>
          <w:rFonts w:ascii="Palatino Linotype" w:eastAsia="Palatino Linotype" w:hAnsi="Palatino Linotype" w:cs="Palatino Linotype"/>
          <w:b/>
        </w:rPr>
        <w:t>06294/INFOEM/IP/RR/2025</w:t>
      </w:r>
      <w:r w:rsidRPr="00250223">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38AF0891" w14:textId="77777777" w:rsidR="00100FEC" w:rsidRPr="00250223" w:rsidRDefault="00100FE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DE86510" w14:textId="77777777" w:rsidR="00100FEC" w:rsidRPr="00250223" w:rsidRDefault="00581D9C">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250223">
        <w:rPr>
          <w:rFonts w:ascii="Palatino Linotype" w:eastAsia="Palatino Linotype" w:hAnsi="Palatino Linotype" w:cs="Palatino Linotype"/>
          <w:b/>
        </w:rPr>
        <w:t>Admisión del recurso de revisión</w:t>
      </w:r>
      <w:r w:rsidRPr="00250223">
        <w:rPr>
          <w:rFonts w:ascii="Palatino Linotype" w:eastAsia="Palatino Linotype" w:hAnsi="Palatino Linotype" w:cs="Palatino Linotype"/>
        </w:rPr>
        <w:t xml:space="preserve">: En fecha </w:t>
      </w:r>
      <w:r w:rsidRPr="00250223">
        <w:rPr>
          <w:rFonts w:ascii="Palatino Linotype" w:eastAsia="Palatino Linotype" w:hAnsi="Palatino Linotype" w:cs="Palatino Linotype"/>
          <w:b/>
        </w:rPr>
        <w:t>cuatro de junio de dos mil veinticinco</w:t>
      </w:r>
      <w:r w:rsidRPr="00250223">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4779EE1B" w14:textId="77777777" w:rsidR="00100FEC" w:rsidRPr="00250223" w:rsidRDefault="00100FEC">
      <w:pPr>
        <w:pBdr>
          <w:top w:val="nil"/>
          <w:left w:val="nil"/>
          <w:bottom w:val="nil"/>
          <w:right w:val="nil"/>
          <w:between w:val="nil"/>
        </w:pBdr>
        <w:ind w:left="720"/>
        <w:rPr>
          <w:rFonts w:ascii="Palatino Linotype" w:eastAsia="Palatino Linotype" w:hAnsi="Palatino Linotype" w:cs="Palatino Linotype"/>
        </w:rPr>
      </w:pPr>
    </w:p>
    <w:p w14:paraId="2BB04CBD" w14:textId="77777777" w:rsidR="00100FEC" w:rsidRPr="00250223" w:rsidRDefault="00581D9C">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250223">
        <w:rPr>
          <w:rFonts w:ascii="Palatino Linotype" w:eastAsia="Palatino Linotype" w:hAnsi="Palatino Linotype" w:cs="Palatino Linotype"/>
          <w:b/>
        </w:rPr>
        <w:t>Informe Justificado y Manifestaciones</w:t>
      </w:r>
      <w:r w:rsidRPr="00250223">
        <w:rPr>
          <w:rFonts w:ascii="Palatino Linotype" w:eastAsia="Palatino Linotype" w:hAnsi="Palatino Linotype" w:cs="Palatino Linotype"/>
        </w:rPr>
        <w:t xml:space="preserve">. El </w:t>
      </w:r>
      <w:r w:rsidRPr="00250223">
        <w:rPr>
          <w:rFonts w:ascii="Palatino Linotype" w:eastAsia="Palatino Linotype" w:hAnsi="Palatino Linotype" w:cs="Palatino Linotype"/>
          <w:b/>
        </w:rPr>
        <w:t xml:space="preserve">seis de junio de dos mil veinticinco, </w:t>
      </w:r>
      <w:r w:rsidRPr="00250223">
        <w:rPr>
          <w:rFonts w:ascii="Palatino Linotype" w:eastAsia="Palatino Linotype" w:hAnsi="Palatino Linotype" w:cs="Palatino Linotype"/>
        </w:rPr>
        <w:t xml:space="preserve">el </w:t>
      </w:r>
      <w:r w:rsidRPr="00250223">
        <w:rPr>
          <w:rFonts w:ascii="Palatino Linotype" w:eastAsia="Palatino Linotype" w:hAnsi="Palatino Linotype" w:cs="Palatino Linotype"/>
          <w:b/>
        </w:rPr>
        <w:t xml:space="preserve">Sujeto Obligado </w:t>
      </w:r>
      <w:r w:rsidRPr="00250223">
        <w:rPr>
          <w:rFonts w:ascii="Palatino Linotype" w:eastAsia="Palatino Linotype" w:hAnsi="Palatino Linotype" w:cs="Palatino Linotype"/>
        </w:rPr>
        <w:t>remitió lo siguiente:</w:t>
      </w:r>
    </w:p>
    <w:p w14:paraId="257CBAB7" w14:textId="77777777" w:rsidR="00100FEC" w:rsidRPr="00250223" w:rsidRDefault="00100FE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D13BFF8" w14:textId="77777777" w:rsidR="00100FEC" w:rsidRPr="00250223" w:rsidRDefault="00581D9C">
      <w:pPr>
        <w:pBdr>
          <w:top w:val="nil"/>
          <w:left w:val="nil"/>
          <w:bottom w:val="nil"/>
          <w:right w:val="nil"/>
          <w:between w:val="nil"/>
        </w:pBdr>
        <w:spacing w:after="0" w:line="360" w:lineRule="auto"/>
        <w:ind w:right="49"/>
        <w:jc w:val="both"/>
        <w:rPr>
          <w:rFonts w:ascii="Palatino Linotype" w:eastAsia="Palatino Linotype" w:hAnsi="Palatino Linotype" w:cs="Palatino Linotype"/>
          <w:i/>
        </w:rPr>
      </w:pPr>
      <w:r w:rsidRPr="00250223">
        <w:rPr>
          <w:rFonts w:ascii="Palatino Linotype" w:eastAsia="Palatino Linotype" w:hAnsi="Palatino Linotype" w:cs="Palatino Linotype"/>
          <w:i/>
        </w:rPr>
        <w:t>“Se anexa Informe Justificado en un archivo. En caso de tener algún problema con la recepción de este archivo, favor de comunicarse al teléfono 722 2138893, ext. 111, 118 y 119.”</w:t>
      </w:r>
    </w:p>
    <w:p w14:paraId="39B85D7E" w14:textId="77777777" w:rsidR="00100FEC" w:rsidRPr="00250223" w:rsidRDefault="00581D9C">
      <w:pPr>
        <w:spacing w:before="240" w:after="24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 El Sujeto Obligado, adjuntó el siguiente archivo: </w:t>
      </w:r>
    </w:p>
    <w:p w14:paraId="70E780CA" w14:textId="77777777" w:rsidR="00100FEC" w:rsidRPr="00250223" w:rsidRDefault="00581D9C">
      <w:pPr>
        <w:spacing w:before="240" w:after="24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b/>
          <w:i/>
        </w:rPr>
        <w:t xml:space="preserve">I.J. 00218-2025.pdf. </w:t>
      </w:r>
      <w:r w:rsidRPr="00250223">
        <w:rPr>
          <w:rFonts w:ascii="Palatino Linotype" w:eastAsia="Palatino Linotype" w:hAnsi="Palatino Linotype" w:cs="Palatino Linotype"/>
        </w:rPr>
        <w:t xml:space="preserve">Oficio mediante el cual el Titular de la Unidad de Transparencia, detalla los antecedentes del recurso de revisión y refiere que la respuesta fue enviada al particular en tiempo y forma, tal como se advierte del documento denominado “Acuse” que emite el SAIMEX y que obra en dicho sistema. Que la respuesta se realizó en apego a lo dispuesto en los artículos 12 y 24 de la Ley en la materia. Que la Secretaría turnó el requerimiento de información al Servidor Público Habilitado de la Coordinación General de Protección Civil y Gestión del Riesgo, en atención a lo dispuesto por el artículo 162 de la Ley de Transparencia del Estado. Que el Servidor Público Habilitado de la Coordinación General de Protección Civil otorgó </w:t>
      </w:r>
      <w:r w:rsidRPr="00250223">
        <w:rPr>
          <w:rFonts w:ascii="Palatino Linotype" w:eastAsia="Palatino Linotype" w:hAnsi="Palatino Linotype" w:cs="Palatino Linotype"/>
          <w:b/>
        </w:rPr>
        <w:t>una respuesta satisfactoria a la solicitante, consistente en la identificación en el Atlas Estatal de Riesgo, del mapa topográfico</w:t>
      </w:r>
      <w:r w:rsidRPr="00250223">
        <w:rPr>
          <w:rFonts w:ascii="Palatino Linotype" w:eastAsia="Palatino Linotype" w:hAnsi="Palatino Linotype" w:cs="Palatino Linotype"/>
          <w:b/>
          <w:u w:val="single"/>
        </w:rPr>
        <w:t>, las zonas de mayor actividad sísmica y las áreas que no son susceptibles de construcción de edificios del Municipio de Toluca</w:t>
      </w:r>
      <w:r w:rsidRPr="00250223">
        <w:rPr>
          <w:rFonts w:ascii="Palatino Linotype" w:eastAsia="Palatino Linotype" w:hAnsi="Palatino Linotype" w:cs="Palatino Linotype"/>
        </w:rPr>
        <w:t xml:space="preserve">, compartiendo a la ahora recurrente la dirección electrónica para que de manera directa pudiera consultar la información de su interés. </w:t>
      </w:r>
    </w:p>
    <w:p w14:paraId="7C44B34D" w14:textId="77777777" w:rsidR="00100FEC" w:rsidRPr="00250223" w:rsidRDefault="00581D9C">
      <w:pPr>
        <w:spacing w:before="240" w:after="24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Insertando nuevamente la dirección electrónica, proporcionada en respuesta, y señalando las indicaciones para la consulta de la información, por lo que confirma su respuesta inicial. </w:t>
      </w:r>
    </w:p>
    <w:p w14:paraId="729F7CCB" w14:textId="77777777" w:rsidR="00100FEC" w:rsidRPr="00250223" w:rsidRDefault="00581D9C">
      <w:pPr>
        <w:spacing w:before="240" w:after="24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Asimismo, se adjunta oficio signado por el Servidor Público Habilitado mediante el cual refiere que el vínculo remitido en respuesta continúa vigente, detalla la información contenida en dicho vínculo electrónico, consistente en mapas de inundaciones, zona de </w:t>
      </w:r>
      <w:proofErr w:type="spellStart"/>
      <w:r w:rsidRPr="00250223">
        <w:rPr>
          <w:rFonts w:ascii="Palatino Linotype" w:eastAsia="Palatino Linotype" w:hAnsi="Palatino Linotype" w:cs="Palatino Linotype"/>
        </w:rPr>
        <w:t>fracturamiento</w:t>
      </w:r>
      <w:proofErr w:type="spellEnd"/>
      <w:r w:rsidRPr="00250223">
        <w:rPr>
          <w:rFonts w:ascii="Palatino Linotype" w:eastAsia="Palatino Linotype" w:hAnsi="Palatino Linotype" w:cs="Palatino Linotype"/>
        </w:rPr>
        <w:t xml:space="preserve"> y susceptibilidad sísmica, susceptibilidad a deslizamientos de ladera y topográfico del Municipio de Toluca. De igual forma señala que en aras de privilegiar el principio de máxima publicidad también se comparte el link donde se puede visualizar el atlas de riesgo del Municipio de Toluca, así como el del atlas de riesgo estatal. (el documento es remitido en formato cerrado)</w:t>
      </w:r>
    </w:p>
    <w:p w14:paraId="6B836045" w14:textId="77777777" w:rsidR="00100FEC" w:rsidRPr="00250223" w:rsidRDefault="00581D9C">
      <w:pPr>
        <w:spacing w:before="240" w:after="24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Posteriormente, en fecha siete de octubre de dos mil veinticinco, mediante alcance al informe justificado, remite los documentos descritos anteriormente, en formato Word. </w:t>
      </w:r>
    </w:p>
    <w:p w14:paraId="2A111FE5" w14:textId="01E2E529" w:rsidR="00100FEC" w:rsidRPr="00250223" w:rsidRDefault="00581D9C">
      <w:pPr>
        <w:spacing w:before="240" w:after="24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Una vez analizada la información, se hizo del conocimiento de la persona solicitante</w:t>
      </w:r>
      <w:r w:rsidR="009F3A42" w:rsidRPr="00250223">
        <w:rPr>
          <w:rFonts w:ascii="Palatino Linotype" w:eastAsia="Palatino Linotype" w:hAnsi="Palatino Linotype" w:cs="Palatino Linotype"/>
        </w:rPr>
        <w:t xml:space="preserve"> el </w:t>
      </w:r>
      <w:r w:rsidR="009F3A42" w:rsidRPr="00250223">
        <w:rPr>
          <w:rFonts w:ascii="Palatino Linotype" w:eastAsia="Palatino Linotype" w:hAnsi="Palatino Linotype" w:cs="Palatino Linotype"/>
          <w:b/>
        </w:rPr>
        <w:t>ocho de octubre de dos mil veinticinco</w:t>
      </w:r>
      <w:r w:rsidR="009F3A42" w:rsidRPr="00250223">
        <w:rPr>
          <w:rFonts w:ascii="Palatino Linotype" w:eastAsia="Palatino Linotype" w:hAnsi="Palatino Linotype" w:cs="Palatino Linotype"/>
        </w:rPr>
        <w:t>,</w:t>
      </w:r>
      <w:r w:rsidRPr="00250223">
        <w:rPr>
          <w:rFonts w:ascii="Palatino Linotype" w:eastAsia="Palatino Linotype" w:hAnsi="Palatino Linotype" w:cs="Palatino Linotype"/>
        </w:rPr>
        <w:t xml:space="preserve"> a efecto de que manifestara lo que a su derecho estimara conveniente, siendo omisa en ejercer dicha prerrogativa.</w:t>
      </w:r>
    </w:p>
    <w:p w14:paraId="6E014C29" w14:textId="77777777" w:rsidR="00100FEC" w:rsidRPr="00250223" w:rsidRDefault="00581D9C">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250223">
        <w:rPr>
          <w:rFonts w:ascii="Palatino Linotype" w:eastAsia="Palatino Linotype" w:hAnsi="Palatino Linotype" w:cs="Palatino Linotype"/>
          <w:b/>
        </w:rPr>
        <w:t xml:space="preserve">Ampliación de plazo. </w:t>
      </w:r>
      <w:r w:rsidRPr="00250223">
        <w:rPr>
          <w:rFonts w:ascii="Palatino Linotype" w:eastAsia="Palatino Linotype" w:hAnsi="Palatino Linotype" w:cs="Palatino Linotype"/>
        </w:rPr>
        <w:t xml:space="preserve">El </w:t>
      </w:r>
      <w:r w:rsidRPr="00250223">
        <w:rPr>
          <w:rFonts w:ascii="Palatino Linotype" w:eastAsia="Palatino Linotype" w:hAnsi="Palatino Linotype" w:cs="Palatino Linotype"/>
          <w:b/>
        </w:rPr>
        <w:t>ocho de octubre de dos mil veinticinco</w:t>
      </w:r>
      <w:r w:rsidRPr="00250223">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2D3B509" w14:textId="77777777" w:rsidR="00100FEC" w:rsidRPr="00250223" w:rsidRDefault="00100FE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ED4E2BA"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80AC5D9"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 </w:t>
      </w:r>
    </w:p>
    <w:p w14:paraId="3054EC3A"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4F7311B" w14:textId="77777777" w:rsidR="00100FEC" w:rsidRPr="00250223" w:rsidRDefault="00100FEC">
      <w:pPr>
        <w:spacing w:after="0" w:line="360" w:lineRule="auto"/>
        <w:ind w:right="49"/>
        <w:jc w:val="both"/>
        <w:rPr>
          <w:rFonts w:ascii="Palatino Linotype" w:eastAsia="Palatino Linotype" w:hAnsi="Palatino Linotype" w:cs="Palatino Linotype"/>
        </w:rPr>
      </w:pPr>
    </w:p>
    <w:p w14:paraId="5A23AFF3"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621E0A2" w14:textId="77777777" w:rsidR="00100FEC" w:rsidRPr="00250223" w:rsidRDefault="00100FEC">
      <w:pPr>
        <w:spacing w:after="0" w:line="360" w:lineRule="auto"/>
        <w:ind w:right="49"/>
        <w:jc w:val="both"/>
        <w:rPr>
          <w:rFonts w:ascii="Palatino Linotype" w:eastAsia="Palatino Linotype" w:hAnsi="Palatino Linotype" w:cs="Palatino Linotype"/>
        </w:rPr>
      </w:pPr>
    </w:p>
    <w:p w14:paraId="7CB37B24"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C88218C" w14:textId="77777777" w:rsidR="00100FEC" w:rsidRPr="00250223" w:rsidRDefault="00100FEC">
      <w:pPr>
        <w:spacing w:after="0" w:line="360" w:lineRule="auto"/>
        <w:ind w:right="49"/>
        <w:jc w:val="both"/>
        <w:rPr>
          <w:rFonts w:ascii="Palatino Linotype" w:eastAsia="Palatino Linotype" w:hAnsi="Palatino Linotype" w:cs="Palatino Linotype"/>
        </w:rPr>
      </w:pPr>
    </w:p>
    <w:p w14:paraId="5D7BA8F0"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C0CD80D" w14:textId="77777777" w:rsidR="00100FEC" w:rsidRPr="00250223" w:rsidRDefault="00100FEC">
      <w:pPr>
        <w:spacing w:after="0" w:line="360" w:lineRule="auto"/>
        <w:ind w:right="49"/>
        <w:jc w:val="both"/>
        <w:rPr>
          <w:rFonts w:ascii="Palatino Linotype" w:eastAsia="Palatino Linotype" w:hAnsi="Palatino Linotype" w:cs="Palatino Linotype"/>
        </w:rPr>
      </w:pPr>
    </w:p>
    <w:p w14:paraId="43C954E5" w14:textId="77777777" w:rsidR="00100FEC" w:rsidRPr="00250223" w:rsidRDefault="00581D9C">
      <w:pPr>
        <w:tabs>
          <w:tab w:val="left" w:pos="709"/>
        </w:tabs>
        <w:spacing w:after="0" w:line="360" w:lineRule="auto"/>
        <w:ind w:left="567" w:right="560"/>
        <w:jc w:val="both"/>
        <w:rPr>
          <w:rFonts w:ascii="Palatino Linotype" w:eastAsia="Palatino Linotype" w:hAnsi="Palatino Linotype" w:cs="Palatino Linotype"/>
        </w:rPr>
      </w:pPr>
      <w:r w:rsidRPr="00250223">
        <w:rPr>
          <w:rFonts w:ascii="Palatino Linotype" w:eastAsia="Palatino Linotype" w:hAnsi="Palatino Linotype" w:cs="Palatino Linotype"/>
          <w:b/>
        </w:rPr>
        <w:t>a)    Complejidad del asunto:</w:t>
      </w:r>
      <w:r w:rsidRPr="00250223">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1DCABDDE" w14:textId="77777777" w:rsidR="00100FEC" w:rsidRPr="00250223" w:rsidRDefault="00581D9C">
      <w:pPr>
        <w:tabs>
          <w:tab w:val="left" w:pos="709"/>
        </w:tabs>
        <w:spacing w:after="0" w:line="360" w:lineRule="auto"/>
        <w:ind w:left="567" w:right="560"/>
        <w:jc w:val="both"/>
        <w:rPr>
          <w:rFonts w:ascii="Palatino Linotype" w:eastAsia="Palatino Linotype" w:hAnsi="Palatino Linotype" w:cs="Palatino Linotype"/>
        </w:rPr>
      </w:pPr>
      <w:r w:rsidRPr="00250223">
        <w:rPr>
          <w:rFonts w:ascii="Palatino Linotype" w:eastAsia="Palatino Linotype" w:hAnsi="Palatino Linotype" w:cs="Palatino Linotype"/>
          <w:b/>
        </w:rPr>
        <w:t>b)   Actividad Procesal del interesado</w:t>
      </w:r>
      <w:r w:rsidRPr="00250223">
        <w:rPr>
          <w:rFonts w:ascii="Palatino Linotype" w:eastAsia="Palatino Linotype" w:hAnsi="Palatino Linotype" w:cs="Palatino Linotype"/>
        </w:rPr>
        <w:t>: Acciones u omisiones del interesado.</w:t>
      </w:r>
    </w:p>
    <w:p w14:paraId="05E2BDFA" w14:textId="77777777" w:rsidR="00100FEC" w:rsidRPr="00250223" w:rsidRDefault="00581D9C">
      <w:pPr>
        <w:tabs>
          <w:tab w:val="left" w:pos="851"/>
        </w:tabs>
        <w:spacing w:after="0" w:line="360" w:lineRule="auto"/>
        <w:ind w:left="567" w:right="560"/>
        <w:jc w:val="both"/>
        <w:rPr>
          <w:rFonts w:ascii="Palatino Linotype" w:eastAsia="Palatino Linotype" w:hAnsi="Palatino Linotype" w:cs="Palatino Linotype"/>
        </w:rPr>
      </w:pPr>
      <w:r w:rsidRPr="00250223">
        <w:rPr>
          <w:rFonts w:ascii="Palatino Linotype" w:eastAsia="Palatino Linotype" w:hAnsi="Palatino Linotype" w:cs="Palatino Linotype"/>
          <w:b/>
        </w:rPr>
        <w:t>c)  Conducta de la Autoridad:</w:t>
      </w:r>
      <w:r w:rsidRPr="00250223">
        <w:rPr>
          <w:rFonts w:ascii="Palatino Linotype" w:eastAsia="Palatino Linotype" w:hAnsi="Palatino Linotype" w:cs="Palatino Linotype"/>
        </w:rPr>
        <w:t xml:space="preserve"> Las Acciones u omisiones realizadas en el procedimiento. Así como si la autoridad actuó con la debida diligencia.</w:t>
      </w:r>
    </w:p>
    <w:p w14:paraId="669EC881" w14:textId="77777777" w:rsidR="00100FEC" w:rsidRPr="00250223" w:rsidRDefault="00581D9C">
      <w:pPr>
        <w:tabs>
          <w:tab w:val="left" w:pos="851"/>
        </w:tabs>
        <w:spacing w:after="0" w:line="360" w:lineRule="auto"/>
        <w:ind w:left="567" w:right="560"/>
        <w:jc w:val="both"/>
        <w:rPr>
          <w:rFonts w:ascii="Palatino Linotype" w:eastAsia="Palatino Linotype" w:hAnsi="Palatino Linotype" w:cs="Palatino Linotype"/>
        </w:rPr>
      </w:pPr>
      <w:r w:rsidRPr="00250223">
        <w:rPr>
          <w:rFonts w:ascii="Palatino Linotype" w:eastAsia="Palatino Linotype" w:hAnsi="Palatino Linotype" w:cs="Palatino Linotype"/>
          <w:b/>
        </w:rPr>
        <w:t>d) La afectación generada en la situación jurídica de la persona involucrada en el proceso:</w:t>
      </w:r>
      <w:r w:rsidRPr="00250223">
        <w:rPr>
          <w:rFonts w:ascii="Palatino Linotype" w:eastAsia="Palatino Linotype" w:hAnsi="Palatino Linotype" w:cs="Palatino Linotype"/>
        </w:rPr>
        <w:t xml:space="preserve"> Violación a sus derechos humanos.</w:t>
      </w:r>
    </w:p>
    <w:p w14:paraId="747EEEE7" w14:textId="77777777" w:rsidR="00100FEC" w:rsidRPr="00250223" w:rsidRDefault="00100FEC">
      <w:pPr>
        <w:spacing w:after="0" w:line="360" w:lineRule="auto"/>
        <w:ind w:right="49"/>
        <w:jc w:val="both"/>
        <w:rPr>
          <w:rFonts w:ascii="Palatino Linotype" w:eastAsia="Palatino Linotype" w:hAnsi="Palatino Linotype" w:cs="Palatino Linotype"/>
        </w:rPr>
      </w:pPr>
    </w:p>
    <w:p w14:paraId="449FFF4A"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9119EF6" w14:textId="77777777" w:rsidR="00100FEC" w:rsidRPr="00250223" w:rsidRDefault="00100FEC">
      <w:pPr>
        <w:spacing w:after="0" w:line="360" w:lineRule="auto"/>
        <w:ind w:right="49"/>
        <w:jc w:val="both"/>
        <w:rPr>
          <w:rFonts w:ascii="Palatino Linotype" w:eastAsia="Palatino Linotype" w:hAnsi="Palatino Linotype" w:cs="Palatino Linotype"/>
        </w:rPr>
      </w:pPr>
    </w:p>
    <w:p w14:paraId="440C1E7B"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Argumento que encuentra sustento en la jurisprudencia P./J. 32/92 emitida por el Pleno de la Suprema Corte de Justicia de la Nación de rubro “</w:t>
      </w:r>
      <w:r w:rsidRPr="00250223">
        <w:rPr>
          <w:rFonts w:ascii="Palatino Linotype" w:eastAsia="Palatino Linotype" w:hAnsi="Palatino Linotype" w:cs="Palatino Linotype"/>
          <w:b/>
        </w:rPr>
        <w:t>TÉRMINOS PROCESALES. PARA DETERMINAR SI UN FUNCIONARIO JUDICIAL ACTUÓ INDEBIDAMENTE POR NO RESPETARLOS SE DEBE ATENDER AL PRESUPUESTO QUE CONSIDERÓ EL LEGISLADOR AL FIJARLOS Y LAS CARACTERÍSTICAS DEL CASO.”</w:t>
      </w:r>
      <w:r w:rsidRPr="00250223">
        <w:rPr>
          <w:rFonts w:ascii="Palatino Linotype" w:eastAsia="Palatino Linotype" w:hAnsi="Palatino Linotype" w:cs="Palatino Linotype"/>
        </w:rPr>
        <w:t>, visible en la Gaceta del Seminario Judicial de la Federación con el registro digital 205635.</w:t>
      </w:r>
    </w:p>
    <w:p w14:paraId="1FFA29BB"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 </w:t>
      </w:r>
    </w:p>
    <w:p w14:paraId="5B1FA4A1"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7FB8915" w14:textId="77777777" w:rsidR="00100FEC" w:rsidRPr="00250223" w:rsidRDefault="00100FEC">
      <w:pPr>
        <w:spacing w:after="0" w:line="360" w:lineRule="auto"/>
        <w:ind w:right="49"/>
        <w:jc w:val="both"/>
        <w:rPr>
          <w:rFonts w:ascii="Palatino Linotype" w:eastAsia="Palatino Linotype" w:hAnsi="Palatino Linotype" w:cs="Palatino Linotype"/>
        </w:rPr>
      </w:pPr>
    </w:p>
    <w:p w14:paraId="37C6C73E"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FD65C7B" w14:textId="77777777" w:rsidR="00100FEC" w:rsidRPr="00250223" w:rsidRDefault="00100FEC">
      <w:pPr>
        <w:spacing w:after="0" w:line="360" w:lineRule="auto"/>
        <w:ind w:right="49"/>
        <w:jc w:val="both"/>
        <w:rPr>
          <w:rFonts w:ascii="Palatino Linotype" w:eastAsia="Palatino Linotype" w:hAnsi="Palatino Linotype" w:cs="Palatino Linotype"/>
        </w:rPr>
      </w:pPr>
    </w:p>
    <w:p w14:paraId="3DA6B50C" w14:textId="77777777" w:rsidR="00100FEC" w:rsidRPr="00250223" w:rsidRDefault="00581D9C">
      <w:pPr>
        <w:spacing w:after="0" w:line="360" w:lineRule="auto"/>
        <w:ind w:left="567" w:right="560"/>
        <w:jc w:val="both"/>
        <w:rPr>
          <w:rFonts w:ascii="Palatino Linotype" w:eastAsia="Palatino Linotype" w:hAnsi="Palatino Linotype" w:cs="Palatino Linotype"/>
        </w:rPr>
      </w:pPr>
      <w:r w:rsidRPr="00250223">
        <w:rPr>
          <w:rFonts w:ascii="Palatino Linotype" w:eastAsia="Palatino Linotype" w:hAnsi="Palatino Linotype" w:cs="Palatino Linotype"/>
          <w:b/>
        </w:rPr>
        <w:t xml:space="preserve"> “PLAZO RAZONABLE PARA RESOLVER. DIMENSIÓN Y EFECTOS DE ESTE CONCEPTO CUANDO SE ADUCE EXCESIVA CARGA DE TRABAJO.”</w:t>
      </w:r>
      <w:r w:rsidRPr="00250223">
        <w:rPr>
          <w:rFonts w:ascii="Palatino Linotype" w:eastAsia="Palatino Linotype" w:hAnsi="Palatino Linotype" w:cs="Palatino Linotype"/>
        </w:rPr>
        <w:t xml:space="preserve"> consultable en el Seminario Judicial de la Federación y su gaceta, con el registro digital 2002351.</w:t>
      </w:r>
    </w:p>
    <w:p w14:paraId="3F7C6972" w14:textId="77777777" w:rsidR="00100FEC" w:rsidRPr="00250223" w:rsidRDefault="00581D9C">
      <w:pPr>
        <w:spacing w:after="0" w:line="360" w:lineRule="auto"/>
        <w:ind w:left="567" w:right="560"/>
        <w:jc w:val="both"/>
        <w:rPr>
          <w:rFonts w:ascii="Palatino Linotype" w:eastAsia="Palatino Linotype" w:hAnsi="Palatino Linotype" w:cs="Palatino Linotype"/>
        </w:rPr>
      </w:pPr>
      <w:r w:rsidRPr="00250223">
        <w:rPr>
          <w:rFonts w:ascii="Palatino Linotype" w:eastAsia="Palatino Linotype" w:hAnsi="Palatino Linotype" w:cs="Palatino Linotype"/>
          <w:b/>
        </w:rPr>
        <w:t>“PLAZO RAZONABLE PARA RESOLVER. CONCEPTO Y ELEMENTOS QUE LO INTEGRAN A LA LUZ DEL DERECHO INTERNACIONAL DE LOS DERECHOS HUMANOS.”,</w:t>
      </w:r>
      <w:r w:rsidRPr="00250223">
        <w:rPr>
          <w:rFonts w:ascii="Palatino Linotype" w:eastAsia="Palatino Linotype" w:hAnsi="Palatino Linotype" w:cs="Palatino Linotype"/>
        </w:rPr>
        <w:t xml:space="preserve"> visible en el Seminario Judicial de la Federación y su gaceta, con el registro digital 2002350.</w:t>
      </w:r>
    </w:p>
    <w:p w14:paraId="22E61D52" w14:textId="77777777" w:rsidR="00100FEC" w:rsidRPr="00250223" w:rsidRDefault="00100FEC">
      <w:pPr>
        <w:spacing w:after="0" w:line="360" w:lineRule="auto"/>
        <w:ind w:left="567" w:right="560"/>
        <w:jc w:val="both"/>
        <w:rPr>
          <w:rFonts w:ascii="Palatino Linotype" w:eastAsia="Palatino Linotype" w:hAnsi="Palatino Linotype" w:cs="Palatino Linotype"/>
        </w:rPr>
      </w:pPr>
    </w:p>
    <w:p w14:paraId="70FFA3A2" w14:textId="77777777" w:rsidR="00100FEC" w:rsidRPr="00250223" w:rsidRDefault="00581D9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Por ello, este organismo garante comprometido con la tutela de los derechos humanos confiados señala que este exceso del plazo legal para resolver el presente asunto resulta de carácter excepcional. </w:t>
      </w:r>
    </w:p>
    <w:p w14:paraId="1A357DAF" w14:textId="77777777" w:rsidR="00100FEC" w:rsidRPr="00250223" w:rsidRDefault="00100FE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123518F" w14:textId="77777777" w:rsidR="00100FEC" w:rsidRPr="00250223" w:rsidRDefault="00581D9C">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250223">
        <w:rPr>
          <w:rFonts w:ascii="Palatino Linotype" w:eastAsia="Palatino Linotype" w:hAnsi="Palatino Linotype" w:cs="Palatino Linotype"/>
          <w:b/>
        </w:rPr>
        <w:t>Cierre de instrucción</w:t>
      </w:r>
      <w:r w:rsidRPr="00250223">
        <w:rPr>
          <w:rFonts w:ascii="Palatino Linotype" w:eastAsia="Palatino Linotype" w:hAnsi="Palatino Linotype" w:cs="Palatino Linotype"/>
        </w:rPr>
        <w:t xml:space="preserve">. En fecha </w:t>
      </w:r>
      <w:r w:rsidRPr="00250223">
        <w:rPr>
          <w:rFonts w:ascii="Palatino Linotype" w:eastAsia="Palatino Linotype" w:hAnsi="Palatino Linotype" w:cs="Palatino Linotype"/>
          <w:b/>
        </w:rPr>
        <w:t>catorce de octubre de dos mil veinticinco</w:t>
      </w:r>
      <w:r w:rsidRPr="00250223">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12FC8A28" w14:textId="77777777" w:rsidR="00100FEC" w:rsidRPr="00250223" w:rsidRDefault="00100FE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D4CE4A3"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09EC45B1" w14:textId="77777777" w:rsidR="00100FEC" w:rsidRPr="00250223" w:rsidRDefault="00100FEC">
      <w:pPr>
        <w:spacing w:after="0" w:line="360" w:lineRule="auto"/>
        <w:ind w:right="49"/>
        <w:jc w:val="both"/>
        <w:rPr>
          <w:rFonts w:ascii="Palatino Linotype" w:eastAsia="Palatino Linotype" w:hAnsi="Palatino Linotype" w:cs="Palatino Linotype"/>
        </w:rPr>
      </w:pPr>
    </w:p>
    <w:p w14:paraId="483A502C" w14:textId="77777777" w:rsidR="00100FEC" w:rsidRPr="00250223" w:rsidRDefault="00581D9C">
      <w:pPr>
        <w:spacing w:after="0" w:line="360" w:lineRule="auto"/>
        <w:ind w:right="49"/>
        <w:jc w:val="center"/>
        <w:rPr>
          <w:rFonts w:ascii="Palatino Linotype" w:eastAsia="Palatino Linotype" w:hAnsi="Palatino Linotype" w:cs="Palatino Linotype"/>
          <w:b/>
        </w:rPr>
      </w:pPr>
      <w:r w:rsidRPr="00250223">
        <w:rPr>
          <w:rFonts w:ascii="Palatino Linotype" w:eastAsia="Palatino Linotype" w:hAnsi="Palatino Linotype" w:cs="Palatino Linotype"/>
          <w:b/>
        </w:rPr>
        <w:t>II.</w:t>
      </w:r>
      <w:r w:rsidRPr="00250223">
        <w:rPr>
          <w:rFonts w:ascii="Palatino Linotype" w:eastAsia="Palatino Linotype" w:hAnsi="Palatino Linotype" w:cs="Palatino Linotype"/>
          <w:b/>
        </w:rPr>
        <w:tab/>
        <w:t>C O N S I D E R A N D O:</w:t>
      </w:r>
    </w:p>
    <w:p w14:paraId="00227CA8" w14:textId="77777777" w:rsidR="00100FEC" w:rsidRPr="00250223" w:rsidRDefault="00100FEC">
      <w:pPr>
        <w:spacing w:after="0" w:line="360" w:lineRule="auto"/>
        <w:ind w:right="49"/>
        <w:jc w:val="both"/>
        <w:rPr>
          <w:rFonts w:ascii="Palatino Linotype" w:eastAsia="Palatino Linotype" w:hAnsi="Palatino Linotype" w:cs="Palatino Linotype"/>
        </w:rPr>
      </w:pPr>
    </w:p>
    <w:p w14:paraId="4614F63F"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b/>
        </w:rPr>
        <w:t xml:space="preserve">Primero. Competencia. </w:t>
      </w:r>
      <w:r w:rsidRPr="00250223">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D37B817" w14:textId="77777777" w:rsidR="00100FEC" w:rsidRPr="00250223" w:rsidRDefault="00100FEC">
      <w:pPr>
        <w:spacing w:after="0" w:line="360" w:lineRule="auto"/>
        <w:ind w:right="49"/>
        <w:jc w:val="both"/>
        <w:rPr>
          <w:rFonts w:ascii="Palatino Linotype" w:eastAsia="Palatino Linotype" w:hAnsi="Palatino Linotype" w:cs="Palatino Linotype"/>
        </w:rPr>
      </w:pPr>
    </w:p>
    <w:p w14:paraId="4D9E0D1E"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b/>
        </w:rPr>
        <w:t xml:space="preserve">Segundo. Oportunidad y </w:t>
      </w:r>
      <w:proofErr w:type="spellStart"/>
      <w:r w:rsidRPr="00250223">
        <w:rPr>
          <w:rFonts w:ascii="Palatino Linotype" w:eastAsia="Palatino Linotype" w:hAnsi="Palatino Linotype" w:cs="Palatino Linotype"/>
          <w:b/>
        </w:rPr>
        <w:t>Procedibilidad</w:t>
      </w:r>
      <w:proofErr w:type="spellEnd"/>
      <w:r w:rsidRPr="00250223">
        <w:rPr>
          <w:rFonts w:ascii="Palatino Linotype" w:eastAsia="Palatino Linotype" w:hAnsi="Palatino Linotype" w:cs="Palatino Linotype"/>
          <w:b/>
        </w:rPr>
        <w:t xml:space="preserve"> del Recurso de Revisión.</w:t>
      </w:r>
      <w:r w:rsidRPr="00250223">
        <w:rPr>
          <w:rFonts w:ascii="Palatino Linotype" w:eastAsia="Palatino Linotype" w:hAnsi="Palatino Linotype" w:cs="Palatino Linotype"/>
        </w:rPr>
        <w:t xml:space="preserve"> Previo al estudio del fondo del asunto, se procede a analizar los requisitos de oportunidad y </w:t>
      </w:r>
      <w:proofErr w:type="spellStart"/>
      <w:r w:rsidRPr="00250223">
        <w:rPr>
          <w:rFonts w:ascii="Palatino Linotype" w:eastAsia="Palatino Linotype" w:hAnsi="Palatino Linotype" w:cs="Palatino Linotype"/>
        </w:rPr>
        <w:t>procedibilidad</w:t>
      </w:r>
      <w:proofErr w:type="spellEnd"/>
      <w:r w:rsidRPr="00250223">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w:t>
      </w:r>
    </w:p>
    <w:p w14:paraId="436A0BAB" w14:textId="77777777" w:rsidR="00100FEC" w:rsidRPr="00250223" w:rsidRDefault="00100FEC">
      <w:pPr>
        <w:spacing w:after="0" w:line="360" w:lineRule="auto"/>
        <w:ind w:right="49"/>
        <w:jc w:val="both"/>
        <w:rPr>
          <w:rFonts w:ascii="Palatino Linotype" w:eastAsia="Palatino Linotype" w:hAnsi="Palatino Linotype" w:cs="Palatino Linotype"/>
        </w:rPr>
      </w:pPr>
    </w:p>
    <w:p w14:paraId="564E7BCE"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250223">
        <w:rPr>
          <w:rFonts w:ascii="Palatino Linotype" w:eastAsia="Palatino Linotype" w:hAnsi="Palatino Linotype" w:cs="Palatino Linotype"/>
          <w:b/>
        </w:rPr>
        <w:t>SUJETO OBLIGADO</w:t>
      </w:r>
      <w:r w:rsidRPr="00250223">
        <w:rPr>
          <w:rFonts w:ascii="Palatino Linotype" w:eastAsia="Palatino Linotype" w:hAnsi="Palatino Linotype" w:cs="Palatino Linotype"/>
        </w:rPr>
        <w:t xml:space="preserve"> remitió la respuesta a la solicitud de información el </w:t>
      </w:r>
      <w:r w:rsidRPr="00250223">
        <w:rPr>
          <w:rFonts w:ascii="Palatino Linotype" w:eastAsia="Palatino Linotype" w:hAnsi="Palatino Linotype" w:cs="Palatino Linotype"/>
          <w:b/>
        </w:rPr>
        <w:t>veintisiete de mayo de dos mil veinticinco</w:t>
      </w:r>
      <w:r w:rsidRPr="00250223">
        <w:rPr>
          <w:rFonts w:ascii="Palatino Linotype" w:eastAsia="Palatino Linotype" w:hAnsi="Palatino Linotype" w:cs="Palatino Linotype"/>
        </w:rPr>
        <w:t xml:space="preserve">, mientras que el recurso de revisión interpuesto por la parte </w:t>
      </w:r>
      <w:r w:rsidRPr="00250223">
        <w:rPr>
          <w:rFonts w:ascii="Palatino Linotype" w:eastAsia="Palatino Linotype" w:hAnsi="Palatino Linotype" w:cs="Palatino Linotype"/>
          <w:b/>
        </w:rPr>
        <w:t xml:space="preserve">RECURRENTE </w:t>
      </w:r>
      <w:r w:rsidRPr="00250223">
        <w:rPr>
          <w:rFonts w:ascii="Palatino Linotype" w:eastAsia="Palatino Linotype" w:hAnsi="Palatino Linotype" w:cs="Palatino Linotype"/>
        </w:rPr>
        <w:t xml:space="preserve">se tuvo por presentado </w:t>
      </w:r>
      <w:r w:rsidRPr="00250223">
        <w:rPr>
          <w:rFonts w:ascii="Palatino Linotype" w:eastAsia="Palatino Linotype" w:hAnsi="Palatino Linotype" w:cs="Palatino Linotype"/>
          <w:b/>
        </w:rPr>
        <w:t>treinta de mayo de dos mil veinticinco</w:t>
      </w:r>
      <w:r w:rsidRPr="00250223">
        <w:rPr>
          <w:rFonts w:ascii="Palatino Linotype" w:eastAsia="Palatino Linotype" w:hAnsi="Palatino Linotype" w:cs="Palatino Linotype"/>
        </w:rPr>
        <w:t xml:space="preserve">, esto es al tercer día siguiente en que se tuvo conocimiento de la respuesta. </w:t>
      </w:r>
    </w:p>
    <w:p w14:paraId="1BF08221" w14:textId="77777777" w:rsidR="00100FEC" w:rsidRPr="00250223" w:rsidRDefault="00100FEC">
      <w:pPr>
        <w:spacing w:after="0" w:line="360" w:lineRule="auto"/>
        <w:ind w:right="49"/>
        <w:jc w:val="both"/>
        <w:rPr>
          <w:rFonts w:ascii="Palatino Linotype" w:eastAsia="Palatino Linotype" w:hAnsi="Palatino Linotype" w:cs="Palatino Linotype"/>
        </w:rPr>
      </w:pPr>
    </w:p>
    <w:p w14:paraId="74BCDBDD"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250223">
        <w:rPr>
          <w:rFonts w:ascii="Palatino Linotype" w:eastAsia="Palatino Linotype" w:hAnsi="Palatino Linotype" w:cs="Palatino Linotype"/>
          <w:b/>
        </w:rPr>
        <w:t>SAIMEX</w:t>
      </w:r>
      <w:r w:rsidRPr="00250223">
        <w:rPr>
          <w:rFonts w:ascii="Palatino Linotype" w:eastAsia="Palatino Linotype" w:hAnsi="Palatino Linotype" w:cs="Palatino Linotype"/>
        </w:rPr>
        <w:t xml:space="preserve">.  </w:t>
      </w:r>
    </w:p>
    <w:p w14:paraId="0C4BB01D" w14:textId="77777777" w:rsidR="00100FEC" w:rsidRPr="00250223" w:rsidRDefault="00100FEC">
      <w:pPr>
        <w:spacing w:after="0" w:line="360" w:lineRule="auto"/>
        <w:ind w:right="49"/>
        <w:jc w:val="both"/>
        <w:rPr>
          <w:rFonts w:ascii="Palatino Linotype" w:eastAsia="Palatino Linotype" w:hAnsi="Palatino Linotype" w:cs="Palatino Linotype"/>
        </w:rPr>
      </w:pPr>
    </w:p>
    <w:p w14:paraId="4EB001B4"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Finalmente, resulta procedente la interposición del recurso de revisión al rubro anotado, toda vez que se actualiza la hipótesis de procedencia prevista en el artículo 179, fracción IX de la Ley de la materia, que a la letra dice:</w:t>
      </w:r>
    </w:p>
    <w:p w14:paraId="513E46EF" w14:textId="77777777" w:rsidR="00100FEC" w:rsidRPr="00250223" w:rsidRDefault="00100FEC">
      <w:pPr>
        <w:spacing w:after="0" w:line="360" w:lineRule="auto"/>
        <w:ind w:right="49"/>
        <w:jc w:val="both"/>
        <w:rPr>
          <w:rFonts w:ascii="Palatino Linotype" w:eastAsia="Palatino Linotype" w:hAnsi="Palatino Linotype" w:cs="Palatino Linotype"/>
        </w:rPr>
      </w:pPr>
    </w:p>
    <w:p w14:paraId="5D3411EB" w14:textId="77777777" w:rsidR="00100FEC" w:rsidRPr="00250223" w:rsidRDefault="00581D9C">
      <w:pPr>
        <w:spacing w:after="0" w:line="276" w:lineRule="auto"/>
        <w:ind w:left="567" w:right="560"/>
        <w:jc w:val="both"/>
        <w:rPr>
          <w:rFonts w:ascii="Palatino Linotype" w:eastAsia="Palatino Linotype" w:hAnsi="Palatino Linotype" w:cs="Palatino Linotype"/>
          <w:i/>
        </w:rPr>
      </w:pPr>
      <w:r w:rsidRPr="00250223">
        <w:rPr>
          <w:rFonts w:ascii="Palatino Linotype" w:eastAsia="Palatino Linotype" w:hAnsi="Palatino Linotype" w:cs="Palatino Linotype"/>
          <w:i/>
        </w:rPr>
        <w:t>“</w:t>
      </w:r>
      <w:r w:rsidRPr="00250223">
        <w:rPr>
          <w:rFonts w:ascii="Palatino Linotype" w:eastAsia="Palatino Linotype" w:hAnsi="Palatino Linotype" w:cs="Palatino Linotype"/>
          <w:b/>
          <w:i/>
        </w:rPr>
        <w:t>Artículo 179.</w:t>
      </w:r>
      <w:r w:rsidRPr="00250223">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31A04F12" w14:textId="77777777" w:rsidR="00100FEC" w:rsidRPr="00250223" w:rsidRDefault="00581D9C">
      <w:pPr>
        <w:spacing w:after="0" w:line="276" w:lineRule="auto"/>
        <w:ind w:left="567" w:right="560"/>
        <w:jc w:val="both"/>
        <w:rPr>
          <w:rFonts w:ascii="Palatino Linotype" w:eastAsia="Palatino Linotype" w:hAnsi="Palatino Linotype" w:cs="Palatino Linotype"/>
          <w:i/>
        </w:rPr>
      </w:pPr>
      <w:r w:rsidRPr="00250223">
        <w:rPr>
          <w:rFonts w:ascii="Palatino Linotype" w:eastAsia="Palatino Linotype" w:hAnsi="Palatino Linotype" w:cs="Palatino Linotype"/>
          <w:i/>
        </w:rPr>
        <w:t>…</w:t>
      </w:r>
    </w:p>
    <w:p w14:paraId="6E063230" w14:textId="77777777" w:rsidR="00100FEC" w:rsidRPr="00250223" w:rsidRDefault="00581D9C">
      <w:pPr>
        <w:spacing w:after="0" w:line="276" w:lineRule="auto"/>
        <w:ind w:left="567" w:right="560"/>
        <w:jc w:val="both"/>
        <w:rPr>
          <w:rFonts w:ascii="Palatino Linotype" w:eastAsia="Palatino Linotype" w:hAnsi="Palatino Linotype" w:cs="Palatino Linotype"/>
          <w:i/>
        </w:rPr>
      </w:pPr>
      <w:r w:rsidRPr="00250223">
        <w:rPr>
          <w:rFonts w:ascii="Palatino Linotype" w:eastAsia="Palatino Linotype" w:hAnsi="Palatino Linotype" w:cs="Palatino Linotype"/>
          <w:i/>
        </w:rPr>
        <w:t>IX. La entrega o puesta a disposición de información en un formato incomprensible y/o no accesible para el solicitante;</w:t>
      </w:r>
    </w:p>
    <w:p w14:paraId="7EC054AB" w14:textId="77777777" w:rsidR="00100FEC" w:rsidRPr="00250223" w:rsidRDefault="00581D9C">
      <w:pPr>
        <w:spacing w:after="0" w:line="276" w:lineRule="auto"/>
        <w:ind w:left="567" w:right="560"/>
        <w:jc w:val="both"/>
        <w:rPr>
          <w:rFonts w:ascii="Palatino Linotype" w:eastAsia="Palatino Linotype" w:hAnsi="Palatino Linotype" w:cs="Palatino Linotype"/>
          <w:i/>
        </w:rPr>
      </w:pPr>
      <w:r w:rsidRPr="00250223">
        <w:rPr>
          <w:rFonts w:ascii="Palatino Linotype" w:eastAsia="Palatino Linotype" w:hAnsi="Palatino Linotype" w:cs="Palatino Linotype"/>
          <w:i/>
        </w:rPr>
        <w:t>…</w:t>
      </w:r>
    </w:p>
    <w:p w14:paraId="337D206E" w14:textId="77777777" w:rsidR="00100FEC" w:rsidRPr="00250223" w:rsidRDefault="00581D9C">
      <w:pPr>
        <w:pBdr>
          <w:top w:val="nil"/>
          <w:left w:val="nil"/>
          <w:bottom w:val="nil"/>
          <w:right w:val="nil"/>
          <w:between w:val="nil"/>
        </w:pBdr>
        <w:spacing w:before="240" w:after="24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b/>
        </w:rPr>
        <w:t>Tercero. Análisis de las causales de improcedencia y sobreseimiento del recurso de revisión.</w:t>
      </w:r>
      <w:r w:rsidRPr="00250223">
        <w:rPr>
          <w:rFonts w:ascii="Times New Roman" w:eastAsia="Times New Roman" w:hAnsi="Times New Roman" w:cs="Times New Roman"/>
        </w:rPr>
        <w:t xml:space="preserve"> </w:t>
      </w:r>
      <w:r w:rsidRPr="00250223">
        <w:rPr>
          <w:rFonts w:ascii="Palatino Linotype" w:eastAsia="Palatino Linotype" w:hAnsi="Palatino Linotype" w:cs="Palatino Linotype"/>
        </w:rPr>
        <w:t xml:space="preserve">Es menester resaltar que en el procedimiento de acceso a la información pública y de los medios de impugnación de la materia, se advierten diversos supuestos de </w:t>
      </w:r>
      <w:proofErr w:type="spellStart"/>
      <w:r w:rsidRPr="00250223">
        <w:rPr>
          <w:rFonts w:ascii="Palatino Linotype" w:eastAsia="Palatino Linotype" w:hAnsi="Palatino Linotype" w:cs="Palatino Linotype"/>
        </w:rPr>
        <w:t>procedibilidad</w:t>
      </w:r>
      <w:proofErr w:type="spellEnd"/>
      <w:r w:rsidRPr="00250223">
        <w:rPr>
          <w:rFonts w:ascii="Palatino Linotype" w:eastAsia="Palatino Linotype" w:hAnsi="Palatino Linotype" w:cs="Palatino Linotype"/>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251DC9F" w14:textId="77777777" w:rsidR="00100FEC" w:rsidRPr="00250223" w:rsidRDefault="00581D9C">
      <w:pPr>
        <w:spacing w:after="0" w:line="360" w:lineRule="auto"/>
        <w:jc w:val="both"/>
        <w:rPr>
          <w:rFonts w:ascii="Times New Roman" w:eastAsia="Times New Roman" w:hAnsi="Times New Roman" w:cs="Times New Roman"/>
          <w:sz w:val="24"/>
          <w:szCs w:val="24"/>
        </w:rPr>
      </w:pPr>
      <w:r w:rsidRPr="00250223">
        <w:rPr>
          <w:rFonts w:ascii="Times New Roman" w:eastAsia="Times New Roman" w:hAnsi="Times New Roman" w:cs="Times New Roman"/>
        </w:rPr>
        <w:tab/>
      </w:r>
    </w:p>
    <w:p w14:paraId="7989B698" w14:textId="77777777" w:rsidR="00100FEC" w:rsidRPr="00250223" w:rsidRDefault="00581D9C">
      <w:pPr>
        <w:spacing w:after="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p>
    <w:p w14:paraId="332EE892" w14:textId="77777777" w:rsidR="00100FEC" w:rsidRPr="00250223" w:rsidRDefault="00100FEC">
      <w:pPr>
        <w:spacing w:after="0" w:line="360" w:lineRule="auto"/>
        <w:rPr>
          <w:rFonts w:ascii="Times New Roman" w:eastAsia="Times New Roman" w:hAnsi="Times New Roman" w:cs="Times New Roman"/>
          <w:sz w:val="24"/>
          <w:szCs w:val="24"/>
        </w:rPr>
      </w:pPr>
    </w:p>
    <w:p w14:paraId="299CEC8D" w14:textId="77777777" w:rsidR="00100FEC" w:rsidRPr="00250223" w:rsidRDefault="00581D9C">
      <w:pPr>
        <w:spacing w:after="0" w:line="360" w:lineRule="auto"/>
        <w:ind w:right="51"/>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De manera preliminar en el caso concreto conviene analizar si se actualiza alguna de las causales de sobreseimiento del recurso de revisión.</w:t>
      </w:r>
    </w:p>
    <w:p w14:paraId="042BA9F4" w14:textId="77777777" w:rsidR="00100FEC" w:rsidRPr="00250223" w:rsidRDefault="00100FEC">
      <w:pPr>
        <w:spacing w:after="0" w:line="360" w:lineRule="auto"/>
        <w:rPr>
          <w:rFonts w:ascii="Times New Roman" w:eastAsia="Times New Roman" w:hAnsi="Times New Roman" w:cs="Times New Roman"/>
          <w:sz w:val="24"/>
          <w:szCs w:val="24"/>
        </w:rPr>
      </w:pPr>
    </w:p>
    <w:p w14:paraId="1A23A91E" w14:textId="77777777" w:rsidR="00100FEC" w:rsidRPr="00250223" w:rsidRDefault="00581D9C">
      <w:pPr>
        <w:spacing w:after="24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Del análisis de la solicitud de información motivo del recurso de revisión que ahora se resuelve, se advierte que el particular requirió a la Secretaría General de Gobierno: </w:t>
      </w:r>
    </w:p>
    <w:p w14:paraId="651BB591" w14:textId="77777777" w:rsidR="00100FEC" w:rsidRPr="00250223" w:rsidRDefault="00581D9C">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i/>
        </w:rPr>
        <w:t xml:space="preserve">Mapa topográfico de la ciudad de Toluca. </w:t>
      </w:r>
    </w:p>
    <w:p w14:paraId="73117B6D" w14:textId="77777777" w:rsidR="00100FEC" w:rsidRPr="00250223" w:rsidRDefault="00581D9C">
      <w:pPr>
        <w:numPr>
          <w:ilvl w:val="0"/>
          <w:numId w:val="3"/>
        </w:numPr>
        <w:pBdr>
          <w:top w:val="nil"/>
          <w:left w:val="nil"/>
          <w:bottom w:val="nil"/>
          <w:right w:val="nil"/>
          <w:between w:val="nil"/>
        </w:pBdr>
        <w:spacing w:after="24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i/>
        </w:rPr>
        <w:t xml:space="preserve">Zonas de mayor actividad sísmica en la ciudad de </w:t>
      </w:r>
      <w:proofErr w:type="gramStart"/>
      <w:r w:rsidRPr="00250223">
        <w:rPr>
          <w:rFonts w:ascii="Palatino Linotype" w:eastAsia="Palatino Linotype" w:hAnsi="Palatino Linotype" w:cs="Palatino Linotype"/>
          <w:i/>
        </w:rPr>
        <w:t>Toluca  y</w:t>
      </w:r>
      <w:proofErr w:type="gramEnd"/>
      <w:r w:rsidRPr="00250223">
        <w:rPr>
          <w:rFonts w:ascii="Palatino Linotype" w:eastAsia="Palatino Linotype" w:hAnsi="Palatino Linotype" w:cs="Palatino Linotype"/>
          <w:i/>
        </w:rPr>
        <w:t xml:space="preserve"> </w:t>
      </w:r>
      <w:proofErr w:type="spellStart"/>
      <w:r w:rsidRPr="00250223">
        <w:rPr>
          <w:rFonts w:ascii="Palatino Linotype" w:eastAsia="Palatino Linotype" w:hAnsi="Palatino Linotype" w:cs="Palatino Linotype"/>
          <w:i/>
        </w:rPr>
        <w:t>areas</w:t>
      </w:r>
      <w:proofErr w:type="spellEnd"/>
      <w:r w:rsidRPr="00250223">
        <w:rPr>
          <w:rFonts w:ascii="Palatino Linotype" w:eastAsia="Palatino Linotype" w:hAnsi="Palatino Linotype" w:cs="Palatino Linotype"/>
          <w:i/>
        </w:rPr>
        <w:t xml:space="preserve"> que no son susceptibles de construcción de edificios</w:t>
      </w:r>
    </w:p>
    <w:p w14:paraId="00B8F931" w14:textId="77777777" w:rsidR="00100FEC" w:rsidRPr="00250223" w:rsidRDefault="00581D9C">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Al respecto el Servidor Público Habilitado de la Subdirección de Riegos, de la Dirección General de Gestión de Riesgos de la Coordinación General de Protección Civil y Gestión Integral de Riesgo refirió que después de realizar una búsqueda exhaustiva y minuciosa en los archivos de la Subdirección de Atlas de Riesgo, por lo que en aras de preservar el principio de máxima publicidad y en apego a la normatividad establecida en materia de transparencia, adjunta la liga electrónica donde podrá consultar la información solicitada (la liga electrónica es remitida en formato cerrado). </w:t>
      </w:r>
    </w:p>
    <w:p w14:paraId="533C7230" w14:textId="77777777" w:rsidR="00100FEC" w:rsidRPr="00250223" w:rsidRDefault="00581D9C">
      <w:pPr>
        <w:pBdr>
          <w:top w:val="nil"/>
          <w:left w:val="nil"/>
          <w:bottom w:val="nil"/>
          <w:right w:val="nil"/>
          <w:between w:val="nil"/>
        </w:pBdr>
        <w:spacing w:after="0" w:line="276" w:lineRule="auto"/>
        <w:ind w:right="843"/>
        <w:jc w:val="both"/>
        <w:rPr>
          <w:rFonts w:ascii="Palatino Linotype" w:eastAsia="Palatino Linotype" w:hAnsi="Palatino Linotype" w:cs="Palatino Linotype"/>
        </w:rPr>
      </w:pPr>
      <w:r w:rsidRPr="00250223">
        <w:rPr>
          <w:rFonts w:ascii="Palatino Linotype" w:eastAsia="Palatino Linotype" w:hAnsi="Palatino Linotype" w:cs="Palatino Linotype"/>
          <w:noProof/>
        </w:rPr>
        <w:drawing>
          <wp:inline distT="0" distB="0" distL="0" distR="0" wp14:anchorId="1710CAA2" wp14:editId="7A3A6816">
            <wp:extent cx="5756275" cy="1824990"/>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56275" cy="1824990"/>
                    </a:xfrm>
                    <a:prstGeom prst="rect">
                      <a:avLst/>
                    </a:prstGeom>
                    <a:ln/>
                  </pic:spPr>
                </pic:pic>
              </a:graphicData>
            </a:graphic>
          </wp:inline>
        </w:drawing>
      </w:r>
    </w:p>
    <w:p w14:paraId="50F58DC7" w14:textId="77777777" w:rsidR="00100FEC" w:rsidRPr="00250223" w:rsidRDefault="00100FEC">
      <w:pPr>
        <w:pBdr>
          <w:top w:val="nil"/>
          <w:left w:val="nil"/>
          <w:bottom w:val="nil"/>
          <w:right w:val="nil"/>
          <w:between w:val="nil"/>
        </w:pBdr>
        <w:spacing w:after="0" w:line="276" w:lineRule="auto"/>
        <w:ind w:right="843"/>
        <w:jc w:val="both"/>
        <w:rPr>
          <w:rFonts w:ascii="Palatino Linotype" w:eastAsia="Palatino Linotype" w:hAnsi="Palatino Linotype" w:cs="Palatino Linotype"/>
        </w:rPr>
      </w:pPr>
    </w:p>
    <w:p w14:paraId="774CF7A3" w14:textId="77777777" w:rsidR="00100FEC" w:rsidRPr="00250223" w:rsidRDefault="00581D9C">
      <w:pPr>
        <w:spacing w:after="0" w:line="360" w:lineRule="auto"/>
        <w:ind w:right="49"/>
        <w:jc w:val="both"/>
        <w:rPr>
          <w:rFonts w:ascii="Palatino Linotype" w:eastAsia="Palatino Linotype" w:hAnsi="Palatino Linotype" w:cs="Palatino Linotype"/>
          <w:i/>
        </w:rPr>
      </w:pPr>
      <w:r w:rsidRPr="00250223">
        <w:rPr>
          <w:rFonts w:ascii="Palatino Linotype" w:eastAsia="Palatino Linotype" w:hAnsi="Palatino Linotype" w:cs="Palatino Linotype"/>
        </w:rPr>
        <w:t xml:space="preserve">Derivado de ello, la parte Recurrente se inconformó manifestando como acto impugnado </w:t>
      </w:r>
      <w:r w:rsidRPr="00250223">
        <w:rPr>
          <w:rFonts w:ascii="Palatino Linotype" w:eastAsia="Palatino Linotype" w:hAnsi="Palatino Linotype" w:cs="Palatino Linotype"/>
          <w:i/>
        </w:rPr>
        <w:t xml:space="preserve">“De acuerdo a la amable respuesta el link que se respondió, no lleva a ninguna </w:t>
      </w:r>
      <w:proofErr w:type="spellStart"/>
      <w:r w:rsidRPr="00250223">
        <w:rPr>
          <w:rFonts w:ascii="Palatino Linotype" w:eastAsia="Palatino Linotype" w:hAnsi="Palatino Linotype" w:cs="Palatino Linotype"/>
          <w:i/>
        </w:rPr>
        <w:t>pagina</w:t>
      </w:r>
      <w:proofErr w:type="spellEnd"/>
      <w:r w:rsidRPr="00250223">
        <w:rPr>
          <w:rFonts w:ascii="Palatino Linotype" w:eastAsia="Palatino Linotype" w:hAnsi="Palatino Linotype" w:cs="Palatino Linotype"/>
          <w:i/>
        </w:rPr>
        <w:t xml:space="preserve"> y la información no me ha sido entregada” </w:t>
      </w:r>
      <w:r w:rsidRPr="00250223">
        <w:rPr>
          <w:rFonts w:ascii="Palatino Linotype" w:eastAsia="Palatino Linotype" w:hAnsi="Palatino Linotype" w:cs="Palatino Linotype"/>
        </w:rPr>
        <w:t xml:space="preserve">y como razones o motivos de inconformidad </w:t>
      </w:r>
      <w:r w:rsidRPr="00250223">
        <w:rPr>
          <w:rFonts w:ascii="Palatino Linotype" w:eastAsia="Palatino Linotype" w:hAnsi="Palatino Linotype" w:cs="Palatino Linotype"/>
          <w:i/>
        </w:rPr>
        <w:t>“el link se presume no es el correcto”.</w:t>
      </w:r>
    </w:p>
    <w:p w14:paraId="5EC51B14" w14:textId="77777777" w:rsidR="00100FEC" w:rsidRPr="00250223" w:rsidRDefault="00581D9C">
      <w:pPr>
        <w:spacing w:before="240" w:after="24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Por su parte, el Sujeto Obligado, a través del informe justificado ratifica la respuesta inicial, insertando nuevamente la dirección electrónica, proporcionada en respuesta, y señalando las indicaciones para la consulta de la información. </w:t>
      </w:r>
    </w:p>
    <w:p w14:paraId="4AACB9A3" w14:textId="20E585AC" w:rsidR="00100FEC" w:rsidRPr="00250223" w:rsidRDefault="00581D9C">
      <w:pPr>
        <w:spacing w:before="240" w:after="24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Asimismo, señaló que el vínculo remitido en respuesta continúa vigente, y detalla la información contenida en dicho vínculo electrónico, consistente en mapas de inundaciones, zona de </w:t>
      </w:r>
      <w:proofErr w:type="spellStart"/>
      <w:r w:rsidRPr="00250223">
        <w:rPr>
          <w:rFonts w:ascii="Palatino Linotype" w:eastAsia="Palatino Linotype" w:hAnsi="Palatino Linotype" w:cs="Palatino Linotype"/>
        </w:rPr>
        <w:t>fracturamiento</w:t>
      </w:r>
      <w:proofErr w:type="spellEnd"/>
      <w:r w:rsidRPr="00250223">
        <w:rPr>
          <w:rFonts w:ascii="Palatino Linotype" w:eastAsia="Palatino Linotype" w:hAnsi="Palatino Linotype" w:cs="Palatino Linotype"/>
        </w:rPr>
        <w:t xml:space="preserve"> y susceptibilidad sísmica, susceptibilidad a deslizamientos de ladera y topográfico del Municipio de Toluca. De igual forma señala que en aras de privilegiar el principio de máxima publicidad también se comparte el link donde se puede visualizar el atlas de riesgo del Municipio de Toluca, así como el del atlas de riesgo estatal. (el documento es remitido en formato cerrado)</w:t>
      </w:r>
      <w:r w:rsidR="009A2AD0" w:rsidRPr="00250223">
        <w:rPr>
          <w:rFonts w:ascii="Palatino Linotype" w:eastAsia="Palatino Linotype" w:hAnsi="Palatino Linotype" w:cs="Palatino Linotype"/>
        </w:rPr>
        <w:t>.</w:t>
      </w:r>
    </w:p>
    <w:p w14:paraId="5F5A8737" w14:textId="77777777" w:rsidR="00100FEC" w:rsidRPr="00250223" w:rsidRDefault="00581D9C">
      <w:pPr>
        <w:spacing w:before="240" w:after="24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Posteriormente, en fecha siete de octubre de dos mil veinticinco, mediante alcance al informe justificado, remite los documentos descritos anteriormente, en formato Word. </w:t>
      </w:r>
    </w:p>
    <w:p w14:paraId="2F02437D" w14:textId="77777777" w:rsidR="00100FEC" w:rsidRPr="00250223" w:rsidRDefault="00581D9C">
      <w:pPr>
        <w:spacing w:after="0" w:line="360" w:lineRule="auto"/>
        <w:jc w:val="both"/>
        <w:rPr>
          <w:rFonts w:ascii="Palatino Linotype" w:eastAsia="Palatino Linotype" w:hAnsi="Palatino Linotype" w:cs="Palatino Linotype"/>
          <w:sz w:val="24"/>
          <w:szCs w:val="24"/>
        </w:rPr>
      </w:pPr>
      <w:r w:rsidRPr="00250223">
        <w:rPr>
          <w:rFonts w:ascii="Palatino Linotype" w:eastAsia="Palatino Linotype" w:hAnsi="Palatino Linotype" w:cs="Palatino Linotype"/>
        </w:rPr>
        <w:t>Una vez establecidas las posturas de las partes, atendiendo la naturaleza de la información requerida es de indicar lo siguiente.</w:t>
      </w:r>
    </w:p>
    <w:p w14:paraId="04E3EB94" w14:textId="77777777" w:rsidR="00100FEC" w:rsidRPr="00250223" w:rsidRDefault="00100FEC">
      <w:pPr>
        <w:spacing w:after="0" w:line="360" w:lineRule="auto"/>
        <w:ind w:right="49"/>
        <w:jc w:val="both"/>
        <w:rPr>
          <w:rFonts w:ascii="Palatino Linotype" w:eastAsia="Palatino Linotype" w:hAnsi="Palatino Linotype" w:cs="Palatino Linotype"/>
        </w:rPr>
      </w:pPr>
    </w:p>
    <w:p w14:paraId="36D14616"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La Coordinación General de Protección Civil y Gestión Integral del Riesgo es el órgano encargado de coordinar las acciones solidarias y participativas, que, en atención de los riesgos de origen natural o antrópico, como de los efectos adversos de los agentes perturbadores, prevé la concertación de los sectores público, privado y social, con el fin de crear un conjunto de disposiciones, planes, programas, estrategias, mecanismos y recursos para que de manera responsable se involucren las etapas de intensificación de riesgos, previsión, prevención, mitigación, preparación, auxilio y recuperación; para salvaguardar la vida, la integridad, estabilidad, salud y fortalezca las capacidades de resiliencia de la población y sus bienes; integrar el Atlas de Riesgos</w:t>
      </w:r>
    </w:p>
    <w:p w14:paraId="157A921C" w14:textId="77777777" w:rsidR="00100FEC" w:rsidRPr="00250223" w:rsidRDefault="00100FEC">
      <w:pPr>
        <w:spacing w:after="0" w:line="360" w:lineRule="auto"/>
        <w:ind w:right="49"/>
        <w:jc w:val="both"/>
        <w:rPr>
          <w:rFonts w:ascii="Palatino Linotype" w:eastAsia="Palatino Linotype" w:hAnsi="Palatino Linotype" w:cs="Palatino Linotype"/>
        </w:rPr>
      </w:pPr>
    </w:p>
    <w:p w14:paraId="1A440707"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El Reglamento Interior de la Secretaría General de Gobierno establece en su artículo 22, como atribuciones de la Coordinación General de Protección Civil, identificar y adoptar modelos de medición y simulación de contingencias, emergencias y desastres; recabar, integrar y sistematizar la información que facilite el estudio y análisis de las emergencias y desastres que afectan a la población, así como las acciones para su atención oportuna. </w:t>
      </w:r>
    </w:p>
    <w:p w14:paraId="3ECE5CA1" w14:textId="77777777" w:rsidR="00100FEC" w:rsidRPr="00250223" w:rsidRDefault="00100FEC">
      <w:pPr>
        <w:spacing w:after="0" w:line="360" w:lineRule="auto"/>
        <w:ind w:right="49"/>
        <w:jc w:val="both"/>
        <w:rPr>
          <w:rFonts w:ascii="Palatino Linotype" w:eastAsia="Palatino Linotype" w:hAnsi="Palatino Linotype" w:cs="Palatino Linotype"/>
        </w:rPr>
      </w:pPr>
    </w:p>
    <w:p w14:paraId="0DC4521A"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De manera específica la Subdirección de Atlas de Riesgos es la encargada de Identificar, analizar y evaluar los riesgos tanto de origen natural como antrópico que han tenido incidencia o pudieran presentarse en el territorio geográfico estatal, ocasionando desastres o situaciones de peligro en zonas que por sus características poseen cierto grado de vulnerabilidad, ante los fenómenos perturbadores; llevando a cabo la integración de un documento geográfico- descriptivo en materia de Protección Civil que construya el reflejo de la imagen actual del Estado, convirtiendo en una valiosa herramienta de análisis que permita planificar, diseñar y establecer los mecanismos de seguridad para reducir al mínimo los efectos nocivos de ocurrencia de fenómenos destructivos que amenacen la integridad física de la población así como sus bienes y entorno.</w:t>
      </w:r>
    </w:p>
    <w:p w14:paraId="3F8E591B" w14:textId="77777777" w:rsidR="00100FEC" w:rsidRPr="00250223" w:rsidRDefault="00100FEC">
      <w:pPr>
        <w:spacing w:after="0" w:line="360" w:lineRule="auto"/>
        <w:ind w:right="49"/>
        <w:jc w:val="both"/>
        <w:rPr>
          <w:rFonts w:ascii="Palatino Linotype" w:eastAsia="Palatino Linotype" w:hAnsi="Palatino Linotype" w:cs="Palatino Linotype"/>
        </w:rPr>
      </w:pPr>
    </w:p>
    <w:p w14:paraId="52FD3A59"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Entre sus funciones está la de ejecutar las actividades dirigidas al desarrollo, operación y actualización del Atlas de Riesgo y sus productos, que permita la localización de los agentes perturbadores, reguladores y afectables de manera rápida y expedita y la coordinación de acciones y recursos para atender a la población en situación de emergencia.</w:t>
      </w:r>
    </w:p>
    <w:p w14:paraId="57B4447E" w14:textId="77777777" w:rsidR="00100FEC" w:rsidRPr="00250223" w:rsidRDefault="00100FEC">
      <w:pPr>
        <w:spacing w:after="0" w:line="360" w:lineRule="auto"/>
        <w:ind w:right="49"/>
        <w:jc w:val="both"/>
        <w:rPr>
          <w:rFonts w:ascii="Palatino Linotype" w:eastAsia="Palatino Linotype" w:hAnsi="Palatino Linotype" w:cs="Palatino Linotype"/>
        </w:rPr>
      </w:pPr>
    </w:p>
    <w:p w14:paraId="39B47FA6"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Dicha subdirección también desarrollar y generar datos geográficos a través del Atlas de Riesgo que sirvan para alimentar el Sistema Estatal de Información de Protección Civil y supervisa la digitalización de la información geográfica de riesgos, así como la captura de bases de datos relacionadas con la misma, con la finalidad de mantener actualizado el Atlas Estatal de Riesgos. </w:t>
      </w:r>
    </w:p>
    <w:p w14:paraId="5C91D008" w14:textId="77777777" w:rsidR="00100FEC" w:rsidRPr="00250223" w:rsidRDefault="00100FEC">
      <w:pPr>
        <w:spacing w:after="0" w:line="360" w:lineRule="auto"/>
        <w:ind w:right="49"/>
        <w:jc w:val="both"/>
        <w:rPr>
          <w:rFonts w:ascii="Palatino Linotype" w:eastAsia="Palatino Linotype" w:hAnsi="Palatino Linotype" w:cs="Palatino Linotype"/>
        </w:rPr>
      </w:pPr>
    </w:p>
    <w:p w14:paraId="60E69CBE"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Asimismo, recibe y valora los análisis de vulnerabilidad y riesgo, a fin de que puedan ser incorporados al Atlas de Riesgo, </w:t>
      </w:r>
    </w:p>
    <w:p w14:paraId="0A181D10" w14:textId="77777777" w:rsidR="00100FEC" w:rsidRPr="00250223" w:rsidRDefault="00100FEC">
      <w:pPr>
        <w:spacing w:after="0" w:line="360" w:lineRule="auto"/>
        <w:ind w:right="49"/>
        <w:jc w:val="both"/>
        <w:rPr>
          <w:rFonts w:ascii="Palatino Linotype" w:eastAsia="Palatino Linotype" w:hAnsi="Palatino Linotype" w:cs="Palatino Linotype"/>
        </w:rPr>
      </w:pPr>
    </w:p>
    <w:p w14:paraId="5A1FA1D6" w14:textId="77777777" w:rsidR="00100FEC" w:rsidRPr="00250223" w:rsidRDefault="00581D9C">
      <w:pPr>
        <w:spacing w:after="0" w:line="360" w:lineRule="auto"/>
        <w:ind w:right="49"/>
        <w:jc w:val="both"/>
        <w:rPr>
          <w:rFonts w:ascii="Palatino Linotype" w:eastAsia="Palatino Linotype" w:hAnsi="Palatino Linotype" w:cs="Palatino Linotype"/>
          <w:b/>
        </w:rPr>
      </w:pPr>
      <w:r w:rsidRPr="00250223">
        <w:rPr>
          <w:rFonts w:ascii="Palatino Linotype" w:eastAsia="Palatino Linotype" w:hAnsi="Palatino Linotype" w:cs="Palatino Linotype"/>
        </w:rPr>
        <w:t xml:space="preserve">Dicha Subdirección cuenta con el Departamento de </w:t>
      </w:r>
      <w:proofErr w:type="spellStart"/>
      <w:r w:rsidRPr="00250223">
        <w:rPr>
          <w:rFonts w:ascii="Palatino Linotype" w:eastAsia="Palatino Linotype" w:hAnsi="Palatino Linotype" w:cs="Palatino Linotype"/>
        </w:rPr>
        <w:t>Geoprocesamiento</w:t>
      </w:r>
      <w:proofErr w:type="spellEnd"/>
      <w:r w:rsidRPr="00250223">
        <w:rPr>
          <w:rFonts w:ascii="Palatino Linotype" w:eastAsia="Palatino Linotype" w:hAnsi="Palatino Linotype" w:cs="Palatino Linotype"/>
        </w:rPr>
        <w:t xml:space="preserve"> y Bases de Datos, cuyo objetivo es integrar las bases de datos del Sistema Estatal de Información de Atlas de Riesgos, a fin de que se cuente con información veraz y oportuna para mantener actualizado el Atlas Estatal de Riesgos, y conformar e integrar los Atlas Metropolitanos, y entre sus funciones está la de recopilar y analizar la información cartográfica y estadística, a fin de que sea incorporada al Sistema Estatal de Información de Atlas de Riesgos, así como participar en la definición de </w:t>
      </w:r>
      <w:r w:rsidRPr="00250223">
        <w:rPr>
          <w:rFonts w:ascii="Palatino Linotype" w:eastAsia="Palatino Linotype" w:hAnsi="Palatino Linotype" w:cs="Palatino Linotype"/>
          <w:b/>
        </w:rPr>
        <w:t>mapas base</w:t>
      </w:r>
      <w:r w:rsidRPr="00250223">
        <w:rPr>
          <w:rFonts w:ascii="Palatino Linotype" w:eastAsia="Palatino Linotype" w:hAnsi="Palatino Linotype" w:cs="Palatino Linotype"/>
        </w:rPr>
        <w:t xml:space="preserve">, </w:t>
      </w:r>
      <w:r w:rsidRPr="00250223">
        <w:rPr>
          <w:rFonts w:ascii="Palatino Linotype" w:eastAsia="Palatino Linotype" w:hAnsi="Palatino Linotype" w:cs="Palatino Linotype"/>
          <w:b/>
          <w:u w:val="single"/>
        </w:rPr>
        <w:t>cartografía temática</w:t>
      </w:r>
      <w:r w:rsidRPr="00250223">
        <w:rPr>
          <w:rFonts w:ascii="Palatino Linotype" w:eastAsia="Palatino Linotype" w:hAnsi="Palatino Linotype" w:cs="Palatino Linotype"/>
        </w:rPr>
        <w:t xml:space="preserve"> y en la digitalización, procesamiento y edición de productos cartográficos e información geográfica que </w:t>
      </w:r>
      <w:r w:rsidRPr="00250223">
        <w:rPr>
          <w:rFonts w:ascii="Palatino Linotype" w:eastAsia="Palatino Linotype" w:hAnsi="Palatino Linotype" w:cs="Palatino Linotype"/>
          <w:b/>
          <w:u w:val="single"/>
        </w:rPr>
        <w:t>permitan identificar y ubicar las zonas de riesgo existentes en los municipios del Estado</w:t>
      </w:r>
      <w:r w:rsidRPr="00250223">
        <w:rPr>
          <w:rFonts w:ascii="Palatino Linotype" w:eastAsia="Palatino Linotype" w:hAnsi="Palatino Linotype" w:cs="Palatino Linotype"/>
        </w:rPr>
        <w:t xml:space="preserve"> e identificar y </w:t>
      </w:r>
      <w:r w:rsidRPr="00250223">
        <w:rPr>
          <w:rFonts w:ascii="Palatino Linotype" w:eastAsia="Palatino Linotype" w:hAnsi="Palatino Linotype" w:cs="Palatino Linotype"/>
          <w:b/>
        </w:rPr>
        <w:t>ubicar los puntos de riesgo geológico</w:t>
      </w:r>
      <w:r w:rsidRPr="00250223">
        <w:rPr>
          <w:rFonts w:ascii="Palatino Linotype" w:eastAsia="Palatino Linotype" w:hAnsi="Palatino Linotype" w:cs="Palatino Linotype"/>
        </w:rPr>
        <w:t xml:space="preserve">, meteorológico, físico-químico, sanitario-ecológico y socio-organizativo que existan en el territorio estatal para </w:t>
      </w:r>
      <w:r w:rsidRPr="00250223">
        <w:rPr>
          <w:rFonts w:ascii="Palatino Linotype" w:eastAsia="Palatino Linotype" w:hAnsi="Palatino Linotype" w:cs="Palatino Linotype"/>
          <w:b/>
        </w:rPr>
        <w:t xml:space="preserve">su localización cartográfica dentro del Sistema Estatal de Información de Atlas de Riesgos. </w:t>
      </w:r>
    </w:p>
    <w:p w14:paraId="0A908356" w14:textId="77777777" w:rsidR="00100FEC" w:rsidRPr="00250223" w:rsidRDefault="00100FEC">
      <w:pPr>
        <w:spacing w:after="0" w:line="360" w:lineRule="auto"/>
        <w:ind w:right="49"/>
        <w:jc w:val="both"/>
        <w:rPr>
          <w:rFonts w:ascii="Palatino Linotype" w:eastAsia="Palatino Linotype" w:hAnsi="Palatino Linotype" w:cs="Palatino Linotype"/>
          <w:b/>
        </w:rPr>
      </w:pPr>
    </w:p>
    <w:p w14:paraId="650B1FA1"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b/>
        </w:rPr>
        <w:t xml:space="preserve">Finalmente, el </w:t>
      </w:r>
      <w:r w:rsidRPr="00250223">
        <w:rPr>
          <w:rFonts w:ascii="Palatino Linotype" w:eastAsia="Palatino Linotype" w:hAnsi="Palatino Linotype" w:cs="Palatino Linotype"/>
        </w:rPr>
        <w:t>Departamento de Fenómenos Naturales y Antrópicos, se encarga de analizar y clasificar la información relativa a fenómenos geológicos y meteorológicos, a fin de establecer su respectiva ubicación en la cartografía de la entidad.</w:t>
      </w:r>
      <w:r w:rsidRPr="00250223">
        <w:rPr>
          <w:rFonts w:ascii="Palatino Linotype" w:eastAsia="Palatino Linotype" w:hAnsi="Palatino Linotype" w:cs="Palatino Linotype"/>
          <w:b/>
        </w:rPr>
        <w:t xml:space="preserve"> </w:t>
      </w:r>
    </w:p>
    <w:p w14:paraId="76C955D3" w14:textId="77777777" w:rsidR="00100FEC" w:rsidRPr="00250223" w:rsidRDefault="00100FEC">
      <w:pPr>
        <w:spacing w:after="0" w:line="360" w:lineRule="auto"/>
        <w:ind w:right="49"/>
        <w:jc w:val="both"/>
        <w:rPr>
          <w:rFonts w:ascii="Palatino Linotype" w:eastAsia="Palatino Linotype" w:hAnsi="Palatino Linotype" w:cs="Palatino Linotype"/>
        </w:rPr>
      </w:pPr>
    </w:p>
    <w:p w14:paraId="24EE86E6" w14:textId="77777777" w:rsidR="00100FEC" w:rsidRPr="00250223" w:rsidRDefault="00581D9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Dicho esto, es importante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14:paraId="6DB9FA25" w14:textId="77777777" w:rsidR="00100FEC" w:rsidRPr="00250223" w:rsidRDefault="00100FEC">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2BE606B" w14:textId="77777777" w:rsidR="00100FEC" w:rsidRPr="00250223" w:rsidRDefault="00581D9C">
      <w:pPr>
        <w:numPr>
          <w:ilvl w:val="3"/>
          <w:numId w:val="2"/>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250223">
        <w:rPr>
          <w:rFonts w:ascii="Palatino Linotype" w:eastAsia="Palatino Linotype" w:hAnsi="Palatino Linotype" w:cs="Palatino Linotype"/>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C85AFD4" w14:textId="77777777" w:rsidR="00100FEC" w:rsidRPr="00250223" w:rsidRDefault="00581D9C">
      <w:pPr>
        <w:numPr>
          <w:ilvl w:val="3"/>
          <w:numId w:val="2"/>
        </w:numPr>
        <w:pBdr>
          <w:top w:val="nil"/>
          <w:left w:val="nil"/>
          <w:bottom w:val="nil"/>
          <w:right w:val="nil"/>
          <w:between w:val="nil"/>
        </w:pBdr>
        <w:spacing w:after="0" w:line="360" w:lineRule="auto"/>
        <w:ind w:left="567" w:right="560"/>
        <w:jc w:val="both"/>
        <w:rPr>
          <w:rFonts w:ascii="Palatino Linotype" w:eastAsia="Palatino Linotype" w:hAnsi="Palatino Linotype" w:cs="Palatino Linotype"/>
        </w:rPr>
      </w:pPr>
      <w:r w:rsidRPr="00250223">
        <w:rPr>
          <w:rFonts w:ascii="Palatino Linotype" w:eastAsia="Palatino Linotype" w:hAnsi="Palatino Linotype" w:cs="Palatino Linotype"/>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1FB73262" w14:textId="77777777" w:rsidR="00100FEC" w:rsidRPr="00250223" w:rsidRDefault="00100FEC">
      <w:pPr>
        <w:spacing w:after="0" w:line="360" w:lineRule="auto"/>
        <w:ind w:right="49"/>
        <w:jc w:val="both"/>
        <w:rPr>
          <w:rFonts w:ascii="Palatino Linotype" w:eastAsia="Palatino Linotype" w:hAnsi="Palatino Linotype" w:cs="Palatino Linotype"/>
        </w:rPr>
      </w:pPr>
    </w:p>
    <w:p w14:paraId="52148F53"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Así, y, conforme a lo establecido en párrafos anteriores, el Sujeto Obligado cumplió con el procedimiento de búsqueda establecido en el artículo 162 de la Ley de Transparencia y Acceso a la Información Pública del Estado de México y Municipios, ya que se advierte que gestionó el requerimiento en la unidad administrativa competente, quien cuenta con atribuciones, facultades y competencia para generar, administrar y poseer información solicitada. </w:t>
      </w:r>
    </w:p>
    <w:p w14:paraId="79CB460E" w14:textId="77777777" w:rsidR="00100FEC" w:rsidRPr="00250223" w:rsidRDefault="00100FEC">
      <w:pPr>
        <w:spacing w:after="0" w:line="360" w:lineRule="auto"/>
        <w:ind w:right="49"/>
        <w:jc w:val="both"/>
        <w:rPr>
          <w:rFonts w:ascii="Palatino Linotype" w:eastAsia="Palatino Linotype" w:hAnsi="Palatino Linotype" w:cs="Palatino Linotype"/>
        </w:rPr>
      </w:pPr>
    </w:p>
    <w:p w14:paraId="064B7E4D" w14:textId="77777777" w:rsidR="00100FEC" w:rsidRPr="00250223" w:rsidRDefault="00581D9C">
      <w:pPr>
        <w:spacing w:after="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En lo que respecta al agravio hecho valer por la parte Recurrente relativo a que el enlace no mostraba la información solicitada. </w:t>
      </w:r>
    </w:p>
    <w:p w14:paraId="19390327" w14:textId="77777777" w:rsidR="00100FEC" w:rsidRPr="00250223" w:rsidRDefault="00100FEC">
      <w:pPr>
        <w:spacing w:after="0" w:line="360" w:lineRule="auto"/>
        <w:jc w:val="both"/>
        <w:rPr>
          <w:rFonts w:ascii="Palatino Linotype" w:eastAsia="Palatino Linotype" w:hAnsi="Palatino Linotype" w:cs="Palatino Linotype"/>
        </w:rPr>
      </w:pPr>
    </w:p>
    <w:p w14:paraId="3B3AA4F8" w14:textId="77777777" w:rsidR="00100FEC" w:rsidRPr="00250223" w:rsidRDefault="00581D9C">
      <w:pPr>
        <w:spacing w:after="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En principio, es de referir que de conformidad con el artículo 161 de la Ley de Transparencia y Acceso a la Información Pública del Estado de México y Municipios</w:t>
      </w:r>
      <w:r w:rsidRPr="00250223">
        <w:rPr>
          <w:rFonts w:ascii="Palatino Linotype" w:eastAsia="Palatino Linotype" w:hAnsi="Palatino Linotype" w:cs="Palatino Linotype"/>
          <w:i/>
        </w:rPr>
        <w:t>,</w:t>
      </w:r>
      <w:r w:rsidRPr="00250223">
        <w:rPr>
          <w:rFonts w:ascii="Palatino Linotype" w:eastAsia="Palatino Linotype" w:hAnsi="Palatino Linotype" w:cs="Palatino Linotype"/>
        </w:rPr>
        <w:t xml:space="preserve"> cuando la información que es del interés de las personas solicitantes se encuentre disponible al público en medios impresos, tales como libros, compendios, trípticos, registros públicos, en formatos electrónicos disponibles en internet o en cualquier otro medio, los Sujetos Obligados cuentan con la prerrogativa de informar a los peticionarios por el medio requerido la fuente, el lugar y la forma en que puede consultar, reproducir o adquirir dicha información; en este caso el sistema SAIMEX, dicha fuente debe ser precisa, concreta y no debe implicar que la persona solicitante realice una búsqueda en toda la información que se encuentre disponible.</w:t>
      </w:r>
    </w:p>
    <w:p w14:paraId="53D7819A" w14:textId="77777777" w:rsidR="00100FEC" w:rsidRPr="00250223" w:rsidRDefault="00100FEC">
      <w:pPr>
        <w:spacing w:after="0" w:line="360" w:lineRule="auto"/>
        <w:jc w:val="both"/>
        <w:rPr>
          <w:rFonts w:ascii="Palatino Linotype" w:eastAsia="Palatino Linotype" w:hAnsi="Palatino Linotype" w:cs="Palatino Linotype"/>
        </w:rPr>
      </w:pPr>
    </w:p>
    <w:p w14:paraId="0D93E40A" w14:textId="77777777" w:rsidR="00100FEC" w:rsidRPr="00250223" w:rsidRDefault="00581D9C">
      <w:pPr>
        <w:spacing w:after="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En el presente caso, </w:t>
      </w:r>
      <w:r w:rsidRPr="00250223">
        <w:rPr>
          <w:rFonts w:ascii="Palatino Linotype" w:eastAsia="Palatino Linotype" w:hAnsi="Palatino Linotype" w:cs="Palatino Linotype"/>
          <w:b/>
          <w:u w:val="single"/>
        </w:rPr>
        <w:t>en la respuesta proporcionada y en el informe justificado remitido las direcciones electrónicas se proporcionaron a través de un documento digitalizado</w:t>
      </w:r>
      <w:r w:rsidRPr="00250223">
        <w:rPr>
          <w:rFonts w:ascii="Palatino Linotype" w:eastAsia="Palatino Linotype" w:hAnsi="Palatino Linotype" w:cs="Palatino Linotype"/>
        </w:rPr>
        <w:t>, el cual no permite su manipulación, esto es, no permite copiar, editar, modificar o procesar su contenido, por lo que, es necesario realizar la captura carácter por carácter, tarea que se dificulta si tomamos en consideración que las direcciones están compuestas por una cantidad considerable de caracteres, por consiguiente, el enviar ligas electrónicas en un formato digitalizado no cumple con lo previsto en el artículo 161 de la Ley de la Materia, pues el acceso a la información se encuentra restringido, ya que la información no se entregó en formato abierto.</w:t>
      </w:r>
    </w:p>
    <w:p w14:paraId="7DA0071B" w14:textId="77777777" w:rsidR="00100FEC" w:rsidRPr="00250223" w:rsidRDefault="00100FEC">
      <w:pPr>
        <w:spacing w:after="0" w:line="360" w:lineRule="auto"/>
        <w:jc w:val="both"/>
        <w:rPr>
          <w:rFonts w:ascii="Palatino Linotype" w:eastAsia="Palatino Linotype" w:hAnsi="Palatino Linotype" w:cs="Palatino Linotype"/>
        </w:rPr>
      </w:pPr>
    </w:p>
    <w:p w14:paraId="7F3D8ED7" w14:textId="77777777" w:rsidR="00100FEC" w:rsidRPr="00250223" w:rsidRDefault="00581D9C">
      <w:pPr>
        <w:spacing w:after="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En tal tesitura, es importante mencionar que cuando se haga entrega de información pública de manera electrónica, se debe garantizar la interoperabilidad de esta, es decir, que esta contenga datos en formatos y estándares abiertos para su reproducción y reutilización electrónica por parte de las personas solicitantes, con la finalidad de asegurar el acceso a la información que es de su interés.</w:t>
      </w:r>
    </w:p>
    <w:p w14:paraId="779DCE01" w14:textId="77777777" w:rsidR="00100FEC" w:rsidRPr="00250223" w:rsidRDefault="00100FEC">
      <w:pPr>
        <w:spacing w:after="0" w:line="360" w:lineRule="auto"/>
        <w:jc w:val="both"/>
        <w:rPr>
          <w:rFonts w:ascii="Palatino Linotype" w:eastAsia="Palatino Linotype" w:hAnsi="Palatino Linotype" w:cs="Palatino Linotype"/>
        </w:rPr>
      </w:pPr>
    </w:p>
    <w:p w14:paraId="7BF4FEF6"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En el presente asunto, se tiene que, debido a que la información se encontraba en un formato no accesible, no se logró ingresar a la liga electrónica por lo que, se considera que, el ejercicio del derecho de acceso a la información del Particular, no fue inicialmente cabalmente atendido. </w:t>
      </w:r>
    </w:p>
    <w:p w14:paraId="00E6144A" w14:textId="77777777" w:rsidR="00100FEC" w:rsidRPr="00250223" w:rsidRDefault="00100FEC">
      <w:pPr>
        <w:spacing w:after="0" w:line="360" w:lineRule="auto"/>
        <w:ind w:right="49"/>
        <w:jc w:val="both"/>
        <w:rPr>
          <w:rFonts w:ascii="Palatino Linotype" w:eastAsia="Palatino Linotype" w:hAnsi="Palatino Linotype" w:cs="Palatino Linotype"/>
        </w:rPr>
      </w:pPr>
    </w:p>
    <w:p w14:paraId="15A5042C"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No obstante, mediante alcance al informe justificado, el Sujeto Obligado remitió la información en formato </w:t>
      </w:r>
      <w:proofErr w:type="spellStart"/>
      <w:r w:rsidRPr="00250223">
        <w:rPr>
          <w:rFonts w:ascii="Palatino Linotype" w:eastAsia="Palatino Linotype" w:hAnsi="Palatino Linotype" w:cs="Palatino Linotype"/>
        </w:rPr>
        <w:t>word</w:t>
      </w:r>
      <w:proofErr w:type="spellEnd"/>
      <w:r w:rsidRPr="00250223">
        <w:rPr>
          <w:rFonts w:ascii="Palatino Linotype" w:eastAsia="Palatino Linotype" w:hAnsi="Palatino Linotype" w:cs="Palatino Linotype"/>
        </w:rPr>
        <w:t>, lo que permitió consultar la información remitida a través de los vínculos electrónicos, de los cuales se pudo advertir lo siguiente:</w:t>
      </w:r>
    </w:p>
    <w:p w14:paraId="769DC2AE" w14:textId="77777777" w:rsidR="00100FEC" w:rsidRPr="00250223" w:rsidRDefault="00100FEC">
      <w:pPr>
        <w:spacing w:after="0" w:line="360" w:lineRule="auto"/>
        <w:ind w:right="49"/>
        <w:jc w:val="both"/>
        <w:rPr>
          <w:rFonts w:ascii="Palatino Linotype" w:eastAsia="Palatino Linotype" w:hAnsi="Palatino Linotype" w:cs="Palatino Linotype"/>
        </w:rPr>
      </w:pPr>
    </w:p>
    <w:p w14:paraId="1D42897B" w14:textId="77777777" w:rsidR="00100FEC" w:rsidRPr="00250223" w:rsidRDefault="00F04DD6">
      <w:pPr>
        <w:spacing w:after="0" w:line="360" w:lineRule="auto"/>
        <w:ind w:right="49"/>
        <w:jc w:val="both"/>
        <w:rPr>
          <w:rFonts w:ascii="Gotham Book" w:eastAsia="Gotham Book" w:hAnsi="Gotham Book" w:cs="Gotham Book"/>
          <w:b/>
          <w:sz w:val="20"/>
          <w:szCs w:val="20"/>
          <w:u w:val="single"/>
        </w:rPr>
      </w:pPr>
      <w:hyperlink r:id="rId9">
        <w:r w:rsidR="00581D9C" w:rsidRPr="00250223">
          <w:rPr>
            <w:rFonts w:ascii="Gotham Book" w:eastAsia="Gotham Book" w:hAnsi="Gotham Book" w:cs="Gotham Book"/>
            <w:b/>
            <w:sz w:val="20"/>
            <w:szCs w:val="20"/>
            <w:u w:val="single"/>
          </w:rPr>
          <w:t>https://drive.google.com/drive/folders/1hiE9deydDgnkHg84wMQHKc6ITK-UjpZC?usp=sharing</w:t>
        </w:r>
      </w:hyperlink>
      <w:r w:rsidR="00581D9C" w:rsidRPr="00250223">
        <w:rPr>
          <w:rFonts w:ascii="Gotham Book" w:eastAsia="Gotham Book" w:hAnsi="Gotham Book" w:cs="Gotham Book"/>
          <w:b/>
          <w:sz w:val="20"/>
          <w:szCs w:val="20"/>
          <w:u w:val="single"/>
        </w:rPr>
        <w:t xml:space="preserve"> </w:t>
      </w:r>
    </w:p>
    <w:p w14:paraId="1CA10416" w14:textId="77777777" w:rsidR="00100FEC" w:rsidRPr="00250223" w:rsidRDefault="00100FEC">
      <w:pPr>
        <w:spacing w:after="0" w:line="240" w:lineRule="auto"/>
      </w:pPr>
    </w:p>
    <w:p w14:paraId="68266FA5" w14:textId="77777777" w:rsidR="00100FEC" w:rsidRPr="00250223" w:rsidRDefault="00581D9C">
      <w:pPr>
        <w:spacing w:after="0" w:line="360" w:lineRule="auto"/>
        <w:ind w:right="49"/>
        <w:jc w:val="both"/>
        <w:rPr>
          <w:rFonts w:ascii="Palatino Linotype" w:eastAsia="Palatino Linotype" w:hAnsi="Palatino Linotype" w:cs="Palatino Linotype"/>
        </w:rPr>
      </w:pPr>
      <w:r w:rsidRPr="00250223">
        <w:rPr>
          <w:rFonts w:ascii="Palatino Linotype" w:eastAsia="Palatino Linotype" w:hAnsi="Palatino Linotype" w:cs="Palatino Linotype"/>
          <w:noProof/>
        </w:rPr>
        <w:drawing>
          <wp:inline distT="0" distB="0" distL="0" distR="0" wp14:anchorId="2DB81FE2" wp14:editId="0BABFFBD">
            <wp:extent cx="5756275" cy="1606550"/>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56275" cy="1606550"/>
                    </a:xfrm>
                    <a:prstGeom prst="rect">
                      <a:avLst/>
                    </a:prstGeom>
                    <a:ln/>
                  </pic:spPr>
                </pic:pic>
              </a:graphicData>
            </a:graphic>
          </wp:inline>
        </w:drawing>
      </w:r>
    </w:p>
    <w:p w14:paraId="2595FADD" w14:textId="77777777" w:rsidR="00100FEC" w:rsidRPr="00250223" w:rsidRDefault="00581D9C">
      <w:pPr>
        <w:spacing w:after="0" w:line="240" w:lineRule="auto"/>
        <w:rPr>
          <w:rFonts w:ascii="Palatino Linotype" w:eastAsia="Palatino Linotype" w:hAnsi="Palatino Linotype" w:cs="Palatino Linotype"/>
        </w:rPr>
      </w:pPr>
      <w:r w:rsidRPr="00250223">
        <w:rPr>
          <w:rFonts w:ascii="Palatino Linotype" w:eastAsia="Palatino Linotype" w:hAnsi="Palatino Linotype" w:cs="Palatino Linotype"/>
        </w:rPr>
        <w:t xml:space="preserve">Dichas carpetas contienen entre otros documentos los siguientes mapas: </w:t>
      </w:r>
    </w:p>
    <w:p w14:paraId="05C5B5AC" w14:textId="77777777" w:rsidR="00100FEC" w:rsidRPr="00250223" w:rsidRDefault="00100FEC">
      <w:pPr>
        <w:spacing w:after="0" w:line="240" w:lineRule="auto"/>
        <w:rPr>
          <w:rFonts w:ascii="Palatino Linotype" w:eastAsia="Palatino Linotype" w:hAnsi="Palatino Linotype" w:cs="Palatino Linotype"/>
        </w:rPr>
      </w:pPr>
    </w:p>
    <w:p w14:paraId="0CD7429B" w14:textId="77777777" w:rsidR="00100FEC" w:rsidRPr="00250223" w:rsidRDefault="00100FEC">
      <w:pPr>
        <w:spacing w:after="0" w:line="240" w:lineRule="auto"/>
      </w:pPr>
    </w:p>
    <w:p w14:paraId="3922F3D9" w14:textId="77777777" w:rsidR="00100FEC" w:rsidRPr="00250223" w:rsidRDefault="00581D9C">
      <w:pPr>
        <w:numPr>
          <w:ilvl w:val="0"/>
          <w:numId w:val="3"/>
        </w:numPr>
        <w:pBdr>
          <w:top w:val="nil"/>
          <w:left w:val="nil"/>
          <w:bottom w:val="nil"/>
          <w:right w:val="nil"/>
          <w:between w:val="nil"/>
        </w:pBdr>
        <w:spacing w:after="0" w:line="240" w:lineRule="auto"/>
        <w:rPr>
          <w:b/>
        </w:rPr>
      </w:pPr>
      <w:r w:rsidRPr="00250223">
        <w:rPr>
          <w:b/>
        </w:rPr>
        <w:t>Mapas con susceptibilidad sísmica</w:t>
      </w:r>
    </w:p>
    <w:p w14:paraId="0CF1A6E0" w14:textId="77777777" w:rsidR="00100FEC" w:rsidRPr="00250223" w:rsidRDefault="00100FEC">
      <w:pPr>
        <w:numPr>
          <w:ilvl w:val="0"/>
          <w:numId w:val="3"/>
        </w:numPr>
        <w:pBdr>
          <w:top w:val="nil"/>
          <w:left w:val="nil"/>
          <w:bottom w:val="nil"/>
          <w:right w:val="nil"/>
          <w:between w:val="nil"/>
        </w:pBdr>
        <w:spacing w:after="0" w:line="240" w:lineRule="auto"/>
        <w:rPr>
          <w:b/>
        </w:rPr>
      </w:pPr>
    </w:p>
    <w:p w14:paraId="2D9B8717" w14:textId="77777777" w:rsidR="00100FEC" w:rsidRPr="00250223" w:rsidRDefault="00581D9C">
      <w:pPr>
        <w:numPr>
          <w:ilvl w:val="0"/>
          <w:numId w:val="3"/>
        </w:numPr>
        <w:pBdr>
          <w:top w:val="nil"/>
          <w:left w:val="nil"/>
          <w:bottom w:val="nil"/>
          <w:right w:val="nil"/>
          <w:between w:val="nil"/>
        </w:pBdr>
        <w:spacing w:after="0" w:line="240" w:lineRule="auto"/>
      </w:pPr>
      <w:r w:rsidRPr="00250223">
        <w:rPr>
          <w:noProof/>
        </w:rPr>
        <w:drawing>
          <wp:inline distT="0" distB="0" distL="0" distR="0" wp14:anchorId="607EB8F2" wp14:editId="7889FA19">
            <wp:extent cx="5756275" cy="4340225"/>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56275" cy="4340225"/>
                    </a:xfrm>
                    <a:prstGeom prst="rect">
                      <a:avLst/>
                    </a:prstGeom>
                    <a:ln/>
                  </pic:spPr>
                </pic:pic>
              </a:graphicData>
            </a:graphic>
          </wp:inline>
        </w:drawing>
      </w:r>
    </w:p>
    <w:p w14:paraId="429A3B2C" w14:textId="77777777" w:rsidR="00100FEC" w:rsidRPr="00250223" w:rsidRDefault="00100FEC">
      <w:pPr>
        <w:pBdr>
          <w:top w:val="nil"/>
          <w:left w:val="nil"/>
          <w:bottom w:val="nil"/>
          <w:right w:val="nil"/>
          <w:between w:val="nil"/>
        </w:pBdr>
        <w:spacing w:after="0" w:line="240" w:lineRule="auto"/>
        <w:ind w:left="720"/>
      </w:pPr>
    </w:p>
    <w:p w14:paraId="31DCDB34" w14:textId="77777777" w:rsidR="00100FEC" w:rsidRPr="00250223" w:rsidRDefault="00581D9C">
      <w:pPr>
        <w:pBdr>
          <w:top w:val="nil"/>
          <w:left w:val="nil"/>
          <w:bottom w:val="nil"/>
          <w:right w:val="nil"/>
          <w:between w:val="nil"/>
        </w:pBdr>
        <w:spacing w:after="0" w:line="240" w:lineRule="auto"/>
        <w:ind w:left="720"/>
        <w:jc w:val="both"/>
        <w:rPr>
          <w:rFonts w:ascii="Palatino Linotype" w:eastAsia="Palatino Linotype" w:hAnsi="Palatino Linotype" w:cs="Palatino Linotype"/>
          <w:b/>
          <w:u w:val="single"/>
        </w:rPr>
      </w:pPr>
      <w:r w:rsidRPr="00250223">
        <w:t xml:space="preserve">En dicho mapa se logran advertir que las zonas con mayor susceptibilidad sísmica del municipio de Toluca se identifican en color rojo </w:t>
      </w:r>
      <w:r w:rsidRPr="00250223">
        <w:rPr>
          <w:rFonts w:ascii="Palatino Linotype" w:eastAsia="Palatino Linotype" w:hAnsi="Palatino Linotype" w:cs="Palatino Linotype"/>
          <w:b/>
          <w:u w:val="single"/>
        </w:rPr>
        <w:t xml:space="preserve">mismas que refirió en informe justificado son las áreas que no son susceptibles de construcción de edificios del Municipio de Toluca, como se advierte a continuación: </w:t>
      </w:r>
    </w:p>
    <w:p w14:paraId="00D23A07" w14:textId="77777777" w:rsidR="00100FEC" w:rsidRPr="00250223" w:rsidRDefault="00100FEC">
      <w:pPr>
        <w:pBdr>
          <w:top w:val="nil"/>
          <w:left w:val="nil"/>
          <w:bottom w:val="nil"/>
          <w:right w:val="nil"/>
          <w:between w:val="nil"/>
        </w:pBdr>
        <w:spacing w:after="0" w:line="240" w:lineRule="auto"/>
        <w:ind w:left="720"/>
        <w:jc w:val="both"/>
        <w:rPr>
          <w:rFonts w:ascii="Palatino Linotype" w:eastAsia="Palatino Linotype" w:hAnsi="Palatino Linotype" w:cs="Palatino Linotype"/>
          <w:b/>
          <w:u w:val="single"/>
        </w:rPr>
      </w:pPr>
    </w:p>
    <w:p w14:paraId="1C08D3BF" w14:textId="77777777" w:rsidR="00100FEC" w:rsidRPr="00250223" w:rsidRDefault="00581D9C">
      <w:pPr>
        <w:pBdr>
          <w:top w:val="nil"/>
          <w:left w:val="nil"/>
          <w:bottom w:val="nil"/>
          <w:right w:val="nil"/>
          <w:between w:val="nil"/>
        </w:pBdr>
        <w:spacing w:after="0" w:line="240" w:lineRule="auto"/>
        <w:ind w:left="720"/>
        <w:jc w:val="both"/>
        <w:rPr>
          <w:rFonts w:ascii="Palatino Linotype" w:eastAsia="Palatino Linotype" w:hAnsi="Palatino Linotype" w:cs="Palatino Linotype"/>
          <w:b/>
          <w:u w:val="single"/>
        </w:rPr>
      </w:pPr>
      <w:r w:rsidRPr="00250223">
        <w:rPr>
          <w:rFonts w:ascii="Palatino Linotype" w:eastAsia="Palatino Linotype" w:hAnsi="Palatino Linotype" w:cs="Palatino Linotype"/>
          <w:b/>
          <w:noProof/>
          <w:u w:val="single"/>
        </w:rPr>
        <w:drawing>
          <wp:inline distT="0" distB="0" distL="0" distR="0" wp14:anchorId="604C7748" wp14:editId="7088FC11">
            <wp:extent cx="5756275" cy="1193165"/>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56275" cy="1193165"/>
                    </a:xfrm>
                    <a:prstGeom prst="rect">
                      <a:avLst/>
                    </a:prstGeom>
                    <a:ln/>
                  </pic:spPr>
                </pic:pic>
              </a:graphicData>
            </a:graphic>
          </wp:inline>
        </w:drawing>
      </w:r>
    </w:p>
    <w:p w14:paraId="19AFF885" w14:textId="77777777" w:rsidR="00100FEC" w:rsidRPr="00250223" w:rsidRDefault="00100FEC">
      <w:pPr>
        <w:pBdr>
          <w:top w:val="nil"/>
          <w:left w:val="nil"/>
          <w:bottom w:val="nil"/>
          <w:right w:val="nil"/>
          <w:between w:val="nil"/>
        </w:pBdr>
        <w:spacing w:after="0" w:line="240" w:lineRule="auto"/>
        <w:ind w:left="720"/>
        <w:jc w:val="both"/>
      </w:pPr>
    </w:p>
    <w:p w14:paraId="0EDDB2CA" w14:textId="77777777" w:rsidR="00100FEC" w:rsidRPr="00250223" w:rsidRDefault="00100FEC">
      <w:pPr>
        <w:pBdr>
          <w:top w:val="nil"/>
          <w:left w:val="nil"/>
          <w:bottom w:val="nil"/>
          <w:right w:val="nil"/>
          <w:between w:val="nil"/>
        </w:pBdr>
        <w:spacing w:after="0" w:line="240" w:lineRule="auto"/>
        <w:ind w:left="720"/>
      </w:pPr>
    </w:p>
    <w:p w14:paraId="6A20AE82" w14:textId="77777777" w:rsidR="00100FEC" w:rsidRPr="00250223" w:rsidRDefault="00100FEC">
      <w:pPr>
        <w:pBdr>
          <w:top w:val="nil"/>
          <w:left w:val="nil"/>
          <w:bottom w:val="nil"/>
          <w:right w:val="nil"/>
          <w:between w:val="nil"/>
        </w:pBdr>
        <w:spacing w:after="0" w:line="240" w:lineRule="auto"/>
        <w:ind w:left="720"/>
      </w:pPr>
    </w:p>
    <w:p w14:paraId="02D39F7D" w14:textId="77777777" w:rsidR="00100FEC" w:rsidRPr="00250223" w:rsidRDefault="00581D9C">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250223">
        <w:rPr>
          <w:rFonts w:ascii="Palatino Linotype" w:eastAsia="Palatino Linotype" w:hAnsi="Palatino Linotype" w:cs="Palatino Linotype"/>
          <w:b/>
        </w:rPr>
        <w:t>Mapa Topográfico</w:t>
      </w:r>
    </w:p>
    <w:p w14:paraId="0B9A2993" w14:textId="77777777" w:rsidR="00100FEC" w:rsidRPr="00250223" w:rsidRDefault="00581D9C">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r w:rsidRPr="00250223">
        <w:rPr>
          <w:rFonts w:ascii="Palatino Linotype" w:eastAsia="Palatino Linotype" w:hAnsi="Palatino Linotype" w:cs="Palatino Linotype"/>
          <w:b/>
          <w:noProof/>
        </w:rPr>
        <w:drawing>
          <wp:inline distT="0" distB="0" distL="0" distR="0" wp14:anchorId="523AFC21" wp14:editId="3BE763D1">
            <wp:extent cx="5756275" cy="1848485"/>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56275" cy="1848485"/>
                    </a:xfrm>
                    <a:prstGeom prst="rect">
                      <a:avLst/>
                    </a:prstGeom>
                    <a:ln/>
                  </pic:spPr>
                </pic:pic>
              </a:graphicData>
            </a:graphic>
          </wp:inline>
        </w:drawing>
      </w:r>
      <w:r w:rsidRPr="00250223">
        <w:rPr>
          <w:rFonts w:ascii="Palatino Linotype" w:eastAsia="Palatino Linotype" w:hAnsi="Palatino Linotype" w:cs="Palatino Linotype"/>
          <w:b/>
        </w:rPr>
        <w:t xml:space="preserve"> </w:t>
      </w:r>
      <w:r w:rsidRPr="00250223">
        <w:rPr>
          <w:noProof/>
        </w:rPr>
        <mc:AlternateContent>
          <mc:Choice Requires="wps">
            <w:drawing>
              <wp:anchor distT="0" distB="0" distL="114300" distR="114300" simplePos="0" relativeHeight="251658240" behindDoc="0" locked="0" layoutInCell="1" hidden="0" allowOverlap="1" wp14:anchorId="36ED1CFF" wp14:editId="417E34D5">
                <wp:simplePos x="0" y="0"/>
                <wp:positionH relativeFrom="column">
                  <wp:posOffset>4136797</wp:posOffset>
                </wp:positionH>
                <wp:positionV relativeFrom="paragraph">
                  <wp:posOffset>765035</wp:posOffset>
                </wp:positionV>
                <wp:extent cx="2027496" cy="794119"/>
                <wp:effectExtent l="0" t="0" r="0" b="0"/>
                <wp:wrapNone/>
                <wp:docPr id="32" name="Rectángulo 32"/>
                <wp:cNvGraphicFramePr/>
                <a:graphic xmlns:a="http://schemas.openxmlformats.org/drawingml/2006/main">
                  <a:graphicData uri="http://schemas.microsoft.com/office/word/2010/wordprocessingShape">
                    <wps:wsp>
                      <wps:cNvSpPr/>
                      <wps:spPr>
                        <a:xfrm>
                          <a:off x="4346540" y="3397228"/>
                          <a:ext cx="1998921" cy="765544"/>
                        </a:xfrm>
                        <a:prstGeom prst="rect">
                          <a:avLst/>
                        </a:prstGeom>
                        <a:noFill/>
                        <a:ln w="28575" cap="flat" cmpd="sng">
                          <a:solidFill>
                            <a:srgbClr val="FF0000"/>
                          </a:solidFill>
                          <a:prstDash val="solid"/>
                          <a:miter lim="800000"/>
                          <a:headEnd type="none" w="sm" len="sm"/>
                          <a:tailEnd type="none" w="sm" len="sm"/>
                        </a:ln>
                      </wps:spPr>
                      <wps:txbx>
                        <w:txbxContent>
                          <w:p w14:paraId="73987621" w14:textId="77777777" w:rsidR="00100FEC" w:rsidRDefault="00100FE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6ED1CFF" id="Rectángulo 32" o:spid="_x0000_s1026" style="position:absolute;left:0;text-align:left;margin-left:325.75pt;margin-top:60.25pt;width:159.65pt;height:62.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5pGAIAACUEAAAOAAAAZHJzL2Uyb0RvYy54bWysU9uO2jAQfa/Uf7D8XgIhsIAwq2opVaVV&#10;i7TtBxjHIZZ8q8eQ8PcdO3Sh7UOlqjyYmXh8fObM8fqxN5qcZQDlLKOT0ZgSaYWrlT0y+u3r7t2C&#10;Eojc1lw7Kxm9SKCPm7dv1p1fydK1TtcyEASxsOo8o22MflUUIFppOIyclxY3GxcMj5iGY1EH3iG6&#10;0UU5Hs+LzoXaByckAH7dDpt0k/GbRor4pWlARqIZRW4xryGvh7QWmzVfHQP3rRJXGvwfWBiuLF76&#10;CrXlkZNTUH9AGSWCA9fEkXCmcE2jhMw9YDeT8W/dvLTcy9wLigP+VSb4f7Di8/nF7wPK0HlYAYap&#10;i74JJv0jP9IzWk2r+axC+S6MTqfLh7JcDMLJPhKBBZPlcrEsJ5QIrHiYz2ZVlQqKG5IPED9KZ0gK&#10;GA04mKwXPz9DHEp/lqSLrdsprfNwtCUdo+Vi9jBDfI4eaTSPGBpfMwr2mHHAaVWnM+k0hOPhSQdy&#10;5jj13W6MvyudX8rShVsO7VCXt4a2jIpoSq0Mo4t0+GqTVvL6g61JvHh0skU/00QNDCVaovsxyIwj&#10;V/rvdSiOtqjRTfcUxf7QI0gKD66+7AMBL3YKmT5ziHse0J2oc4eOxQu/n3hAEvqTRUssJ1WJEsX7&#10;JNwnh/uEW9E6fAgiBkqG5CnmhzHo//4UXaPyaG5krnTRi3m413eTzH6f56rb6978AAAA//8DAFBL&#10;AwQUAAYACAAAACEAP7bmZN0AAAALAQAADwAAAGRycy9kb3ducmV2LnhtbEyPwU7DMBBE70j8g7VI&#10;3KjdiAQa4lQBiQOniBZ6duMliYjXUeym4e9ZTvS2o3manSm2ixvEjFPoPWlYrxQIpMbbnloNH/vX&#10;u0cQIRqyZvCEGn4wwLa8vipMbv2Z3nHexVZwCIXcaOhiHHMpQ9OhM2HlRyT2vvzkTGQ5tdJO5szh&#10;bpCJUpl0pif+0JkRXzpsvncnpyGpP7F9rt5c5mVTKX+YVb2vtb69WaonEBGX+A/DX32uDiV3OvoT&#10;2SAGDVm6ThllI1F8MLF5UDzmyPH3aQayLOTlhvIXAAD//wMAUEsBAi0AFAAGAAgAAAAhALaDOJL+&#10;AAAA4QEAABMAAAAAAAAAAAAAAAAAAAAAAFtDb250ZW50X1R5cGVzXS54bWxQSwECLQAUAAYACAAA&#10;ACEAOP0h/9YAAACUAQAACwAAAAAAAAAAAAAAAAAvAQAAX3JlbHMvLnJlbHNQSwECLQAUAAYACAAA&#10;ACEAPtiOaRgCAAAlBAAADgAAAAAAAAAAAAAAAAAuAgAAZHJzL2Uyb0RvYy54bWxQSwECLQAUAAYA&#10;CAAAACEAP7bmZN0AAAALAQAADwAAAAAAAAAAAAAAAAByBAAAZHJzL2Rvd25yZXYueG1sUEsFBgAA&#10;AAAEAAQA8wAAAHwFAAAAAA==&#10;" filled="f" strokecolor="red" strokeweight="2.25pt">
                <v:stroke startarrowwidth="narrow" startarrowlength="short" endarrowwidth="narrow" endarrowlength="short"/>
                <v:textbox inset="2.53958mm,2.53958mm,2.53958mm,2.53958mm">
                  <w:txbxContent>
                    <w:p w14:paraId="73987621" w14:textId="77777777" w:rsidR="00100FEC" w:rsidRDefault="00100FEC">
                      <w:pPr>
                        <w:spacing w:after="0" w:line="240" w:lineRule="auto"/>
                        <w:textDirection w:val="btLr"/>
                      </w:pPr>
                    </w:p>
                  </w:txbxContent>
                </v:textbox>
              </v:rect>
            </w:pict>
          </mc:Fallback>
        </mc:AlternateContent>
      </w:r>
    </w:p>
    <w:p w14:paraId="3439917F" w14:textId="77777777" w:rsidR="00100FEC" w:rsidRPr="00250223" w:rsidRDefault="00581D9C">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Cuyo contenido es el siguiente: </w:t>
      </w:r>
    </w:p>
    <w:p w14:paraId="1F8F7C3D" w14:textId="77777777" w:rsidR="00100FEC" w:rsidRPr="00250223" w:rsidRDefault="00100FEC">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5E9DE2D9" w14:textId="77777777" w:rsidR="00100FEC" w:rsidRPr="00250223" w:rsidRDefault="00581D9C">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r w:rsidRPr="00250223">
        <w:rPr>
          <w:rFonts w:ascii="Palatino Linotype" w:eastAsia="Palatino Linotype" w:hAnsi="Palatino Linotype" w:cs="Palatino Linotype"/>
          <w:b/>
          <w:noProof/>
        </w:rPr>
        <w:drawing>
          <wp:inline distT="0" distB="0" distL="0" distR="0" wp14:anchorId="21BDB330" wp14:editId="058FE9D2">
            <wp:extent cx="5756275" cy="4084955"/>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756275" cy="4084955"/>
                    </a:xfrm>
                    <a:prstGeom prst="rect">
                      <a:avLst/>
                    </a:prstGeom>
                    <a:ln/>
                  </pic:spPr>
                </pic:pic>
              </a:graphicData>
            </a:graphic>
          </wp:inline>
        </w:drawing>
      </w:r>
    </w:p>
    <w:p w14:paraId="6A14873E" w14:textId="77777777" w:rsidR="00100FEC" w:rsidRPr="00250223" w:rsidRDefault="00100FEC">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309546F7" w14:textId="77777777" w:rsidR="00100FEC" w:rsidRPr="00250223" w:rsidRDefault="00581D9C">
      <w:pPr>
        <w:spacing w:after="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b/>
        </w:rPr>
        <w:t xml:space="preserve">Adicionalmente el Sujeto Obligado remitió </w:t>
      </w:r>
      <w:r w:rsidRPr="00250223">
        <w:rPr>
          <w:rFonts w:ascii="Palatino Linotype" w:eastAsia="Palatino Linotype" w:hAnsi="Palatino Linotype" w:cs="Palatino Linotype"/>
        </w:rPr>
        <w:t xml:space="preserve">el link, donde se podrá visualizar el Atlas de Riesgo </w:t>
      </w:r>
      <w:r w:rsidRPr="00250223">
        <w:rPr>
          <w:rFonts w:ascii="Palatino Linotype" w:eastAsia="Palatino Linotype" w:hAnsi="Palatino Linotype" w:cs="Palatino Linotype"/>
          <w:b/>
          <w:u w:val="single"/>
        </w:rPr>
        <w:t>del Municipio de Toluca</w:t>
      </w:r>
      <w:r w:rsidRPr="00250223">
        <w:rPr>
          <w:rFonts w:ascii="Palatino Linotype" w:eastAsia="Palatino Linotype" w:hAnsi="Palatino Linotype" w:cs="Palatino Linotype"/>
        </w:rPr>
        <w:t>, donde podrá encontrar la información que antecede:</w:t>
      </w:r>
    </w:p>
    <w:p w14:paraId="69D04BB8" w14:textId="77777777" w:rsidR="00100FEC" w:rsidRPr="00250223" w:rsidRDefault="00100FEC">
      <w:pPr>
        <w:spacing w:after="0" w:line="360" w:lineRule="auto"/>
        <w:jc w:val="both"/>
        <w:rPr>
          <w:rFonts w:ascii="Palatino Linotype" w:eastAsia="Palatino Linotype" w:hAnsi="Palatino Linotype" w:cs="Palatino Linotype"/>
        </w:rPr>
      </w:pPr>
    </w:p>
    <w:p w14:paraId="76F5B173" w14:textId="77777777" w:rsidR="00100FEC" w:rsidRPr="00250223" w:rsidRDefault="00F04DD6">
      <w:pPr>
        <w:spacing w:after="0" w:line="360" w:lineRule="auto"/>
        <w:jc w:val="center"/>
        <w:rPr>
          <w:rFonts w:ascii="Palatino Linotype" w:eastAsia="Palatino Linotype" w:hAnsi="Palatino Linotype" w:cs="Palatino Linotype"/>
          <w:u w:val="single"/>
        </w:rPr>
      </w:pPr>
      <w:hyperlink r:id="rId15">
        <w:r w:rsidR="00581D9C" w:rsidRPr="00250223">
          <w:rPr>
            <w:rFonts w:ascii="Palatino Linotype" w:eastAsia="Palatino Linotype" w:hAnsi="Palatino Linotype" w:cs="Palatino Linotype"/>
            <w:u w:val="single"/>
          </w:rPr>
          <w:t>https://www2.toluca.gob.mx/wp-content/uploads/2024/10/VF_Toluca_Atlas_Riesgo_2024_C.pdf</w:t>
        </w:r>
      </w:hyperlink>
    </w:p>
    <w:p w14:paraId="4AA5804A" w14:textId="77777777" w:rsidR="00100FEC" w:rsidRPr="00250223" w:rsidRDefault="00100FEC">
      <w:pPr>
        <w:spacing w:after="0" w:line="360" w:lineRule="auto"/>
        <w:jc w:val="center"/>
        <w:rPr>
          <w:rFonts w:ascii="Palatino Linotype" w:eastAsia="Palatino Linotype" w:hAnsi="Palatino Linotype" w:cs="Palatino Linotype"/>
          <w:u w:val="single"/>
        </w:rPr>
      </w:pPr>
    </w:p>
    <w:p w14:paraId="4A3765EF" w14:textId="77777777" w:rsidR="00100FEC" w:rsidRPr="00250223" w:rsidRDefault="00581D9C">
      <w:pPr>
        <w:spacing w:after="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El Instrumento describe el territorio municipal y los riesgos a los que es susceptible catalogados por su origen como fenómeno perturbador, agente causal y ubicación, asimismo la vulnerabilidad de la población, bienes e infraestructura básica. De igual forma se incluyen recomendaciones con el propósito de reducir su impacto sobre la ciudadanía, sus bienes y el entorno. Que en sus capítulos contiene la cartografía actualizada y a detalle, que complementa la información de cada uno de los riesgos que se tiene identificados, para que estos funcionen como base de consulta preventiva para la elaboración de programas encaminados a la salvaguarda de la población y el ordenamiento territorial a fin de evitar que los riesgos latentes no se vuelvan un desastre. </w:t>
      </w:r>
    </w:p>
    <w:p w14:paraId="4A4E4D80" w14:textId="77777777" w:rsidR="00100FEC" w:rsidRPr="00250223" w:rsidRDefault="00100FEC">
      <w:pPr>
        <w:spacing w:after="0" w:line="360" w:lineRule="auto"/>
        <w:rPr>
          <w:rFonts w:ascii="Palatino Linotype" w:eastAsia="Palatino Linotype" w:hAnsi="Palatino Linotype" w:cs="Palatino Linotype"/>
        </w:rPr>
      </w:pPr>
    </w:p>
    <w:p w14:paraId="390012DF" w14:textId="77777777" w:rsidR="00100FEC" w:rsidRPr="00250223" w:rsidRDefault="00100FEC">
      <w:pPr>
        <w:spacing w:after="0" w:line="240" w:lineRule="auto"/>
        <w:rPr>
          <w:u w:val="single"/>
        </w:rPr>
      </w:pPr>
    </w:p>
    <w:p w14:paraId="52E0DA04" w14:textId="77777777" w:rsidR="00100FEC" w:rsidRPr="00250223" w:rsidRDefault="00581D9C">
      <w:pPr>
        <w:spacing w:after="0" w:line="240" w:lineRule="auto"/>
        <w:rPr>
          <w:u w:val="single"/>
        </w:rPr>
      </w:pPr>
      <w:r w:rsidRPr="00250223">
        <w:rPr>
          <w:noProof/>
          <w:u w:val="single"/>
        </w:rPr>
        <w:drawing>
          <wp:inline distT="0" distB="0" distL="0" distR="0" wp14:anchorId="7D09C54C" wp14:editId="7AE2F4A9">
            <wp:extent cx="5756275" cy="3853180"/>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56275" cy="3853180"/>
                    </a:xfrm>
                    <a:prstGeom prst="rect">
                      <a:avLst/>
                    </a:prstGeom>
                    <a:ln/>
                  </pic:spPr>
                </pic:pic>
              </a:graphicData>
            </a:graphic>
          </wp:inline>
        </w:drawing>
      </w:r>
    </w:p>
    <w:p w14:paraId="17189F9A" w14:textId="77777777" w:rsidR="00100FEC" w:rsidRPr="00250223" w:rsidRDefault="00100FEC">
      <w:pPr>
        <w:spacing w:after="0" w:line="240" w:lineRule="auto"/>
        <w:jc w:val="center"/>
      </w:pPr>
    </w:p>
    <w:p w14:paraId="26AF89C0" w14:textId="77777777" w:rsidR="00100FEC" w:rsidRPr="00250223" w:rsidRDefault="00581D9C">
      <w:pPr>
        <w:spacing w:after="0" w:line="240" w:lineRule="auto"/>
        <w:jc w:val="both"/>
        <w:rPr>
          <w:rFonts w:ascii="Gotham Book" w:eastAsia="Gotham Book" w:hAnsi="Gotham Book" w:cs="Gotham Book"/>
          <w:sz w:val="18"/>
          <w:szCs w:val="18"/>
        </w:rPr>
      </w:pPr>
      <w:r w:rsidRPr="00250223">
        <w:rPr>
          <w:rFonts w:ascii="Palatino Linotype" w:eastAsia="Palatino Linotype" w:hAnsi="Palatino Linotype" w:cs="Palatino Linotype"/>
        </w:rPr>
        <w:t xml:space="preserve">Así como también, se comparte el link que refiere corresponde al Atlas de Riesgo Estatal como complemento a la información brindada, </w:t>
      </w:r>
      <w:hyperlink r:id="rId17">
        <w:r w:rsidRPr="00250223">
          <w:rPr>
            <w:rFonts w:ascii="Gotham Book" w:eastAsia="Gotham Book" w:hAnsi="Gotham Book" w:cs="Gotham Book"/>
            <w:sz w:val="18"/>
            <w:szCs w:val="18"/>
            <w:u w:val="single"/>
          </w:rPr>
          <w:t>http://www.atlasnacionalderiesgos.gob.mx/AtlasEstatales/?&amp;NOM_ENT=M%C3%A9xico&amp;CVE_ENT=15</w:t>
        </w:r>
      </w:hyperlink>
    </w:p>
    <w:p w14:paraId="37444412" w14:textId="77777777" w:rsidR="00100FEC" w:rsidRPr="00250223" w:rsidRDefault="00581D9C">
      <w:pPr>
        <w:spacing w:after="0" w:line="360" w:lineRule="auto"/>
        <w:rPr>
          <w:rFonts w:ascii="Palatino Linotype" w:eastAsia="Palatino Linotype" w:hAnsi="Palatino Linotype" w:cs="Palatino Linotype"/>
        </w:rPr>
      </w:pPr>
      <w:r w:rsidRPr="00250223">
        <w:rPr>
          <w:rFonts w:ascii="Palatino Linotype" w:eastAsia="Palatino Linotype" w:hAnsi="Palatino Linotype" w:cs="Palatino Linotype"/>
        </w:rPr>
        <w:t xml:space="preserve"> no obstante, dicha dirección únicamente remite a la siguiente información: </w:t>
      </w:r>
    </w:p>
    <w:p w14:paraId="50F43EA7" w14:textId="77777777" w:rsidR="00100FEC" w:rsidRPr="00250223" w:rsidRDefault="00581D9C">
      <w:pPr>
        <w:spacing w:after="0" w:line="240" w:lineRule="auto"/>
      </w:pPr>
      <w:r w:rsidRPr="00250223">
        <w:rPr>
          <w:noProof/>
        </w:rPr>
        <w:drawing>
          <wp:inline distT="0" distB="0" distL="0" distR="0" wp14:anchorId="6FD0E191" wp14:editId="3B6A605A">
            <wp:extent cx="5756275" cy="3368040"/>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756275" cy="3368040"/>
                    </a:xfrm>
                    <a:prstGeom prst="rect">
                      <a:avLst/>
                    </a:prstGeom>
                    <a:ln/>
                  </pic:spPr>
                </pic:pic>
              </a:graphicData>
            </a:graphic>
          </wp:inline>
        </w:drawing>
      </w:r>
    </w:p>
    <w:p w14:paraId="45147DE2" w14:textId="77777777" w:rsidR="00100FEC" w:rsidRPr="00250223" w:rsidRDefault="00100FEC">
      <w:pPr>
        <w:spacing w:after="0" w:line="240" w:lineRule="auto"/>
      </w:pPr>
    </w:p>
    <w:p w14:paraId="3E2E328D" w14:textId="77777777" w:rsidR="00100FEC" w:rsidRPr="00250223" w:rsidRDefault="00100FEC">
      <w:pPr>
        <w:spacing w:after="0" w:line="240" w:lineRule="auto"/>
        <w:jc w:val="center"/>
        <w:rPr>
          <w:rFonts w:ascii="Gotham Book" w:eastAsia="Gotham Book" w:hAnsi="Gotham Book" w:cs="Gotham Book"/>
          <w:sz w:val="18"/>
          <w:szCs w:val="18"/>
        </w:rPr>
      </w:pPr>
    </w:p>
    <w:p w14:paraId="0D5610D6" w14:textId="77777777" w:rsidR="00100FEC" w:rsidRPr="00250223" w:rsidRDefault="00581D9C">
      <w:pPr>
        <w:spacing w:after="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En este sentido, de conformidad con lo establecido en el artículo 12 de la Ley de Transparencia y Acceso a la Información Pública del Estado de México y Municipios, anteriormente invocado el </w:t>
      </w:r>
      <w:r w:rsidRPr="00250223">
        <w:rPr>
          <w:rFonts w:ascii="Palatino Linotype" w:eastAsia="Palatino Linotype" w:hAnsi="Palatino Linotype" w:cs="Palatino Linotype"/>
          <w:b/>
        </w:rPr>
        <w:t>Sujeto Obligado</w:t>
      </w:r>
      <w:r w:rsidRPr="00250223">
        <w:rPr>
          <w:rFonts w:ascii="Palatino Linotype" w:eastAsia="Palatino Linotype" w:hAnsi="Palatino Linotype" w:cs="Palatino Linotype"/>
        </w:rPr>
        <w:t xml:space="preserve"> sólo proporcionará la información que obra en sus archivos. </w:t>
      </w:r>
    </w:p>
    <w:p w14:paraId="39D08B67" w14:textId="77777777" w:rsidR="00100FEC" w:rsidRPr="00250223" w:rsidRDefault="00100FEC">
      <w:pPr>
        <w:spacing w:after="0" w:line="360" w:lineRule="auto"/>
        <w:jc w:val="both"/>
        <w:rPr>
          <w:rFonts w:ascii="Times New Roman" w:eastAsia="Times New Roman" w:hAnsi="Times New Roman" w:cs="Times New Roman"/>
          <w:sz w:val="24"/>
          <w:szCs w:val="24"/>
        </w:rPr>
      </w:pPr>
    </w:p>
    <w:p w14:paraId="1080C7F6" w14:textId="77777777" w:rsidR="00100FEC" w:rsidRPr="00250223" w:rsidRDefault="00581D9C">
      <w:pPr>
        <w:spacing w:after="0" w:line="360" w:lineRule="auto"/>
        <w:ind w:right="49"/>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 xml:space="preserve">Aunado a lo anterior, este Pleno considera necesario dejar claro que, al haber existido un pronunciamiento por parte del </w:t>
      </w:r>
      <w:r w:rsidRPr="00250223">
        <w:rPr>
          <w:rFonts w:ascii="Palatino Linotype" w:eastAsia="Palatino Linotype" w:hAnsi="Palatino Linotype" w:cs="Palatino Linotype"/>
          <w:b/>
        </w:rPr>
        <w:t>Sujeto Obligado</w:t>
      </w:r>
      <w:r w:rsidRPr="00250223">
        <w:rPr>
          <w:rFonts w:ascii="Palatino Linotype" w:eastAsia="Palatino Linotype" w:hAnsi="Palatino Linotype" w:cs="Palatino Linotype"/>
        </w:rPr>
        <w:t>, a fin de dar respuesta a la solicitud planteada, éste no está facultado para manifestarse sobre la veracidad de la información proporcionada, pues no existe precepto legal alguno en la Ley de la Materia que permita que, vía recurso de revisión, se pronuncie al respecto.</w:t>
      </w:r>
    </w:p>
    <w:p w14:paraId="3783DE2B" w14:textId="77777777" w:rsidR="00100FEC" w:rsidRPr="00250223" w:rsidRDefault="00100FEC">
      <w:pPr>
        <w:spacing w:after="0" w:line="360" w:lineRule="auto"/>
        <w:rPr>
          <w:rFonts w:ascii="Times New Roman" w:eastAsia="Times New Roman" w:hAnsi="Times New Roman" w:cs="Times New Roman"/>
          <w:sz w:val="24"/>
          <w:szCs w:val="24"/>
        </w:rPr>
      </w:pPr>
    </w:p>
    <w:p w14:paraId="58EEDB21" w14:textId="77777777" w:rsidR="00100FEC" w:rsidRPr="00250223" w:rsidRDefault="00581D9C">
      <w:pPr>
        <w:spacing w:after="0" w:line="360" w:lineRule="auto"/>
        <w:ind w:right="51"/>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 xml:space="preserve">Por consiguiente, una vez analizadas las constancias que integran el expediente en que se actúa se advierte que vía alcance al informe justificado el </w:t>
      </w:r>
      <w:r w:rsidRPr="00250223">
        <w:rPr>
          <w:rFonts w:ascii="Palatino Linotype" w:eastAsia="Palatino Linotype" w:hAnsi="Palatino Linotype" w:cs="Palatino Linotype"/>
          <w:b/>
        </w:rPr>
        <w:t>Sujeto Obligado</w:t>
      </w:r>
      <w:r w:rsidRPr="00250223">
        <w:rPr>
          <w:rFonts w:ascii="Palatino Linotype" w:eastAsia="Palatino Linotype" w:hAnsi="Palatino Linotype" w:cs="Palatino Linotype"/>
        </w:rPr>
        <w:t xml:space="preserve"> colmó en su totalidad el derecho de acceso a la información pública al modificar su respuesta, ya que proporcionó los links que contienen la información, en formato abierto, haciendo posible su consulta; actualizando con ello, la causal de sobreseimiento prevista en la fracción III del artículo 192 de la Ley de Transparencia y Acceso a la Información Pública del Estado de México y Municipios, que dispone lo siguiente:</w:t>
      </w:r>
    </w:p>
    <w:p w14:paraId="5E597414" w14:textId="77777777" w:rsidR="00100FEC" w:rsidRPr="00250223" w:rsidRDefault="00100FEC">
      <w:pPr>
        <w:spacing w:after="0" w:line="360" w:lineRule="auto"/>
        <w:rPr>
          <w:rFonts w:ascii="Times New Roman" w:eastAsia="Times New Roman" w:hAnsi="Times New Roman" w:cs="Times New Roman"/>
          <w:sz w:val="24"/>
          <w:szCs w:val="24"/>
        </w:rPr>
      </w:pPr>
    </w:p>
    <w:p w14:paraId="28C6FD1B" w14:textId="77777777" w:rsidR="00100FEC" w:rsidRPr="00250223" w:rsidRDefault="00581D9C">
      <w:pPr>
        <w:spacing w:after="0" w:line="360" w:lineRule="auto"/>
        <w:ind w:left="992" w:right="1043"/>
        <w:jc w:val="both"/>
        <w:rPr>
          <w:rFonts w:ascii="Times New Roman" w:eastAsia="Times New Roman" w:hAnsi="Times New Roman" w:cs="Times New Roman"/>
          <w:sz w:val="24"/>
          <w:szCs w:val="24"/>
        </w:rPr>
      </w:pPr>
      <w:r w:rsidRPr="00250223">
        <w:rPr>
          <w:rFonts w:ascii="Palatino Linotype" w:eastAsia="Palatino Linotype" w:hAnsi="Palatino Linotype" w:cs="Palatino Linotype"/>
          <w:b/>
          <w:i/>
        </w:rPr>
        <w:t xml:space="preserve">“Artículo 192. </w:t>
      </w:r>
      <w:r w:rsidRPr="00250223">
        <w:rPr>
          <w:rFonts w:ascii="Palatino Linotype" w:eastAsia="Palatino Linotype" w:hAnsi="Palatino Linotype" w:cs="Palatino Linotype"/>
          <w:i/>
        </w:rPr>
        <w:t>El recurso será sobreseído en todo o en parte cuando una vez admitido, se actualicen alguno de los siguientes supuestos:</w:t>
      </w:r>
    </w:p>
    <w:p w14:paraId="74E8C67A" w14:textId="77777777" w:rsidR="00100FEC" w:rsidRPr="00250223" w:rsidRDefault="00581D9C">
      <w:pPr>
        <w:spacing w:after="0" w:line="360" w:lineRule="auto"/>
        <w:ind w:left="992" w:right="1043"/>
        <w:jc w:val="both"/>
        <w:rPr>
          <w:rFonts w:ascii="Times New Roman" w:eastAsia="Times New Roman" w:hAnsi="Times New Roman" w:cs="Times New Roman"/>
          <w:sz w:val="24"/>
          <w:szCs w:val="24"/>
        </w:rPr>
      </w:pPr>
      <w:r w:rsidRPr="00250223">
        <w:rPr>
          <w:rFonts w:ascii="Palatino Linotype" w:eastAsia="Palatino Linotype" w:hAnsi="Palatino Linotype" w:cs="Palatino Linotype"/>
          <w:b/>
          <w:i/>
        </w:rPr>
        <w:t>…</w:t>
      </w:r>
    </w:p>
    <w:p w14:paraId="21133613" w14:textId="77777777" w:rsidR="00100FEC" w:rsidRPr="00250223" w:rsidRDefault="00581D9C">
      <w:pPr>
        <w:spacing w:after="0" w:line="360" w:lineRule="auto"/>
        <w:ind w:left="992" w:right="1043"/>
        <w:jc w:val="both"/>
        <w:rPr>
          <w:rFonts w:ascii="Times New Roman" w:eastAsia="Times New Roman" w:hAnsi="Times New Roman" w:cs="Times New Roman"/>
          <w:sz w:val="24"/>
          <w:szCs w:val="24"/>
        </w:rPr>
      </w:pPr>
      <w:r w:rsidRPr="00250223">
        <w:rPr>
          <w:rFonts w:ascii="Palatino Linotype" w:eastAsia="Palatino Linotype" w:hAnsi="Palatino Linotype" w:cs="Palatino Linotype"/>
          <w:b/>
          <w:i/>
        </w:rPr>
        <w:t>III. El sujeto obligado responsable del acto lo modifique o revoque de tal manera que el recurso de revisión quede sin materia…”. (Sic)</w:t>
      </w:r>
    </w:p>
    <w:p w14:paraId="790E4533" w14:textId="77777777" w:rsidR="00100FEC" w:rsidRPr="00250223" w:rsidRDefault="00100FEC">
      <w:pPr>
        <w:spacing w:after="0" w:line="360" w:lineRule="auto"/>
        <w:rPr>
          <w:rFonts w:ascii="Times New Roman" w:eastAsia="Times New Roman" w:hAnsi="Times New Roman" w:cs="Times New Roman"/>
          <w:sz w:val="24"/>
          <w:szCs w:val="24"/>
        </w:rPr>
      </w:pPr>
    </w:p>
    <w:p w14:paraId="3381AE9D" w14:textId="77777777" w:rsidR="00100FEC" w:rsidRPr="00250223" w:rsidRDefault="00581D9C">
      <w:pPr>
        <w:spacing w:after="24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De lo establecido en el precepto legal citado se advierte que el sobreseimiento del recurso de revisión procede en los siguientes casos:</w:t>
      </w:r>
    </w:p>
    <w:p w14:paraId="111484E5" w14:textId="77777777" w:rsidR="00100FEC" w:rsidRPr="00250223" w:rsidRDefault="00581D9C">
      <w:pPr>
        <w:spacing w:before="240" w:after="24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a) Cuando el sujeto obligado modifique el acto impugnado.</w:t>
      </w:r>
    </w:p>
    <w:p w14:paraId="5B3B0015" w14:textId="77777777" w:rsidR="00100FEC" w:rsidRPr="00250223" w:rsidRDefault="00581D9C">
      <w:pPr>
        <w:spacing w:before="240" w:after="24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b) Cuando el sujeto obligado revoque el acto impugnado.</w:t>
      </w:r>
    </w:p>
    <w:p w14:paraId="017F1CFE" w14:textId="77777777" w:rsidR="00100FEC" w:rsidRPr="00250223" w:rsidRDefault="00581D9C">
      <w:pPr>
        <w:spacing w:before="240" w:after="24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Quedando en ambos casos el acto combatido sin materia o sin efectos.</w:t>
      </w:r>
    </w:p>
    <w:p w14:paraId="0487FD51" w14:textId="77777777" w:rsidR="00100FEC" w:rsidRPr="00250223" w:rsidRDefault="00581D9C">
      <w:pPr>
        <w:spacing w:after="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 xml:space="preserve">Como se observa de lo anterior, un acto impugnado es modificado en aquellos casos en los que el </w:t>
      </w:r>
      <w:r w:rsidRPr="00250223">
        <w:rPr>
          <w:rFonts w:ascii="Palatino Linotype" w:eastAsia="Palatino Linotype" w:hAnsi="Palatino Linotype" w:cs="Palatino Linotype"/>
          <w:b/>
        </w:rPr>
        <w:t>Sujeto Obligado</w:t>
      </w:r>
      <w:r w:rsidRPr="00250223">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250223">
        <w:rPr>
          <w:rFonts w:ascii="Palatino Linotype" w:eastAsia="Palatino Linotype" w:hAnsi="Palatino Linotype" w:cs="Palatino Linotype"/>
          <w:b/>
        </w:rPr>
        <w:t>Recurrente</w:t>
      </w:r>
      <w:r w:rsidRPr="00250223">
        <w:rPr>
          <w:rFonts w:ascii="Palatino Linotype" w:eastAsia="Palatino Linotype" w:hAnsi="Palatino Linotype" w:cs="Palatino Linotype"/>
        </w:rPr>
        <w:t>.</w:t>
      </w:r>
    </w:p>
    <w:p w14:paraId="700DB303" w14:textId="77777777" w:rsidR="00100FEC" w:rsidRPr="00250223" w:rsidRDefault="00100FEC">
      <w:pPr>
        <w:spacing w:after="0" w:line="360" w:lineRule="auto"/>
        <w:rPr>
          <w:rFonts w:ascii="Times New Roman" w:eastAsia="Times New Roman" w:hAnsi="Times New Roman" w:cs="Times New Roman"/>
          <w:sz w:val="24"/>
          <w:szCs w:val="24"/>
        </w:rPr>
      </w:pPr>
    </w:p>
    <w:p w14:paraId="58997454" w14:textId="77777777" w:rsidR="00100FEC" w:rsidRPr="00250223" w:rsidRDefault="00581D9C">
      <w:pPr>
        <w:spacing w:after="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 xml:space="preserve">Por lo que hace a la revocación, esta se actualiza cuando el </w:t>
      </w:r>
      <w:r w:rsidRPr="00250223">
        <w:rPr>
          <w:rFonts w:ascii="Palatino Linotype" w:eastAsia="Palatino Linotype" w:hAnsi="Palatino Linotype" w:cs="Palatino Linotype"/>
          <w:b/>
        </w:rPr>
        <w:t xml:space="preserve">Sujeto Obligado </w:t>
      </w:r>
      <w:r w:rsidRPr="00250223">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1210AD3C" w14:textId="77777777" w:rsidR="00100FEC" w:rsidRPr="00250223" w:rsidRDefault="00100FEC">
      <w:pPr>
        <w:spacing w:after="0" w:line="360" w:lineRule="auto"/>
        <w:rPr>
          <w:rFonts w:ascii="Times New Roman" w:eastAsia="Times New Roman" w:hAnsi="Times New Roman" w:cs="Times New Roman"/>
          <w:sz w:val="24"/>
          <w:szCs w:val="24"/>
        </w:rPr>
      </w:pPr>
    </w:p>
    <w:p w14:paraId="24D28DCC" w14:textId="77777777" w:rsidR="00100FEC" w:rsidRPr="00250223" w:rsidRDefault="00581D9C">
      <w:pPr>
        <w:spacing w:after="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3C968B06" w14:textId="77777777" w:rsidR="00100FEC" w:rsidRPr="00250223" w:rsidRDefault="00100FEC">
      <w:pPr>
        <w:spacing w:after="0" w:line="360" w:lineRule="auto"/>
        <w:rPr>
          <w:rFonts w:ascii="Times New Roman" w:eastAsia="Times New Roman" w:hAnsi="Times New Roman" w:cs="Times New Roman"/>
          <w:sz w:val="24"/>
          <w:szCs w:val="24"/>
        </w:rPr>
      </w:pPr>
    </w:p>
    <w:p w14:paraId="76603CB1" w14:textId="77777777" w:rsidR="00100FEC" w:rsidRPr="00250223" w:rsidRDefault="00581D9C">
      <w:pPr>
        <w:spacing w:after="0" w:line="360" w:lineRule="auto"/>
        <w:jc w:val="both"/>
        <w:rPr>
          <w:rFonts w:ascii="Palatino Linotype" w:eastAsia="Palatino Linotype" w:hAnsi="Palatino Linotype" w:cs="Palatino Linotype"/>
        </w:rPr>
      </w:pPr>
      <w:r w:rsidRPr="00250223">
        <w:rPr>
          <w:rFonts w:ascii="Palatino Linotype" w:eastAsia="Palatino Linotype" w:hAnsi="Palatino Linotype" w:cs="Palatino Linotype"/>
        </w:rPr>
        <w:t xml:space="preserve">En tanto, el recurso de revisión de referencia queda sin materia, toda vez que, con el alcance al informe justificado, el </w:t>
      </w:r>
      <w:r w:rsidRPr="00250223">
        <w:rPr>
          <w:rFonts w:ascii="Palatino Linotype" w:eastAsia="Palatino Linotype" w:hAnsi="Palatino Linotype" w:cs="Palatino Linotype"/>
          <w:b/>
        </w:rPr>
        <w:t>Sujeto Obligado</w:t>
      </w:r>
      <w:r w:rsidRPr="00250223">
        <w:rPr>
          <w:rFonts w:ascii="Palatino Linotype" w:eastAsia="Palatino Linotype" w:hAnsi="Palatino Linotype" w:cs="Palatino Linotype"/>
        </w:rPr>
        <w:t xml:space="preserve"> modificó su respuesta al proporcionar los links que contienen la información, en formato abierto, lo que hace posible su consulta. </w:t>
      </w:r>
    </w:p>
    <w:p w14:paraId="6505587F" w14:textId="77777777" w:rsidR="00100FEC" w:rsidRPr="00250223" w:rsidRDefault="00100FEC">
      <w:pPr>
        <w:spacing w:after="0" w:line="360" w:lineRule="auto"/>
        <w:jc w:val="both"/>
        <w:rPr>
          <w:rFonts w:ascii="Palatino Linotype" w:eastAsia="Palatino Linotype" w:hAnsi="Palatino Linotype" w:cs="Palatino Linotype"/>
        </w:rPr>
      </w:pPr>
    </w:p>
    <w:p w14:paraId="1920E644" w14:textId="77777777" w:rsidR="00100FEC" w:rsidRPr="00250223" w:rsidRDefault="00581D9C">
      <w:pPr>
        <w:spacing w:after="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 xml:space="preserve">Por lo que, tomando en consideración dicha circunstancia, así como el hecho de que la información proporcionada por el </w:t>
      </w:r>
      <w:r w:rsidRPr="00250223">
        <w:rPr>
          <w:rFonts w:ascii="Palatino Linotype" w:eastAsia="Palatino Linotype" w:hAnsi="Palatino Linotype" w:cs="Palatino Linotype"/>
          <w:b/>
        </w:rPr>
        <w:t>Sujeto Obligado</w:t>
      </w:r>
      <w:r w:rsidRPr="00250223">
        <w:rPr>
          <w:rFonts w:ascii="Palatino Linotype" w:eastAsia="Palatino Linotype" w:hAnsi="Palatino Linotype" w:cs="Palatino Linotype"/>
        </w:rPr>
        <w:t xml:space="preserve"> en alcance al informe justificado fue puesta a la vista de la parte </w:t>
      </w:r>
      <w:r w:rsidRPr="00250223">
        <w:rPr>
          <w:rFonts w:ascii="Palatino Linotype" w:eastAsia="Palatino Linotype" w:hAnsi="Palatino Linotype" w:cs="Palatino Linotype"/>
          <w:b/>
        </w:rPr>
        <w:t>Recurrente</w:t>
      </w:r>
      <w:r w:rsidRPr="00250223">
        <w:rPr>
          <w:rFonts w:ascii="Palatino Linotype" w:eastAsia="Palatino Linotype" w:hAnsi="Palatino Linotype" w:cs="Palatino Linotype"/>
        </w:rPr>
        <w:t xml:space="preserve">, y de su análisis se advierte que colma el derecho de acceso a la información del particular, por ende, queda sin materia el recurso de revisión </w:t>
      </w:r>
      <w:r w:rsidRPr="00250223">
        <w:rPr>
          <w:rFonts w:ascii="Palatino Linotype" w:eastAsia="Palatino Linotype" w:hAnsi="Palatino Linotype" w:cs="Palatino Linotype"/>
          <w:b/>
        </w:rPr>
        <w:t>06294/INFOEM/IP/RR/2025</w:t>
      </w:r>
      <w:r w:rsidRPr="00250223">
        <w:rPr>
          <w:rFonts w:ascii="Palatino Linotype" w:eastAsia="Palatino Linotype" w:hAnsi="Palatino Linotype" w:cs="Palatino Linotype"/>
        </w:rPr>
        <w:t>, consecuentemente se actualiza la causal prevista de sobreseimiento antes transcrita; resultando procedente el sobreseimiento de dicho medio de impugnación en términos del artículo 186, fracción I de la Ley de Transparencia y Acceso a la Información Pública del Estado de México y Municipios.</w:t>
      </w:r>
    </w:p>
    <w:p w14:paraId="1E2E8849" w14:textId="77777777" w:rsidR="00100FEC" w:rsidRPr="00250223" w:rsidRDefault="00100FEC">
      <w:pPr>
        <w:spacing w:after="0" w:line="360" w:lineRule="auto"/>
        <w:rPr>
          <w:rFonts w:ascii="Times New Roman" w:eastAsia="Times New Roman" w:hAnsi="Times New Roman" w:cs="Times New Roman"/>
          <w:sz w:val="24"/>
          <w:szCs w:val="24"/>
        </w:rPr>
      </w:pPr>
    </w:p>
    <w:p w14:paraId="7A2F1A3A" w14:textId="77777777" w:rsidR="00100FEC" w:rsidRPr="00250223" w:rsidRDefault="00581D9C">
      <w:pPr>
        <w:spacing w:after="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 xml:space="preserve">Lo anterior, pues se insiste el </w:t>
      </w:r>
      <w:r w:rsidRPr="00250223">
        <w:rPr>
          <w:rFonts w:ascii="Palatino Linotype" w:eastAsia="Palatino Linotype" w:hAnsi="Palatino Linotype" w:cs="Palatino Linotype"/>
          <w:b/>
        </w:rPr>
        <w:t>Sujeto Obligado</w:t>
      </w:r>
      <w:r w:rsidRPr="00250223">
        <w:rPr>
          <w:rFonts w:ascii="Palatino Linotype" w:eastAsia="Palatino Linotype" w:hAnsi="Palatino Linotype" w:cs="Palatino Linotype"/>
        </w:rPr>
        <w:t xml:space="preserve"> atendió de la solicitud de acceso a la información pública de la parte </w:t>
      </w:r>
      <w:r w:rsidRPr="00250223">
        <w:rPr>
          <w:rFonts w:ascii="Palatino Linotype" w:eastAsia="Palatino Linotype" w:hAnsi="Palatino Linotype" w:cs="Palatino Linotype"/>
          <w:b/>
        </w:rPr>
        <w:t>Recurrente</w:t>
      </w:r>
      <w:r w:rsidRPr="00250223">
        <w:rPr>
          <w:rFonts w:ascii="Palatino Linotype" w:eastAsia="Palatino Linotype" w:hAnsi="Palatino Linotype" w:cs="Palatino Linotype"/>
        </w:rPr>
        <w:t>;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7C0E2EBC" w14:textId="77777777" w:rsidR="00100FEC" w:rsidRPr="00250223" w:rsidRDefault="00100FEC">
      <w:pPr>
        <w:spacing w:after="0" w:line="360" w:lineRule="auto"/>
        <w:rPr>
          <w:rFonts w:ascii="Times New Roman" w:eastAsia="Times New Roman" w:hAnsi="Times New Roman" w:cs="Times New Roman"/>
          <w:sz w:val="24"/>
          <w:szCs w:val="24"/>
        </w:rPr>
      </w:pPr>
    </w:p>
    <w:p w14:paraId="4723D251" w14:textId="77777777" w:rsidR="00100FEC" w:rsidRPr="00250223" w:rsidRDefault="00581D9C">
      <w:pPr>
        <w:spacing w:after="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 xml:space="preserve">Siendo el </w:t>
      </w:r>
      <w:r w:rsidRPr="00250223">
        <w:rPr>
          <w:rFonts w:ascii="Palatino Linotype" w:eastAsia="Palatino Linotype" w:hAnsi="Palatino Linotype" w:cs="Palatino Linotype"/>
          <w:i/>
        </w:rPr>
        <w:t>sobreseimiento</w:t>
      </w:r>
      <w:r w:rsidRPr="00250223">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250223">
        <w:rPr>
          <w:rFonts w:ascii="Palatino Linotype" w:eastAsia="Palatino Linotype" w:hAnsi="Palatino Linotype" w:cs="Palatino Linotype"/>
          <w:b/>
        </w:rPr>
        <w:t>Recurrente</w:t>
      </w:r>
      <w:r w:rsidRPr="00250223">
        <w:rPr>
          <w:rFonts w:ascii="Palatino Linotype" w:eastAsia="Palatino Linotype" w:hAnsi="Palatino Linotype" w:cs="Palatino Linotype"/>
        </w:rPr>
        <w:t>, los efectos del sobreseimiento son los de dar por concluido el recurso administrativo sin entrar al estudio de fondo del asunto de que se trate; lo anterior con apoyo en el criterio del Poder Judicial de la Federación con rubro:</w:t>
      </w:r>
    </w:p>
    <w:p w14:paraId="4448362E" w14:textId="77777777" w:rsidR="00100FEC" w:rsidRPr="00250223" w:rsidRDefault="00581D9C">
      <w:pPr>
        <w:spacing w:before="240" w:after="0" w:line="360" w:lineRule="auto"/>
        <w:ind w:left="567" w:right="567"/>
        <w:jc w:val="both"/>
        <w:rPr>
          <w:rFonts w:ascii="Times New Roman" w:eastAsia="Times New Roman" w:hAnsi="Times New Roman" w:cs="Times New Roman"/>
          <w:sz w:val="24"/>
          <w:szCs w:val="24"/>
        </w:rPr>
      </w:pPr>
      <w:r w:rsidRPr="00250223">
        <w:rPr>
          <w:rFonts w:ascii="Palatino Linotype" w:eastAsia="Palatino Linotype" w:hAnsi="Palatino Linotype" w:cs="Palatino Linotype"/>
          <w:i/>
        </w:rPr>
        <w:t>“</w:t>
      </w:r>
      <w:r w:rsidRPr="00250223">
        <w:rPr>
          <w:rFonts w:ascii="Palatino Linotype" w:eastAsia="Palatino Linotype" w:hAnsi="Palatino Linotype" w:cs="Palatino Linotype"/>
          <w:b/>
          <w:i/>
        </w:rPr>
        <w:t xml:space="preserve">SOBRESEIMIENTO, NO PERMITE ENTRAR AL ESTUDIO DE LAS CUESTIONES DE FONDO </w:t>
      </w:r>
      <w:r w:rsidRPr="00250223">
        <w:rPr>
          <w:rFonts w:ascii="Palatino Linotype" w:eastAsia="Palatino Linotype" w:hAnsi="Palatino Linotype" w:cs="Palatino Linotype"/>
          <w:i/>
        </w:rPr>
        <w:t xml:space="preserve">Localización: 213609. II.2o.183 K. Tribunales Colegiados de Circuito. Octava Época. Semanario Judicial de la Federación. Tomo XIII, </w:t>
      </w:r>
      <w:proofErr w:type="gramStart"/>
      <w:r w:rsidRPr="00250223">
        <w:rPr>
          <w:rFonts w:ascii="Palatino Linotype" w:eastAsia="Palatino Linotype" w:hAnsi="Palatino Linotype" w:cs="Palatino Linotype"/>
          <w:i/>
        </w:rPr>
        <w:t>Febrero</w:t>
      </w:r>
      <w:proofErr w:type="gramEnd"/>
      <w:r w:rsidRPr="00250223">
        <w:rPr>
          <w:rFonts w:ascii="Palatino Linotype" w:eastAsia="Palatino Linotype" w:hAnsi="Palatino Linotype" w:cs="Palatino Linotype"/>
          <w:i/>
        </w:rPr>
        <w:t xml:space="preserve"> de 1994, Pág. 420</w:t>
      </w:r>
    </w:p>
    <w:p w14:paraId="21536ADD" w14:textId="77777777" w:rsidR="00100FEC" w:rsidRPr="00250223" w:rsidRDefault="00581D9C">
      <w:pPr>
        <w:spacing w:after="0" w:line="360" w:lineRule="auto"/>
        <w:ind w:left="567" w:right="567"/>
        <w:jc w:val="both"/>
        <w:rPr>
          <w:rFonts w:ascii="Times New Roman" w:eastAsia="Times New Roman" w:hAnsi="Times New Roman" w:cs="Times New Roman"/>
          <w:sz w:val="24"/>
          <w:szCs w:val="24"/>
        </w:rPr>
      </w:pPr>
      <w:r w:rsidRPr="00250223">
        <w:rPr>
          <w:rFonts w:ascii="Palatino Linotype" w:eastAsia="Palatino Linotype" w:hAnsi="Palatino Linotype" w:cs="Palatino Linotype"/>
          <w:i/>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18376632" w14:textId="77777777" w:rsidR="00100FEC" w:rsidRPr="00250223" w:rsidRDefault="00100FEC">
      <w:pPr>
        <w:spacing w:after="0" w:line="360" w:lineRule="auto"/>
        <w:rPr>
          <w:rFonts w:ascii="Times New Roman" w:eastAsia="Times New Roman" w:hAnsi="Times New Roman" w:cs="Times New Roman"/>
          <w:sz w:val="24"/>
          <w:szCs w:val="24"/>
        </w:rPr>
      </w:pPr>
    </w:p>
    <w:p w14:paraId="205851B3" w14:textId="77777777" w:rsidR="00100FEC" w:rsidRPr="00250223" w:rsidRDefault="00581D9C">
      <w:pPr>
        <w:spacing w:after="24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77430914" w14:textId="77777777" w:rsidR="00100FEC" w:rsidRPr="00250223" w:rsidRDefault="00581D9C">
      <w:pPr>
        <w:spacing w:before="240" w:after="0" w:line="360" w:lineRule="auto"/>
        <w:ind w:left="567" w:right="567"/>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 </w:t>
      </w:r>
      <w:r w:rsidRPr="00250223">
        <w:rPr>
          <w:rFonts w:ascii="Palatino Linotype" w:eastAsia="Palatino Linotype" w:hAnsi="Palatino Linotype" w:cs="Palatino Linotype"/>
          <w:b/>
          <w:i/>
        </w:rPr>
        <w:t>“DESECHAMIENTO O SOBRESEIMIENTO EN EL JUICIO DE AMPARO. NO IMPLICA DENEGACIÓN DE JUSTICIA NI GENERA INSEGURIDAD JURÍDICA”</w:t>
      </w:r>
    </w:p>
    <w:p w14:paraId="61C0484A" w14:textId="77777777" w:rsidR="00100FEC" w:rsidRPr="00250223" w:rsidRDefault="00581D9C">
      <w:pPr>
        <w:spacing w:after="0" w:line="276" w:lineRule="auto"/>
        <w:ind w:left="567" w:right="567"/>
        <w:jc w:val="both"/>
        <w:rPr>
          <w:rFonts w:ascii="Times New Roman" w:eastAsia="Times New Roman" w:hAnsi="Times New Roman" w:cs="Times New Roman"/>
          <w:sz w:val="24"/>
          <w:szCs w:val="24"/>
        </w:rPr>
      </w:pPr>
      <w:r w:rsidRPr="00250223">
        <w:rPr>
          <w:rFonts w:ascii="Palatino Linotype" w:eastAsia="Palatino Linotype" w:hAnsi="Palatino Linotype" w:cs="Palatino Linotype"/>
          <w:i/>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250223">
        <w:rPr>
          <w:rFonts w:ascii="Palatino Linotype" w:eastAsia="Palatino Linotype" w:hAnsi="Palatino Linotype" w:cs="Palatino Linotype"/>
          <w:i/>
        </w:rPr>
        <w:t>promovente</w:t>
      </w:r>
      <w:proofErr w:type="spellEnd"/>
      <w:r w:rsidRPr="00250223">
        <w:rPr>
          <w:rFonts w:ascii="Palatino Linotype" w:eastAsia="Palatino Linotype" w:hAnsi="Palatino Linotype" w:cs="Palatino Linotype"/>
          <w:i/>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28A21AD2" w14:textId="77777777" w:rsidR="00100FEC" w:rsidRPr="00250223" w:rsidRDefault="00100FEC">
      <w:pPr>
        <w:spacing w:after="0" w:line="360" w:lineRule="auto"/>
        <w:rPr>
          <w:rFonts w:ascii="Times New Roman" w:eastAsia="Times New Roman" w:hAnsi="Times New Roman" w:cs="Times New Roman"/>
          <w:sz w:val="24"/>
          <w:szCs w:val="24"/>
        </w:rPr>
      </w:pPr>
    </w:p>
    <w:p w14:paraId="6DEBBF41" w14:textId="77777777" w:rsidR="00100FEC" w:rsidRPr="00250223" w:rsidRDefault="00581D9C">
      <w:pPr>
        <w:spacing w:after="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México y Municipios, se </w:t>
      </w:r>
      <w:r w:rsidRPr="00250223">
        <w:rPr>
          <w:rFonts w:ascii="Palatino Linotype" w:eastAsia="Palatino Linotype" w:hAnsi="Palatino Linotype" w:cs="Palatino Linotype"/>
          <w:i/>
        </w:rPr>
        <w:t>Sobresee</w:t>
      </w:r>
      <w:r w:rsidRPr="00250223">
        <w:rPr>
          <w:rFonts w:ascii="Palatino Linotype" w:eastAsia="Palatino Linotype" w:hAnsi="Palatino Linotype" w:cs="Palatino Linotype"/>
          <w:b/>
        </w:rPr>
        <w:t xml:space="preserve"> </w:t>
      </w:r>
      <w:r w:rsidRPr="00250223">
        <w:rPr>
          <w:rFonts w:ascii="Palatino Linotype" w:eastAsia="Palatino Linotype" w:hAnsi="Palatino Linotype" w:cs="Palatino Linotype"/>
        </w:rPr>
        <w:t xml:space="preserve">el recurso de revisión </w:t>
      </w:r>
      <w:r w:rsidRPr="00250223">
        <w:rPr>
          <w:rFonts w:ascii="Palatino Linotype" w:eastAsia="Palatino Linotype" w:hAnsi="Palatino Linotype" w:cs="Palatino Linotype"/>
          <w:b/>
        </w:rPr>
        <w:t>06294/INFOEM/IP/RR/2025</w:t>
      </w:r>
      <w:r w:rsidRPr="00250223">
        <w:rPr>
          <w:rFonts w:ascii="Palatino Linotype" w:eastAsia="Palatino Linotype" w:hAnsi="Palatino Linotype" w:cs="Palatino Linotype"/>
        </w:rPr>
        <w:t>, que ha sido materia del presente fallo.</w:t>
      </w:r>
    </w:p>
    <w:p w14:paraId="08152012" w14:textId="77777777" w:rsidR="00100FEC" w:rsidRPr="00250223" w:rsidRDefault="00100FEC">
      <w:pPr>
        <w:spacing w:after="0" w:line="360" w:lineRule="auto"/>
        <w:rPr>
          <w:rFonts w:ascii="Times New Roman" w:eastAsia="Times New Roman" w:hAnsi="Times New Roman" w:cs="Times New Roman"/>
          <w:sz w:val="24"/>
          <w:szCs w:val="24"/>
        </w:rPr>
      </w:pPr>
    </w:p>
    <w:p w14:paraId="2D7C04F8" w14:textId="77777777" w:rsidR="00100FEC" w:rsidRPr="00250223" w:rsidRDefault="00581D9C">
      <w:pPr>
        <w:spacing w:after="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Así, con fundamento en lo prescrito en los artículos 5 trigésimo noveno, cuadragésimo y cuadragésimo primero fracciones IV y V de la Constitución Política del Estado Libre y Soberano de México; 2, fracción II; 29, 36 fracciones I y II; 176, 178, 181, 185, fracción I, 186, fracción I, así como 188 de la Ley de Transparencia y Acceso a la Información Pública del Estado de México y Municipios, este Pleno:</w:t>
      </w:r>
    </w:p>
    <w:p w14:paraId="09D75AF0" w14:textId="77777777" w:rsidR="00100FEC" w:rsidRPr="00250223" w:rsidRDefault="00581D9C">
      <w:pPr>
        <w:spacing w:after="0" w:line="360" w:lineRule="auto"/>
        <w:rPr>
          <w:rFonts w:ascii="Times New Roman" w:eastAsia="Times New Roman" w:hAnsi="Times New Roman" w:cs="Times New Roman"/>
          <w:sz w:val="24"/>
          <w:szCs w:val="24"/>
        </w:rPr>
      </w:pPr>
      <w:r w:rsidRPr="00250223">
        <w:rPr>
          <w:rFonts w:ascii="Times New Roman" w:eastAsia="Times New Roman" w:hAnsi="Times New Roman" w:cs="Times New Roman"/>
          <w:sz w:val="24"/>
          <w:szCs w:val="24"/>
        </w:rPr>
        <w:br/>
      </w:r>
    </w:p>
    <w:p w14:paraId="25C86F8C" w14:textId="77777777" w:rsidR="00100FEC" w:rsidRPr="00250223" w:rsidRDefault="00581D9C">
      <w:pPr>
        <w:numPr>
          <w:ilvl w:val="0"/>
          <w:numId w:val="4"/>
        </w:numPr>
        <w:spacing w:after="0" w:line="360" w:lineRule="auto"/>
        <w:jc w:val="center"/>
        <w:rPr>
          <w:rFonts w:ascii="Palatino Linotype" w:eastAsia="Palatino Linotype" w:hAnsi="Palatino Linotype" w:cs="Palatino Linotype"/>
          <w:b/>
        </w:rPr>
      </w:pPr>
      <w:r w:rsidRPr="00250223">
        <w:rPr>
          <w:rFonts w:ascii="Palatino Linotype" w:eastAsia="Palatino Linotype" w:hAnsi="Palatino Linotype" w:cs="Palatino Linotype"/>
          <w:b/>
        </w:rPr>
        <w:t>R E S U E L V E:</w:t>
      </w:r>
    </w:p>
    <w:p w14:paraId="156C16D8" w14:textId="77777777" w:rsidR="00100FEC" w:rsidRPr="00250223" w:rsidRDefault="00581D9C">
      <w:pPr>
        <w:spacing w:before="280" w:after="28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b/>
        </w:rPr>
        <w:t xml:space="preserve">Primero. </w:t>
      </w:r>
      <w:r w:rsidRPr="00250223">
        <w:rPr>
          <w:rFonts w:ascii="Palatino Linotype" w:eastAsia="Palatino Linotype" w:hAnsi="Palatino Linotype" w:cs="Palatino Linotype"/>
        </w:rPr>
        <w:t xml:space="preserve">Se </w:t>
      </w:r>
      <w:r w:rsidRPr="00250223">
        <w:rPr>
          <w:rFonts w:ascii="Palatino Linotype" w:eastAsia="Palatino Linotype" w:hAnsi="Palatino Linotype" w:cs="Palatino Linotype"/>
          <w:b/>
        </w:rPr>
        <w:t xml:space="preserve">Sobresee </w:t>
      </w:r>
      <w:r w:rsidRPr="00250223">
        <w:rPr>
          <w:rFonts w:ascii="Palatino Linotype" w:eastAsia="Palatino Linotype" w:hAnsi="Palatino Linotype" w:cs="Palatino Linotype"/>
        </w:rPr>
        <w:t>el recurso de revisión número</w:t>
      </w:r>
      <w:r w:rsidRPr="00250223">
        <w:rPr>
          <w:rFonts w:ascii="Palatino Linotype" w:eastAsia="Palatino Linotype" w:hAnsi="Palatino Linotype" w:cs="Palatino Linotype"/>
          <w:b/>
        </w:rPr>
        <w:t xml:space="preserve"> 06294/INFOEM/IP/RR/2025,</w:t>
      </w:r>
      <w:r w:rsidRPr="00250223">
        <w:rPr>
          <w:rFonts w:ascii="Palatino Linotype" w:eastAsia="Palatino Linotype" w:hAnsi="Palatino Linotype" w:cs="Palatino Linotype"/>
        </w:rPr>
        <w:t xml:space="preserve"> porque al </w:t>
      </w:r>
      <w:r w:rsidRPr="00250223">
        <w:rPr>
          <w:rFonts w:ascii="Palatino Linotype" w:eastAsia="Palatino Linotype" w:hAnsi="Palatino Linotype" w:cs="Palatino Linotype"/>
          <w:b/>
        </w:rPr>
        <w:t>modificar la respuesta</w:t>
      </w:r>
      <w:r w:rsidRPr="00250223">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dicho medio de impugnación en términos del considerando </w:t>
      </w:r>
      <w:r w:rsidRPr="00250223">
        <w:rPr>
          <w:rFonts w:ascii="Palatino Linotype" w:eastAsia="Palatino Linotype" w:hAnsi="Palatino Linotype" w:cs="Palatino Linotype"/>
          <w:b/>
        </w:rPr>
        <w:t>Tercero</w:t>
      </w:r>
      <w:r w:rsidRPr="00250223">
        <w:rPr>
          <w:rFonts w:ascii="Palatino Linotype" w:eastAsia="Palatino Linotype" w:hAnsi="Palatino Linotype" w:cs="Palatino Linotype"/>
          <w:i/>
        </w:rPr>
        <w:t xml:space="preserve"> </w:t>
      </w:r>
      <w:r w:rsidRPr="00250223">
        <w:rPr>
          <w:rFonts w:ascii="Palatino Linotype" w:eastAsia="Palatino Linotype" w:hAnsi="Palatino Linotype" w:cs="Palatino Linotype"/>
        </w:rPr>
        <w:t>de la presente Resolución.</w:t>
      </w:r>
    </w:p>
    <w:p w14:paraId="6EB50CCC" w14:textId="77777777" w:rsidR="00100FEC" w:rsidRPr="00250223" w:rsidRDefault="00581D9C">
      <w:pPr>
        <w:spacing w:after="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b/>
        </w:rPr>
        <w:t xml:space="preserve">Segundo. Notifíquese </w:t>
      </w:r>
      <w:r w:rsidRPr="00250223">
        <w:rPr>
          <w:rFonts w:ascii="Palatino Linotype" w:eastAsia="Palatino Linotype" w:hAnsi="Palatino Linotype" w:cs="Palatino Linotype"/>
        </w:rPr>
        <w:t>vía SAIMEX,</w:t>
      </w:r>
      <w:r w:rsidRPr="00250223">
        <w:rPr>
          <w:rFonts w:ascii="Palatino Linotype" w:eastAsia="Palatino Linotype" w:hAnsi="Palatino Linotype" w:cs="Palatino Linotype"/>
          <w:b/>
        </w:rPr>
        <w:t xml:space="preserve"> </w:t>
      </w:r>
      <w:r w:rsidRPr="00250223">
        <w:rPr>
          <w:rFonts w:ascii="Palatino Linotype" w:eastAsia="Palatino Linotype" w:hAnsi="Palatino Linotype" w:cs="Palatino Linotype"/>
        </w:rPr>
        <w:t>al Responsable de la Unidad de Transparencia del</w:t>
      </w:r>
      <w:r w:rsidRPr="00250223">
        <w:rPr>
          <w:rFonts w:ascii="Palatino Linotype" w:eastAsia="Palatino Linotype" w:hAnsi="Palatino Linotype" w:cs="Palatino Linotype"/>
          <w:b/>
        </w:rPr>
        <w:t xml:space="preserve"> Sujeto Obligado </w:t>
      </w:r>
      <w:r w:rsidRPr="00250223">
        <w:rPr>
          <w:rFonts w:ascii="Palatino Linotype" w:eastAsia="Palatino Linotype" w:hAnsi="Palatino Linotype" w:cs="Palatino Linotype"/>
        </w:rPr>
        <w:t>la presente resolución, para su conocimiento, lo anterior en términos del artículo 189 de la Ley de Transparencia y Acceso a la Información Pública del Estado de México y Municipios.</w:t>
      </w:r>
    </w:p>
    <w:p w14:paraId="32B8CE05" w14:textId="77777777" w:rsidR="00100FEC" w:rsidRPr="00250223" w:rsidRDefault="00100FEC">
      <w:pPr>
        <w:spacing w:after="0" w:line="360" w:lineRule="auto"/>
        <w:rPr>
          <w:rFonts w:ascii="Times New Roman" w:eastAsia="Times New Roman" w:hAnsi="Times New Roman" w:cs="Times New Roman"/>
          <w:sz w:val="24"/>
          <w:szCs w:val="24"/>
        </w:rPr>
      </w:pPr>
    </w:p>
    <w:p w14:paraId="76C45C79" w14:textId="77777777" w:rsidR="00100FEC" w:rsidRPr="00250223" w:rsidRDefault="00581D9C">
      <w:pPr>
        <w:spacing w:after="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b/>
        </w:rPr>
        <w:t xml:space="preserve">Tercero. </w:t>
      </w:r>
      <w:r w:rsidRPr="00250223">
        <w:rPr>
          <w:rFonts w:ascii="Palatino Linotype" w:eastAsia="Palatino Linotype" w:hAnsi="Palatino Linotype" w:cs="Palatino Linotype"/>
          <w:b/>
          <w:sz w:val="28"/>
          <w:szCs w:val="28"/>
        </w:rPr>
        <w:t> </w:t>
      </w:r>
      <w:r w:rsidRPr="00250223">
        <w:rPr>
          <w:rFonts w:ascii="Palatino Linotype" w:eastAsia="Palatino Linotype" w:hAnsi="Palatino Linotype" w:cs="Palatino Linotype"/>
          <w:b/>
        </w:rPr>
        <w:t xml:space="preserve">Notifíquese </w:t>
      </w:r>
      <w:r w:rsidRPr="00250223">
        <w:rPr>
          <w:rFonts w:ascii="Palatino Linotype" w:eastAsia="Palatino Linotype" w:hAnsi="Palatino Linotype" w:cs="Palatino Linotype"/>
        </w:rPr>
        <w:t>vía SAIMEX</w:t>
      </w:r>
      <w:r w:rsidRPr="00250223">
        <w:rPr>
          <w:rFonts w:ascii="Palatino Linotype" w:eastAsia="Palatino Linotype" w:hAnsi="Palatino Linotype" w:cs="Palatino Linotype"/>
          <w:b/>
        </w:rPr>
        <w:t xml:space="preserve">, </w:t>
      </w:r>
      <w:r w:rsidRPr="00250223">
        <w:rPr>
          <w:rFonts w:ascii="Palatino Linotype" w:eastAsia="Palatino Linotype" w:hAnsi="Palatino Linotype" w:cs="Palatino Linotype"/>
        </w:rPr>
        <w:t xml:space="preserve">la presente resolución a la parte </w:t>
      </w:r>
      <w:r w:rsidRPr="00250223">
        <w:rPr>
          <w:rFonts w:ascii="Palatino Linotype" w:eastAsia="Palatino Linotype" w:hAnsi="Palatino Linotype" w:cs="Palatino Linotype"/>
          <w:b/>
        </w:rPr>
        <w:t>Recurrente</w:t>
      </w:r>
      <w:r w:rsidRPr="00250223">
        <w:rPr>
          <w:rFonts w:ascii="Palatino Linotype" w:eastAsia="Palatino Linotype" w:hAnsi="Palatino Linotype" w:cs="Palatino Linotype"/>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661C72CF" w14:textId="77777777" w:rsidR="00100FEC" w:rsidRPr="00250223" w:rsidRDefault="00100FEC">
      <w:pPr>
        <w:spacing w:after="0" w:line="360" w:lineRule="auto"/>
        <w:rPr>
          <w:rFonts w:ascii="Times New Roman" w:eastAsia="Times New Roman" w:hAnsi="Times New Roman" w:cs="Times New Roman"/>
          <w:sz w:val="24"/>
          <w:szCs w:val="24"/>
        </w:rPr>
      </w:pPr>
    </w:p>
    <w:p w14:paraId="6C6D5BEB" w14:textId="77777777" w:rsidR="00100FEC" w:rsidRPr="00CB2B61" w:rsidRDefault="00581D9C">
      <w:pPr>
        <w:spacing w:after="0" w:line="360" w:lineRule="auto"/>
        <w:jc w:val="both"/>
        <w:rPr>
          <w:rFonts w:ascii="Times New Roman" w:eastAsia="Times New Roman" w:hAnsi="Times New Roman" w:cs="Times New Roman"/>
          <w:sz w:val="24"/>
          <w:szCs w:val="24"/>
        </w:rPr>
      </w:pPr>
      <w:r w:rsidRPr="0025022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QUINCE DE OCTUBRE DE DOS MIL VEINTICINCO, ANTE EL SECRETARIO TÉCNICO DEL PLENO ALEXIS TAPIA RAMÍREZ.</w:t>
      </w:r>
      <w:r w:rsidRPr="00CB2B61">
        <w:rPr>
          <w:rFonts w:ascii="Palatino Linotype" w:eastAsia="Palatino Linotype" w:hAnsi="Palatino Linotype" w:cs="Palatino Linotype"/>
        </w:rPr>
        <w:t> </w:t>
      </w:r>
    </w:p>
    <w:p w14:paraId="3A6C35B7" w14:textId="5C011585" w:rsidR="00100FEC" w:rsidRPr="00CB2B61" w:rsidRDefault="00100FEC">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30A368C8" w14:textId="07F795DA"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403C93D4" w14:textId="6EFFF85D"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6CE80B82" w14:textId="1D0E60A8"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4B9ECC32" w14:textId="260C78BA"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478033E3" w14:textId="1C536DC6"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47A70465" w14:textId="6D606AC2"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26EC8D0A" w14:textId="5BEB7626"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73206E83" w14:textId="3E3C8835"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33423365" w14:textId="0DBA70E0"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44890A48" w14:textId="585C3BE1"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65720AC4" w14:textId="6313EDD9"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0E988636" w14:textId="0C617A12"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1294BDB6" w14:textId="6F3EB94B"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54576BB4" w14:textId="38CBC32A"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7C0AF5E0" w14:textId="4B87877D"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29659CA8" w14:textId="3A378F21"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007AC460" w14:textId="77777777" w:rsidR="00CB2B61" w:rsidRPr="00CB2B61" w:rsidRDefault="00CB2B61">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sectPr w:rsidR="00CB2B61" w:rsidRPr="00CB2B61">
      <w:headerReference w:type="default" r:id="rId19"/>
      <w:footerReference w:type="default" r:id="rId20"/>
      <w:headerReference w:type="first" r:id="rId21"/>
      <w:footerReference w:type="first" r:id="rId2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55D91" w14:textId="77777777" w:rsidR="00A1252B" w:rsidRDefault="00A1252B">
      <w:pPr>
        <w:spacing w:after="0" w:line="240" w:lineRule="auto"/>
      </w:pPr>
      <w:r>
        <w:separator/>
      </w:r>
    </w:p>
  </w:endnote>
  <w:endnote w:type="continuationSeparator" w:id="0">
    <w:p w14:paraId="17BBE325" w14:textId="77777777" w:rsidR="00A1252B" w:rsidRDefault="00A12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Book">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8B0E4" w14:textId="19429308" w:rsidR="00100FEC" w:rsidRDefault="00581D9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F04DD6">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F04DD6">
      <w:rPr>
        <w:b/>
        <w:noProof/>
        <w:color w:val="000000"/>
        <w:sz w:val="24"/>
        <w:szCs w:val="24"/>
      </w:rPr>
      <w:t>28</w:t>
    </w:r>
    <w:r>
      <w:rPr>
        <w:b/>
        <w:color w:val="000000"/>
        <w:sz w:val="24"/>
        <w:szCs w:val="24"/>
      </w:rPr>
      <w:fldChar w:fldCharType="end"/>
    </w:r>
  </w:p>
  <w:p w14:paraId="61B6FEDB" w14:textId="77777777" w:rsidR="00100FEC" w:rsidRDefault="00100FE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50C39" w14:textId="0B8634D1" w:rsidR="00100FEC" w:rsidRDefault="00581D9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05041A">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05041A">
      <w:rPr>
        <w:b/>
        <w:noProof/>
        <w:color w:val="000000"/>
        <w:sz w:val="24"/>
        <w:szCs w:val="24"/>
      </w:rPr>
      <w:t>28</w:t>
    </w:r>
    <w:r>
      <w:rPr>
        <w:b/>
        <w:color w:val="000000"/>
        <w:sz w:val="24"/>
        <w:szCs w:val="24"/>
      </w:rPr>
      <w:fldChar w:fldCharType="end"/>
    </w:r>
  </w:p>
  <w:p w14:paraId="2282D9A6" w14:textId="77777777" w:rsidR="00100FEC" w:rsidRDefault="00100FE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D4109" w14:textId="77777777" w:rsidR="00A1252B" w:rsidRDefault="00A1252B">
      <w:pPr>
        <w:spacing w:after="0" w:line="240" w:lineRule="auto"/>
      </w:pPr>
      <w:r>
        <w:separator/>
      </w:r>
    </w:p>
  </w:footnote>
  <w:footnote w:type="continuationSeparator" w:id="0">
    <w:p w14:paraId="5304B2F0" w14:textId="77777777" w:rsidR="00A1252B" w:rsidRDefault="00A125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78E36" w14:textId="77777777" w:rsidR="00100FEC" w:rsidRDefault="00581D9C">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3D695243" wp14:editId="0C85A99D">
          <wp:simplePos x="0" y="0"/>
          <wp:positionH relativeFrom="column">
            <wp:posOffset>-774698</wp:posOffset>
          </wp:positionH>
          <wp:positionV relativeFrom="paragraph">
            <wp:posOffset>-345438</wp:posOffset>
          </wp:positionV>
          <wp:extent cx="7809876" cy="10165823"/>
          <wp:effectExtent l="0" t="0" r="0" b="0"/>
          <wp:wrapNone/>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603" w:type="dxa"/>
      <w:tblInd w:w="3611" w:type="dxa"/>
      <w:tblLayout w:type="fixed"/>
      <w:tblLook w:val="0400" w:firstRow="0" w:lastRow="0" w:firstColumn="0" w:lastColumn="0" w:noHBand="0" w:noVBand="1"/>
    </w:tblPr>
    <w:tblGrid>
      <w:gridCol w:w="2551"/>
      <w:gridCol w:w="3052"/>
    </w:tblGrid>
    <w:tr w:rsidR="00100FEC" w14:paraId="0514D47A" w14:textId="77777777">
      <w:tc>
        <w:tcPr>
          <w:tcW w:w="2551" w:type="dxa"/>
          <w:vAlign w:val="center"/>
        </w:tcPr>
        <w:p w14:paraId="5E97697C" w14:textId="77777777" w:rsidR="00100FEC" w:rsidRDefault="00581D9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71B698E7" w14:textId="77777777" w:rsidR="00100FEC" w:rsidRDefault="00581D9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06294/INFOEM/IP/RR/2025</w:t>
          </w:r>
        </w:p>
      </w:tc>
    </w:tr>
    <w:tr w:rsidR="00100FEC" w14:paraId="55576517" w14:textId="77777777">
      <w:trPr>
        <w:trHeight w:val="217"/>
      </w:trPr>
      <w:tc>
        <w:tcPr>
          <w:tcW w:w="2551" w:type="dxa"/>
          <w:vAlign w:val="center"/>
        </w:tcPr>
        <w:p w14:paraId="0B27F7DB" w14:textId="77777777" w:rsidR="00100FEC" w:rsidRDefault="00581D9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175C547E" w14:textId="77777777" w:rsidR="00100FEC" w:rsidRDefault="00100FE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4C2227A3" w14:textId="77777777" w:rsidR="00100FEC" w:rsidRDefault="00581D9C">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General de Gobierno</w:t>
          </w:r>
        </w:p>
      </w:tc>
    </w:tr>
    <w:tr w:rsidR="00100FEC" w14:paraId="40F532CC" w14:textId="77777777">
      <w:tc>
        <w:tcPr>
          <w:tcW w:w="2551" w:type="dxa"/>
          <w:vAlign w:val="center"/>
        </w:tcPr>
        <w:p w14:paraId="14CE0B22" w14:textId="77777777" w:rsidR="00100FEC" w:rsidRDefault="00581D9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3F8DE0C8" w14:textId="77777777" w:rsidR="00100FEC" w:rsidRDefault="00581D9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9AA834B" w14:textId="77777777" w:rsidR="00100FEC" w:rsidRDefault="00100FE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A2745" w14:textId="77777777" w:rsidR="00100FEC" w:rsidRDefault="00581D9C">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EC89445" wp14:editId="6FED09A8">
          <wp:simplePos x="0" y="0"/>
          <wp:positionH relativeFrom="column">
            <wp:posOffset>-706753</wp:posOffset>
          </wp:positionH>
          <wp:positionV relativeFrom="paragraph">
            <wp:posOffset>-229867</wp:posOffset>
          </wp:positionV>
          <wp:extent cx="7809865" cy="10165715"/>
          <wp:effectExtent l="0" t="0" r="0" b="0"/>
          <wp:wrapNone/>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603" w:type="dxa"/>
      <w:tblInd w:w="3611" w:type="dxa"/>
      <w:tblLayout w:type="fixed"/>
      <w:tblLook w:val="0400" w:firstRow="0" w:lastRow="0" w:firstColumn="0" w:lastColumn="0" w:noHBand="0" w:noVBand="1"/>
    </w:tblPr>
    <w:tblGrid>
      <w:gridCol w:w="2551"/>
      <w:gridCol w:w="3052"/>
    </w:tblGrid>
    <w:tr w:rsidR="00100FEC" w14:paraId="5CF79696" w14:textId="77777777">
      <w:tc>
        <w:tcPr>
          <w:tcW w:w="2551" w:type="dxa"/>
          <w:vAlign w:val="center"/>
        </w:tcPr>
        <w:p w14:paraId="1B613685" w14:textId="77777777" w:rsidR="00100FEC" w:rsidRDefault="00581D9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7B75457C" w14:textId="77777777" w:rsidR="00100FEC" w:rsidRDefault="00581D9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06294/INFOEM/IP/RR/2025</w:t>
          </w:r>
        </w:p>
      </w:tc>
    </w:tr>
    <w:tr w:rsidR="00100FEC" w14:paraId="52E4D441" w14:textId="77777777">
      <w:tc>
        <w:tcPr>
          <w:tcW w:w="2551" w:type="dxa"/>
          <w:vAlign w:val="center"/>
        </w:tcPr>
        <w:p w14:paraId="2158F21A" w14:textId="77777777" w:rsidR="00100FEC" w:rsidRDefault="00581D9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6C4CA1B7" w14:textId="7A47A1B1" w:rsidR="00100FEC" w:rsidRDefault="0005041A" w:rsidP="0005041A">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XXXXX XXXX XXXXXXX </w:t>
          </w:r>
        </w:p>
      </w:tc>
    </w:tr>
    <w:tr w:rsidR="00100FEC" w14:paraId="78383450" w14:textId="77777777">
      <w:trPr>
        <w:trHeight w:val="152"/>
      </w:trPr>
      <w:tc>
        <w:tcPr>
          <w:tcW w:w="2551" w:type="dxa"/>
          <w:vAlign w:val="center"/>
        </w:tcPr>
        <w:p w14:paraId="2FAF954F" w14:textId="77777777" w:rsidR="00100FEC" w:rsidRDefault="00581D9C">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DFFCD6A" w14:textId="77777777" w:rsidR="00100FEC" w:rsidRDefault="00100FEC">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597853EB" w14:textId="77777777" w:rsidR="00100FEC" w:rsidRDefault="00581D9C">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General de Gobierno</w:t>
          </w:r>
        </w:p>
      </w:tc>
    </w:tr>
    <w:tr w:rsidR="00100FEC" w14:paraId="4C37F9DA" w14:textId="77777777">
      <w:tc>
        <w:tcPr>
          <w:tcW w:w="2551" w:type="dxa"/>
          <w:vAlign w:val="center"/>
        </w:tcPr>
        <w:p w14:paraId="1F3BC804" w14:textId="77777777" w:rsidR="00100FEC" w:rsidRDefault="00581D9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3750B1B" w14:textId="77777777" w:rsidR="00100FEC" w:rsidRDefault="00581D9C">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A790161" w14:textId="77777777" w:rsidR="00100FEC" w:rsidRDefault="00581D9C">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F439C"/>
    <w:multiLevelType w:val="multilevel"/>
    <w:tmpl w:val="F9EEAAB2"/>
    <w:lvl w:ilvl="0">
      <w:start w:val="1"/>
      <w:numFmt w:val="bullet"/>
      <w:lvlText w:val="-"/>
      <w:lvlJc w:val="left"/>
      <w:pPr>
        <w:ind w:left="720" w:hanging="360"/>
      </w:pPr>
      <w:rPr>
        <w:rFonts w:ascii="Palatino Linotype" w:eastAsia="Palatino Linotype" w:hAnsi="Palatino Linotype" w:cs="Palatino Linotype"/>
        <w:b/>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A6125C"/>
    <w:multiLevelType w:val="multilevel"/>
    <w:tmpl w:val="EBF6E1A4"/>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DE2446"/>
    <w:multiLevelType w:val="multilevel"/>
    <w:tmpl w:val="8ED643D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7F4F39"/>
    <w:multiLevelType w:val="multilevel"/>
    <w:tmpl w:val="FFB420FC"/>
    <w:lvl w:ilvl="0">
      <w:start w:val="3"/>
      <w:numFmt w:val="upperRoman"/>
      <w:pStyle w:val="Listaconvietas"/>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FEC"/>
    <w:rsid w:val="0005041A"/>
    <w:rsid w:val="00100FEC"/>
    <w:rsid w:val="00250223"/>
    <w:rsid w:val="004153E5"/>
    <w:rsid w:val="00581D9C"/>
    <w:rsid w:val="006B2A3D"/>
    <w:rsid w:val="009A2AD0"/>
    <w:rsid w:val="009F3A42"/>
    <w:rsid w:val="00A1252B"/>
    <w:rsid w:val="00B3238D"/>
    <w:rsid w:val="00CB2B61"/>
    <w:rsid w:val="00D424D9"/>
    <w:rsid w:val="00DC5CFA"/>
    <w:rsid w:val="00F04D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E2F1D"/>
  <w15:docId w15:val="{0F3B0623-E18F-41CD-A671-7343F734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a">
    <w:basedOn w:val="TableNormal2"/>
    <w:tblPr>
      <w:tblStyleRowBandSize w:val="1"/>
      <w:tblStyleColBandSize w:val="1"/>
      <w:tblCellMar>
        <w:top w:w="15" w:type="dxa"/>
        <w:left w:w="15" w:type="dxa"/>
        <w:bottom w:w="15" w:type="dxa"/>
        <w:right w:w="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15" w:type="dxa"/>
        <w:bottom w:w="15" w:type="dxa"/>
        <w:right w:w="115" w:type="dxa"/>
      </w:tblCellMar>
    </w:tblPr>
  </w:style>
  <w:style w:type="table" w:customStyle="1" w:styleId="a3">
    <w:basedOn w:val="TableNormal2"/>
    <w:tblPr>
      <w:tblStyleRowBandSize w:val="1"/>
      <w:tblStyleColBandSize w:val="1"/>
      <w:tblCellMar>
        <w:top w:w="15" w:type="dxa"/>
        <w:left w:w="115" w:type="dxa"/>
        <w:bottom w:w="15" w:type="dxa"/>
        <w:right w:w="115" w:type="dxa"/>
      </w:tblCellMar>
    </w:tblPr>
  </w:style>
  <w:style w:type="table" w:customStyle="1" w:styleId="a4">
    <w:basedOn w:val="TableNormal2"/>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character" w:customStyle="1" w:styleId="qu">
    <w:name w:val="qu"/>
    <w:basedOn w:val="Fuentedeprrafopredeter"/>
    <w:rsid w:val="00C1478B"/>
  </w:style>
  <w:style w:type="character" w:customStyle="1" w:styleId="gd">
    <w:name w:val="gd"/>
    <w:basedOn w:val="Fuentedeprrafopredeter"/>
    <w:rsid w:val="00C1478B"/>
  </w:style>
  <w:style w:type="character" w:customStyle="1" w:styleId="go">
    <w:name w:val="go"/>
    <w:basedOn w:val="Fuentedeprrafopredeter"/>
    <w:rsid w:val="00C1478B"/>
  </w:style>
  <w:style w:type="character" w:customStyle="1" w:styleId="g3">
    <w:name w:val="g3"/>
    <w:basedOn w:val="Fuentedeprrafopredeter"/>
    <w:rsid w:val="00C1478B"/>
  </w:style>
  <w:style w:type="character" w:customStyle="1" w:styleId="hb">
    <w:name w:val="hb"/>
    <w:basedOn w:val="Fuentedeprrafopredeter"/>
    <w:rsid w:val="00C1478B"/>
  </w:style>
  <w:style w:type="character" w:customStyle="1" w:styleId="g2">
    <w:name w:val="g2"/>
    <w:basedOn w:val="Fuentedeprrafopredeter"/>
    <w:rsid w:val="00C1478B"/>
  </w:style>
  <w:style w:type="character" w:customStyle="1" w:styleId="Mencinsinresolver3">
    <w:name w:val="Mención sin resolver3"/>
    <w:basedOn w:val="Fuentedeprrafopredeter"/>
    <w:uiPriority w:val="99"/>
    <w:semiHidden/>
    <w:unhideWhenUsed/>
    <w:rsid w:val="00713594"/>
    <w:rPr>
      <w:color w:val="605E5C"/>
      <w:shd w:val="clear" w:color="auto" w:fill="E1DFDD"/>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B345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B345C"/>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B345C"/>
    <w:rPr>
      <w:rFonts w:asciiTheme="minorHAnsi" w:eastAsiaTheme="minorHAnsi" w:hAnsiTheme="minorHAnsi" w:cstheme="minorBidi"/>
      <w:sz w:val="20"/>
      <w:szCs w:val="20"/>
      <w:lang w:eastAsia="en-US"/>
    </w:rPr>
  </w:style>
  <w:style w:type="paragraph" w:styleId="Listaconvietas">
    <w:name w:val="List Bullet"/>
    <w:basedOn w:val="Normal"/>
    <w:uiPriority w:val="99"/>
    <w:unhideWhenUsed/>
    <w:rsid w:val="000A11C1"/>
    <w:pPr>
      <w:numPr>
        <w:numId w:val="4"/>
      </w:numPr>
      <w:spacing w:after="0" w:line="240" w:lineRule="auto"/>
      <w:contextualSpacing/>
    </w:pPr>
    <w:rPr>
      <w:rFonts w:ascii="Times New Roman" w:eastAsia="Times New Roman" w:hAnsi="Times New Roman" w:cs="Times New Roman"/>
      <w:sz w:val="24"/>
      <w:szCs w:val="24"/>
      <w:lang w:eastAsia="es-ES"/>
    </w:rPr>
  </w:style>
  <w:style w:type="table" w:customStyle="1" w:styleId="a5">
    <w:basedOn w:val="TableNormal1"/>
    <w:tblPr>
      <w:tblStyleRowBandSize w:val="1"/>
      <w:tblStyleColBandSize w:val="1"/>
      <w:tblCellMar>
        <w:top w:w="15" w:type="dxa"/>
        <w:left w:w="115" w:type="dxa"/>
        <w:bottom w:w="15" w:type="dxa"/>
        <w:right w:w="115" w:type="dxa"/>
      </w:tblCellMar>
    </w:tblPr>
  </w:style>
  <w:style w:type="table" w:customStyle="1" w:styleId="a6">
    <w:basedOn w:val="TableNormal1"/>
    <w:tblPr>
      <w:tblStyleRowBandSize w:val="1"/>
      <w:tblStyleColBandSize w:val="1"/>
      <w:tblCellMar>
        <w:top w:w="15" w:type="dxa"/>
        <w:left w:w="115" w:type="dxa"/>
        <w:bottom w:w="15" w:type="dxa"/>
        <w:right w:w="115" w:type="dxa"/>
      </w:tblCellMar>
    </w:tblPr>
  </w:style>
  <w:style w:type="character" w:customStyle="1" w:styleId="apple-tab-span">
    <w:name w:val="apple-tab-span"/>
    <w:basedOn w:val="Fuentedeprrafopredeter"/>
    <w:rsid w:val="002226E6"/>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top w:w="15" w:type="dxa"/>
        <w:left w:w="115" w:type="dxa"/>
        <w:bottom w:w="15" w:type="dxa"/>
        <w:right w:w="115" w:type="dxa"/>
      </w:tblCellMar>
    </w:tblPr>
  </w:style>
  <w:style w:type="table" w:customStyle="1" w:styleId="a8">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tlasnacionalderiesgos.gob.mx/AtlasEstatales/?&amp;NOM_ENT=M%C3%A9xico&amp;CVE_ENT=15"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2.toluca.gob.mx/wp-content/uploads/2024/10/VF_Toluca_Atlas_Riesgo_2024_C.pdf"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drive/folders/1hiE9deydDgnkHg84wMQHKc6ITK-UjpZC?usp=sharing" TargetMode="External"/><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LdfvhTOugsdpjyfkC9aqQjkcRA==">CgMxLjAyCWguMzBqMHpsbDgAciExamlBc0tnclFZc1loNF9sc095S29qVFRXMVR3aWhFTFQ=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5930</Words>
  <Characters>32616</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2025-10-17T01:26:00Z</cp:lastPrinted>
  <dcterms:created xsi:type="dcterms:W3CDTF">2025-11-13T19:25:00Z</dcterms:created>
  <dcterms:modified xsi:type="dcterms:W3CDTF">2025-11-13T19:25:00Z</dcterms:modified>
</cp:coreProperties>
</file>