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28B" w:rsidRPr="00A97575" w:rsidRDefault="007020AD" w:rsidP="00A97575">
      <w:pPr>
        <w:spacing w:line="360" w:lineRule="auto"/>
        <w:ind w:right="-28"/>
        <w:jc w:val="both"/>
        <w:rPr>
          <w:rFonts w:ascii="Palatino Linotype" w:eastAsia="Palatino Linotype" w:hAnsi="Palatino Linotype" w:cs="Palatino Linotype"/>
          <w:color w:val="000000" w:themeColor="text1"/>
        </w:rPr>
      </w:pPr>
      <w:bookmarkStart w:id="0" w:name="_GoBack"/>
      <w:bookmarkEnd w:id="0"/>
      <w:r w:rsidRPr="00A9757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A97575">
        <w:rPr>
          <w:rFonts w:ascii="Palatino Linotype" w:eastAsia="Palatino Linotype" w:hAnsi="Palatino Linotype" w:cs="Palatino Linotype"/>
          <w:b/>
          <w:color w:val="000000" w:themeColor="text1"/>
        </w:rPr>
        <w:t xml:space="preserve">de fecha </w:t>
      </w:r>
      <w:r w:rsidR="00B2024F" w:rsidRPr="00A97575">
        <w:rPr>
          <w:rFonts w:ascii="Palatino Linotype" w:eastAsia="Palatino Linotype" w:hAnsi="Palatino Linotype" w:cs="Palatino Linotype"/>
          <w:b/>
          <w:color w:val="000000" w:themeColor="text1"/>
        </w:rPr>
        <w:t>quince</w:t>
      </w:r>
      <w:r w:rsidR="006708C1">
        <w:rPr>
          <w:rFonts w:ascii="Palatino Linotype" w:eastAsia="Palatino Linotype" w:hAnsi="Palatino Linotype" w:cs="Palatino Linotype"/>
          <w:b/>
          <w:color w:val="000000" w:themeColor="text1"/>
        </w:rPr>
        <w:t xml:space="preserve"> (15)</w:t>
      </w:r>
      <w:r w:rsidR="00431103" w:rsidRPr="00A97575">
        <w:rPr>
          <w:rFonts w:ascii="Palatino Linotype" w:eastAsia="Palatino Linotype" w:hAnsi="Palatino Linotype" w:cs="Palatino Linotype"/>
          <w:b/>
          <w:color w:val="000000" w:themeColor="text1"/>
        </w:rPr>
        <w:t xml:space="preserve"> de o</w:t>
      </w:r>
      <w:r w:rsidR="00B2024F" w:rsidRPr="00A97575">
        <w:rPr>
          <w:rFonts w:ascii="Palatino Linotype" w:eastAsia="Palatino Linotype" w:hAnsi="Palatino Linotype" w:cs="Palatino Linotype"/>
          <w:b/>
          <w:color w:val="000000" w:themeColor="text1"/>
        </w:rPr>
        <w:t>ctubre</w:t>
      </w:r>
      <w:r w:rsidRPr="00A97575">
        <w:rPr>
          <w:rFonts w:ascii="Palatino Linotype" w:eastAsia="Palatino Linotype" w:hAnsi="Palatino Linotype" w:cs="Palatino Linotype"/>
          <w:b/>
          <w:color w:val="000000" w:themeColor="text1"/>
        </w:rPr>
        <w:t xml:space="preserve"> de </w:t>
      </w:r>
      <w:r w:rsidR="009D4323" w:rsidRPr="00A97575">
        <w:rPr>
          <w:rFonts w:ascii="Palatino Linotype" w:eastAsia="Palatino Linotype" w:hAnsi="Palatino Linotype" w:cs="Palatino Linotype"/>
          <w:b/>
          <w:color w:val="000000" w:themeColor="text1"/>
        </w:rPr>
        <w:t>dos mil veinticinco</w:t>
      </w:r>
      <w:r w:rsidRPr="00A97575">
        <w:rPr>
          <w:rFonts w:ascii="Palatino Linotype" w:eastAsia="Palatino Linotype" w:hAnsi="Palatino Linotype" w:cs="Palatino Linotype"/>
          <w:color w:val="000000" w:themeColor="text1"/>
        </w:rPr>
        <w:t>.</w:t>
      </w: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7020AD" w:rsidP="00A97575">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color w:val="000000" w:themeColor="text1"/>
        </w:rPr>
      </w:pPr>
      <w:bookmarkStart w:id="1" w:name="_heading=h.gjdgxs" w:colFirst="0" w:colLast="0"/>
      <w:bookmarkEnd w:id="1"/>
      <w:r w:rsidRPr="00A97575">
        <w:rPr>
          <w:rFonts w:ascii="Palatino Linotype" w:eastAsia="Palatino Linotype" w:hAnsi="Palatino Linotype" w:cs="Palatino Linotype"/>
          <w:b/>
          <w:color w:val="000000" w:themeColor="text1"/>
        </w:rPr>
        <w:t xml:space="preserve">VISTOS </w:t>
      </w:r>
      <w:r w:rsidRPr="00A97575">
        <w:rPr>
          <w:rFonts w:ascii="Palatino Linotype" w:eastAsia="Palatino Linotype" w:hAnsi="Palatino Linotype" w:cs="Palatino Linotype"/>
          <w:color w:val="000000" w:themeColor="text1"/>
        </w:rPr>
        <w:t xml:space="preserve">los expedientes electrónicos formados con motivo de los recursos de revisión </w:t>
      </w:r>
      <w:r w:rsidR="008C1F66" w:rsidRPr="00A97575">
        <w:rPr>
          <w:rFonts w:ascii="Palatino Linotype" w:eastAsia="Calibri" w:hAnsi="Palatino Linotype" w:cs="Tahoma"/>
          <w:b/>
          <w:color w:val="000000" w:themeColor="text1"/>
        </w:rPr>
        <w:t>10493/INFOEM/IP/RR/2025, 10495/INFOEM/IP/RR/2025, 10496/INFOEM/IP/RR/2025, 10509/INFOEM/IP/RR/2025 y 10520/INFOEM/IP/RR/2025</w:t>
      </w:r>
      <w:r w:rsidR="006A1036" w:rsidRPr="00A97575">
        <w:rPr>
          <w:rFonts w:ascii="Palatino Linotype" w:eastAsia="Calibri" w:hAnsi="Palatino Linotype" w:cs="Tahoma"/>
          <w:color w:val="000000" w:themeColor="text1"/>
        </w:rPr>
        <w:t>,</w:t>
      </w:r>
      <w:r w:rsidR="006A1036" w:rsidRPr="00A97575">
        <w:rPr>
          <w:rFonts w:ascii="Palatino Linotype" w:eastAsia="Calibri" w:hAnsi="Palatino Linotype" w:cs="Tahoma"/>
          <w:b/>
          <w:color w:val="000000" w:themeColor="text1"/>
        </w:rPr>
        <w:t xml:space="preserve"> </w:t>
      </w:r>
      <w:r w:rsidRPr="00A97575">
        <w:rPr>
          <w:rFonts w:ascii="Palatino Linotype" w:eastAsia="Palatino Linotype" w:hAnsi="Palatino Linotype" w:cs="Palatino Linotype"/>
          <w:color w:val="000000" w:themeColor="text1"/>
        </w:rPr>
        <w:t xml:space="preserve">promovidos por </w:t>
      </w:r>
      <w:r w:rsidR="005C7E42">
        <w:rPr>
          <w:rFonts w:ascii="Palatino Linotype" w:eastAsia="Palatino Linotype" w:hAnsi="Palatino Linotype" w:cs="Palatino Linotype"/>
          <w:b/>
          <w:color w:val="000000" w:themeColor="text1"/>
        </w:rPr>
        <w:t>XXXX</w:t>
      </w:r>
      <w:r w:rsidRPr="00A97575">
        <w:rPr>
          <w:rFonts w:ascii="Palatino Linotype" w:eastAsia="Palatino Linotype" w:hAnsi="Palatino Linotype" w:cs="Palatino Linotype"/>
          <w:b/>
          <w:color w:val="000000" w:themeColor="text1"/>
        </w:rPr>
        <w:t>,</w:t>
      </w:r>
      <w:r w:rsidRPr="00A97575">
        <w:rPr>
          <w:rFonts w:ascii="Palatino Linotype" w:eastAsia="Palatino Linotype" w:hAnsi="Palatino Linotype" w:cs="Palatino Linotype"/>
          <w:color w:val="000000" w:themeColor="text1"/>
        </w:rPr>
        <w:t xml:space="preserve"> a quien en lo sucesivo se le identificara como el </w:t>
      </w:r>
      <w:r w:rsidRPr="00A97575">
        <w:rPr>
          <w:rFonts w:ascii="Palatino Linotype" w:eastAsia="Palatino Linotype" w:hAnsi="Palatino Linotype" w:cs="Palatino Linotype"/>
          <w:b/>
          <w:color w:val="000000" w:themeColor="text1"/>
        </w:rPr>
        <w:t>RECURRENTE</w:t>
      </w:r>
      <w:r w:rsidRPr="00A97575">
        <w:rPr>
          <w:rFonts w:ascii="Palatino Linotype" w:eastAsia="Palatino Linotype" w:hAnsi="Palatino Linotype" w:cs="Palatino Linotype"/>
          <w:color w:val="000000" w:themeColor="text1"/>
        </w:rPr>
        <w:t xml:space="preserve">, en contra de las respuestas del </w:t>
      </w:r>
      <w:r w:rsidR="008C1F66" w:rsidRPr="00A97575">
        <w:rPr>
          <w:rFonts w:ascii="Palatino Linotype" w:eastAsia="Palatino Linotype" w:hAnsi="Palatino Linotype" w:cs="Palatino Linotype"/>
          <w:b/>
          <w:color w:val="000000" w:themeColor="text1"/>
        </w:rPr>
        <w:t>Sistema Municipal Para el Desarrollo Integral de la Familia de Ixtapaluca</w:t>
      </w:r>
      <w:r w:rsidRPr="00A97575">
        <w:rPr>
          <w:rFonts w:ascii="Palatino Linotype" w:eastAsia="Palatino Linotype" w:hAnsi="Palatino Linotype" w:cs="Palatino Linotype"/>
          <w:color w:val="000000" w:themeColor="text1"/>
        </w:rPr>
        <w:t>,</w:t>
      </w:r>
      <w:r w:rsidRPr="00A97575">
        <w:rPr>
          <w:rFonts w:ascii="Palatino Linotype" w:eastAsia="Palatino Linotype" w:hAnsi="Palatino Linotype" w:cs="Palatino Linotype"/>
          <w:b/>
          <w:color w:val="000000" w:themeColor="text1"/>
        </w:rPr>
        <w:t xml:space="preserve"> </w:t>
      </w:r>
      <w:r w:rsidRPr="00A97575">
        <w:rPr>
          <w:rFonts w:ascii="Palatino Linotype" w:eastAsia="Palatino Linotype" w:hAnsi="Palatino Linotype" w:cs="Palatino Linotype"/>
          <w:color w:val="000000" w:themeColor="text1"/>
        </w:rPr>
        <w:t>en adelante el</w:t>
      </w:r>
      <w:r w:rsidRPr="00A97575">
        <w:rPr>
          <w:rFonts w:ascii="Palatino Linotype" w:eastAsia="Palatino Linotype" w:hAnsi="Palatino Linotype" w:cs="Palatino Linotype"/>
          <w:b/>
          <w:color w:val="000000" w:themeColor="text1"/>
        </w:rPr>
        <w:t xml:space="preserve"> SUJETO OBLIGADO, </w:t>
      </w:r>
      <w:r w:rsidRPr="00A97575">
        <w:rPr>
          <w:rFonts w:ascii="Palatino Linotype" w:eastAsia="Palatino Linotype" w:hAnsi="Palatino Linotype" w:cs="Palatino Linotype"/>
          <w:color w:val="000000" w:themeColor="text1"/>
        </w:rPr>
        <w:t xml:space="preserve">se procede a dictar la presente </w:t>
      </w:r>
      <w:r w:rsidR="00431103" w:rsidRPr="00A97575">
        <w:rPr>
          <w:rFonts w:ascii="Palatino Linotype" w:eastAsia="Palatino Linotype" w:hAnsi="Palatino Linotype" w:cs="Palatino Linotype"/>
          <w:color w:val="000000" w:themeColor="text1"/>
        </w:rPr>
        <w:t>R</w:t>
      </w:r>
      <w:r w:rsidRPr="00A97575">
        <w:rPr>
          <w:rFonts w:ascii="Palatino Linotype" w:eastAsia="Palatino Linotype" w:hAnsi="Palatino Linotype" w:cs="Palatino Linotype"/>
          <w:color w:val="000000" w:themeColor="text1"/>
        </w:rPr>
        <w:t>esolución, con base en los siguientes:</w:t>
      </w:r>
    </w:p>
    <w:p w:rsidR="003F528B" w:rsidRPr="00A97575" w:rsidRDefault="003F528B" w:rsidP="00A97575">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color w:val="000000" w:themeColor="text1"/>
        </w:rPr>
      </w:pPr>
    </w:p>
    <w:p w:rsidR="003F528B" w:rsidRPr="00A97575" w:rsidRDefault="007020AD" w:rsidP="00A97575">
      <w:pPr>
        <w:pStyle w:val="Ttulo1"/>
        <w:spacing w:before="0" w:line="360" w:lineRule="auto"/>
        <w:ind w:right="-28"/>
        <w:jc w:val="center"/>
        <w:rPr>
          <w:rFonts w:ascii="Palatino Linotype" w:eastAsia="Palatino Linotype" w:hAnsi="Palatino Linotype" w:cs="Palatino Linotype"/>
          <w:b/>
          <w:color w:val="000000" w:themeColor="text1"/>
          <w:sz w:val="24"/>
          <w:szCs w:val="24"/>
        </w:rPr>
      </w:pPr>
      <w:r w:rsidRPr="00A97575">
        <w:rPr>
          <w:rFonts w:ascii="Palatino Linotype" w:eastAsia="Palatino Linotype" w:hAnsi="Palatino Linotype" w:cs="Palatino Linotype"/>
          <w:b/>
          <w:color w:val="000000" w:themeColor="text1"/>
          <w:sz w:val="24"/>
          <w:szCs w:val="24"/>
        </w:rPr>
        <w:t>A N T E C E D E N T E S</w:t>
      </w: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7020AD"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 xml:space="preserve">El </w:t>
      </w:r>
      <w:r w:rsidR="001E363F" w:rsidRPr="00A97575">
        <w:rPr>
          <w:rFonts w:ascii="Palatino Linotype" w:eastAsia="Palatino Linotype" w:hAnsi="Palatino Linotype" w:cs="Palatino Linotype"/>
          <w:b/>
          <w:color w:val="000000" w:themeColor="text1"/>
        </w:rPr>
        <w:t>catorce</w:t>
      </w:r>
      <w:r w:rsidR="00B2024F" w:rsidRPr="00A97575">
        <w:rPr>
          <w:rFonts w:ascii="Palatino Linotype" w:eastAsia="Palatino Linotype" w:hAnsi="Palatino Linotype" w:cs="Palatino Linotype"/>
          <w:b/>
          <w:color w:val="000000" w:themeColor="text1"/>
        </w:rPr>
        <w:t xml:space="preserve"> de agosto</w:t>
      </w:r>
      <w:r w:rsidRPr="00A97575">
        <w:rPr>
          <w:rFonts w:ascii="Palatino Linotype" w:eastAsia="Palatino Linotype" w:hAnsi="Palatino Linotype" w:cs="Palatino Linotype"/>
          <w:b/>
          <w:color w:val="000000" w:themeColor="text1"/>
        </w:rPr>
        <w:t xml:space="preserve"> de dos mil veintic</w:t>
      </w:r>
      <w:r w:rsidR="00431103" w:rsidRPr="00A97575">
        <w:rPr>
          <w:rFonts w:ascii="Palatino Linotype" w:eastAsia="Palatino Linotype" w:hAnsi="Palatino Linotype" w:cs="Palatino Linotype"/>
          <w:b/>
          <w:color w:val="000000" w:themeColor="text1"/>
        </w:rPr>
        <w:t>inco</w:t>
      </w:r>
      <w:r w:rsidRPr="00A97575">
        <w:rPr>
          <w:rFonts w:ascii="Palatino Linotype" w:eastAsia="Palatino Linotype" w:hAnsi="Palatino Linotype" w:cs="Palatino Linotype"/>
          <w:color w:val="000000" w:themeColor="text1"/>
        </w:rPr>
        <w:t xml:space="preserve">, </w:t>
      </w:r>
      <w:r w:rsidRPr="00A97575">
        <w:rPr>
          <w:rFonts w:ascii="Palatino Linotype" w:eastAsia="Palatino Linotype" w:hAnsi="Palatino Linotype" w:cs="Palatino Linotype"/>
          <w:b/>
          <w:color w:val="000000" w:themeColor="text1"/>
        </w:rPr>
        <w:t xml:space="preserve">EL RECURRENTE </w:t>
      </w:r>
      <w:r w:rsidRPr="00A97575">
        <w:rPr>
          <w:rFonts w:ascii="Palatino Linotype" w:eastAsia="Palatino Linotype" w:hAnsi="Palatino Linotype" w:cs="Palatino Linotype"/>
          <w:color w:val="000000" w:themeColor="text1"/>
        </w:rPr>
        <w:t>presentó</w:t>
      </w:r>
      <w:r w:rsidRPr="00A97575">
        <w:rPr>
          <w:rFonts w:ascii="Palatino Linotype" w:eastAsia="Palatino Linotype" w:hAnsi="Palatino Linotype" w:cs="Palatino Linotype"/>
          <w:b/>
          <w:color w:val="000000" w:themeColor="text1"/>
        </w:rPr>
        <w:t>,</w:t>
      </w:r>
      <w:r w:rsidRPr="00A97575">
        <w:rPr>
          <w:rFonts w:ascii="Palatino Linotype" w:eastAsia="Palatino Linotype" w:hAnsi="Palatino Linotype" w:cs="Palatino Linotype"/>
          <w:color w:val="000000" w:themeColor="text1"/>
        </w:rPr>
        <w:t xml:space="preserve"> ante el </w:t>
      </w:r>
      <w:r w:rsidRPr="00A97575">
        <w:rPr>
          <w:rFonts w:ascii="Palatino Linotype" w:eastAsia="Palatino Linotype" w:hAnsi="Palatino Linotype" w:cs="Palatino Linotype"/>
          <w:b/>
          <w:color w:val="000000" w:themeColor="text1"/>
        </w:rPr>
        <w:t>SUJETO OBLIGADO</w:t>
      </w:r>
      <w:r w:rsidRPr="00A97575">
        <w:rPr>
          <w:rFonts w:ascii="Palatino Linotype" w:eastAsia="Palatino Linotype" w:hAnsi="Palatino Linotype" w:cs="Palatino Linotype"/>
          <w:color w:val="000000" w:themeColor="text1"/>
        </w:rPr>
        <w:t xml:space="preserve"> vía Sistema de Acceso a la Información Mexiquense (</w:t>
      </w:r>
      <w:r w:rsidRPr="00A97575">
        <w:rPr>
          <w:rFonts w:ascii="Palatino Linotype" w:eastAsia="Palatino Linotype" w:hAnsi="Palatino Linotype" w:cs="Palatino Linotype"/>
          <w:b/>
          <w:color w:val="000000" w:themeColor="text1"/>
        </w:rPr>
        <w:t>SAIMEX)</w:t>
      </w:r>
      <w:r w:rsidRPr="00A97575">
        <w:rPr>
          <w:rFonts w:ascii="Palatino Linotype" w:eastAsia="Palatino Linotype" w:hAnsi="Palatino Linotype" w:cs="Palatino Linotype"/>
          <w:color w:val="000000" w:themeColor="text1"/>
        </w:rPr>
        <w:t xml:space="preserve">, las solicitudes de información públicas registradas con los </w:t>
      </w:r>
      <w:r w:rsidR="00431103" w:rsidRPr="00A97575">
        <w:rPr>
          <w:rFonts w:ascii="Palatino Linotype" w:eastAsia="Palatino Linotype" w:hAnsi="Palatino Linotype" w:cs="Palatino Linotype"/>
          <w:color w:val="000000" w:themeColor="text1"/>
        </w:rPr>
        <w:t xml:space="preserve">números </w:t>
      </w:r>
      <w:r w:rsidR="001E363F" w:rsidRPr="00A97575">
        <w:rPr>
          <w:rFonts w:ascii="Palatino Linotype" w:eastAsia="Palatino Linotype" w:hAnsi="Palatino Linotype" w:cs="Palatino Linotype"/>
          <w:b/>
          <w:color w:val="000000" w:themeColor="text1"/>
        </w:rPr>
        <w:t>00099/DIFIXTAPAL/IP/2025, 00096/DIFIXTAPAL/IP/2025, 00097/DIFIXTAPAL/IP/2025, 00083/DIFIXTAPAL/IP/2025 y 00072/DIFIXTAPAL/IP/2025</w:t>
      </w:r>
      <w:r w:rsidRPr="00A97575">
        <w:rPr>
          <w:rFonts w:ascii="Palatino Linotype" w:eastAsia="Palatino Linotype" w:hAnsi="Palatino Linotype" w:cs="Palatino Linotype"/>
          <w:b/>
          <w:color w:val="000000" w:themeColor="text1"/>
        </w:rPr>
        <w:t xml:space="preserve">, </w:t>
      </w:r>
      <w:r w:rsidRPr="00A97575">
        <w:rPr>
          <w:rFonts w:ascii="Palatino Linotype" w:eastAsia="Palatino Linotype" w:hAnsi="Palatino Linotype" w:cs="Palatino Linotype"/>
          <w:color w:val="000000" w:themeColor="text1"/>
        </w:rPr>
        <w:t>en las que se solicitó lo siguiente:</w:t>
      </w:r>
    </w:p>
    <w:p w:rsidR="008B24AE" w:rsidRPr="00A97575" w:rsidRDefault="008B24AE"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431103" w:rsidRPr="00A97575" w:rsidRDefault="005B006F" w:rsidP="00A9757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rPr>
      </w:pPr>
      <w:r w:rsidRPr="00A97575">
        <w:rPr>
          <w:rFonts w:ascii="Palatino Linotype" w:eastAsia="Palatino Linotype" w:hAnsi="Palatino Linotype" w:cs="Palatino Linotype"/>
          <w:b/>
          <w:color w:val="000000" w:themeColor="text1"/>
        </w:rPr>
        <w:t xml:space="preserve">Folio de la solicitud: </w:t>
      </w:r>
      <w:r w:rsidR="00D65EE8" w:rsidRPr="00A97575">
        <w:rPr>
          <w:rFonts w:ascii="Palatino Linotype" w:eastAsia="Palatino Linotype" w:hAnsi="Palatino Linotype" w:cs="Palatino Linotype"/>
          <w:b/>
          <w:color w:val="000000" w:themeColor="text1"/>
        </w:rPr>
        <w:t>0072/DIFIXTAPAL/IP/2025</w:t>
      </w:r>
    </w:p>
    <w:p w:rsidR="005B006F" w:rsidRPr="00A97575" w:rsidRDefault="005B006F" w:rsidP="00A97575">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w:t>
      </w:r>
      <w:r w:rsidR="00D65EE8" w:rsidRPr="00A97575">
        <w:rPr>
          <w:rFonts w:ascii="Palatino Linotype" w:eastAsia="Palatino Linotype" w:hAnsi="Palatino Linotype" w:cs="Palatino Linotype"/>
          <w:i/>
          <w:color w:val="000000" w:themeColor="text1"/>
        </w:rPr>
        <w:t xml:space="preserve">Documento que dé cuenta del expediente completo de adjudicaciones directas realizadas por el Sistema DIF Ixtapaluca en el segundo trimestre de 2023, con justificación técnica, autorizaciones, y </w:t>
      </w:r>
      <w:r w:rsidR="00D65EE8" w:rsidRPr="00A97575">
        <w:rPr>
          <w:rFonts w:ascii="Palatino Linotype" w:eastAsia="Palatino Linotype" w:hAnsi="Palatino Linotype" w:cs="Palatino Linotype"/>
          <w:i/>
          <w:color w:val="000000" w:themeColor="text1"/>
        </w:rPr>
        <w:lastRenderedPageBreak/>
        <w:t>documentación soporte. Documento que dé cuenta de los oficios de autorización presupuestal emitidos en el segundo trimestre de 2023 por el Sistema DIF Ixtapaluca, especificando partidas y montos autorizados.</w:t>
      </w:r>
      <w:r w:rsidRPr="00A97575">
        <w:rPr>
          <w:rFonts w:ascii="Palatino Linotype" w:eastAsia="Palatino Linotype" w:hAnsi="Palatino Linotype" w:cs="Palatino Linotype"/>
          <w:i/>
          <w:color w:val="000000" w:themeColor="text1"/>
        </w:rPr>
        <w:t>”</w:t>
      </w:r>
    </w:p>
    <w:p w:rsidR="005B006F" w:rsidRPr="00A97575" w:rsidRDefault="005B006F" w:rsidP="00A9757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AB0C6C" w:rsidRPr="00A97575" w:rsidRDefault="00AB0C6C" w:rsidP="00A9757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rPr>
      </w:pPr>
      <w:r w:rsidRPr="00A97575">
        <w:rPr>
          <w:rFonts w:ascii="Palatino Linotype" w:eastAsia="Palatino Linotype" w:hAnsi="Palatino Linotype" w:cs="Palatino Linotype"/>
          <w:b/>
          <w:color w:val="000000" w:themeColor="text1"/>
        </w:rPr>
        <w:t xml:space="preserve">Folio de la solicitud: </w:t>
      </w:r>
      <w:r w:rsidR="00D65EE8" w:rsidRPr="00A97575">
        <w:rPr>
          <w:rFonts w:ascii="Palatino Linotype" w:eastAsia="Palatino Linotype" w:hAnsi="Palatino Linotype" w:cs="Palatino Linotype"/>
          <w:b/>
          <w:color w:val="000000" w:themeColor="text1"/>
        </w:rPr>
        <w:t>00083/DIFIXTAPAL/IP/2025</w:t>
      </w:r>
    </w:p>
    <w:p w:rsidR="00AB0C6C" w:rsidRPr="00A97575" w:rsidRDefault="00AB0C6C" w:rsidP="00A97575">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w:t>
      </w:r>
      <w:r w:rsidR="00D65EE8" w:rsidRPr="00A97575">
        <w:rPr>
          <w:rFonts w:ascii="Palatino Linotype" w:eastAsia="Palatino Linotype" w:hAnsi="Palatino Linotype" w:cs="Palatino Linotype"/>
          <w:i/>
          <w:color w:val="000000" w:themeColor="text1"/>
        </w:rPr>
        <w:t>Documento que dé cuenta del expediente completo de adjudicaciones directas realizadas por el Sistema DIF Ixtapaluca en marzo 2023, con justificación técnica, autorizaciones, y documentación soporte. Documento que dé cuenta de los oficios de autorización presupuestal emitidos en marzo 2023 por el Sistema DIF Ixtapaluca, especificando partidas y montos autorizados. Documento que dé cuenta de las facturas de proveedores por monto superior a $50,000.00 emitidas en marzo 2023 por el Sistema DIF Ixtapaluca, con contratos y órdenes de compra anexas.</w:t>
      </w:r>
      <w:r w:rsidRPr="00A97575">
        <w:rPr>
          <w:rFonts w:ascii="Palatino Linotype" w:eastAsia="Palatino Linotype" w:hAnsi="Palatino Linotype" w:cs="Palatino Linotype"/>
          <w:i/>
          <w:color w:val="000000" w:themeColor="text1"/>
        </w:rPr>
        <w:t>”</w:t>
      </w:r>
    </w:p>
    <w:p w:rsidR="005B006F" w:rsidRPr="00A97575" w:rsidRDefault="005B006F"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AB0C6C" w:rsidRPr="00A97575" w:rsidRDefault="00AB0C6C" w:rsidP="00A9757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color w:val="000000" w:themeColor="text1"/>
        </w:rPr>
        <w:t xml:space="preserve">Folio de la solicitud: </w:t>
      </w:r>
      <w:r w:rsidR="00D65EE8" w:rsidRPr="00A97575">
        <w:rPr>
          <w:rFonts w:ascii="Palatino Linotype" w:eastAsia="Palatino Linotype" w:hAnsi="Palatino Linotype" w:cs="Palatino Linotype"/>
          <w:b/>
          <w:color w:val="000000" w:themeColor="text1"/>
        </w:rPr>
        <w:t xml:space="preserve">00097/DIFIXTAPAL/IP/2025 </w:t>
      </w:r>
      <w:r w:rsidRPr="00A97575">
        <w:rPr>
          <w:rFonts w:ascii="Palatino Linotype" w:eastAsia="Palatino Linotype" w:hAnsi="Palatino Linotype" w:cs="Palatino Linotype"/>
          <w:i/>
          <w:color w:val="000000" w:themeColor="text1"/>
        </w:rPr>
        <w:t>“</w:t>
      </w:r>
      <w:r w:rsidR="00D65EE8" w:rsidRPr="00A97575">
        <w:rPr>
          <w:rFonts w:ascii="Palatino Linotype" w:eastAsia="Palatino Linotype" w:hAnsi="Palatino Linotype" w:cs="Palatino Linotype"/>
          <w:i/>
          <w:color w:val="000000" w:themeColor="text1"/>
        </w:rPr>
        <w:t>Documento que dé cuenta del expediente completo de adjudicaciones directas realizadas por el Sistema DIF Ixtapaluca en marzo 2023, con justificación técnica, autorizaciones, y documentación soporte. Documento que dé cuenta de los oficios de autorización presupuestal emitidos en marzo 2023 por el Sistema DIF Ixtapaluca, especificando partidas y montos autorizados. Documento que dé cuenta de las facturas de proveedores por monto superior a $50,000.00 emitidas en marzo 2023 por el Sistema DIF Ixtapaluca, con contratos y órdenes de compra anexas.</w:t>
      </w:r>
      <w:r w:rsidRPr="00A97575">
        <w:rPr>
          <w:rFonts w:ascii="Palatino Linotype" w:eastAsia="Palatino Linotype" w:hAnsi="Palatino Linotype" w:cs="Palatino Linotype"/>
          <w:i/>
          <w:color w:val="000000" w:themeColor="text1"/>
        </w:rPr>
        <w:t>”</w:t>
      </w:r>
    </w:p>
    <w:p w:rsidR="00B2024F" w:rsidRDefault="00B2024F" w:rsidP="00A97575">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p>
    <w:p w:rsidR="005C7E42" w:rsidRDefault="005C7E42" w:rsidP="00A97575">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p>
    <w:p w:rsidR="005C7E42" w:rsidRPr="00A97575" w:rsidRDefault="005C7E42" w:rsidP="00A97575">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p>
    <w:p w:rsidR="00B2024F" w:rsidRPr="00A97575" w:rsidRDefault="00B2024F" w:rsidP="00A9757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rPr>
      </w:pPr>
      <w:r w:rsidRPr="00A97575">
        <w:rPr>
          <w:rFonts w:ascii="Palatino Linotype" w:eastAsia="Palatino Linotype" w:hAnsi="Palatino Linotype" w:cs="Palatino Linotype"/>
          <w:b/>
          <w:color w:val="000000" w:themeColor="text1"/>
        </w:rPr>
        <w:lastRenderedPageBreak/>
        <w:t xml:space="preserve">Folio de la solicitud: </w:t>
      </w:r>
      <w:r w:rsidR="00D65EE8" w:rsidRPr="00A97575">
        <w:rPr>
          <w:rFonts w:ascii="Palatino Linotype" w:eastAsia="Palatino Linotype" w:hAnsi="Palatino Linotype" w:cs="Palatino Linotype"/>
          <w:b/>
          <w:color w:val="000000" w:themeColor="text1"/>
        </w:rPr>
        <w:t>00096/DIFIXTAPAL/IP/2025</w:t>
      </w:r>
    </w:p>
    <w:p w:rsidR="00B2024F" w:rsidRPr="00A97575" w:rsidRDefault="00B2024F" w:rsidP="00A97575">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w:t>
      </w:r>
      <w:r w:rsidR="00D65EE8" w:rsidRPr="00A97575">
        <w:rPr>
          <w:rFonts w:ascii="Palatino Linotype" w:eastAsia="Palatino Linotype" w:hAnsi="Palatino Linotype" w:cs="Palatino Linotype"/>
          <w:i/>
          <w:color w:val="000000" w:themeColor="text1"/>
        </w:rPr>
        <w:t>Documento que dé cuenta del expediente completo de adjudicaciones directas realizadas por el Sistema DIF Ixtapaluca en el segundo trimestre de 2022, con justificación técnica, autorizaciones, y documentación soporte. Documento que dé cuenta de los oficios de autorización presupuestal emitidos en el segundo trimestre de 2022 por el Sistema DIF Ixtapaluca, especificando partidas y montos autorizados.</w:t>
      </w:r>
      <w:r w:rsidRPr="00A97575">
        <w:rPr>
          <w:rFonts w:ascii="Palatino Linotype" w:eastAsia="Palatino Linotype" w:hAnsi="Palatino Linotype" w:cs="Palatino Linotype"/>
          <w:i/>
          <w:color w:val="000000" w:themeColor="text1"/>
        </w:rPr>
        <w:t>”</w:t>
      </w:r>
    </w:p>
    <w:p w:rsidR="00B2024F" w:rsidRPr="00A97575" w:rsidRDefault="00B2024F" w:rsidP="00A97575">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p>
    <w:p w:rsidR="00B2024F" w:rsidRPr="00A97575" w:rsidRDefault="00B2024F" w:rsidP="00A9757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rPr>
      </w:pPr>
      <w:r w:rsidRPr="00A97575">
        <w:rPr>
          <w:rFonts w:ascii="Palatino Linotype" w:eastAsia="Palatino Linotype" w:hAnsi="Palatino Linotype" w:cs="Palatino Linotype"/>
          <w:b/>
          <w:color w:val="000000" w:themeColor="text1"/>
        </w:rPr>
        <w:t xml:space="preserve">Folio de la solicitud: </w:t>
      </w:r>
      <w:r w:rsidR="00D65EE8" w:rsidRPr="00A97575">
        <w:rPr>
          <w:rFonts w:ascii="Palatino Linotype" w:eastAsia="Palatino Linotype" w:hAnsi="Palatino Linotype" w:cs="Palatino Linotype"/>
          <w:b/>
          <w:color w:val="000000" w:themeColor="text1"/>
        </w:rPr>
        <w:t>00099/DIFIXTAPAL/IP/2025</w:t>
      </w:r>
    </w:p>
    <w:p w:rsidR="00B2024F" w:rsidRDefault="00B2024F" w:rsidP="00A97575">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w:t>
      </w:r>
      <w:r w:rsidR="00D65EE8" w:rsidRPr="00A97575">
        <w:rPr>
          <w:rFonts w:ascii="Palatino Linotype" w:eastAsia="Palatino Linotype" w:hAnsi="Palatino Linotype" w:cs="Palatino Linotype"/>
          <w:i/>
          <w:color w:val="000000" w:themeColor="text1"/>
        </w:rPr>
        <w:t>Documento que dé cuenta del expediente completo de adjudicaciones directas realizadas por el Sistema DIF Ixtapaluca en 2022, 2023, 2024 y lo que va del 2025 con justificación técnica, autorizaciones, y documentación soporte.</w:t>
      </w:r>
      <w:r w:rsidRPr="00A97575">
        <w:rPr>
          <w:rFonts w:ascii="Palatino Linotype" w:eastAsia="Palatino Linotype" w:hAnsi="Palatino Linotype" w:cs="Palatino Linotype"/>
          <w:i/>
          <w:color w:val="000000" w:themeColor="text1"/>
        </w:rPr>
        <w:t>”</w:t>
      </w:r>
    </w:p>
    <w:p w:rsidR="00D8614A" w:rsidRPr="00A97575" w:rsidRDefault="00D8614A" w:rsidP="00A97575">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p>
    <w:p w:rsidR="003F528B" w:rsidRPr="00A97575" w:rsidRDefault="007020AD" w:rsidP="00A9757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rPr>
      </w:pPr>
      <w:r w:rsidRPr="00A97575">
        <w:rPr>
          <w:rFonts w:ascii="Palatino Linotype" w:eastAsia="Palatino Linotype" w:hAnsi="Palatino Linotype" w:cs="Palatino Linotype"/>
          <w:color w:val="000000" w:themeColor="text1"/>
        </w:rPr>
        <w:t xml:space="preserve">Se señaló como modalidad de entrega de la información a través del </w:t>
      </w:r>
      <w:r w:rsidRPr="00A97575">
        <w:rPr>
          <w:rFonts w:ascii="Palatino Linotype" w:eastAsia="Palatino Linotype" w:hAnsi="Palatino Linotype" w:cs="Palatino Linotype"/>
          <w:b/>
          <w:color w:val="000000" w:themeColor="text1"/>
        </w:rPr>
        <w:t>SAIMEX.</w:t>
      </w:r>
    </w:p>
    <w:p w:rsidR="003F528B" w:rsidRPr="00A97575" w:rsidRDefault="003F528B" w:rsidP="00A9757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3F528B" w:rsidRPr="00A97575" w:rsidRDefault="0091762E"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El día</w:t>
      </w:r>
      <w:r w:rsidR="00AB0C6C" w:rsidRPr="00A97575">
        <w:rPr>
          <w:rFonts w:ascii="Palatino Linotype" w:eastAsia="Palatino Linotype" w:hAnsi="Palatino Linotype" w:cs="Palatino Linotype"/>
          <w:b/>
          <w:color w:val="000000" w:themeColor="text1"/>
        </w:rPr>
        <w:t xml:space="preserve"> </w:t>
      </w:r>
      <w:r w:rsidR="00D65EE8" w:rsidRPr="00A97575">
        <w:rPr>
          <w:rFonts w:ascii="Palatino Linotype" w:eastAsia="Palatino Linotype" w:hAnsi="Palatino Linotype" w:cs="Palatino Linotype"/>
          <w:b/>
          <w:color w:val="000000" w:themeColor="text1"/>
        </w:rPr>
        <w:t>cuatro</w:t>
      </w:r>
      <w:r w:rsidR="00D267F7" w:rsidRPr="00A97575">
        <w:rPr>
          <w:rFonts w:ascii="Palatino Linotype" w:eastAsia="Palatino Linotype" w:hAnsi="Palatino Linotype" w:cs="Palatino Linotype"/>
          <w:b/>
          <w:color w:val="000000" w:themeColor="text1"/>
        </w:rPr>
        <w:t xml:space="preserve"> </w:t>
      </w:r>
      <w:r w:rsidR="007020AD" w:rsidRPr="00A97575">
        <w:rPr>
          <w:rFonts w:ascii="Palatino Linotype" w:eastAsia="Palatino Linotype" w:hAnsi="Palatino Linotype" w:cs="Palatino Linotype"/>
          <w:b/>
          <w:color w:val="000000" w:themeColor="text1"/>
        </w:rPr>
        <w:t xml:space="preserve">de </w:t>
      </w:r>
      <w:r w:rsidRPr="00A97575">
        <w:rPr>
          <w:rFonts w:ascii="Palatino Linotype" w:eastAsia="Palatino Linotype" w:hAnsi="Palatino Linotype" w:cs="Palatino Linotype"/>
          <w:b/>
          <w:color w:val="000000" w:themeColor="text1"/>
        </w:rPr>
        <w:t>septiembre</w:t>
      </w:r>
      <w:r w:rsidR="007020AD" w:rsidRPr="00A97575">
        <w:rPr>
          <w:rFonts w:ascii="Palatino Linotype" w:eastAsia="Palatino Linotype" w:hAnsi="Palatino Linotype" w:cs="Palatino Linotype"/>
          <w:b/>
          <w:color w:val="000000" w:themeColor="text1"/>
        </w:rPr>
        <w:t xml:space="preserve"> de dos mil veintic</w:t>
      </w:r>
      <w:r w:rsidR="00AB0C6C" w:rsidRPr="00A97575">
        <w:rPr>
          <w:rFonts w:ascii="Palatino Linotype" w:eastAsia="Palatino Linotype" w:hAnsi="Palatino Linotype" w:cs="Palatino Linotype"/>
          <w:b/>
          <w:color w:val="000000" w:themeColor="text1"/>
        </w:rPr>
        <w:t>inc</w:t>
      </w:r>
      <w:r w:rsidR="007020AD" w:rsidRPr="00A97575">
        <w:rPr>
          <w:rFonts w:ascii="Palatino Linotype" w:eastAsia="Palatino Linotype" w:hAnsi="Palatino Linotype" w:cs="Palatino Linotype"/>
          <w:b/>
          <w:color w:val="000000" w:themeColor="text1"/>
        </w:rPr>
        <w:t xml:space="preserve">o </w:t>
      </w:r>
      <w:r w:rsidR="007020AD" w:rsidRPr="00A97575">
        <w:rPr>
          <w:rFonts w:ascii="Palatino Linotype" w:eastAsia="Palatino Linotype" w:hAnsi="Palatino Linotype" w:cs="Palatino Linotype"/>
          <w:color w:val="000000" w:themeColor="text1"/>
        </w:rPr>
        <w:t xml:space="preserve">el </w:t>
      </w:r>
      <w:r w:rsidR="007020AD" w:rsidRPr="00A97575">
        <w:rPr>
          <w:rFonts w:ascii="Palatino Linotype" w:eastAsia="Palatino Linotype" w:hAnsi="Palatino Linotype" w:cs="Palatino Linotype"/>
          <w:b/>
          <w:color w:val="000000" w:themeColor="text1"/>
        </w:rPr>
        <w:t xml:space="preserve">SUJETO OBLIGADO </w:t>
      </w:r>
      <w:r w:rsidR="007020AD" w:rsidRPr="00A97575">
        <w:rPr>
          <w:rFonts w:ascii="Palatino Linotype" w:eastAsia="Palatino Linotype" w:hAnsi="Palatino Linotype" w:cs="Palatino Linotype"/>
          <w:color w:val="000000" w:themeColor="text1"/>
        </w:rPr>
        <w:t>dio respuestas a las solicitudes de información</w:t>
      </w:r>
      <w:r w:rsidR="007020AD" w:rsidRPr="00A97575">
        <w:rPr>
          <w:rFonts w:ascii="Palatino Linotype" w:eastAsia="Palatino Linotype" w:hAnsi="Palatino Linotype" w:cs="Palatino Linotype"/>
          <w:b/>
          <w:color w:val="000000" w:themeColor="text1"/>
        </w:rPr>
        <w:t>,</w:t>
      </w:r>
      <w:r w:rsidR="007020AD" w:rsidRPr="00A97575">
        <w:rPr>
          <w:rFonts w:ascii="Palatino Linotype" w:eastAsia="Palatino Linotype" w:hAnsi="Palatino Linotype" w:cs="Palatino Linotype"/>
          <w:color w:val="000000" w:themeColor="text1"/>
        </w:rPr>
        <w:t xml:space="preserve"> </w:t>
      </w:r>
      <w:r w:rsidRPr="00A97575">
        <w:rPr>
          <w:rFonts w:ascii="Palatino Linotype" w:eastAsia="Palatino Linotype" w:hAnsi="Palatino Linotype" w:cs="Palatino Linotype"/>
          <w:color w:val="000000" w:themeColor="text1"/>
        </w:rPr>
        <w:t xml:space="preserve">a través de </w:t>
      </w:r>
      <w:r w:rsidR="006D0A87" w:rsidRPr="00A97575">
        <w:rPr>
          <w:rFonts w:ascii="Palatino Linotype" w:eastAsia="Palatino Linotype" w:hAnsi="Palatino Linotype" w:cs="Palatino Linotype"/>
          <w:color w:val="000000" w:themeColor="text1"/>
        </w:rPr>
        <w:t>dos</w:t>
      </w:r>
      <w:r w:rsidRPr="00A97575">
        <w:rPr>
          <w:rFonts w:ascii="Palatino Linotype" w:eastAsia="Palatino Linotype" w:hAnsi="Palatino Linotype" w:cs="Palatino Linotype"/>
          <w:color w:val="000000" w:themeColor="text1"/>
        </w:rPr>
        <w:t xml:space="preserve"> archivo</w:t>
      </w:r>
      <w:r w:rsidR="006D0A87" w:rsidRPr="00A97575">
        <w:rPr>
          <w:rFonts w:ascii="Palatino Linotype" w:eastAsia="Palatino Linotype" w:hAnsi="Palatino Linotype" w:cs="Palatino Linotype"/>
          <w:color w:val="000000" w:themeColor="text1"/>
        </w:rPr>
        <w:t>s</w:t>
      </w:r>
      <w:r w:rsidRPr="00A97575">
        <w:rPr>
          <w:rFonts w:ascii="Palatino Linotype" w:eastAsia="Palatino Linotype" w:hAnsi="Palatino Linotype" w:cs="Palatino Linotype"/>
          <w:color w:val="000000" w:themeColor="text1"/>
        </w:rPr>
        <w:t xml:space="preserve"> denominado</w:t>
      </w:r>
      <w:r w:rsidR="006D0A87" w:rsidRPr="00A97575">
        <w:rPr>
          <w:rFonts w:ascii="Palatino Linotype" w:eastAsia="Palatino Linotype" w:hAnsi="Palatino Linotype" w:cs="Palatino Linotype"/>
          <w:color w:val="000000" w:themeColor="text1"/>
        </w:rPr>
        <w:t>s</w:t>
      </w:r>
      <w:r w:rsidRPr="00A97575">
        <w:rPr>
          <w:rFonts w:ascii="Palatino Linotype" w:eastAsia="Palatino Linotype" w:hAnsi="Palatino Linotype" w:cs="Palatino Linotype"/>
          <w:color w:val="000000" w:themeColor="text1"/>
        </w:rPr>
        <w:t xml:space="preserve"> </w:t>
      </w:r>
      <w:r w:rsidR="006D0A87" w:rsidRPr="00A97575">
        <w:rPr>
          <w:rFonts w:ascii="Palatino Linotype" w:eastAsia="Palatino Linotype" w:hAnsi="Palatino Linotype" w:cs="Palatino Linotype"/>
          <w:b/>
          <w:i/>
          <w:color w:val="000000" w:themeColor="text1"/>
        </w:rPr>
        <w:t xml:space="preserve">0106 UT SOL INF.docx </w:t>
      </w:r>
      <w:r w:rsidR="006D0A87" w:rsidRPr="00A97575">
        <w:rPr>
          <w:rFonts w:ascii="Palatino Linotype" w:eastAsia="Palatino Linotype" w:hAnsi="Palatino Linotype" w:cs="Palatino Linotype"/>
          <w:color w:val="000000" w:themeColor="text1"/>
        </w:rPr>
        <w:t>y,</w:t>
      </w:r>
      <w:r w:rsidR="006D0A87" w:rsidRPr="00A97575">
        <w:rPr>
          <w:rFonts w:ascii="Palatino Linotype" w:eastAsia="Palatino Linotype" w:hAnsi="Palatino Linotype" w:cs="Palatino Linotype"/>
          <w:b/>
          <w:i/>
          <w:color w:val="000000" w:themeColor="text1"/>
        </w:rPr>
        <w:t xml:space="preserve"> OFICIOS 2025 respuesta-121.pdf</w:t>
      </w:r>
      <w:r w:rsidR="006D0A87" w:rsidRPr="00A97575">
        <w:rPr>
          <w:rFonts w:ascii="Palatino Linotype" w:eastAsia="Palatino Linotype" w:hAnsi="Palatino Linotype" w:cs="Palatino Linotype"/>
          <w:color w:val="000000" w:themeColor="text1"/>
        </w:rPr>
        <w:t xml:space="preserve">, cuyo contenido corresponde a un oficio suscrito por la Titular de la Unidad de Transparencia, mediante el cual informa de la respuesta emitida por el servidor público habilitado y, un archivo signado por el Tesorero del SMDIF Ixtapaluca, a través del cual informa </w:t>
      </w:r>
      <w:r w:rsidR="006D0A87" w:rsidRPr="00A97575">
        <w:rPr>
          <w:rFonts w:ascii="Palatino Linotype" w:eastAsia="Palatino Linotype" w:hAnsi="Palatino Linotype" w:cs="Palatino Linotype"/>
          <w:i/>
          <w:color w:val="000000" w:themeColor="text1"/>
        </w:rPr>
        <w:t>grosso modo</w:t>
      </w:r>
      <w:r w:rsidR="006D0A87" w:rsidRPr="00A97575">
        <w:rPr>
          <w:rFonts w:ascii="Palatino Linotype" w:eastAsia="Palatino Linotype" w:hAnsi="Palatino Linotype" w:cs="Palatino Linotype"/>
          <w:color w:val="000000" w:themeColor="text1"/>
        </w:rPr>
        <w:t xml:space="preserve"> que la información solicitada está compuesta de varios legajos por lo que tendrá que cubrir el costo correspondiente mismo que se establece en el artículo 73 fracción I y II del Código Financiero del Estado de México y Municipios </w:t>
      </w:r>
      <w:r w:rsidR="006D0A87" w:rsidRPr="00A97575">
        <w:rPr>
          <w:rFonts w:ascii="Palatino Linotype" w:eastAsia="Palatino Linotype" w:hAnsi="Palatino Linotype" w:cs="Palatino Linotype"/>
          <w:color w:val="000000" w:themeColor="text1"/>
        </w:rPr>
        <w:lastRenderedPageBreak/>
        <w:t>vigente</w:t>
      </w:r>
      <w:r w:rsidR="00E60C5E" w:rsidRPr="00A97575">
        <w:rPr>
          <w:rFonts w:ascii="Palatino Linotype" w:eastAsia="Palatino Linotype" w:hAnsi="Palatino Linotype" w:cs="Palatino Linotype"/>
          <w:color w:val="000000" w:themeColor="text1"/>
        </w:rPr>
        <w:t>;</w:t>
      </w:r>
      <w:r w:rsidR="006D0A87" w:rsidRPr="00A97575">
        <w:rPr>
          <w:rFonts w:ascii="Palatino Linotype" w:eastAsia="Palatino Linotype" w:hAnsi="Palatino Linotype" w:cs="Palatino Linotype"/>
          <w:color w:val="000000" w:themeColor="text1"/>
        </w:rPr>
        <w:t xml:space="preserve"> </w:t>
      </w:r>
      <w:r w:rsidR="00E60C5E" w:rsidRPr="00A97575">
        <w:rPr>
          <w:rFonts w:ascii="Palatino Linotype" w:eastAsia="Palatino Linotype" w:hAnsi="Palatino Linotype" w:cs="Palatino Linotype"/>
          <w:color w:val="000000" w:themeColor="text1"/>
        </w:rPr>
        <w:t>a</w:t>
      </w:r>
      <w:r w:rsidR="006D0A87" w:rsidRPr="00A97575">
        <w:rPr>
          <w:rFonts w:ascii="Palatino Linotype" w:eastAsia="Palatino Linotype" w:hAnsi="Palatino Linotype" w:cs="Palatino Linotype"/>
          <w:color w:val="000000" w:themeColor="text1"/>
        </w:rPr>
        <w:t>simismo, adjunta al oficio de referencia dos anexos</w:t>
      </w:r>
      <w:r w:rsidR="00E60C5E" w:rsidRPr="00A97575">
        <w:rPr>
          <w:rFonts w:ascii="Palatino Linotype" w:eastAsia="Palatino Linotype" w:hAnsi="Palatino Linotype" w:cs="Palatino Linotype"/>
          <w:color w:val="000000" w:themeColor="text1"/>
        </w:rPr>
        <w:t>, el primero correspondiente a copia simple del certificado de competencia laboral y cedula profesional del Tesorero SMDIF y segundo al Padrón de Automóviles DIF y el tercero al Padrón de Proveedores vigente y autorizado por el DIF.</w:t>
      </w:r>
    </w:p>
    <w:p w:rsidR="00877153" w:rsidRPr="00A97575" w:rsidRDefault="00877153"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3F528B" w:rsidRPr="00A97575" w:rsidRDefault="007020AD"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bookmarkStart w:id="2" w:name="_heading=h.1fob9te" w:colFirst="0" w:colLast="0"/>
      <w:bookmarkEnd w:id="2"/>
      <w:r w:rsidRPr="00A97575">
        <w:rPr>
          <w:rFonts w:ascii="Palatino Linotype" w:eastAsia="Palatino Linotype" w:hAnsi="Palatino Linotype" w:cs="Palatino Linotype"/>
          <w:color w:val="000000" w:themeColor="text1"/>
        </w:rPr>
        <w:t>El</w:t>
      </w:r>
      <w:r w:rsidR="00515AAE" w:rsidRPr="00A97575">
        <w:rPr>
          <w:rFonts w:ascii="Palatino Linotype" w:eastAsia="Palatino Linotype" w:hAnsi="Palatino Linotype" w:cs="Palatino Linotype"/>
          <w:color w:val="000000" w:themeColor="text1"/>
        </w:rPr>
        <w:t xml:space="preserve"> </w:t>
      </w:r>
      <w:r w:rsidR="006D0A87" w:rsidRPr="00A97575">
        <w:rPr>
          <w:rFonts w:ascii="Palatino Linotype" w:eastAsia="Palatino Linotype" w:hAnsi="Palatino Linotype" w:cs="Palatino Linotype"/>
          <w:b/>
          <w:color w:val="000000" w:themeColor="text1"/>
        </w:rPr>
        <w:t>seis</w:t>
      </w:r>
      <w:r w:rsidR="00477AC7" w:rsidRPr="00A97575">
        <w:rPr>
          <w:rFonts w:ascii="Palatino Linotype" w:eastAsia="Palatino Linotype" w:hAnsi="Palatino Linotype" w:cs="Palatino Linotype"/>
          <w:b/>
          <w:color w:val="000000" w:themeColor="text1"/>
        </w:rPr>
        <w:t xml:space="preserve"> de </w:t>
      </w:r>
      <w:r w:rsidR="009D4323" w:rsidRPr="00A97575">
        <w:rPr>
          <w:rFonts w:ascii="Palatino Linotype" w:eastAsia="Palatino Linotype" w:hAnsi="Palatino Linotype" w:cs="Palatino Linotype"/>
          <w:b/>
          <w:color w:val="000000" w:themeColor="text1"/>
        </w:rPr>
        <w:t>septiembre</w:t>
      </w:r>
      <w:r w:rsidRPr="00A97575">
        <w:rPr>
          <w:rFonts w:ascii="Palatino Linotype" w:eastAsia="Palatino Linotype" w:hAnsi="Palatino Linotype" w:cs="Palatino Linotype"/>
          <w:b/>
          <w:color w:val="000000" w:themeColor="text1"/>
        </w:rPr>
        <w:t xml:space="preserve"> de </w:t>
      </w:r>
      <w:r w:rsidR="009D4323" w:rsidRPr="00A97575">
        <w:rPr>
          <w:rFonts w:ascii="Palatino Linotype" w:eastAsia="Palatino Linotype" w:hAnsi="Palatino Linotype" w:cs="Palatino Linotype"/>
          <w:b/>
          <w:color w:val="000000" w:themeColor="text1"/>
        </w:rPr>
        <w:t>dos mil veinticinco</w:t>
      </w:r>
      <w:r w:rsidRPr="00A97575">
        <w:rPr>
          <w:rFonts w:ascii="Palatino Linotype" w:eastAsia="Palatino Linotype" w:hAnsi="Palatino Linotype" w:cs="Palatino Linotype"/>
          <w:color w:val="000000" w:themeColor="text1"/>
        </w:rPr>
        <w:t xml:space="preserve">, </w:t>
      </w:r>
      <w:r w:rsidRPr="00A97575">
        <w:rPr>
          <w:rFonts w:ascii="Palatino Linotype" w:eastAsia="Palatino Linotype" w:hAnsi="Palatino Linotype" w:cs="Palatino Linotype"/>
          <w:b/>
          <w:color w:val="000000" w:themeColor="text1"/>
        </w:rPr>
        <w:t>EL RECURRENTE</w:t>
      </w:r>
      <w:r w:rsidRPr="00A97575">
        <w:rPr>
          <w:rFonts w:ascii="Palatino Linotype" w:eastAsia="Palatino Linotype" w:hAnsi="Palatino Linotype" w:cs="Palatino Linotype"/>
          <w:color w:val="000000" w:themeColor="text1"/>
        </w:rPr>
        <w:t xml:space="preserve"> interpuso los recursos de revisió</w:t>
      </w:r>
      <w:r w:rsidR="00477AC7" w:rsidRPr="00A97575">
        <w:rPr>
          <w:rFonts w:ascii="Palatino Linotype" w:eastAsia="Palatino Linotype" w:hAnsi="Palatino Linotype" w:cs="Palatino Linotype"/>
          <w:color w:val="000000" w:themeColor="text1"/>
        </w:rPr>
        <w:t>n, en contra de las respuestas,</w:t>
      </w:r>
      <w:r w:rsidRPr="00A97575">
        <w:rPr>
          <w:rFonts w:ascii="Palatino Linotype" w:eastAsia="Palatino Linotype" w:hAnsi="Palatino Linotype" w:cs="Palatino Linotype"/>
          <w:color w:val="000000" w:themeColor="text1"/>
        </w:rPr>
        <w:t xml:space="preserve"> señalando las siguientes inconformidades:</w:t>
      </w:r>
    </w:p>
    <w:p w:rsidR="00D8614A" w:rsidRDefault="00D8614A" w:rsidP="00A97575">
      <w:pPr>
        <w:pBdr>
          <w:top w:val="nil"/>
          <w:left w:val="nil"/>
          <w:bottom w:val="nil"/>
          <w:right w:val="nil"/>
          <w:between w:val="nil"/>
        </w:pBdr>
        <w:spacing w:line="360" w:lineRule="auto"/>
        <w:ind w:right="-28"/>
        <w:jc w:val="both"/>
        <w:rPr>
          <w:rFonts w:ascii="Palatino Linotype" w:hAnsi="Palatino Linotype"/>
          <w:b/>
          <w:color w:val="000000" w:themeColor="text1"/>
        </w:rPr>
      </w:pPr>
    </w:p>
    <w:p w:rsidR="00D8614A" w:rsidRPr="00D8614A" w:rsidRDefault="009D4323" w:rsidP="00D8614A">
      <w:pPr>
        <w:pBdr>
          <w:top w:val="nil"/>
          <w:left w:val="nil"/>
          <w:bottom w:val="nil"/>
          <w:right w:val="nil"/>
          <w:between w:val="nil"/>
        </w:pBdr>
        <w:spacing w:line="360" w:lineRule="auto"/>
        <w:ind w:right="-28"/>
        <w:jc w:val="both"/>
        <w:rPr>
          <w:rFonts w:ascii="Palatino Linotype" w:hAnsi="Palatino Linotype"/>
          <w:b/>
          <w:color w:val="000000" w:themeColor="text1"/>
        </w:rPr>
      </w:pPr>
      <w:r w:rsidRPr="00A97575">
        <w:rPr>
          <w:rFonts w:ascii="Palatino Linotype" w:hAnsi="Palatino Linotype"/>
          <w:b/>
          <w:color w:val="000000" w:themeColor="text1"/>
        </w:rPr>
        <w:t xml:space="preserve">Folio del recurso de revisión: </w:t>
      </w:r>
      <w:r w:rsidR="006D0A87" w:rsidRPr="00A97575">
        <w:rPr>
          <w:rFonts w:ascii="Palatino Linotype" w:hAnsi="Palatino Linotype"/>
          <w:b/>
          <w:color w:val="000000" w:themeColor="text1"/>
        </w:rPr>
        <w:t>10493</w:t>
      </w:r>
      <w:r w:rsidRPr="00A97575">
        <w:rPr>
          <w:rFonts w:ascii="Palatino Linotype" w:hAnsi="Palatino Linotype"/>
          <w:b/>
          <w:color w:val="000000" w:themeColor="text1"/>
        </w:rPr>
        <w:t>/INFOEM/IP/RR/2025</w:t>
      </w:r>
    </w:p>
    <w:p w:rsidR="009D4323" w:rsidRPr="00D8614A" w:rsidRDefault="009D4323" w:rsidP="00D8614A">
      <w:pPr>
        <w:pStyle w:val="Prrafodelista"/>
        <w:numPr>
          <w:ilvl w:val="0"/>
          <w:numId w:val="22"/>
        </w:numPr>
        <w:pBdr>
          <w:top w:val="nil"/>
          <w:left w:val="nil"/>
          <w:bottom w:val="nil"/>
          <w:right w:val="nil"/>
          <w:between w:val="nil"/>
        </w:pBdr>
        <w:spacing w:line="360" w:lineRule="auto"/>
        <w:ind w:right="-28"/>
        <w:jc w:val="both"/>
        <w:rPr>
          <w:rFonts w:ascii="Palatino Linotype" w:hAnsi="Palatino Linotype"/>
          <w:b/>
          <w:color w:val="000000" w:themeColor="text1"/>
        </w:rPr>
      </w:pPr>
      <w:r w:rsidRPr="00D8614A">
        <w:rPr>
          <w:rFonts w:ascii="Palatino Linotype" w:hAnsi="Palatino Linotype"/>
          <w:b/>
          <w:color w:val="000000" w:themeColor="text1"/>
        </w:rPr>
        <w:t>ACTO IMPUGNADO</w:t>
      </w:r>
      <w:r w:rsidRPr="00D8614A">
        <w:rPr>
          <w:rFonts w:ascii="Palatino Linotype" w:hAnsi="Palatino Linotype"/>
          <w:b/>
          <w:color w:val="000000" w:themeColor="text1"/>
        </w:rPr>
        <w:tab/>
      </w:r>
    </w:p>
    <w:p w:rsidR="009D4323" w:rsidRDefault="006D0A87" w:rsidP="00A97575">
      <w:pPr>
        <w:pBdr>
          <w:top w:val="nil"/>
          <w:left w:val="nil"/>
          <w:bottom w:val="nil"/>
          <w:right w:val="nil"/>
          <w:between w:val="nil"/>
        </w:pBdr>
        <w:spacing w:line="360" w:lineRule="auto"/>
        <w:ind w:right="-28"/>
        <w:jc w:val="both"/>
        <w:rPr>
          <w:rFonts w:ascii="Palatino Linotype" w:hAnsi="Palatino Linotype"/>
          <w:i/>
          <w:color w:val="000000" w:themeColor="text1"/>
        </w:rPr>
      </w:pPr>
      <w:r w:rsidRPr="00A97575">
        <w:rPr>
          <w:rFonts w:ascii="Palatino Linotype" w:hAnsi="Palatino Linotype"/>
          <w:i/>
          <w:color w:val="000000" w:themeColor="text1"/>
        </w:rPr>
        <w:t>ME SOLICITA UN PAGO POR ENTREGAR LA INFORMACIÓN LO CUAL SE PRESTA A EXTORSIÓN, ASÍ MISMO EL DIF VULNERA DATOS PERSONALES, REALIZA LA ACUMULACIÓN DE SOLICITUDES, MISMAS QUE SOLCIITE SE ATENDIERAN DE MANERA INDEPENDIENTE.</w:t>
      </w:r>
    </w:p>
    <w:p w:rsidR="00D8614A" w:rsidRPr="00A97575" w:rsidRDefault="00D8614A" w:rsidP="00A97575">
      <w:pPr>
        <w:pBdr>
          <w:top w:val="nil"/>
          <w:left w:val="nil"/>
          <w:bottom w:val="nil"/>
          <w:right w:val="nil"/>
          <w:between w:val="nil"/>
        </w:pBdr>
        <w:spacing w:line="360" w:lineRule="auto"/>
        <w:ind w:right="-28"/>
        <w:jc w:val="both"/>
        <w:rPr>
          <w:rFonts w:ascii="Palatino Linotype" w:hAnsi="Palatino Linotype"/>
          <w:i/>
          <w:color w:val="000000" w:themeColor="text1"/>
        </w:rPr>
      </w:pPr>
    </w:p>
    <w:p w:rsidR="009D4323" w:rsidRPr="00D8614A" w:rsidRDefault="009D4323" w:rsidP="00D8614A">
      <w:pPr>
        <w:pStyle w:val="Prrafodelista"/>
        <w:numPr>
          <w:ilvl w:val="0"/>
          <w:numId w:val="22"/>
        </w:numPr>
        <w:pBdr>
          <w:top w:val="nil"/>
          <w:left w:val="nil"/>
          <w:bottom w:val="nil"/>
          <w:right w:val="nil"/>
          <w:between w:val="nil"/>
        </w:pBdr>
        <w:spacing w:line="360" w:lineRule="auto"/>
        <w:ind w:right="-28"/>
        <w:jc w:val="both"/>
        <w:rPr>
          <w:rFonts w:ascii="Palatino Linotype" w:hAnsi="Palatino Linotype"/>
          <w:b/>
          <w:color w:val="000000" w:themeColor="text1"/>
        </w:rPr>
      </w:pPr>
      <w:r w:rsidRPr="00D8614A">
        <w:rPr>
          <w:rFonts w:ascii="Palatino Linotype" w:hAnsi="Palatino Linotype"/>
          <w:b/>
          <w:color w:val="000000" w:themeColor="text1"/>
        </w:rPr>
        <w:t>RAZONES O MOTIVOS DE LA INCONFORMIDAD</w:t>
      </w:r>
      <w:r w:rsidRPr="00D8614A">
        <w:rPr>
          <w:rFonts w:ascii="Palatino Linotype" w:hAnsi="Palatino Linotype"/>
          <w:b/>
          <w:color w:val="000000" w:themeColor="text1"/>
        </w:rPr>
        <w:tab/>
      </w:r>
    </w:p>
    <w:p w:rsidR="009D4323" w:rsidRPr="00A97575" w:rsidRDefault="006D0A87" w:rsidP="00A97575">
      <w:pPr>
        <w:pBdr>
          <w:top w:val="nil"/>
          <w:left w:val="nil"/>
          <w:bottom w:val="nil"/>
          <w:right w:val="nil"/>
          <w:between w:val="nil"/>
        </w:pBdr>
        <w:spacing w:line="360" w:lineRule="auto"/>
        <w:ind w:right="-28"/>
        <w:jc w:val="both"/>
        <w:rPr>
          <w:rFonts w:ascii="Palatino Linotype" w:hAnsi="Palatino Linotype"/>
          <w:i/>
          <w:color w:val="000000" w:themeColor="text1"/>
        </w:rPr>
      </w:pPr>
      <w:r w:rsidRPr="00A97575">
        <w:rPr>
          <w:rFonts w:ascii="Palatino Linotype" w:hAnsi="Palatino Linotype"/>
          <w:i/>
          <w:color w:val="000000" w:themeColor="text1"/>
        </w:rPr>
        <w:t>SE VULNERA DATOS PERSONALES</w:t>
      </w:r>
    </w:p>
    <w:p w:rsidR="006D0A87" w:rsidRPr="00A97575" w:rsidRDefault="006D0A87"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9D4323" w:rsidRPr="00A97575" w:rsidRDefault="009D4323" w:rsidP="00A97575">
      <w:pPr>
        <w:pBdr>
          <w:top w:val="nil"/>
          <w:left w:val="nil"/>
          <w:bottom w:val="nil"/>
          <w:right w:val="nil"/>
          <w:between w:val="nil"/>
        </w:pBdr>
        <w:spacing w:line="360" w:lineRule="auto"/>
        <w:ind w:right="-28"/>
        <w:jc w:val="both"/>
        <w:rPr>
          <w:rFonts w:ascii="Palatino Linotype" w:hAnsi="Palatino Linotype"/>
          <w:b/>
          <w:color w:val="000000" w:themeColor="text1"/>
        </w:rPr>
      </w:pPr>
      <w:r w:rsidRPr="00A97575">
        <w:rPr>
          <w:rFonts w:ascii="Palatino Linotype" w:hAnsi="Palatino Linotype"/>
          <w:b/>
          <w:color w:val="000000" w:themeColor="text1"/>
        </w:rPr>
        <w:t xml:space="preserve">Folio del recurso de revisión: </w:t>
      </w:r>
      <w:r w:rsidR="004B46F9" w:rsidRPr="00A97575">
        <w:rPr>
          <w:rFonts w:ascii="Palatino Linotype" w:hAnsi="Palatino Linotype"/>
          <w:b/>
          <w:color w:val="000000" w:themeColor="text1"/>
        </w:rPr>
        <w:t>10495</w:t>
      </w:r>
      <w:r w:rsidRPr="00A97575">
        <w:rPr>
          <w:rFonts w:ascii="Palatino Linotype" w:hAnsi="Palatino Linotype"/>
          <w:b/>
          <w:color w:val="000000" w:themeColor="text1"/>
        </w:rPr>
        <w:t>/INFOEM/IP/RR/2025</w:t>
      </w:r>
    </w:p>
    <w:p w:rsidR="009D4323" w:rsidRPr="00D8614A" w:rsidRDefault="009D4323" w:rsidP="00D8614A">
      <w:pPr>
        <w:pStyle w:val="Prrafodelista"/>
        <w:numPr>
          <w:ilvl w:val="0"/>
          <w:numId w:val="22"/>
        </w:numPr>
        <w:pBdr>
          <w:top w:val="nil"/>
          <w:left w:val="nil"/>
          <w:bottom w:val="nil"/>
          <w:right w:val="nil"/>
          <w:between w:val="nil"/>
        </w:pBdr>
        <w:spacing w:line="360" w:lineRule="auto"/>
        <w:ind w:right="-28"/>
        <w:jc w:val="both"/>
        <w:rPr>
          <w:rFonts w:ascii="Palatino Linotype" w:hAnsi="Palatino Linotype"/>
          <w:b/>
          <w:color w:val="000000" w:themeColor="text1"/>
        </w:rPr>
      </w:pPr>
      <w:r w:rsidRPr="00D8614A">
        <w:rPr>
          <w:rFonts w:ascii="Palatino Linotype" w:hAnsi="Palatino Linotype"/>
          <w:b/>
          <w:color w:val="000000" w:themeColor="text1"/>
        </w:rPr>
        <w:t>ACTO IMPUGNADO</w:t>
      </w:r>
      <w:r w:rsidRPr="00D8614A">
        <w:rPr>
          <w:rFonts w:ascii="Palatino Linotype" w:hAnsi="Palatino Linotype"/>
          <w:b/>
          <w:color w:val="000000" w:themeColor="text1"/>
        </w:rPr>
        <w:tab/>
      </w:r>
    </w:p>
    <w:p w:rsidR="009D4323" w:rsidRPr="00A97575" w:rsidRDefault="006D0A87" w:rsidP="00A97575">
      <w:pPr>
        <w:pBdr>
          <w:top w:val="nil"/>
          <w:left w:val="nil"/>
          <w:bottom w:val="nil"/>
          <w:right w:val="nil"/>
          <w:between w:val="nil"/>
        </w:pBdr>
        <w:spacing w:line="360" w:lineRule="auto"/>
        <w:ind w:right="-28"/>
        <w:jc w:val="both"/>
        <w:rPr>
          <w:rFonts w:ascii="Palatino Linotype" w:hAnsi="Palatino Linotype"/>
          <w:i/>
          <w:color w:val="000000" w:themeColor="text1"/>
        </w:rPr>
      </w:pPr>
      <w:r w:rsidRPr="00A97575">
        <w:rPr>
          <w:rFonts w:ascii="Palatino Linotype" w:hAnsi="Palatino Linotype"/>
          <w:i/>
          <w:color w:val="000000" w:themeColor="text1"/>
        </w:rPr>
        <w:t xml:space="preserve">Se me ha solicitado de manera indebida la realización de un pago como condición previa para la entrega de la información solicitada, situación que resulta totalmente irregular y que se presta a interpretaciones </w:t>
      </w:r>
      <w:r w:rsidRPr="00A97575">
        <w:rPr>
          <w:rFonts w:ascii="Palatino Linotype" w:hAnsi="Palatino Linotype"/>
          <w:i/>
          <w:color w:val="000000" w:themeColor="text1"/>
        </w:rPr>
        <w:lastRenderedPageBreak/>
        <w:t xml:space="preserve">graves, pues puede configurarse como un intento de extorsión institucionalizado, encaminado a disuadir o desalentar a los solicitantes en el ejercicio de su derecho de acceso a la información. Este tipo de prácticas no solo constituyen un exceso administrativo, sino que revelan un patrón de actuación que coloca a la ciudadanía en una posición de vulnerabilidad frente a una autoridad que debería, en todo momento, garantizar apertura y certeza. Adicionalmente, el DIF ha incurrido en conductas reiteradas que vulneran datos personales de terceros, exponiendo información sensible sin los debidos cuidados ni medidas de resguardo. Este manejo irresponsable compromete directamente la seguridad, la privacidad y la confianza de los individuos cuyos datos son tratados de manera indebida, configurando una situación de riesgo que no puede pasarse por alto. De la misma manera, de forma arbitraria y en abierta contradicción con lo solicitado, el DIF procede a realizar acumulaciones de solicitudes que expresamente pedí fueran atendidas de manera independiente. Tal proceder no es accidental, sino que constituye una maniobra dolosa destinada a entorpecer la tramitación, dilatar los tiempos de respuesta y desvirtuar el contenido de cada petición, con lo cual se limita de manera intencional el acceso a la información pública. Por si fuera poco, cuando se entrega información, ésta resulta carente de claridad, incompleta, confusa y en ocasiones contradictoria, lo cual evidencia una falta absoluta de rigor y profesionalismo en el manejo de la documentación. Este actuar no es aislado, sino que refleja una estrategia sistemática para entregar datos de manera deficiente, de tal modo que la respuesta pierda utilidad práctica y genere un estado de incertidumbre en el solicitante. Aunado a ello, se me entregó un documento sin sello oficial ni firma del área competente o del servidor público habilitado para dar atención a la solicitud. La ausencia de estos elementos formales anula la autenticidad y validez del documento, además de que no existe sello de recibido o acuse que acredite la presentación y trámite regular de la gestión realizada. Esta omisión crea un entorno de desconfianza y hace presumir un manejo discrecional de las solicitudes, pues sin sellos, </w:t>
      </w:r>
      <w:r w:rsidRPr="00A97575">
        <w:rPr>
          <w:rFonts w:ascii="Palatino Linotype" w:hAnsi="Palatino Linotype"/>
          <w:i/>
          <w:color w:val="000000" w:themeColor="text1"/>
        </w:rPr>
        <w:lastRenderedPageBreak/>
        <w:t>firmas ni acuse no existe garantía alguna de que los procedimientos internos se estén llevando conforme a derecho o en apego a la transparencia que se proclama. En su conjunto, todas estas prácticas ponen de manifiesto un comportamiento institucional doloso y reiterado del DIF, orientado a obstaculizar el acceso a la información, debilitar la transparencia y minar la confianza ciudadana. Se trata de un patrón sistemático de irregularidades que, lejos de ser meros errores administrativos, revelan una intención clara de restringir derechos, controlar la información de manera discrecional y mantener opacidad en asuntos de interés público.</w:t>
      </w:r>
    </w:p>
    <w:p w:rsidR="006643BE" w:rsidRPr="00A97575" w:rsidRDefault="006643BE" w:rsidP="00A97575">
      <w:pPr>
        <w:pBdr>
          <w:top w:val="nil"/>
          <w:left w:val="nil"/>
          <w:bottom w:val="nil"/>
          <w:right w:val="nil"/>
          <w:between w:val="nil"/>
        </w:pBdr>
        <w:spacing w:line="360" w:lineRule="auto"/>
        <w:ind w:right="-28"/>
        <w:jc w:val="both"/>
        <w:rPr>
          <w:rFonts w:ascii="Palatino Linotype" w:hAnsi="Palatino Linotype"/>
          <w:i/>
          <w:color w:val="000000" w:themeColor="text1"/>
        </w:rPr>
      </w:pPr>
    </w:p>
    <w:p w:rsidR="009D4323" w:rsidRPr="00D8614A" w:rsidRDefault="009D4323" w:rsidP="00D8614A">
      <w:pPr>
        <w:pStyle w:val="Prrafodelista"/>
        <w:numPr>
          <w:ilvl w:val="0"/>
          <w:numId w:val="22"/>
        </w:numPr>
        <w:pBdr>
          <w:top w:val="nil"/>
          <w:left w:val="nil"/>
          <w:bottom w:val="nil"/>
          <w:right w:val="nil"/>
          <w:between w:val="nil"/>
        </w:pBdr>
        <w:spacing w:line="360" w:lineRule="auto"/>
        <w:ind w:right="-28"/>
        <w:jc w:val="both"/>
        <w:rPr>
          <w:rFonts w:ascii="Palatino Linotype" w:hAnsi="Palatino Linotype"/>
          <w:b/>
          <w:color w:val="000000" w:themeColor="text1"/>
        </w:rPr>
      </w:pPr>
      <w:r w:rsidRPr="00D8614A">
        <w:rPr>
          <w:rFonts w:ascii="Palatino Linotype" w:hAnsi="Palatino Linotype"/>
          <w:b/>
          <w:color w:val="000000" w:themeColor="text1"/>
        </w:rPr>
        <w:t>RAZONES O MOTIVOS DE LA INCONFORMIDAD</w:t>
      </w:r>
      <w:r w:rsidRPr="00D8614A">
        <w:rPr>
          <w:rFonts w:ascii="Palatino Linotype" w:hAnsi="Palatino Linotype"/>
          <w:b/>
          <w:color w:val="000000" w:themeColor="text1"/>
        </w:rPr>
        <w:tab/>
      </w:r>
    </w:p>
    <w:p w:rsidR="009D4323" w:rsidRPr="00A97575" w:rsidRDefault="006D0A87" w:rsidP="00A97575">
      <w:pPr>
        <w:pBdr>
          <w:top w:val="nil"/>
          <w:left w:val="nil"/>
          <w:bottom w:val="nil"/>
          <w:right w:val="nil"/>
          <w:between w:val="nil"/>
        </w:pBdr>
        <w:spacing w:line="360" w:lineRule="auto"/>
        <w:ind w:right="-28"/>
        <w:jc w:val="both"/>
        <w:rPr>
          <w:rFonts w:ascii="Palatino Linotype" w:hAnsi="Palatino Linotype"/>
          <w:i/>
          <w:color w:val="000000" w:themeColor="text1"/>
        </w:rPr>
      </w:pPr>
      <w:r w:rsidRPr="00A97575">
        <w:rPr>
          <w:rFonts w:ascii="Palatino Linotype" w:hAnsi="Palatino Linotype"/>
          <w:i/>
          <w:color w:val="000000" w:themeColor="text1"/>
        </w:rPr>
        <w:t xml:space="preserve">Se me ha solicitado de manera indebida la realización de un pago como condición previa para la entrega de la información solicitada, situación que resulta totalmente irregular y que se presta a interpretaciones graves, pues puede configurarse como un intento de extorsión institucionalizado, encaminado a disuadir o desalentar a los solicitantes en el ejercicio de su derecho de acceso a la información. Este tipo de prácticas no solo constituyen un exceso administrativo, sino que revelan un patrón de actuación que coloca a la ciudadanía en una posición de vulnerabilidad frente a una autoridad que debería, en todo momento, garantizar apertura y certeza. Adicionalmente, el DIF ha incurrido en conductas reiteradas que vulneran datos personales de terceros, exponiendo información sensible sin los debidos cuidados ni medidas de resguardo. Este manejo irresponsable compromete directamente la seguridad, la privacidad y la confianza de los individuos cuyos datos son tratados de manera indebida, configurando una situación de riesgo que no puede pasarse por alto. De la misma manera, de forma arbitraria y en abierta contradicción con lo solicitado, el DIF procede a realizar acumulaciones de solicitudes que expresamente pedí fueran atendidas de manera independiente. Tal proceder no es accidental, sino que constituye una maniobra </w:t>
      </w:r>
      <w:r w:rsidRPr="00A97575">
        <w:rPr>
          <w:rFonts w:ascii="Palatino Linotype" w:hAnsi="Palatino Linotype"/>
          <w:i/>
          <w:color w:val="000000" w:themeColor="text1"/>
        </w:rPr>
        <w:lastRenderedPageBreak/>
        <w:t>dolosa destinada a entorpecer la tramitación, dilatar los tiempos de respuesta y desvirtuar el contenido de cada petición, con lo cual se limita de manera intencional el acceso a la información pública. Por si fuera poco, cuando se entrega información, ésta resulta carente de claridad, incompleta, confusa y en ocasiones contradictoria, lo cual evidencia una falta absoluta de rigor y profesionalismo en el manejo de la documentación. Este actuar no es aislado, sino que refleja una estrategia sistemática para entregar datos de manera deficiente, de tal modo que la respuesta pierda utilidad práctica y genere un estado de incertidumbre en el solicitante. Aunado a ello, se me entregó un documento sin sello oficial ni firma del área competente o del servidor público habilitado para dar atención a la solicitud. La ausencia de estos elementos formales anula la autenticidad y validez del documento, además de que no existe sello de recibido o acuse que acredite la presentación y trámite regular de la gestión realizada. Esta omisión crea un entorno de desconfianza y hace presumir un manejo discrecional de las solicitudes, pues sin sellos, firmas ni acuse no existe garantía alguna de que los procedimientos internos se estén llevando conforme a derecho o en apego a la transparencia que se proclama. En su conjunto, todas estas prácticas ponen de manifiesto un comportamiento institucional doloso y reiterado del DIF, orientado a obstaculizar el acceso a la información, debilitar la transparencia y minar la confianza ciudadana. Se trata de un patrón sistemático de irregularidades que, lejos de ser meros errores administrativos, revelan una intención clara de restringir derechos, controlar la información de manera discrecional y mantener opacidad en asuntos de interés público.</w:t>
      </w:r>
    </w:p>
    <w:p w:rsidR="009D4323" w:rsidRDefault="009D4323"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D8614A" w:rsidRDefault="00D8614A"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D8614A" w:rsidRDefault="00D8614A"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D8614A" w:rsidRPr="00A97575" w:rsidRDefault="00D8614A"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9D4323" w:rsidRPr="00A97575" w:rsidRDefault="009D4323" w:rsidP="00A97575">
      <w:pPr>
        <w:pBdr>
          <w:top w:val="nil"/>
          <w:left w:val="nil"/>
          <w:bottom w:val="nil"/>
          <w:right w:val="nil"/>
          <w:between w:val="nil"/>
        </w:pBdr>
        <w:spacing w:line="360" w:lineRule="auto"/>
        <w:ind w:right="-28"/>
        <w:jc w:val="both"/>
        <w:rPr>
          <w:rFonts w:ascii="Palatino Linotype" w:hAnsi="Palatino Linotype"/>
          <w:b/>
          <w:color w:val="000000" w:themeColor="text1"/>
        </w:rPr>
      </w:pPr>
      <w:r w:rsidRPr="00A97575">
        <w:rPr>
          <w:rFonts w:ascii="Palatino Linotype" w:hAnsi="Palatino Linotype"/>
          <w:b/>
          <w:color w:val="000000" w:themeColor="text1"/>
        </w:rPr>
        <w:lastRenderedPageBreak/>
        <w:t xml:space="preserve">Folio del recurso de revisión: </w:t>
      </w:r>
      <w:r w:rsidR="004B46F9" w:rsidRPr="00A97575">
        <w:rPr>
          <w:rFonts w:ascii="Palatino Linotype" w:hAnsi="Palatino Linotype"/>
          <w:b/>
          <w:color w:val="000000" w:themeColor="text1"/>
        </w:rPr>
        <w:t>10496</w:t>
      </w:r>
      <w:r w:rsidRPr="00A97575">
        <w:rPr>
          <w:rFonts w:ascii="Palatino Linotype" w:hAnsi="Palatino Linotype"/>
          <w:b/>
          <w:color w:val="000000" w:themeColor="text1"/>
        </w:rPr>
        <w:t>/INFOEM/IP/RR/2025</w:t>
      </w:r>
    </w:p>
    <w:p w:rsidR="009D4323" w:rsidRPr="00D8614A" w:rsidRDefault="009D4323" w:rsidP="00D8614A">
      <w:pPr>
        <w:pStyle w:val="Prrafodelista"/>
        <w:numPr>
          <w:ilvl w:val="0"/>
          <w:numId w:val="22"/>
        </w:numPr>
        <w:pBdr>
          <w:top w:val="nil"/>
          <w:left w:val="nil"/>
          <w:bottom w:val="nil"/>
          <w:right w:val="nil"/>
          <w:between w:val="nil"/>
        </w:pBdr>
        <w:spacing w:line="360" w:lineRule="auto"/>
        <w:ind w:right="-28"/>
        <w:jc w:val="both"/>
        <w:rPr>
          <w:rFonts w:ascii="Palatino Linotype" w:hAnsi="Palatino Linotype"/>
          <w:b/>
          <w:color w:val="000000" w:themeColor="text1"/>
        </w:rPr>
      </w:pPr>
      <w:r w:rsidRPr="00D8614A">
        <w:rPr>
          <w:rFonts w:ascii="Palatino Linotype" w:hAnsi="Palatino Linotype"/>
          <w:b/>
          <w:color w:val="000000" w:themeColor="text1"/>
        </w:rPr>
        <w:t>ACTO IMPUGNADO</w:t>
      </w:r>
      <w:r w:rsidRPr="00D8614A">
        <w:rPr>
          <w:rFonts w:ascii="Palatino Linotype" w:hAnsi="Palatino Linotype"/>
          <w:b/>
          <w:color w:val="000000" w:themeColor="text1"/>
        </w:rPr>
        <w:tab/>
      </w:r>
    </w:p>
    <w:p w:rsidR="009D4323" w:rsidRPr="00A97575" w:rsidRDefault="00E60C5E" w:rsidP="00A97575">
      <w:pPr>
        <w:pBdr>
          <w:top w:val="nil"/>
          <w:left w:val="nil"/>
          <w:bottom w:val="nil"/>
          <w:right w:val="nil"/>
          <w:between w:val="nil"/>
        </w:pBdr>
        <w:spacing w:line="360" w:lineRule="auto"/>
        <w:ind w:right="-28"/>
        <w:jc w:val="both"/>
        <w:rPr>
          <w:rFonts w:ascii="Palatino Linotype" w:hAnsi="Palatino Linotype"/>
          <w:i/>
          <w:color w:val="000000" w:themeColor="text1"/>
        </w:rPr>
      </w:pPr>
      <w:r w:rsidRPr="00A97575">
        <w:rPr>
          <w:rFonts w:ascii="Palatino Linotype" w:hAnsi="Palatino Linotype"/>
          <w:i/>
          <w:color w:val="000000" w:themeColor="text1"/>
        </w:rPr>
        <w:t xml:space="preserve">Se me ha solicitado de manera indebida la realización de un pago como condición previa para la entrega de la información solicitada, situación que resulta totalmente irregular y que se presta a interpretaciones graves, pues puede configurarse como un intento de extorsión institucionalizado, encaminado a disuadir o desalentar a los solicitantes en el ejercicio de su derecho de acceso a la información. Este tipo de prácticas no solo constituyen un exceso administrativo, sino que revelan un patrón de actuación que coloca a la ciudadanía en una posición de vulnerabilidad frente a una autoridad que debería, en todo momento, garantizar apertura y certeza. Adicionalmente, el DIF ha incurrido en conductas reiteradas que vulneran datos personales de terceros, exponiendo información sensible sin los debidos cuidados ni medidas de resguardo. Este manejo irresponsable compromete directamente la seguridad, la privacidad y la confianza de los individuos cuyos datos son tratados de manera indebida, configurando una situación de riesgo que no puede pasarse por alto. De la misma manera, de forma arbitraria y en abierta contradicción con lo solicitado, el DIF procede a realizar acumulaciones de solicitudes que expresamente pedí fueran atendidas de manera independiente. Tal proceder no es accidental, sino que constituye una maniobra dolosa destinada a entorpecer la tramitación, dilatar los tiempos de respuesta y desvirtuar el contenido de cada petición, con lo cual se limita de manera intencional el acceso a la información pública. Por si fuera poco, cuando se entrega información, ésta resulta carente de claridad, incompleta, confusa y en ocasiones contradictoria, lo cual evidencia una falta absoluta de rigor y profesionalismo en el manejo de la documentación. Este actuar no es aislado, sino que refleja una estrategia sistemática para entregar datos de manera deficiente, de tal modo que la respuesta pierda utilidad práctica y genere un estado de incertidumbre en el solicitante. Aunado a ello, se me entregó un documento sin sello oficial ni firma del </w:t>
      </w:r>
      <w:r w:rsidRPr="00A97575">
        <w:rPr>
          <w:rFonts w:ascii="Palatino Linotype" w:hAnsi="Palatino Linotype"/>
          <w:i/>
          <w:color w:val="000000" w:themeColor="text1"/>
        </w:rPr>
        <w:lastRenderedPageBreak/>
        <w:t>área competente o del servidor público habilitado para dar atención a la solicitud. La ausencia de estos elementos formales anula la autenticidad y validez del documento, además de que no existe sello de recibido o acuse que acredite la presentación y trámite regular de la gestión realizada. Esta omisión crea un entorno de desconfianza y hace presumir un manejo discrecional de las solicitudes, pues sin sellos, firmas ni acuse no existe garantía alguna de que los procedimientos internos se estén llevando conforme a derecho o en apego a la transparencia que se proclama. En su conjunto, todas estas prácticas ponen de manifiesto un comportamiento institucional doloso y reiterado del DIF, orientado a obstaculizar el acceso a la información, debilitar la transparencia y minar la confianza ciudadana. Se trata de un patrón sistemático de irregularidades que, lejos de ser meros errores administrativos, revelan una intención clara de restringir derechos, controlar la información de manera discrecional y mantener opacidad en asuntos de interés público.</w:t>
      </w:r>
    </w:p>
    <w:p w:rsidR="006643BE" w:rsidRPr="00A97575" w:rsidRDefault="006643BE" w:rsidP="00A97575">
      <w:pPr>
        <w:pBdr>
          <w:top w:val="nil"/>
          <w:left w:val="nil"/>
          <w:bottom w:val="nil"/>
          <w:right w:val="nil"/>
          <w:between w:val="nil"/>
        </w:pBdr>
        <w:spacing w:line="360" w:lineRule="auto"/>
        <w:ind w:right="-28"/>
        <w:jc w:val="both"/>
        <w:rPr>
          <w:rFonts w:ascii="Palatino Linotype" w:hAnsi="Palatino Linotype"/>
          <w:i/>
          <w:color w:val="000000" w:themeColor="text1"/>
        </w:rPr>
      </w:pPr>
    </w:p>
    <w:p w:rsidR="009D4323" w:rsidRPr="00D8614A" w:rsidRDefault="009D4323" w:rsidP="00D8614A">
      <w:pPr>
        <w:pStyle w:val="Prrafodelista"/>
        <w:numPr>
          <w:ilvl w:val="0"/>
          <w:numId w:val="22"/>
        </w:numPr>
        <w:pBdr>
          <w:top w:val="nil"/>
          <w:left w:val="nil"/>
          <w:bottom w:val="nil"/>
          <w:right w:val="nil"/>
          <w:between w:val="nil"/>
        </w:pBdr>
        <w:spacing w:line="360" w:lineRule="auto"/>
        <w:ind w:right="-28"/>
        <w:jc w:val="both"/>
        <w:rPr>
          <w:rFonts w:ascii="Palatino Linotype" w:hAnsi="Palatino Linotype"/>
          <w:b/>
          <w:color w:val="000000" w:themeColor="text1"/>
        </w:rPr>
      </w:pPr>
      <w:r w:rsidRPr="00D8614A">
        <w:rPr>
          <w:rFonts w:ascii="Palatino Linotype" w:hAnsi="Palatino Linotype"/>
          <w:b/>
          <w:color w:val="000000" w:themeColor="text1"/>
        </w:rPr>
        <w:t>RAZONES O MOTIVOS DE LA INCONFORMIDAD</w:t>
      </w:r>
      <w:r w:rsidRPr="00D8614A">
        <w:rPr>
          <w:rFonts w:ascii="Palatino Linotype" w:hAnsi="Palatino Linotype"/>
          <w:b/>
          <w:color w:val="000000" w:themeColor="text1"/>
        </w:rPr>
        <w:tab/>
      </w:r>
    </w:p>
    <w:p w:rsidR="009D4323" w:rsidRPr="00A97575" w:rsidRDefault="00E60C5E" w:rsidP="00A97575">
      <w:pPr>
        <w:pBdr>
          <w:top w:val="nil"/>
          <w:left w:val="nil"/>
          <w:bottom w:val="nil"/>
          <w:right w:val="nil"/>
          <w:between w:val="nil"/>
        </w:pBdr>
        <w:spacing w:line="360" w:lineRule="auto"/>
        <w:ind w:right="-28"/>
        <w:jc w:val="both"/>
        <w:rPr>
          <w:rFonts w:ascii="Palatino Linotype" w:hAnsi="Palatino Linotype"/>
          <w:i/>
          <w:color w:val="000000" w:themeColor="text1"/>
        </w:rPr>
      </w:pPr>
      <w:r w:rsidRPr="00A97575">
        <w:rPr>
          <w:rFonts w:ascii="Palatino Linotype" w:hAnsi="Palatino Linotype"/>
          <w:i/>
          <w:color w:val="000000" w:themeColor="text1"/>
        </w:rPr>
        <w:t xml:space="preserve">Se me ha solicitado de manera indebida la realización de un pago como condición previa para la entrega de la información solicitada, situación que resulta totalmente irregular y que se presta a interpretaciones graves, pues puede configurarse como un intento de extorsión institucionalizado, encaminado a disuadir o desalentar a los solicitantes en el ejercicio de su derecho de acceso a la información. Este tipo de prácticas no solo constituyen un exceso administrativo, sino que revelan un patrón de actuación que coloca a la ciudadanía en una posición de vulnerabilidad frente a una autoridad que debería, en todo momento, garantizar apertura y certeza. Adicionalmente, el DIF ha incurrido en conductas reiteradas que vulneran datos personales de terceros, exponiendo información sensible sin los debidos cuidados ni medidas de resguardo. Este manejo irresponsable compromete directamente la seguridad, la privacidad y la </w:t>
      </w:r>
      <w:r w:rsidRPr="00A97575">
        <w:rPr>
          <w:rFonts w:ascii="Palatino Linotype" w:hAnsi="Palatino Linotype"/>
          <w:i/>
          <w:color w:val="000000" w:themeColor="text1"/>
        </w:rPr>
        <w:lastRenderedPageBreak/>
        <w:t>confianza de los individuos cuyos datos son tratados de manera indebida, configurando una situación de riesgo que no puede pasarse por alto. De la misma manera, de forma arbitraria y en abierta contradicción con lo solicitado, el DIF procede a realizar acumulaciones de solicitudes que expresamente pedí fueran atendidas de manera independiente. Tal proceder no es accidental, sino que constituye una maniobra dolosa destinada a entorpecer la tramitación, dilatar los tiempos de respuesta y desvirtuar el contenido de cada petición, con lo cual se limita de manera intencional el acceso a la información pública. Por si fuera poco, cuando se entrega información, ésta resulta carente de claridad, incompleta, confusa y en ocasiones contradictoria, lo cual evidencia una falta absoluta de rigor y profesionalismo en el manejo de la documentación. Este actuar no es aislado, sino que refleja una estrategia sistemática para entregar datos de manera deficiente, de tal modo que la respuesta pierda utilidad práctica y genere un estado de incertidumbre en el solicitante. Aunado a ello, se me entregó un documento sin sello oficial ni firma del área competente o del servidor público habilitado para dar atención a la solicitud. La ausencia de estos elementos formales anula la autenticidad y validez del documento, además de que no existe sello de recibido o acuse que acredite la presentación y trámite regular de la gestión realizada. Esta omisión crea un entorno de desconfianza y hace presumir un manejo discrecional de las solicitudes, pues sin sellos, firmas ni acuse no existe garantía alguna de que los procedimientos internos se estén llevando conforme a derecho o en apego a la transparencia que se proclama. En su conjunto, todas estas prácticas ponen de manifiesto un comportamiento institucional doloso y reiterado del DIF, orientado a obstaculizar el acceso a la información, debilitar la transparencia y minar la confianza ciudadana. Se trata de un patrón sistemático de irregularidades que, lejos de ser meros errores administrativos, revelan una intención clara de restringir derechos, controlar la información de manera discrecional y mantener opacidad en asuntos de interés público.</w:t>
      </w:r>
    </w:p>
    <w:p w:rsidR="004B46F9" w:rsidRPr="00A97575" w:rsidRDefault="004B46F9" w:rsidP="00A97575">
      <w:pPr>
        <w:pBdr>
          <w:top w:val="nil"/>
          <w:left w:val="nil"/>
          <w:bottom w:val="nil"/>
          <w:right w:val="nil"/>
          <w:between w:val="nil"/>
        </w:pBdr>
        <w:spacing w:line="360" w:lineRule="auto"/>
        <w:ind w:right="-28"/>
        <w:jc w:val="both"/>
        <w:rPr>
          <w:rFonts w:ascii="Palatino Linotype" w:hAnsi="Palatino Linotype"/>
          <w:b/>
          <w:color w:val="000000" w:themeColor="text1"/>
        </w:rPr>
      </w:pPr>
      <w:r w:rsidRPr="00A97575">
        <w:rPr>
          <w:rFonts w:ascii="Palatino Linotype" w:hAnsi="Palatino Linotype"/>
          <w:b/>
          <w:color w:val="000000" w:themeColor="text1"/>
        </w:rPr>
        <w:lastRenderedPageBreak/>
        <w:t>Folio del recurso de revisión: 10509/INFOEM/IP/RR/2025</w:t>
      </w:r>
    </w:p>
    <w:p w:rsidR="004B46F9" w:rsidRPr="00D8614A" w:rsidRDefault="004B46F9" w:rsidP="00D8614A">
      <w:pPr>
        <w:pStyle w:val="Prrafodelista"/>
        <w:numPr>
          <w:ilvl w:val="0"/>
          <w:numId w:val="22"/>
        </w:numPr>
        <w:pBdr>
          <w:top w:val="nil"/>
          <w:left w:val="nil"/>
          <w:bottom w:val="nil"/>
          <w:right w:val="nil"/>
          <w:between w:val="nil"/>
        </w:pBdr>
        <w:spacing w:line="360" w:lineRule="auto"/>
        <w:ind w:right="-28"/>
        <w:jc w:val="both"/>
        <w:rPr>
          <w:rFonts w:ascii="Palatino Linotype" w:hAnsi="Palatino Linotype"/>
          <w:b/>
          <w:color w:val="000000" w:themeColor="text1"/>
        </w:rPr>
      </w:pPr>
      <w:r w:rsidRPr="00D8614A">
        <w:rPr>
          <w:rFonts w:ascii="Palatino Linotype" w:hAnsi="Palatino Linotype"/>
          <w:b/>
          <w:color w:val="000000" w:themeColor="text1"/>
        </w:rPr>
        <w:t>ACTO IMPUGNADO</w:t>
      </w:r>
      <w:r w:rsidRPr="00D8614A">
        <w:rPr>
          <w:rFonts w:ascii="Palatino Linotype" w:hAnsi="Palatino Linotype"/>
          <w:b/>
          <w:color w:val="000000" w:themeColor="text1"/>
        </w:rPr>
        <w:tab/>
      </w:r>
    </w:p>
    <w:p w:rsidR="004B46F9" w:rsidRPr="00A97575" w:rsidRDefault="004B46F9" w:rsidP="00A97575">
      <w:pPr>
        <w:pBdr>
          <w:top w:val="nil"/>
          <w:left w:val="nil"/>
          <w:bottom w:val="nil"/>
          <w:right w:val="nil"/>
          <w:between w:val="nil"/>
        </w:pBdr>
        <w:spacing w:line="360" w:lineRule="auto"/>
        <w:ind w:right="-28"/>
        <w:jc w:val="both"/>
        <w:rPr>
          <w:rFonts w:ascii="Palatino Linotype" w:hAnsi="Palatino Linotype"/>
          <w:i/>
          <w:color w:val="000000" w:themeColor="text1"/>
        </w:rPr>
      </w:pPr>
      <w:r w:rsidRPr="00A97575">
        <w:rPr>
          <w:rFonts w:ascii="Palatino Linotype" w:hAnsi="Palatino Linotype"/>
          <w:i/>
          <w:color w:val="000000" w:themeColor="text1"/>
        </w:rPr>
        <w:t xml:space="preserve">Se me ha requerido de manera improcedente el pago de una cantidad como condición para acceder a la información solicitada, lo cual resulta totalmente irregular y puede interpretarse como una práctica que se asemeja a un intento de extorsión institucional, dirigida a desalentar y obstaculizar el ejercicio del derecho de acceso a la información. Este proceder genera un clima de incertidumbre y coloca al ciudadano en una situación de desventaja frente a una autoridad que debería, por el contrario, garantizar confianza, transparencia y certeza. De igual forma, el DIF ha incurrido en repetidas ocasiones en actos que comprometen la protección de datos personales, exponiendo información sensible sin los resguardos mínimos necesarios. Esta conducta refleja un manejo irresponsable que pone en riesgo la privacidad y seguridad de las personas, afectando gravemente la confianza en la institución. Asimismo, de manera arbitraria y contraria a lo expresamente solicitado, el DIF acumula diversas peticiones en un solo trámite, cuando mi instrucción fue que cada solicitud fuera atendida de manera separada. Esta actuación no puede considerarse un simple error, sino una estrategia deliberada que tiene como finalidad entorpecer el procedimiento, retrasar los tiempos y desvirtuar el fondo de lo requerido, afectando directamente el acceso a la información pública. Cuando finalmente se entrega alguna documentación, ésta carece de precisión, resulta incompleta, confusa y hasta contradictoria. Dicho proceder evidencia una falta de seriedad y profesionalismo en el manejo de la información, configurando un patrón de respuestas deficientes que imposibilitan verificar la veracidad de lo entregado y reducen la utilidad de la misma. Aunado a lo anterior, se me proporcionó un documento que no contiene sello oficial ni firma del área competente o del servidor público facultado para dar atención a la solicitud. Además, no existe sello de recibido o acuse que acredite el trámite regular de la petición. Esta omisión elimina toda formalidad y </w:t>
      </w:r>
      <w:r w:rsidRPr="00A97575">
        <w:rPr>
          <w:rFonts w:ascii="Palatino Linotype" w:hAnsi="Palatino Linotype"/>
          <w:i/>
          <w:color w:val="000000" w:themeColor="text1"/>
        </w:rPr>
        <w:lastRenderedPageBreak/>
        <w:t>genera una evidente desconfianza respecto de la validez del procedimiento, dando lugar a sospechas sobre un manejo discrecional de las solicitudes. Por otra parte, únicamente se entregan tres formatos generales que en ningún caso responden de manera puntual, clara y completa a lo solicitado. En lugar de contestar al fondo de la petición, se utilizan documentos vacíos que eluden la obligación de proporcionar información real, lo que en los hechos constituye una negativa encubierta. En suma, todos estos elementos evidencian una práctica reiterada y sistemática por parte del DIF, cuyo objetivo es limitar el acceso a la información, debilitar los principios de transparencia y deteriorar la confianza ciudadana. No se trata de errores aislados, sino de un comportamiento doloso que busca mantener la opacidad y ejercer un control discrecional sobre la información pública.</w:t>
      </w:r>
    </w:p>
    <w:p w:rsidR="004B46F9" w:rsidRPr="00A97575" w:rsidRDefault="004B46F9" w:rsidP="00A97575">
      <w:pPr>
        <w:pBdr>
          <w:top w:val="nil"/>
          <w:left w:val="nil"/>
          <w:bottom w:val="nil"/>
          <w:right w:val="nil"/>
          <w:between w:val="nil"/>
        </w:pBdr>
        <w:spacing w:line="360" w:lineRule="auto"/>
        <w:ind w:right="-28"/>
        <w:jc w:val="both"/>
        <w:rPr>
          <w:rFonts w:ascii="Palatino Linotype" w:hAnsi="Palatino Linotype"/>
          <w:i/>
          <w:color w:val="000000" w:themeColor="text1"/>
        </w:rPr>
      </w:pPr>
    </w:p>
    <w:p w:rsidR="004B46F9" w:rsidRPr="00D8614A" w:rsidRDefault="004B46F9" w:rsidP="00D8614A">
      <w:pPr>
        <w:pStyle w:val="Prrafodelista"/>
        <w:numPr>
          <w:ilvl w:val="0"/>
          <w:numId w:val="22"/>
        </w:numPr>
        <w:pBdr>
          <w:top w:val="nil"/>
          <w:left w:val="nil"/>
          <w:bottom w:val="nil"/>
          <w:right w:val="nil"/>
          <w:between w:val="nil"/>
        </w:pBdr>
        <w:spacing w:line="360" w:lineRule="auto"/>
        <w:ind w:right="-28"/>
        <w:jc w:val="both"/>
        <w:rPr>
          <w:rFonts w:ascii="Palatino Linotype" w:hAnsi="Palatino Linotype"/>
          <w:b/>
          <w:i/>
          <w:color w:val="000000" w:themeColor="text1"/>
        </w:rPr>
      </w:pPr>
      <w:r w:rsidRPr="00D8614A">
        <w:rPr>
          <w:rFonts w:ascii="Palatino Linotype" w:hAnsi="Palatino Linotype"/>
          <w:b/>
          <w:i/>
          <w:color w:val="000000" w:themeColor="text1"/>
        </w:rPr>
        <w:t>RAZONES O MOTIVOS DE LA INCONFORMIDAD</w:t>
      </w:r>
      <w:r w:rsidRPr="00D8614A">
        <w:rPr>
          <w:rFonts w:ascii="Palatino Linotype" w:hAnsi="Palatino Linotype"/>
          <w:b/>
          <w:i/>
          <w:color w:val="000000" w:themeColor="text1"/>
        </w:rPr>
        <w:tab/>
      </w:r>
    </w:p>
    <w:p w:rsidR="004B46F9" w:rsidRPr="00A97575" w:rsidRDefault="004B46F9" w:rsidP="00A97575">
      <w:pPr>
        <w:pBdr>
          <w:top w:val="nil"/>
          <w:left w:val="nil"/>
          <w:bottom w:val="nil"/>
          <w:right w:val="nil"/>
          <w:between w:val="nil"/>
        </w:pBdr>
        <w:spacing w:line="360" w:lineRule="auto"/>
        <w:ind w:right="-28"/>
        <w:jc w:val="both"/>
        <w:rPr>
          <w:rFonts w:ascii="Palatino Linotype" w:hAnsi="Palatino Linotype"/>
          <w:i/>
          <w:color w:val="000000" w:themeColor="text1"/>
        </w:rPr>
      </w:pPr>
      <w:r w:rsidRPr="00A97575">
        <w:rPr>
          <w:rFonts w:ascii="Palatino Linotype" w:hAnsi="Palatino Linotype"/>
          <w:i/>
          <w:color w:val="000000" w:themeColor="text1"/>
        </w:rPr>
        <w:t xml:space="preserve">Se me ha requerido de manera improcedente el pago de una cantidad como condición para acceder a la información solicitada, lo cual resulta totalmente irregular y puede interpretarse como una práctica que se asemeja a un intento de extorsión institucional, dirigida a desalentar y obstaculizar el ejercicio del derecho de acceso a la información. Este proceder genera un clima de incertidumbre y coloca al ciudadano en una situación de desventaja frente a una autoridad que debería, por el contrario, garantizar confianza, transparencia y certeza. De igual forma, el DIF ha incurrido en repetidas ocasiones en actos que comprometen la protección de datos personales, exponiendo información sensible sin los resguardos mínimos necesarios. Esta conducta refleja un manejo irresponsable que pone en riesgo la privacidad y seguridad de las personas, afectando gravemente la confianza en la institución. Asimismo, de manera arbitraria y contraria a lo expresamente solicitado, el DIF acumula diversas peticiones en un solo trámite, cuando mi instrucción fue que cada solicitud fuera atendida de manera separada. Esta actuación </w:t>
      </w:r>
      <w:r w:rsidRPr="00A97575">
        <w:rPr>
          <w:rFonts w:ascii="Palatino Linotype" w:hAnsi="Palatino Linotype"/>
          <w:i/>
          <w:color w:val="000000" w:themeColor="text1"/>
        </w:rPr>
        <w:lastRenderedPageBreak/>
        <w:t>no puede considerarse un simple error, sino una estrategia deliberada que tiene como finalidad entorpecer el procedimiento, retrasar los tiempos y desvirtuar el fondo de lo requerido, afectando directamente el acceso a la información pública. Cuando finalmente se entrega alguna documentación, ésta carece de precisión, resulta incompleta, confusa y hasta contradictoria. Dicho proceder evidencia una falta de seriedad y profesionalismo en el manejo de la información, configurando un patrón de respuestas deficientes que imposibilitan verificar la veracidad de lo entregado y reducen la utilidad de la misma. Aunado a lo anterior, se me proporcionó un documento que no contiene sello oficial ni firma del área competente o del servidor público facultado para dar atención a la solicitud. Además, no existe sello de recibido o acuse que acredite el trámite regular de la petición. Esta omisión elimina toda formalidad y genera una evidente desconfianza respecto de la validez del procedimiento, dando lugar a sospechas sobre un manejo discrecional de las solicitudes. Por otra parte, únicamente se entregan tres formatos generales que en ningún caso responden de manera puntual, clara y completa a lo solicitado. En lugar de contestar al fondo de la petición, se utilizan documentos vacíos que eluden la obligación de proporcionar información real, lo que en los hechos constituye una negativa encubierta. En suma, todos estos elementos evidencian una práctica reiterada y sistemática por parte del DIF, cuyo objetivo es limitar el acceso a la información, debilitar los principios de transparencia y deteriorar la confianza ciudadana. No se trata de errores aislados, sino de un comportamiento doloso que busca mantener la opacidad y ejercer un control discrecional sobre la información pública.</w:t>
      </w:r>
    </w:p>
    <w:p w:rsidR="004B46F9" w:rsidRDefault="004B46F9" w:rsidP="00A97575">
      <w:pPr>
        <w:pBdr>
          <w:top w:val="nil"/>
          <w:left w:val="nil"/>
          <w:bottom w:val="nil"/>
          <w:right w:val="nil"/>
          <w:between w:val="nil"/>
        </w:pBdr>
        <w:spacing w:line="360" w:lineRule="auto"/>
        <w:ind w:right="-28"/>
        <w:jc w:val="both"/>
        <w:rPr>
          <w:rFonts w:ascii="Palatino Linotype" w:hAnsi="Palatino Linotype"/>
          <w:i/>
          <w:color w:val="000000" w:themeColor="text1"/>
        </w:rPr>
      </w:pPr>
    </w:p>
    <w:p w:rsidR="00D8614A" w:rsidRDefault="00D8614A" w:rsidP="00A97575">
      <w:pPr>
        <w:pBdr>
          <w:top w:val="nil"/>
          <w:left w:val="nil"/>
          <w:bottom w:val="nil"/>
          <w:right w:val="nil"/>
          <w:between w:val="nil"/>
        </w:pBdr>
        <w:spacing w:line="360" w:lineRule="auto"/>
        <w:ind w:right="-28"/>
        <w:jc w:val="both"/>
        <w:rPr>
          <w:rFonts w:ascii="Palatino Linotype" w:hAnsi="Palatino Linotype"/>
          <w:i/>
          <w:color w:val="000000" w:themeColor="text1"/>
        </w:rPr>
      </w:pPr>
    </w:p>
    <w:p w:rsidR="00D8614A" w:rsidRDefault="00D8614A" w:rsidP="00A97575">
      <w:pPr>
        <w:pBdr>
          <w:top w:val="nil"/>
          <w:left w:val="nil"/>
          <w:bottom w:val="nil"/>
          <w:right w:val="nil"/>
          <w:between w:val="nil"/>
        </w:pBdr>
        <w:spacing w:line="360" w:lineRule="auto"/>
        <w:ind w:right="-28"/>
        <w:jc w:val="both"/>
        <w:rPr>
          <w:rFonts w:ascii="Palatino Linotype" w:hAnsi="Palatino Linotype"/>
          <w:i/>
          <w:color w:val="000000" w:themeColor="text1"/>
        </w:rPr>
      </w:pPr>
    </w:p>
    <w:p w:rsidR="00D8614A" w:rsidRPr="00A97575" w:rsidRDefault="00D8614A" w:rsidP="00A97575">
      <w:pPr>
        <w:pBdr>
          <w:top w:val="nil"/>
          <w:left w:val="nil"/>
          <w:bottom w:val="nil"/>
          <w:right w:val="nil"/>
          <w:between w:val="nil"/>
        </w:pBdr>
        <w:spacing w:line="360" w:lineRule="auto"/>
        <w:ind w:right="-28"/>
        <w:jc w:val="both"/>
        <w:rPr>
          <w:rFonts w:ascii="Palatino Linotype" w:hAnsi="Palatino Linotype"/>
          <w:i/>
          <w:color w:val="000000" w:themeColor="text1"/>
        </w:rPr>
      </w:pPr>
    </w:p>
    <w:p w:rsidR="009D4323" w:rsidRPr="00A97575" w:rsidRDefault="009D4323" w:rsidP="00A97575">
      <w:pPr>
        <w:pBdr>
          <w:top w:val="nil"/>
          <w:left w:val="nil"/>
          <w:bottom w:val="nil"/>
          <w:right w:val="nil"/>
          <w:between w:val="nil"/>
        </w:pBdr>
        <w:spacing w:line="360" w:lineRule="auto"/>
        <w:ind w:right="-28"/>
        <w:jc w:val="both"/>
        <w:rPr>
          <w:rFonts w:ascii="Palatino Linotype" w:hAnsi="Palatino Linotype"/>
          <w:b/>
          <w:color w:val="000000" w:themeColor="text1"/>
        </w:rPr>
      </w:pPr>
      <w:r w:rsidRPr="00A97575">
        <w:rPr>
          <w:rFonts w:ascii="Palatino Linotype" w:hAnsi="Palatino Linotype"/>
          <w:b/>
          <w:color w:val="000000" w:themeColor="text1"/>
        </w:rPr>
        <w:lastRenderedPageBreak/>
        <w:t xml:space="preserve">Folio del recurso de revisión: </w:t>
      </w:r>
      <w:r w:rsidR="004B46F9" w:rsidRPr="00A97575">
        <w:rPr>
          <w:rFonts w:ascii="Palatino Linotype" w:hAnsi="Palatino Linotype"/>
          <w:b/>
          <w:color w:val="000000" w:themeColor="text1"/>
        </w:rPr>
        <w:t>10520</w:t>
      </w:r>
      <w:r w:rsidRPr="00A97575">
        <w:rPr>
          <w:rFonts w:ascii="Palatino Linotype" w:hAnsi="Palatino Linotype"/>
          <w:b/>
          <w:color w:val="000000" w:themeColor="text1"/>
        </w:rPr>
        <w:t>/INFOEM/IP/RR/2025</w:t>
      </w:r>
    </w:p>
    <w:p w:rsidR="009D4323" w:rsidRPr="00D8614A" w:rsidRDefault="009D4323" w:rsidP="00D8614A">
      <w:pPr>
        <w:pStyle w:val="Prrafodelista"/>
        <w:numPr>
          <w:ilvl w:val="0"/>
          <w:numId w:val="22"/>
        </w:numPr>
        <w:pBdr>
          <w:top w:val="nil"/>
          <w:left w:val="nil"/>
          <w:bottom w:val="nil"/>
          <w:right w:val="nil"/>
          <w:between w:val="nil"/>
        </w:pBdr>
        <w:spacing w:line="360" w:lineRule="auto"/>
        <w:ind w:right="-28"/>
        <w:jc w:val="both"/>
        <w:rPr>
          <w:rFonts w:ascii="Palatino Linotype" w:hAnsi="Palatino Linotype"/>
          <w:b/>
          <w:color w:val="000000" w:themeColor="text1"/>
        </w:rPr>
      </w:pPr>
      <w:r w:rsidRPr="00D8614A">
        <w:rPr>
          <w:rFonts w:ascii="Palatino Linotype" w:hAnsi="Palatino Linotype"/>
          <w:b/>
          <w:color w:val="000000" w:themeColor="text1"/>
        </w:rPr>
        <w:t>ACTO IMPUGNADO</w:t>
      </w:r>
      <w:r w:rsidRPr="00D8614A">
        <w:rPr>
          <w:rFonts w:ascii="Palatino Linotype" w:hAnsi="Palatino Linotype"/>
          <w:b/>
          <w:color w:val="000000" w:themeColor="text1"/>
        </w:rPr>
        <w:tab/>
      </w:r>
    </w:p>
    <w:p w:rsidR="004B46F9" w:rsidRPr="00A97575" w:rsidRDefault="004B46F9" w:rsidP="00A97575">
      <w:pPr>
        <w:pBdr>
          <w:top w:val="nil"/>
          <w:left w:val="nil"/>
          <w:bottom w:val="nil"/>
          <w:right w:val="nil"/>
          <w:between w:val="nil"/>
        </w:pBdr>
        <w:spacing w:line="360" w:lineRule="auto"/>
        <w:ind w:right="-28"/>
        <w:jc w:val="both"/>
        <w:rPr>
          <w:rFonts w:ascii="Palatino Linotype" w:hAnsi="Palatino Linotype"/>
          <w:i/>
          <w:color w:val="000000" w:themeColor="text1"/>
        </w:rPr>
      </w:pPr>
      <w:r w:rsidRPr="00A97575">
        <w:rPr>
          <w:rFonts w:ascii="Palatino Linotype" w:hAnsi="Palatino Linotype"/>
          <w:i/>
          <w:color w:val="000000" w:themeColor="text1"/>
        </w:rPr>
        <w:t>El DIF no solo exige pagos indebidos para entregar información —acto que se configura como una práctica claramente extorsiva— sino que además vulnera datos personales, acumula solicitudes de manera arbitraria, evade contestar de fondo y entrega documentos sin sello, sin firma y sin acuse de recibido, lo que anula toda formalidad y genera absoluta desconfianza en el trámite. Para colmo, únicamente remite tres formatos vacíos que no atienden lo solicitado, lo cual constituye una negativa encubierta y deliberada. Estas conductas no son errores, son acciones dolosas y sistemáticas encaminadas a obstruir el acceso a la información, manipular los procedimientos y mantener la opacidad institucional. Por lo anterior, resulta indispensable que se impongan sanciones ejemplares y multas al DIF por su reiterado incumplimiento y su actuar doloso, pues lo aquí descrito no es casual ni aislado, sino un modus operandi para burlar la transparencia y dañar la confianza ciudadana.</w:t>
      </w:r>
    </w:p>
    <w:p w:rsidR="006643BE" w:rsidRPr="00A97575" w:rsidRDefault="006643BE" w:rsidP="00A97575">
      <w:pPr>
        <w:pBdr>
          <w:top w:val="nil"/>
          <w:left w:val="nil"/>
          <w:bottom w:val="nil"/>
          <w:right w:val="nil"/>
          <w:between w:val="nil"/>
        </w:pBdr>
        <w:spacing w:line="360" w:lineRule="auto"/>
        <w:ind w:right="-28"/>
        <w:jc w:val="both"/>
        <w:rPr>
          <w:rFonts w:ascii="Palatino Linotype" w:hAnsi="Palatino Linotype"/>
          <w:i/>
          <w:color w:val="000000" w:themeColor="text1"/>
        </w:rPr>
      </w:pPr>
    </w:p>
    <w:p w:rsidR="009D4323" w:rsidRPr="00D8614A" w:rsidRDefault="009D4323" w:rsidP="00D8614A">
      <w:pPr>
        <w:pStyle w:val="Prrafodelista"/>
        <w:numPr>
          <w:ilvl w:val="0"/>
          <w:numId w:val="22"/>
        </w:numPr>
        <w:pBdr>
          <w:top w:val="nil"/>
          <w:left w:val="nil"/>
          <w:bottom w:val="nil"/>
          <w:right w:val="nil"/>
          <w:between w:val="nil"/>
        </w:pBdr>
        <w:spacing w:line="360" w:lineRule="auto"/>
        <w:ind w:right="-28"/>
        <w:jc w:val="both"/>
        <w:rPr>
          <w:rFonts w:ascii="Palatino Linotype" w:hAnsi="Palatino Linotype"/>
          <w:b/>
          <w:color w:val="000000" w:themeColor="text1"/>
        </w:rPr>
      </w:pPr>
      <w:r w:rsidRPr="00D8614A">
        <w:rPr>
          <w:rFonts w:ascii="Palatino Linotype" w:hAnsi="Palatino Linotype"/>
          <w:b/>
          <w:color w:val="000000" w:themeColor="text1"/>
        </w:rPr>
        <w:t>RAZONES O MOTIVOS DE LA INCONFORMIDAD</w:t>
      </w:r>
      <w:r w:rsidRPr="00D8614A">
        <w:rPr>
          <w:rFonts w:ascii="Palatino Linotype" w:hAnsi="Palatino Linotype"/>
          <w:b/>
          <w:color w:val="000000" w:themeColor="text1"/>
        </w:rPr>
        <w:tab/>
      </w:r>
    </w:p>
    <w:p w:rsidR="00D6225D" w:rsidRPr="00A97575" w:rsidRDefault="004B46F9" w:rsidP="00A97575">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A97575">
        <w:rPr>
          <w:rFonts w:ascii="Palatino Linotype" w:hAnsi="Palatino Linotype"/>
          <w:i/>
          <w:color w:val="000000" w:themeColor="text1"/>
        </w:rPr>
        <w:t xml:space="preserve">El DIF no solo exige pagos indebidos para entregar información —acto que se configura como una práctica claramente extorsiva— sino que además vulnera datos personales, acumula solicitudes de manera arbitraria, evade contestar de fondo y entrega documentos sin sello, sin firma y sin acuse de recibido, lo que anula toda formalidad y genera absoluta desconfianza en el trámite. Para colmo, únicamente remite tres formatos vacíos que no atienden lo solicitado, lo cual constituye una negativa encubierta y deliberada. Estas conductas no son errores, son acciones dolosas y sistemáticas encaminadas a obstruir el acceso a la información, manipular los procedimientos y mantener la opacidad institucional. Por lo anterior, resulta indispensable que se impongan sanciones ejemplares y multas al DIF por su </w:t>
      </w:r>
      <w:r w:rsidRPr="00A97575">
        <w:rPr>
          <w:rFonts w:ascii="Palatino Linotype" w:hAnsi="Palatino Linotype"/>
          <w:i/>
          <w:color w:val="000000" w:themeColor="text1"/>
        </w:rPr>
        <w:lastRenderedPageBreak/>
        <w:t>reiterado incumplimiento y su actuar doloso, pues lo aquí descrito no es casual ni aislado, sino un modus operandi para burlar la transparencia y dañar la confianza ciudadana.</w:t>
      </w:r>
    </w:p>
    <w:p w:rsidR="003F528B" w:rsidRPr="00A97575" w:rsidRDefault="003F528B" w:rsidP="00A97575">
      <w:pPr>
        <w:pBdr>
          <w:top w:val="nil"/>
          <w:left w:val="nil"/>
          <w:bottom w:val="nil"/>
          <w:right w:val="nil"/>
          <w:between w:val="nil"/>
        </w:pBdr>
        <w:tabs>
          <w:tab w:val="left" w:pos="0"/>
        </w:tabs>
        <w:spacing w:line="360" w:lineRule="auto"/>
        <w:ind w:right="-28"/>
        <w:jc w:val="both"/>
        <w:rPr>
          <w:rFonts w:ascii="Palatino Linotype" w:eastAsia="Palatino Linotype" w:hAnsi="Palatino Linotype" w:cs="Palatino Linotype"/>
          <w:i/>
          <w:color w:val="000000" w:themeColor="text1"/>
          <w:u w:val="single"/>
        </w:rPr>
      </w:pPr>
    </w:p>
    <w:p w:rsidR="003F528B" w:rsidRPr="00A97575" w:rsidRDefault="00395B06"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Motivo por el cual</w:t>
      </w:r>
      <w:r w:rsidR="009D4323" w:rsidRPr="00A97575">
        <w:rPr>
          <w:rFonts w:ascii="Palatino Linotype" w:eastAsia="Palatino Linotype" w:hAnsi="Palatino Linotype" w:cs="Palatino Linotype"/>
          <w:color w:val="000000" w:themeColor="text1"/>
        </w:rPr>
        <w:t xml:space="preserve"> a través de </w:t>
      </w:r>
      <w:r w:rsidR="007E34FD" w:rsidRPr="00A97575">
        <w:rPr>
          <w:rFonts w:ascii="Palatino Linotype" w:eastAsia="Palatino Linotype" w:hAnsi="Palatino Linotype" w:cs="Palatino Linotype"/>
          <w:color w:val="000000" w:themeColor="text1"/>
        </w:rPr>
        <w:t xml:space="preserve">los </w:t>
      </w:r>
      <w:r w:rsidR="007020AD" w:rsidRPr="00A97575">
        <w:rPr>
          <w:rFonts w:ascii="Palatino Linotype" w:eastAsia="Palatino Linotype" w:hAnsi="Palatino Linotype" w:cs="Palatino Linotype"/>
          <w:color w:val="000000" w:themeColor="text1"/>
        </w:rPr>
        <w:t>acuerdos de admisión de</w:t>
      </w:r>
      <w:r w:rsidR="00C00CF8" w:rsidRPr="00A97575">
        <w:rPr>
          <w:rFonts w:ascii="Palatino Linotype" w:eastAsia="Palatino Linotype" w:hAnsi="Palatino Linotype" w:cs="Palatino Linotype"/>
          <w:color w:val="000000" w:themeColor="text1"/>
        </w:rPr>
        <w:t xml:space="preserve"> </w:t>
      </w:r>
      <w:r w:rsidR="00136258" w:rsidRPr="00A97575">
        <w:rPr>
          <w:rFonts w:ascii="Palatino Linotype" w:eastAsia="Palatino Linotype" w:hAnsi="Palatino Linotype" w:cs="Palatino Linotype"/>
          <w:b/>
          <w:color w:val="000000" w:themeColor="text1"/>
        </w:rPr>
        <w:t xml:space="preserve">nueve, once y doce </w:t>
      </w:r>
      <w:r w:rsidR="009D4323" w:rsidRPr="00A97575">
        <w:rPr>
          <w:rFonts w:ascii="Palatino Linotype" w:eastAsia="Palatino Linotype" w:hAnsi="Palatino Linotype" w:cs="Palatino Linotype"/>
          <w:b/>
          <w:color w:val="000000" w:themeColor="text1"/>
        </w:rPr>
        <w:t>de</w:t>
      </w:r>
      <w:r w:rsidR="0041509E" w:rsidRPr="00A97575">
        <w:rPr>
          <w:rFonts w:ascii="Palatino Linotype" w:eastAsia="Palatino Linotype" w:hAnsi="Palatino Linotype" w:cs="Palatino Linotype"/>
          <w:b/>
          <w:color w:val="000000" w:themeColor="text1"/>
        </w:rPr>
        <w:t xml:space="preserve"> </w:t>
      </w:r>
      <w:r w:rsidR="00136258" w:rsidRPr="00A97575">
        <w:rPr>
          <w:rFonts w:ascii="Palatino Linotype" w:eastAsia="Palatino Linotype" w:hAnsi="Palatino Linotype" w:cs="Palatino Linotype"/>
          <w:b/>
          <w:color w:val="000000" w:themeColor="text1"/>
        </w:rPr>
        <w:t>septiembre</w:t>
      </w:r>
      <w:r w:rsidR="0041509E" w:rsidRPr="00A97575">
        <w:rPr>
          <w:rFonts w:ascii="Palatino Linotype" w:eastAsia="Palatino Linotype" w:hAnsi="Palatino Linotype" w:cs="Palatino Linotype"/>
          <w:b/>
          <w:color w:val="000000" w:themeColor="text1"/>
        </w:rPr>
        <w:t xml:space="preserve"> de dos mil veinticinco</w:t>
      </w:r>
      <w:r w:rsidR="007020AD" w:rsidRPr="00A97575">
        <w:rPr>
          <w:rFonts w:ascii="Palatino Linotype" w:eastAsia="Palatino Linotype" w:hAnsi="Palatino Linotype" w:cs="Palatino Linotype"/>
          <w:color w:val="000000" w:themeColor="text1"/>
        </w:rPr>
        <w:t xml:space="preserve">, </w:t>
      </w:r>
      <w:r w:rsidR="0028484F" w:rsidRPr="00A97575">
        <w:rPr>
          <w:rFonts w:ascii="Palatino Linotype" w:eastAsia="Palatino Linotype" w:hAnsi="Palatino Linotype" w:cs="Palatino Linotype"/>
          <w:color w:val="000000" w:themeColor="text1"/>
        </w:rPr>
        <w:t xml:space="preserve">se </w:t>
      </w:r>
      <w:r w:rsidR="007020AD" w:rsidRPr="00A97575">
        <w:rPr>
          <w:rFonts w:ascii="Palatino Linotype" w:eastAsia="Palatino Linotype" w:hAnsi="Palatino Linotype" w:cs="Palatino Linotype"/>
          <w:color w:val="000000" w:themeColor="text1"/>
        </w:rPr>
        <w:t xml:space="preserve">pusieron a disposición de las partes los expedientes electrónicos vía </w:t>
      </w:r>
      <w:r w:rsidR="007020AD" w:rsidRPr="00A97575">
        <w:rPr>
          <w:rFonts w:ascii="Palatino Linotype" w:eastAsia="Palatino Linotype" w:hAnsi="Palatino Linotype" w:cs="Palatino Linotype"/>
          <w:b/>
          <w:color w:val="000000" w:themeColor="text1"/>
        </w:rPr>
        <w:t xml:space="preserve">SAIMEX </w:t>
      </w:r>
      <w:r w:rsidR="007020AD" w:rsidRPr="00A97575">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7020AD" w:rsidRPr="00A97575">
        <w:rPr>
          <w:rFonts w:ascii="Palatino Linotype" w:eastAsia="Palatino Linotype" w:hAnsi="Palatino Linotype" w:cs="Palatino Linotype"/>
          <w:b/>
          <w:color w:val="000000" w:themeColor="text1"/>
        </w:rPr>
        <w:t>SUJETO OBLIGADO</w:t>
      </w:r>
      <w:r w:rsidR="007020AD" w:rsidRPr="00A97575">
        <w:rPr>
          <w:rFonts w:ascii="Palatino Linotype" w:eastAsia="Palatino Linotype" w:hAnsi="Palatino Linotype" w:cs="Palatino Linotype"/>
          <w:color w:val="000000" w:themeColor="text1"/>
        </w:rPr>
        <w:t xml:space="preserve"> presentará el informe justificado procedente.</w:t>
      </w:r>
    </w:p>
    <w:p w:rsidR="004B46F9" w:rsidRPr="00A97575" w:rsidRDefault="004B46F9"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395B06" w:rsidRPr="00A97575" w:rsidRDefault="00395B06"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 xml:space="preserve">Posteriormente el Pleno de este Instituto mediante acuerdo de fecha </w:t>
      </w:r>
      <w:r w:rsidR="00605590" w:rsidRPr="00A97575">
        <w:rPr>
          <w:rFonts w:ascii="Palatino Linotype" w:eastAsia="Palatino Linotype" w:hAnsi="Palatino Linotype" w:cs="Palatino Linotype"/>
          <w:b/>
          <w:color w:val="000000" w:themeColor="text1"/>
        </w:rPr>
        <w:t>diecinueve</w:t>
      </w:r>
      <w:r w:rsidRPr="00A97575">
        <w:rPr>
          <w:rFonts w:ascii="Palatino Linotype" w:eastAsia="Palatino Linotype" w:hAnsi="Palatino Linotype" w:cs="Palatino Linotype"/>
          <w:b/>
          <w:color w:val="000000" w:themeColor="text1"/>
        </w:rPr>
        <w:t xml:space="preserve"> de </w:t>
      </w:r>
      <w:r w:rsidR="00605590" w:rsidRPr="00A97575">
        <w:rPr>
          <w:rFonts w:ascii="Palatino Linotype" w:eastAsia="Palatino Linotype" w:hAnsi="Palatino Linotype" w:cs="Palatino Linotype"/>
          <w:b/>
          <w:color w:val="000000" w:themeColor="text1"/>
        </w:rPr>
        <w:t>septiem</w:t>
      </w:r>
      <w:r w:rsidRPr="00A97575">
        <w:rPr>
          <w:rFonts w:ascii="Palatino Linotype" w:eastAsia="Palatino Linotype" w:hAnsi="Palatino Linotype" w:cs="Palatino Linotype"/>
          <w:b/>
          <w:color w:val="000000" w:themeColor="text1"/>
        </w:rPr>
        <w:t>bre de dos mil veinticinco</w:t>
      </w:r>
      <w:r w:rsidRPr="00A97575">
        <w:rPr>
          <w:rFonts w:ascii="Palatino Linotype" w:eastAsia="Palatino Linotype" w:hAnsi="Palatino Linotype" w:cs="Palatino Linotype"/>
          <w:color w:val="000000" w:themeColor="text1"/>
        </w:rPr>
        <w:t xml:space="preserve">, ordenó la acumulación de los recursos de revisión de mérito, a efecto de que la Ponencia de la </w:t>
      </w:r>
      <w:r w:rsidRPr="00A97575">
        <w:rPr>
          <w:rFonts w:ascii="Palatino Linotype" w:eastAsia="Palatino Linotype" w:hAnsi="Palatino Linotype" w:cs="Palatino Linotype"/>
          <w:b/>
          <w:color w:val="000000" w:themeColor="text1"/>
        </w:rPr>
        <w:t>Comisionada María del Rosario Mejía Ayala</w:t>
      </w:r>
      <w:r w:rsidRPr="00A97575">
        <w:rPr>
          <w:rFonts w:ascii="Palatino Linotype" w:eastAsia="Palatino Linotype" w:hAnsi="Palatino Linotype" w:cs="Palatino Linotype"/>
          <w:color w:val="000000" w:themeColor="text1"/>
        </w:rPr>
        <w:t>,</w:t>
      </w:r>
      <w:r w:rsidRPr="00A97575">
        <w:rPr>
          <w:rFonts w:ascii="Palatino Linotype" w:eastAsia="Palatino Linotype" w:hAnsi="Palatino Linotype" w:cs="Palatino Linotype"/>
          <w:b/>
          <w:color w:val="000000" w:themeColor="text1"/>
        </w:rPr>
        <w:t xml:space="preserve"> </w:t>
      </w:r>
      <w:r w:rsidRPr="00A97575">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A97575">
        <w:rPr>
          <w:rFonts w:ascii="Palatino Linotype" w:eastAsia="Palatino Linotype" w:hAnsi="Palatino Linotype" w:cs="Palatino Linotype"/>
          <w:i/>
          <w:color w:val="000000" w:themeColor="text1"/>
          <w:vertAlign w:val="superscript"/>
        </w:rPr>
        <w:footnoteReference w:id="1"/>
      </w:r>
      <w:r w:rsidRPr="00A97575">
        <w:rPr>
          <w:rFonts w:ascii="Palatino Linotype" w:eastAsia="Palatino Linotype" w:hAnsi="Palatino Linotype" w:cs="Palatino Linotype"/>
          <w:color w:val="000000" w:themeColor="text1"/>
        </w:rPr>
        <w:t>, que señala:</w:t>
      </w:r>
    </w:p>
    <w:p w:rsidR="00395B06" w:rsidRPr="00A97575" w:rsidRDefault="00395B06" w:rsidP="00A97575">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“ONCE.</w:t>
      </w:r>
      <w:r w:rsidRPr="00A97575">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395B06" w:rsidRPr="00A97575" w:rsidRDefault="00395B06" w:rsidP="00A97575">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w:t>
      </w:r>
      <w:r w:rsidRPr="00A97575">
        <w:rPr>
          <w:rFonts w:ascii="Palatino Linotype" w:eastAsia="Palatino Linotype" w:hAnsi="Palatino Linotype" w:cs="Palatino Linotype"/>
          <w:i/>
          <w:color w:val="000000" w:themeColor="text1"/>
        </w:rPr>
        <w:tab/>
      </w:r>
    </w:p>
    <w:p w:rsidR="00395B06" w:rsidRPr="00A97575" w:rsidRDefault="00395B06" w:rsidP="00A97575">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b) Las partes o los actos impugnados sean iguales</w:t>
      </w:r>
    </w:p>
    <w:p w:rsidR="00395B06" w:rsidRPr="00A97575" w:rsidRDefault="00395B06" w:rsidP="00A97575">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lastRenderedPageBreak/>
        <w:t>c) Cuando se trate del mismo solicitante, el mismo SUJETO OBLIGADO, aunque se trate de solicitudes diversas;</w:t>
      </w:r>
    </w:p>
    <w:p w:rsidR="00395B06" w:rsidRPr="00A97575" w:rsidRDefault="00395B06" w:rsidP="00A97575">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w:t>
      </w:r>
    </w:p>
    <w:p w:rsidR="00395B06" w:rsidRPr="00A97575" w:rsidRDefault="00395B06" w:rsidP="00A97575">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i/>
          <w:color w:val="000000" w:themeColor="text1"/>
        </w:rPr>
      </w:pPr>
    </w:p>
    <w:p w:rsidR="00395B06" w:rsidRPr="00A97575" w:rsidRDefault="00395B06"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Es así que,</w:t>
      </w:r>
      <w:r w:rsidRPr="00A97575">
        <w:rPr>
          <w:rFonts w:ascii="Palatino Linotype" w:eastAsia="Palatino Linotype" w:hAnsi="Palatino Linotype" w:cs="Palatino Linotype"/>
          <w:i/>
          <w:color w:val="000000" w:themeColor="text1"/>
        </w:rPr>
        <w:t xml:space="preserve"> </w:t>
      </w:r>
      <w:r w:rsidRPr="00A97575">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395B06" w:rsidRPr="00A97575" w:rsidRDefault="00395B06" w:rsidP="00A97575">
      <w:pPr>
        <w:tabs>
          <w:tab w:val="left" w:pos="567"/>
        </w:tabs>
        <w:spacing w:line="360" w:lineRule="auto"/>
        <w:ind w:right="-28"/>
        <w:jc w:val="both"/>
        <w:rPr>
          <w:rFonts w:ascii="Palatino Linotype" w:eastAsia="Palatino Linotype" w:hAnsi="Palatino Linotype" w:cs="Palatino Linotype"/>
          <w:b/>
          <w:i/>
          <w:color w:val="000000" w:themeColor="text1"/>
        </w:rPr>
      </w:pPr>
      <w:r w:rsidRPr="00A97575">
        <w:rPr>
          <w:rFonts w:ascii="Palatino Linotype" w:eastAsia="Palatino Linotype" w:hAnsi="Palatino Linotype" w:cs="Palatino Linotype"/>
          <w:b/>
          <w:i/>
          <w:color w:val="000000" w:themeColor="text1"/>
        </w:rPr>
        <w:t>Código de Procedimientos Administrativos del Estado de México.</w:t>
      </w:r>
    </w:p>
    <w:p w:rsidR="00395B06" w:rsidRPr="00A97575" w:rsidRDefault="00395B06"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“Artículo 18.-</w:t>
      </w:r>
      <w:r w:rsidRPr="00A97575">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95B06" w:rsidRPr="00A97575" w:rsidRDefault="00395B06" w:rsidP="00A97575">
      <w:pPr>
        <w:tabs>
          <w:tab w:val="left" w:pos="567"/>
        </w:tabs>
        <w:spacing w:line="360" w:lineRule="auto"/>
        <w:ind w:right="-28"/>
        <w:jc w:val="both"/>
        <w:rPr>
          <w:rFonts w:ascii="Palatino Linotype" w:eastAsia="Palatino Linotype" w:hAnsi="Palatino Linotype" w:cs="Palatino Linotype"/>
          <w:i/>
          <w:color w:val="000000" w:themeColor="text1"/>
        </w:rPr>
      </w:pPr>
    </w:p>
    <w:p w:rsidR="00395B06" w:rsidRPr="00A97575" w:rsidRDefault="00395B06" w:rsidP="00A97575">
      <w:pPr>
        <w:spacing w:line="360" w:lineRule="auto"/>
        <w:ind w:right="-28"/>
        <w:jc w:val="both"/>
        <w:rPr>
          <w:rFonts w:ascii="Palatino Linotype" w:eastAsia="Palatino Linotype" w:hAnsi="Palatino Linotype" w:cs="Palatino Linotype"/>
          <w:b/>
          <w:i/>
          <w:color w:val="000000" w:themeColor="text1"/>
        </w:rPr>
      </w:pPr>
      <w:r w:rsidRPr="00A97575">
        <w:rPr>
          <w:rFonts w:ascii="Palatino Linotype" w:eastAsia="Palatino Linotype" w:hAnsi="Palatino Linotype" w:cs="Palatino Linotype"/>
          <w:b/>
          <w:i/>
          <w:color w:val="000000" w:themeColor="text1"/>
        </w:rPr>
        <w:t>Ley de Transparencia y Acceso a la Información Pública del Estado de México y Municipios</w:t>
      </w:r>
    </w:p>
    <w:p w:rsidR="00395B06" w:rsidRPr="00A97575" w:rsidRDefault="00395B06"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“Artículo 195.</w:t>
      </w:r>
      <w:r w:rsidRPr="00A97575">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9D4323" w:rsidRPr="00A97575" w:rsidRDefault="009D4323"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C30572" w:rsidRPr="00A97575" w:rsidRDefault="00395B06"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i/>
          <w:color w:val="000000" w:themeColor="text1"/>
        </w:rPr>
      </w:pPr>
      <w:r w:rsidRPr="00A97575">
        <w:rPr>
          <w:rFonts w:ascii="Palatino Linotype" w:eastAsia="Palatino Linotype" w:hAnsi="Palatino Linotype" w:cs="Palatino Linotype"/>
          <w:color w:val="000000" w:themeColor="text1"/>
        </w:rPr>
        <w:lastRenderedPageBreak/>
        <w:t>Concluido el plazo otorgado; e</w:t>
      </w:r>
      <w:r w:rsidR="007020AD" w:rsidRPr="00A97575">
        <w:rPr>
          <w:rFonts w:ascii="Palatino Linotype" w:eastAsia="Palatino Linotype" w:hAnsi="Palatino Linotype" w:cs="Palatino Linotype"/>
          <w:color w:val="000000" w:themeColor="text1"/>
        </w:rPr>
        <w:t xml:space="preserve">l </w:t>
      </w:r>
      <w:r w:rsidR="007020AD" w:rsidRPr="00A97575">
        <w:rPr>
          <w:rFonts w:ascii="Palatino Linotype" w:eastAsia="Palatino Linotype" w:hAnsi="Palatino Linotype" w:cs="Palatino Linotype"/>
          <w:b/>
          <w:color w:val="000000" w:themeColor="text1"/>
        </w:rPr>
        <w:t>SUJETO OBLIGADO</w:t>
      </w:r>
      <w:r w:rsidR="007020AD" w:rsidRPr="00A97575">
        <w:rPr>
          <w:rFonts w:ascii="Palatino Linotype" w:eastAsia="Palatino Linotype" w:hAnsi="Palatino Linotype" w:cs="Palatino Linotype"/>
          <w:color w:val="000000" w:themeColor="text1"/>
        </w:rPr>
        <w:t xml:space="preserve"> </w:t>
      </w:r>
      <w:r w:rsidR="007E34FD" w:rsidRPr="00A97575">
        <w:rPr>
          <w:rFonts w:ascii="Palatino Linotype" w:eastAsia="Palatino Linotype" w:hAnsi="Palatino Linotype" w:cs="Palatino Linotype"/>
          <w:color w:val="000000" w:themeColor="text1"/>
        </w:rPr>
        <w:t>fue omiso en rendir el informe justificado correspondiente</w:t>
      </w:r>
      <w:r w:rsidR="0028484F" w:rsidRPr="00A97575">
        <w:rPr>
          <w:rFonts w:ascii="Palatino Linotype" w:eastAsia="Palatino Linotype" w:hAnsi="Palatino Linotype" w:cs="Palatino Linotype"/>
          <w:color w:val="000000" w:themeColor="text1"/>
        </w:rPr>
        <w:t>. Por su parte el particular fue omiso en realizar manifestaciones que a su derecho conviniera y asistiera.</w:t>
      </w:r>
    </w:p>
    <w:p w:rsidR="00AF0F95" w:rsidRPr="00A97575" w:rsidRDefault="00AF0F95"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3F528B" w:rsidRPr="00A97575" w:rsidRDefault="007020AD"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Seguidamente, mediante acuerdo</w:t>
      </w:r>
      <w:r w:rsidR="00A03DAF" w:rsidRPr="00A97575">
        <w:rPr>
          <w:rFonts w:ascii="Palatino Linotype" w:eastAsia="Palatino Linotype" w:hAnsi="Palatino Linotype" w:cs="Palatino Linotype"/>
          <w:color w:val="000000" w:themeColor="text1"/>
        </w:rPr>
        <w:t>s</w:t>
      </w:r>
      <w:r w:rsidRPr="00A97575">
        <w:rPr>
          <w:rFonts w:ascii="Palatino Linotype" w:eastAsia="Palatino Linotype" w:hAnsi="Palatino Linotype" w:cs="Palatino Linotype"/>
          <w:color w:val="000000" w:themeColor="text1"/>
        </w:rPr>
        <w:t xml:space="preserve"> de</w:t>
      </w:r>
      <w:r w:rsidR="00B62FF3" w:rsidRPr="00A97575">
        <w:rPr>
          <w:rFonts w:ascii="Palatino Linotype" w:eastAsia="Palatino Linotype" w:hAnsi="Palatino Linotype" w:cs="Palatino Linotype"/>
          <w:color w:val="000000" w:themeColor="text1"/>
        </w:rPr>
        <w:t xml:space="preserve"> </w:t>
      </w:r>
      <w:r w:rsidRPr="00A97575">
        <w:rPr>
          <w:rFonts w:ascii="Palatino Linotype" w:eastAsia="Palatino Linotype" w:hAnsi="Palatino Linotype" w:cs="Palatino Linotype"/>
          <w:color w:val="000000" w:themeColor="text1"/>
        </w:rPr>
        <w:t>fecha</w:t>
      </w:r>
      <w:r w:rsidR="00A03DAF" w:rsidRPr="00A97575">
        <w:rPr>
          <w:rFonts w:ascii="Palatino Linotype" w:eastAsia="Palatino Linotype" w:hAnsi="Palatino Linotype" w:cs="Palatino Linotype"/>
          <w:color w:val="000000" w:themeColor="text1"/>
        </w:rPr>
        <w:t>s</w:t>
      </w:r>
      <w:r w:rsidRPr="00A97575">
        <w:rPr>
          <w:rFonts w:ascii="Palatino Linotype" w:eastAsia="Palatino Linotype" w:hAnsi="Palatino Linotype" w:cs="Palatino Linotype"/>
          <w:color w:val="000000" w:themeColor="text1"/>
        </w:rPr>
        <w:t xml:space="preserve"> </w:t>
      </w:r>
      <w:r w:rsidR="00A03DAF" w:rsidRPr="00A97575">
        <w:rPr>
          <w:rFonts w:ascii="Palatino Linotype" w:eastAsia="Palatino Linotype" w:hAnsi="Palatino Linotype" w:cs="Palatino Linotype"/>
          <w:b/>
          <w:color w:val="000000" w:themeColor="text1"/>
        </w:rPr>
        <w:t>veintidós de septiembre y</w:t>
      </w:r>
      <w:r w:rsidR="00A03DAF" w:rsidRPr="00A97575">
        <w:rPr>
          <w:rFonts w:ascii="Palatino Linotype" w:eastAsia="Palatino Linotype" w:hAnsi="Palatino Linotype" w:cs="Palatino Linotype"/>
          <w:color w:val="000000" w:themeColor="text1"/>
        </w:rPr>
        <w:t xml:space="preserve"> </w:t>
      </w:r>
      <w:r w:rsidR="00605590" w:rsidRPr="00A97575">
        <w:rPr>
          <w:rFonts w:ascii="Palatino Linotype" w:eastAsia="Palatino Linotype" w:hAnsi="Palatino Linotype" w:cs="Palatino Linotype"/>
          <w:b/>
          <w:color w:val="000000" w:themeColor="text1"/>
        </w:rPr>
        <w:t>siet</w:t>
      </w:r>
      <w:r w:rsidR="00F56A08" w:rsidRPr="00A97575">
        <w:rPr>
          <w:rFonts w:ascii="Palatino Linotype" w:eastAsia="Palatino Linotype" w:hAnsi="Palatino Linotype" w:cs="Palatino Linotype"/>
          <w:b/>
          <w:color w:val="000000" w:themeColor="text1"/>
        </w:rPr>
        <w:t>e de octubre</w:t>
      </w:r>
      <w:r w:rsidR="00B9387A" w:rsidRPr="00A97575">
        <w:rPr>
          <w:rFonts w:ascii="Palatino Linotype" w:eastAsia="Palatino Linotype" w:hAnsi="Palatino Linotype" w:cs="Palatino Linotype"/>
          <w:b/>
          <w:color w:val="000000" w:themeColor="text1"/>
        </w:rPr>
        <w:t xml:space="preserve"> de dos mil veinticinco</w:t>
      </w:r>
      <w:r w:rsidR="00B9387A" w:rsidRPr="00A97575">
        <w:rPr>
          <w:rFonts w:ascii="Palatino Linotype" w:eastAsia="Palatino Linotype" w:hAnsi="Palatino Linotype" w:cs="Palatino Linotype"/>
          <w:color w:val="000000" w:themeColor="text1"/>
        </w:rPr>
        <w:t xml:space="preserve">, </w:t>
      </w:r>
      <w:r w:rsidRPr="00A97575">
        <w:rPr>
          <w:rFonts w:ascii="Palatino Linotype" w:eastAsia="Palatino Linotype" w:hAnsi="Palatino Linotype" w:cs="Palatino Linotype"/>
          <w:color w:val="000000" w:themeColor="text1"/>
        </w:rPr>
        <w:t>se decretó el cierre de instrucción, por lo que no hab</w:t>
      </w:r>
      <w:r w:rsidR="00CC1AFC">
        <w:rPr>
          <w:rFonts w:ascii="Palatino Linotype" w:eastAsia="Palatino Linotype" w:hAnsi="Palatino Linotype" w:cs="Palatino Linotype"/>
          <w:color w:val="000000" w:themeColor="text1"/>
        </w:rPr>
        <w:t>iendo más que hacer constar, y</w:t>
      </w:r>
    </w:p>
    <w:p w:rsidR="003F528B" w:rsidRPr="00A97575" w:rsidRDefault="003F528B" w:rsidP="00A9757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3F528B" w:rsidRPr="00A97575" w:rsidRDefault="007020AD" w:rsidP="00A97575">
      <w:pPr>
        <w:pStyle w:val="Ttulo1"/>
        <w:spacing w:before="0" w:line="360" w:lineRule="auto"/>
        <w:ind w:right="-28"/>
        <w:jc w:val="center"/>
        <w:rPr>
          <w:rFonts w:ascii="Palatino Linotype" w:eastAsia="Palatino Linotype" w:hAnsi="Palatino Linotype" w:cs="Palatino Linotype"/>
          <w:b/>
          <w:color w:val="000000" w:themeColor="text1"/>
          <w:sz w:val="24"/>
          <w:szCs w:val="24"/>
        </w:rPr>
      </w:pPr>
      <w:bookmarkStart w:id="3" w:name="_heading=h.3znysh7" w:colFirst="0" w:colLast="0"/>
      <w:bookmarkEnd w:id="3"/>
      <w:r w:rsidRPr="00A97575">
        <w:rPr>
          <w:rFonts w:ascii="Palatino Linotype" w:eastAsia="Palatino Linotype" w:hAnsi="Palatino Linotype" w:cs="Palatino Linotype"/>
          <w:b/>
          <w:color w:val="000000" w:themeColor="text1"/>
          <w:sz w:val="24"/>
          <w:szCs w:val="24"/>
        </w:rPr>
        <w:t>C O N S I D E R A N D O</w:t>
      </w: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A00935" w:rsidP="00A97575">
      <w:pPr>
        <w:pStyle w:val="Ttulo2"/>
        <w:spacing w:before="0" w:line="360" w:lineRule="auto"/>
        <w:ind w:right="-28"/>
        <w:jc w:val="both"/>
        <w:rPr>
          <w:rFonts w:ascii="Palatino Linotype" w:eastAsia="Palatino Linotype" w:hAnsi="Palatino Linotype" w:cs="Palatino Linotype"/>
          <w:b/>
          <w:color w:val="000000" w:themeColor="text1"/>
          <w:sz w:val="24"/>
          <w:szCs w:val="24"/>
        </w:rPr>
      </w:pPr>
      <w:bookmarkStart w:id="4" w:name="_heading=h.2et92p0" w:colFirst="0" w:colLast="0"/>
      <w:bookmarkEnd w:id="4"/>
      <w:r w:rsidRPr="00A97575">
        <w:rPr>
          <w:rFonts w:ascii="Palatino Linotype" w:eastAsia="Palatino Linotype" w:hAnsi="Palatino Linotype" w:cs="Palatino Linotype"/>
          <w:b/>
          <w:color w:val="000000" w:themeColor="text1"/>
          <w:sz w:val="24"/>
          <w:szCs w:val="24"/>
        </w:rPr>
        <w:t>PRIMERO. De la competencia</w:t>
      </w:r>
    </w:p>
    <w:p w:rsidR="003F528B" w:rsidRPr="00A97575" w:rsidRDefault="00F56A08"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bookmarkStart w:id="5" w:name="_heading=h.tyjcwt" w:colFirst="0" w:colLast="0"/>
      <w:bookmarkEnd w:id="5"/>
      <w:r w:rsidRPr="00A97575">
        <w:rPr>
          <w:rFonts w:ascii="Palatino Linotype" w:hAnsi="Palatino Linotype" w:cs="Arial"/>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w:t>
      </w:r>
      <w:r w:rsidRPr="00A97575">
        <w:rPr>
          <w:rFonts w:ascii="Palatino Linotype" w:eastAsia="Palatino Linotype" w:hAnsi="Palatino Linotype" w:cs="Palatino Linotype"/>
          <w:color w:val="000000" w:themeColor="text1"/>
        </w:rPr>
        <w:t>recurrente</w:t>
      </w:r>
      <w:r w:rsidRPr="00A97575">
        <w:rPr>
          <w:rFonts w:ascii="Palatino Linotype" w:hAnsi="Palatino Linotype" w:cs="Arial"/>
          <w:color w:val="000000" w:themeColor="text1"/>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3F528B" w:rsidRPr="00A97575" w:rsidRDefault="007020AD" w:rsidP="00A9757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 xml:space="preserve"> </w:t>
      </w:r>
    </w:p>
    <w:p w:rsidR="003F528B" w:rsidRPr="00A97575" w:rsidRDefault="007020AD" w:rsidP="00A97575">
      <w:pPr>
        <w:pStyle w:val="Ttulo2"/>
        <w:spacing w:before="0" w:line="360" w:lineRule="auto"/>
        <w:ind w:right="-28"/>
        <w:jc w:val="both"/>
        <w:rPr>
          <w:rFonts w:ascii="Palatino Linotype" w:eastAsia="Palatino Linotype" w:hAnsi="Palatino Linotype" w:cs="Palatino Linotype"/>
          <w:b/>
          <w:color w:val="000000" w:themeColor="text1"/>
          <w:sz w:val="24"/>
          <w:szCs w:val="24"/>
        </w:rPr>
      </w:pPr>
      <w:r w:rsidRPr="00A97575">
        <w:rPr>
          <w:rFonts w:ascii="Palatino Linotype" w:eastAsia="Palatino Linotype" w:hAnsi="Palatino Linotype" w:cs="Palatino Linotype"/>
          <w:b/>
          <w:color w:val="000000" w:themeColor="text1"/>
          <w:sz w:val="24"/>
          <w:szCs w:val="24"/>
        </w:rPr>
        <w:lastRenderedPageBreak/>
        <w:t>SEGUNDO. De la oportunidad y procedencia.</w:t>
      </w:r>
    </w:p>
    <w:p w:rsidR="003F528B" w:rsidRPr="00A97575" w:rsidRDefault="007020AD"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bookmarkStart w:id="6" w:name="_heading=h.3dy6vkm" w:colFirst="0" w:colLast="0"/>
      <w:bookmarkEnd w:id="6"/>
      <w:r w:rsidRPr="00A97575">
        <w:rPr>
          <w:rFonts w:ascii="Palatino Linotype" w:eastAsia="Palatino Linotype" w:hAnsi="Palatino Linotype" w:cs="Palatino Linotype"/>
          <w:color w:val="000000" w:themeColor="text1"/>
        </w:rPr>
        <w:t>Este Órgano Garante considera que los medios de impugnación reúnen los requisitos de procedencia toda vez que: los recursos fueron presentados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395B06" w:rsidRPr="00A97575" w:rsidRDefault="00395B06"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605590" w:rsidRPr="00A97575" w:rsidRDefault="00605590"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05590" w:rsidRPr="00A97575" w:rsidRDefault="00605590"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w:t>
      </w:r>
      <w:r w:rsidRPr="00A97575">
        <w:rPr>
          <w:rFonts w:ascii="Palatino Linotype" w:eastAsia="Palatino Linotype" w:hAnsi="Palatino Linotype" w:cs="Palatino Linotype"/>
          <w:b/>
          <w:i/>
          <w:color w:val="000000" w:themeColor="text1"/>
        </w:rPr>
        <w:t>Las solicitudes anónimas</w:t>
      </w:r>
      <w:r w:rsidRPr="00A97575">
        <w:rPr>
          <w:rFonts w:ascii="Palatino Linotype" w:eastAsia="Palatino Linotype" w:hAnsi="Palatino Linotype" w:cs="Palatino Linotype"/>
          <w:i/>
          <w:color w:val="000000" w:themeColor="text1"/>
        </w:rPr>
        <w:t xml:space="preserve">, con nombre incompleto o seudónimo </w:t>
      </w:r>
      <w:r w:rsidRPr="00A97575">
        <w:rPr>
          <w:rFonts w:ascii="Palatino Linotype" w:eastAsia="Palatino Linotype" w:hAnsi="Palatino Linotype" w:cs="Palatino Linotype"/>
          <w:b/>
          <w:i/>
          <w:color w:val="000000" w:themeColor="text1"/>
        </w:rPr>
        <w:t>serán procedentes para su trámite por parte del sujeto obligado ante quien se presente</w:t>
      </w:r>
      <w:r w:rsidRPr="00A97575">
        <w:rPr>
          <w:rFonts w:ascii="Palatino Linotype" w:eastAsia="Palatino Linotype" w:hAnsi="Palatino Linotype" w:cs="Palatino Linotype"/>
          <w:i/>
          <w:color w:val="000000" w:themeColor="text1"/>
        </w:rPr>
        <w:t>. No podrá requerirse información adicional con motivo del nombre proporcionado por el solicitante."</w:t>
      </w:r>
    </w:p>
    <w:p w:rsidR="00605590" w:rsidRPr="00A97575" w:rsidRDefault="00605590" w:rsidP="00A9757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605590" w:rsidRPr="00A97575" w:rsidRDefault="00605590"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3F528B" w:rsidRPr="00A97575" w:rsidRDefault="007020AD"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3F528B" w:rsidRPr="00A97575" w:rsidRDefault="003F528B" w:rsidP="00A9757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3F528B" w:rsidRPr="00A97575" w:rsidRDefault="007020AD" w:rsidP="00A97575">
      <w:pPr>
        <w:pStyle w:val="Ttulo1"/>
        <w:spacing w:before="0" w:line="360" w:lineRule="auto"/>
        <w:ind w:right="-28"/>
        <w:jc w:val="both"/>
        <w:rPr>
          <w:rFonts w:ascii="Palatino Linotype" w:eastAsia="Palatino Linotype" w:hAnsi="Palatino Linotype" w:cs="Palatino Linotype"/>
          <w:b/>
          <w:color w:val="000000" w:themeColor="text1"/>
          <w:sz w:val="24"/>
          <w:szCs w:val="24"/>
        </w:rPr>
      </w:pPr>
      <w:r w:rsidRPr="00A97575">
        <w:rPr>
          <w:rFonts w:ascii="Palatino Linotype" w:eastAsia="Palatino Linotype" w:hAnsi="Palatino Linotype" w:cs="Palatino Linotype"/>
          <w:b/>
          <w:color w:val="000000" w:themeColor="text1"/>
          <w:sz w:val="24"/>
          <w:szCs w:val="24"/>
        </w:rPr>
        <w:t>TERCERO. Planteamiento de la</w:t>
      </w:r>
      <w:r w:rsidRPr="00A97575">
        <w:rPr>
          <w:rFonts w:ascii="Palatino Linotype" w:eastAsia="Palatino Linotype" w:hAnsi="Palatino Linotype" w:cs="Palatino Linotype"/>
          <w:b/>
          <w:i/>
          <w:color w:val="000000" w:themeColor="text1"/>
          <w:sz w:val="24"/>
          <w:szCs w:val="24"/>
        </w:rPr>
        <w:t xml:space="preserve"> Litis</w:t>
      </w:r>
      <w:r w:rsidRPr="00A97575">
        <w:rPr>
          <w:rFonts w:ascii="Palatino Linotype" w:eastAsia="Palatino Linotype" w:hAnsi="Palatino Linotype" w:cs="Palatino Linotype"/>
          <w:b/>
          <w:color w:val="000000" w:themeColor="text1"/>
          <w:sz w:val="24"/>
          <w:szCs w:val="24"/>
        </w:rPr>
        <w:t xml:space="preserve"> </w:t>
      </w:r>
    </w:p>
    <w:p w:rsidR="003F528B" w:rsidRPr="00A97575" w:rsidRDefault="007020AD"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 xml:space="preserve">El </w:t>
      </w:r>
      <w:r w:rsidR="00395B06" w:rsidRPr="00A97575">
        <w:rPr>
          <w:rFonts w:ascii="Palatino Linotype" w:eastAsia="Palatino Linotype" w:hAnsi="Palatino Linotype" w:cs="Palatino Linotype"/>
          <w:color w:val="000000" w:themeColor="text1"/>
        </w:rPr>
        <w:t xml:space="preserve">ahora </w:t>
      </w:r>
      <w:r w:rsidR="00395B06" w:rsidRPr="00A97575">
        <w:rPr>
          <w:rFonts w:ascii="Palatino Linotype" w:eastAsia="Palatino Linotype" w:hAnsi="Palatino Linotype" w:cs="Palatino Linotype"/>
          <w:b/>
          <w:color w:val="000000" w:themeColor="text1"/>
        </w:rPr>
        <w:t>RECURRENTE</w:t>
      </w:r>
      <w:r w:rsidRPr="00A97575">
        <w:rPr>
          <w:rFonts w:ascii="Palatino Linotype" w:eastAsia="Palatino Linotype" w:hAnsi="Palatino Linotype" w:cs="Palatino Linotype"/>
          <w:color w:val="000000" w:themeColor="text1"/>
        </w:rPr>
        <w:t xml:space="preserve"> solicitó la siguiente información</w:t>
      </w:r>
      <w:r w:rsidR="00395B06" w:rsidRPr="00A97575">
        <w:rPr>
          <w:rFonts w:ascii="Palatino Linotype" w:eastAsia="Palatino Linotype" w:hAnsi="Palatino Linotype" w:cs="Palatino Linotype"/>
          <w:color w:val="000000" w:themeColor="text1"/>
        </w:rPr>
        <w:t xml:space="preserve"> que se desagrega</w:t>
      </w:r>
      <w:r w:rsidRPr="00A97575">
        <w:rPr>
          <w:rFonts w:ascii="Palatino Linotype" w:eastAsia="Palatino Linotype" w:hAnsi="Palatino Linotype" w:cs="Palatino Linotype"/>
          <w:color w:val="000000" w:themeColor="text1"/>
        </w:rPr>
        <w:t>:</w:t>
      </w:r>
    </w:p>
    <w:p w:rsidR="00F81215" w:rsidRPr="00A97575" w:rsidRDefault="00241A52" w:rsidP="00A97575">
      <w:pPr>
        <w:pStyle w:val="Prrafodelista"/>
        <w:numPr>
          <w:ilvl w:val="0"/>
          <w:numId w:val="4"/>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E</w:t>
      </w:r>
      <w:r w:rsidR="00F81215" w:rsidRPr="00A97575">
        <w:rPr>
          <w:rFonts w:ascii="Palatino Linotype" w:eastAsia="Palatino Linotype" w:hAnsi="Palatino Linotype" w:cs="Palatino Linotype"/>
          <w:color w:val="000000" w:themeColor="text1"/>
        </w:rPr>
        <w:t>xpedientes de adjudicación directa de</w:t>
      </w:r>
      <w:r w:rsidRPr="00A97575">
        <w:rPr>
          <w:rFonts w:ascii="Palatino Linotype" w:eastAsia="Palatino Linotype" w:hAnsi="Palatino Linotype" w:cs="Palatino Linotype"/>
          <w:color w:val="000000" w:themeColor="text1"/>
        </w:rPr>
        <w:t xml:space="preserve"> los años</w:t>
      </w:r>
      <w:r w:rsidR="00F81215" w:rsidRPr="00A97575">
        <w:rPr>
          <w:rFonts w:ascii="Palatino Linotype" w:eastAsia="Palatino Linotype" w:hAnsi="Palatino Linotype" w:cs="Palatino Linotype"/>
          <w:color w:val="000000" w:themeColor="text1"/>
        </w:rPr>
        <w:t xml:space="preserve"> 2022, 2023, 2024 y del 1 de enero al 14 de agosto de 2025, con justificación técnica, autorizaciones, y documentación soporte, </w:t>
      </w:r>
    </w:p>
    <w:p w:rsidR="00F81215" w:rsidRPr="00A97575" w:rsidRDefault="00F81215" w:rsidP="00A97575">
      <w:pPr>
        <w:pStyle w:val="Prrafodelista"/>
        <w:numPr>
          <w:ilvl w:val="0"/>
          <w:numId w:val="4"/>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 xml:space="preserve">Oficios de autorización presupuestal emitidos en el mes de marzo </w:t>
      </w:r>
      <w:r w:rsidR="00241A52" w:rsidRPr="00A97575">
        <w:rPr>
          <w:rFonts w:ascii="Palatino Linotype" w:eastAsia="Palatino Linotype" w:hAnsi="Palatino Linotype" w:cs="Palatino Linotype"/>
          <w:color w:val="000000" w:themeColor="text1"/>
        </w:rPr>
        <w:t xml:space="preserve">de 2023 </w:t>
      </w:r>
      <w:r w:rsidRPr="00A97575">
        <w:rPr>
          <w:rFonts w:ascii="Palatino Linotype" w:eastAsia="Palatino Linotype" w:hAnsi="Palatino Linotype" w:cs="Palatino Linotype"/>
          <w:color w:val="000000" w:themeColor="text1"/>
        </w:rPr>
        <w:t xml:space="preserve">y </w:t>
      </w:r>
      <w:r w:rsidR="00241A52" w:rsidRPr="00A97575">
        <w:rPr>
          <w:rFonts w:ascii="Palatino Linotype" w:eastAsia="Palatino Linotype" w:hAnsi="Palatino Linotype" w:cs="Palatino Linotype"/>
          <w:color w:val="000000" w:themeColor="text1"/>
        </w:rPr>
        <w:t>d</w:t>
      </w:r>
      <w:r w:rsidRPr="00A97575">
        <w:rPr>
          <w:rFonts w:ascii="Palatino Linotype" w:eastAsia="Palatino Linotype" w:hAnsi="Palatino Linotype" w:cs="Palatino Linotype"/>
          <w:color w:val="000000" w:themeColor="text1"/>
        </w:rPr>
        <w:t>el segundo trimestre de 2022 y 2023, especificando partidas y montos autorizados</w:t>
      </w:r>
    </w:p>
    <w:p w:rsidR="00F81215" w:rsidRPr="00A97575" w:rsidRDefault="00241A52" w:rsidP="00A97575">
      <w:pPr>
        <w:pStyle w:val="Prrafodelista"/>
        <w:numPr>
          <w:ilvl w:val="0"/>
          <w:numId w:val="4"/>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F</w:t>
      </w:r>
      <w:r w:rsidR="00F81215" w:rsidRPr="00A97575">
        <w:rPr>
          <w:rFonts w:ascii="Palatino Linotype" w:eastAsia="Palatino Linotype" w:hAnsi="Palatino Linotype" w:cs="Palatino Linotype"/>
          <w:color w:val="000000" w:themeColor="text1"/>
        </w:rPr>
        <w:t>acturas de proveedores por monto superior a $50,000.00 emitidas en marzo 2023 por el Sistema DIF Ixtapaluca, con contratos y órdenes de compra anexas</w:t>
      </w:r>
    </w:p>
    <w:p w:rsidR="00301157" w:rsidRPr="00A97575" w:rsidRDefault="00301157" w:rsidP="00A97575">
      <w:pPr>
        <w:pStyle w:val="Prrafodelista"/>
        <w:spacing w:line="360" w:lineRule="auto"/>
        <w:ind w:left="0" w:right="-28"/>
        <w:jc w:val="both"/>
        <w:rPr>
          <w:rFonts w:ascii="Palatino Linotype" w:eastAsia="Palatino Linotype" w:hAnsi="Palatino Linotype" w:cs="Palatino Linotype"/>
          <w:b/>
          <w:color w:val="000000" w:themeColor="text1"/>
        </w:rPr>
      </w:pPr>
    </w:p>
    <w:p w:rsidR="003F528B" w:rsidRPr="00A97575" w:rsidRDefault="00301157" w:rsidP="00A97575">
      <w:pPr>
        <w:numPr>
          <w:ilvl w:val="0"/>
          <w:numId w:val="2"/>
        </w:numPr>
        <w:pBdr>
          <w:top w:val="nil"/>
          <w:left w:val="nil"/>
          <w:bottom w:val="nil"/>
          <w:right w:val="nil"/>
          <w:between w:val="nil"/>
        </w:pBdr>
        <w:tabs>
          <w:tab w:val="left" w:pos="284"/>
        </w:tabs>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Al respecto</w:t>
      </w:r>
      <w:r w:rsidR="007020AD" w:rsidRPr="00A97575">
        <w:rPr>
          <w:rFonts w:ascii="Palatino Linotype" w:eastAsia="Palatino Linotype" w:hAnsi="Palatino Linotype" w:cs="Palatino Linotype"/>
          <w:color w:val="000000" w:themeColor="text1"/>
        </w:rPr>
        <w:t xml:space="preserve"> el </w:t>
      </w:r>
      <w:r w:rsidR="007020AD" w:rsidRPr="00A97575">
        <w:rPr>
          <w:rFonts w:ascii="Palatino Linotype" w:eastAsia="Palatino Linotype" w:hAnsi="Palatino Linotype" w:cs="Palatino Linotype"/>
          <w:b/>
          <w:color w:val="000000" w:themeColor="text1"/>
        </w:rPr>
        <w:t xml:space="preserve">SUJETO OBLIGADO </w:t>
      </w:r>
      <w:r w:rsidR="007020AD" w:rsidRPr="00A97575">
        <w:rPr>
          <w:rFonts w:ascii="Palatino Linotype" w:eastAsia="Palatino Linotype" w:hAnsi="Palatino Linotype" w:cs="Palatino Linotype"/>
          <w:color w:val="000000" w:themeColor="text1"/>
        </w:rPr>
        <w:t xml:space="preserve">dio respuesta </w:t>
      </w:r>
      <w:r w:rsidRPr="00A97575">
        <w:rPr>
          <w:rFonts w:ascii="Palatino Linotype" w:eastAsia="Palatino Linotype" w:hAnsi="Palatino Linotype" w:cs="Palatino Linotype"/>
          <w:color w:val="000000" w:themeColor="text1"/>
        </w:rPr>
        <w:t>a través de lo ya descrito en</w:t>
      </w:r>
      <w:r w:rsidR="007020AD" w:rsidRPr="00A97575">
        <w:rPr>
          <w:rFonts w:ascii="Palatino Linotype" w:eastAsia="Palatino Linotype" w:hAnsi="Palatino Linotype" w:cs="Palatino Linotype"/>
          <w:color w:val="000000" w:themeColor="text1"/>
        </w:rPr>
        <w:t xml:space="preserve"> el anterior Párrafo 2. Atento a lo ant</w:t>
      </w:r>
      <w:r w:rsidRPr="00A97575">
        <w:rPr>
          <w:rFonts w:ascii="Palatino Linotype" w:eastAsia="Palatino Linotype" w:hAnsi="Palatino Linotype" w:cs="Palatino Linotype"/>
          <w:color w:val="000000" w:themeColor="text1"/>
        </w:rPr>
        <w:t xml:space="preserve">erior, el particular interpuso </w:t>
      </w:r>
      <w:r w:rsidR="007020AD" w:rsidRPr="00A97575">
        <w:rPr>
          <w:rFonts w:ascii="Palatino Linotype" w:eastAsia="Palatino Linotype" w:hAnsi="Palatino Linotype" w:cs="Palatino Linotype"/>
          <w:color w:val="000000" w:themeColor="text1"/>
        </w:rPr>
        <w:t>l</w:t>
      </w:r>
      <w:r w:rsidRPr="00A97575">
        <w:rPr>
          <w:rFonts w:ascii="Palatino Linotype" w:eastAsia="Palatino Linotype" w:hAnsi="Palatino Linotype" w:cs="Palatino Linotype"/>
          <w:color w:val="000000" w:themeColor="text1"/>
        </w:rPr>
        <w:t>os</w:t>
      </w:r>
      <w:r w:rsidR="007020AD" w:rsidRPr="00A97575">
        <w:rPr>
          <w:rFonts w:ascii="Palatino Linotype" w:eastAsia="Palatino Linotype" w:hAnsi="Palatino Linotype" w:cs="Palatino Linotype"/>
          <w:color w:val="000000" w:themeColor="text1"/>
        </w:rPr>
        <w:t xml:space="preserve"> recurso</w:t>
      </w:r>
      <w:r w:rsidRPr="00A97575">
        <w:rPr>
          <w:rFonts w:ascii="Palatino Linotype" w:eastAsia="Palatino Linotype" w:hAnsi="Palatino Linotype" w:cs="Palatino Linotype"/>
          <w:color w:val="000000" w:themeColor="text1"/>
        </w:rPr>
        <w:t>s</w:t>
      </w:r>
      <w:r w:rsidR="007020AD" w:rsidRPr="00A97575">
        <w:rPr>
          <w:rFonts w:ascii="Palatino Linotype" w:eastAsia="Palatino Linotype" w:hAnsi="Palatino Linotype" w:cs="Palatino Linotype"/>
          <w:color w:val="000000" w:themeColor="text1"/>
        </w:rPr>
        <w:t xml:space="preserve"> de revisión, mediante al cual se adolece por la </w:t>
      </w:r>
      <w:r w:rsidR="00CB7DCA" w:rsidRPr="00A97575">
        <w:rPr>
          <w:rFonts w:ascii="Palatino Linotype" w:eastAsia="Palatino Linotype" w:hAnsi="Palatino Linotype" w:cs="Palatino Linotype"/>
          <w:color w:val="000000" w:themeColor="text1"/>
        </w:rPr>
        <w:t>solicitud de pago</w:t>
      </w:r>
      <w:r w:rsidR="00F37C81" w:rsidRPr="00A97575">
        <w:rPr>
          <w:rFonts w:ascii="Palatino Linotype" w:eastAsia="Palatino Linotype" w:hAnsi="Palatino Linotype" w:cs="Palatino Linotype"/>
          <w:color w:val="000000" w:themeColor="text1"/>
        </w:rPr>
        <w:t>.</w:t>
      </w:r>
    </w:p>
    <w:p w:rsidR="003F528B" w:rsidRPr="00A97575" w:rsidRDefault="003F528B" w:rsidP="00A97575">
      <w:pPr>
        <w:tabs>
          <w:tab w:val="left" w:pos="284"/>
        </w:tabs>
        <w:spacing w:line="360" w:lineRule="auto"/>
        <w:ind w:right="-28"/>
        <w:jc w:val="both"/>
        <w:rPr>
          <w:rFonts w:ascii="Palatino Linotype" w:eastAsia="Palatino Linotype" w:hAnsi="Palatino Linotype" w:cs="Palatino Linotype"/>
          <w:i/>
          <w:color w:val="000000" w:themeColor="text1"/>
        </w:rPr>
      </w:pPr>
    </w:p>
    <w:p w:rsidR="003F528B" w:rsidRPr="00A97575" w:rsidRDefault="007020AD" w:rsidP="00A97575">
      <w:pPr>
        <w:numPr>
          <w:ilvl w:val="0"/>
          <w:numId w:val="2"/>
        </w:numP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Por lo tanto, el presente recurso de revisión se circunscribe en determinar si se actualiza la</w:t>
      </w:r>
      <w:r w:rsidR="004A3480" w:rsidRPr="00A97575">
        <w:rPr>
          <w:rFonts w:ascii="Palatino Linotype" w:eastAsia="Palatino Linotype" w:hAnsi="Palatino Linotype" w:cs="Palatino Linotype"/>
          <w:color w:val="000000" w:themeColor="text1"/>
        </w:rPr>
        <w:t>s</w:t>
      </w:r>
      <w:r w:rsidRPr="00A97575">
        <w:rPr>
          <w:rFonts w:ascii="Palatino Linotype" w:eastAsia="Palatino Linotype" w:hAnsi="Palatino Linotype" w:cs="Palatino Linotype"/>
          <w:color w:val="000000" w:themeColor="text1"/>
        </w:rPr>
        <w:t xml:space="preserve"> causal</w:t>
      </w:r>
      <w:r w:rsidR="004A3480" w:rsidRPr="00A97575">
        <w:rPr>
          <w:rFonts w:ascii="Palatino Linotype" w:eastAsia="Palatino Linotype" w:hAnsi="Palatino Linotype" w:cs="Palatino Linotype"/>
          <w:color w:val="000000" w:themeColor="text1"/>
        </w:rPr>
        <w:t>es</w:t>
      </w:r>
      <w:r w:rsidRPr="00A97575">
        <w:rPr>
          <w:rFonts w:ascii="Palatino Linotype" w:eastAsia="Palatino Linotype" w:hAnsi="Palatino Linotype" w:cs="Palatino Linotype"/>
          <w:color w:val="000000" w:themeColor="text1"/>
        </w:rPr>
        <w:t xml:space="preserve"> de procedencia</w:t>
      </w:r>
      <w:r w:rsidRPr="00A97575">
        <w:rPr>
          <w:rFonts w:ascii="Palatino Linotype" w:eastAsia="Palatino Linotype" w:hAnsi="Palatino Linotype" w:cs="Palatino Linotype"/>
          <w:b/>
          <w:color w:val="000000" w:themeColor="text1"/>
        </w:rPr>
        <w:t xml:space="preserve"> </w:t>
      </w:r>
      <w:r w:rsidRPr="00A97575">
        <w:rPr>
          <w:rFonts w:ascii="Palatino Linotype" w:eastAsia="Palatino Linotype" w:hAnsi="Palatino Linotype" w:cs="Palatino Linotype"/>
          <w:color w:val="000000" w:themeColor="text1"/>
        </w:rPr>
        <w:t>contenida</w:t>
      </w:r>
      <w:r w:rsidR="004A3480" w:rsidRPr="00A97575">
        <w:rPr>
          <w:rFonts w:ascii="Palatino Linotype" w:eastAsia="Palatino Linotype" w:hAnsi="Palatino Linotype" w:cs="Palatino Linotype"/>
          <w:color w:val="000000" w:themeColor="text1"/>
        </w:rPr>
        <w:t>s</w:t>
      </w:r>
      <w:r w:rsidRPr="00A97575">
        <w:rPr>
          <w:rFonts w:ascii="Palatino Linotype" w:eastAsia="Palatino Linotype" w:hAnsi="Palatino Linotype" w:cs="Palatino Linotype"/>
          <w:color w:val="000000" w:themeColor="text1"/>
        </w:rPr>
        <w:t xml:space="preserve"> en l</w:t>
      </w:r>
      <w:r w:rsidR="004A3480" w:rsidRPr="00A97575">
        <w:rPr>
          <w:rFonts w:ascii="Palatino Linotype" w:eastAsia="Palatino Linotype" w:hAnsi="Palatino Linotype" w:cs="Palatino Linotype"/>
          <w:color w:val="000000" w:themeColor="text1"/>
        </w:rPr>
        <w:t>os</w:t>
      </w:r>
      <w:r w:rsidRPr="00A97575">
        <w:rPr>
          <w:rFonts w:ascii="Palatino Linotype" w:eastAsia="Palatino Linotype" w:hAnsi="Palatino Linotype" w:cs="Palatino Linotype"/>
          <w:color w:val="000000" w:themeColor="text1"/>
        </w:rPr>
        <w:t xml:space="preserve"> artículo</w:t>
      </w:r>
      <w:r w:rsidR="004A3480" w:rsidRPr="00A97575">
        <w:rPr>
          <w:rFonts w:ascii="Palatino Linotype" w:eastAsia="Palatino Linotype" w:hAnsi="Palatino Linotype" w:cs="Palatino Linotype"/>
          <w:color w:val="000000" w:themeColor="text1"/>
        </w:rPr>
        <w:t>s</w:t>
      </w:r>
      <w:r w:rsidRPr="00A97575">
        <w:rPr>
          <w:rFonts w:ascii="Palatino Linotype" w:eastAsia="Palatino Linotype" w:hAnsi="Palatino Linotype" w:cs="Palatino Linotype"/>
          <w:color w:val="000000" w:themeColor="text1"/>
        </w:rPr>
        <w:t xml:space="preserve"> 179 fracción </w:t>
      </w:r>
      <w:r w:rsidR="00301157" w:rsidRPr="00A97575">
        <w:rPr>
          <w:rFonts w:ascii="Palatino Linotype" w:eastAsia="Palatino Linotype" w:hAnsi="Palatino Linotype" w:cs="Palatino Linotype"/>
          <w:color w:val="000000" w:themeColor="text1"/>
        </w:rPr>
        <w:t>V</w:t>
      </w:r>
      <w:r w:rsidRPr="00A97575">
        <w:rPr>
          <w:rFonts w:ascii="Palatino Linotype" w:eastAsia="Palatino Linotype" w:hAnsi="Palatino Linotype" w:cs="Palatino Linotype"/>
          <w:color w:val="000000" w:themeColor="text1"/>
        </w:rPr>
        <w:t>I</w:t>
      </w:r>
      <w:r w:rsidR="00CB7DCA" w:rsidRPr="00A97575">
        <w:rPr>
          <w:rFonts w:ascii="Palatino Linotype" w:eastAsia="Palatino Linotype" w:hAnsi="Palatino Linotype" w:cs="Palatino Linotype"/>
          <w:color w:val="000000" w:themeColor="text1"/>
        </w:rPr>
        <w:t>II y X</w:t>
      </w:r>
      <w:r w:rsidRPr="00A97575">
        <w:rPr>
          <w:rFonts w:ascii="Palatino Linotype" w:eastAsia="Palatino Linotype" w:hAnsi="Palatino Linotype" w:cs="Palatino Linotype"/>
          <w:color w:val="000000" w:themeColor="text1"/>
        </w:rPr>
        <w:t xml:space="preserve">, de la </w:t>
      </w:r>
      <w:r w:rsidRPr="00A97575">
        <w:rPr>
          <w:rFonts w:ascii="Palatino Linotype" w:eastAsia="Palatino Linotype" w:hAnsi="Palatino Linotype" w:cs="Palatino Linotype"/>
          <w:b/>
          <w:color w:val="000000" w:themeColor="text1"/>
        </w:rPr>
        <w:t>Ley de Transparencia y Acceso a la Información Pública del Estado de México y Municipios</w:t>
      </w:r>
      <w:r w:rsidRPr="00A97575">
        <w:rPr>
          <w:rFonts w:ascii="Palatino Linotype" w:eastAsia="Palatino Linotype" w:hAnsi="Palatino Linotype" w:cs="Palatino Linotype"/>
          <w:color w:val="000000" w:themeColor="text1"/>
        </w:rPr>
        <w:t xml:space="preserve">, </w:t>
      </w:r>
      <w:r w:rsidRPr="00A97575">
        <w:rPr>
          <w:rFonts w:ascii="Palatino Linotype" w:eastAsia="Palatino Linotype" w:hAnsi="Palatino Linotype" w:cs="Palatino Linotype"/>
          <w:color w:val="000000" w:themeColor="text1"/>
        </w:rPr>
        <w:lastRenderedPageBreak/>
        <w:t>relativa</w:t>
      </w:r>
      <w:r w:rsidR="004A3480" w:rsidRPr="00A97575">
        <w:rPr>
          <w:rFonts w:ascii="Palatino Linotype" w:eastAsia="Palatino Linotype" w:hAnsi="Palatino Linotype" w:cs="Palatino Linotype"/>
          <w:color w:val="000000" w:themeColor="text1"/>
        </w:rPr>
        <w:t>s</w:t>
      </w:r>
      <w:r w:rsidRPr="00A97575">
        <w:rPr>
          <w:rFonts w:ascii="Palatino Linotype" w:eastAsia="Palatino Linotype" w:hAnsi="Palatino Linotype" w:cs="Palatino Linotype"/>
          <w:color w:val="000000" w:themeColor="text1"/>
        </w:rPr>
        <w:t xml:space="preserve"> a </w:t>
      </w:r>
      <w:r w:rsidR="004A3480" w:rsidRPr="00A97575">
        <w:rPr>
          <w:rFonts w:ascii="Palatino Linotype" w:eastAsia="Palatino Linotype" w:hAnsi="Palatino Linotype" w:cs="Palatino Linotype"/>
          <w:color w:val="000000" w:themeColor="text1"/>
        </w:rPr>
        <w:t>la notificación, entrega o puesta a disposición de información en una modalidad o formato distinto al solicitado y, los costos o tiempos de entrega de la información</w:t>
      </w:r>
      <w:r w:rsidRPr="00A97575">
        <w:rPr>
          <w:rFonts w:ascii="Palatino Linotype" w:eastAsia="Palatino Linotype" w:hAnsi="Palatino Linotype" w:cs="Palatino Linotype"/>
          <w:color w:val="000000" w:themeColor="text1"/>
        </w:rPr>
        <w:t>.</w:t>
      </w:r>
    </w:p>
    <w:p w:rsidR="003F528B" w:rsidRPr="00A97575" w:rsidRDefault="003F528B" w:rsidP="00A9757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3F528B" w:rsidRPr="00A97575" w:rsidRDefault="007020AD" w:rsidP="00A97575">
      <w:pPr>
        <w:pStyle w:val="Ttulo1"/>
        <w:spacing w:before="0" w:line="360" w:lineRule="auto"/>
        <w:ind w:right="-28"/>
        <w:jc w:val="both"/>
        <w:rPr>
          <w:rFonts w:ascii="Palatino Linotype" w:eastAsia="Palatino Linotype" w:hAnsi="Palatino Linotype" w:cs="Palatino Linotype"/>
          <w:b/>
          <w:color w:val="000000" w:themeColor="text1"/>
          <w:sz w:val="24"/>
          <w:szCs w:val="24"/>
        </w:rPr>
      </w:pPr>
      <w:r w:rsidRPr="00A97575">
        <w:rPr>
          <w:rFonts w:ascii="Palatino Linotype" w:eastAsia="Palatino Linotype" w:hAnsi="Palatino Linotype" w:cs="Palatino Linotype"/>
          <w:b/>
          <w:color w:val="000000" w:themeColor="text1"/>
          <w:sz w:val="24"/>
          <w:szCs w:val="24"/>
        </w:rPr>
        <w:t>CUARTO. Estudio y resolución</w:t>
      </w:r>
    </w:p>
    <w:p w:rsidR="003F528B" w:rsidRPr="00A97575" w:rsidRDefault="007020AD" w:rsidP="00A97575">
      <w:pPr>
        <w:numPr>
          <w:ilvl w:val="0"/>
          <w:numId w:val="2"/>
        </w:numPr>
        <w:spacing w:line="360" w:lineRule="auto"/>
        <w:ind w:left="0" w:right="-28" w:firstLine="0"/>
        <w:jc w:val="both"/>
        <w:rPr>
          <w:rFonts w:ascii="Palatino Linotype" w:hAnsi="Palatino Linotype"/>
          <w:color w:val="000000" w:themeColor="text1"/>
        </w:rPr>
      </w:pPr>
      <w:bookmarkStart w:id="7" w:name="_heading=h.1t3h5sf" w:colFirst="0" w:colLast="0"/>
      <w:bookmarkEnd w:id="7"/>
      <w:r w:rsidRPr="00A97575">
        <w:rPr>
          <w:rFonts w:ascii="Palatino Linotype" w:eastAsia="Palatino Linotype" w:hAnsi="Palatino Linotype" w:cs="Palatino Linotype"/>
          <w:color w:val="000000" w:themeColor="text1"/>
        </w:rPr>
        <w:t xml:space="preserve">Acotada la </w:t>
      </w:r>
      <w:r w:rsidRPr="00A97575">
        <w:rPr>
          <w:rFonts w:ascii="Palatino Linotype" w:eastAsia="Palatino Linotype" w:hAnsi="Palatino Linotype" w:cs="Palatino Linotype"/>
          <w:i/>
          <w:color w:val="000000" w:themeColor="text1"/>
        </w:rPr>
        <w:t>Litis</w:t>
      </w:r>
      <w:r w:rsidRPr="00A97575">
        <w:rPr>
          <w:rFonts w:ascii="Palatino Linotype" w:eastAsia="Palatino Linotype" w:hAnsi="Palatino Linotype" w:cs="Palatino Linotype"/>
          <w:color w:val="000000" w:themeColor="text1"/>
        </w:rPr>
        <w:t>;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F1B36" w:rsidRPr="00A97575" w:rsidRDefault="003F1B36" w:rsidP="00A97575">
      <w:pPr>
        <w:spacing w:line="360" w:lineRule="auto"/>
        <w:ind w:right="-28"/>
        <w:jc w:val="both"/>
        <w:rPr>
          <w:rFonts w:ascii="Palatino Linotype" w:hAnsi="Palatino Linotype"/>
          <w:color w:val="000000" w:themeColor="text1"/>
        </w:rPr>
      </w:pPr>
    </w:p>
    <w:p w:rsidR="003F528B" w:rsidRPr="00A97575" w:rsidRDefault="007020AD" w:rsidP="00A97575">
      <w:pPr>
        <w:numPr>
          <w:ilvl w:val="0"/>
          <w:numId w:val="2"/>
        </w:numP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57C34" w:rsidRPr="00A97575" w:rsidRDefault="00257C34" w:rsidP="00A97575">
      <w:pPr>
        <w:pStyle w:val="Prrafodelista"/>
        <w:ind w:left="0" w:right="-28"/>
        <w:rPr>
          <w:rFonts w:ascii="Palatino Linotype" w:hAnsi="Palatino Linotype"/>
          <w:color w:val="000000" w:themeColor="text1"/>
        </w:rPr>
      </w:pPr>
    </w:p>
    <w:p w:rsidR="003F528B" w:rsidRPr="00A97575" w:rsidRDefault="007020AD" w:rsidP="00A97575">
      <w:pPr>
        <w:numPr>
          <w:ilvl w:val="0"/>
          <w:numId w:val="2"/>
        </w:numP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w:t>
      </w:r>
      <w:r w:rsidRPr="00A97575">
        <w:rPr>
          <w:rFonts w:ascii="Palatino Linotype" w:eastAsia="Palatino Linotype" w:hAnsi="Palatino Linotype" w:cs="Palatino Linotype"/>
          <w:color w:val="000000" w:themeColor="text1"/>
        </w:rPr>
        <w:lastRenderedPageBreak/>
        <w:t>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2C67AB" w:rsidRPr="00A97575" w:rsidRDefault="007020AD" w:rsidP="00A9757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 xml:space="preserve">Determinado lo anterior, es necesario </w:t>
      </w:r>
      <w:r w:rsidR="00430216" w:rsidRPr="00A97575">
        <w:rPr>
          <w:rFonts w:ascii="Palatino Linotype" w:eastAsia="Palatino Linotype" w:hAnsi="Palatino Linotype" w:cs="Palatino Linotype"/>
          <w:color w:val="000000" w:themeColor="text1"/>
        </w:rPr>
        <w:t xml:space="preserve">primeramente </w:t>
      </w:r>
      <w:r w:rsidR="009D468C" w:rsidRPr="00A97575">
        <w:rPr>
          <w:rFonts w:ascii="Palatino Linotype" w:eastAsia="Palatino Linotype" w:hAnsi="Palatino Linotype" w:cs="Palatino Linotype"/>
          <w:color w:val="000000" w:themeColor="text1"/>
        </w:rPr>
        <w:t xml:space="preserve">traer a contexto </w:t>
      </w:r>
      <w:r w:rsidR="00F37C81" w:rsidRPr="00A97575">
        <w:rPr>
          <w:rFonts w:ascii="Palatino Linotype" w:eastAsia="Palatino Linotype" w:hAnsi="Palatino Linotype" w:cs="Palatino Linotype"/>
          <w:color w:val="000000" w:themeColor="text1"/>
        </w:rPr>
        <w:t>la</w:t>
      </w:r>
      <w:r w:rsidR="002C67AB" w:rsidRPr="00A97575">
        <w:rPr>
          <w:rFonts w:ascii="Palatino Linotype" w:eastAsia="Palatino Linotype" w:hAnsi="Palatino Linotype" w:cs="Palatino Linotype"/>
          <w:color w:val="000000" w:themeColor="text1"/>
        </w:rPr>
        <w:t>s</w:t>
      </w:r>
      <w:r w:rsidR="00F37C81" w:rsidRPr="00A97575">
        <w:rPr>
          <w:rFonts w:ascii="Palatino Linotype" w:eastAsia="Palatino Linotype" w:hAnsi="Palatino Linotype" w:cs="Palatino Linotype"/>
          <w:color w:val="000000" w:themeColor="text1"/>
        </w:rPr>
        <w:t xml:space="preserve"> respuesta</w:t>
      </w:r>
      <w:r w:rsidR="002C67AB" w:rsidRPr="00A97575">
        <w:rPr>
          <w:rFonts w:ascii="Palatino Linotype" w:eastAsia="Palatino Linotype" w:hAnsi="Palatino Linotype" w:cs="Palatino Linotype"/>
          <w:color w:val="000000" w:themeColor="text1"/>
        </w:rPr>
        <w:t>s</w:t>
      </w:r>
      <w:r w:rsidR="00F37C81" w:rsidRPr="00A97575">
        <w:rPr>
          <w:rFonts w:ascii="Palatino Linotype" w:eastAsia="Palatino Linotype" w:hAnsi="Palatino Linotype" w:cs="Palatino Linotype"/>
          <w:color w:val="000000" w:themeColor="text1"/>
        </w:rPr>
        <w:t xml:space="preserve"> emitida</w:t>
      </w:r>
      <w:r w:rsidR="002C67AB" w:rsidRPr="00A97575">
        <w:rPr>
          <w:rFonts w:ascii="Palatino Linotype" w:eastAsia="Palatino Linotype" w:hAnsi="Palatino Linotype" w:cs="Palatino Linotype"/>
          <w:color w:val="000000" w:themeColor="text1"/>
        </w:rPr>
        <w:t xml:space="preserve">s </w:t>
      </w:r>
      <w:r w:rsidR="00430216" w:rsidRPr="00A97575">
        <w:rPr>
          <w:rFonts w:ascii="Palatino Linotype" w:eastAsia="Palatino Linotype" w:hAnsi="Palatino Linotype" w:cs="Palatino Linotype"/>
          <w:color w:val="000000" w:themeColor="text1"/>
        </w:rPr>
        <w:t xml:space="preserve">que </w:t>
      </w:r>
      <w:r w:rsidR="002C67AB" w:rsidRPr="00A97575">
        <w:rPr>
          <w:rFonts w:ascii="Palatino Linotype" w:eastAsia="Palatino Linotype" w:hAnsi="Palatino Linotype" w:cs="Palatino Linotype"/>
          <w:color w:val="000000" w:themeColor="text1"/>
        </w:rPr>
        <w:t>dieron</w:t>
      </w:r>
      <w:r w:rsidR="00430216" w:rsidRPr="00A97575">
        <w:rPr>
          <w:rFonts w:ascii="Palatino Linotype" w:eastAsia="Palatino Linotype" w:hAnsi="Palatino Linotype" w:cs="Palatino Linotype"/>
          <w:color w:val="000000" w:themeColor="text1"/>
        </w:rPr>
        <w:t xml:space="preserve"> origen </w:t>
      </w:r>
      <w:r w:rsidR="002C67AB" w:rsidRPr="00A97575">
        <w:rPr>
          <w:rFonts w:ascii="Palatino Linotype" w:eastAsia="Palatino Linotype" w:hAnsi="Palatino Linotype" w:cs="Palatino Linotype"/>
          <w:color w:val="000000" w:themeColor="text1"/>
        </w:rPr>
        <w:t xml:space="preserve">a los recursos de revisión de mérito, mismas que como quedó asentado en el apartado de precedentes, </w:t>
      </w:r>
      <w:r w:rsidR="002B5D5C" w:rsidRPr="00A97575">
        <w:rPr>
          <w:rFonts w:ascii="Palatino Linotype" w:eastAsia="Palatino Linotype" w:hAnsi="Palatino Linotype" w:cs="Palatino Linotype"/>
          <w:color w:val="000000" w:themeColor="text1"/>
        </w:rPr>
        <w:t>se entregó a través de un oficio suscrito por el Tesorero SMDIF Ixtapaluca, en donde se dio atención a múltiples solicitudes de información, toda vez que realizó una acumulación interna para dar atención a diversas solicitudes de información en las que existe identidad de parte solicitante, pero diversa de la acumulación realizada por este Órgano Garante. Motivo por el cual se realiza el siguiente extracto de los pronunciamientos emitidos a las solicitudes de información que competen al presente proveído, a saber:</w:t>
      </w:r>
    </w:p>
    <w:tbl>
      <w:tblPr>
        <w:tblStyle w:val="Tablaconcuadrcula"/>
        <w:tblW w:w="10244" w:type="dxa"/>
        <w:tblInd w:w="-147" w:type="dxa"/>
        <w:tblLook w:val="04A0" w:firstRow="1" w:lastRow="0" w:firstColumn="1" w:lastColumn="0" w:noHBand="0" w:noVBand="1"/>
      </w:tblPr>
      <w:tblGrid>
        <w:gridCol w:w="3086"/>
        <w:gridCol w:w="3435"/>
        <w:gridCol w:w="3723"/>
      </w:tblGrid>
      <w:tr w:rsidR="00A97575" w:rsidRPr="00A97575" w:rsidTr="00D8614A">
        <w:tc>
          <w:tcPr>
            <w:tcW w:w="3086" w:type="dxa"/>
          </w:tcPr>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t>0072/DIFIXTAPAL/IP/2025</w:t>
            </w:r>
          </w:p>
        </w:tc>
        <w:tc>
          <w:tcPr>
            <w:tcW w:w="3435" w:type="dxa"/>
          </w:tcPr>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t>Informe mensual de ingresos y egresos remitido a Junta de Gobierno del mes de enero 2022 incluyendo soporte</w:t>
            </w:r>
          </w:p>
        </w:tc>
        <w:tc>
          <w:tcPr>
            <w:tcW w:w="3723" w:type="dxa"/>
          </w:tcPr>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t xml:space="preserve">La Tesorería del SMDIF Ixtapaluca por medio del Sistema de Contabilidad Gubernamental y de acuerdo a los requerimientos por parte del Órgano de Fiscalización Superior del Estado de México </w:t>
            </w:r>
            <w:r w:rsidRPr="00A97575">
              <w:rPr>
                <w:rFonts w:ascii="Palatino Linotype" w:hAnsi="Palatino Linotype"/>
                <w:b/>
                <w:bCs/>
                <w:color w:val="000000" w:themeColor="text1"/>
              </w:rPr>
              <w:t>OSFEM</w:t>
            </w:r>
            <w:r w:rsidRPr="00A97575">
              <w:rPr>
                <w:rFonts w:ascii="Palatino Linotype" w:hAnsi="Palatino Linotype"/>
                <w:color w:val="000000" w:themeColor="text1"/>
              </w:rPr>
              <w:t>, la información solicitada estaría compuesta por varios legajos.</w:t>
            </w:r>
          </w:p>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lastRenderedPageBreak/>
              <w:t xml:space="preserve">Derivado de eso le informo que, de requerir dicha información tendrá que cubrir el costo correspondiente mismo que se establece en el Art. 73 fracción I y II del Código Financiero del Estado de México y Municipios vigente. </w:t>
            </w:r>
          </w:p>
          <w:p w:rsidR="002B5D5C" w:rsidRPr="00A97575" w:rsidRDefault="002B5D5C" w:rsidP="00A97575">
            <w:pPr>
              <w:pStyle w:val="Prrafodelista"/>
              <w:numPr>
                <w:ilvl w:val="0"/>
                <w:numId w:val="5"/>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Copias certificadas</w:t>
            </w:r>
          </w:p>
          <w:p w:rsidR="002B5D5C" w:rsidRPr="00A97575" w:rsidRDefault="002B5D5C" w:rsidP="00A97575">
            <w:pPr>
              <w:pStyle w:val="Prrafodelista"/>
              <w:numPr>
                <w:ilvl w:val="0"/>
                <w:numId w:val="6"/>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primera hoja: $ 109.00</w:t>
            </w:r>
          </w:p>
          <w:p w:rsidR="002B5D5C" w:rsidRPr="00A97575" w:rsidRDefault="002B5D5C" w:rsidP="00A97575">
            <w:pPr>
              <w:pStyle w:val="Prrafodelista"/>
              <w:numPr>
                <w:ilvl w:val="0"/>
                <w:numId w:val="6"/>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cada hoja subsecuente $ 53.00</w:t>
            </w:r>
          </w:p>
          <w:p w:rsidR="002B5D5C" w:rsidRPr="00A97575" w:rsidRDefault="002B5D5C" w:rsidP="00A97575">
            <w:pPr>
              <w:pStyle w:val="Prrafodelista"/>
              <w:numPr>
                <w:ilvl w:val="0"/>
                <w:numId w:val="5"/>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Copias simples</w:t>
            </w:r>
          </w:p>
          <w:p w:rsidR="002B5D5C" w:rsidRPr="00A97575" w:rsidRDefault="002B5D5C" w:rsidP="00A97575">
            <w:pPr>
              <w:pStyle w:val="Prrafodelista"/>
              <w:numPr>
                <w:ilvl w:val="0"/>
                <w:numId w:val="7"/>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primera hoja: $ 29.00</w:t>
            </w:r>
          </w:p>
          <w:p w:rsidR="002B5D5C" w:rsidRPr="00A97575" w:rsidRDefault="002B5D5C" w:rsidP="00A97575">
            <w:pPr>
              <w:pStyle w:val="Prrafodelista"/>
              <w:numPr>
                <w:ilvl w:val="0"/>
                <w:numId w:val="7"/>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cada hoja subsecuente $ 3.00</w:t>
            </w:r>
          </w:p>
          <w:p w:rsidR="006102AA" w:rsidRPr="00A97575" w:rsidRDefault="006102AA" w:rsidP="00A97575">
            <w:pPr>
              <w:pStyle w:val="Prrafodelista"/>
              <w:ind w:left="0" w:right="-28"/>
              <w:jc w:val="both"/>
              <w:rPr>
                <w:rFonts w:ascii="Palatino Linotype" w:hAnsi="Palatino Linotype"/>
                <w:color w:val="000000" w:themeColor="text1"/>
              </w:rPr>
            </w:pPr>
          </w:p>
        </w:tc>
      </w:tr>
      <w:tr w:rsidR="00A97575" w:rsidRPr="00A97575" w:rsidTr="00D8614A">
        <w:tc>
          <w:tcPr>
            <w:tcW w:w="3086" w:type="dxa"/>
          </w:tcPr>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lastRenderedPageBreak/>
              <w:t>0083/DIFIXTAPAL/IP/2025</w:t>
            </w:r>
          </w:p>
        </w:tc>
        <w:tc>
          <w:tcPr>
            <w:tcW w:w="3435" w:type="dxa"/>
          </w:tcPr>
          <w:p w:rsidR="002B5D5C" w:rsidRPr="00A97575" w:rsidRDefault="002B5D5C" w:rsidP="00A97575">
            <w:pPr>
              <w:pStyle w:val="Prrafodelista"/>
              <w:numPr>
                <w:ilvl w:val="0"/>
                <w:numId w:val="8"/>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Expediente adjudicaciones directas del segundo trimestre 2022</w:t>
            </w:r>
          </w:p>
          <w:p w:rsidR="002B5D5C" w:rsidRPr="00A97575" w:rsidRDefault="002B5D5C" w:rsidP="00A97575">
            <w:pPr>
              <w:pStyle w:val="Prrafodelista"/>
              <w:numPr>
                <w:ilvl w:val="0"/>
                <w:numId w:val="8"/>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Oficios de autorización presupuestal del segundo trimestre 2022</w:t>
            </w:r>
          </w:p>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t>Incluyendo soporte de cada uno de los puntos</w:t>
            </w:r>
          </w:p>
        </w:tc>
        <w:tc>
          <w:tcPr>
            <w:tcW w:w="3723" w:type="dxa"/>
          </w:tcPr>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t xml:space="preserve">La Tesorería del SMDIF Ixtapaluca por medio del Sistema de Contabilidad Gubernamental y de acuerdo a los requerimientos por parte del Órgano de Fiscalización Superior del Estado de México </w:t>
            </w:r>
            <w:r w:rsidRPr="00A97575">
              <w:rPr>
                <w:rFonts w:ascii="Palatino Linotype" w:hAnsi="Palatino Linotype"/>
                <w:b/>
                <w:bCs/>
                <w:color w:val="000000" w:themeColor="text1"/>
              </w:rPr>
              <w:t>OSFEM</w:t>
            </w:r>
            <w:r w:rsidRPr="00A97575">
              <w:rPr>
                <w:rFonts w:ascii="Palatino Linotype" w:hAnsi="Palatino Linotype"/>
                <w:color w:val="000000" w:themeColor="text1"/>
              </w:rPr>
              <w:t>, la información solicitada estaría compuesta por varios legajos.</w:t>
            </w:r>
          </w:p>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t xml:space="preserve">Derivado de eso le informo que, de requerir dicha información tendrá que cubrir el costo correspondiente mismo que se establece en el Art. 73 fracción I y II del Código Financiero del </w:t>
            </w:r>
            <w:r w:rsidRPr="00A97575">
              <w:rPr>
                <w:rFonts w:ascii="Palatino Linotype" w:hAnsi="Palatino Linotype"/>
                <w:color w:val="000000" w:themeColor="text1"/>
              </w:rPr>
              <w:lastRenderedPageBreak/>
              <w:t xml:space="preserve">Estado de México y Municipios vigente. </w:t>
            </w:r>
          </w:p>
          <w:p w:rsidR="002B5D5C" w:rsidRPr="00A97575" w:rsidRDefault="002B5D5C" w:rsidP="00A97575">
            <w:pPr>
              <w:pStyle w:val="Prrafodelista"/>
              <w:numPr>
                <w:ilvl w:val="0"/>
                <w:numId w:val="9"/>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Copias certificadas</w:t>
            </w:r>
          </w:p>
          <w:p w:rsidR="002B5D5C" w:rsidRPr="00A97575" w:rsidRDefault="002B5D5C" w:rsidP="00A97575">
            <w:pPr>
              <w:pStyle w:val="Prrafodelista"/>
              <w:numPr>
                <w:ilvl w:val="0"/>
                <w:numId w:val="10"/>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primera hoja: $ 109.00</w:t>
            </w:r>
          </w:p>
          <w:p w:rsidR="002B5D5C" w:rsidRPr="00A97575" w:rsidRDefault="002B5D5C" w:rsidP="00A97575">
            <w:pPr>
              <w:pStyle w:val="Prrafodelista"/>
              <w:numPr>
                <w:ilvl w:val="0"/>
                <w:numId w:val="10"/>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cada hoja subsecuente $ 53.00</w:t>
            </w:r>
          </w:p>
          <w:p w:rsidR="002B5D5C" w:rsidRPr="00A97575" w:rsidRDefault="002B5D5C" w:rsidP="00A97575">
            <w:pPr>
              <w:pStyle w:val="Prrafodelista"/>
              <w:numPr>
                <w:ilvl w:val="0"/>
                <w:numId w:val="9"/>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Copias simples</w:t>
            </w:r>
          </w:p>
          <w:p w:rsidR="002B5D5C" w:rsidRPr="00A97575" w:rsidRDefault="002B5D5C" w:rsidP="00A97575">
            <w:pPr>
              <w:pStyle w:val="Prrafodelista"/>
              <w:numPr>
                <w:ilvl w:val="0"/>
                <w:numId w:val="11"/>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primera hoja: $ 29.00</w:t>
            </w:r>
          </w:p>
          <w:p w:rsidR="002B5D5C" w:rsidRPr="00A97575" w:rsidRDefault="002B5D5C" w:rsidP="00A97575">
            <w:pPr>
              <w:pStyle w:val="Prrafodelista"/>
              <w:numPr>
                <w:ilvl w:val="0"/>
                <w:numId w:val="11"/>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cada hoja subsecuente $ 3.00</w:t>
            </w:r>
          </w:p>
          <w:p w:rsidR="006102AA" w:rsidRPr="00A97575" w:rsidRDefault="006102AA" w:rsidP="00A97575">
            <w:pPr>
              <w:pStyle w:val="Prrafodelista"/>
              <w:ind w:left="0" w:right="-28"/>
              <w:jc w:val="both"/>
              <w:rPr>
                <w:rFonts w:ascii="Palatino Linotype" w:hAnsi="Palatino Linotype"/>
                <w:color w:val="000000" w:themeColor="text1"/>
              </w:rPr>
            </w:pPr>
          </w:p>
        </w:tc>
      </w:tr>
      <w:tr w:rsidR="00A97575" w:rsidRPr="00A97575" w:rsidTr="00D8614A">
        <w:tc>
          <w:tcPr>
            <w:tcW w:w="3086" w:type="dxa"/>
          </w:tcPr>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lastRenderedPageBreak/>
              <w:t>0096/DIFIXTAPAL/IP/2025</w:t>
            </w:r>
          </w:p>
        </w:tc>
        <w:tc>
          <w:tcPr>
            <w:tcW w:w="3435" w:type="dxa"/>
          </w:tcPr>
          <w:p w:rsidR="002B5D5C" w:rsidRPr="00A97575" w:rsidRDefault="002B5D5C" w:rsidP="00A97575">
            <w:pPr>
              <w:pStyle w:val="Prrafodelista"/>
              <w:numPr>
                <w:ilvl w:val="0"/>
                <w:numId w:val="12"/>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Expediente adjudicaciones directas de marzo 2023</w:t>
            </w:r>
          </w:p>
          <w:p w:rsidR="002B5D5C" w:rsidRPr="00A97575" w:rsidRDefault="002B5D5C" w:rsidP="00A97575">
            <w:pPr>
              <w:pStyle w:val="Prrafodelista"/>
              <w:numPr>
                <w:ilvl w:val="0"/>
                <w:numId w:val="12"/>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Oficios de autorización presupuestal de marzo 2023</w:t>
            </w:r>
          </w:p>
          <w:p w:rsidR="002B5D5C" w:rsidRPr="00A97575" w:rsidRDefault="002B5D5C" w:rsidP="00A97575">
            <w:pPr>
              <w:pStyle w:val="Prrafodelista"/>
              <w:numPr>
                <w:ilvl w:val="0"/>
                <w:numId w:val="12"/>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Documento de proveedores gasto superior a $ 50,000.00 de marzo 2023</w:t>
            </w:r>
          </w:p>
        </w:tc>
        <w:tc>
          <w:tcPr>
            <w:tcW w:w="3723" w:type="dxa"/>
          </w:tcPr>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t xml:space="preserve">La Tesorería del SMDIF Ixtapaluca por medio del Sistema de Contabilidad Gubernamental y de acuerdo a los requerimientos por parte del Órgano de Fiscalización Superior del Estado de México </w:t>
            </w:r>
            <w:r w:rsidRPr="00A97575">
              <w:rPr>
                <w:rFonts w:ascii="Palatino Linotype" w:hAnsi="Palatino Linotype"/>
                <w:b/>
                <w:bCs/>
                <w:color w:val="000000" w:themeColor="text1"/>
              </w:rPr>
              <w:t>OSFEM</w:t>
            </w:r>
            <w:r w:rsidRPr="00A97575">
              <w:rPr>
                <w:rFonts w:ascii="Palatino Linotype" w:hAnsi="Palatino Linotype"/>
                <w:color w:val="000000" w:themeColor="text1"/>
              </w:rPr>
              <w:t>, la información solicitada estaría compuesta por varios legajos.</w:t>
            </w:r>
          </w:p>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t xml:space="preserve">Derivado de eso le informo que, de requerir dicha información tendrá que cubrir el costo correspondiente mismo que se establece en el Art. 73 fracción I y II del Código Financiero del Estado de México y Municipios vigente. </w:t>
            </w:r>
          </w:p>
          <w:p w:rsidR="002B5D5C" w:rsidRPr="00A97575" w:rsidRDefault="002B5D5C" w:rsidP="00A97575">
            <w:pPr>
              <w:pStyle w:val="Prrafodelista"/>
              <w:numPr>
                <w:ilvl w:val="0"/>
                <w:numId w:val="13"/>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Copias certificadas</w:t>
            </w:r>
          </w:p>
          <w:p w:rsidR="002B5D5C" w:rsidRPr="00A97575" w:rsidRDefault="002B5D5C" w:rsidP="00A97575">
            <w:pPr>
              <w:pStyle w:val="Prrafodelista"/>
              <w:numPr>
                <w:ilvl w:val="0"/>
                <w:numId w:val="14"/>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primera hoja: $ 109.00</w:t>
            </w:r>
          </w:p>
          <w:p w:rsidR="002B5D5C" w:rsidRPr="00A97575" w:rsidRDefault="002B5D5C" w:rsidP="00A97575">
            <w:pPr>
              <w:pStyle w:val="Prrafodelista"/>
              <w:numPr>
                <w:ilvl w:val="0"/>
                <w:numId w:val="14"/>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cada hoja subsecuente $ 53.00</w:t>
            </w:r>
          </w:p>
          <w:p w:rsidR="002B5D5C" w:rsidRPr="00A97575" w:rsidRDefault="002B5D5C" w:rsidP="00A97575">
            <w:pPr>
              <w:pStyle w:val="Prrafodelista"/>
              <w:numPr>
                <w:ilvl w:val="0"/>
                <w:numId w:val="13"/>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Copias simples</w:t>
            </w:r>
          </w:p>
          <w:p w:rsidR="002B5D5C" w:rsidRPr="00A97575" w:rsidRDefault="002B5D5C" w:rsidP="00A97575">
            <w:pPr>
              <w:pStyle w:val="Prrafodelista"/>
              <w:numPr>
                <w:ilvl w:val="0"/>
                <w:numId w:val="15"/>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lastRenderedPageBreak/>
              <w:t>Por primera hoja: $ 29.00</w:t>
            </w:r>
          </w:p>
          <w:p w:rsidR="002B5D5C" w:rsidRPr="00A97575" w:rsidRDefault="002B5D5C" w:rsidP="00A97575">
            <w:pPr>
              <w:pStyle w:val="Prrafodelista"/>
              <w:numPr>
                <w:ilvl w:val="0"/>
                <w:numId w:val="15"/>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cada hoja subsecuente $ 3.00</w:t>
            </w:r>
          </w:p>
          <w:p w:rsidR="006102AA" w:rsidRPr="00A97575" w:rsidRDefault="006102AA" w:rsidP="00A97575">
            <w:pPr>
              <w:pStyle w:val="Prrafodelista"/>
              <w:ind w:left="0" w:right="-28"/>
              <w:jc w:val="both"/>
              <w:rPr>
                <w:rFonts w:ascii="Palatino Linotype" w:hAnsi="Palatino Linotype"/>
                <w:color w:val="000000" w:themeColor="text1"/>
              </w:rPr>
            </w:pPr>
          </w:p>
        </w:tc>
      </w:tr>
      <w:tr w:rsidR="00A97575" w:rsidRPr="00A97575" w:rsidTr="00D8614A">
        <w:tc>
          <w:tcPr>
            <w:tcW w:w="3086" w:type="dxa"/>
          </w:tcPr>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lastRenderedPageBreak/>
              <w:t>0097/DIFIXTAPAL/IP/2025</w:t>
            </w:r>
          </w:p>
        </w:tc>
        <w:tc>
          <w:tcPr>
            <w:tcW w:w="3435" w:type="dxa"/>
          </w:tcPr>
          <w:p w:rsidR="002B5D5C" w:rsidRPr="00A97575" w:rsidRDefault="002B5D5C" w:rsidP="00A97575">
            <w:pPr>
              <w:pStyle w:val="Prrafodelista"/>
              <w:numPr>
                <w:ilvl w:val="0"/>
                <w:numId w:val="12"/>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Expediente adjudicaciones directas de marzo 2023</w:t>
            </w:r>
          </w:p>
          <w:p w:rsidR="002B5D5C" w:rsidRPr="00A97575" w:rsidRDefault="002B5D5C" w:rsidP="00A97575">
            <w:pPr>
              <w:pStyle w:val="Prrafodelista"/>
              <w:numPr>
                <w:ilvl w:val="0"/>
                <w:numId w:val="12"/>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Oficios de autorización presupuestal de marzo 2023</w:t>
            </w:r>
          </w:p>
          <w:p w:rsidR="002B5D5C" w:rsidRPr="00A97575" w:rsidRDefault="002B5D5C" w:rsidP="00A97575">
            <w:pPr>
              <w:pStyle w:val="Prrafodelista"/>
              <w:numPr>
                <w:ilvl w:val="0"/>
                <w:numId w:val="12"/>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Documento de proveedores gasto superior a $ 50,000.00 de marzo 2023</w:t>
            </w:r>
          </w:p>
        </w:tc>
        <w:tc>
          <w:tcPr>
            <w:tcW w:w="3723" w:type="dxa"/>
          </w:tcPr>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t xml:space="preserve">La Tesorería del SMDIF Ixtapaluca por medio del Sistema de Contabilidad Gubernamental y de acuerdo a los requerimientos por parte del Órgano de Fiscalización Superior del Estado de México </w:t>
            </w:r>
            <w:r w:rsidRPr="00A97575">
              <w:rPr>
                <w:rFonts w:ascii="Palatino Linotype" w:hAnsi="Palatino Linotype"/>
                <w:b/>
                <w:bCs/>
                <w:color w:val="000000" w:themeColor="text1"/>
              </w:rPr>
              <w:t>OSFEM</w:t>
            </w:r>
            <w:r w:rsidRPr="00A97575">
              <w:rPr>
                <w:rFonts w:ascii="Palatino Linotype" w:hAnsi="Palatino Linotype"/>
                <w:color w:val="000000" w:themeColor="text1"/>
              </w:rPr>
              <w:t>, la información solicitada estaría compuesta por varios legajos.</w:t>
            </w:r>
          </w:p>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t xml:space="preserve">Derivado de eso le informo que, de requerir dicha información tendrá que cubrir el costo correspondiente mismo que se establece en el Art. 73 fracción I y II del Código Financiero del Estado de México y Municipios vigente. </w:t>
            </w:r>
          </w:p>
          <w:p w:rsidR="002B5D5C" w:rsidRPr="00A97575" w:rsidRDefault="002B5D5C" w:rsidP="00A97575">
            <w:pPr>
              <w:pStyle w:val="Prrafodelista"/>
              <w:numPr>
                <w:ilvl w:val="0"/>
                <w:numId w:val="16"/>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Copias certificadas</w:t>
            </w:r>
          </w:p>
          <w:p w:rsidR="002B5D5C" w:rsidRPr="00A97575" w:rsidRDefault="002B5D5C" w:rsidP="00A97575">
            <w:pPr>
              <w:pStyle w:val="Prrafodelista"/>
              <w:numPr>
                <w:ilvl w:val="0"/>
                <w:numId w:val="17"/>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primera hoja: $ 109.00</w:t>
            </w:r>
          </w:p>
          <w:p w:rsidR="002B5D5C" w:rsidRPr="00A97575" w:rsidRDefault="002B5D5C" w:rsidP="00A97575">
            <w:pPr>
              <w:pStyle w:val="Prrafodelista"/>
              <w:numPr>
                <w:ilvl w:val="0"/>
                <w:numId w:val="17"/>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cada hoja subsecuente $ 53.00</w:t>
            </w:r>
          </w:p>
          <w:p w:rsidR="002B5D5C" w:rsidRPr="00A97575" w:rsidRDefault="002B5D5C" w:rsidP="00A97575">
            <w:pPr>
              <w:pStyle w:val="Prrafodelista"/>
              <w:numPr>
                <w:ilvl w:val="0"/>
                <w:numId w:val="16"/>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Copias simples</w:t>
            </w:r>
          </w:p>
          <w:p w:rsidR="002B5D5C" w:rsidRPr="00A97575" w:rsidRDefault="002B5D5C" w:rsidP="00A97575">
            <w:pPr>
              <w:pStyle w:val="Prrafodelista"/>
              <w:numPr>
                <w:ilvl w:val="0"/>
                <w:numId w:val="18"/>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primera hoja: $ 29.00</w:t>
            </w:r>
          </w:p>
          <w:p w:rsidR="002B5D5C" w:rsidRPr="00A97575" w:rsidRDefault="002B5D5C" w:rsidP="00A97575">
            <w:pPr>
              <w:pStyle w:val="Prrafodelista"/>
              <w:numPr>
                <w:ilvl w:val="0"/>
                <w:numId w:val="18"/>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cada hoja subsecuente $ 3.00</w:t>
            </w:r>
          </w:p>
          <w:p w:rsidR="006102AA" w:rsidRPr="00A97575" w:rsidRDefault="006102AA" w:rsidP="00A97575">
            <w:pPr>
              <w:pStyle w:val="Prrafodelista"/>
              <w:ind w:left="0" w:right="-28"/>
              <w:jc w:val="both"/>
              <w:rPr>
                <w:rFonts w:ascii="Palatino Linotype" w:hAnsi="Palatino Linotype"/>
                <w:color w:val="000000" w:themeColor="text1"/>
              </w:rPr>
            </w:pPr>
          </w:p>
        </w:tc>
      </w:tr>
      <w:tr w:rsidR="00A97575" w:rsidRPr="00A97575" w:rsidTr="00D8614A">
        <w:tc>
          <w:tcPr>
            <w:tcW w:w="3086" w:type="dxa"/>
          </w:tcPr>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t>0099/DIFIXTAPAL/IP/2025</w:t>
            </w:r>
          </w:p>
        </w:tc>
        <w:tc>
          <w:tcPr>
            <w:tcW w:w="3435" w:type="dxa"/>
          </w:tcPr>
          <w:p w:rsidR="002B5D5C" w:rsidRPr="00A97575" w:rsidRDefault="002B5D5C" w:rsidP="00A97575">
            <w:pPr>
              <w:pStyle w:val="Prrafodelista"/>
              <w:numPr>
                <w:ilvl w:val="0"/>
                <w:numId w:val="8"/>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Expediente adjudicaciones directas del segundo trimestre 2023</w:t>
            </w:r>
          </w:p>
          <w:p w:rsidR="002B5D5C" w:rsidRPr="00A97575" w:rsidRDefault="002B5D5C" w:rsidP="00A97575">
            <w:pPr>
              <w:pStyle w:val="Prrafodelista"/>
              <w:numPr>
                <w:ilvl w:val="0"/>
                <w:numId w:val="8"/>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lastRenderedPageBreak/>
              <w:t>Oficios de autorización presupuestal del segundo trimestre 2023</w:t>
            </w:r>
          </w:p>
        </w:tc>
        <w:tc>
          <w:tcPr>
            <w:tcW w:w="3723" w:type="dxa"/>
          </w:tcPr>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lastRenderedPageBreak/>
              <w:t xml:space="preserve">La Tesorería del SMDIF Ixtapaluca por medio del Sistema de Contabilidad Gubernamental </w:t>
            </w:r>
            <w:r w:rsidRPr="00A97575">
              <w:rPr>
                <w:rFonts w:ascii="Palatino Linotype" w:hAnsi="Palatino Linotype"/>
                <w:color w:val="000000" w:themeColor="text1"/>
              </w:rPr>
              <w:lastRenderedPageBreak/>
              <w:t xml:space="preserve">y de acuerdo a los requerimientos por parte del Órgano de Fiscalización Superior del Estado de México </w:t>
            </w:r>
            <w:r w:rsidRPr="00A97575">
              <w:rPr>
                <w:rFonts w:ascii="Palatino Linotype" w:hAnsi="Palatino Linotype"/>
                <w:b/>
                <w:bCs/>
                <w:color w:val="000000" w:themeColor="text1"/>
              </w:rPr>
              <w:t>OSFEM</w:t>
            </w:r>
            <w:r w:rsidRPr="00A97575">
              <w:rPr>
                <w:rFonts w:ascii="Palatino Linotype" w:hAnsi="Palatino Linotype"/>
                <w:color w:val="000000" w:themeColor="text1"/>
              </w:rPr>
              <w:t>, la información solicitada estaría compuesta por varios legajos.</w:t>
            </w:r>
          </w:p>
          <w:p w:rsidR="002B5D5C" w:rsidRPr="00A97575" w:rsidRDefault="002B5D5C" w:rsidP="00A97575">
            <w:pPr>
              <w:ind w:right="-28"/>
              <w:jc w:val="both"/>
              <w:rPr>
                <w:rFonts w:ascii="Palatino Linotype" w:hAnsi="Palatino Linotype"/>
                <w:color w:val="000000" w:themeColor="text1"/>
              </w:rPr>
            </w:pPr>
            <w:r w:rsidRPr="00A97575">
              <w:rPr>
                <w:rFonts w:ascii="Palatino Linotype" w:hAnsi="Palatino Linotype"/>
                <w:color w:val="000000" w:themeColor="text1"/>
              </w:rPr>
              <w:t xml:space="preserve">Derivado de eso le informo que, de requerir dicha información tendrá que cubrir el costo correspondiente mismo que se establece en el Art. 73 fracción I y II del Código Financiero del Estado de México y Municipios vigente. </w:t>
            </w:r>
          </w:p>
          <w:p w:rsidR="002B5D5C" w:rsidRPr="00A97575" w:rsidRDefault="002B5D5C" w:rsidP="00A97575">
            <w:pPr>
              <w:pStyle w:val="Prrafodelista"/>
              <w:numPr>
                <w:ilvl w:val="0"/>
                <w:numId w:val="19"/>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Copias certificadas</w:t>
            </w:r>
          </w:p>
          <w:p w:rsidR="002B5D5C" w:rsidRPr="00A97575" w:rsidRDefault="002B5D5C" w:rsidP="00A97575">
            <w:pPr>
              <w:pStyle w:val="Prrafodelista"/>
              <w:numPr>
                <w:ilvl w:val="0"/>
                <w:numId w:val="20"/>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primera hoja: $ 109.00</w:t>
            </w:r>
          </w:p>
          <w:p w:rsidR="002B5D5C" w:rsidRPr="00A97575" w:rsidRDefault="002B5D5C" w:rsidP="00A97575">
            <w:pPr>
              <w:pStyle w:val="Prrafodelista"/>
              <w:numPr>
                <w:ilvl w:val="0"/>
                <w:numId w:val="20"/>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cada hoja subsecuente $ 53.00</w:t>
            </w:r>
          </w:p>
          <w:p w:rsidR="002B5D5C" w:rsidRPr="00A97575" w:rsidRDefault="002B5D5C" w:rsidP="00A97575">
            <w:pPr>
              <w:pStyle w:val="Prrafodelista"/>
              <w:numPr>
                <w:ilvl w:val="0"/>
                <w:numId w:val="19"/>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Copias simples</w:t>
            </w:r>
          </w:p>
          <w:p w:rsidR="002B5D5C" w:rsidRPr="00A97575" w:rsidRDefault="002B5D5C" w:rsidP="00A97575">
            <w:pPr>
              <w:pStyle w:val="Prrafodelista"/>
              <w:numPr>
                <w:ilvl w:val="0"/>
                <w:numId w:val="21"/>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primera hoja: $ 29.00</w:t>
            </w:r>
          </w:p>
          <w:p w:rsidR="002B5D5C" w:rsidRPr="00A97575" w:rsidRDefault="002B5D5C" w:rsidP="00A97575">
            <w:pPr>
              <w:pStyle w:val="Prrafodelista"/>
              <w:numPr>
                <w:ilvl w:val="0"/>
                <w:numId w:val="21"/>
              </w:numPr>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cada hoja subsecuente $ 3.00</w:t>
            </w:r>
          </w:p>
        </w:tc>
      </w:tr>
    </w:tbl>
    <w:p w:rsidR="00257C34" w:rsidRPr="00A97575" w:rsidRDefault="00257C34" w:rsidP="00A97575">
      <w:pPr>
        <w:spacing w:line="360" w:lineRule="auto"/>
        <w:ind w:right="-28"/>
        <w:jc w:val="both"/>
        <w:rPr>
          <w:rFonts w:ascii="Palatino Linotype" w:hAnsi="Palatino Linotype"/>
          <w:color w:val="000000" w:themeColor="text1"/>
        </w:rPr>
      </w:pPr>
    </w:p>
    <w:p w:rsidR="002B5D5C" w:rsidRPr="00A97575" w:rsidRDefault="00BA59FB" w:rsidP="00A97575">
      <w:pPr>
        <w:numPr>
          <w:ilvl w:val="0"/>
          <w:numId w:val="2"/>
        </w:numPr>
        <w:spacing w:line="360" w:lineRule="auto"/>
        <w:ind w:left="0" w:right="-28" w:firstLine="0"/>
        <w:jc w:val="both"/>
        <w:rPr>
          <w:rFonts w:ascii="Palatino Linotype" w:hAnsi="Palatino Linotype"/>
          <w:color w:val="000000" w:themeColor="text1"/>
        </w:rPr>
      </w:pPr>
      <w:r w:rsidRPr="00A97575">
        <w:rPr>
          <w:rFonts w:ascii="Palatino Linotype" w:hAnsi="Palatino Linotype"/>
          <w:color w:val="000000" w:themeColor="text1"/>
        </w:rPr>
        <w:t>Como se observa, existió un pronunciamiento a cada solicitud de información, objeto de la presente acumulación</w:t>
      </w:r>
      <w:r w:rsidR="00C43A0A" w:rsidRPr="00A97575">
        <w:rPr>
          <w:rFonts w:ascii="Palatino Linotype" w:hAnsi="Palatino Linotype"/>
          <w:color w:val="000000" w:themeColor="text1"/>
        </w:rPr>
        <w:t xml:space="preserve">, no pasando desapercibido que de la solicitud de información </w:t>
      </w:r>
      <w:r w:rsidR="00D641AA" w:rsidRPr="00A97575">
        <w:rPr>
          <w:rFonts w:ascii="Palatino Linotype" w:hAnsi="Palatino Linotype"/>
          <w:color w:val="000000" w:themeColor="text1"/>
        </w:rPr>
        <w:t xml:space="preserve">0072/DIFIXTAPAL/IP/2025, se hizo referencia a un informe mensual de ingresos y egresos remitido a la Junta de Gobierno del mes de enero 2022 incluyendo soporte; no obstante que la solicitud de referencia corresponde a el documento que dé cuenta del expediente completo de </w:t>
      </w:r>
      <w:r w:rsidR="00D641AA" w:rsidRPr="00A97575">
        <w:rPr>
          <w:rFonts w:ascii="Palatino Linotype" w:hAnsi="Palatino Linotype"/>
          <w:color w:val="000000" w:themeColor="text1"/>
        </w:rPr>
        <w:lastRenderedPageBreak/>
        <w:t>adjudicaciones directas realizadas por el Sistema DIF Ixtapaluca en 2022, 2023, 2024 y lo que va del 2025 con justificación técnica, autorizaciones, y documentación soporte.</w:t>
      </w:r>
    </w:p>
    <w:p w:rsidR="00BA59FB" w:rsidRPr="00A97575" w:rsidRDefault="00BA59FB" w:rsidP="00A97575">
      <w:pPr>
        <w:spacing w:line="360" w:lineRule="auto"/>
        <w:ind w:right="-28"/>
        <w:jc w:val="both"/>
        <w:rPr>
          <w:rFonts w:ascii="Palatino Linotype" w:hAnsi="Palatino Linotype"/>
          <w:color w:val="000000" w:themeColor="text1"/>
        </w:rPr>
      </w:pPr>
    </w:p>
    <w:p w:rsidR="00F83EE2" w:rsidRDefault="009B5868" w:rsidP="00A97575">
      <w:pPr>
        <w:numPr>
          <w:ilvl w:val="0"/>
          <w:numId w:val="2"/>
        </w:numPr>
        <w:spacing w:line="360" w:lineRule="auto"/>
        <w:ind w:left="0" w:right="-28" w:firstLine="0"/>
        <w:jc w:val="both"/>
        <w:rPr>
          <w:rFonts w:ascii="Palatino Linotype" w:hAnsi="Palatino Linotype"/>
          <w:color w:val="000000" w:themeColor="text1"/>
        </w:rPr>
      </w:pPr>
      <w:r w:rsidRPr="00A97575">
        <w:rPr>
          <w:rFonts w:ascii="Palatino Linotype" w:hAnsi="Palatino Linotype"/>
          <w:color w:val="000000" w:themeColor="text1"/>
        </w:rPr>
        <w:t xml:space="preserve">Sin embargo también lo es que el resto de solicitudes de información si son tendentes a pronunciarse respecto de lo toralmente solicitado en las solicitudes de mérito; empero, se condiciona su entrega a un previo pago de derecho derivado que lo solicitado estaría compuesto por varios legajos, motivo por el cual se informó al ahora </w:t>
      </w:r>
      <w:r w:rsidRPr="00A97575">
        <w:rPr>
          <w:rFonts w:ascii="Palatino Linotype" w:hAnsi="Palatino Linotype"/>
          <w:b/>
          <w:color w:val="000000" w:themeColor="text1"/>
        </w:rPr>
        <w:t xml:space="preserve">RECURRENTE </w:t>
      </w:r>
      <w:r w:rsidRPr="00A97575">
        <w:rPr>
          <w:rFonts w:ascii="Palatino Linotype" w:hAnsi="Palatino Linotype"/>
          <w:color w:val="000000" w:themeColor="text1"/>
        </w:rPr>
        <w:t>que, de requerir dicha información tendrá que cubrir el costo correspondiente mismo que se establece en el Artículo 73 fracción I y II del Código Financiero del Estado de México y Municipios vigente. Contestación de la que se desprenden diversos aspectos.</w:t>
      </w:r>
    </w:p>
    <w:p w:rsidR="00CC1AFC" w:rsidRPr="00A97575" w:rsidRDefault="00CC1AFC" w:rsidP="00CC1AFC">
      <w:pPr>
        <w:spacing w:line="360" w:lineRule="auto"/>
        <w:ind w:right="-28"/>
        <w:jc w:val="both"/>
        <w:rPr>
          <w:rFonts w:ascii="Palatino Linotype" w:hAnsi="Palatino Linotype"/>
          <w:color w:val="000000" w:themeColor="text1"/>
        </w:rPr>
      </w:pPr>
    </w:p>
    <w:p w:rsidR="00774E27" w:rsidRPr="00A97575" w:rsidRDefault="00774E27" w:rsidP="00A97575">
      <w:pPr>
        <w:numPr>
          <w:ilvl w:val="0"/>
          <w:numId w:val="2"/>
        </w:numP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 xml:space="preserve">El primero de ellos el relativo al requerimiento del pago. Al respecto es necesario traer a colación </w:t>
      </w:r>
      <w:r w:rsidRPr="00A97575">
        <w:rPr>
          <w:rFonts w:ascii="Palatino Linotype" w:hAnsi="Palatino Linotype"/>
          <w:color w:val="000000" w:themeColor="text1"/>
        </w:rPr>
        <w:t>el Principio de Gratuidad que rige el ejercicio de acceso a la información, mismo que establece que este será gratuito y solamente podrá requerirse un cobro, dependiendo la modalidad y entrega de la misma. Lo anterior de conformidad con el artículo 17 de la Ley de Transparencia y Acceso a la Información Pública del Estado y Municipios, al señalar que únicamente se cubrirán los gastos de reproducción.</w:t>
      </w:r>
    </w:p>
    <w:p w:rsidR="00774E27" w:rsidRPr="00A97575" w:rsidRDefault="00774E27" w:rsidP="00A97575">
      <w:pPr>
        <w:spacing w:line="360" w:lineRule="auto"/>
        <w:ind w:right="-28"/>
        <w:jc w:val="both"/>
        <w:rPr>
          <w:rFonts w:ascii="Palatino Linotype" w:hAnsi="Palatino Linotype"/>
          <w:color w:val="000000" w:themeColor="text1"/>
        </w:rPr>
      </w:pPr>
    </w:p>
    <w:p w:rsidR="00774E27" w:rsidRPr="00A97575" w:rsidRDefault="00774E27" w:rsidP="00A97575">
      <w:pPr>
        <w:numPr>
          <w:ilvl w:val="0"/>
          <w:numId w:val="2"/>
        </w:numPr>
        <w:spacing w:line="360" w:lineRule="auto"/>
        <w:ind w:left="0" w:right="-28" w:firstLine="0"/>
        <w:jc w:val="both"/>
        <w:rPr>
          <w:rFonts w:ascii="Palatino Linotype" w:hAnsi="Palatino Linotype"/>
          <w:color w:val="000000" w:themeColor="text1"/>
        </w:rPr>
      </w:pPr>
      <w:r w:rsidRPr="00A97575">
        <w:rPr>
          <w:rFonts w:ascii="Palatino Linotype" w:hAnsi="Palatino Linotype"/>
          <w:color w:val="000000" w:themeColor="text1"/>
        </w:rPr>
        <w:t xml:space="preserve">Asimismo, el artículo 9°, fracción III, de la Ley en cita, prevé que el Principio de Gratuidad consiste en que el acceso a la información pública no generará costo alguno </w:t>
      </w:r>
      <w:r w:rsidRPr="00A97575">
        <w:rPr>
          <w:rFonts w:ascii="Palatino Linotype" w:eastAsia="Palatino Linotype" w:hAnsi="Palatino Linotype" w:cs="Palatino Linotype"/>
          <w:color w:val="000000" w:themeColor="text1"/>
        </w:rPr>
        <w:t>para</w:t>
      </w:r>
      <w:r w:rsidRPr="00A97575">
        <w:rPr>
          <w:rFonts w:ascii="Palatino Linotype" w:hAnsi="Palatino Linotype"/>
          <w:color w:val="000000" w:themeColor="text1"/>
        </w:rPr>
        <w:t xml:space="preserve"> los solicitantes y sólo podrá requerirse el correspondiente a la modalidad de reproducción y entrega solicitada; lo anterior debe interpretarse que el sentido de la norma es eliminar </w:t>
      </w:r>
      <w:r w:rsidRPr="00A97575">
        <w:rPr>
          <w:rFonts w:ascii="Palatino Linotype" w:hAnsi="Palatino Linotype"/>
          <w:color w:val="000000" w:themeColor="text1"/>
        </w:rPr>
        <w:lastRenderedPageBreak/>
        <w:t>cualquier barrera u obstáculo que imposibilite el derecho de acceso a la información o que este se garantice de manera discriminada; esto es, sólo para aquellos que tengan los medios económicos para cubrir el costo de la reproducción de información, lo que materializaría el impedimento de acceso a la información.</w:t>
      </w:r>
    </w:p>
    <w:p w:rsidR="00774E27" w:rsidRPr="00A97575" w:rsidRDefault="00774E27" w:rsidP="00A97575">
      <w:pPr>
        <w:spacing w:line="360" w:lineRule="auto"/>
        <w:ind w:right="-28"/>
        <w:jc w:val="both"/>
        <w:rPr>
          <w:rFonts w:ascii="Palatino Linotype" w:hAnsi="Palatino Linotype"/>
          <w:color w:val="000000" w:themeColor="text1"/>
        </w:rPr>
      </w:pPr>
    </w:p>
    <w:p w:rsidR="00774E27" w:rsidRPr="00A97575" w:rsidRDefault="00774E27" w:rsidP="00A97575">
      <w:pPr>
        <w:numPr>
          <w:ilvl w:val="0"/>
          <w:numId w:val="2"/>
        </w:numPr>
        <w:spacing w:line="360" w:lineRule="auto"/>
        <w:ind w:left="0" w:right="-28" w:firstLine="0"/>
        <w:jc w:val="both"/>
        <w:rPr>
          <w:rFonts w:ascii="Palatino Linotype" w:hAnsi="Palatino Linotype"/>
          <w:color w:val="000000" w:themeColor="text1"/>
        </w:rPr>
      </w:pPr>
      <w:r w:rsidRPr="00A97575">
        <w:rPr>
          <w:rFonts w:ascii="Palatino Linotype" w:hAnsi="Palatino Linotype"/>
          <w:color w:val="000000" w:themeColor="text1"/>
        </w:rPr>
        <w:t>En ese orden de ideas, el artículo 174 de la Ley de la materia, establece que en los casos de existir costos para obtener la información, deberán cubrirse de manera previa y nunca deberán ser superiores a la suma de los costos de los materiales utilizados, envió y certificación, en su caso. Conforme a la normatividad señalada, se advierte que el derecho de acceso a la información, debe realizarse bajo el principio de gratuidad y que sólo procederá el cobro, cuando implique la utilización de materiales para reproducción, envió y certificación, tal como podría ser una copia simple o certificada, pues en dichas modalidades se requiere de materia prima (papel y tinta), así como diversos utensilios para realizar la certificación de la información, lo cual, indudablemente implica un costo adicional. Contexto que determina como improcedente la respuesta emitida</w:t>
      </w:r>
      <w:r w:rsidR="00395B06" w:rsidRPr="00A97575">
        <w:rPr>
          <w:rFonts w:ascii="Palatino Linotype" w:hAnsi="Palatino Linotype"/>
          <w:color w:val="000000" w:themeColor="text1"/>
        </w:rPr>
        <w:t xml:space="preserve"> y como fundados y procedentes los motivos de inconformidad argüidos en las razones o motivos de inconformidad</w:t>
      </w:r>
      <w:r w:rsidRPr="00A97575">
        <w:rPr>
          <w:rFonts w:ascii="Palatino Linotype" w:hAnsi="Palatino Linotype"/>
          <w:color w:val="000000" w:themeColor="text1"/>
        </w:rPr>
        <w:t>.</w:t>
      </w:r>
    </w:p>
    <w:p w:rsidR="00774E27" w:rsidRPr="00A97575" w:rsidRDefault="00774E27" w:rsidP="00A97575">
      <w:pPr>
        <w:pStyle w:val="Prrafodelista"/>
        <w:spacing w:line="360" w:lineRule="auto"/>
        <w:ind w:left="0" w:right="-28"/>
        <w:jc w:val="both"/>
        <w:rPr>
          <w:rFonts w:ascii="Palatino Linotype" w:hAnsi="Palatino Linotype"/>
          <w:color w:val="000000" w:themeColor="text1"/>
        </w:rPr>
      </w:pPr>
    </w:p>
    <w:p w:rsidR="00774E27" w:rsidRPr="00A97575" w:rsidRDefault="00774E27" w:rsidP="00A97575">
      <w:pPr>
        <w:numPr>
          <w:ilvl w:val="0"/>
          <w:numId w:val="2"/>
        </w:numPr>
        <w:spacing w:line="360" w:lineRule="auto"/>
        <w:ind w:left="0" w:right="-28" w:firstLine="0"/>
        <w:jc w:val="both"/>
        <w:rPr>
          <w:rFonts w:ascii="Palatino Linotype" w:hAnsi="Palatino Linotype"/>
          <w:color w:val="000000" w:themeColor="text1"/>
        </w:rPr>
      </w:pPr>
      <w:r w:rsidRPr="00A97575">
        <w:rPr>
          <w:rFonts w:ascii="Palatino Linotype" w:hAnsi="Palatino Linotype"/>
          <w:color w:val="000000" w:themeColor="text1"/>
        </w:rPr>
        <w:t xml:space="preserve">Un segundo aspecto a destacar con las respuestas que se emitieron de manera inicial; es que el </w:t>
      </w:r>
      <w:r w:rsidRPr="00A97575">
        <w:rPr>
          <w:rFonts w:ascii="Palatino Linotype" w:hAnsi="Palatino Linotype"/>
          <w:b/>
          <w:color w:val="000000" w:themeColor="text1"/>
        </w:rPr>
        <w:t>SUJETO OBLIGADO</w:t>
      </w:r>
      <w:r w:rsidRPr="00A97575">
        <w:rPr>
          <w:rFonts w:ascii="Palatino Linotype" w:hAnsi="Palatino Linotype"/>
          <w:color w:val="000000" w:themeColor="text1"/>
        </w:rPr>
        <w:t xml:space="preserve"> acepta de manera expresa que si generó, posee y administra lo solicitado, tan es así que pone a disposición del solicitante la información previo pago de derechos. Lu</w:t>
      </w:r>
      <w:r w:rsidR="00395B06" w:rsidRPr="00A97575">
        <w:rPr>
          <w:rFonts w:ascii="Palatino Linotype" w:hAnsi="Palatino Linotype"/>
          <w:color w:val="000000" w:themeColor="text1"/>
        </w:rPr>
        <w:t>e</w:t>
      </w:r>
      <w:r w:rsidR="0066357F" w:rsidRPr="00A97575">
        <w:rPr>
          <w:rFonts w:ascii="Palatino Linotype" w:hAnsi="Palatino Linotype"/>
          <w:color w:val="000000" w:themeColor="text1"/>
        </w:rPr>
        <w:t>go entonces se estima</w:t>
      </w:r>
      <w:r w:rsidRPr="00A97575">
        <w:rPr>
          <w:rFonts w:ascii="Palatino Linotype" w:hAnsi="Palatino Linotype"/>
          <w:color w:val="000000" w:themeColor="text1"/>
        </w:rPr>
        <w:t xml:space="preserve"> innecesario realizar un estudio pormenorizado del marco </w:t>
      </w:r>
      <w:r w:rsidRPr="00A97575">
        <w:rPr>
          <w:rFonts w:ascii="Palatino Linotype" w:hAnsi="Palatino Linotype"/>
          <w:color w:val="000000" w:themeColor="text1"/>
        </w:rPr>
        <w:lastRenderedPageBreak/>
        <w:t>de atribuciones del Ayuntamiento para determinar si cuenta o no con lo solicitado pues –se insiste– asume que cuenta con lo solicitado.</w:t>
      </w:r>
    </w:p>
    <w:p w:rsidR="006102AA" w:rsidRPr="00A97575" w:rsidRDefault="006102AA" w:rsidP="00A97575">
      <w:pPr>
        <w:pStyle w:val="Prrafodelista"/>
        <w:ind w:left="0" w:right="-28"/>
        <w:rPr>
          <w:rFonts w:ascii="Palatino Linotype" w:hAnsi="Palatino Linotype"/>
          <w:color w:val="000000" w:themeColor="text1"/>
        </w:rPr>
      </w:pPr>
    </w:p>
    <w:p w:rsidR="00AA665E" w:rsidRPr="00A97575" w:rsidRDefault="00774E27" w:rsidP="00A97575">
      <w:pPr>
        <w:numPr>
          <w:ilvl w:val="0"/>
          <w:numId w:val="2"/>
        </w:numPr>
        <w:spacing w:line="360" w:lineRule="auto"/>
        <w:ind w:left="0" w:right="-28" w:firstLine="0"/>
        <w:jc w:val="both"/>
        <w:rPr>
          <w:rFonts w:ascii="Palatino Linotype" w:hAnsi="Palatino Linotype" w:cs="Arial"/>
          <w:color w:val="000000" w:themeColor="text1"/>
        </w:rPr>
      </w:pPr>
      <w:r w:rsidRPr="00A97575">
        <w:rPr>
          <w:rFonts w:ascii="Palatino Linotype" w:hAnsi="Palatino Linotype"/>
          <w:color w:val="000000" w:themeColor="text1"/>
        </w:rPr>
        <w:t>No obstante lo anterior, no es óbice para realizar las siguientes precisiones</w:t>
      </w:r>
      <w:r w:rsidR="00D14781" w:rsidRPr="00A97575">
        <w:rPr>
          <w:rFonts w:ascii="Palatino Linotype" w:hAnsi="Palatino Linotype"/>
          <w:color w:val="000000" w:themeColor="text1"/>
        </w:rPr>
        <w:t xml:space="preserve">. Primero, </w:t>
      </w:r>
      <w:r w:rsidR="00AA665E" w:rsidRPr="00A97575">
        <w:rPr>
          <w:rFonts w:ascii="Palatino Linotype" w:hAnsi="Palatino Linotype"/>
          <w:color w:val="000000" w:themeColor="text1"/>
        </w:rPr>
        <w:t xml:space="preserve">hacer alusión a lo dispuesto en la Ley de Contratación Pública del Estado de México y Municipios, </w:t>
      </w:r>
      <w:r w:rsidR="00AA665E" w:rsidRPr="00A97575">
        <w:rPr>
          <w:rFonts w:ascii="Palatino Linotype" w:hAnsi="Palatino Linotype" w:cs="Arial"/>
          <w:color w:val="000000" w:themeColor="text1"/>
        </w:rPr>
        <w:t xml:space="preserve">la cual tiene por objeto regular los actos relativos a la </w:t>
      </w:r>
      <w:r w:rsidR="00AA665E" w:rsidRPr="00A97575">
        <w:rPr>
          <w:rFonts w:ascii="Palatino Linotype" w:hAnsi="Palatino Linotype" w:cs="Arial"/>
          <w:bCs/>
          <w:color w:val="000000" w:themeColor="text1"/>
        </w:rPr>
        <w:t>planeación, programación, presupuestación</w:t>
      </w:r>
      <w:r w:rsidR="00AA665E" w:rsidRPr="00A97575">
        <w:rPr>
          <w:rFonts w:ascii="Palatino Linotype" w:hAnsi="Palatino Linotype" w:cs="Arial"/>
          <w:color w:val="000000" w:themeColor="text1"/>
        </w:rPr>
        <w:t xml:space="preserve">, ejecución y control de la adquisición, enajenación y arrendamiento de bienes, y la </w:t>
      </w:r>
      <w:r w:rsidR="00AA665E" w:rsidRPr="00A97575">
        <w:rPr>
          <w:rFonts w:ascii="Palatino Linotype" w:hAnsi="Palatino Linotype" w:cs="Arial"/>
          <w:b/>
          <w:color w:val="000000" w:themeColor="text1"/>
          <w:u w:val="single"/>
        </w:rPr>
        <w:t>contratación de servicios de cualquier naturaleza, que realicen los Ayuntamientos del Estado</w:t>
      </w:r>
      <w:r w:rsidR="00AA665E" w:rsidRPr="00A97575">
        <w:rPr>
          <w:rFonts w:ascii="Palatino Linotype" w:hAnsi="Palatino Linotype" w:cs="Arial"/>
          <w:color w:val="000000" w:themeColor="text1"/>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rsidR="00AA665E" w:rsidRPr="00A97575" w:rsidRDefault="00AA665E" w:rsidP="00A97575">
      <w:pPr>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“Artículo 4.-</w:t>
      </w:r>
      <w:r w:rsidRPr="00A97575">
        <w:rPr>
          <w:rFonts w:ascii="Palatino Linotype" w:hAnsi="Palatino Linotype"/>
          <w:i/>
          <w:color w:val="000000" w:themeColor="text1"/>
        </w:rPr>
        <w:t xml:space="preserve"> Para los efectos de esta Ley, </w:t>
      </w:r>
      <w:r w:rsidRPr="00A97575">
        <w:rPr>
          <w:rFonts w:ascii="Palatino Linotype" w:hAnsi="Palatino Linotype"/>
          <w:b/>
          <w:i/>
          <w:color w:val="000000" w:themeColor="text1"/>
        </w:rPr>
        <w:t>en las adquisiciones, enajenaciones, arrendamientos y servicios, quedan comprendidos</w:t>
      </w:r>
      <w:r w:rsidRPr="00A97575">
        <w:rPr>
          <w:rFonts w:ascii="Palatino Linotype" w:hAnsi="Palatino Linotype"/>
          <w:i/>
          <w:color w:val="000000" w:themeColor="text1"/>
        </w:rPr>
        <w:t>:</w:t>
      </w:r>
    </w:p>
    <w:p w:rsidR="00AA665E" w:rsidRPr="00A97575" w:rsidRDefault="00AA665E" w:rsidP="00A97575">
      <w:pPr>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I.</w:t>
      </w:r>
      <w:r w:rsidRPr="00A97575">
        <w:rPr>
          <w:rFonts w:ascii="Palatino Linotype" w:hAnsi="Palatino Linotype"/>
          <w:i/>
          <w:color w:val="000000" w:themeColor="text1"/>
        </w:rPr>
        <w:t xml:space="preserve"> La adquisición de bienes muebles.</w:t>
      </w:r>
    </w:p>
    <w:p w:rsidR="00AA665E" w:rsidRPr="00A97575" w:rsidRDefault="00AA665E" w:rsidP="00A97575">
      <w:pPr>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II</w:t>
      </w:r>
      <w:r w:rsidRPr="00A97575">
        <w:rPr>
          <w:rFonts w:ascii="Palatino Linotype" w:hAnsi="Palatino Linotype"/>
          <w:i/>
          <w:color w:val="000000" w:themeColor="text1"/>
        </w:rPr>
        <w:t>. La adquisición de bienes inmuebles, a través de compraventa.</w:t>
      </w:r>
    </w:p>
    <w:p w:rsidR="00AA665E" w:rsidRPr="00A97575" w:rsidRDefault="00AA665E" w:rsidP="00A97575">
      <w:pPr>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III.</w:t>
      </w:r>
      <w:r w:rsidRPr="00A97575">
        <w:rPr>
          <w:rFonts w:ascii="Palatino Linotype" w:hAnsi="Palatino Linotype"/>
          <w:i/>
          <w:color w:val="000000" w:themeColor="text1"/>
        </w:rPr>
        <w:t xml:space="preserve"> La enajenación de bienes muebles e inmuebles.</w:t>
      </w:r>
    </w:p>
    <w:p w:rsidR="00AA665E" w:rsidRPr="00A97575" w:rsidRDefault="00AA665E" w:rsidP="00A97575">
      <w:pPr>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IV.</w:t>
      </w:r>
      <w:r w:rsidRPr="00A97575">
        <w:rPr>
          <w:rFonts w:ascii="Palatino Linotype" w:hAnsi="Palatino Linotype"/>
          <w:i/>
          <w:color w:val="000000" w:themeColor="text1"/>
        </w:rPr>
        <w:t xml:space="preserve"> El arrendamiento de bienes muebles e inmuebles. </w:t>
      </w:r>
    </w:p>
    <w:p w:rsidR="00AA665E" w:rsidRPr="00A97575" w:rsidRDefault="00AA665E" w:rsidP="00A97575">
      <w:pPr>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V</w:t>
      </w:r>
      <w:r w:rsidRPr="00A97575">
        <w:rPr>
          <w:rFonts w:ascii="Palatino Linotype" w:hAnsi="Palatino Linotype"/>
          <w:i/>
          <w:color w:val="000000" w:themeColor="text1"/>
        </w:rPr>
        <w:t>. La contratación de los servicios, relacionados con bienes muebles que se encuentran incorporados o adheridos a bienes inmuebles, cuya instalación o mantenimiento no implique modificación al bien inmueble.</w:t>
      </w:r>
    </w:p>
    <w:p w:rsidR="00AA665E" w:rsidRPr="00A97575" w:rsidRDefault="00AA665E" w:rsidP="00A97575">
      <w:pPr>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VI.</w:t>
      </w:r>
      <w:r w:rsidRPr="00A97575">
        <w:rPr>
          <w:rFonts w:ascii="Palatino Linotype" w:hAnsi="Palatino Linotype"/>
          <w:i/>
          <w:color w:val="000000" w:themeColor="text1"/>
        </w:rPr>
        <w:t xml:space="preserve"> La contratación de los servicios de reconstrucción y mantenimiento de bienes muebles. </w:t>
      </w:r>
    </w:p>
    <w:p w:rsidR="00AA665E" w:rsidRPr="00A97575" w:rsidRDefault="00AA665E" w:rsidP="00A97575">
      <w:pPr>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VII.</w:t>
      </w:r>
      <w:r w:rsidRPr="00A97575">
        <w:rPr>
          <w:rFonts w:ascii="Palatino Linotype" w:hAnsi="Palatino Linotype"/>
          <w:i/>
          <w:color w:val="000000" w:themeColor="text1"/>
        </w:rPr>
        <w:t xml:space="preserve"> La contratación de los servicios de maquila, seguros y transportación, así como de los de limpieza y vigilancia de bienes inmuebles. </w:t>
      </w:r>
    </w:p>
    <w:p w:rsidR="00AA665E" w:rsidRPr="00A97575" w:rsidRDefault="00AA665E" w:rsidP="00A97575">
      <w:pPr>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lastRenderedPageBreak/>
        <w:t>VIII.</w:t>
      </w:r>
      <w:r w:rsidRPr="00A97575">
        <w:rPr>
          <w:rFonts w:ascii="Palatino Linotype" w:hAnsi="Palatino Linotype"/>
          <w:i/>
          <w:color w:val="000000" w:themeColor="text1"/>
        </w:rPr>
        <w:t xml:space="preserve"> La prestación de servicios profesionales, la contratación de consultorías, asesorías y estudios e investigaciones, excepto la contratación de servicios personales de personas físicas bajo el régimen de honorarios. </w:t>
      </w:r>
    </w:p>
    <w:p w:rsidR="00AA665E" w:rsidRPr="00A97575" w:rsidRDefault="00AA665E" w:rsidP="00A97575">
      <w:pPr>
        <w:spacing w:line="360" w:lineRule="auto"/>
        <w:ind w:right="-28"/>
        <w:jc w:val="both"/>
        <w:rPr>
          <w:rFonts w:ascii="Palatino Linotype" w:hAnsi="Palatino Linotype"/>
          <w:i/>
          <w:color w:val="000000" w:themeColor="text1"/>
        </w:rPr>
      </w:pPr>
      <w:r w:rsidRPr="00A97575">
        <w:rPr>
          <w:rFonts w:ascii="Palatino Linotype" w:hAnsi="Palatino Linotype"/>
          <w:i/>
          <w:color w:val="000000" w:themeColor="text1"/>
        </w:rPr>
        <w:t>En general, otros actos que impliquen la contratación de servicios de cualquier naturaleza</w:t>
      </w:r>
    </w:p>
    <w:p w:rsidR="006102AA" w:rsidRPr="00A97575" w:rsidRDefault="006102AA" w:rsidP="00A97575">
      <w:pPr>
        <w:spacing w:line="360" w:lineRule="auto"/>
        <w:ind w:right="-28"/>
        <w:jc w:val="both"/>
        <w:rPr>
          <w:rFonts w:ascii="Palatino Linotype" w:hAnsi="Palatino Linotype" w:cs="Arial"/>
          <w:i/>
          <w:color w:val="000000" w:themeColor="text1"/>
        </w:rPr>
      </w:pPr>
    </w:p>
    <w:p w:rsidR="00AA665E" w:rsidRPr="00A97575" w:rsidRDefault="00AA665E" w:rsidP="00A97575">
      <w:pPr>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Artículo 26.-</w:t>
      </w:r>
      <w:r w:rsidRPr="00A97575">
        <w:rPr>
          <w:rFonts w:ascii="Palatino Linotype" w:hAnsi="Palatino Linotype"/>
          <w:i/>
          <w:color w:val="000000" w:themeColor="text1"/>
        </w:rPr>
        <w:t xml:space="preserve"> </w:t>
      </w:r>
      <w:r w:rsidRPr="00A97575">
        <w:rPr>
          <w:rFonts w:ascii="Palatino Linotype" w:hAnsi="Palatino Linotype"/>
          <w:b/>
          <w:i/>
          <w:color w:val="000000" w:themeColor="text1"/>
        </w:rPr>
        <w:t>Las adquisiciones, arrendamientos y servicios se adjudicarán a través de licitaciones públicas</w:t>
      </w:r>
      <w:r w:rsidRPr="00A97575">
        <w:rPr>
          <w:rFonts w:ascii="Palatino Linotype" w:hAnsi="Palatino Linotype"/>
          <w:i/>
          <w:color w:val="000000" w:themeColor="text1"/>
        </w:rPr>
        <w:t xml:space="preserve">, mediante convocatoria pública. </w:t>
      </w:r>
    </w:p>
    <w:p w:rsidR="00AA665E" w:rsidRPr="00A97575" w:rsidRDefault="00AA665E" w:rsidP="00A97575">
      <w:pPr>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Artículo 27.</w:t>
      </w:r>
      <w:r w:rsidRPr="00A97575">
        <w:rPr>
          <w:rFonts w:ascii="Palatino Linotype" w:hAnsi="Palatino Linotype"/>
          <w:i/>
          <w:color w:val="000000" w:themeColor="text1"/>
        </w:rPr>
        <w:t xml:space="preserve">- La Secretaría, las entidades, los tribunales administrativos y los ayuntamientos podrán </w:t>
      </w:r>
      <w:r w:rsidRPr="00A97575">
        <w:rPr>
          <w:rFonts w:ascii="Palatino Linotype" w:hAnsi="Palatino Linotype"/>
          <w:b/>
          <w:i/>
          <w:color w:val="000000" w:themeColor="text1"/>
        </w:rPr>
        <w:t>adjudicar adquisiciones, arrendamientos y servicios, mediante las excepciones al procedimiento de licitación</w:t>
      </w:r>
      <w:r w:rsidRPr="00A97575">
        <w:rPr>
          <w:rFonts w:ascii="Palatino Linotype" w:hAnsi="Palatino Linotype"/>
          <w:i/>
          <w:color w:val="000000" w:themeColor="text1"/>
        </w:rPr>
        <w:t xml:space="preserve"> que a continuación se señalan:</w:t>
      </w:r>
    </w:p>
    <w:p w:rsidR="00AA665E" w:rsidRPr="00A97575" w:rsidRDefault="00AA665E" w:rsidP="00A97575">
      <w:pPr>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I</w:t>
      </w:r>
      <w:r w:rsidRPr="00A97575">
        <w:rPr>
          <w:rFonts w:ascii="Palatino Linotype" w:hAnsi="Palatino Linotype"/>
          <w:i/>
          <w:color w:val="000000" w:themeColor="text1"/>
        </w:rPr>
        <w:t>. Invitación restringida.</w:t>
      </w:r>
    </w:p>
    <w:p w:rsidR="00AA665E" w:rsidRDefault="00AA665E" w:rsidP="00A97575">
      <w:pPr>
        <w:spacing w:line="360" w:lineRule="auto"/>
        <w:ind w:right="-28"/>
        <w:jc w:val="both"/>
        <w:rPr>
          <w:rFonts w:ascii="Palatino Linotype" w:hAnsi="Palatino Linotype"/>
          <w:b/>
          <w:i/>
          <w:color w:val="000000" w:themeColor="text1"/>
        </w:rPr>
      </w:pPr>
      <w:r w:rsidRPr="00A97575">
        <w:rPr>
          <w:rFonts w:ascii="Palatino Linotype" w:hAnsi="Palatino Linotype"/>
          <w:b/>
          <w:i/>
          <w:color w:val="000000" w:themeColor="text1"/>
        </w:rPr>
        <w:t>II. Adjudicación directa.”</w:t>
      </w:r>
    </w:p>
    <w:p w:rsidR="00D8614A" w:rsidRPr="00A97575" w:rsidRDefault="00D8614A" w:rsidP="00A97575">
      <w:pPr>
        <w:spacing w:line="360" w:lineRule="auto"/>
        <w:ind w:right="-28"/>
        <w:jc w:val="both"/>
        <w:rPr>
          <w:rFonts w:ascii="Palatino Linotype" w:hAnsi="Palatino Linotype"/>
          <w:b/>
          <w:i/>
          <w:color w:val="000000" w:themeColor="text1"/>
        </w:rPr>
      </w:pPr>
    </w:p>
    <w:p w:rsidR="00AA665E" w:rsidRPr="00A97575" w:rsidRDefault="00AA665E" w:rsidP="00A97575">
      <w:pPr>
        <w:numPr>
          <w:ilvl w:val="0"/>
          <w:numId w:val="2"/>
        </w:numPr>
        <w:spacing w:line="360" w:lineRule="auto"/>
        <w:ind w:left="0" w:right="-28" w:firstLine="0"/>
        <w:jc w:val="both"/>
        <w:rPr>
          <w:rFonts w:ascii="Palatino Linotype" w:hAnsi="Palatino Linotype" w:cs="Arial"/>
          <w:color w:val="000000" w:themeColor="text1"/>
        </w:rPr>
      </w:pPr>
      <w:r w:rsidRPr="00A97575">
        <w:rPr>
          <w:rFonts w:ascii="Palatino Linotype" w:hAnsi="Palatino Linotype" w:cs="Arial"/>
          <w:color w:val="000000" w:themeColor="text1"/>
        </w:rPr>
        <w:t xml:space="preserve">Con base en los preceptos citados se advierte que, por regla general, las adquisiciones, </w:t>
      </w:r>
      <w:r w:rsidRPr="00A97575">
        <w:rPr>
          <w:rFonts w:ascii="Palatino Linotype" w:hAnsi="Palatino Linotype"/>
          <w:color w:val="000000" w:themeColor="text1"/>
        </w:rPr>
        <w:t>enajenaciones</w:t>
      </w:r>
      <w:r w:rsidRPr="00A97575">
        <w:rPr>
          <w:rFonts w:ascii="Palatino Linotype" w:hAnsi="Palatino Linotype" w:cs="Arial"/>
          <w:color w:val="000000" w:themeColor="text1"/>
        </w:rPr>
        <w:t>, arrendamientos y servicios, que celebren los entes públicos, deben adjudicarse por regla general mediante licitación pública</w:t>
      </w:r>
      <w:r w:rsidR="006071E1" w:rsidRPr="00A97575">
        <w:rPr>
          <w:rFonts w:ascii="Palatino Linotype" w:hAnsi="Palatino Linotype" w:cs="Arial"/>
          <w:color w:val="000000" w:themeColor="text1"/>
        </w:rPr>
        <w:t>;</w:t>
      </w:r>
      <w:r w:rsidRPr="00A97575">
        <w:rPr>
          <w:rFonts w:ascii="Palatino Linotype" w:hAnsi="Palatino Linotype" w:cs="Arial"/>
          <w:color w:val="000000" w:themeColor="text1"/>
        </w:rPr>
        <w:t xml:space="preserve"> sin embargo, también se contemplan como excepciones a dicho proceso, la invitación restringida y la adjudicación directa, procedimientos que son materia de la solicitud presentada por el particular.</w:t>
      </w:r>
    </w:p>
    <w:p w:rsidR="006071E1" w:rsidRPr="00A97575" w:rsidRDefault="006071E1" w:rsidP="00A97575">
      <w:pPr>
        <w:spacing w:line="360" w:lineRule="auto"/>
        <w:ind w:right="-28"/>
        <w:jc w:val="both"/>
        <w:rPr>
          <w:rFonts w:ascii="Palatino Linotype" w:hAnsi="Palatino Linotype" w:cs="Arial"/>
          <w:color w:val="000000" w:themeColor="text1"/>
        </w:rPr>
      </w:pPr>
    </w:p>
    <w:p w:rsidR="00AA665E" w:rsidRPr="00A97575" w:rsidRDefault="00AA665E" w:rsidP="00A97575">
      <w:pPr>
        <w:numPr>
          <w:ilvl w:val="0"/>
          <w:numId w:val="2"/>
        </w:numP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 xml:space="preserve">Ahora bien, </w:t>
      </w:r>
      <w:r w:rsidRPr="00A97575">
        <w:rPr>
          <w:rFonts w:ascii="Palatino Linotype" w:hAnsi="Palatino Linotype" w:cs="Arial"/>
          <w:color w:val="000000" w:themeColor="text1"/>
        </w:rPr>
        <w:t xml:space="preserve">a través del cumplimiento a la obligación de transparencia señalada en la fracción XIX del artículo 92 de la Ley de la Materia, los sujetos obligados deben poner a disposición del público de manera constante y actualizada, de forma sencilla, precisa y </w:t>
      </w:r>
      <w:r w:rsidRPr="00A97575">
        <w:rPr>
          <w:rFonts w:ascii="Palatino Linotype" w:hAnsi="Palatino Linotype" w:cs="Arial"/>
          <w:color w:val="000000" w:themeColor="text1"/>
        </w:rPr>
        <w:lastRenderedPageBreak/>
        <w:t xml:space="preserve">entendible, en los respectivos medios electrónicos, información relativa </w:t>
      </w:r>
      <w:r w:rsidRPr="00A97575">
        <w:rPr>
          <w:rFonts w:ascii="Palatino Linotype" w:hAnsi="Palatino Linotype"/>
          <w:color w:val="000000" w:themeColor="text1"/>
        </w:rPr>
        <w:t>a los procesos y resultados sobre procedimientos de adjudicación directa, invitación restringida, y licitación de cualquier naturaleza, incluyendo la versión pública del expediente respectivo y de los contratos celebrados, a saber:</w:t>
      </w:r>
    </w:p>
    <w:p w:rsidR="00AA665E" w:rsidRPr="00A97575" w:rsidRDefault="00AA665E" w:rsidP="00A97575">
      <w:pPr>
        <w:spacing w:line="360" w:lineRule="auto"/>
        <w:ind w:right="-28"/>
        <w:jc w:val="both"/>
        <w:rPr>
          <w:rFonts w:ascii="Palatino Linotype" w:hAnsi="Palatino Linotype" w:cs="Arial"/>
          <w:i/>
          <w:color w:val="000000" w:themeColor="text1"/>
        </w:rPr>
      </w:pPr>
      <w:r w:rsidRPr="00A97575">
        <w:rPr>
          <w:rFonts w:ascii="Palatino Linotype" w:hAnsi="Palatino Linotype"/>
          <w:i/>
          <w:color w:val="000000" w:themeColor="text1"/>
        </w:rPr>
        <w:t>“</w:t>
      </w:r>
      <w:r w:rsidRPr="00A97575">
        <w:rPr>
          <w:rFonts w:ascii="Palatino Linotype" w:hAnsi="Palatino Linotype" w:cs="Arial"/>
          <w:b/>
          <w:i/>
          <w:color w:val="000000" w:themeColor="text1"/>
        </w:rPr>
        <w:t>Artículo 92</w:t>
      </w:r>
      <w:r w:rsidRPr="00A97575">
        <w:rPr>
          <w:rFonts w:ascii="Palatino Linotype" w:hAnsi="Palatino Linotype" w:cs="Arial"/>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i/>
          <w:color w:val="000000" w:themeColor="text1"/>
        </w:rPr>
        <w:t>(…)</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XXIX.</w:t>
      </w:r>
      <w:r w:rsidRPr="00A97575">
        <w:rPr>
          <w:rFonts w:ascii="Palatino Linotype" w:hAnsi="Palatino Linotype"/>
          <w:i/>
          <w:color w:val="000000" w:themeColor="text1"/>
        </w:rPr>
        <w:t xml:space="preserve"> La </w:t>
      </w:r>
      <w:r w:rsidRPr="00A97575">
        <w:rPr>
          <w:rFonts w:ascii="Palatino Linotype" w:hAnsi="Palatino Linotype"/>
          <w:b/>
          <w:i/>
          <w:color w:val="000000" w:themeColor="text1"/>
        </w:rPr>
        <w:t xml:space="preserve">información sobre los procesos y resultados </w:t>
      </w:r>
      <w:r w:rsidRPr="00A97575">
        <w:rPr>
          <w:rFonts w:ascii="Palatino Linotype" w:hAnsi="Palatino Linotype"/>
          <w:b/>
          <w:i/>
          <w:color w:val="000000" w:themeColor="text1"/>
          <w:u w:val="single"/>
        </w:rPr>
        <w:t>sobre procedimientos de adjudicación directa, invitación restringida y licitación de cualquier naturaleza</w:t>
      </w:r>
      <w:r w:rsidRPr="00A97575">
        <w:rPr>
          <w:rFonts w:ascii="Palatino Linotype" w:hAnsi="Palatino Linotype"/>
          <w:i/>
          <w:color w:val="000000" w:themeColor="text1"/>
          <w:u w:val="single"/>
        </w:rPr>
        <w:t xml:space="preserve">, </w:t>
      </w:r>
      <w:r w:rsidRPr="00A97575">
        <w:rPr>
          <w:rFonts w:ascii="Palatino Linotype" w:hAnsi="Palatino Linotype"/>
          <w:b/>
          <w:i/>
          <w:color w:val="000000" w:themeColor="text1"/>
        </w:rPr>
        <w:t>incluyendo la versión pública</w:t>
      </w:r>
      <w:r w:rsidRPr="00A97575">
        <w:rPr>
          <w:rFonts w:ascii="Palatino Linotype" w:hAnsi="Palatino Linotype"/>
          <w:i/>
          <w:color w:val="000000" w:themeColor="text1"/>
        </w:rPr>
        <w:t xml:space="preserve"> del expediente respectivo y </w:t>
      </w:r>
      <w:r w:rsidRPr="00A97575">
        <w:rPr>
          <w:rFonts w:ascii="Palatino Linotype" w:hAnsi="Palatino Linotype"/>
          <w:b/>
          <w:i/>
          <w:color w:val="000000" w:themeColor="text1"/>
        </w:rPr>
        <w:t>de los contratos celebrados</w:t>
      </w:r>
      <w:r w:rsidRPr="00A97575">
        <w:rPr>
          <w:rFonts w:ascii="Palatino Linotype" w:hAnsi="Palatino Linotype"/>
          <w:i/>
          <w:color w:val="000000" w:themeColor="text1"/>
        </w:rPr>
        <w:t>, que deberán contener, por los menos, lo siguiente:</w:t>
      </w:r>
    </w:p>
    <w:p w:rsidR="00AA665E" w:rsidRPr="00A97575" w:rsidRDefault="00AA665E" w:rsidP="00A97575">
      <w:pPr>
        <w:tabs>
          <w:tab w:val="left" w:pos="426"/>
        </w:tabs>
        <w:spacing w:line="360" w:lineRule="auto"/>
        <w:ind w:right="-28"/>
        <w:jc w:val="both"/>
        <w:rPr>
          <w:rFonts w:ascii="Palatino Linotype" w:hAnsi="Palatino Linotype"/>
          <w:b/>
          <w:i/>
          <w:color w:val="000000" w:themeColor="text1"/>
        </w:rPr>
      </w:pPr>
      <w:r w:rsidRPr="00A97575">
        <w:rPr>
          <w:rFonts w:ascii="Palatino Linotype" w:hAnsi="Palatino Linotype"/>
          <w:b/>
          <w:i/>
          <w:color w:val="000000" w:themeColor="text1"/>
        </w:rPr>
        <w:t>a) De licitaciones públicas o procedimientos de invitación restringida:</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1)</w:t>
      </w:r>
      <w:r w:rsidRPr="00A97575">
        <w:rPr>
          <w:rFonts w:ascii="Palatino Linotype" w:hAnsi="Palatino Linotype"/>
          <w:i/>
          <w:color w:val="000000" w:themeColor="text1"/>
        </w:rPr>
        <w:t xml:space="preserve"> La convocatoria o invitación emitida, así como los fundamentos legales aplicados para llevarla a cabo;</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2)</w:t>
      </w:r>
      <w:r w:rsidRPr="00A97575">
        <w:rPr>
          <w:rFonts w:ascii="Palatino Linotype" w:hAnsi="Palatino Linotype"/>
          <w:i/>
          <w:color w:val="000000" w:themeColor="text1"/>
        </w:rPr>
        <w:t xml:space="preserve"> Los nombres de los participantes o invitados;</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3)</w:t>
      </w:r>
      <w:r w:rsidRPr="00A97575">
        <w:rPr>
          <w:rFonts w:ascii="Palatino Linotype" w:hAnsi="Palatino Linotype"/>
          <w:i/>
          <w:color w:val="000000" w:themeColor="text1"/>
        </w:rPr>
        <w:t xml:space="preserve"> El nombre del ganador y las razones que lo justifican;</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4)</w:t>
      </w:r>
      <w:r w:rsidRPr="00A97575">
        <w:rPr>
          <w:rFonts w:ascii="Palatino Linotype" w:hAnsi="Palatino Linotype"/>
          <w:i/>
          <w:color w:val="000000" w:themeColor="text1"/>
        </w:rPr>
        <w:t xml:space="preserve"> El área solicitante y la responsable de su ejecución;</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5)</w:t>
      </w:r>
      <w:r w:rsidRPr="00A97575">
        <w:rPr>
          <w:rFonts w:ascii="Palatino Linotype" w:hAnsi="Palatino Linotype"/>
          <w:i/>
          <w:color w:val="000000" w:themeColor="text1"/>
        </w:rPr>
        <w:t xml:space="preserve"> Las convocatorias e invitaciones emitidas; </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6)</w:t>
      </w:r>
      <w:r w:rsidRPr="00A97575">
        <w:rPr>
          <w:rFonts w:ascii="Palatino Linotype" w:hAnsi="Palatino Linotype"/>
          <w:i/>
          <w:color w:val="000000" w:themeColor="text1"/>
        </w:rPr>
        <w:t xml:space="preserve"> Los dictámenes y fallo de adjudicación;</w:t>
      </w:r>
    </w:p>
    <w:p w:rsidR="00AA665E" w:rsidRPr="00A97575" w:rsidRDefault="00AA665E" w:rsidP="00A97575">
      <w:pPr>
        <w:tabs>
          <w:tab w:val="left" w:pos="426"/>
        </w:tabs>
        <w:spacing w:line="360" w:lineRule="auto"/>
        <w:ind w:right="-28"/>
        <w:jc w:val="both"/>
        <w:rPr>
          <w:rFonts w:ascii="Palatino Linotype" w:hAnsi="Palatino Linotype"/>
          <w:bCs/>
          <w:i/>
          <w:color w:val="000000" w:themeColor="text1"/>
        </w:rPr>
      </w:pPr>
      <w:r w:rsidRPr="00A97575">
        <w:rPr>
          <w:rFonts w:ascii="Palatino Linotype" w:hAnsi="Palatino Linotype"/>
          <w:b/>
          <w:i/>
          <w:color w:val="000000" w:themeColor="text1"/>
        </w:rPr>
        <w:t xml:space="preserve">7) </w:t>
      </w:r>
      <w:r w:rsidRPr="00A97575">
        <w:rPr>
          <w:rFonts w:ascii="Palatino Linotype" w:hAnsi="Palatino Linotype"/>
          <w:bCs/>
          <w:i/>
          <w:color w:val="000000" w:themeColor="text1"/>
        </w:rPr>
        <w:t xml:space="preserve">El contrato y, en su caso, sus anexos; </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lastRenderedPageBreak/>
        <w:t>8)</w:t>
      </w:r>
      <w:r w:rsidRPr="00A97575">
        <w:rPr>
          <w:rFonts w:ascii="Palatino Linotype" w:hAnsi="Palatino Linotype"/>
          <w:i/>
          <w:color w:val="000000" w:themeColor="text1"/>
        </w:rPr>
        <w:t xml:space="preserve"> Los mecanismos de vigilancia y supervisión, incluyendo en su caso, los estudios de impacto urbano y ambiental, según corresponda;</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9)</w:t>
      </w:r>
      <w:r w:rsidRPr="00A97575">
        <w:rPr>
          <w:rFonts w:ascii="Palatino Linotype" w:hAnsi="Palatino Linotype"/>
          <w:i/>
          <w:color w:val="000000" w:themeColor="text1"/>
        </w:rPr>
        <w:t xml:space="preserve"> La partida presupuestal, de conformidad con el clasificador por objeto del gasto, en el caso de ser aplicable; </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10)</w:t>
      </w:r>
      <w:r w:rsidRPr="00A97575">
        <w:rPr>
          <w:rFonts w:ascii="Palatino Linotype" w:hAnsi="Palatino Linotype"/>
          <w:i/>
          <w:color w:val="000000" w:themeColor="text1"/>
        </w:rPr>
        <w:t xml:space="preserve"> Origen de los recursos especificando si son federales, estatales o municipales, así como el tipo de fondo de participación o aportación respectiva;</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11)</w:t>
      </w:r>
      <w:r w:rsidRPr="00A97575">
        <w:rPr>
          <w:rFonts w:ascii="Palatino Linotype" w:hAnsi="Palatino Linotype"/>
          <w:i/>
          <w:color w:val="000000" w:themeColor="text1"/>
        </w:rPr>
        <w:t xml:space="preserve"> Los convenios modificatorios que, en su caso, sean firmados, precisando el objeto y la fecha de celebración;</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12)</w:t>
      </w:r>
      <w:r w:rsidRPr="00A97575">
        <w:rPr>
          <w:rFonts w:ascii="Palatino Linotype" w:hAnsi="Palatino Linotype"/>
          <w:i/>
          <w:color w:val="000000" w:themeColor="text1"/>
        </w:rPr>
        <w:t xml:space="preserve"> Los informes de avance físico y financiero sobre las obras o servicios contratados; </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13)</w:t>
      </w:r>
      <w:r w:rsidRPr="00A97575">
        <w:rPr>
          <w:rFonts w:ascii="Palatino Linotype" w:hAnsi="Palatino Linotype"/>
          <w:i/>
          <w:color w:val="000000" w:themeColor="text1"/>
        </w:rPr>
        <w:t xml:space="preserve"> El convenio de terminación; </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14)</w:t>
      </w:r>
      <w:r w:rsidRPr="00A97575">
        <w:rPr>
          <w:rFonts w:ascii="Palatino Linotype" w:hAnsi="Palatino Linotype"/>
          <w:i/>
          <w:color w:val="000000" w:themeColor="text1"/>
        </w:rPr>
        <w:t xml:space="preserve"> El finiquito.</w:t>
      </w:r>
    </w:p>
    <w:p w:rsidR="00AA665E" w:rsidRPr="00A97575" w:rsidRDefault="00AA665E" w:rsidP="00A97575">
      <w:pPr>
        <w:tabs>
          <w:tab w:val="left" w:pos="426"/>
        </w:tabs>
        <w:spacing w:line="360" w:lineRule="auto"/>
        <w:ind w:right="-28"/>
        <w:jc w:val="both"/>
        <w:rPr>
          <w:rFonts w:ascii="Palatino Linotype" w:hAnsi="Palatino Linotype"/>
          <w:b/>
          <w:i/>
          <w:color w:val="000000" w:themeColor="text1"/>
        </w:rPr>
      </w:pPr>
      <w:r w:rsidRPr="00A97575">
        <w:rPr>
          <w:rFonts w:ascii="Palatino Linotype" w:hAnsi="Palatino Linotype"/>
          <w:b/>
          <w:i/>
          <w:color w:val="000000" w:themeColor="text1"/>
        </w:rPr>
        <w:t xml:space="preserve">b) De las adjudicaciones directas: </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1)</w:t>
      </w:r>
      <w:r w:rsidRPr="00A97575">
        <w:rPr>
          <w:rFonts w:ascii="Palatino Linotype" w:hAnsi="Palatino Linotype"/>
          <w:i/>
          <w:color w:val="000000" w:themeColor="text1"/>
        </w:rPr>
        <w:t xml:space="preserve"> La propuesta enviada por el participante; </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2)</w:t>
      </w:r>
      <w:r w:rsidRPr="00A97575">
        <w:rPr>
          <w:rFonts w:ascii="Palatino Linotype" w:hAnsi="Palatino Linotype"/>
          <w:i/>
          <w:color w:val="000000" w:themeColor="text1"/>
        </w:rPr>
        <w:t xml:space="preserve"> Los motivos y fundamentos legales aplicados para llevarla a cabo;</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3)</w:t>
      </w:r>
      <w:r w:rsidRPr="00A97575">
        <w:rPr>
          <w:rFonts w:ascii="Palatino Linotype" w:hAnsi="Palatino Linotype"/>
          <w:i/>
          <w:color w:val="000000" w:themeColor="text1"/>
        </w:rPr>
        <w:t xml:space="preserve"> La autorización del ejercicio de la opción; </w:t>
      </w:r>
    </w:p>
    <w:p w:rsidR="00AA665E" w:rsidRPr="00A97575" w:rsidRDefault="00AA665E" w:rsidP="00A97575">
      <w:pPr>
        <w:tabs>
          <w:tab w:val="left" w:pos="426"/>
        </w:tabs>
        <w:spacing w:line="360" w:lineRule="auto"/>
        <w:ind w:right="-28"/>
        <w:jc w:val="both"/>
        <w:rPr>
          <w:rFonts w:ascii="Palatino Linotype" w:hAnsi="Palatino Linotype"/>
          <w:b/>
          <w:i/>
          <w:color w:val="000000" w:themeColor="text1"/>
        </w:rPr>
      </w:pPr>
      <w:r w:rsidRPr="00A97575">
        <w:rPr>
          <w:rFonts w:ascii="Palatino Linotype" w:hAnsi="Palatino Linotype"/>
          <w:b/>
          <w:i/>
          <w:color w:val="000000" w:themeColor="text1"/>
        </w:rPr>
        <w:t xml:space="preserve">4) </w:t>
      </w:r>
      <w:r w:rsidRPr="00A97575">
        <w:rPr>
          <w:rFonts w:ascii="Palatino Linotype" w:hAnsi="Palatino Linotype"/>
          <w:i/>
          <w:color w:val="000000" w:themeColor="text1"/>
        </w:rPr>
        <w:t>En su caso, las cotizaciones consideradas, especificando los nombres de los proveedores y sus montos;</w:t>
      </w:r>
      <w:r w:rsidRPr="00A97575">
        <w:rPr>
          <w:rFonts w:ascii="Palatino Linotype" w:hAnsi="Palatino Linotype"/>
          <w:b/>
          <w:i/>
          <w:color w:val="000000" w:themeColor="text1"/>
        </w:rPr>
        <w:t xml:space="preserve"> </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5)</w:t>
      </w:r>
      <w:r w:rsidRPr="00A97575">
        <w:rPr>
          <w:rFonts w:ascii="Palatino Linotype" w:hAnsi="Palatino Linotype"/>
          <w:i/>
          <w:color w:val="000000" w:themeColor="text1"/>
        </w:rPr>
        <w:t xml:space="preserve"> El nombre de la persona física o jurídica colectiva adjudicada; </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6)</w:t>
      </w:r>
      <w:r w:rsidRPr="00A97575">
        <w:rPr>
          <w:rFonts w:ascii="Palatino Linotype" w:hAnsi="Palatino Linotype"/>
          <w:i/>
          <w:color w:val="000000" w:themeColor="text1"/>
        </w:rPr>
        <w:t xml:space="preserve"> La unidad administrativa solicitante y la responsable de su ejecución; </w:t>
      </w:r>
    </w:p>
    <w:p w:rsidR="00AA665E" w:rsidRPr="00A97575" w:rsidRDefault="00AA665E" w:rsidP="00A97575">
      <w:pPr>
        <w:tabs>
          <w:tab w:val="left" w:pos="426"/>
        </w:tabs>
        <w:spacing w:line="360" w:lineRule="auto"/>
        <w:ind w:right="-28"/>
        <w:jc w:val="both"/>
        <w:rPr>
          <w:rFonts w:ascii="Palatino Linotype" w:hAnsi="Palatino Linotype"/>
          <w:b/>
          <w:i/>
          <w:color w:val="000000" w:themeColor="text1"/>
        </w:rPr>
      </w:pPr>
      <w:r w:rsidRPr="00A97575">
        <w:rPr>
          <w:rFonts w:ascii="Palatino Linotype" w:hAnsi="Palatino Linotype"/>
          <w:b/>
          <w:i/>
          <w:color w:val="000000" w:themeColor="text1"/>
        </w:rPr>
        <w:t xml:space="preserve">7) El número, fecha, el monto del contrato y el plazo de entrega o de ejecución de los servicios u obra; </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8)</w:t>
      </w:r>
      <w:r w:rsidRPr="00A97575">
        <w:rPr>
          <w:rFonts w:ascii="Palatino Linotype" w:hAnsi="Palatino Linotype"/>
          <w:i/>
          <w:color w:val="000000" w:themeColor="text1"/>
        </w:rPr>
        <w:t xml:space="preserve"> Los mecanismos de vigilancia y supervisión, incluyendo, en su caso, los estudios de impacto urbano y ambiental, según corresponda; </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lastRenderedPageBreak/>
        <w:t>9)</w:t>
      </w:r>
      <w:r w:rsidRPr="00A97575">
        <w:rPr>
          <w:rFonts w:ascii="Palatino Linotype" w:hAnsi="Palatino Linotype"/>
          <w:i/>
          <w:color w:val="000000" w:themeColor="text1"/>
        </w:rPr>
        <w:t xml:space="preserve"> Los informes de avance sobre las obras o servicios contratados; </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10)</w:t>
      </w:r>
      <w:r w:rsidRPr="00A97575">
        <w:rPr>
          <w:rFonts w:ascii="Palatino Linotype" w:hAnsi="Palatino Linotype"/>
          <w:i/>
          <w:color w:val="000000" w:themeColor="text1"/>
        </w:rPr>
        <w:t xml:space="preserve"> El convenio de terminación; y </w:t>
      </w:r>
    </w:p>
    <w:p w:rsidR="00AA665E" w:rsidRPr="00A97575" w:rsidRDefault="00AA665E" w:rsidP="00A97575">
      <w:pPr>
        <w:tabs>
          <w:tab w:val="left" w:pos="426"/>
        </w:tabs>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11)</w:t>
      </w:r>
      <w:r w:rsidRPr="00A97575">
        <w:rPr>
          <w:rFonts w:ascii="Palatino Linotype" w:hAnsi="Palatino Linotype"/>
          <w:i/>
          <w:color w:val="000000" w:themeColor="text1"/>
        </w:rPr>
        <w:t xml:space="preserve"> El finiquito;”</w:t>
      </w:r>
    </w:p>
    <w:p w:rsidR="006071E1" w:rsidRPr="00A97575" w:rsidRDefault="006071E1" w:rsidP="00A97575">
      <w:pPr>
        <w:tabs>
          <w:tab w:val="left" w:pos="426"/>
        </w:tabs>
        <w:spacing w:line="360" w:lineRule="auto"/>
        <w:ind w:right="-28"/>
        <w:jc w:val="both"/>
        <w:rPr>
          <w:rFonts w:ascii="Palatino Linotype" w:hAnsi="Palatino Linotype"/>
          <w:i/>
          <w:color w:val="000000" w:themeColor="text1"/>
        </w:rPr>
      </w:pPr>
    </w:p>
    <w:p w:rsidR="00AA665E" w:rsidRPr="00A97575" w:rsidRDefault="00AA665E" w:rsidP="00A97575">
      <w:pPr>
        <w:numPr>
          <w:ilvl w:val="0"/>
          <w:numId w:val="2"/>
        </w:numPr>
        <w:spacing w:line="360" w:lineRule="auto"/>
        <w:ind w:left="0" w:right="-28" w:firstLine="0"/>
        <w:jc w:val="both"/>
        <w:rPr>
          <w:rFonts w:ascii="Palatino Linotype" w:hAnsi="Palatino Linotype" w:cs="Arial"/>
          <w:bCs/>
          <w:color w:val="000000" w:themeColor="text1"/>
        </w:rPr>
      </w:pPr>
      <w:r w:rsidRPr="00A97575">
        <w:rPr>
          <w:rFonts w:ascii="Palatino Linotype" w:hAnsi="Palatino Linotype" w:cs="Arial"/>
          <w:bCs/>
          <w:color w:val="000000" w:themeColor="text1"/>
        </w:rPr>
        <w:t xml:space="preserve">Por ende, de acuerdo a los </w:t>
      </w:r>
      <w:r w:rsidRPr="00A97575">
        <w:rPr>
          <w:rFonts w:ascii="Palatino Linotype" w:hAnsi="Palatino Linotype" w:cs="Arial"/>
          <w:bCs/>
          <w:i/>
          <w:iCs/>
          <w:color w:val="000000" w:themeColor="text1"/>
        </w:rPr>
        <w:t xml:space="preserve">Lineamientos Técnicos Generales para la publicación, homologación y </w:t>
      </w:r>
      <w:r w:rsidRPr="00A97575">
        <w:rPr>
          <w:rFonts w:ascii="Palatino Linotype" w:eastAsia="Palatino Linotype" w:hAnsi="Palatino Linotype" w:cs="Palatino Linotype"/>
          <w:i/>
          <w:color w:val="000000" w:themeColor="text1"/>
        </w:rPr>
        <w:t>estandarización</w:t>
      </w:r>
      <w:r w:rsidRPr="00A97575">
        <w:rPr>
          <w:rFonts w:ascii="Palatino Linotype" w:hAnsi="Palatino Linotype" w:cs="Arial"/>
          <w:bCs/>
          <w:i/>
          <w:iCs/>
          <w:color w:val="000000" w:themeColor="text1"/>
        </w:rPr>
        <w:t xml:space="preserve"> de la información de las obligaciones establecidas en el título quinto y en la fracción IV del artículo 31 de la Ley General de Transparencia y Acceso a la Información Pública</w:t>
      </w:r>
      <w:r w:rsidRPr="00A97575">
        <w:rPr>
          <w:rFonts w:ascii="Palatino Linotype" w:hAnsi="Palatino Linotype" w:cs="Arial"/>
          <w:bCs/>
          <w:color w:val="000000" w:themeColor="text1"/>
        </w:rPr>
        <w:t xml:space="preserve">, que deben de difundir los sujetos obligados en los portales de Internet y en la Plataforma Nacional de Transparencia, para el cumplimiento de la obligación de transparencia señalada en el artículo 70  fracción XXVIII de la </w:t>
      </w:r>
      <w:r w:rsidRPr="00A97575">
        <w:rPr>
          <w:rFonts w:ascii="Palatino Linotype" w:hAnsi="Palatino Linotype" w:cs="Arial"/>
          <w:bCs/>
          <w:i/>
          <w:iCs/>
          <w:color w:val="000000" w:themeColor="text1"/>
        </w:rPr>
        <w:t>Ley General de Transparencia y Acceso a la Información Pública</w:t>
      </w:r>
      <w:r w:rsidRPr="00A97575">
        <w:rPr>
          <w:rFonts w:ascii="Palatino Linotype" w:hAnsi="Palatino Linotype" w:cs="Arial"/>
          <w:bCs/>
          <w:color w:val="000000" w:themeColor="text1"/>
        </w:rPr>
        <w:t xml:space="preserve">, los sujetos obligados deben publicar información sobre los actos, contratos y convenios celebrados, misma que </w:t>
      </w:r>
      <w:r w:rsidRPr="00A97575">
        <w:rPr>
          <w:rFonts w:ascii="Palatino Linotype" w:hAnsi="Palatino Linotype" w:cs="Arial"/>
          <w:b/>
          <w:color w:val="000000" w:themeColor="text1"/>
        </w:rPr>
        <w:t>debe presentarse en una base de datos en la que cada registro se hará por tipo de procedimiento, ya sea licitación pública, invitación restringida o adjudicación directa,</w:t>
      </w:r>
      <w:r w:rsidRPr="00A97575">
        <w:rPr>
          <w:rFonts w:ascii="Palatino Linotype" w:hAnsi="Palatino Linotype" w:cs="Arial"/>
          <w:bCs/>
          <w:color w:val="000000" w:themeColor="text1"/>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rsidR="006071E1" w:rsidRPr="00A97575" w:rsidRDefault="006071E1" w:rsidP="00A97575">
      <w:pPr>
        <w:spacing w:line="360" w:lineRule="auto"/>
        <w:ind w:right="-28"/>
        <w:jc w:val="both"/>
        <w:rPr>
          <w:rFonts w:ascii="Palatino Linotype" w:hAnsi="Palatino Linotype" w:cs="Arial"/>
          <w:bCs/>
          <w:color w:val="000000" w:themeColor="text1"/>
        </w:rPr>
      </w:pPr>
    </w:p>
    <w:p w:rsidR="00AA665E" w:rsidRPr="00A97575" w:rsidRDefault="00AA665E" w:rsidP="00A97575">
      <w:pPr>
        <w:numPr>
          <w:ilvl w:val="0"/>
          <w:numId w:val="2"/>
        </w:numPr>
        <w:spacing w:line="360" w:lineRule="auto"/>
        <w:ind w:left="0" w:right="-28" w:firstLine="0"/>
        <w:jc w:val="both"/>
        <w:rPr>
          <w:rFonts w:ascii="Palatino Linotype" w:hAnsi="Palatino Linotype"/>
          <w:color w:val="000000" w:themeColor="text1"/>
        </w:rPr>
      </w:pPr>
      <w:r w:rsidRPr="00A97575">
        <w:rPr>
          <w:rFonts w:ascii="Palatino Linotype" w:hAnsi="Palatino Linotype" w:cs="Arial"/>
          <w:color w:val="000000" w:themeColor="text1"/>
        </w:rPr>
        <w:lastRenderedPageBreak/>
        <w:t xml:space="preserve">En este sentido, se visualiza que la información requerida por el particular versa sobre una </w:t>
      </w:r>
      <w:r w:rsidRPr="00A97575">
        <w:rPr>
          <w:rFonts w:ascii="Palatino Linotype" w:hAnsi="Palatino Linotype" w:cs="Arial"/>
          <w:bCs/>
          <w:color w:val="000000" w:themeColor="text1"/>
        </w:rPr>
        <w:t>obligación</w:t>
      </w:r>
      <w:r w:rsidRPr="00A97575">
        <w:rPr>
          <w:rFonts w:ascii="Palatino Linotype" w:hAnsi="Palatino Linotype" w:cs="Arial"/>
          <w:color w:val="000000" w:themeColor="text1"/>
        </w:rPr>
        <w:t xml:space="preserve"> de transparencia de oficio, y que por tal motivo </w:t>
      </w:r>
      <w:r w:rsidR="004736C8" w:rsidRPr="00A97575">
        <w:rPr>
          <w:rFonts w:ascii="Palatino Linotype" w:hAnsi="Palatino Linotype" w:cs="Arial"/>
          <w:color w:val="000000" w:themeColor="text1"/>
        </w:rPr>
        <w:t xml:space="preserve">EL </w:t>
      </w:r>
      <w:r w:rsidR="004736C8" w:rsidRPr="00A97575">
        <w:rPr>
          <w:rFonts w:ascii="Palatino Linotype" w:hAnsi="Palatino Linotype" w:cs="Arial"/>
          <w:b/>
          <w:bCs/>
          <w:color w:val="000000" w:themeColor="text1"/>
        </w:rPr>
        <w:t>SUJETO OBLIGADO</w:t>
      </w:r>
      <w:r w:rsidRPr="00A97575">
        <w:rPr>
          <w:rFonts w:ascii="Palatino Linotype" w:hAnsi="Palatino Linotype" w:cs="Arial"/>
          <w:color w:val="000000" w:themeColor="text1"/>
        </w:rPr>
        <w:t xml:space="preserve"> se encuentra constreñido a poner a disposición del público dicha información, de manera permanente y actualizada a través de los portales de internet y en la Plataforma Nacional de Trasparencia, no obstante, </w:t>
      </w:r>
      <w:r w:rsidRPr="00A97575">
        <w:rPr>
          <w:rFonts w:ascii="Palatino Linotype" w:hAnsi="Palatino Linotype"/>
          <w:color w:val="000000" w:themeColor="text1"/>
        </w:rPr>
        <w:t>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rsidR="00AA665E" w:rsidRPr="00A97575" w:rsidRDefault="00AA665E" w:rsidP="00A97575">
      <w:pPr>
        <w:autoSpaceDE w:val="0"/>
        <w:autoSpaceDN w:val="0"/>
        <w:adjustRightInd w:val="0"/>
        <w:spacing w:line="360" w:lineRule="auto"/>
        <w:ind w:right="-28"/>
        <w:jc w:val="both"/>
        <w:rPr>
          <w:rFonts w:ascii="Palatino Linotype" w:hAnsi="Palatino Linotype"/>
          <w:i/>
          <w:color w:val="000000" w:themeColor="text1"/>
        </w:rPr>
      </w:pPr>
      <w:r w:rsidRPr="00A97575">
        <w:rPr>
          <w:rFonts w:ascii="Palatino Linotype" w:hAnsi="Palatino Linotype"/>
          <w:i/>
          <w:color w:val="000000" w:themeColor="text1"/>
        </w:rPr>
        <w:t>“</w:t>
      </w:r>
      <w:r w:rsidRPr="00A97575">
        <w:rPr>
          <w:rFonts w:ascii="Palatino Linotype" w:hAnsi="Palatino Linotype"/>
          <w:b/>
          <w:i/>
          <w:color w:val="000000" w:themeColor="text1"/>
        </w:rPr>
        <w:t>Artículo 18.</w:t>
      </w:r>
      <w:r w:rsidRPr="00A97575">
        <w:rPr>
          <w:rFonts w:ascii="Palatino Linotype" w:hAnsi="Palatino Linotype"/>
          <w:i/>
          <w:color w:val="000000" w:themeColor="text1"/>
        </w:rPr>
        <w:t xml:space="preserve"> Los sujetos obligados </w:t>
      </w:r>
      <w:r w:rsidRPr="00A97575">
        <w:rPr>
          <w:rFonts w:ascii="Palatino Linotype" w:hAnsi="Palatino Linotype"/>
          <w:b/>
          <w:i/>
          <w:color w:val="000000" w:themeColor="text1"/>
        </w:rPr>
        <w:t>deberán documentar todo acto</w:t>
      </w:r>
      <w:r w:rsidRPr="00A97575">
        <w:rPr>
          <w:rFonts w:ascii="Palatino Linotype" w:hAnsi="Palatino Linotype"/>
          <w:i/>
          <w:color w:val="000000" w:themeColor="text1"/>
        </w:rPr>
        <w:t xml:space="preserve"> </w:t>
      </w:r>
      <w:r w:rsidRPr="00A97575">
        <w:rPr>
          <w:rFonts w:ascii="Palatino Linotype" w:hAnsi="Palatino Linotype"/>
          <w:b/>
          <w:i/>
          <w:color w:val="000000" w:themeColor="text1"/>
        </w:rPr>
        <w:t>que derive del ejercicio de sus facultades, competencias o funciones</w:t>
      </w:r>
      <w:r w:rsidRPr="00A97575">
        <w:rPr>
          <w:rFonts w:ascii="Palatino Linotype" w:hAnsi="Palatino Linotype"/>
          <w:i/>
          <w:color w:val="000000" w:themeColor="text1"/>
        </w:rPr>
        <w:t>, considerando desde su origen la eventual publicidad y reutilización de la información que generen.</w:t>
      </w:r>
    </w:p>
    <w:p w:rsidR="00AA665E" w:rsidRPr="00A97575" w:rsidRDefault="00AA665E" w:rsidP="00A97575">
      <w:pPr>
        <w:autoSpaceDE w:val="0"/>
        <w:autoSpaceDN w:val="0"/>
        <w:adjustRightInd w:val="0"/>
        <w:spacing w:line="360" w:lineRule="auto"/>
        <w:ind w:right="-28"/>
        <w:jc w:val="both"/>
        <w:rPr>
          <w:rFonts w:ascii="Palatino Linotype" w:hAnsi="Palatino Linotype"/>
          <w:i/>
          <w:color w:val="000000" w:themeColor="text1"/>
        </w:rPr>
      </w:pPr>
      <w:r w:rsidRPr="00A97575">
        <w:rPr>
          <w:rFonts w:ascii="Palatino Linotype" w:hAnsi="Palatino Linotype"/>
          <w:i/>
          <w:color w:val="000000" w:themeColor="text1"/>
        </w:rPr>
        <w:t>(…)</w:t>
      </w:r>
    </w:p>
    <w:p w:rsidR="00AA665E" w:rsidRPr="00A97575" w:rsidRDefault="00AA665E" w:rsidP="00A97575">
      <w:pPr>
        <w:autoSpaceDE w:val="0"/>
        <w:autoSpaceDN w:val="0"/>
        <w:adjustRightInd w:val="0"/>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Artículo 24.</w:t>
      </w:r>
      <w:r w:rsidRPr="00A97575">
        <w:rPr>
          <w:rFonts w:ascii="Palatino Linotype" w:hAnsi="Palatino Linotype"/>
          <w:i/>
          <w:color w:val="000000" w:themeColor="text1"/>
        </w:rPr>
        <w:t xml:space="preserve"> Para el cumplimiento de los objetivos de esta Ley</w:t>
      </w:r>
      <w:r w:rsidRPr="00A97575">
        <w:rPr>
          <w:rFonts w:ascii="Palatino Linotype" w:hAnsi="Palatino Linotype"/>
          <w:b/>
          <w:i/>
          <w:color w:val="000000" w:themeColor="text1"/>
        </w:rPr>
        <w:t>, los sujetos obligados deberán cumplir con las siguientes obligaciones</w:t>
      </w:r>
      <w:r w:rsidRPr="00A97575">
        <w:rPr>
          <w:rFonts w:ascii="Palatino Linotype" w:hAnsi="Palatino Linotype"/>
          <w:i/>
          <w:color w:val="000000" w:themeColor="text1"/>
        </w:rPr>
        <w:t>, según corresponda, de acuerdo a su naturaleza:</w:t>
      </w:r>
    </w:p>
    <w:p w:rsidR="00AA665E" w:rsidRPr="00A97575" w:rsidRDefault="00AA665E" w:rsidP="00A97575">
      <w:pPr>
        <w:autoSpaceDE w:val="0"/>
        <w:autoSpaceDN w:val="0"/>
        <w:adjustRightInd w:val="0"/>
        <w:spacing w:line="360" w:lineRule="auto"/>
        <w:ind w:right="-28"/>
        <w:jc w:val="both"/>
        <w:rPr>
          <w:rFonts w:ascii="Palatino Linotype" w:hAnsi="Palatino Linotype"/>
          <w:i/>
          <w:color w:val="000000" w:themeColor="text1"/>
        </w:rPr>
      </w:pPr>
      <w:r w:rsidRPr="00A97575">
        <w:rPr>
          <w:rFonts w:ascii="Palatino Linotype" w:hAnsi="Palatino Linotype"/>
          <w:i/>
          <w:color w:val="000000" w:themeColor="text1"/>
        </w:rPr>
        <w:t>(…)</w:t>
      </w:r>
    </w:p>
    <w:p w:rsidR="00AA665E" w:rsidRPr="00A97575" w:rsidRDefault="00AA665E" w:rsidP="00A97575">
      <w:pPr>
        <w:autoSpaceDE w:val="0"/>
        <w:autoSpaceDN w:val="0"/>
        <w:adjustRightInd w:val="0"/>
        <w:spacing w:line="360" w:lineRule="auto"/>
        <w:ind w:right="-28"/>
        <w:jc w:val="both"/>
        <w:rPr>
          <w:rFonts w:ascii="Palatino Linotype" w:hAnsi="Palatino Linotype"/>
          <w:i/>
          <w:color w:val="000000" w:themeColor="text1"/>
        </w:rPr>
      </w:pPr>
      <w:r w:rsidRPr="00A97575">
        <w:rPr>
          <w:rFonts w:ascii="Palatino Linotype" w:hAnsi="Palatino Linotype"/>
          <w:b/>
          <w:i/>
          <w:color w:val="000000" w:themeColor="text1"/>
        </w:rPr>
        <w:t>XXII.</w:t>
      </w:r>
      <w:r w:rsidRPr="00A97575">
        <w:rPr>
          <w:rFonts w:ascii="Palatino Linotype" w:hAnsi="Palatino Linotype"/>
          <w:i/>
          <w:color w:val="000000" w:themeColor="text1"/>
        </w:rPr>
        <w:t xml:space="preserve"> </w:t>
      </w:r>
      <w:r w:rsidRPr="00A97575">
        <w:rPr>
          <w:rFonts w:ascii="Palatino Linotype" w:hAnsi="Palatino Linotype"/>
          <w:b/>
          <w:i/>
          <w:color w:val="000000" w:themeColor="text1"/>
        </w:rPr>
        <w:t>Documentar todo acto que derive del ejercicio de sus facultades, competencias o funciones</w:t>
      </w:r>
      <w:r w:rsidRPr="00A97575">
        <w:rPr>
          <w:rFonts w:ascii="Palatino Linotype" w:hAnsi="Palatino Linotype"/>
          <w:i/>
          <w:color w:val="000000" w:themeColor="text1"/>
        </w:rPr>
        <w:t xml:space="preserve"> y abstenerse de destruirlos u ocultarlos, dentro de los que destacan los procesos deliberativos y de decisión definitiva;”</w:t>
      </w:r>
    </w:p>
    <w:p w:rsidR="006071E1" w:rsidRPr="00A97575" w:rsidRDefault="006071E1" w:rsidP="00A97575">
      <w:pPr>
        <w:autoSpaceDE w:val="0"/>
        <w:autoSpaceDN w:val="0"/>
        <w:adjustRightInd w:val="0"/>
        <w:spacing w:line="360" w:lineRule="auto"/>
        <w:ind w:right="-28"/>
        <w:jc w:val="both"/>
        <w:rPr>
          <w:rFonts w:ascii="Palatino Linotype" w:hAnsi="Palatino Linotype"/>
          <w:i/>
          <w:color w:val="000000" w:themeColor="text1"/>
        </w:rPr>
      </w:pPr>
    </w:p>
    <w:p w:rsidR="006102AA" w:rsidRPr="00A97575" w:rsidRDefault="006102AA" w:rsidP="00A97575">
      <w:pPr>
        <w:numPr>
          <w:ilvl w:val="0"/>
          <w:numId w:val="2"/>
        </w:numPr>
        <w:spacing w:line="360" w:lineRule="auto"/>
        <w:ind w:left="0" w:right="-28" w:firstLine="0"/>
        <w:jc w:val="both"/>
        <w:rPr>
          <w:rFonts w:ascii="Palatino Linotype" w:eastAsia="Calibri" w:hAnsi="Palatino Linotype"/>
          <w:bCs/>
          <w:color w:val="000000" w:themeColor="text1"/>
          <w:lang w:eastAsia="en-US"/>
        </w:rPr>
      </w:pPr>
      <w:r w:rsidRPr="00A97575">
        <w:rPr>
          <w:rFonts w:ascii="Palatino Linotype" w:eastAsia="Calibri" w:hAnsi="Palatino Linotype"/>
          <w:bCs/>
          <w:color w:val="000000" w:themeColor="text1"/>
          <w:lang w:eastAsia="en-US"/>
        </w:rPr>
        <w:lastRenderedPageBreak/>
        <w:t xml:space="preserve">Luego entonces es que resulta dable ordenar la totalidad de los expedientes; mismos que conforme a lo plasmado se advierte que contienen la justificación técnica, autorizaciones, y documentación soporte; documentos que fueran </w:t>
      </w:r>
      <w:r w:rsidRPr="00A97575">
        <w:rPr>
          <w:rFonts w:ascii="Palatino Linotype" w:eastAsia="Palatino Linotype" w:hAnsi="Palatino Linotype" w:cs="Palatino Linotype"/>
          <w:color w:val="000000" w:themeColor="text1"/>
        </w:rPr>
        <w:t>requeridos</w:t>
      </w:r>
      <w:r w:rsidRPr="00A97575">
        <w:rPr>
          <w:rFonts w:ascii="Palatino Linotype" w:eastAsia="Calibri" w:hAnsi="Palatino Linotype"/>
          <w:bCs/>
          <w:color w:val="000000" w:themeColor="text1"/>
          <w:lang w:eastAsia="en-US"/>
        </w:rPr>
        <w:t xml:space="preserve"> pero resulta innecesarios ordenarlos de manera apartada, por obrar en el expediente, por lo que sobra mencionar que estas documentales deberán ser remitidas.</w:t>
      </w:r>
    </w:p>
    <w:p w:rsidR="006102AA" w:rsidRPr="00A97575" w:rsidRDefault="006102AA" w:rsidP="00A97575">
      <w:pPr>
        <w:spacing w:line="360" w:lineRule="auto"/>
        <w:ind w:right="-28"/>
        <w:jc w:val="both"/>
        <w:rPr>
          <w:rFonts w:ascii="Palatino Linotype" w:eastAsia="Calibri" w:hAnsi="Palatino Linotype"/>
          <w:bCs/>
          <w:color w:val="000000" w:themeColor="text1"/>
          <w:lang w:eastAsia="en-US"/>
        </w:rPr>
      </w:pPr>
    </w:p>
    <w:p w:rsidR="003D779D" w:rsidRPr="00A97575" w:rsidRDefault="00A310FB" w:rsidP="00A97575">
      <w:pPr>
        <w:numPr>
          <w:ilvl w:val="0"/>
          <w:numId w:val="2"/>
        </w:numPr>
        <w:spacing w:line="360" w:lineRule="auto"/>
        <w:ind w:left="0" w:right="-28" w:firstLine="0"/>
        <w:jc w:val="both"/>
        <w:rPr>
          <w:rFonts w:ascii="Palatino Linotype" w:eastAsia="Calibri" w:hAnsi="Palatino Linotype"/>
          <w:bCs/>
          <w:color w:val="000000" w:themeColor="text1"/>
          <w:lang w:eastAsia="en-US"/>
        </w:rPr>
      </w:pPr>
      <w:r w:rsidRPr="00A97575">
        <w:rPr>
          <w:rFonts w:ascii="Palatino Linotype" w:eastAsia="Palatino Linotype" w:hAnsi="Palatino Linotype" w:cs="Palatino Linotype"/>
          <w:color w:val="000000" w:themeColor="text1"/>
        </w:rPr>
        <w:t xml:space="preserve">Por otro lado, respecto </w:t>
      </w:r>
      <w:r w:rsidR="005E5020" w:rsidRPr="00A97575">
        <w:rPr>
          <w:rFonts w:ascii="Palatino Linotype" w:eastAsia="Palatino Linotype" w:hAnsi="Palatino Linotype" w:cs="Palatino Linotype"/>
          <w:color w:val="000000" w:themeColor="text1"/>
        </w:rPr>
        <w:t>de las facturas de proveedores</w:t>
      </w:r>
      <w:r w:rsidR="003D779D" w:rsidRPr="00A97575">
        <w:rPr>
          <w:rFonts w:ascii="Palatino Linotype" w:eastAsia="Palatino Linotype" w:hAnsi="Palatino Linotype" w:cs="Palatino Linotype"/>
          <w:color w:val="000000" w:themeColor="text1"/>
        </w:rPr>
        <w:t xml:space="preserve">, es de señalar </w:t>
      </w:r>
      <w:r w:rsidR="003D779D" w:rsidRPr="00A97575">
        <w:rPr>
          <w:rFonts w:ascii="Palatino Linotype" w:eastAsia="Calibri" w:hAnsi="Palatino Linotype"/>
          <w:bCs/>
          <w:color w:val="000000" w:themeColor="text1"/>
          <w:lang w:eastAsia="en-US"/>
        </w:rPr>
        <w:t>los Lineamientos para la Integración y Entrega del Informe Trimestral Municipal, dos mil veintidós, uno de los ejercicios fiscales solicitado</w:t>
      </w:r>
      <w:r w:rsidR="004736C8" w:rsidRPr="00A97575">
        <w:rPr>
          <w:rFonts w:ascii="Palatino Linotype" w:eastAsia="Calibri" w:hAnsi="Palatino Linotype"/>
          <w:bCs/>
          <w:color w:val="000000" w:themeColor="text1"/>
          <w:lang w:eastAsia="en-US"/>
        </w:rPr>
        <w:t>;</w:t>
      </w:r>
      <w:r w:rsidR="003D779D" w:rsidRPr="00A97575">
        <w:rPr>
          <w:rFonts w:ascii="Palatino Linotype" w:eastAsia="Calibri" w:hAnsi="Palatino Linotype"/>
          <w:bCs/>
          <w:color w:val="000000" w:themeColor="text1"/>
          <w:lang w:eastAsia="en-US"/>
        </w:rPr>
        <w:t xml:space="preserve"> entre los </w:t>
      </w:r>
      <w:r w:rsidR="003D779D" w:rsidRPr="00A97575">
        <w:rPr>
          <w:rFonts w:ascii="Palatino Linotype" w:hAnsi="Palatino Linotype" w:cs="Arial"/>
          <w:color w:val="000000" w:themeColor="text1"/>
        </w:rPr>
        <w:t>formatos</w:t>
      </w:r>
      <w:r w:rsidR="003D779D" w:rsidRPr="00A97575">
        <w:rPr>
          <w:rFonts w:ascii="Palatino Linotype" w:eastAsia="Calibri" w:hAnsi="Palatino Linotype"/>
          <w:bCs/>
          <w:color w:val="000000" w:themeColor="text1"/>
          <w:lang w:eastAsia="en-US"/>
        </w:rPr>
        <w:t xml:space="preserve"> que maneja en el </w:t>
      </w:r>
      <w:r w:rsidR="003D779D" w:rsidRPr="00A97575">
        <w:rPr>
          <w:rFonts w:ascii="Palatino Linotype" w:eastAsia="Calibri" w:hAnsi="Palatino Linotype"/>
          <w:b/>
          <w:bCs/>
          <w:color w:val="000000" w:themeColor="text1"/>
          <w:lang w:eastAsia="en-US"/>
        </w:rPr>
        <w:t>Módulo 1</w:t>
      </w:r>
      <w:r w:rsidR="003D779D" w:rsidRPr="00A97575">
        <w:rPr>
          <w:rFonts w:ascii="Palatino Linotype" w:eastAsia="Calibri" w:hAnsi="Palatino Linotype"/>
          <w:bCs/>
          <w:color w:val="000000" w:themeColor="text1"/>
          <w:lang w:eastAsia="en-US"/>
        </w:rPr>
        <w:t>, se advierte que se encuentran Póliza de Egresos y Póliza Cheque, con los documentos comprobatorios, mismos que serán entregados al Órgano Superior de Fiscalización del Estado de México.</w:t>
      </w:r>
    </w:p>
    <w:p w:rsidR="006102AA" w:rsidRPr="00A97575" w:rsidRDefault="006102AA" w:rsidP="00A97575">
      <w:pPr>
        <w:pStyle w:val="Prrafodelista"/>
        <w:ind w:left="0" w:right="-28"/>
        <w:rPr>
          <w:rFonts w:ascii="Palatino Linotype" w:eastAsia="Calibri" w:hAnsi="Palatino Linotype"/>
          <w:bCs/>
          <w:color w:val="000000" w:themeColor="text1"/>
          <w:lang w:eastAsia="en-US"/>
        </w:rPr>
      </w:pPr>
    </w:p>
    <w:p w:rsidR="003D779D" w:rsidRPr="00A97575" w:rsidRDefault="003D779D" w:rsidP="00A97575">
      <w:pPr>
        <w:numPr>
          <w:ilvl w:val="0"/>
          <w:numId w:val="2"/>
        </w:numPr>
        <w:spacing w:line="360" w:lineRule="auto"/>
        <w:ind w:left="0" w:right="-28" w:firstLine="0"/>
        <w:jc w:val="both"/>
        <w:rPr>
          <w:rFonts w:ascii="Palatino Linotype" w:eastAsia="Calibri" w:hAnsi="Palatino Linotype"/>
          <w:bCs/>
          <w:color w:val="000000" w:themeColor="text1"/>
          <w:lang w:eastAsia="en-US"/>
        </w:rPr>
      </w:pPr>
      <w:r w:rsidRPr="00A97575">
        <w:rPr>
          <w:rFonts w:ascii="Palatino Linotype" w:eastAsia="Calibri" w:hAnsi="Palatino Linotype"/>
          <w:bCs/>
          <w:color w:val="000000" w:themeColor="text1"/>
          <w:lang w:eastAsia="en-US"/>
        </w:rPr>
        <w:t>Además</w:t>
      </w:r>
      <w:r w:rsidRPr="00A97575">
        <w:rPr>
          <w:rFonts w:ascii="Palatino Linotype" w:eastAsia="Calibri" w:hAnsi="Palatino Linotype"/>
          <w:b/>
          <w:bCs/>
          <w:color w:val="000000" w:themeColor="text1"/>
          <w:lang w:eastAsia="en-US"/>
        </w:rPr>
        <w:t xml:space="preserve">, </w:t>
      </w:r>
      <w:r w:rsidRPr="00A97575">
        <w:rPr>
          <w:rFonts w:ascii="Palatino Linotype" w:eastAsia="Calibri" w:hAnsi="Palatino Linotype"/>
          <w:bCs/>
          <w:color w:val="000000" w:themeColor="text1"/>
          <w:lang w:eastAsia="en-US"/>
        </w:rPr>
        <w:t xml:space="preserve">se precisa que dichos documentos deberán contener las imágenes de la documentación comprobatoria y justificativa de los egresos y de las respectivas pólizas, los cuales incluyen los Comprobantes Fiscales Digitales por Internet o facturas y los costos generados por la adquisición de productos o servicios. </w:t>
      </w:r>
    </w:p>
    <w:p w:rsidR="003D779D" w:rsidRPr="00A97575" w:rsidRDefault="003D779D" w:rsidP="00A97575">
      <w:pPr>
        <w:pStyle w:val="Prrafodelista"/>
        <w:spacing w:line="360" w:lineRule="auto"/>
        <w:ind w:left="0" w:right="-28"/>
        <w:jc w:val="both"/>
        <w:rPr>
          <w:rFonts w:ascii="Palatino Linotype" w:eastAsia="Calibri" w:hAnsi="Palatino Linotype"/>
          <w:bCs/>
          <w:color w:val="000000" w:themeColor="text1"/>
          <w:lang w:eastAsia="en-US"/>
        </w:rPr>
      </w:pPr>
    </w:p>
    <w:p w:rsidR="004736C8" w:rsidRPr="005D3D33" w:rsidRDefault="004736C8" w:rsidP="00A97575">
      <w:pPr>
        <w:numPr>
          <w:ilvl w:val="0"/>
          <w:numId w:val="2"/>
        </w:numPr>
        <w:spacing w:line="360" w:lineRule="auto"/>
        <w:ind w:left="0" w:right="-28" w:firstLine="0"/>
        <w:jc w:val="both"/>
        <w:rPr>
          <w:rFonts w:ascii="Palatino Linotype" w:hAnsi="Palatino Linotype" w:cs="Arial"/>
          <w:color w:val="000000" w:themeColor="text1"/>
        </w:rPr>
      </w:pPr>
      <w:r w:rsidRPr="00A97575">
        <w:rPr>
          <w:rFonts w:ascii="Palatino Linotype" w:hAnsi="Palatino Linotype" w:cs="Arial"/>
          <w:color w:val="000000" w:themeColor="text1"/>
        </w:rPr>
        <w:t xml:space="preserve">Cabe destacar, que el ordenamiento legal en cita establece que todo registro contable y presupuestal deberá estar soportado con los </w:t>
      </w:r>
      <w:r w:rsidRPr="00A97575">
        <w:rPr>
          <w:rFonts w:ascii="Palatino Linotype" w:hAnsi="Palatino Linotype" w:cs="Arial"/>
          <w:b/>
          <w:color w:val="000000" w:themeColor="text1"/>
        </w:rPr>
        <w:t xml:space="preserve">documentos comprobatorios originales, </w:t>
      </w:r>
      <w:r w:rsidRPr="00A97575">
        <w:rPr>
          <w:rFonts w:ascii="Palatino Linotype" w:eastAsia="Calibri" w:hAnsi="Palatino Linotype"/>
          <w:b/>
          <w:bCs/>
          <w:color w:val="000000" w:themeColor="text1"/>
          <w:lang w:eastAsia="en-US"/>
        </w:rPr>
        <w:t>copias</w:t>
      </w:r>
      <w:r w:rsidRPr="00A97575">
        <w:rPr>
          <w:rFonts w:ascii="Palatino Linotype" w:hAnsi="Palatino Linotype" w:cs="Arial"/>
          <w:b/>
          <w:color w:val="000000" w:themeColor="text1"/>
        </w:rPr>
        <w:t xml:space="preserve"> certificadas o en medios electrónicos, según corresponda, como lo son las facturas o comprobantes fiscales digitales por internet, los que deberán permanecer en custodia y conservación de la Tesorería.</w:t>
      </w:r>
    </w:p>
    <w:p w:rsidR="005D3D33" w:rsidRPr="00A97575" w:rsidRDefault="005D3D33" w:rsidP="005D3D33">
      <w:pPr>
        <w:spacing w:line="360" w:lineRule="auto"/>
        <w:ind w:right="-28"/>
        <w:jc w:val="both"/>
        <w:rPr>
          <w:rFonts w:ascii="Palatino Linotype" w:hAnsi="Palatino Linotype" w:cs="Arial"/>
          <w:color w:val="000000" w:themeColor="text1"/>
        </w:rPr>
      </w:pPr>
    </w:p>
    <w:p w:rsidR="004736C8" w:rsidRPr="00A97575" w:rsidRDefault="004736C8" w:rsidP="00A97575">
      <w:pPr>
        <w:numPr>
          <w:ilvl w:val="0"/>
          <w:numId w:val="2"/>
        </w:numPr>
        <w:spacing w:line="360" w:lineRule="auto"/>
        <w:ind w:left="0" w:right="-28" w:firstLine="0"/>
        <w:jc w:val="both"/>
        <w:rPr>
          <w:rFonts w:ascii="Palatino Linotype" w:hAnsi="Palatino Linotype" w:cs="Arial"/>
          <w:color w:val="000000" w:themeColor="text1"/>
        </w:rPr>
      </w:pPr>
      <w:r w:rsidRPr="00A97575">
        <w:rPr>
          <w:rFonts w:ascii="Palatino Linotype" w:hAnsi="Palatino Linotype" w:cs="Arial"/>
          <w:color w:val="000000" w:themeColor="text1"/>
        </w:rPr>
        <w:lastRenderedPageBreak/>
        <w:t xml:space="preserve">Por otro lado también es de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4736C8" w:rsidRPr="00A97575" w:rsidRDefault="004736C8" w:rsidP="00A97575">
      <w:pPr>
        <w:spacing w:line="360" w:lineRule="auto"/>
        <w:ind w:right="-28"/>
        <w:contextualSpacing/>
        <w:jc w:val="both"/>
        <w:rPr>
          <w:rFonts w:ascii="Palatino Linotype" w:eastAsia="Arial Unicode MS" w:hAnsi="Palatino Linotype"/>
          <w:i/>
          <w:color w:val="000000" w:themeColor="text1"/>
          <w:kern w:val="28"/>
        </w:rPr>
      </w:pPr>
      <w:r w:rsidRPr="00A97575">
        <w:rPr>
          <w:rFonts w:ascii="Palatino Linotype" w:eastAsia="Arial Unicode MS" w:hAnsi="Palatino Linotype"/>
          <w:i/>
          <w:color w:val="000000" w:themeColor="text1"/>
          <w:kern w:val="28"/>
        </w:rPr>
        <w:t>“</w:t>
      </w:r>
      <w:r w:rsidRPr="00A97575">
        <w:rPr>
          <w:rFonts w:ascii="Palatino Linotype" w:eastAsia="Arial Unicode MS" w:hAnsi="Palatino Linotype"/>
          <w:b/>
          <w:i/>
          <w:color w:val="000000" w:themeColor="text1"/>
          <w:kern w:val="28"/>
        </w:rPr>
        <w:t>REGISTRO CONTABLE</w:t>
      </w:r>
      <w:r w:rsidRPr="00A97575">
        <w:rPr>
          <w:rFonts w:ascii="Palatino Linotype" w:eastAsia="Arial Unicode MS" w:hAnsi="Palatino Linotype"/>
          <w:i/>
          <w:color w:val="000000" w:themeColor="text1"/>
          <w:kern w:val="28"/>
        </w:rPr>
        <w:t xml:space="preserve"> </w:t>
      </w:r>
    </w:p>
    <w:p w:rsidR="004736C8" w:rsidRPr="00A97575" w:rsidRDefault="004736C8" w:rsidP="00A97575">
      <w:pPr>
        <w:spacing w:line="360" w:lineRule="auto"/>
        <w:ind w:right="-28"/>
        <w:contextualSpacing/>
        <w:jc w:val="both"/>
        <w:rPr>
          <w:rFonts w:ascii="Palatino Linotype" w:eastAsia="Arial Unicode MS" w:hAnsi="Palatino Linotype"/>
          <w:i/>
          <w:color w:val="000000" w:themeColor="text1"/>
          <w:kern w:val="28"/>
        </w:rPr>
      </w:pPr>
      <w:r w:rsidRPr="00A97575">
        <w:rPr>
          <w:rFonts w:ascii="Palatino Linotype" w:eastAsia="Arial Unicode MS" w:hAnsi="Palatino Linotype"/>
          <w:i/>
          <w:color w:val="000000" w:themeColor="text1"/>
          <w:kern w:val="28"/>
        </w:rPr>
        <w:t>Asiento que se realiza en los libros de contabilidad de las actividades relacionadas con el ingreso y egresos de un ente económico.”</w:t>
      </w:r>
    </w:p>
    <w:p w:rsidR="004736C8" w:rsidRPr="00A97575" w:rsidRDefault="004736C8" w:rsidP="00A97575">
      <w:pPr>
        <w:spacing w:line="360" w:lineRule="auto"/>
        <w:ind w:right="-28"/>
        <w:contextualSpacing/>
        <w:jc w:val="both"/>
        <w:rPr>
          <w:rFonts w:ascii="Palatino Linotype" w:eastAsia="Arial Unicode MS" w:hAnsi="Palatino Linotype"/>
          <w:i/>
          <w:color w:val="000000" w:themeColor="text1"/>
          <w:kern w:val="28"/>
        </w:rPr>
      </w:pPr>
    </w:p>
    <w:p w:rsidR="004736C8" w:rsidRPr="00A97575" w:rsidRDefault="004736C8" w:rsidP="00A97575">
      <w:pPr>
        <w:spacing w:line="360" w:lineRule="auto"/>
        <w:ind w:right="-28"/>
        <w:contextualSpacing/>
        <w:jc w:val="both"/>
        <w:rPr>
          <w:rFonts w:ascii="Palatino Linotype" w:eastAsia="Arial Unicode MS" w:hAnsi="Palatino Linotype"/>
          <w:i/>
          <w:color w:val="000000" w:themeColor="text1"/>
          <w:kern w:val="28"/>
        </w:rPr>
      </w:pPr>
      <w:r w:rsidRPr="00A97575">
        <w:rPr>
          <w:rFonts w:ascii="Palatino Linotype" w:eastAsia="Arial Unicode MS" w:hAnsi="Palatino Linotype"/>
          <w:i/>
          <w:color w:val="000000" w:themeColor="text1"/>
          <w:kern w:val="28"/>
        </w:rPr>
        <w:t>“</w:t>
      </w:r>
      <w:r w:rsidRPr="00A97575">
        <w:rPr>
          <w:rFonts w:ascii="Palatino Linotype" w:eastAsia="Arial Unicode MS" w:hAnsi="Palatino Linotype"/>
          <w:b/>
          <w:i/>
          <w:color w:val="000000" w:themeColor="text1"/>
          <w:kern w:val="28"/>
        </w:rPr>
        <w:t>REGISTRO PRESUPUESTARIO</w:t>
      </w:r>
    </w:p>
    <w:p w:rsidR="004736C8" w:rsidRDefault="004736C8" w:rsidP="00A97575">
      <w:pPr>
        <w:spacing w:line="360" w:lineRule="auto"/>
        <w:ind w:right="-28"/>
        <w:contextualSpacing/>
        <w:jc w:val="both"/>
        <w:rPr>
          <w:rFonts w:ascii="Palatino Linotype" w:eastAsia="Arial Unicode MS" w:hAnsi="Palatino Linotype"/>
          <w:i/>
          <w:color w:val="000000" w:themeColor="text1"/>
          <w:kern w:val="28"/>
        </w:rPr>
      </w:pPr>
      <w:r w:rsidRPr="00A97575">
        <w:rPr>
          <w:rFonts w:ascii="Palatino Linotype" w:eastAsia="Arial Unicode MS" w:hAnsi="Palatino Linotype"/>
          <w:i/>
          <w:color w:val="000000" w:themeColor="text1"/>
          <w:kern w:val="28"/>
        </w:rPr>
        <w:t>Asiento contable de las erogaciones realizadas por las dependencias y entidades con relación a la asignación, modificación y ejercicio de los recursos presupuestarios que se les hayan autorizado.”</w:t>
      </w:r>
    </w:p>
    <w:p w:rsidR="005D6A0A" w:rsidRPr="00A97575" w:rsidRDefault="005D6A0A" w:rsidP="00A97575">
      <w:pPr>
        <w:spacing w:line="360" w:lineRule="auto"/>
        <w:ind w:right="-28"/>
        <w:contextualSpacing/>
        <w:jc w:val="both"/>
        <w:rPr>
          <w:rFonts w:ascii="Palatino Linotype" w:eastAsia="Arial Unicode MS" w:hAnsi="Palatino Linotype"/>
          <w:i/>
          <w:color w:val="000000" w:themeColor="text1"/>
          <w:kern w:val="28"/>
        </w:rPr>
      </w:pPr>
    </w:p>
    <w:p w:rsidR="004736C8" w:rsidRPr="00A97575" w:rsidRDefault="004736C8" w:rsidP="00A97575">
      <w:pPr>
        <w:numPr>
          <w:ilvl w:val="0"/>
          <w:numId w:val="2"/>
        </w:numPr>
        <w:spacing w:line="360" w:lineRule="auto"/>
        <w:ind w:left="0" w:right="-28" w:firstLine="0"/>
        <w:jc w:val="both"/>
        <w:rPr>
          <w:rFonts w:ascii="Palatino Linotype" w:hAnsi="Palatino Linotype" w:cs="Arial"/>
          <w:color w:val="000000" w:themeColor="text1"/>
        </w:rPr>
      </w:pPr>
      <w:r w:rsidRPr="00A97575">
        <w:rPr>
          <w:rFonts w:ascii="Palatino Linotype" w:hAnsi="Palatino Linotype" w:cs="Arial"/>
          <w:color w:val="000000" w:themeColor="text1"/>
        </w:rPr>
        <w:t xml:space="preserve">Por lo que respecta al término “póliza contable”, éste tampoco está definido en el Código Financiero del Estado de México y Municipios; sin embargo el “Glosario de Términos Administrativos”, emitido por el Instituto Nacional de Administración Pública, A.C. y el “Glosario de Términos para el Proceso de Planeación, Programación, Presupuestación y </w:t>
      </w:r>
      <w:r w:rsidRPr="00A97575">
        <w:rPr>
          <w:rFonts w:ascii="Palatino Linotype" w:hAnsi="Palatino Linotype" w:cs="Arial"/>
          <w:color w:val="000000" w:themeColor="text1"/>
        </w:rPr>
        <w:lastRenderedPageBreak/>
        <w:t>Evaluación en la Administración Pública”, elaborado por el Grupo de Trabajo de Sistemas de Información Financiera, Contable y Presupuestal de la Comisión Permanente de Funcionarios Fiscales del Instituto para el Desarrollo Técnico de las Haciendas Públicas (INDETEC) señala la siguiente definición del término “póliza contable”:</w:t>
      </w:r>
    </w:p>
    <w:p w:rsidR="004736C8" w:rsidRPr="00A97575" w:rsidRDefault="004736C8" w:rsidP="00A97575">
      <w:pPr>
        <w:spacing w:line="360" w:lineRule="auto"/>
        <w:ind w:right="-28"/>
        <w:contextualSpacing/>
        <w:jc w:val="both"/>
        <w:rPr>
          <w:rFonts w:ascii="Palatino Linotype" w:eastAsia="Arial Unicode MS" w:hAnsi="Palatino Linotype"/>
          <w:b/>
          <w:i/>
          <w:color w:val="000000" w:themeColor="text1"/>
          <w:kern w:val="28"/>
        </w:rPr>
      </w:pPr>
      <w:r w:rsidRPr="00A97575">
        <w:rPr>
          <w:rFonts w:ascii="Palatino Linotype" w:eastAsia="Arial Unicode MS" w:hAnsi="Palatino Linotype"/>
          <w:i/>
          <w:color w:val="000000" w:themeColor="text1"/>
          <w:kern w:val="28"/>
        </w:rPr>
        <w:t>“</w:t>
      </w:r>
      <w:r w:rsidRPr="00A97575">
        <w:rPr>
          <w:rFonts w:ascii="Palatino Linotype" w:eastAsia="Arial Unicode MS" w:hAnsi="Palatino Linotype"/>
          <w:b/>
          <w:i/>
          <w:color w:val="000000" w:themeColor="text1"/>
          <w:kern w:val="28"/>
        </w:rPr>
        <w:t>PÓLIZA CONTABLE</w:t>
      </w:r>
    </w:p>
    <w:p w:rsidR="004736C8" w:rsidRPr="00A97575" w:rsidRDefault="004736C8" w:rsidP="00A97575">
      <w:pPr>
        <w:spacing w:line="360" w:lineRule="auto"/>
        <w:ind w:right="-28"/>
        <w:contextualSpacing/>
        <w:jc w:val="both"/>
        <w:rPr>
          <w:rFonts w:ascii="Palatino Linotype" w:eastAsia="Arial Unicode MS" w:hAnsi="Palatino Linotype"/>
          <w:i/>
          <w:color w:val="000000" w:themeColor="text1"/>
          <w:kern w:val="28"/>
        </w:rPr>
      </w:pPr>
      <w:r w:rsidRPr="00A97575">
        <w:rPr>
          <w:rFonts w:ascii="Palatino Linotype" w:eastAsia="Arial Unicode MS" w:hAnsi="Palatino Linotype"/>
          <w:i/>
          <w:color w:val="000000" w:themeColor="text1"/>
          <w:kern w:val="28"/>
        </w:rPr>
        <w:t>Documento en el cual se asientan en forma individual todas y cada una de las operaciones desarrolladas por una institución, así como la información necesaria para la identificación necesaria para la identificación de dichas operaciones.”</w:t>
      </w:r>
    </w:p>
    <w:p w:rsidR="004736C8" w:rsidRPr="00A97575" w:rsidRDefault="004736C8" w:rsidP="00A97575">
      <w:pPr>
        <w:spacing w:line="360" w:lineRule="auto"/>
        <w:ind w:right="-28"/>
        <w:jc w:val="both"/>
        <w:rPr>
          <w:rFonts w:ascii="Palatino Linotype" w:eastAsia="Arial Unicode MS" w:hAnsi="Palatino Linotype" w:cs="Arial"/>
          <w:i/>
          <w:color w:val="000000" w:themeColor="text1"/>
        </w:rPr>
      </w:pPr>
    </w:p>
    <w:p w:rsidR="004736C8" w:rsidRPr="00A97575" w:rsidRDefault="004736C8" w:rsidP="00A97575">
      <w:pPr>
        <w:numPr>
          <w:ilvl w:val="0"/>
          <w:numId w:val="2"/>
        </w:numPr>
        <w:spacing w:line="360" w:lineRule="auto"/>
        <w:ind w:left="0" w:right="-28" w:firstLine="0"/>
        <w:jc w:val="both"/>
        <w:rPr>
          <w:rFonts w:ascii="Palatino Linotype" w:hAnsi="Palatino Linotype" w:cs="Arial"/>
          <w:color w:val="000000" w:themeColor="text1"/>
        </w:rPr>
      </w:pPr>
      <w:r w:rsidRPr="00A97575">
        <w:rPr>
          <w:rFonts w:ascii="Palatino Linotype" w:hAnsi="Palatino Linotype" w:cs="Arial"/>
          <w:color w:val="000000" w:themeColor="text1"/>
        </w:rPr>
        <w:t>De lo anterior, se advierte que la póliza contable constituye un registro contable y presupuestal con el que se realiza registro de sus operaciones relacionadas con sus ingresos y egresos, y se anexan los documentos o comprobantes que justifiquen las anotaciones y cantidades en ellas registradas, lo que permite la identificación plena de dichas operaciones. Expuesto lo anterior es que resulta dable ordenar la información materia de las solicitudes de información, en versión pública sin costo, en la modalidad elegida: SAIMEX.</w:t>
      </w:r>
    </w:p>
    <w:p w:rsidR="004736C8" w:rsidRPr="00A97575" w:rsidRDefault="004736C8" w:rsidP="00A97575">
      <w:pPr>
        <w:spacing w:line="360" w:lineRule="auto"/>
        <w:ind w:right="-28"/>
        <w:jc w:val="both"/>
        <w:rPr>
          <w:rFonts w:ascii="Palatino Linotype" w:eastAsia="MS Mincho" w:hAnsi="Palatino Linotype"/>
          <w:color w:val="000000" w:themeColor="text1"/>
        </w:rPr>
      </w:pPr>
    </w:p>
    <w:p w:rsidR="003F528B" w:rsidRPr="00A97575" w:rsidRDefault="007020AD" w:rsidP="00A97575">
      <w:pPr>
        <w:numPr>
          <w:ilvl w:val="0"/>
          <w:numId w:val="2"/>
        </w:numP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 xml:space="preserve">Con la determinación anterior quedará por colmado el derecho de acceso a la </w:t>
      </w:r>
      <w:r w:rsidRPr="00A97575">
        <w:rPr>
          <w:rFonts w:ascii="Palatino Linotype" w:eastAsia="Calibri" w:hAnsi="Palatino Linotype" w:cs="Tahoma"/>
          <w:bCs/>
          <w:color w:val="000000" w:themeColor="text1"/>
          <w:lang w:eastAsia="en-US"/>
        </w:rPr>
        <w:t>información</w:t>
      </w:r>
      <w:r w:rsidRPr="00A97575">
        <w:rPr>
          <w:rFonts w:ascii="Palatino Linotype" w:eastAsia="Palatino Linotype" w:hAnsi="Palatino Linotype" w:cs="Palatino Linotype"/>
          <w:color w:val="000000" w:themeColor="text1"/>
        </w:rPr>
        <w:t xml:space="preserve"> del ahora Recurrente; toda vez que el Derecho que tutela este Órgano Garante corresponde a la  </w:t>
      </w:r>
      <w:r w:rsidRPr="00A97575">
        <w:rPr>
          <w:rFonts w:ascii="Palatino Linotype" w:eastAsia="Palatino Linotype" w:hAnsi="Palatino Linotype" w:cs="Palatino Linotype"/>
          <w:i/>
          <w:color w:val="000000" w:themeColor="text1"/>
        </w:rPr>
        <w:t>igualdad de oportunidades para recibir, buscar e impartir información</w:t>
      </w:r>
      <w:r w:rsidRPr="00A97575">
        <w:rPr>
          <w:rFonts w:ascii="Palatino Linotype" w:eastAsia="Palatino Linotype" w:hAnsi="Palatino Linotype" w:cs="Palatino Linotype"/>
          <w:i/>
          <w:color w:val="000000" w:themeColor="text1"/>
          <w:vertAlign w:val="superscript"/>
        </w:rPr>
        <w:footnoteReference w:id="2"/>
      </w:r>
      <w:r w:rsidRPr="00A97575">
        <w:rPr>
          <w:rFonts w:ascii="Palatino Linotype" w:eastAsia="Palatino Linotype" w:hAnsi="Palatino Linotype" w:cs="Palatino Linotype"/>
          <w:i/>
          <w:color w:val="000000" w:themeColor="text1"/>
        </w:rPr>
        <w:t xml:space="preserve"> en posesión de cualquier autoridad, entidad, órgano y organismo de los </w:t>
      </w:r>
      <w:r w:rsidRPr="00A97575">
        <w:rPr>
          <w:rFonts w:ascii="Palatino Linotype" w:eastAsia="Palatino Linotype" w:hAnsi="Palatino Linotype" w:cs="Palatino Linotype"/>
          <w:color w:val="000000" w:themeColor="text1"/>
        </w:rPr>
        <w:t>poderes</w:t>
      </w:r>
      <w:r w:rsidRPr="00A97575">
        <w:rPr>
          <w:rFonts w:ascii="Palatino Linotype" w:eastAsia="Palatino Linotype" w:hAnsi="Palatino Linotype" w:cs="Palatino Linotype"/>
          <w:i/>
          <w:color w:val="000000" w:themeColor="text1"/>
        </w:rPr>
        <w:t xml:space="preserve"> Ejecutivo, Legislativo y Judicial, órganos autónomos, partidos políticos, </w:t>
      </w:r>
      <w:r w:rsidRPr="00A97575">
        <w:rPr>
          <w:rFonts w:ascii="Palatino Linotype" w:eastAsia="Palatino Linotype" w:hAnsi="Palatino Linotype" w:cs="Palatino Linotype"/>
          <w:color w:val="000000" w:themeColor="text1"/>
        </w:rPr>
        <w:t>fideicomisos</w:t>
      </w:r>
      <w:r w:rsidRPr="00A97575">
        <w:rPr>
          <w:rFonts w:ascii="Palatino Linotype" w:eastAsia="Palatino Linotype" w:hAnsi="Palatino Linotype" w:cs="Palatino Linotype"/>
          <w:i/>
          <w:color w:val="000000" w:themeColor="text1"/>
        </w:rPr>
        <w:t xml:space="preserve">, y fondos públicos, así como de cualquier persona </w:t>
      </w:r>
      <w:r w:rsidRPr="00A97575">
        <w:rPr>
          <w:rFonts w:ascii="Palatino Linotype" w:eastAsia="Palatino Linotype" w:hAnsi="Palatino Linotype" w:cs="Palatino Linotype"/>
          <w:i/>
          <w:color w:val="000000" w:themeColor="text1"/>
        </w:rPr>
        <w:lastRenderedPageBreak/>
        <w:t>física, moral o sindicato que reciba y ejerza recursos públicos o realice actos de autoridad en el ámbito federal, estatal y municipal</w:t>
      </w:r>
      <w:r w:rsidRPr="00A97575">
        <w:rPr>
          <w:rFonts w:ascii="Palatino Linotype" w:eastAsia="Palatino Linotype" w:hAnsi="Palatino Linotype" w:cs="Palatino Linotype"/>
          <w:color w:val="000000" w:themeColor="text1"/>
          <w:vertAlign w:val="superscript"/>
        </w:rPr>
        <w:footnoteReference w:id="3"/>
      </w:r>
      <w:r w:rsidRPr="00A97575">
        <w:rPr>
          <w:rFonts w:ascii="Palatino Linotype" w:eastAsia="Palatino Linotype" w:hAnsi="Palatino Linotype" w:cs="Palatino Linotype"/>
          <w:i/>
          <w:color w:val="000000" w:themeColor="text1"/>
        </w:rPr>
        <w:t xml:space="preserve"> </w:t>
      </w:r>
      <w:r w:rsidRPr="00A97575">
        <w:rPr>
          <w:rFonts w:ascii="Palatino Linotype" w:eastAsia="Palatino Linotype" w:hAnsi="Palatino Linotype" w:cs="Palatino Linotype"/>
          <w:color w:val="000000" w:themeColor="text1"/>
        </w:rPr>
        <w:t xml:space="preserve">que se constituye como una herramienta fundamental para </w:t>
      </w:r>
      <w:r w:rsidRPr="00A97575">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A97575">
        <w:rPr>
          <w:rFonts w:ascii="Palatino Linotype" w:eastAsia="Palatino Linotype" w:hAnsi="Palatino Linotype" w:cs="Palatino Linotype"/>
          <w:i/>
          <w:color w:val="000000" w:themeColor="text1"/>
          <w:vertAlign w:val="superscript"/>
        </w:rPr>
        <w:footnoteReference w:id="4"/>
      </w:r>
      <w:r w:rsidRPr="00A97575">
        <w:rPr>
          <w:rFonts w:ascii="Palatino Linotype" w:eastAsia="Palatino Linotype" w:hAnsi="Palatino Linotype" w:cs="Palatino Linotype"/>
          <w:color w:val="000000" w:themeColor="text1"/>
        </w:rPr>
        <w:t>fomentando</w:t>
      </w:r>
      <w:r w:rsidRPr="00A97575">
        <w:rPr>
          <w:rFonts w:ascii="Palatino Linotype" w:eastAsia="Palatino Linotype" w:hAnsi="Palatino Linotype" w:cs="Palatino Linotype"/>
          <w:i/>
          <w:color w:val="000000" w:themeColor="text1"/>
        </w:rPr>
        <w:t xml:space="preserve"> la transparencia de las actividades estatales y</w:t>
      </w:r>
      <w:r w:rsidRPr="00A97575">
        <w:rPr>
          <w:rFonts w:ascii="Palatino Linotype" w:eastAsia="Palatino Linotype" w:hAnsi="Palatino Linotype" w:cs="Palatino Linotype"/>
          <w:color w:val="000000" w:themeColor="text1"/>
        </w:rPr>
        <w:t xml:space="preserve"> promoviendo</w:t>
      </w:r>
      <w:r w:rsidRPr="00A97575">
        <w:rPr>
          <w:rFonts w:ascii="Palatino Linotype" w:eastAsia="Palatino Linotype" w:hAnsi="Palatino Linotype" w:cs="Palatino Linotype"/>
          <w:i/>
          <w:color w:val="000000" w:themeColor="text1"/>
        </w:rPr>
        <w:t xml:space="preserve"> la responsabilidad de los funcionarios sobre su gestión pública</w:t>
      </w:r>
      <w:r w:rsidRPr="00A97575">
        <w:rPr>
          <w:rFonts w:ascii="Palatino Linotype" w:eastAsia="Palatino Linotype" w:hAnsi="Palatino Linotype" w:cs="Palatino Linotype"/>
          <w:i/>
          <w:color w:val="000000" w:themeColor="text1"/>
          <w:vertAlign w:val="superscript"/>
        </w:rPr>
        <w:footnoteReference w:id="5"/>
      </w:r>
      <w:r w:rsidRPr="00A97575">
        <w:rPr>
          <w:rFonts w:ascii="Palatino Linotype" w:eastAsia="Palatino Linotype" w:hAnsi="Palatino Linotype" w:cs="Palatino Linotype"/>
          <w:i/>
          <w:color w:val="000000" w:themeColor="text1"/>
        </w:rPr>
        <w:t xml:space="preserve"> </w:t>
      </w:r>
      <w:r w:rsidRPr="00A97575">
        <w:rPr>
          <w:rFonts w:ascii="Palatino Linotype" w:eastAsia="Palatino Linotype" w:hAnsi="Palatino Linotype" w:cs="Palatino Linotype"/>
          <w:color w:val="000000" w:themeColor="text1"/>
        </w:rPr>
        <w:t>que permite</w:t>
      </w:r>
      <w:r w:rsidRPr="00A9757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A97575">
        <w:rPr>
          <w:rFonts w:ascii="Palatino Linotype" w:eastAsia="Palatino Linotype" w:hAnsi="Palatino Linotype" w:cs="Palatino Linotype"/>
          <w:i/>
          <w:color w:val="000000" w:themeColor="text1"/>
          <w:vertAlign w:val="superscript"/>
        </w:rPr>
        <w:footnoteReference w:id="6"/>
      </w:r>
      <w:r w:rsidRPr="00A97575">
        <w:rPr>
          <w:rFonts w:ascii="Palatino Linotype" w:eastAsia="Palatino Linotype" w:hAnsi="Palatino Linotype" w:cs="Palatino Linotype"/>
          <w:color w:val="000000" w:themeColor="text1"/>
        </w:rPr>
        <w:t xml:space="preserve"> ” </w:t>
      </w: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7020AD"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F528B" w:rsidRPr="00A97575" w:rsidRDefault="007020AD" w:rsidP="00A97575">
      <w:pPr>
        <w:spacing w:line="360" w:lineRule="auto"/>
        <w:ind w:right="-28"/>
        <w:jc w:val="both"/>
        <w:rPr>
          <w:rFonts w:ascii="Palatino Linotype" w:eastAsia="Palatino Linotype" w:hAnsi="Palatino Linotype" w:cs="Palatino Linotype"/>
          <w:b/>
          <w:i/>
          <w:color w:val="000000" w:themeColor="text1"/>
        </w:rPr>
      </w:pPr>
      <w:r w:rsidRPr="00A97575">
        <w:rPr>
          <w:rFonts w:ascii="Palatino Linotype" w:eastAsia="Palatino Linotype" w:hAnsi="Palatino Linotype" w:cs="Palatino Linotype"/>
          <w:b/>
          <w:i/>
          <w:color w:val="000000" w:themeColor="text1"/>
        </w:rPr>
        <w:t>“CRITERIO 0002-11</w:t>
      </w:r>
    </w:p>
    <w:p w:rsidR="003F528B" w:rsidRPr="00A97575" w:rsidRDefault="007020AD"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 xml:space="preserve">INFORMACIÓN PÚBLICA, CONCEPTO DE, EN MATERIA DE TRANSPARENCIA. INTERPRETACIÓN TEMÁTICA DE LOS ARTÍCULOS 2, FRACCIÓN V, XV, Y XVI, 3, 4,11 Y </w:t>
      </w:r>
      <w:r w:rsidRPr="00A97575">
        <w:rPr>
          <w:rFonts w:ascii="Palatino Linotype" w:eastAsia="Palatino Linotype" w:hAnsi="Palatino Linotype" w:cs="Palatino Linotype"/>
          <w:b/>
          <w:i/>
          <w:color w:val="000000" w:themeColor="text1"/>
        </w:rPr>
        <w:lastRenderedPageBreak/>
        <w:t>41.</w:t>
      </w:r>
      <w:r w:rsidRPr="00A97575">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F528B" w:rsidRPr="00A97575" w:rsidRDefault="007020AD"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3F528B" w:rsidRPr="00A97575" w:rsidRDefault="007020AD"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3F528B" w:rsidRPr="00A97575" w:rsidRDefault="007020AD"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3F528B" w:rsidRPr="00A97575" w:rsidRDefault="007020AD"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7020AD"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 xml:space="preserve">Es así que, todos los actos de autoridad que realicen los Sujetos Obligados </w:t>
      </w:r>
      <w:r w:rsidRPr="00A97575">
        <w:rPr>
          <w:rFonts w:ascii="Palatino Linotype" w:eastAsia="Palatino Linotype" w:hAnsi="Palatino Linotype" w:cs="Palatino Linotype"/>
          <w:b/>
          <w:color w:val="000000" w:themeColor="text1"/>
        </w:rPr>
        <w:t xml:space="preserve">deben estar </w:t>
      </w:r>
      <w:r w:rsidRPr="00A97575">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3F528B" w:rsidRPr="00A97575" w:rsidRDefault="003F528B" w:rsidP="00A9757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3F528B" w:rsidRPr="00A97575" w:rsidRDefault="007020AD"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395B06" w:rsidRPr="00A97575" w:rsidRDefault="00395B06" w:rsidP="00A97575">
      <w:pPr>
        <w:pStyle w:val="Prrafodelista"/>
        <w:spacing w:line="360" w:lineRule="auto"/>
        <w:ind w:left="0" w:right="-28"/>
        <w:jc w:val="both"/>
        <w:rPr>
          <w:rFonts w:ascii="Palatino Linotype" w:hAnsi="Palatino Linotype"/>
          <w:color w:val="000000" w:themeColor="text1"/>
        </w:rPr>
      </w:pPr>
    </w:p>
    <w:p w:rsidR="003F528B" w:rsidRPr="00A97575" w:rsidRDefault="007020AD"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lastRenderedPageBreak/>
        <w:t xml:space="preserve">“Artículo 4. </w:t>
      </w:r>
      <w:r w:rsidRPr="00A97575">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3F528B" w:rsidRPr="00A97575" w:rsidRDefault="007020AD"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Toda la información</w:t>
      </w:r>
      <w:r w:rsidRPr="00A97575">
        <w:rPr>
          <w:rFonts w:ascii="Palatino Linotype" w:eastAsia="Palatino Linotype" w:hAnsi="Palatino Linotype" w:cs="Palatino Linotype"/>
          <w:i/>
          <w:color w:val="000000" w:themeColor="text1"/>
        </w:rPr>
        <w:t xml:space="preserve"> generada, obtenida, adquirida, transformada, administrada o </w:t>
      </w:r>
      <w:r w:rsidRPr="00A97575">
        <w:rPr>
          <w:rFonts w:ascii="Palatino Linotype" w:eastAsia="Palatino Linotype" w:hAnsi="Palatino Linotype" w:cs="Palatino Linotype"/>
          <w:b/>
          <w:i/>
          <w:color w:val="000000" w:themeColor="text1"/>
        </w:rPr>
        <w:t>en posesión de los sujetos obligados es pública</w:t>
      </w:r>
      <w:r w:rsidRPr="00A97575">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F528B" w:rsidRPr="00A97575" w:rsidRDefault="007020AD"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7020AD"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97575">
        <w:rPr>
          <w:rFonts w:ascii="Palatino Linotype" w:eastAsia="Palatino Linotype" w:hAnsi="Palatino Linotype" w:cs="Palatino Linotype"/>
          <w:color w:val="000000" w:themeColor="text1"/>
          <w:vertAlign w:val="superscript"/>
        </w:rPr>
        <w:footnoteReference w:id="7"/>
      </w:r>
      <w:r w:rsidRPr="00A97575">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w:t>
      </w:r>
      <w:r w:rsidRPr="00A97575">
        <w:rPr>
          <w:rFonts w:ascii="Palatino Linotype" w:eastAsia="Palatino Linotype" w:hAnsi="Palatino Linotype" w:cs="Palatino Linotype"/>
          <w:color w:val="000000" w:themeColor="text1"/>
        </w:rPr>
        <w:lastRenderedPageBreak/>
        <w:t>de los Sujetos Obligados será pública, completa, oportuna y accesible, lo que permite que la ciudadanía tenga un amplio acceso sobre lo que es el actuar de las autoridades.</w:t>
      </w: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7020AD"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F528B" w:rsidRPr="00A97575" w:rsidRDefault="007020AD" w:rsidP="00A97575">
      <w:pPr>
        <w:pBdr>
          <w:top w:val="nil"/>
          <w:left w:val="nil"/>
          <w:bottom w:val="nil"/>
          <w:right w:val="nil"/>
          <w:between w:val="nil"/>
        </w:pBdr>
        <w:tabs>
          <w:tab w:val="left" w:pos="851"/>
        </w:tabs>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A97575">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w:t>
      </w:r>
      <w:r w:rsidRPr="00A97575">
        <w:rPr>
          <w:rFonts w:ascii="Palatino Linotype" w:eastAsia="Palatino Linotype" w:hAnsi="Palatino Linotype" w:cs="Palatino Linotype"/>
          <w:i/>
          <w:color w:val="000000" w:themeColor="text1"/>
        </w:rPr>
        <w:lastRenderedPageBreak/>
        <w:t>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8C7769" w:rsidRPr="00A97575" w:rsidRDefault="008C7769" w:rsidP="00A97575">
      <w:pPr>
        <w:pBdr>
          <w:top w:val="nil"/>
          <w:left w:val="nil"/>
          <w:bottom w:val="nil"/>
          <w:right w:val="nil"/>
          <w:between w:val="nil"/>
        </w:pBdr>
        <w:tabs>
          <w:tab w:val="left" w:pos="851"/>
        </w:tabs>
        <w:spacing w:line="360" w:lineRule="auto"/>
        <w:ind w:right="-28"/>
        <w:jc w:val="both"/>
        <w:rPr>
          <w:rFonts w:ascii="Palatino Linotype" w:eastAsia="Palatino Linotype" w:hAnsi="Palatino Linotype" w:cs="Palatino Linotype"/>
          <w:b/>
          <w:i/>
          <w:color w:val="000000" w:themeColor="text1"/>
        </w:rPr>
      </w:pPr>
    </w:p>
    <w:p w:rsidR="005E6833" w:rsidRPr="00A97575" w:rsidRDefault="005E6833" w:rsidP="00A97575">
      <w:pPr>
        <w:pStyle w:val="Prrafodelista"/>
        <w:tabs>
          <w:tab w:val="left" w:pos="284"/>
          <w:tab w:val="left" w:pos="426"/>
        </w:tabs>
        <w:spacing w:line="360" w:lineRule="auto"/>
        <w:ind w:left="0" w:right="-28"/>
        <w:jc w:val="both"/>
        <w:rPr>
          <w:rFonts w:ascii="Palatino Linotype" w:eastAsia="Palatino Linotype" w:hAnsi="Palatino Linotype" w:cs="Palatino Linotype"/>
          <w:b/>
          <w:color w:val="000000" w:themeColor="text1"/>
        </w:rPr>
      </w:pPr>
      <w:bookmarkStart w:id="8" w:name="_heading=h.4d34og8" w:colFirst="0" w:colLast="0"/>
      <w:bookmarkEnd w:id="8"/>
      <w:r w:rsidRPr="00A97575">
        <w:rPr>
          <w:rFonts w:ascii="Palatino Linotype" w:eastAsia="Palatino Linotype" w:hAnsi="Palatino Linotype" w:cs="Palatino Linotype"/>
          <w:b/>
          <w:color w:val="000000" w:themeColor="text1"/>
        </w:rPr>
        <w:t>QUINTO. De la versión pública.</w:t>
      </w:r>
    </w:p>
    <w:p w:rsidR="005E6833" w:rsidRPr="00A97575"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 xml:space="preserve">Finalmente, debe señalarse que dada la propia y especial naturaleza de lo solicitado, eminentemente contiene múltiples datos personales que deberán ser protegidos como ya quedó asentado en el Considerando anterior del presente proveído. Para dar cumplimiento a la presente resolución, contengan datos que deban ser clasificados, el </w:t>
      </w:r>
      <w:r w:rsidRPr="00A97575">
        <w:rPr>
          <w:rFonts w:ascii="Palatino Linotype" w:eastAsia="Palatino Linotype" w:hAnsi="Palatino Linotype" w:cs="Palatino Linotype"/>
          <w:b/>
          <w:color w:val="000000" w:themeColor="text1"/>
        </w:rPr>
        <w:t>SUJETO OBLIGADO</w:t>
      </w:r>
      <w:r w:rsidRPr="00A97575">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257C34" w:rsidRPr="00A97575" w:rsidRDefault="00257C34" w:rsidP="00A9757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5E6833" w:rsidRPr="00A97575"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rsidR="005E6833" w:rsidRPr="00A97575" w:rsidRDefault="005E6833" w:rsidP="00A97575">
      <w:pPr>
        <w:spacing w:line="360" w:lineRule="auto"/>
        <w:ind w:right="-28"/>
        <w:jc w:val="both"/>
        <w:rPr>
          <w:rFonts w:ascii="Palatino Linotype" w:eastAsia="Palatino Linotype" w:hAnsi="Palatino Linotype" w:cs="Palatino Linotype"/>
          <w:b/>
          <w:i/>
          <w:color w:val="000000" w:themeColor="text1"/>
        </w:rPr>
      </w:pPr>
      <w:r w:rsidRPr="00A97575">
        <w:rPr>
          <w:rFonts w:ascii="Palatino Linotype" w:eastAsia="Palatino Linotype" w:hAnsi="Palatino Linotype" w:cs="Palatino Linotype"/>
          <w:b/>
          <w:i/>
          <w:color w:val="000000" w:themeColor="text1"/>
        </w:rPr>
        <w:t xml:space="preserve"> “Artículo 3. Para los efectos de la presente Ley se entenderá por:</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IX. Datos personales:</w:t>
      </w:r>
      <w:r w:rsidRPr="00A97575">
        <w:rPr>
          <w:rFonts w:ascii="Palatino Linotype" w:eastAsia="Palatino Linotype" w:hAnsi="Palatino Linotype" w:cs="Palatino Linotype"/>
          <w:i/>
          <w:color w:val="000000" w:themeColor="text1"/>
        </w:rPr>
        <w:t xml:space="preserve"> </w:t>
      </w:r>
      <w:r w:rsidRPr="00A97575">
        <w:rPr>
          <w:rFonts w:ascii="Palatino Linotype" w:eastAsia="Palatino Linotype" w:hAnsi="Palatino Linotype" w:cs="Palatino Linotype"/>
          <w:b/>
          <w:i/>
          <w:color w:val="000000" w:themeColor="text1"/>
        </w:rPr>
        <w:t>La información concerniente a una persona, identificada o identificable</w:t>
      </w:r>
      <w:r w:rsidRPr="00A97575">
        <w:rPr>
          <w:rFonts w:ascii="Palatino Linotype" w:eastAsia="Palatino Linotype" w:hAnsi="Palatino Linotype" w:cs="Palatino Linotype"/>
          <w:i/>
          <w:color w:val="000000" w:themeColor="text1"/>
        </w:rPr>
        <w:t xml:space="preserve"> según lo dispuesto por la Ley de Protección de Datos Personales del Estado de México;</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XX. Información clasificada:</w:t>
      </w:r>
      <w:r w:rsidRPr="00A97575">
        <w:rPr>
          <w:rFonts w:ascii="Palatino Linotype" w:eastAsia="Palatino Linotype" w:hAnsi="Palatino Linotype" w:cs="Palatino Linotype"/>
          <w:i/>
          <w:color w:val="000000" w:themeColor="text1"/>
        </w:rPr>
        <w:t xml:space="preserve"> Aquella considerada por la presente Ley como reservada o confidencial;</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lastRenderedPageBreak/>
        <w:t>XXXII. Protección de Datos Personales:</w:t>
      </w:r>
      <w:r w:rsidRPr="00A97575">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XLV. Versión pública</w:t>
      </w:r>
      <w:r w:rsidRPr="00A97575">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“Artículo 6.</w:t>
      </w:r>
      <w:r w:rsidRPr="00A97575">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 </w:t>
      </w:r>
      <w:r w:rsidRPr="00A97575">
        <w:rPr>
          <w:rFonts w:ascii="Palatino Linotype" w:eastAsia="Palatino Linotype" w:hAnsi="Palatino Linotype" w:cs="Palatino Linotype"/>
          <w:b/>
          <w:i/>
          <w:color w:val="000000" w:themeColor="text1"/>
        </w:rPr>
        <w:t>Artículo 49.</w:t>
      </w:r>
      <w:r w:rsidRPr="00A97575">
        <w:rPr>
          <w:rFonts w:ascii="Palatino Linotype" w:eastAsia="Palatino Linotype" w:hAnsi="Palatino Linotype" w:cs="Palatino Linotype"/>
          <w:i/>
          <w:color w:val="000000" w:themeColor="text1"/>
        </w:rPr>
        <w:t> Los Comités de Transparencia tendrán las siguientes atribuciones:</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VIII</w:t>
      </w:r>
      <w:r w:rsidRPr="00A97575">
        <w:rPr>
          <w:rFonts w:ascii="Palatino Linotype" w:eastAsia="Palatino Linotype" w:hAnsi="Palatino Linotype" w:cs="Palatino Linotype"/>
          <w:i/>
          <w:color w:val="000000" w:themeColor="text1"/>
        </w:rPr>
        <w:t>. Aprobar, modificar o revocar la clasificación de la información;</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 xml:space="preserve">Artículo 91. </w:t>
      </w:r>
      <w:r w:rsidRPr="00A97575">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p>
    <w:p w:rsidR="005E6833" w:rsidRPr="00A97575" w:rsidRDefault="005E6833" w:rsidP="00A97575">
      <w:pPr>
        <w:spacing w:line="360" w:lineRule="auto"/>
        <w:ind w:right="-28"/>
        <w:jc w:val="both"/>
        <w:rPr>
          <w:rFonts w:ascii="Palatino Linotype" w:eastAsia="Palatino Linotype" w:hAnsi="Palatino Linotype" w:cs="Palatino Linotype"/>
          <w:b/>
          <w:i/>
          <w:color w:val="000000" w:themeColor="text1"/>
        </w:rPr>
      </w:pPr>
      <w:r w:rsidRPr="00A97575">
        <w:rPr>
          <w:rFonts w:ascii="Palatino Linotype" w:eastAsia="Palatino Linotype" w:hAnsi="Palatino Linotype" w:cs="Palatino Linotype"/>
          <w:b/>
          <w:i/>
          <w:color w:val="000000" w:themeColor="text1"/>
        </w:rPr>
        <w:t>“Artículo 137.</w:t>
      </w:r>
      <w:r w:rsidRPr="00A97575">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w:t>
      </w:r>
      <w:r w:rsidRPr="00A97575">
        <w:rPr>
          <w:rFonts w:ascii="Palatino Linotype" w:eastAsia="Palatino Linotype" w:hAnsi="Palatino Linotype" w:cs="Palatino Linotype"/>
          <w:i/>
          <w:color w:val="000000" w:themeColor="text1"/>
        </w:rPr>
        <w:lastRenderedPageBreak/>
        <w:t>información, deberán elaborar una versión pública en la que se testen las partes o secciones clasificadas, indicando su contenido de manera genérica y fundando y motivando su clasificación.”</w:t>
      </w:r>
    </w:p>
    <w:p w:rsidR="005E6833" w:rsidRPr="00A97575" w:rsidRDefault="005E6833" w:rsidP="00A97575">
      <w:pPr>
        <w:spacing w:line="360" w:lineRule="auto"/>
        <w:ind w:right="-28"/>
        <w:jc w:val="both"/>
        <w:rPr>
          <w:rFonts w:ascii="Palatino Linotype" w:eastAsia="Palatino Linotype" w:hAnsi="Palatino Linotype" w:cs="Palatino Linotype"/>
          <w:b/>
          <w:i/>
          <w:color w:val="000000" w:themeColor="text1"/>
        </w:rPr>
      </w:pP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“Artículo 143</w:t>
      </w:r>
      <w:r w:rsidRPr="00A97575">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I.</w:t>
      </w:r>
      <w:r w:rsidRPr="00A97575">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 xml:space="preserve">III. La que presenten los particulares a los sujetos obligados, de conformidad con lo dispuesto por las leyes o los tratados internacionales.” </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p>
    <w:p w:rsidR="005E6833" w:rsidRPr="00A97575"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w:t>
      </w:r>
      <w:r w:rsidRPr="00A97575">
        <w:rPr>
          <w:rFonts w:ascii="Palatino Linotype" w:eastAsia="Palatino Linotype" w:hAnsi="Palatino Linotype" w:cs="Palatino Linotype"/>
          <w:color w:val="000000" w:themeColor="text1"/>
        </w:rPr>
        <w:lastRenderedPageBreak/>
        <w:t>de acuerdo a lo que señala la fracción XII del artículo 4 de la Ley de Protección de Datos Personales en Posesión de Sujetos Obligados del Estado de México.</w:t>
      </w:r>
    </w:p>
    <w:p w:rsidR="005E6833" w:rsidRPr="00A97575" w:rsidRDefault="005E6833" w:rsidP="00A97575">
      <w:pPr>
        <w:spacing w:line="360" w:lineRule="auto"/>
        <w:ind w:right="-28"/>
        <w:jc w:val="both"/>
        <w:rPr>
          <w:rFonts w:ascii="Palatino Linotype" w:eastAsia="Palatino Linotype" w:hAnsi="Palatino Linotype" w:cs="Palatino Linotype"/>
          <w:color w:val="000000" w:themeColor="text1"/>
        </w:rPr>
      </w:pPr>
    </w:p>
    <w:p w:rsidR="005E6833" w:rsidRPr="00A97575"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5E6833" w:rsidRPr="00A97575" w:rsidRDefault="005E6833" w:rsidP="00A97575">
      <w:pPr>
        <w:pStyle w:val="Prrafodelista"/>
        <w:spacing w:line="360" w:lineRule="auto"/>
        <w:ind w:left="0" w:right="-28"/>
        <w:rPr>
          <w:rFonts w:ascii="Palatino Linotype" w:eastAsia="Palatino Linotype" w:hAnsi="Palatino Linotype" w:cs="Palatino Linotype"/>
          <w:color w:val="000000" w:themeColor="text1"/>
        </w:rPr>
      </w:pPr>
    </w:p>
    <w:p w:rsidR="005E6833" w:rsidRPr="00A97575"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“Artículo 49.</w:t>
      </w:r>
      <w:r w:rsidRPr="00A97575">
        <w:rPr>
          <w:rFonts w:ascii="Palatino Linotype" w:eastAsia="Palatino Linotype" w:hAnsi="Palatino Linotype" w:cs="Palatino Linotype"/>
          <w:i/>
          <w:color w:val="000000" w:themeColor="text1"/>
        </w:rPr>
        <w:t xml:space="preserve"> </w:t>
      </w:r>
      <w:r w:rsidRPr="00A97575">
        <w:rPr>
          <w:rFonts w:ascii="Palatino Linotype" w:eastAsia="Palatino Linotype" w:hAnsi="Palatino Linotype" w:cs="Palatino Linotype"/>
          <w:b/>
          <w:i/>
          <w:color w:val="000000" w:themeColor="text1"/>
        </w:rPr>
        <w:t>Los Comités de Transparencia</w:t>
      </w:r>
      <w:r w:rsidRPr="00A97575">
        <w:rPr>
          <w:rFonts w:ascii="Palatino Linotype" w:eastAsia="Palatino Linotype" w:hAnsi="Palatino Linotype" w:cs="Palatino Linotype"/>
          <w:i/>
          <w:color w:val="000000" w:themeColor="text1"/>
        </w:rPr>
        <w:t xml:space="preserve"> tendrán las siguientes atribuciones:</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VIII. Aprobar, modificar o revocar la clasificación de la información</w:t>
      </w:r>
      <w:r w:rsidRPr="00A97575">
        <w:rPr>
          <w:rFonts w:ascii="Palatino Linotype" w:eastAsia="Palatino Linotype" w:hAnsi="Palatino Linotype" w:cs="Palatino Linotype"/>
          <w:i/>
          <w:color w:val="000000" w:themeColor="text1"/>
        </w:rPr>
        <w:t>…”</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w:t>
      </w:r>
      <w:r w:rsidRPr="00A97575">
        <w:rPr>
          <w:rFonts w:ascii="Palatino Linotype" w:eastAsia="Palatino Linotype" w:hAnsi="Palatino Linotype" w:cs="Palatino Linotype"/>
          <w:b/>
          <w:i/>
          <w:color w:val="000000" w:themeColor="text1"/>
        </w:rPr>
        <w:t>Artículo 53.</w:t>
      </w:r>
      <w:r w:rsidRPr="00A97575">
        <w:rPr>
          <w:rFonts w:ascii="Palatino Linotype" w:eastAsia="Palatino Linotype" w:hAnsi="Palatino Linotype" w:cs="Palatino Linotype"/>
          <w:i/>
          <w:color w:val="000000" w:themeColor="text1"/>
        </w:rPr>
        <w:t xml:space="preserve"> Las </w:t>
      </w:r>
      <w:r w:rsidRPr="00A97575">
        <w:rPr>
          <w:rFonts w:ascii="Palatino Linotype" w:eastAsia="Palatino Linotype" w:hAnsi="Palatino Linotype" w:cs="Palatino Linotype"/>
          <w:b/>
          <w:i/>
          <w:color w:val="000000" w:themeColor="text1"/>
        </w:rPr>
        <w:t>Unidades de Transparencia</w:t>
      </w:r>
      <w:r w:rsidRPr="00A97575">
        <w:rPr>
          <w:rFonts w:ascii="Palatino Linotype" w:eastAsia="Palatino Linotype" w:hAnsi="Palatino Linotype" w:cs="Palatino Linotype"/>
          <w:i/>
          <w:color w:val="000000" w:themeColor="text1"/>
        </w:rPr>
        <w:t xml:space="preserve"> tendrán las siguientes </w:t>
      </w:r>
      <w:r w:rsidRPr="00A97575">
        <w:rPr>
          <w:rFonts w:ascii="Palatino Linotype" w:eastAsia="Palatino Linotype" w:hAnsi="Palatino Linotype" w:cs="Palatino Linotype"/>
          <w:b/>
          <w:i/>
          <w:color w:val="000000" w:themeColor="text1"/>
        </w:rPr>
        <w:t>funciones</w:t>
      </w:r>
      <w:r w:rsidRPr="00A97575">
        <w:rPr>
          <w:rFonts w:ascii="Palatino Linotype" w:eastAsia="Palatino Linotype" w:hAnsi="Palatino Linotype" w:cs="Palatino Linotype"/>
          <w:i/>
          <w:color w:val="000000" w:themeColor="text1"/>
        </w:rPr>
        <w:t>:</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X. Presentar ante el Comité, el proyecto de clasificación de información</w:t>
      </w:r>
      <w:r w:rsidRPr="00A97575">
        <w:rPr>
          <w:rFonts w:ascii="Palatino Linotype" w:eastAsia="Palatino Linotype" w:hAnsi="Palatino Linotype" w:cs="Palatino Linotype"/>
          <w:i/>
          <w:color w:val="000000" w:themeColor="text1"/>
        </w:rPr>
        <w:t xml:space="preserve">…” </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“Artículo 59.</w:t>
      </w:r>
      <w:r w:rsidRPr="00A97575">
        <w:rPr>
          <w:rFonts w:ascii="Palatino Linotype" w:eastAsia="Palatino Linotype" w:hAnsi="Palatino Linotype" w:cs="Palatino Linotype"/>
          <w:i/>
          <w:color w:val="000000" w:themeColor="text1"/>
        </w:rPr>
        <w:t xml:space="preserve"> Los </w:t>
      </w:r>
      <w:r w:rsidRPr="00A97575">
        <w:rPr>
          <w:rFonts w:ascii="Palatino Linotype" w:eastAsia="Palatino Linotype" w:hAnsi="Palatino Linotype" w:cs="Palatino Linotype"/>
          <w:b/>
          <w:i/>
          <w:color w:val="000000" w:themeColor="text1"/>
        </w:rPr>
        <w:t>servidores públicos habilitados</w:t>
      </w:r>
      <w:r w:rsidRPr="00A97575">
        <w:rPr>
          <w:rFonts w:ascii="Palatino Linotype" w:eastAsia="Palatino Linotype" w:hAnsi="Palatino Linotype" w:cs="Palatino Linotype"/>
          <w:i/>
          <w:color w:val="000000" w:themeColor="text1"/>
        </w:rPr>
        <w:t xml:space="preserve"> tendrán las </w:t>
      </w:r>
      <w:r w:rsidRPr="00A97575">
        <w:rPr>
          <w:rFonts w:ascii="Palatino Linotype" w:eastAsia="Palatino Linotype" w:hAnsi="Palatino Linotype" w:cs="Palatino Linotype"/>
          <w:b/>
          <w:i/>
          <w:color w:val="000000" w:themeColor="text1"/>
        </w:rPr>
        <w:t>funciones</w:t>
      </w:r>
      <w:r w:rsidRPr="00A97575">
        <w:rPr>
          <w:rFonts w:ascii="Palatino Linotype" w:eastAsia="Palatino Linotype" w:hAnsi="Palatino Linotype" w:cs="Palatino Linotype"/>
          <w:i/>
          <w:color w:val="000000" w:themeColor="text1"/>
        </w:rPr>
        <w:t xml:space="preserve"> siguientes:</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b/>
          <w:i/>
          <w:color w:val="000000" w:themeColor="text1"/>
        </w:rPr>
        <w:t>V. Integrar y presentar al responsable de la Unidad de Transparencia la propuesta de clasificación de información</w:t>
      </w:r>
      <w:r w:rsidRPr="00A97575">
        <w:rPr>
          <w:rFonts w:ascii="Palatino Linotype" w:eastAsia="Palatino Linotype" w:hAnsi="Palatino Linotype" w:cs="Palatino Linotype"/>
          <w:i/>
          <w:color w:val="000000" w:themeColor="text1"/>
        </w:rPr>
        <w:t>, la cual tendrá los fundamentos y argumentos en que se basa dicha propuesta…”</w:t>
      </w:r>
    </w:p>
    <w:p w:rsidR="005E6833"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5D6A0A" w:rsidRPr="00A97575" w:rsidRDefault="005D6A0A" w:rsidP="005D6A0A">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5E6833" w:rsidRPr="00A97575"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Para lo cual, a su vez en el caso de información de carácter confidencial, se debe atender a lo que señala el artículo 149 de la Ley de Transparencia Local vigente, que se lee como sigue:</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w:t>
      </w:r>
      <w:r w:rsidRPr="00A97575">
        <w:rPr>
          <w:rFonts w:ascii="Palatino Linotype" w:eastAsia="Palatino Linotype" w:hAnsi="Palatino Linotype" w:cs="Palatino Linotype"/>
          <w:b/>
          <w:i/>
          <w:color w:val="000000" w:themeColor="text1"/>
        </w:rPr>
        <w:t>Artículo 149.</w:t>
      </w:r>
      <w:r w:rsidRPr="00A97575">
        <w:rPr>
          <w:rFonts w:ascii="Palatino Linotype" w:eastAsia="Palatino Linotype" w:hAnsi="Palatino Linotype" w:cs="Palatino Linotype"/>
          <w:i/>
          <w:color w:val="000000" w:themeColor="text1"/>
        </w:rPr>
        <w:t xml:space="preserve"> El </w:t>
      </w:r>
      <w:r w:rsidRPr="00A97575">
        <w:rPr>
          <w:rFonts w:ascii="Palatino Linotype" w:eastAsia="Palatino Linotype" w:hAnsi="Palatino Linotype" w:cs="Palatino Linotype"/>
          <w:b/>
          <w:i/>
          <w:color w:val="000000" w:themeColor="text1"/>
        </w:rPr>
        <w:t>acuerdo que clasifique la información como confidencial</w:t>
      </w:r>
      <w:r w:rsidRPr="00A97575">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p>
    <w:p w:rsidR="005E6833" w:rsidRPr="00A97575"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 xml:space="preserve">Es decir, el </w:t>
      </w:r>
      <w:r w:rsidR="00257C34" w:rsidRPr="00A97575">
        <w:rPr>
          <w:rFonts w:ascii="Palatino Linotype" w:eastAsia="Palatino Linotype" w:hAnsi="Palatino Linotype" w:cs="Palatino Linotype"/>
          <w:b/>
          <w:color w:val="000000" w:themeColor="text1"/>
        </w:rPr>
        <w:t>SUJETO OBLIGADO</w:t>
      </w:r>
      <w:r w:rsidR="00257C34" w:rsidRPr="00A97575">
        <w:rPr>
          <w:rFonts w:ascii="Palatino Linotype" w:eastAsia="Palatino Linotype" w:hAnsi="Palatino Linotype" w:cs="Palatino Linotype"/>
          <w:color w:val="000000" w:themeColor="text1"/>
        </w:rPr>
        <w:t xml:space="preserve"> </w:t>
      </w:r>
      <w:r w:rsidRPr="00A97575">
        <w:rPr>
          <w:rFonts w:ascii="Palatino Linotype" w:eastAsia="Palatino Linotype" w:hAnsi="Palatino Linotype" w:cs="Palatino Linotype"/>
          <w:color w:val="000000" w:themeColor="text1"/>
        </w:rPr>
        <w:t>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257C34" w:rsidRPr="00A97575"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lang w:val="es-ES_tradnl" w:eastAsia="es-ES"/>
        </w:rPr>
        <w:lastRenderedPageBreak/>
        <w:t xml:space="preserve">En el caso específico, </w:t>
      </w:r>
      <w:r w:rsidR="00257C34" w:rsidRPr="00A97575">
        <w:rPr>
          <w:rFonts w:ascii="Palatino Linotype" w:eastAsia="Palatino Linotype" w:hAnsi="Palatino Linotype" w:cs="Palatino Linotype"/>
          <w:color w:val="000000" w:themeColor="text1"/>
          <w:lang w:val="es-ES_tradnl" w:eastAsia="es-ES"/>
        </w:rPr>
        <w:t>e</w:t>
      </w:r>
      <w:r w:rsidR="00257C34" w:rsidRPr="00A97575">
        <w:rPr>
          <w:rFonts w:ascii="Palatino Linotype" w:hAnsi="Palatino Linotype" w:cs="Arial"/>
          <w:color w:val="000000" w:themeColor="text1"/>
        </w:rPr>
        <w:t xml:space="preserve">l  nombre de los proveedores y contratistas es de naturaleza pública, al existir la </w:t>
      </w:r>
      <w:r w:rsidR="00257C34" w:rsidRPr="00A97575">
        <w:rPr>
          <w:rFonts w:ascii="Palatino Linotype" w:eastAsia="Palatino Linotype" w:hAnsi="Palatino Linotype" w:cs="Palatino Linotype"/>
          <w:color w:val="000000" w:themeColor="text1"/>
        </w:rPr>
        <w:t>obligación de difundir toda aquella información relativa a los montos y las personas a quienes entreguen, por cualquier motivo, recursos públicos, así como los informes que dichas personas entreguen sobre el uso y destino de dichos recursos, ello conforme al contenido del penúltimo párrafo del artículo 23 de la Ley de Transparencia y Acceso a la Información Pública del Estado de México y Municipios, como se muestra a continuación:</w:t>
      </w:r>
    </w:p>
    <w:p w:rsidR="00257C34" w:rsidRPr="00A97575" w:rsidRDefault="00257C34" w:rsidP="00A97575">
      <w:pPr>
        <w:spacing w:line="360" w:lineRule="auto"/>
        <w:ind w:right="-28"/>
        <w:contextualSpacing/>
        <w:jc w:val="both"/>
        <w:rPr>
          <w:rFonts w:ascii="Palatino Linotype" w:eastAsia="Cambria" w:hAnsi="Palatino Linotype"/>
          <w:b/>
          <w:bCs/>
          <w:i/>
          <w:color w:val="000000" w:themeColor="text1"/>
          <w:kern w:val="28"/>
        </w:rPr>
      </w:pPr>
      <w:r w:rsidRPr="00A97575">
        <w:rPr>
          <w:rFonts w:ascii="Palatino Linotype" w:eastAsia="Cambria" w:hAnsi="Palatino Linotype"/>
          <w:i/>
          <w:color w:val="000000" w:themeColor="text1"/>
          <w:kern w:val="28"/>
        </w:rPr>
        <w:t>“</w:t>
      </w:r>
      <w:r w:rsidRPr="00A97575">
        <w:rPr>
          <w:rFonts w:ascii="Palatino Linotype" w:eastAsia="Cambria" w:hAnsi="Palatino Linotype"/>
          <w:b/>
          <w:bCs/>
          <w:i/>
          <w:color w:val="000000" w:themeColor="text1"/>
          <w:kern w:val="28"/>
        </w:rPr>
        <w:t>Artículo 23. (…)</w:t>
      </w:r>
    </w:p>
    <w:p w:rsidR="00257C34" w:rsidRPr="00A97575" w:rsidRDefault="00257C34" w:rsidP="00A97575">
      <w:pPr>
        <w:spacing w:line="360" w:lineRule="auto"/>
        <w:ind w:right="-28"/>
        <w:contextualSpacing/>
        <w:jc w:val="both"/>
        <w:rPr>
          <w:rFonts w:ascii="Palatino Linotype" w:eastAsia="Cambria" w:hAnsi="Palatino Linotype"/>
          <w:i/>
          <w:color w:val="000000" w:themeColor="text1"/>
          <w:kern w:val="28"/>
        </w:rPr>
      </w:pPr>
      <w:r w:rsidRPr="00A97575">
        <w:rPr>
          <w:rFonts w:ascii="Palatino Linotype" w:eastAsia="Cambria" w:hAnsi="Palatino Linotype"/>
          <w:b/>
          <w:bCs/>
          <w:i/>
          <w:color w:val="000000" w:themeColor="text1"/>
          <w:kern w:val="28"/>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A97575">
        <w:rPr>
          <w:rFonts w:ascii="Palatino Linotype" w:eastAsia="Cambria" w:hAnsi="Palatino Linotype"/>
          <w:i/>
          <w:color w:val="000000" w:themeColor="text1"/>
          <w:kern w:val="28"/>
        </w:rPr>
        <w:t>.”</w:t>
      </w:r>
    </w:p>
    <w:p w:rsidR="00257C34" w:rsidRPr="00A97575" w:rsidRDefault="00257C34" w:rsidP="00A97575">
      <w:pPr>
        <w:spacing w:line="360" w:lineRule="auto"/>
        <w:ind w:right="-28"/>
        <w:contextualSpacing/>
        <w:jc w:val="both"/>
        <w:rPr>
          <w:rFonts w:ascii="Palatino Linotype" w:eastAsia="Palatino Linotype" w:hAnsi="Palatino Linotype" w:cs="Arial"/>
          <w:color w:val="000000" w:themeColor="text1"/>
          <w:lang w:val="es-ES"/>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Arial"/>
          <w:color w:val="000000" w:themeColor="text1"/>
        </w:rPr>
      </w:pPr>
      <w:r w:rsidRPr="00A97575">
        <w:rPr>
          <w:rFonts w:ascii="Palatino Linotype" w:eastAsia="Palatino Linotype" w:hAnsi="Palatino Linotype" w:cs="Arial"/>
          <w:color w:val="000000" w:themeColor="text1"/>
        </w:rPr>
        <w:t xml:space="preserve">Asimismo, resulta necesario referir que el nombre de proveedores y contratistas, corresponde a información que se encuentra considerada como una de las </w:t>
      </w:r>
      <w:r w:rsidRPr="00A97575">
        <w:rPr>
          <w:rFonts w:ascii="Palatino Linotype" w:eastAsia="Palatino Linotype" w:hAnsi="Palatino Linotype" w:cs="Palatino Linotype"/>
          <w:color w:val="000000" w:themeColor="text1"/>
          <w:lang w:val="es-ES_tradnl" w:eastAsia="es-ES"/>
        </w:rPr>
        <w:t>obligaciones</w:t>
      </w:r>
      <w:r w:rsidRPr="00A97575">
        <w:rPr>
          <w:rFonts w:ascii="Palatino Linotype" w:eastAsia="Palatino Linotype" w:hAnsi="Palatino Linotype" w:cs="Arial"/>
          <w:color w:val="000000" w:themeColor="text1"/>
        </w:rPr>
        <w:t xml:space="preserve"> de transparencia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XXXII, dispone lo siguiente: </w:t>
      </w:r>
    </w:p>
    <w:p w:rsidR="00257C34" w:rsidRPr="00A97575" w:rsidRDefault="00257C34" w:rsidP="00A97575">
      <w:pPr>
        <w:spacing w:line="360" w:lineRule="auto"/>
        <w:ind w:right="-28"/>
        <w:contextualSpacing/>
        <w:jc w:val="both"/>
        <w:rPr>
          <w:rFonts w:ascii="Palatino Linotype" w:eastAsia="Cambria" w:hAnsi="Palatino Linotype"/>
          <w:i/>
          <w:color w:val="000000" w:themeColor="text1"/>
          <w:kern w:val="28"/>
        </w:rPr>
      </w:pPr>
      <w:r w:rsidRPr="00A97575">
        <w:rPr>
          <w:rFonts w:ascii="Palatino Linotype" w:eastAsia="Cambria" w:hAnsi="Palatino Linotype"/>
          <w:b/>
          <w:i/>
          <w:color w:val="000000" w:themeColor="text1"/>
          <w:kern w:val="28"/>
        </w:rPr>
        <w:t>“Artículo 92.</w:t>
      </w:r>
      <w:r w:rsidRPr="00A97575">
        <w:rPr>
          <w:rFonts w:ascii="Palatino Linotype" w:eastAsia="Cambria" w:hAnsi="Palatino Linotype"/>
          <w:i/>
          <w:color w:val="000000" w:themeColor="text1"/>
          <w:kern w:val="28"/>
        </w:rPr>
        <w:t xml:space="preserve"> Los sujetos obligados deberán poner a disposición del público de manera permanente y actualizada de forma sencilla, precisa y entendible, en los respectivos medios electrónicos, de acuerdo con </w:t>
      </w:r>
      <w:r w:rsidRPr="00A97575">
        <w:rPr>
          <w:rFonts w:ascii="Palatino Linotype" w:eastAsia="Cambria" w:hAnsi="Palatino Linotype"/>
          <w:i/>
          <w:color w:val="000000" w:themeColor="text1"/>
          <w:kern w:val="28"/>
        </w:rPr>
        <w:lastRenderedPageBreak/>
        <w:t>sus facultades, atribuciones, funciones u objeto social, según corresponda, la información, por lo menos, de los temas, documentos y políticas que a continuación se señalan:</w:t>
      </w:r>
    </w:p>
    <w:p w:rsidR="00257C34" w:rsidRPr="00A97575" w:rsidRDefault="00257C34" w:rsidP="00A97575">
      <w:pPr>
        <w:spacing w:line="360" w:lineRule="auto"/>
        <w:ind w:right="-28"/>
        <w:contextualSpacing/>
        <w:jc w:val="both"/>
        <w:rPr>
          <w:rFonts w:ascii="Palatino Linotype" w:eastAsia="Cambria" w:hAnsi="Palatino Linotype"/>
          <w:i/>
          <w:color w:val="000000" w:themeColor="text1"/>
          <w:kern w:val="28"/>
        </w:rPr>
      </w:pPr>
      <w:r w:rsidRPr="00A97575">
        <w:rPr>
          <w:rFonts w:ascii="Palatino Linotype" w:eastAsia="Cambria" w:hAnsi="Palatino Linotype"/>
          <w:b/>
          <w:i/>
          <w:color w:val="000000" w:themeColor="text1"/>
          <w:kern w:val="28"/>
        </w:rPr>
        <w:t>(…</w:t>
      </w:r>
      <w:r w:rsidRPr="00A97575">
        <w:rPr>
          <w:rFonts w:ascii="Palatino Linotype" w:eastAsia="Cambria" w:hAnsi="Palatino Linotype"/>
          <w:i/>
          <w:color w:val="000000" w:themeColor="text1"/>
          <w:kern w:val="28"/>
        </w:rPr>
        <w:t>)</w:t>
      </w:r>
    </w:p>
    <w:p w:rsidR="00257C34" w:rsidRPr="00A97575" w:rsidRDefault="00257C34" w:rsidP="00A97575">
      <w:pPr>
        <w:spacing w:line="360" w:lineRule="auto"/>
        <w:ind w:right="-28"/>
        <w:contextualSpacing/>
        <w:jc w:val="both"/>
        <w:rPr>
          <w:rFonts w:ascii="Palatino Linotype" w:eastAsia="Cambria" w:hAnsi="Palatino Linotype"/>
          <w:i/>
          <w:color w:val="000000" w:themeColor="text1"/>
          <w:kern w:val="28"/>
        </w:rPr>
      </w:pPr>
      <w:r w:rsidRPr="00A97575">
        <w:rPr>
          <w:rFonts w:ascii="Palatino Linotype" w:eastAsia="Cambria" w:hAnsi="Palatino Linotype"/>
          <w:b/>
          <w:bCs/>
          <w:i/>
          <w:color w:val="000000" w:themeColor="text1"/>
          <w:kern w:val="28"/>
        </w:rPr>
        <w:t>XXXII.</w:t>
      </w:r>
      <w:r w:rsidRPr="00A97575">
        <w:rPr>
          <w:rFonts w:ascii="Palatino Linotype" w:eastAsia="Cambria" w:hAnsi="Palatino Linotype"/>
          <w:i/>
          <w:color w:val="000000" w:themeColor="text1"/>
          <w:kern w:val="28"/>
        </w:rPr>
        <w:t xml:space="preserve"> Las concesiones, </w:t>
      </w:r>
      <w:r w:rsidRPr="00A97575">
        <w:rPr>
          <w:rFonts w:ascii="Palatino Linotype" w:eastAsia="Cambria" w:hAnsi="Palatino Linotype"/>
          <w:i/>
          <w:color w:val="000000" w:themeColor="text1"/>
          <w:kern w:val="28"/>
          <w:u w:val="single"/>
        </w:rPr>
        <w:t>contratos</w:t>
      </w:r>
      <w:r w:rsidRPr="00A97575">
        <w:rPr>
          <w:rFonts w:ascii="Palatino Linotype" w:eastAsia="Cambria" w:hAnsi="Palatino Linotype"/>
          <w:i/>
          <w:color w:val="000000" w:themeColor="text1"/>
          <w:kern w:val="28"/>
        </w:rPr>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257C34" w:rsidRPr="00A97575" w:rsidRDefault="00257C34" w:rsidP="00A97575">
      <w:pPr>
        <w:spacing w:line="360" w:lineRule="auto"/>
        <w:ind w:right="-28"/>
        <w:contextualSpacing/>
        <w:jc w:val="both"/>
        <w:rPr>
          <w:rFonts w:ascii="Palatino Linotype" w:eastAsia="Palatino Linotype" w:hAnsi="Palatino Linotype" w:cs="Palatino Linotype"/>
          <w:i/>
          <w:color w:val="000000" w:themeColor="text1"/>
          <w:kern w:val="28"/>
        </w:rPr>
      </w:pPr>
    </w:p>
    <w:p w:rsidR="00257C34" w:rsidRPr="00A97575" w:rsidRDefault="00222C26"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otro lado</w:t>
      </w:r>
      <w:r w:rsidR="00257C34" w:rsidRPr="00A97575">
        <w:rPr>
          <w:rFonts w:ascii="Palatino Linotype" w:hAnsi="Palatino Linotype"/>
          <w:color w:val="000000" w:themeColor="text1"/>
        </w:rPr>
        <w:t xml:space="preserve">,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w:t>
      </w:r>
      <w:r w:rsidR="00257C34" w:rsidRPr="00A97575">
        <w:rPr>
          <w:rFonts w:ascii="Palatino Linotype" w:hAnsi="Palatino Linotype" w:cs="Arial"/>
          <w:color w:val="000000" w:themeColor="text1"/>
        </w:rPr>
        <w:t>deben testarse al momento de la elaboración de versiones públicas,</w:t>
      </w:r>
      <w:r w:rsidR="00257C34" w:rsidRPr="00A97575">
        <w:rPr>
          <w:rFonts w:ascii="Palatino Linotype" w:hAnsi="Palatino Linotype"/>
          <w:color w:val="000000" w:themeColor="text1"/>
        </w:rPr>
        <w:t xml:space="preserve"> como pudieran ser de manera enunciativa más no limitativa, la Clave Única de Registro de Población (CURP), el número de credencial para votar, la clave de elector, los Códigos QR, el número de cuenta bancaria, que sean exclusivamente de particulares.</w:t>
      </w:r>
    </w:p>
    <w:p w:rsidR="00222C26" w:rsidRPr="00A97575" w:rsidRDefault="00222C26"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eastAsia="Calibri" w:hAnsi="Palatino Linotype" w:cs="Arial"/>
          <w:color w:val="000000" w:themeColor="text1"/>
        </w:rPr>
      </w:pPr>
      <w:r w:rsidRPr="00A97575">
        <w:rPr>
          <w:rFonts w:ascii="Palatino Linotype" w:hAnsi="Palatino Linotype"/>
          <w:color w:val="000000" w:themeColor="text1"/>
        </w:rPr>
        <w:t xml:space="preserve">Así, la </w:t>
      </w:r>
      <w:r w:rsidRPr="00A97575">
        <w:rPr>
          <w:rFonts w:ascii="Palatino Linotype" w:hAnsi="Palatino Linotype" w:cs="Arial"/>
          <w:b/>
          <w:bCs/>
          <w:color w:val="000000" w:themeColor="text1"/>
        </w:rPr>
        <w:t xml:space="preserve">Clave Única de Registro de Población (CURP) </w:t>
      </w:r>
      <w:r w:rsidRPr="00A97575">
        <w:rPr>
          <w:rFonts w:ascii="Palatino Linotype" w:hAnsi="Palatino Linotype" w:cs="Arial"/>
          <w:color w:val="000000" w:themeColor="text1"/>
        </w:rPr>
        <w:t xml:space="preserve">constituye un dato personal, ya que tiene como finalidad registrar a cada una de las personas que integran la población del país, con datos </w:t>
      </w:r>
      <w:r w:rsidRPr="00A97575">
        <w:rPr>
          <w:rFonts w:ascii="Palatino Linotype" w:hAnsi="Palatino Linotype"/>
          <w:color w:val="000000" w:themeColor="text1"/>
        </w:rPr>
        <w:t>que</w:t>
      </w:r>
      <w:r w:rsidRPr="00A97575">
        <w:rPr>
          <w:rFonts w:ascii="Palatino Linotype" w:hAnsi="Palatino Linotype" w:cs="Arial"/>
          <w:color w:val="000000" w:themeColor="text1"/>
        </w:rPr>
        <w:t xml:space="preserve"> permitan certificar y acreditar fehacientemente su identidad, en virtud de que se </w:t>
      </w:r>
      <w:r w:rsidRPr="00A97575">
        <w:rPr>
          <w:rFonts w:ascii="Palatino Linotype" w:eastAsia="Calibri" w:hAnsi="Palatino Linotype" w:cs="Arial"/>
          <w:color w:val="000000" w:themeColor="text1"/>
        </w:rPr>
        <w:t xml:space="preserve">integra por datos personales que únicamente le conciernen a un particular como son su </w:t>
      </w:r>
      <w:r w:rsidRPr="00A97575">
        <w:rPr>
          <w:rFonts w:ascii="Palatino Linotype" w:eastAsia="Calibri" w:hAnsi="Palatino Linotype" w:cs="Arial"/>
          <w:color w:val="000000" w:themeColor="text1"/>
        </w:rPr>
        <w:lastRenderedPageBreak/>
        <w:t>fecha de nacimiento, su nombre, sus apellidos y su lugar de nacimiento; información que permite distinguirlo del resto de los habitantes, por tal motivo, se considera que es de carácter confidencial.</w:t>
      </w:r>
    </w:p>
    <w:p w:rsidR="00222C26" w:rsidRPr="00A97575" w:rsidRDefault="00222C26" w:rsidP="00A97575">
      <w:pPr>
        <w:pStyle w:val="Prrafodelista"/>
        <w:ind w:left="0" w:right="-28"/>
        <w:rPr>
          <w:rFonts w:ascii="Palatino Linotype" w:eastAsia="Calibri" w:hAnsi="Palatino Linotype" w:cs="Arial"/>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themeColor="text1"/>
        </w:rPr>
      </w:pPr>
      <w:r w:rsidRPr="00A97575">
        <w:rPr>
          <w:rFonts w:ascii="Palatino Linotype" w:hAnsi="Palatino Linotype"/>
          <w:color w:val="000000" w:themeColor="text1"/>
        </w:rPr>
        <w:t>Argumento</w:t>
      </w:r>
      <w:r w:rsidRPr="00A97575">
        <w:rPr>
          <w:rFonts w:ascii="Palatino Linotype" w:hAnsi="Palatino Linotype" w:cs="Arial"/>
          <w:color w:val="000000" w:themeColor="text1"/>
        </w:rPr>
        <w:t xml:space="preserve"> que es compartido por el Instituto </w:t>
      </w:r>
      <w:r w:rsidRPr="00A97575">
        <w:rPr>
          <w:rFonts w:ascii="Palatino Linotype" w:hAnsi="Palatino Linotype" w:cs="Arial"/>
          <w:bCs/>
          <w:color w:val="000000" w:themeColor="text1"/>
          <w:shd w:val="clear" w:color="auto" w:fill="FFFFFF"/>
        </w:rPr>
        <w:t>Nacional de Transparencia, Acceso a la Información y Protección de Datos Personales, INAI</w:t>
      </w:r>
      <w:r w:rsidRPr="00A97575">
        <w:rPr>
          <w:rStyle w:val="Textoennegrita"/>
          <w:rFonts w:ascii="Palatino Linotype" w:hAnsi="Palatino Linotype" w:cs="Arial"/>
          <w:color w:val="000000" w:themeColor="text1"/>
        </w:rPr>
        <w:t xml:space="preserve">, conforme al </w:t>
      </w:r>
      <w:r w:rsidRPr="00A97575">
        <w:rPr>
          <w:rFonts w:ascii="Palatino Linotype" w:hAnsi="Palatino Linotype" w:cs="Arial"/>
          <w:color w:val="000000" w:themeColor="text1"/>
        </w:rPr>
        <w:t xml:space="preserve">criterio 18/17, el cual refiere: </w:t>
      </w:r>
    </w:p>
    <w:p w:rsidR="00257C34" w:rsidRDefault="00257C34" w:rsidP="00A97575">
      <w:pPr>
        <w:autoSpaceDE w:val="0"/>
        <w:autoSpaceDN w:val="0"/>
        <w:adjustRightInd w:val="0"/>
        <w:ind w:right="-28"/>
        <w:jc w:val="both"/>
        <w:rPr>
          <w:rFonts w:ascii="Palatino Linotype" w:hAnsi="Palatino Linotype" w:cs="Arial"/>
          <w:bCs/>
          <w:i/>
          <w:color w:val="000000" w:themeColor="text1"/>
        </w:rPr>
      </w:pPr>
      <w:r w:rsidRPr="00A97575">
        <w:rPr>
          <w:rFonts w:ascii="Palatino Linotype" w:hAnsi="Palatino Linotype" w:cs="Arial"/>
          <w:b/>
          <w:bCs/>
          <w:i/>
          <w:color w:val="000000" w:themeColor="text1"/>
        </w:rPr>
        <w:t xml:space="preserve">“Clave Única de Registro de Población (CURP). </w:t>
      </w:r>
      <w:r w:rsidRPr="00A97575">
        <w:rPr>
          <w:rFonts w:ascii="Palatino Linotype" w:hAnsi="Palatino Linotype" w:cs="Arial"/>
          <w:bCs/>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5D6A0A" w:rsidRPr="00A97575" w:rsidRDefault="005D6A0A" w:rsidP="00A97575">
      <w:pPr>
        <w:autoSpaceDE w:val="0"/>
        <w:autoSpaceDN w:val="0"/>
        <w:adjustRightInd w:val="0"/>
        <w:ind w:right="-28"/>
        <w:jc w:val="both"/>
        <w:rPr>
          <w:rFonts w:ascii="Palatino Linotype" w:hAnsi="Palatino Linotype" w:cs="Arial"/>
          <w:i/>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hAnsi="Palatino Linotype"/>
          <w:color w:val="000000" w:themeColor="text1"/>
        </w:rPr>
        <w:t xml:space="preserve">El </w:t>
      </w:r>
      <w:r w:rsidRPr="00A97575">
        <w:rPr>
          <w:rFonts w:ascii="Palatino Linotype" w:hAnsi="Palatino Linotype"/>
          <w:b/>
          <w:bCs/>
          <w:i/>
          <w:iCs/>
          <w:color w:val="000000" w:themeColor="text1"/>
        </w:rPr>
        <w:t>número de OCR</w:t>
      </w:r>
      <w:r w:rsidRPr="00A97575">
        <w:rPr>
          <w:rFonts w:ascii="Palatino Linotype" w:hAnsi="Palatino Linotype"/>
          <w:color w:val="000000" w:themeColor="text1"/>
        </w:rPr>
        <w:t>,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rsidR="00885F00" w:rsidRPr="00A97575" w:rsidRDefault="00885F00"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hAnsi="Palatino Linotype"/>
          <w:color w:val="000000" w:themeColor="text1"/>
        </w:rPr>
        <w:t xml:space="preserve">La </w:t>
      </w:r>
      <w:r w:rsidRPr="00A97575">
        <w:rPr>
          <w:rFonts w:ascii="Palatino Linotype" w:hAnsi="Palatino Linotype"/>
          <w:b/>
          <w:bCs/>
          <w:i/>
          <w:iCs/>
          <w:color w:val="000000" w:themeColor="text1"/>
        </w:rPr>
        <w:t>clave de elector</w:t>
      </w:r>
      <w:r w:rsidRPr="00A97575">
        <w:rPr>
          <w:rFonts w:ascii="Palatino Linotype" w:hAnsi="Palatino Linotype"/>
          <w:color w:val="000000" w:themeColor="text1"/>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rsidR="00885F00" w:rsidRPr="00A97575" w:rsidRDefault="00885F00" w:rsidP="00A97575">
      <w:pPr>
        <w:pStyle w:val="Prrafodelista"/>
        <w:ind w:left="0" w:right="-28"/>
        <w:rPr>
          <w:rFonts w:ascii="Palatino Linotype" w:hAnsi="Palatino Linotype"/>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themeColor="text1"/>
        </w:rPr>
      </w:pPr>
      <w:r w:rsidRPr="00A97575">
        <w:rPr>
          <w:rFonts w:ascii="Palatino Linotype" w:hAnsi="Palatino Linotype" w:cs="Arial"/>
          <w:color w:val="000000" w:themeColor="text1"/>
        </w:rPr>
        <w:lastRenderedPageBreak/>
        <w:t xml:space="preserve">Los </w:t>
      </w:r>
      <w:r w:rsidRPr="00A97575">
        <w:rPr>
          <w:rFonts w:ascii="Palatino Linotype" w:hAnsi="Palatino Linotype" w:cs="Arial"/>
          <w:b/>
          <w:color w:val="000000" w:themeColor="text1"/>
        </w:rPr>
        <w:t>códigos bidimensionales</w:t>
      </w:r>
      <w:r w:rsidRPr="00A97575">
        <w:rPr>
          <w:rFonts w:ascii="Palatino Linotype" w:hAnsi="Palatino Linotype" w:cs="Arial"/>
          <w:color w:val="000000" w:themeColor="text1"/>
        </w:rPr>
        <w:t xml:space="preserve"> o </w:t>
      </w:r>
      <w:r w:rsidRPr="00A97575">
        <w:rPr>
          <w:rFonts w:ascii="Palatino Linotype" w:hAnsi="Palatino Linotype" w:cs="Arial"/>
          <w:b/>
          <w:color w:val="000000" w:themeColor="text1"/>
        </w:rPr>
        <w:t xml:space="preserve">códigos QR, </w:t>
      </w:r>
      <w:r w:rsidRPr="00A97575">
        <w:rPr>
          <w:rFonts w:ascii="Palatino Linotype" w:hAnsi="Palatino Linotype" w:cs="Arial"/>
          <w:color w:val="000000" w:themeColor="text1"/>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sidRPr="00A97575">
        <w:rPr>
          <w:rFonts w:ascii="Palatino Linotype" w:hAnsi="Palatino Linotype" w:cs="Arial"/>
          <w:b/>
          <w:color w:val="000000" w:themeColor="text1"/>
        </w:rPr>
        <w:t>Sujeto Obligado</w:t>
      </w:r>
      <w:r w:rsidRPr="00A97575">
        <w:rPr>
          <w:rFonts w:ascii="Palatino Linotype" w:hAnsi="Palatino Linotype" w:cs="Arial"/>
          <w:color w:val="000000" w:themeColor="text1"/>
        </w:rPr>
        <w:t xml:space="preserve"> advierte que en el presente caso se pueden obtener datos como el Registro Federal de Contribuyentes, la Clave Única del Registro de Población, entre otros que pudieran hacer identificable a una persona, deberá clasificarlo como confidencial.</w:t>
      </w:r>
    </w:p>
    <w:p w:rsidR="00257C34" w:rsidRPr="00A97575" w:rsidRDefault="00257C34" w:rsidP="00A97575">
      <w:pPr>
        <w:autoSpaceDE w:val="0"/>
        <w:autoSpaceDN w:val="0"/>
        <w:adjustRightInd w:val="0"/>
        <w:spacing w:before="240" w:after="240" w:line="360" w:lineRule="auto"/>
        <w:ind w:right="-28"/>
        <w:jc w:val="both"/>
        <w:rPr>
          <w:rFonts w:ascii="Palatino Linotype" w:hAnsi="Palatino Linotype"/>
          <w:color w:val="000000" w:themeColor="text1"/>
        </w:rPr>
      </w:pPr>
      <w:r w:rsidRPr="00A97575">
        <w:rPr>
          <w:rFonts w:ascii="Palatino Linotype" w:hAnsi="Palatino Linotype"/>
          <w:color w:val="000000" w:themeColor="text1"/>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hAnsi="Palatino Linotype"/>
          <w:color w:val="000000" w:themeColor="text1"/>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885F00" w:rsidRPr="00A97575" w:rsidRDefault="00885F00"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hAnsi="Palatino Linotype"/>
          <w:color w:val="000000" w:themeColor="text1"/>
        </w:rPr>
        <w:t xml:space="preserve">Además de que, la publicidad de los números de cuenta bancaria de los particulares en nada contribuye a la rendición de cuentas, sino por el contrario, dar a conocer los números de las </w:t>
      </w:r>
      <w:r w:rsidRPr="00A97575">
        <w:rPr>
          <w:rFonts w:ascii="Palatino Linotype" w:hAnsi="Palatino Linotype" w:cs="Arial"/>
          <w:color w:val="000000" w:themeColor="text1"/>
        </w:rPr>
        <w:t>cuentas</w:t>
      </w:r>
      <w:r w:rsidRPr="00A97575">
        <w:rPr>
          <w:rFonts w:ascii="Palatino Linotype" w:hAnsi="Palatino Linotype"/>
          <w:color w:val="000000" w:themeColor="text1"/>
        </w:rPr>
        <w:t xml:space="preserve"> bancarias hace vulnerable a las personas físicas, al abrir la posibilidad de que terceros que cuenten con las posibilidades tecnológicas y/o económicas puedan realizar actos </w:t>
      </w:r>
      <w:r w:rsidRPr="00A97575">
        <w:rPr>
          <w:rFonts w:ascii="Palatino Linotype" w:hAnsi="Palatino Linotype"/>
          <w:color w:val="000000" w:themeColor="text1"/>
        </w:rPr>
        <w:lastRenderedPageBreak/>
        <w:t xml:space="preserve">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6102AA" w:rsidRPr="00A97575" w:rsidRDefault="006102AA" w:rsidP="00A97575">
      <w:pPr>
        <w:pStyle w:val="Prrafodelista"/>
        <w:ind w:left="0" w:right="-28"/>
        <w:rPr>
          <w:rFonts w:ascii="Palatino Linotype" w:hAnsi="Palatino Linotype"/>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hAnsi="Palatino Linotype"/>
          <w:color w:val="000000" w:themeColor="text1"/>
        </w:rPr>
        <w:t>Es por esta razón que se debe omitir el o los números de cuentas bancarias de particulares en las versiones públicas que de las facturas se hagan, para ser entregadas.</w:t>
      </w:r>
    </w:p>
    <w:p w:rsidR="00885F00" w:rsidRPr="00A97575" w:rsidRDefault="00885F00"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hAnsi="Palatino Linotype"/>
          <w:color w:val="000000" w:themeColor="text1"/>
        </w:rPr>
        <w:t>Lo anterior, no es así tratándose de las cuentas bancarias o claves interbancarias de los Sujetos Obligados ya que su publicidad cede a la rendición de cuentas al transparentar la forma en que son administrados los recursos públicos.</w:t>
      </w:r>
    </w:p>
    <w:p w:rsidR="00885F00" w:rsidRPr="00A97575" w:rsidRDefault="00885F00"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hAnsi="Palatino Linotype"/>
          <w:color w:val="000000" w:themeColor="text1"/>
        </w:rPr>
        <w:t>Lo argumentado encuentra sustento en los criterios 10/17 y 11/17 emitidos por el Instituto Nacional de Transparencia, Acceso a la Información y Protección de Datos Personales, INAI, que llevan por rubro y texto los siguientes:</w:t>
      </w:r>
    </w:p>
    <w:p w:rsidR="00257C34" w:rsidRPr="00A97575" w:rsidRDefault="00257C34" w:rsidP="00A97575">
      <w:pPr>
        <w:autoSpaceDE w:val="0"/>
        <w:autoSpaceDN w:val="0"/>
        <w:adjustRightInd w:val="0"/>
        <w:spacing w:before="240" w:after="240"/>
        <w:ind w:right="-28"/>
        <w:jc w:val="both"/>
        <w:rPr>
          <w:rFonts w:ascii="Palatino Linotype" w:hAnsi="Palatino Linotype"/>
          <w:i/>
          <w:iCs/>
          <w:color w:val="000000" w:themeColor="text1"/>
        </w:rPr>
      </w:pPr>
      <w:r w:rsidRPr="00A97575">
        <w:rPr>
          <w:rFonts w:ascii="Palatino Linotype" w:hAnsi="Palatino Linotype"/>
          <w:b/>
          <w:bCs/>
          <w:i/>
          <w:iCs/>
          <w:color w:val="000000" w:themeColor="text1"/>
        </w:rPr>
        <w:t>“Cuentas bancarias y/o CLABE interbancaria de personas físicas y morales privadas.</w:t>
      </w:r>
      <w:r w:rsidRPr="00A97575">
        <w:rPr>
          <w:rFonts w:ascii="Palatino Linotype" w:hAnsi="Palatino Linotype"/>
          <w:i/>
          <w:iCs/>
          <w:color w:val="000000" w:themeColor="text1"/>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257C34" w:rsidRDefault="00257C34" w:rsidP="00A97575">
      <w:pPr>
        <w:autoSpaceDE w:val="0"/>
        <w:autoSpaceDN w:val="0"/>
        <w:adjustRightInd w:val="0"/>
        <w:spacing w:before="240" w:after="240"/>
        <w:ind w:right="-28"/>
        <w:jc w:val="both"/>
        <w:rPr>
          <w:rFonts w:ascii="Palatino Linotype" w:hAnsi="Palatino Linotype"/>
          <w:i/>
          <w:iCs/>
          <w:color w:val="000000" w:themeColor="text1"/>
        </w:rPr>
      </w:pPr>
      <w:r w:rsidRPr="00A97575">
        <w:rPr>
          <w:rFonts w:ascii="Palatino Linotype" w:hAnsi="Palatino Linotype"/>
          <w:b/>
          <w:bCs/>
          <w:i/>
          <w:iCs/>
          <w:color w:val="000000" w:themeColor="text1"/>
        </w:rPr>
        <w:t>Cuentas bancarias y/o CLABE interbancaria de sujetos obligados que reciben y/o transfieren recursos públicos, son información pública</w:t>
      </w:r>
      <w:r w:rsidRPr="00A97575">
        <w:rPr>
          <w:rFonts w:ascii="Palatino Linotype" w:hAnsi="Palatino Linotype"/>
          <w:i/>
          <w:iCs/>
          <w:color w:val="000000" w:themeColor="text1"/>
        </w:rPr>
        <w:t xml:space="preserve">. La difusión de las cuentas bancarias y claves interbancarias pertenecientes a un sujeto obligado favorece la rendición de cuentas al transparentar la </w:t>
      </w:r>
      <w:r w:rsidRPr="00A97575">
        <w:rPr>
          <w:rFonts w:ascii="Palatino Linotype" w:hAnsi="Palatino Linotype"/>
          <w:i/>
          <w:iCs/>
          <w:color w:val="000000" w:themeColor="text1"/>
        </w:rPr>
        <w:lastRenderedPageBreak/>
        <w:t>forma en que se administran los recursos públicos, razón por la cual no pueden considerarse como información clasificada.”</w:t>
      </w:r>
    </w:p>
    <w:p w:rsidR="005D6A0A" w:rsidRPr="00A97575" w:rsidRDefault="005D6A0A" w:rsidP="00A97575">
      <w:pPr>
        <w:autoSpaceDE w:val="0"/>
        <w:autoSpaceDN w:val="0"/>
        <w:adjustRightInd w:val="0"/>
        <w:spacing w:before="240" w:after="240"/>
        <w:ind w:right="-28"/>
        <w:jc w:val="both"/>
        <w:rPr>
          <w:rFonts w:ascii="Palatino Linotype" w:hAnsi="Palatino Linotype"/>
          <w:i/>
          <w:iCs/>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themeColor="text1"/>
        </w:rPr>
      </w:pPr>
      <w:r w:rsidRPr="00A97575">
        <w:rPr>
          <w:rFonts w:ascii="Palatino Linotype" w:hAnsi="Palatino Linotype" w:cs="Arial"/>
          <w:color w:val="000000" w:themeColor="text1"/>
        </w:rPr>
        <w:t xml:space="preserve">En esa virtud, este </w:t>
      </w:r>
      <w:r w:rsidRPr="00A97575">
        <w:rPr>
          <w:rFonts w:ascii="Palatino Linotype" w:hAnsi="Palatino Linotype"/>
          <w:color w:val="000000" w:themeColor="text1"/>
        </w:rPr>
        <w:t>Pleno</w:t>
      </w:r>
      <w:r w:rsidRPr="00A97575">
        <w:rPr>
          <w:rFonts w:ascii="Palatino Linotype" w:hAnsi="Palatino Linotype" w:cs="Arial"/>
          <w:color w:val="000000" w:themeColor="text1"/>
        </w:rPr>
        <w:t xml:space="preserve"> determina que dicha información no puede ser del dominio público, toda vez que se podría dar un uso inadecuado a la misma o cometer algún ilícito o fraude como ya ha sido expuesto. </w:t>
      </w:r>
    </w:p>
    <w:p w:rsidR="00885F00" w:rsidRPr="00A97575" w:rsidRDefault="00885F00" w:rsidP="00A97575">
      <w:pPr>
        <w:pBdr>
          <w:top w:val="nil"/>
          <w:left w:val="nil"/>
          <w:bottom w:val="nil"/>
          <w:right w:val="nil"/>
          <w:between w:val="nil"/>
        </w:pBdr>
        <w:spacing w:line="360" w:lineRule="auto"/>
        <w:ind w:right="-28"/>
        <w:jc w:val="both"/>
        <w:rPr>
          <w:rFonts w:ascii="Palatino Linotype" w:hAnsi="Palatino Linotype" w:cs="Arial"/>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themeColor="text1"/>
        </w:rPr>
      </w:pPr>
      <w:r w:rsidRPr="00A97575">
        <w:rPr>
          <w:rFonts w:ascii="Palatino Linotype" w:hAnsi="Palatino Linotype"/>
          <w:color w:val="000000" w:themeColor="text1"/>
        </w:rPr>
        <w:t xml:space="preserve">Por </w:t>
      </w:r>
      <w:r w:rsidRPr="00A97575">
        <w:rPr>
          <w:rFonts w:ascii="Palatino Linotype" w:hAnsi="Palatino Linotype" w:cs="Arial"/>
          <w:color w:val="000000" w:themeColor="text1"/>
        </w:rPr>
        <w:t>cuanto</w:t>
      </w:r>
      <w:r w:rsidRPr="00A97575">
        <w:rPr>
          <w:rFonts w:ascii="Palatino Linotype" w:hAnsi="Palatino Linotype"/>
          <w:color w:val="000000" w:themeColor="text1"/>
        </w:rPr>
        <w:t xml:space="preserve"> hace al </w:t>
      </w:r>
      <w:r w:rsidRPr="00A97575">
        <w:rPr>
          <w:rFonts w:ascii="Palatino Linotype" w:hAnsi="Palatino Linotype"/>
          <w:b/>
          <w:color w:val="000000" w:themeColor="text1"/>
        </w:rPr>
        <w:t xml:space="preserve">Registro Federal de Contribuyentes (RFC), </w:t>
      </w:r>
      <w:r w:rsidRPr="00A97575">
        <w:rPr>
          <w:rFonts w:ascii="Palatino Linotype" w:hAnsi="Palatino Linotype" w:cs="Arial"/>
          <w:color w:val="000000" w:themeColor="text1"/>
        </w:rPr>
        <w:t>si bien este Instituto ha sostenido que el RFC y domicilio fiscal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885F00" w:rsidRPr="00A97575" w:rsidRDefault="00885F00" w:rsidP="00A97575">
      <w:pPr>
        <w:pStyle w:val="Prrafodelista"/>
        <w:ind w:left="0" w:right="-28"/>
        <w:rPr>
          <w:rFonts w:ascii="Palatino Linotype" w:hAnsi="Palatino Linotype" w:cs="Arial"/>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themeColor="text1"/>
        </w:rPr>
      </w:pPr>
      <w:r w:rsidRPr="00A97575">
        <w:rPr>
          <w:rFonts w:ascii="Palatino Linotype" w:hAnsi="Palatino Linotype" w:cs="Arial"/>
          <w:color w:val="000000" w:themeColor="text1"/>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w:t>
      </w:r>
      <w:r w:rsidRPr="00A97575">
        <w:rPr>
          <w:rFonts w:ascii="Palatino Linotype" w:hAnsi="Palatino Linotype"/>
          <w:color w:val="000000" w:themeColor="text1"/>
        </w:rPr>
        <w:t>encuentran</w:t>
      </w:r>
      <w:r w:rsidRPr="00A97575">
        <w:rPr>
          <w:rFonts w:ascii="Palatino Linotype" w:hAnsi="Palatino Linotype" w:cs="Arial"/>
          <w:color w:val="000000" w:themeColor="text1"/>
        </w:rPr>
        <w:t xml:space="preserve"> su origen en mayor medida en las contribuciones aportados por los gobernados, por lo que debe transparentarse su ejercicio.</w:t>
      </w:r>
    </w:p>
    <w:p w:rsidR="00885F00" w:rsidRPr="00A97575" w:rsidRDefault="00885F00" w:rsidP="00A97575">
      <w:pPr>
        <w:pBdr>
          <w:top w:val="nil"/>
          <w:left w:val="nil"/>
          <w:bottom w:val="nil"/>
          <w:right w:val="nil"/>
          <w:between w:val="nil"/>
        </w:pBdr>
        <w:spacing w:line="360" w:lineRule="auto"/>
        <w:ind w:right="-28"/>
        <w:jc w:val="both"/>
        <w:rPr>
          <w:rFonts w:ascii="Palatino Linotype" w:hAnsi="Palatino Linotype" w:cs="Arial"/>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themeColor="text1"/>
        </w:rPr>
      </w:pPr>
      <w:r w:rsidRPr="00A97575">
        <w:rPr>
          <w:rFonts w:ascii="Palatino Linotype" w:hAnsi="Palatino Linotype" w:cs="Arial"/>
          <w:color w:val="000000" w:themeColor="text1"/>
        </w:rPr>
        <w:t xml:space="preserve">Además, las personas físicas que realicen las actividades contratadas por las instituciones, renuncian implícitamente a una parte de su derecho a la intimidad al obtener </w:t>
      </w:r>
      <w:r w:rsidRPr="00A97575">
        <w:rPr>
          <w:rFonts w:ascii="Palatino Linotype" w:hAnsi="Palatino Linotype" w:cs="Arial"/>
          <w:color w:val="000000" w:themeColor="text1"/>
        </w:rPr>
        <w:lastRenderedPageBreak/>
        <w:t>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885F00" w:rsidRPr="00A97575" w:rsidRDefault="00885F00" w:rsidP="00A97575">
      <w:pPr>
        <w:pStyle w:val="Prrafodelista"/>
        <w:ind w:left="0" w:right="-28"/>
        <w:rPr>
          <w:rFonts w:ascii="Palatino Linotype" w:hAnsi="Palatino Linotype" w:cs="Arial"/>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hAnsi="Palatino Linotype" w:cs="Arial"/>
          <w:color w:val="000000" w:themeColor="text1"/>
        </w:rPr>
        <w:t xml:space="preserve">Relacionado con lo anterior, el nombre de las personas físicas o los representantes legales de las personas morales, en su calidad de proveedores, contratistas o prestadores de servicios, y la firma de estos, </w:t>
      </w:r>
      <w:r w:rsidRPr="00A97575">
        <w:rPr>
          <w:rFonts w:ascii="Palatino Linotype" w:hAnsi="Palatino Linotype"/>
          <w:color w:val="000000" w:themeColor="text1"/>
        </w:rPr>
        <w:t xml:space="preserve">que participaron en el proceso de adjudicación en la modalidad de licitación pública nacional, debe mencionarse que con base en el artículo 23 párrafo segundo y 24 fracción XVIII  de la </w:t>
      </w:r>
      <w:r w:rsidRPr="00A97575">
        <w:rPr>
          <w:rFonts w:ascii="Palatino Linotype" w:hAnsi="Palatino Linotype" w:cs="Arial"/>
          <w:color w:val="000000" w:themeColor="text1"/>
        </w:rPr>
        <w:t>Ley de Transparencia y Acceso a la Información Pública del Estado de México y Municipios</w:t>
      </w:r>
      <w:r w:rsidRPr="00A97575">
        <w:rPr>
          <w:rFonts w:ascii="Palatino Linotype" w:hAnsi="Palatino Linotype"/>
          <w:color w:val="000000" w:themeColor="text1"/>
        </w:rPr>
        <w:t>,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rsidR="00885F00" w:rsidRPr="00A97575" w:rsidRDefault="00885F00" w:rsidP="00A97575">
      <w:pPr>
        <w:pBdr>
          <w:top w:val="nil"/>
          <w:left w:val="nil"/>
          <w:bottom w:val="nil"/>
          <w:right w:val="nil"/>
          <w:between w:val="nil"/>
        </w:pBdr>
        <w:spacing w:line="360" w:lineRule="auto"/>
        <w:ind w:right="-28"/>
        <w:jc w:val="both"/>
        <w:rPr>
          <w:rFonts w:ascii="Palatino Linotype" w:hAnsi="Palatino Linotype" w:cs="Arial"/>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themeColor="text1"/>
        </w:rPr>
      </w:pPr>
      <w:r w:rsidRPr="00A97575">
        <w:rPr>
          <w:rFonts w:ascii="Palatino Linotype" w:hAnsi="Palatino Linotype" w:cs="Arial"/>
          <w:color w:val="000000" w:themeColor="text1"/>
        </w:rPr>
        <w:t>Argumentación que guarda sustento en lo estipulado por el artículo 23 de la Ley de Transparencia y Acceso a la Información Pública del Estado de México y Municipios en su penúltimo párrafo, mismo que es del tenor literal siguiente:</w:t>
      </w:r>
    </w:p>
    <w:p w:rsidR="00257C34" w:rsidRPr="00A97575" w:rsidRDefault="00257C34" w:rsidP="00A97575">
      <w:pPr>
        <w:autoSpaceDE w:val="0"/>
        <w:autoSpaceDN w:val="0"/>
        <w:adjustRightInd w:val="0"/>
        <w:spacing w:before="240" w:after="240"/>
        <w:ind w:right="-28"/>
        <w:jc w:val="both"/>
        <w:rPr>
          <w:rFonts w:ascii="Palatino Linotype" w:hAnsi="Palatino Linotype"/>
          <w:i/>
          <w:color w:val="000000" w:themeColor="text1"/>
        </w:rPr>
      </w:pPr>
      <w:r w:rsidRPr="00A97575">
        <w:rPr>
          <w:rFonts w:ascii="Palatino Linotype" w:hAnsi="Palatino Linotype"/>
          <w:i/>
          <w:color w:val="000000" w:themeColor="text1"/>
        </w:rPr>
        <w:t>“</w:t>
      </w:r>
      <w:r w:rsidRPr="00A97575">
        <w:rPr>
          <w:rFonts w:ascii="Palatino Linotype" w:hAnsi="Palatino Linotype"/>
          <w:b/>
          <w:i/>
          <w:color w:val="000000" w:themeColor="text1"/>
        </w:rPr>
        <w:t>Artículo 23.</w:t>
      </w:r>
      <w:r w:rsidRPr="00A97575">
        <w:rPr>
          <w:rFonts w:ascii="Palatino Linotype" w:hAnsi="Palatino Linotype"/>
          <w:i/>
          <w:color w:val="000000" w:themeColor="text1"/>
        </w:rPr>
        <w:t xml:space="preserve"> (…)</w:t>
      </w:r>
    </w:p>
    <w:p w:rsidR="00257C34" w:rsidRPr="00A97575" w:rsidRDefault="00257C34" w:rsidP="00A97575">
      <w:pPr>
        <w:autoSpaceDE w:val="0"/>
        <w:autoSpaceDN w:val="0"/>
        <w:adjustRightInd w:val="0"/>
        <w:spacing w:before="240" w:after="240"/>
        <w:ind w:right="-28"/>
        <w:jc w:val="both"/>
        <w:rPr>
          <w:rFonts w:ascii="Palatino Linotype" w:hAnsi="Palatino Linotype" w:cs="Arial"/>
          <w:i/>
          <w:color w:val="000000" w:themeColor="text1"/>
        </w:rPr>
      </w:pPr>
      <w:r w:rsidRPr="00A97575">
        <w:rPr>
          <w:rFonts w:ascii="Palatino Linotype" w:hAnsi="Palatino Linotype"/>
          <w:i/>
          <w:color w:val="000000" w:themeColor="text1"/>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85F00" w:rsidRPr="00A97575" w:rsidRDefault="00885F00" w:rsidP="00A97575">
      <w:pPr>
        <w:pBdr>
          <w:top w:val="nil"/>
          <w:left w:val="nil"/>
          <w:bottom w:val="nil"/>
          <w:right w:val="nil"/>
          <w:between w:val="nil"/>
        </w:pBdr>
        <w:spacing w:line="360" w:lineRule="auto"/>
        <w:ind w:right="-28"/>
        <w:jc w:val="both"/>
        <w:rPr>
          <w:rFonts w:ascii="Palatino Linotype" w:hAnsi="Palatino Linotype" w:cs="Arial"/>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themeColor="text1"/>
        </w:rPr>
      </w:pPr>
      <w:r w:rsidRPr="00A97575">
        <w:rPr>
          <w:rFonts w:ascii="Palatino Linotype" w:hAnsi="Palatino Linotype" w:cs="Arial"/>
          <w:color w:val="000000" w:themeColor="text1"/>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885F00" w:rsidRPr="00A97575" w:rsidRDefault="00885F00" w:rsidP="00A97575">
      <w:pPr>
        <w:pBdr>
          <w:top w:val="nil"/>
          <w:left w:val="nil"/>
          <w:bottom w:val="nil"/>
          <w:right w:val="nil"/>
          <w:between w:val="nil"/>
        </w:pBdr>
        <w:spacing w:line="360" w:lineRule="auto"/>
        <w:ind w:right="-28"/>
        <w:jc w:val="both"/>
        <w:rPr>
          <w:rFonts w:ascii="Palatino Linotype" w:hAnsi="Palatino Linotype" w:cs="Arial"/>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themeColor="text1"/>
          <w:shd w:val="clear" w:color="auto" w:fill="FFFFFF"/>
        </w:rPr>
      </w:pPr>
      <w:r w:rsidRPr="00A97575">
        <w:rPr>
          <w:rFonts w:ascii="Palatino Linotype" w:hAnsi="Palatino Linotype" w:cs="Arial"/>
          <w:color w:val="000000" w:themeColor="text1"/>
        </w:rPr>
        <w:t xml:space="preserve">Al respecto, se destaca que la versión pública que elabore el Sujeto Obligado debe cumplir con las formalidades exigidas en la Ley, por lo que </w:t>
      </w:r>
      <w:r w:rsidRPr="00A97575">
        <w:rPr>
          <w:rFonts w:ascii="Palatino Linotype" w:hAnsi="Palatino Linotype" w:cs="Arial"/>
          <w:color w:val="000000" w:themeColor="text1"/>
          <w:lang w:val="es-ES_tradnl"/>
        </w:rPr>
        <w:t xml:space="preserve">para tal efecto emitirá el </w:t>
      </w:r>
      <w:r w:rsidRPr="00A97575">
        <w:rPr>
          <w:rFonts w:ascii="Palatino Linotype" w:hAnsi="Palatino Linotype" w:cs="Arial"/>
          <w:color w:val="000000" w:themeColor="text1"/>
        </w:rPr>
        <w:t>Acuerdo del Comité de Transparencia en términos de la 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r w:rsidRPr="00A97575">
        <w:rPr>
          <w:rFonts w:ascii="Palatino Linotype" w:hAnsi="Palatino Linotype" w:cs="Arial"/>
          <w:color w:val="000000" w:themeColor="text1"/>
          <w:shd w:val="clear" w:color="auto" w:fill="FFFFFF"/>
        </w:rPr>
        <w:t>.</w:t>
      </w:r>
    </w:p>
    <w:p w:rsidR="006102AA" w:rsidRPr="00A97575" w:rsidRDefault="006102AA" w:rsidP="00A97575">
      <w:pPr>
        <w:pStyle w:val="Prrafodelista"/>
        <w:ind w:left="0" w:right="-28"/>
        <w:rPr>
          <w:rFonts w:ascii="Palatino Linotype" w:hAnsi="Palatino Linotype" w:cs="Arial"/>
          <w:color w:val="000000" w:themeColor="text1"/>
          <w:shd w:val="clear" w:color="auto" w:fill="FFFFFF"/>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themeColor="text1"/>
        </w:rPr>
      </w:pPr>
      <w:r w:rsidRPr="00A97575">
        <w:rPr>
          <w:rFonts w:ascii="Palatino Linotype" w:hAnsi="Palatino Linotype" w:cs="Arial"/>
          <w:color w:val="000000" w:themeColor="text1"/>
        </w:rPr>
        <w:t>Efectivamente, cuando se clasifica información como confidencial o reservada es importante someterlo al Comité de Transparencia, quien debe confirmar, modificar o revocar la clasificación.</w:t>
      </w:r>
    </w:p>
    <w:p w:rsidR="00885F00" w:rsidRPr="00A97575" w:rsidRDefault="00885F00" w:rsidP="00A97575">
      <w:pPr>
        <w:pBdr>
          <w:top w:val="nil"/>
          <w:left w:val="nil"/>
          <w:bottom w:val="nil"/>
          <w:right w:val="nil"/>
          <w:between w:val="nil"/>
        </w:pBdr>
        <w:spacing w:line="360" w:lineRule="auto"/>
        <w:ind w:right="-28"/>
        <w:jc w:val="both"/>
        <w:rPr>
          <w:rFonts w:ascii="Palatino Linotype" w:hAnsi="Palatino Linotype" w:cs="Arial"/>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hAnsi="Palatino Linotype"/>
          <w:color w:val="000000" w:themeColor="text1"/>
        </w:rPr>
        <w:t xml:space="preserve">Por lo tanto, la entrega de documentos en su versión pública debe acompañarse necesariamente del Acuerdo del Comité de Transparencia que la sustente, en el que se </w:t>
      </w:r>
      <w:r w:rsidRPr="00A97575">
        <w:rPr>
          <w:rFonts w:ascii="Palatino Linotype" w:hAnsi="Palatino Linotype"/>
          <w:color w:val="000000" w:themeColor="text1"/>
        </w:rPr>
        <w:lastRenderedPageBreak/>
        <w:t>expongan los fundamentos y razonamientos que llevaron al </w:t>
      </w:r>
      <w:r w:rsidRPr="00A97575">
        <w:rPr>
          <w:rFonts w:ascii="Palatino Linotype" w:hAnsi="Palatino Linotype"/>
          <w:bCs/>
          <w:color w:val="000000" w:themeColor="text1"/>
        </w:rPr>
        <w:t>Sujeto Obligado</w:t>
      </w:r>
      <w:r w:rsidRPr="00A97575">
        <w:rPr>
          <w:rFonts w:ascii="Palatino Linotype" w:hAnsi="Palatino Linotype"/>
          <w:color w:val="000000" w:themeColor="text1"/>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w:t>
      </w:r>
      <w:r w:rsidRPr="00A97575">
        <w:rPr>
          <w:rFonts w:ascii="Palatino Linotype" w:hAnsi="Palatino Linotype"/>
          <w:bCs/>
          <w:color w:val="000000" w:themeColor="text1"/>
        </w:rPr>
        <w:t>Recurrente</w:t>
      </w:r>
      <w:r w:rsidRPr="00A97575">
        <w:rPr>
          <w:rFonts w:ascii="Palatino Linotype" w:hAnsi="Palatino Linotype"/>
          <w:color w:val="000000" w:themeColor="text1"/>
        </w:rPr>
        <w:t>.</w:t>
      </w:r>
    </w:p>
    <w:p w:rsidR="00885F00" w:rsidRPr="00A97575" w:rsidRDefault="00885F00" w:rsidP="00A97575">
      <w:pPr>
        <w:pStyle w:val="Prrafodelista"/>
        <w:ind w:left="0" w:right="-28"/>
        <w:rPr>
          <w:rFonts w:ascii="Palatino Linotype" w:hAnsi="Palatino Linotype"/>
          <w:color w:val="000000" w:themeColor="text1"/>
        </w:rPr>
      </w:pPr>
    </w:p>
    <w:p w:rsidR="00257C34" w:rsidRPr="00A97575" w:rsidRDefault="00257C34"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themeColor="text1"/>
        </w:rPr>
      </w:pPr>
      <w:r w:rsidRPr="00A97575">
        <w:rPr>
          <w:rFonts w:ascii="Palatino Linotype" w:hAnsi="Palatino Linotype" w:cs="Arial"/>
          <w:color w:val="000000" w:themeColor="text1"/>
        </w:rPr>
        <w:t xml:space="preserve">De este </w:t>
      </w:r>
      <w:r w:rsidRPr="00A97575">
        <w:rPr>
          <w:rFonts w:ascii="Palatino Linotype" w:hAnsi="Palatino Linotype"/>
          <w:color w:val="000000" w:themeColor="text1"/>
        </w:rPr>
        <w:t>modo, como ha sido señalado en la presente resolución, en armonía entre los principios</w:t>
      </w:r>
      <w:r w:rsidRPr="00A97575">
        <w:rPr>
          <w:rFonts w:ascii="Palatino Linotype" w:hAnsi="Palatino Linotype" w:cs="Arial"/>
          <w:color w:val="000000" w:themeColor="text1"/>
        </w:rPr>
        <w:t xml:space="preserve"> </w:t>
      </w:r>
      <w:r w:rsidRPr="00A97575">
        <w:rPr>
          <w:rFonts w:ascii="Palatino Linotype" w:hAnsi="Palatino Linotype"/>
          <w:color w:val="000000" w:themeColor="text1"/>
        </w:rPr>
        <w:t>constitucionales</w:t>
      </w:r>
      <w:r w:rsidRPr="00A97575">
        <w:rPr>
          <w:rFonts w:ascii="Palatino Linotype" w:hAnsi="Palatino Linotype" w:cs="Arial"/>
          <w:color w:val="000000" w:themeColor="text1"/>
        </w:rPr>
        <w:t xml:space="preserve">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257C34" w:rsidRPr="00A97575" w:rsidRDefault="00257C34" w:rsidP="00A9757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highlight w:val="white"/>
        </w:rPr>
      </w:pPr>
    </w:p>
    <w:p w:rsidR="005E6833" w:rsidRPr="00A97575"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 xml:space="preserve">Efectivamente, cuando se clasifica información como confidencial o reservada es </w:t>
      </w:r>
      <w:r w:rsidRPr="00A97575">
        <w:rPr>
          <w:rFonts w:ascii="Palatino Linotype" w:hAnsi="Palatino Linotype" w:cs="Arial"/>
          <w:color w:val="000000" w:themeColor="text1"/>
        </w:rPr>
        <w:t>importante</w:t>
      </w:r>
      <w:r w:rsidRPr="00A97575">
        <w:rPr>
          <w:rFonts w:ascii="Palatino Linotype" w:eastAsia="Palatino Linotype" w:hAnsi="Palatino Linotype" w:cs="Palatino Linotype"/>
          <w:color w:val="000000" w:themeColor="text1"/>
        </w:rPr>
        <w:t xml:space="preserve"> someterlo al Comité de Transparencia, quien debe confirmar, modificar o revocar la clasificación.</w:t>
      </w:r>
    </w:p>
    <w:p w:rsidR="005E6833" w:rsidRPr="00A97575" w:rsidRDefault="005E6833" w:rsidP="00A97575">
      <w:pPr>
        <w:pStyle w:val="Prrafodelista"/>
        <w:spacing w:line="360" w:lineRule="auto"/>
        <w:ind w:left="0" w:right="-28"/>
        <w:rPr>
          <w:rFonts w:ascii="Palatino Linotype" w:eastAsia="Palatino Linotype" w:hAnsi="Palatino Linotype" w:cs="Palatino Linotype"/>
          <w:color w:val="000000" w:themeColor="text1"/>
        </w:rPr>
      </w:pPr>
    </w:p>
    <w:p w:rsidR="005E6833" w:rsidRPr="00A97575"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Por lo tanto, la entrega de documentos en su versión pública debe acompañarse necesariamente del Acuerdo del Comité de Transparencia que la sustente, en el que se expongan los fundamentos y razonamientos que llevaron al </w:t>
      </w:r>
      <w:r w:rsidRPr="00A97575">
        <w:rPr>
          <w:rFonts w:ascii="Palatino Linotype" w:eastAsia="Palatino Linotype" w:hAnsi="Palatino Linotype" w:cs="Palatino Linotype"/>
          <w:b/>
          <w:color w:val="000000" w:themeColor="text1"/>
        </w:rPr>
        <w:t>SUJETO OBLIGADO</w:t>
      </w:r>
      <w:r w:rsidRPr="00A97575">
        <w:rPr>
          <w:rFonts w:ascii="Palatino Linotype" w:eastAsia="Palatino Linotype" w:hAnsi="Palatino Linotype" w:cs="Palatino Linotype"/>
          <w:color w:val="000000" w:themeColor="text1"/>
        </w:rPr>
        <w:t xml:space="preserve"> a testar, </w:t>
      </w:r>
      <w:r w:rsidRPr="00A97575">
        <w:rPr>
          <w:rFonts w:ascii="Palatino Linotype" w:eastAsia="Palatino Linotype" w:hAnsi="Palatino Linotype" w:cs="Palatino Linotype"/>
          <w:color w:val="000000" w:themeColor="text1"/>
        </w:rPr>
        <w:lastRenderedPageBreak/>
        <w:t>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A97575">
        <w:rPr>
          <w:rFonts w:ascii="Palatino Linotype" w:eastAsia="Palatino Linotype" w:hAnsi="Palatino Linotype" w:cs="Palatino Linotype"/>
          <w:b/>
          <w:color w:val="000000" w:themeColor="text1"/>
        </w:rPr>
        <w:t>RECURRENTE.</w:t>
      </w:r>
    </w:p>
    <w:p w:rsidR="005E6833" w:rsidRPr="00A97575" w:rsidRDefault="005E6833" w:rsidP="00A97575">
      <w:pPr>
        <w:pStyle w:val="Prrafodelista"/>
        <w:spacing w:line="360" w:lineRule="auto"/>
        <w:ind w:left="0" w:right="-28"/>
        <w:rPr>
          <w:rFonts w:ascii="Palatino Linotype" w:eastAsia="Palatino Linotype" w:hAnsi="Palatino Linotype" w:cs="Palatino Linotype"/>
          <w:color w:val="000000" w:themeColor="text1"/>
        </w:rPr>
      </w:pPr>
    </w:p>
    <w:p w:rsidR="005E6833" w:rsidRPr="00A97575"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rsidR="005E6833" w:rsidRPr="00A97575" w:rsidRDefault="005E6833" w:rsidP="00A97575">
      <w:pPr>
        <w:pStyle w:val="Prrafodelista"/>
        <w:spacing w:line="360" w:lineRule="auto"/>
        <w:ind w:left="0" w:right="-28"/>
        <w:rPr>
          <w:rFonts w:ascii="Palatino Linotype" w:eastAsia="Palatino Linotype" w:hAnsi="Palatino Linotype" w:cs="Palatino Linotype"/>
          <w:color w:val="000000" w:themeColor="text1"/>
        </w:rPr>
      </w:pPr>
    </w:p>
    <w:p w:rsidR="005E6833"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w:t>
      </w:r>
      <w:r w:rsidRPr="00A97575">
        <w:rPr>
          <w:rFonts w:ascii="Palatino Linotype" w:eastAsia="Palatino Linotype" w:hAnsi="Palatino Linotype" w:cs="Palatino Linotype"/>
          <w:color w:val="000000" w:themeColor="text1"/>
        </w:rPr>
        <w:lastRenderedPageBreak/>
        <w:t>desclasificarán y generarán, en su caso, versiones públicas de expedientes o documentos que contengan partes o secciones clasificadas.</w:t>
      </w:r>
    </w:p>
    <w:p w:rsidR="00CC1AFC" w:rsidRPr="00A97575" w:rsidRDefault="00CC1AFC" w:rsidP="00CC1AFC">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5E6833" w:rsidRPr="00A97575"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“Quincuagésimo sexto</w:t>
      </w:r>
      <w:r w:rsidRPr="00A97575">
        <w:rPr>
          <w:rFonts w:ascii="Palatino Linotype" w:eastAsia="Palatino Linotype" w:hAnsi="Palatino Linotype" w:cs="Palatino Linotype"/>
          <w:b/>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 xml:space="preserve">Quincuagésimo séptimo. Se considera, en principio, como información pública y no podrá omitirse de las versiones públicas la siguiente: </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 xml:space="preserve">I. La relativa a las Obligaciones de Transparencia que contempla el Título V de la Ley General y las demás disposiciones legales aplicables; </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 xml:space="preserve">II. El nombre de los servidores públicos en los documentos, y sus firmas autógrafas, cuando sean utilizados en el ejercicio de las facultades conferidas para el desempeño del servicio público, y </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III. La información que documente decisiones y los actos de autoridad concluidos de los sujetos obligados, así como el ejercicio de las facultades o actividades de los servidores públicos, de manera que se pueda valorar el desempeño de los mismos.</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r w:rsidRPr="00A97575">
        <w:rPr>
          <w:rFonts w:ascii="Palatino Linotype" w:eastAsia="Palatino Linotype" w:hAnsi="Palatino Linotype" w:cs="Palatino Linotype"/>
          <w:i/>
          <w:color w:val="000000" w:themeColor="text1"/>
        </w:rPr>
        <w:lastRenderedPageBreak/>
        <w:t>Quincuagésimo octavo. Los sujetos obligados garantizarán que los sistemas o medios empleados para eliminar la información en las versiones públicas no permitan la recuperación o visualización de la misma.”</w:t>
      </w:r>
    </w:p>
    <w:p w:rsidR="005E6833" w:rsidRPr="00A97575" w:rsidRDefault="005E6833" w:rsidP="00A97575">
      <w:pPr>
        <w:spacing w:line="360" w:lineRule="auto"/>
        <w:ind w:right="-28"/>
        <w:jc w:val="both"/>
        <w:rPr>
          <w:rFonts w:ascii="Palatino Linotype" w:eastAsia="Palatino Linotype" w:hAnsi="Palatino Linotype" w:cs="Palatino Linotype"/>
          <w:i/>
          <w:color w:val="000000" w:themeColor="text1"/>
        </w:rPr>
      </w:pPr>
    </w:p>
    <w:p w:rsidR="005E6833" w:rsidRPr="00A97575"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 xml:space="preserve">Por lo tanto, </w:t>
      </w:r>
      <w:r w:rsidRPr="00A97575">
        <w:rPr>
          <w:rFonts w:ascii="Palatino Linotype" w:eastAsia="Palatino Linotype" w:hAnsi="Palatino Linotype" w:cs="Palatino Linotype"/>
          <w:b/>
          <w:color w:val="000000" w:themeColor="text1"/>
        </w:rPr>
        <w:t xml:space="preserve">la entrega de documentos en su versión pública debe acompañarse </w:t>
      </w:r>
      <w:r w:rsidRPr="00A97575">
        <w:rPr>
          <w:rFonts w:ascii="Palatino Linotype" w:eastAsia="Palatino Linotype" w:hAnsi="Palatino Linotype" w:cs="Palatino Linotype"/>
          <w:color w:val="000000" w:themeColor="text1"/>
        </w:rPr>
        <w:t>necesariamente</w:t>
      </w:r>
      <w:r w:rsidRPr="00A97575">
        <w:rPr>
          <w:rFonts w:ascii="Palatino Linotype" w:eastAsia="Palatino Linotype" w:hAnsi="Palatino Linotype" w:cs="Palatino Linotype"/>
          <w:b/>
          <w:color w:val="000000" w:themeColor="text1"/>
        </w:rPr>
        <w:t xml:space="preserve"> del Acuerdo del Comité de Transparencia que la sustente el cual debe estar debidamente fundado y motivado, en el que se expongan los fundamentos y </w:t>
      </w:r>
      <w:r w:rsidRPr="00A97575">
        <w:rPr>
          <w:rFonts w:ascii="Palatino Linotype" w:eastAsia="Palatino Linotype" w:hAnsi="Palatino Linotype" w:cs="Palatino Linotype"/>
          <w:color w:val="000000" w:themeColor="text1"/>
        </w:rPr>
        <w:t>razonamientos</w:t>
      </w:r>
      <w:r w:rsidRPr="00A97575">
        <w:rPr>
          <w:rFonts w:ascii="Palatino Linotype" w:eastAsia="Palatino Linotype" w:hAnsi="Palatino Linotype" w:cs="Palatino Linotype"/>
          <w:b/>
          <w:color w:val="000000" w:themeColor="text1"/>
        </w:rPr>
        <w:t xml:space="preserve"> que llevaron al Sujeto Obligado a testar, suprimir o eliminar datos de dicho soporte documental</w:t>
      </w:r>
      <w:r w:rsidRPr="00A97575">
        <w:rPr>
          <w:rFonts w:ascii="Palatino Linotype" w:eastAsia="Palatino Linotype" w:hAnsi="Palatino Linotype" w:cs="Palatino Linotype"/>
          <w:color w:val="000000" w:themeColor="text1"/>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5E6833" w:rsidRPr="00A97575" w:rsidRDefault="005E6833" w:rsidP="00A97575">
      <w:pPr>
        <w:pStyle w:val="Prrafodelista"/>
        <w:tabs>
          <w:tab w:val="left" w:pos="284"/>
          <w:tab w:val="left" w:pos="426"/>
        </w:tabs>
        <w:spacing w:line="360" w:lineRule="auto"/>
        <w:ind w:left="0" w:right="-28"/>
        <w:jc w:val="both"/>
        <w:rPr>
          <w:rFonts w:ascii="Palatino Linotype" w:eastAsia="Palatino Linotype" w:hAnsi="Palatino Linotype" w:cs="Palatino Linotype"/>
          <w:color w:val="000000" w:themeColor="text1"/>
        </w:rPr>
      </w:pPr>
    </w:p>
    <w:p w:rsidR="005E6833" w:rsidRPr="00A97575"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Los sujetos obligados</w:t>
      </w:r>
      <w:r w:rsidRPr="00A97575">
        <w:rPr>
          <w:rFonts w:ascii="Palatino Linotype" w:eastAsia="Palatino Linotype" w:hAnsi="Palatino Linotype" w:cs="Palatino Linotype"/>
          <w:b/>
          <w:color w:val="000000" w:themeColor="text1"/>
        </w:rPr>
        <w:t xml:space="preserve"> </w:t>
      </w:r>
      <w:r w:rsidRPr="00A97575">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5E6833" w:rsidRPr="00A97575" w:rsidRDefault="005E6833" w:rsidP="00A97575">
      <w:pPr>
        <w:tabs>
          <w:tab w:val="left" w:pos="284"/>
        </w:tabs>
        <w:spacing w:line="360" w:lineRule="auto"/>
        <w:ind w:right="-28"/>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7085"/>
      </w:tblGrid>
      <w:tr w:rsidR="00A97575" w:rsidRPr="00A97575" w:rsidTr="005D6A0A">
        <w:tc>
          <w:tcPr>
            <w:tcW w:w="2691" w:type="dxa"/>
            <w:tcBorders>
              <w:top w:val="single" w:sz="4" w:space="0" w:color="BFBFBF"/>
              <w:left w:val="single" w:sz="4" w:space="0" w:color="BFBFBF"/>
              <w:bottom w:val="single" w:sz="4" w:space="0" w:color="BFBFBF"/>
              <w:right w:val="single" w:sz="4" w:space="0" w:color="BFBFBF"/>
            </w:tcBorders>
            <w:hideMark/>
          </w:tcPr>
          <w:p w:rsidR="005E6833" w:rsidRPr="00A97575" w:rsidRDefault="005E6833" w:rsidP="005D6A0A">
            <w:pPr>
              <w:ind w:right="-28"/>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a) Requisitos previos.</w:t>
            </w:r>
          </w:p>
        </w:tc>
        <w:tc>
          <w:tcPr>
            <w:tcW w:w="7085" w:type="dxa"/>
            <w:tcBorders>
              <w:top w:val="single" w:sz="4" w:space="0" w:color="BFBFBF"/>
              <w:left w:val="single" w:sz="4" w:space="0" w:color="BFBFBF"/>
              <w:bottom w:val="single" w:sz="4" w:space="0" w:color="BFBFBF"/>
              <w:right w:val="single" w:sz="4" w:space="0" w:color="BFBFBF"/>
            </w:tcBorders>
          </w:tcPr>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 xml:space="preserve">Los artículos 100 y 122 de la Ley Estatal y de la Ley General, respectivamente, señalan que si los Sujetos Obligados determinan que la información actualiza alguno de los supuestos de </w:t>
            </w:r>
            <w:r w:rsidRPr="00A97575">
              <w:rPr>
                <w:rFonts w:ascii="Palatino Linotype" w:eastAsia="Palatino Linotype" w:hAnsi="Palatino Linotype" w:cs="Palatino Linotype"/>
                <w:color w:val="000000" w:themeColor="text1"/>
                <w:lang w:eastAsia="en-US"/>
              </w:rPr>
              <w:lastRenderedPageBreak/>
              <w:t xml:space="preserve">clasificación, es deber de los titulares de las áreas proponer su clasificación y no del Comité de Transparencia. </w:t>
            </w: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Al hacerlo tienen que precisar de qué información se trata, señalando el supuesto de clasificación (confidencialidad o reserva).</w:t>
            </w: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Además, se debe señalar el procedimiento, de los tres que establecen los artículos 132 y 106 de la Ley Estatal y General, respectivamente.</w:t>
            </w: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 xml:space="preserve">El último de estos requisitos previos consiste en que no se pueden emitir acuerdos de carácter general ni particular, esto es, </w:t>
            </w:r>
            <w:r w:rsidRPr="00A97575">
              <w:rPr>
                <w:rFonts w:ascii="Palatino Linotype" w:eastAsia="Palatino Linotype" w:hAnsi="Palatino Linotype" w:cs="Palatino Linotype"/>
                <w:color w:val="000000" w:themeColor="text1"/>
                <w:u w:val="single"/>
                <w:lang w:eastAsia="en-US"/>
              </w:rPr>
              <w:t>no se puede hacer un acuerdo para clasificar de manera general todos los documentos de un expediente o área, sin</w:t>
            </w:r>
            <w:r w:rsidRPr="00A97575">
              <w:rPr>
                <w:rFonts w:ascii="Palatino Linotype" w:eastAsia="Palatino Linotype" w:hAnsi="Palatino Linotype" w:cs="Palatino Linotype"/>
                <w:color w:val="000000" w:themeColor="text1"/>
                <w:lang w:eastAsia="en-US"/>
              </w:rPr>
              <w:t xml:space="preserve"> individualizar su análisis y tampoco se puede hacer un acuerdo por cada dato que se vaya a clasificar dentro de un documento con diez datos, por ejemplo, susceptibles de ser clasificados.</w:t>
            </w: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p>
        </w:tc>
      </w:tr>
      <w:tr w:rsidR="00A97575" w:rsidRPr="00A97575" w:rsidTr="005D6A0A">
        <w:tc>
          <w:tcPr>
            <w:tcW w:w="2691" w:type="dxa"/>
            <w:tcBorders>
              <w:top w:val="single" w:sz="4" w:space="0" w:color="BFBFBF"/>
              <w:left w:val="single" w:sz="4" w:space="0" w:color="BFBFBF"/>
              <w:bottom w:val="single" w:sz="4" w:space="0" w:color="BFBFBF"/>
              <w:right w:val="single" w:sz="4" w:space="0" w:color="BFBFBF"/>
            </w:tcBorders>
            <w:hideMark/>
          </w:tcPr>
          <w:p w:rsidR="005E6833" w:rsidRPr="00A97575" w:rsidRDefault="005E6833" w:rsidP="005D6A0A">
            <w:pPr>
              <w:ind w:right="-28"/>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lastRenderedPageBreak/>
              <w:t>b) Supuestos de clasificación.</w:t>
            </w:r>
          </w:p>
        </w:tc>
        <w:tc>
          <w:tcPr>
            <w:tcW w:w="7085" w:type="dxa"/>
            <w:tcBorders>
              <w:top w:val="single" w:sz="4" w:space="0" w:color="BFBFBF"/>
              <w:left w:val="single" w:sz="4" w:space="0" w:color="BFBFBF"/>
              <w:bottom w:val="single" w:sz="4" w:space="0" w:color="BFBFBF"/>
              <w:right w:val="single" w:sz="4" w:space="0" w:color="BFBFBF"/>
            </w:tcBorders>
          </w:tcPr>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Las disposiciones constitucionales y legales en la materia establecen los dos supuestos generales para clasificar la información: por reserva y por confidencialidad.</w:t>
            </w: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 xml:space="preserve">El </w:t>
            </w:r>
            <w:r w:rsidRPr="00A97575">
              <w:rPr>
                <w:rFonts w:ascii="Palatino Linotype" w:eastAsia="Palatino Linotype" w:hAnsi="Palatino Linotype" w:cs="Palatino Linotype"/>
                <w:b/>
                <w:color w:val="000000" w:themeColor="text1"/>
                <w:lang w:eastAsia="en-US"/>
              </w:rPr>
              <w:t>Sujeto Obligado</w:t>
            </w:r>
            <w:r w:rsidRPr="00A97575">
              <w:rPr>
                <w:rFonts w:ascii="Palatino Linotype" w:eastAsia="Palatino Linotype" w:hAnsi="Palatino Linotype" w:cs="Palatino Linotype"/>
                <w:color w:val="000000" w:themeColor="text1"/>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w:t>
            </w:r>
            <w:r w:rsidRPr="00A97575">
              <w:rPr>
                <w:rFonts w:ascii="Palatino Linotype" w:eastAsia="Palatino Linotype" w:hAnsi="Palatino Linotype" w:cs="Palatino Linotype"/>
                <w:color w:val="000000" w:themeColor="text1"/>
                <w:lang w:eastAsia="en-US"/>
              </w:rPr>
              <w:lastRenderedPageBreak/>
              <w:t>público habilitado y el titular del área que administra la información.</w:t>
            </w: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p>
        </w:tc>
      </w:tr>
      <w:tr w:rsidR="00A97575" w:rsidRPr="00A97575" w:rsidTr="005D6A0A">
        <w:tc>
          <w:tcPr>
            <w:tcW w:w="2691" w:type="dxa"/>
            <w:tcBorders>
              <w:top w:val="single" w:sz="4" w:space="0" w:color="BFBFBF"/>
              <w:left w:val="single" w:sz="4" w:space="0" w:color="BFBFBF"/>
              <w:bottom w:val="single" w:sz="4" w:space="0" w:color="BFBFBF"/>
              <w:right w:val="single" w:sz="4" w:space="0" w:color="BFBFBF"/>
            </w:tcBorders>
            <w:hideMark/>
          </w:tcPr>
          <w:p w:rsidR="005E6833" w:rsidRPr="00A97575" w:rsidRDefault="005E6833" w:rsidP="005D6A0A">
            <w:pPr>
              <w:ind w:right="-28"/>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lastRenderedPageBreak/>
              <w:t>c) Formalidades para emitir el acuerdo de clasificación.</w:t>
            </w:r>
          </w:p>
        </w:tc>
        <w:tc>
          <w:tcPr>
            <w:tcW w:w="7085" w:type="dxa"/>
            <w:tcBorders>
              <w:top w:val="single" w:sz="4" w:space="0" w:color="BFBFBF"/>
              <w:left w:val="single" w:sz="4" w:space="0" w:color="BFBFBF"/>
              <w:bottom w:val="single" w:sz="4" w:space="0" w:color="BFBFBF"/>
              <w:right w:val="single" w:sz="4" w:space="0" w:color="BFBFBF"/>
            </w:tcBorders>
          </w:tcPr>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 xml:space="preserve">El Comité de Transparencia, según lo dispuesto en los artículos cuenta con las facultades para aprobar, modificar o revocar la clasificación de la información que haya propuesto. </w:t>
            </w: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 xml:space="preserve">Es necesario que </w:t>
            </w:r>
            <w:r w:rsidRPr="00A97575">
              <w:rPr>
                <w:rFonts w:ascii="Palatino Linotype" w:eastAsia="Palatino Linotype" w:hAnsi="Palatino Linotype" w:cs="Palatino Linotype"/>
                <w:b/>
                <w:color w:val="000000" w:themeColor="text1"/>
                <w:u w:val="single"/>
                <w:lang w:eastAsia="en-US"/>
              </w:rPr>
              <w:t>el acto reúna con los requisitos elementales</w:t>
            </w:r>
            <w:r w:rsidRPr="00A97575">
              <w:rPr>
                <w:rFonts w:ascii="Palatino Linotype" w:eastAsia="Palatino Linotype" w:hAnsi="Palatino Linotype" w:cs="Palatino Linotype"/>
                <w:color w:val="000000" w:themeColor="text1"/>
                <w:lang w:eastAsia="en-US"/>
              </w:rPr>
              <w:t>, entre ellos, que la autoridad que va a emitir el acto de autoridad sea la legalmente facultada para ello.</w:t>
            </w: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p>
        </w:tc>
      </w:tr>
      <w:tr w:rsidR="00A97575" w:rsidRPr="00A97575" w:rsidTr="005D6A0A">
        <w:tc>
          <w:tcPr>
            <w:tcW w:w="2691" w:type="dxa"/>
            <w:tcBorders>
              <w:top w:val="single" w:sz="4" w:space="0" w:color="BFBFBF"/>
              <w:left w:val="single" w:sz="4" w:space="0" w:color="BFBFBF"/>
              <w:bottom w:val="single" w:sz="4" w:space="0" w:color="BFBFBF"/>
              <w:right w:val="single" w:sz="4" w:space="0" w:color="BFBFBF"/>
            </w:tcBorders>
          </w:tcPr>
          <w:p w:rsidR="005E6833" w:rsidRPr="00A97575" w:rsidRDefault="005E6833" w:rsidP="005D6A0A">
            <w:pPr>
              <w:ind w:right="-28"/>
              <w:rPr>
                <w:rFonts w:ascii="Palatino Linotype" w:eastAsia="Palatino Linotype" w:hAnsi="Palatino Linotype" w:cs="Palatino Linotype"/>
                <w:color w:val="000000" w:themeColor="text1"/>
                <w:lang w:eastAsia="en-US"/>
              </w:rPr>
            </w:pP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 xml:space="preserve">d) Requisitos de fondo del acuerdo de clasificación. </w:t>
            </w:r>
          </w:p>
        </w:tc>
        <w:tc>
          <w:tcPr>
            <w:tcW w:w="7085" w:type="dxa"/>
            <w:tcBorders>
              <w:top w:val="single" w:sz="4" w:space="0" w:color="BFBFBF"/>
              <w:left w:val="single" w:sz="4" w:space="0" w:color="BFBFBF"/>
              <w:bottom w:val="single" w:sz="4" w:space="0" w:color="BFBFBF"/>
              <w:right w:val="single" w:sz="4" w:space="0" w:color="BFBFBF"/>
            </w:tcBorders>
          </w:tcPr>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97575">
              <w:rPr>
                <w:rFonts w:ascii="Palatino Linotype" w:eastAsia="Palatino Linotype" w:hAnsi="Palatino Linotype" w:cs="Palatino Linotype"/>
                <w:b/>
                <w:color w:val="000000" w:themeColor="text1"/>
                <w:lang w:eastAsia="en-US"/>
              </w:rPr>
              <w:t>Sujetos Obligados</w:t>
            </w:r>
            <w:r w:rsidRPr="00A97575">
              <w:rPr>
                <w:rFonts w:ascii="Palatino Linotype" w:eastAsia="Palatino Linotype" w:hAnsi="Palatino Linotype" w:cs="Palatino Linotype"/>
                <w:color w:val="000000" w:themeColor="text1"/>
                <w:lang w:eastAsia="en-US"/>
              </w:rPr>
              <w:t xml:space="preserve">, por lo que deberán fundar y motivar debidamente la clasificación. </w:t>
            </w: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 xml:space="preserve">De lo anterior, se desprende que para una correcta </w:t>
            </w:r>
            <w:r w:rsidRPr="00A97575">
              <w:rPr>
                <w:rFonts w:ascii="Palatino Linotype" w:eastAsia="Palatino Linotype" w:hAnsi="Palatino Linotype" w:cs="Palatino Linotype"/>
                <w:b/>
                <w:color w:val="000000" w:themeColor="text1"/>
                <w:lang w:eastAsia="en-US"/>
              </w:rPr>
              <w:t>clasificación total o parcial</w:t>
            </w:r>
            <w:r w:rsidRPr="00A97575">
              <w:rPr>
                <w:rFonts w:ascii="Palatino Linotype" w:eastAsia="Palatino Linotype" w:hAnsi="Palatino Linotype" w:cs="Palatino Linotype"/>
                <w:color w:val="000000" w:themeColor="text1"/>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En ese mismo sentido, el numeral trigésimo tercero fracción V de los Lineamientos Generales, precisa que para motivar la clasificación se deben acreditar las circunstancias de tiempo, modo y lugar.</w:t>
            </w: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 xml:space="preserve">Ahora bien, </w:t>
            </w:r>
            <w:r w:rsidRPr="00A97575">
              <w:rPr>
                <w:rFonts w:ascii="Palatino Linotype" w:eastAsia="Palatino Linotype" w:hAnsi="Palatino Linotype" w:cs="Palatino Linotype"/>
                <w:b/>
                <w:color w:val="000000" w:themeColor="text1"/>
                <w:u w:val="single"/>
                <w:lang w:eastAsia="en-US"/>
              </w:rPr>
              <w:t>para cada caso además de fundar y motivar</w:t>
            </w:r>
            <w:r w:rsidRPr="00A97575">
              <w:rPr>
                <w:rFonts w:ascii="Palatino Linotype" w:eastAsia="Palatino Linotype" w:hAnsi="Palatino Linotype" w:cs="Palatino Linotype"/>
                <w:color w:val="000000" w:themeColor="text1"/>
                <w:lang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p>
        </w:tc>
      </w:tr>
      <w:tr w:rsidR="005E6833" w:rsidRPr="00A97575" w:rsidTr="005D6A0A">
        <w:tc>
          <w:tcPr>
            <w:tcW w:w="2691" w:type="dxa"/>
            <w:tcBorders>
              <w:top w:val="single" w:sz="4" w:space="0" w:color="BFBFBF"/>
              <w:left w:val="single" w:sz="4" w:space="0" w:color="BFBFBF"/>
              <w:bottom w:val="single" w:sz="4" w:space="0" w:color="BFBFBF"/>
              <w:right w:val="single" w:sz="4" w:space="0" w:color="BFBFBF"/>
            </w:tcBorders>
            <w:hideMark/>
          </w:tcPr>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lastRenderedPageBreak/>
              <w:t xml:space="preserve">e) Condiciones especiales de la clasificación de la información como confidencial. </w:t>
            </w:r>
          </w:p>
        </w:tc>
        <w:tc>
          <w:tcPr>
            <w:tcW w:w="7085" w:type="dxa"/>
            <w:tcBorders>
              <w:top w:val="single" w:sz="4" w:space="0" w:color="BFBFBF"/>
              <w:left w:val="single" w:sz="4" w:space="0" w:color="BFBFBF"/>
              <w:bottom w:val="single" w:sz="4" w:space="0" w:color="BFBFBF"/>
              <w:right w:val="single" w:sz="4" w:space="0" w:color="BFBFBF"/>
            </w:tcBorders>
          </w:tcPr>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 xml:space="preserve">Los artículos 148 y 120 de la Ley Estatal y de la Ley General, respectivamente, establecen que aun tratándose de datos personales, se podrán proporcionar, incluso sin solicitar el consentimiento de su titular. </w:t>
            </w:r>
          </w:p>
          <w:p w:rsidR="005E6833" w:rsidRPr="00A97575" w:rsidRDefault="005E6833" w:rsidP="005D6A0A">
            <w:pPr>
              <w:ind w:right="-28"/>
              <w:jc w:val="both"/>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E6833" w:rsidRPr="00A97575" w:rsidRDefault="005E6833" w:rsidP="005D6A0A">
            <w:pPr>
              <w:ind w:right="-28"/>
              <w:rPr>
                <w:rFonts w:ascii="Palatino Linotype" w:eastAsia="Palatino Linotype" w:hAnsi="Palatino Linotype" w:cs="Palatino Linotype"/>
                <w:color w:val="000000" w:themeColor="text1"/>
                <w:lang w:eastAsia="en-US"/>
              </w:rPr>
            </w:pPr>
            <w:r w:rsidRPr="00A97575">
              <w:rPr>
                <w:rFonts w:ascii="Palatino Linotype" w:eastAsia="Palatino Linotype" w:hAnsi="Palatino Linotype" w:cs="Palatino Linotype"/>
                <w:color w:val="000000" w:themeColor="text1"/>
                <w:lang w:eastAsia="en-US"/>
              </w:rPr>
              <w:t xml:space="preserve">Pero si la información que se pretende clasificar como confidencial no se encuentra en los supuestos de los artículos señalados y es posible, se deberá consultar al titular de los datos </w:t>
            </w:r>
            <w:r w:rsidRPr="00A97575">
              <w:rPr>
                <w:rFonts w:ascii="Palatino Linotype" w:eastAsia="Palatino Linotype" w:hAnsi="Palatino Linotype" w:cs="Palatino Linotype"/>
                <w:color w:val="000000" w:themeColor="text1"/>
                <w:lang w:eastAsia="en-US"/>
              </w:rPr>
              <w:lastRenderedPageBreak/>
              <w:t>si permite o no el acceso. De no ser posible, la realización de la consulta, procede, fundando y motivando, la clasificación.</w:t>
            </w:r>
          </w:p>
          <w:p w:rsidR="005E6833" w:rsidRPr="00A97575" w:rsidRDefault="005E6833" w:rsidP="005D6A0A">
            <w:pPr>
              <w:ind w:right="-28"/>
              <w:rPr>
                <w:rFonts w:ascii="Palatino Linotype" w:eastAsia="Palatino Linotype" w:hAnsi="Palatino Linotype" w:cs="Palatino Linotype"/>
                <w:color w:val="000000" w:themeColor="text1"/>
                <w:lang w:eastAsia="en-US"/>
              </w:rPr>
            </w:pPr>
          </w:p>
        </w:tc>
      </w:tr>
    </w:tbl>
    <w:p w:rsidR="005E6833" w:rsidRPr="00A97575" w:rsidRDefault="005E6833" w:rsidP="00A97575">
      <w:pPr>
        <w:tabs>
          <w:tab w:val="left" w:pos="284"/>
        </w:tabs>
        <w:spacing w:line="360" w:lineRule="auto"/>
        <w:ind w:right="-28"/>
        <w:rPr>
          <w:rFonts w:ascii="Palatino Linotype" w:eastAsia="Palatino Linotype" w:hAnsi="Palatino Linotype" w:cs="Palatino Linotype"/>
          <w:color w:val="000000" w:themeColor="text1"/>
        </w:rPr>
      </w:pPr>
    </w:p>
    <w:p w:rsidR="005E6833" w:rsidRPr="00A97575" w:rsidRDefault="005E6833" w:rsidP="00A9757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 xml:space="preserve">Si el servidor </w:t>
      </w:r>
      <w:r w:rsidRPr="00A97575">
        <w:rPr>
          <w:rFonts w:ascii="Palatino Linotype" w:eastAsia="Arial Unicode MS" w:hAnsi="Palatino Linotype" w:cs="Arial"/>
          <w:color w:val="000000" w:themeColor="text1"/>
        </w:rPr>
        <w:t>público</w:t>
      </w:r>
      <w:r w:rsidRPr="00A97575">
        <w:rPr>
          <w:rFonts w:ascii="Palatino Linotype" w:eastAsia="Palatino Linotype" w:hAnsi="Palatino Linotype" w:cs="Palatino Linotype"/>
          <w:color w:val="000000" w:themeColor="text1"/>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rsidR="004736C8" w:rsidRPr="00A97575" w:rsidRDefault="004736C8" w:rsidP="00A97575">
      <w:pPr>
        <w:pBdr>
          <w:top w:val="nil"/>
          <w:left w:val="nil"/>
          <w:bottom w:val="nil"/>
          <w:right w:val="nil"/>
          <w:between w:val="nil"/>
        </w:pBdr>
        <w:spacing w:line="360" w:lineRule="auto"/>
        <w:ind w:right="-28"/>
        <w:jc w:val="both"/>
        <w:rPr>
          <w:rFonts w:ascii="Palatino Linotype" w:hAnsi="Palatino Linotype"/>
          <w:color w:val="000000" w:themeColor="text1"/>
        </w:rPr>
      </w:pPr>
    </w:p>
    <w:p w:rsidR="003F528B" w:rsidRPr="00A97575" w:rsidRDefault="007020AD" w:rsidP="00A9757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A97575">
        <w:rPr>
          <w:rFonts w:ascii="Palatino Linotype" w:eastAsia="Palatino Linotype" w:hAnsi="Palatino Linotype" w:cs="Palatino Linotype"/>
          <w:color w:val="000000" w:themeColor="text1"/>
        </w:rPr>
        <w:t xml:space="preserve">Por lo anteriormente expuesto y fundado, este </w:t>
      </w:r>
      <w:r w:rsidRPr="00A97575">
        <w:rPr>
          <w:rFonts w:ascii="Palatino Linotype" w:eastAsia="Palatino Linotype" w:hAnsi="Palatino Linotype" w:cs="Palatino Linotype"/>
          <w:b/>
          <w:color w:val="000000" w:themeColor="text1"/>
        </w:rPr>
        <w:t>ÓRGANO GARANTE</w:t>
      </w:r>
      <w:r w:rsidRPr="00A97575">
        <w:rPr>
          <w:rFonts w:ascii="Palatino Linotype" w:eastAsia="Palatino Linotype" w:hAnsi="Palatino Linotype" w:cs="Palatino Linotype"/>
          <w:color w:val="000000" w:themeColor="text1"/>
        </w:rPr>
        <w:t xml:space="preserve"> emite los siguientes: </w:t>
      </w:r>
    </w:p>
    <w:p w:rsidR="00CC1AFC" w:rsidRDefault="00CC1AFC" w:rsidP="00A97575">
      <w:pPr>
        <w:pStyle w:val="Ttulo1"/>
        <w:spacing w:before="0" w:line="360" w:lineRule="auto"/>
        <w:ind w:right="-28"/>
        <w:jc w:val="center"/>
        <w:rPr>
          <w:rFonts w:ascii="Palatino Linotype" w:eastAsia="Palatino Linotype" w:hAnsi="Palatino Linotype" w:cs="Palatino Linotype"/>
          <w:b/>
          <w:color w:val="000000" w:themeColor="text1"/>
          <w:sz w:val="24"/>
          <w:szCs w:val="24"/>
        </w:rPr>
      </w:pPr>
    </w:p>
    <w:p w:rsidR="003F528B" w:rsidRPr="00A97575" w:rsidRDefault="007020AD" w:rsidP="00A97575">
      <w:pPr>
        <w:pStyle w:val="Ttulo1"/>
        <w:spacing w:before="0" w:line="360" w:lineRule="auto"/>
        <w:ind w:right="-28"/>
        <w:jc w:val="center"/>
        <w:rPr>
          <w:rFonts w:ascii="Palatino Linotype" w:eastAsia="Palatino Linotype" w:hAnsi="Palatino Linotype" w:cs="Palatino Linotype"/>
          <w:b/>
          <w:color w:val="000000" w:themeColor="text1"/>
          <w:sz w:val="24"/>
          <w:szCs w:val="24"/>
        </w:rPr>
      </w:pPr>
      <w:r w:rsidRPr="00A97575">
        <w:rPr>
          <w:rFonts w:ascii="Palatino Linotype" w:eastAsia="Palatino Linotype" w:hAnsi="Palatino Linotype" w:cs="Palatino Linotype"/>
          <w:b/>
          <w:color w:val="000000" w:themeColor="text1"/>
          <w:sz w:val="24"/>
          <w:szCs w:val="24"/>
        </w:rPr>
        <w:t>R E S O L U T I V O S</w:t>
      </w:r>
    </w:p>
    <w:p w:rsidR="003F528B" w:rsidRPr="00A97575" w:rsidRDefault="003F528B" w:rsidP="00A97575">
      <w:pPr>
        <w:spacing w:line="360" w:lineRule="auto"/>
        <w:ind w:right="-28"/>
        <w:jc w:val="both"/>
        <w:rPr>
          <w:rFonts w:ascii="Palatino Linotype" w:eastAsia="Palatino Linotype" w:hAnsi="Palatino Linotype" w:cs="Palatino Linotype"/>
          <w:b/>
          <w:color w:val="000000" w:themeColor="text1"/>
        </w:rPr>
      </w:pPr>
    </w:p>
    <w:p w:rsidR="003F528B" w:rsidRPr="00A97575" w:rsidRDefault="007020AD" w:rsidP="00A97575">
      <w:pPr>
        <w:spacing w:line="360" w:lineRule="auto"/>
        <w:ind w:right="-28"/>
        <w:jc w:val="both"/>
        <w:rPr>
          <w:rFonts w:ascii="Palatino Linotype" w:eastAsia="Palatino Linotype" w:hAnsi="Palatino Linotype" w:cs="Palatino Linotype"/>
          <w:color w:val="000000" w:themeColor="text1"/>
        </w:rPr>
      </w:pPr>
      <w:bookmarkStart w:id="9" w:name="_heading=h.30j0zll" w:colFirst="0" w:colLast="0"/>
      <w:bookmarkEnd w:id="9"/>
      <w:r w:rsidRPr="00A97575">
        <w:rPr>
          <w:rFonts w:ascii="Palatino Linotype" w:eastAsia="Palatino Linotype" w:hAnsi="Palatino Linotype" w:cs="Palatino Linotype"/>
          <w:b/>
          <w:color w:val="000000" w:themeColor="text1"/>
        </w:rPr>
        <w:t xml:space="preserve">PRIMERO. </w:t>
      </w:r>
      <w:r w:rsidRPr="00A97575">
        <w:rPr>
          <w:rFonts w:ascii="Palatino Linotype" w:eastAsia="Palatino Linotype" w:hAnsi="Palatino Linotype" w:cs="Palatino Linotype"/>
          <w:color w:val="000000" w:themeColor="text1"/>
        </w:rPr>
        <w:t>Resultan fundadas las</w:t>
      </w:r>
      <w:r w:rsidRPr="00A97575">
        <w:rPr>
          <w:rFonts w:ascii="Palatino Linotype" w:eastAsia="Palatino Linotype" w:hAnsi="Palatino Linotype" w:cs="Palatino Linotype"/>
          <w:b/>
          <w:color w:val="000000" w:themeColor="text1"/>
        </w:rPr>
        <w:t xml:space="preserve"> </w:t>
      </w:r>
      <w:r w:rsidRPr="00A97575">
        <w:rPr>
          <w:rFonts w:ascii="Palatino Linotype" w:eastAsia="Palatino Linotype" w:hAnsi="Palatino Linotype" w:cs="Palatino Linotype"/>
          <w:color w:val="000000" w:themeColor="text1"/>
        </w:rPr>
        <w:t>razones o motivos de inc</w:t>
      </w:r>
      <w:r w:rsidR="00885F00" w:rsidRPr="00A97575">
        <w:rPr>
          <w:rFonts w:ascii="Palatino Linotype" w:eastAsia="Palatino Linotype" w:hAnsi="Palatino Linotype" w:cs="Palatino Linotype"/>
          <w:color w:val="000000" w:themeColor="text1"/>
        </w:rPr>
        <w:t>onformidad hechos valer en los R</w:t>
      </w:r>
      <w:r w:rsidRPr="00A97575">
        <w:rPr>
          <w:rFonts w:ascii="Palatino Linotype" w:eastAsia="Palatino Linotype" w:hAnsi="Palatino Linotype" w:cs="Palatino Linotype"/>
          <w:color w:val="000000" w:themeColor="text1"/>
        </w:rPr>
        <w:t xml:space="preserve">ecursos de </w:t>
      </w:r>
      <w:r w:rsidR="00885F00" w:rsidRPr="00A97575">
        <w:rPr>
          <w:rFonts w:ascii="Palatino Linotype" w:eastAsia="Palatino Linotype" w:hAnsi="Palatino Linotype" w:cs="Palatino Linotype"/>
          <w:color w:val="000000" w:themeColor="text1"/>
        </w:rPr>
        <w:t>R</w:t>
      </w:r>
      <w:r w:rsidRPr="00A97575">
        <w:rPr>
          <w:rFonts w:ascii="Palatino Linotype" w:eastAsia="Palatino Linotype" w:hAnsi="Palatino Linotype" w:cs="Palatino Linotype"/>
          <w:color w:val="000000" w:themeColor="text1"/>
        </w:rPr>
        <w:t>evisión</w:t>
      </w:r>
      <w:r w:rsidR="00885F00" w:rsidRPr="00A97575">
        <w:rPr>
          <w:rFonts w:ascii="Palatino Linotype" w:eastAsia="Palatino Linotype" w:hAnsi="Palatino Linotype" w:cs="Palatino Linotype"/>
          <w:color w:val="000000" w:themeColor="text1"/>
        </w:rPr>
        <w:t>:</w:t>
      </w:r>
      <w:r w:rsidRPr="00A97575">
        <w:rPr>
          <w:rFonts w:ascii="Palatino Linotype" w:eastAsia="Palatino Linotype" w:hAnsi="Palatino Linotype" w:cs="Palatino Linotype"/>
          <w:color w:val="000000" w:themeColor="text1"/>
        </w:rPr>
        <w:t xml:space="preserve"> </w:t>
      </w:r>
      <w:r w:rsidR="00885F00" w:rsidRPr="00A97575">
        <w:rPr>
          <w:rFonts w:ascii="Palatino Linotype" w:eastAsia="Calibri" w:hAnsi="Palatino Linotype" w:cs="Tahoma"/>
          <w:b/>
          <w:color w:val="000000" w:themeColor="text1"/>
        </w:rPr>
        <w:t>10493/INFOEM/IP/RR/2025, 10495/INFOEM/IP/RR/2025, 10496/INFOEM/IP/RR/2025, 10509/INFOEM/IP/RR/2025 y 10520/INFOEM/IP/RR/2025</w:t>
      </w:r>
      <w:r w:rsidRPr="00A97575">
        <w:rPr>
          <w:rFonts w:ascii="Palatino Linotype" w:eastAsia="Palatino Linotype" w:hAnsi="Palatino Linotype" w:cs="Palatino Linotype"/>
          <w:b/>
          <w:color w:val="000000" w:themeColor="text1"/>
        </w:rPr>
        <w:t xml:space="preserve">, </w:t>
      </w:r>
      <w:r w:rsidRPr="00A97575">
        <w:rPr>
          <w:rFonts w:ascii="Palatino Linotype" w:eastAsia="Palatino Linotype" w:hAnsi="Palatino Linotype" w:cs="Palatino Linotype"/>
          <w:color w:val="000000" w:themeColor="text1"/>
        </w:rPr>
        <w:t>en términos de</w:t>
      </w:r>
      <w:r w:rsidR="00885F00" w:rsidRPr="00A97575">
        <w:rPr>
          <w:rFonts w:ascii="Palatino Linotype" w:eastAsia="Palatino Linotype" w:hAnsi="Palatino Linotype" w:cs="Palatino Linotype"/>
          <w:color w:val="000000" w:themeColor="text1"/>
        </w:rPr>
        <w:t xml:space="preserve"> </w:t>
      </w:r>
      <w:r w:rsidRPr="00A97575">
        <w:rPr>
          <w:rFonts w:ascii="Palatino Linotype" w:eastAsia="Palatino Linotype" w:hAnsi="Palatino Linotype" w:cs="Palatino Linotype"/>
          <w:color w:val="000000" w:themeColor="text1"/>
        </w:rPr>
        <w:t>l</w:t>
      </w:r>
      <w:r w:rsidR="00885F00" w:rsidRPr="00A97575">
        <w:rPr>
          <w:rFonts w:ascii="Palatino Linotype" w:eastAsia="Palatino Linotype" w:hAnsi="Palatino Linotype" w:cs="Palatino Linotype"/>
          <w:color w:val="000000" w:themeColor="text1"/>
        </w:rPr>
        <w:t>os</w:t>
      </w:r>
      <w:r w:rsidR="00395B06" w:rsidRPr="00A97575">
        <w:rPr>
          <w:rFonts w:ascii="Palatino Linotype" w:eastAsia="Palatino Linotype" w:hAnsi="Palatino Linotype" w:cs="Palatino Linotype"/>
          <w:b/>
          <w:color w:val="000000" w:themeColor="text1"/>
        </w:rPr>
        <w:t xml:space="preserve"> Considerando</w:t>
      </w:r>
      <w:r w:rsidR="00885F00" w:rsidRPr="00A97575">
        <w:rPr>
          <w:rFonts w:ascii="Palatino Linotype" w:eastAsia="Palatino Linotype" w:hAnsi="Palatino Linotype" w:cs="Palatino Linotype"/>
          <w:b/>
          <w:color w:val="000000" w:themeColor="text1"/>
        </w:rPr>
        <w:t>s</w:t>
      </w:r>
      <w:r w:rsidRPr="00A97575">
        <w:rPr>
          <w:rFonts w:ascii="Palatino Linotype" w:eastAsia="Palatino Linotype" w:hAnsi="Palatino Linotype" w:cs="Palatino Linotype"/>
          <w:color w:val="000000" w:themeColor="text1"/>
        </w:rPr>
        <w:t xml:space="preserve"> </w:t>
      </w:r>
      <w:r w:rsidRPr="00A97575">
        <w:rPr>
          <w:rFonts w:ascii="Palatino Linotype" w:eastAsia="Palatino Linotype" w:hAnsi="Palatino Linotype" w:cs="Palatino Linotype"/>
          <w:b/>
          <w:color w:val="000000" w:themeColor="text1"/>
        </w:rPr>
        <w:t>Cuarto</w:t>
      </w:r>
      <w:r w:rsidR="00885F00" w:rsidRPr="00A97575">
        <w:rPr>
          <w:rFonts w:ascii="Palatino Linotype" w:eastAsia="Palatino Linotype" w:hAnsi="Palatino Linotype" w:cs="Palatino Linotype"/>
          <w:b/>
          <w:color w:val="000000" w:themeColor="text1"/>
        </w:rPr>
        <w:t xml:space="preserve"> y Quinto</w:t>
      </w:r>
      <w:r w:rsidRPr="00A97575">
        <w:rPr>
          <w:rFonts w:ascii="Palatino Linotype" w:eastAsia="Palatino Linotype" w:hAnsi="Palatino Linotype" w:cs="Palatino Linotype"/>
          <w:b/>
          <w:color w:val="000000" w:themeColor="text1"/>
        </w:rPr>
        <w:t xml:space="preserve"> </w:t>
      </w:r>
      <w:r w:rsidRPr="00A97575">
        <w:rPr>
          <w:rFonts w:ascii="Palatino Linotype" w:eastAsia="Palatino Linotype" w:hAnsi="Palatino Linotype" w:cs="Palatino Linotype"/>
          <w:color w:val="000000" w:themeColor="text1"/>
        </w:rPr>
        <w:t>de la presente Resolución.</w:t>
      </w:r>
    </w:p>
    <w:p w:rsidR="003F21FF" w:rsidRPr="00A97575" w:rsidRDefault="003F21FF" w:rsidP="00A97575">
      <w:pPr>
        <w:spacing w:line="360" w:lineRule="auto"/>
        <w:ind w:right="-28"/>
        <w:jc w:val="both"/>
        <w:rPr>
          <w:rFonts w:ascii="Palatino Linotype" w:eastAsia="Palatino Linotype" w:hAnsi="Palatino Linotype" w:cs="Palatino Linotype"/>
          <w:color w:val="000000" w:themeColor="text1"/>
        </w:rPr>
      </w:pPr>
    </w:p>
    <w:p w:rsidR="006F351E" w:rsidRPr="00A97575" w:rsidRDefault="007020AD" w:rsidP="00A97575">
      <w:pPr>
        <w:spacing w:line="360" w:lineRule="auto"/>
        <w:ind w:right="-28"/>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b/>
          <w:color w:val="000000" w:themeColor="text1"/>
        </w:rPr>
        <w:t>SEGUNDO.</w:t>
      </w:r>
      <w:r w:rsidRPr="00A97575">
        <w:rPr>
          <w:rFonts w:ascii="Palatino Linotype" w:eastAsia="Palatino Linotype" w:hAnsi="Palatino Linotype" w:cs="Palatino Linotype"/>
          <w:color w:val="000000" w:themeColor="text1"/>
        </w:rPr>
        <w:t xml:space="preserve"> Se</w:t>
      </w:r>
      <w:r w:rsidRPr="00A97575">
        <w:rPr>
          <w:rFonts w:ascii="Palatino Linotype" w:eastAsia="Palatino Linotype" w:hAnsi="Palatino Linotype" w:cs="Palatino Linotype"/>
          <w:b/>
          <w:color w:val="000000" w:themeColor="text1"/>
        </w:rPr>
        <w:t xml:space="preserve"> </w:t>
      </w:r>
      <w:r w:rsidR="00CC5256" w:rsidRPr="00A97575">
        <w:rPr>
          <w:rFonts w:ascii="Palatino Linotype" w:eastAsia="Palatino Linotype" w:hAnsi="Palatino Linotype" w:cs="Palatino Linotype"/>
          <w:b/>
          <w:color w:val="000000" w:themeColor="text1"/>
        </w:rPr>
        <w:t>REVOCAN</w:t>
      </w:r>
      <w:r w:rsidRPr="00A97575">
        <w:rPr>
          <w:rFonts w:ascii="Palatino Linotype" w:eastAsia="Palatino Linotype" w:hAnsi="Palatino Linotype" w:cs="Palatino Linotype"/>
          <w:b/>
          <w:color w:val="000000" w:themeColor="text1"/>
        </w:rPr>
        <w:t xml:space="preserve"> </w:t>
      </w:r>
      <w:r w:rsidRPr="00A97575">
        <w:rPr>
          <w:rFonts w:ascii="Palatino Linotype" w:eastAsia="Palatino Linotype" w:hAnsi="Palatino Linotype" w:cs="Palatino Linotype"/>
          <w:color w:val="000000" w:themeColor="text1"/>
        </w:rPr>
        <w:t xml:space="preserve">las respuestas emitidas por el </w:t>
      </w:r>
      <w:r w:rsidR="008C1F66" w:rsidRPr="00A97575">
        <w:rPr>
          <w:rFonts w:ascii="Palatino Linotype" w:eastAsia="Palatino Linotype" w:hAnsi="Palatino Linotype" w:cs="Palatino Linotype"/>
          <w:b/>
          <w:color w:val="000000" w:themeColor="text1"/>
        </w:rPr>
        <w:t>Sistema Municipal Para el Desarrollo Integral de la Familia de Ixtapaluca</w:t>
      </w:r>
      <w:r w:rsidRPr="00A97575">
        <w:rPr>
          <w:rFonts w:ascii="Palatino Linotype" w:eastAsia="Palatino Linotype" w:hAnsi="Palatino Linotype" w:cs="Palatino Linotype"/>
          <w:color w:val="000000" w:themeColor="text1"/>
        </w:rPr>
        <w:t xml:space="preserve"> a las </w:t>
      </w:r>
      <w:r w:rsidR="00885F00" w:rsidRPr="00A97575">
        <w:rPr>
          <w:rFonts w:ascii="Palatino Linotype" w:eastAsia="Palatino Linotype" w:hAnsi="Palatino Linotype" w:cs="Palatino Linotype"/>
          <w:color w:val="000000" w:themeColor="text1"/>
        </w:rPr>
        <w:t>S</w:t>
      </w:r>
      <w:r w:rsidRPr="00A97575">
        <w:rPr>
          <w:rFonts w:ascii="Palatino Linotype" w:eastAsia="Palatino Linotype" w:hAnsi="Palatino Linotype" w:cs="Palatino Linotype"/>
          <w:color w:val="000000" w:themeColor="text1"/>
        </w:rPr>
        <w:t xml:space="preserve">olicitudes de </w:t>
      </w:r>
      <w:r w:rsidR="00885F00" w:rsidRPr="00A97575">
        <w:rPr>
          <w:rFonts w:ascii="Palatino Linotype" w:eastAsia="Palatino Linotype" w:hAnsi="Palatino Linotype" w:cs="Palatino Linotype"/>
          <w:color w:val="000000" w:themeColor="text1"/>
        </w:rPr>
        <w:t>I</w:t>
      </w:r>
      <w:r w:rsidRPr="00A97575">
        <w:rPr>
          <w:rFonts w:ascii="Palatino Linotype" w:eastAsia="Palatino Linotype" w:hAnsi="Palatino Linotype" w:cs="Palatino Linotype"/>
          <w:color w:val="000000" w:themeColor="text1"/>
        </w:rPr>
        <w:t>nformación</w:t>
      </w:r>
      <w:r w:rsidR="00885F00" w:rsidRPr="00A97575">
        <w:rPr>
          <w:rFonts w:ascii="Palatino Linotype" w:eastAsia="Palatino Linotype" w:hAnsi="Palatino Linotype" w:cs="Palatino Linotype"/>
          <w:color w:val="000000" w:themeColor="text1"/>
        </w:rPr>
        <w:t>:</w:t>
      </w:r>
      <w:r w:rsidRPr="00A97575">
        <w:rPr>
          <w:rFonts w:ascii="Palatino Linotype" w:eastAsia="Palatino Linotype" w:hAnsi="Palatino Linotype" w:cs="Palatino Linotype"/>
          <w:color w:val="000000" w:themeColor="text1"/>
        </w:rPr>
        <w:t xml:space="preserve"> </w:t>
      </w:r>
      <w:r w:rsidR="00885F00" w:rsidRPr="00A97575">
        <w:rPr>
          <w:rFonts w:ascii="Palatino Linotype" w:eastAsia="Palatino Linotype" w:hAnsi="Palatino Linotype" w:cs="Palatino Linotype"/>
          <w:b/>
          <w:color w:val="000000" w:themeColor="text1"/>
        </w:rPr>
        <w:t>00099/DIFIXTAPAL/IP/2025, 00096/DIFIXTAPAL/IP/2025, 00097/DIFIXTAPAL/IP/2025, 00083/DIFIXTAPAL/IP/2025 y 00072/DIFIXTAPAL/IP/2025</w:t>
      </w:r>
      <w:r w:rsidR="00C07473" w:rsidRPr="00A97575">
        <w:rPr>
          <w:rFonts w:ascii="Palatino Linotype" w:eastAsia="Palatino Linotype" w:hAnsi="Palatino Linotype" w:cs="Palatino Linotype"/>
          <w:b/>
          <w:color w:val="000000" w:themeColor="text1"/>
        </w:rPr>
        <w:t>;</w:t>
      </w:r>
      <w:r w:rsidR="00140862" w:rsidRPr="00A97575">
        <w:rPr>
          <w:rFonts w:ascii="Palatino Linotype" w:eastAsia="Palatino Linotype" w:hAnsi="Palatino Linotype" w:cs="Palatino Linotype"/>
          <w:color w:val="000000" w:themeColor="text1"/>
        </w:rPr>
        <w:t xml:space="preserve"> </w:t>
      </w:r>
      <w:r w:rsidRPr="00A97575">
        <w:rPr>
          <w:rFonts w:ascii="Palatino Linotype" w:eastAsia="Palatino Linotype" w:hAnsi="Palatino Linotype" w:cs="Palatino Linotype"/>
          <w:color w:val="000000" w:themeColor="text1"/>
        </w:rPr>
        <w:t>a efecto de</w:t>
      </w:r>
      <w:r w:rsidRPr="00A97575">
        <w:rPr>
          <w:rFonts w:ascii="Palatino Linotype" w:eastAsia="Palatino Linotype" w:hAnsi="Palatino Linotype" w:cs="Palatino Linotype"/>
          <w:b/>
          <w:color w:val="000000" w:themeColor="text1"/>
        </w:rPr>
        <w:t xml:space="preserve"> ORDENAR </w:t>
      </w:r>
      <w:r w:rsidRPr="00A97575">
        <w:rPr>
          <w:rFonts w:ascii="Palatino Linotype" w:eastAsia="Palatino Linotype" w:hAnsi="Palatino Linotype" w:cs="Palatino Linotype"/>
          <w:color w:val="000000" w:themeColor="text1"/>
        </w:rPr>
        <w:t xml:space="preserve">entregar </w:t>
      </w:r>
      <w:r w:rsidRPr="00A97575">
        <w:rPr>
          <w:rFonts w:ascii="Palatino Linotype" w:eastAsia="Palatino Linotype" w:hAnsi="Palatino Linotype" w:cs="Palatino Linotype"/>
          <w:color w:val="000000" w:themeColor="text1"/>
        </w:rPr>
        <w:lastRenderedPageBreak/>
        <w:t xml:space="preserve">vía Sistema de Accesos a la Información Mexiquense </w:t>
      </w:r>
      <w:r w:rsidRPr="00A97575">
        <w:rPr>
          <w:rFonts w:ascii="Palatino Linotype" w:eastAsia="Palatino Linotype" w:hAnsi="Palatino Linotype" w:cs="Palatino Linotype"/>
          <w:b/>
          <w:color w:val="000000" w:themeColor="text1"/>
        </w:rPr>
        <w:t>(SAIMEX)</w:t>
      </w:r>
      <w:r w:rsidR="00280E78" w:rsidRPr="00A97575">
        <w:rPr>
          <w:rFonts w:ascii="Palatino Linotype" w:eastAsia="Palatino Linotype" w:hAnsi="Palatino Linotype" w:cs="Palatino Linotype"/>
          <w:b/>
          <w:color w:val="000000" w:themeColor="text1"/>
        </w:rPr>
        <w:t xml:space="preserve"> </w:t>
      </w:r>
      <w:r w:rsidR="00280E78" w:rsidRPr="00A97575">
        <w:rPr>
          <w:rFonts w:ascii="Palatino Linotype" w:eastAsia="Palatino Linotype" w:hAnsi="Palatino Linotype" w:cs="Palatino Linotype"/>
          <w:color w:val="000000" w:themeColor="text1"/>
        </w:rPr>
        <w:t>sin costo</w:t>
      </w:r>
      <w:r w:rsidRPr="00A97575">
        <w:rPr>
          <w:rFonts w:ascii="Palatino Linotype" w:eastAsia="Palatino Linotype" w:hAnsi="Palatino Linotype" w:cs="Palatino Linotype"/>
          <w:color w:val="000000" w:themeColor="text1"/>
        </w:rPr>
        <w:t>,</w:t>
      </w:r>
      <w:r w:rsidR="00885F00" w:rsidRPr="00A97575">
        <w:rPr>
          <w:rFonts w:ascii="Palatino Linotype" w:eastAsia="Palatino Linotype" w:hAnsi="Palatino Linotype" w:cs="Palatino Linotype"/>
          <w:color w:val="000000" w:themeColor="text1"/>
        </w:rPr>
        <w:t xml:space="preserve"> en versión pública</w:t>
      </w:r>
      <w:r w:rsidRPr="00A97575">
        <w:rPr>
          <w:rFonts w:ascii="Palatino Linotype" w:eastAsia="Palatino Linotype" w:hAnsi="Palatino Linotype" w:cs="Palatino Linotype"/>
          <w:color w:val="000000" w:themeColor="text1"/>
        </w:rPr>
        <w:t xml:space="preserve"> la siguiente información</w:t>
      </w:r>
      <w:r w:rsidR="00C07473" w:rsidRPr="00A97575">
        <w:rPr>
          <w:rFonts w:ascii="Palatino Linotype" w:eastAsia="Palatino Linotype" w:hAnsi="Palatino Linotype" w:cs="Palatino Linotype"/>
          <w:b/>
          <w:color w:val="000000" w:themeColor="text1"/>
        </w:rPr>
        <w:t>:</w:t>
      </w:r>
    </w:p>
    <w:p w:rsidR="006F351E" w:rsidRPr="00A97575" w:rsidRDefault="006F351E" w:rsidP="00A97575">
      <w:pPr>
        <w:spacing w:line="360" w:lineRule="auto"/>
        <w:ind w:right="-28"/>
        <w:jc w:val="both"/>
        <w:rPr>
          <w:rFonts w:ascii="Palatino Linotype" w:eastAsia="Palatino Linotype" w:hAnsi="Palatino Linotype" w:cs="Palatino Linotype"/>
          <w:color w:val="000000" w:themeColor="text1"/>
        </w:rPr>
      </w:pPr>
    </w:p>
    <w:p w:rsidR="00064324" w:rsidRPr="00A97575" w:rsidRDefault="00064324" w:rsidP="00A97575">
      <w:pPr>
        <w:pStyle w:val="Prrafodelista"/>
        <w:numPr>
          <w:ilvl w:val="0"/>
          <w:numId w:val="3"/>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 xml:space="preserve">Expedientes de adjudicación directa de los ejercicios fiscales 2022, 2023, 2024 y, del 1 de enero al 14 de agosto de 2025; </w:t>
      </w:r>
    </w:p>
    <w:p w:rsidR="00064324" w:rsidRPr="00A97575" w:rsidRDefault="00064324" w:rsidP="00A97575">
      <w:pPr>
        <w:pStyle w:val="Prrafodelista"/>
        <w:numPr>
          <w:ilvl w:val="0"/>
          <w:numId w:val="3"/>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Oficios de autorización presupuestal emitidos en el mes de marzo de 2023 y del segundo trimestre de los ejercicios fiscales 2022 y 2023;</w:t>
      </w:r>
    </w:p>
    <w:p w:rsidR="008D0D2D" w:rsidRPr="00A97575" w:rsidRDefault="00064324" w:rsidP="00A97575">
      <w:pPr>
        <w:pStyle w:val="Prrafodelista"/>
        <w:numPr>
          <w:ilvl w:val="0"/>
          <w:numId w:val="3"/>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Facturas de proveedores por monto superior a $50,000.00</w:t>
      </w:r>
      <w:r w:rsidR="00BF1C2F" w:rsidRPr="00A97575">
        <w:rPr>
          <w:rFonts w:ascii="Palatino Linotype" w:eastAsia="Palatino Linotype" w:hAnsi="Palatino Linotype" w:cs="Palatino Linotype"/>
          <w:color w:val="000000" w:themeColor="text1"/>
        </w:rPr>
        <w:t xml:space="preserve"> (Cincuenta mil pesos)</w:t>
      </w:r>
      <w:r w:rsidRPr="00A97575">
        <w:rPr>
          <w:rFonts w:ascii="Palatino Linotype" w:eastAsia="Palatino Linotype" w:hAnsi="Palatino Linotype" w:cs="Palatino Linotype"/>
          <w:color w:val="000000" w:themeColor="text1"/>
        </w:rPr>
        <w:t xml:space="preserve"> emitidas en el mes de marzo del ejercicio fiscal 2023</w:t>
      </w:r>
      <w:r w:rsidR="007B4E40" w:rsidRPr="00A97575">
        <w:rPr>
          <w:rFonts w:ascii="Palatino Linotype" w:eastAsia="Palatino Linotype" w:hAnsi="Palatino Linotype" w:cs="Palatino Linotype"/>
          <w:color w:val="000000" w:themeColor="text1"/>
        </w:rPr>
        <w:t>, así como sus</w:t>
      </w:r>
      <w:r w:rsidRPr="00A97575">
        <w:rPr>
          <w:rFonts w:ascii="Palatino Linotype" w:eastAsia="Palatino Linotype" w:hAnsi="Palatino Linotype" w:cs="Palatino Linotype"/>
          <w:color w:val="000000" w:themeColor="text1"/>
        </w:rPr>
        <w:t xml:space="preserve"> </w:t>
      </w:r>
      <w:r w:rsidR="007B4E40" w:rsidRPr="00A97575">
        <w:rPr>
          <w:rFonts w:ascii="Palatino Linotype" w:eastAsia="Palatino Linotype" w:hAnsi="Palatino Linotype" w:cs="Palatino Linotype"/>
          <w:color w:val="000000" w:themeColor="text1"/>
        </w:rPr>
        <w:t>contratos y órdenes de compra.</w:t>
      </w:r>
    </w:p>
    <w:p w:rsidR="00064324" w:rsidRPr="00A97575" w:rsidRDefault="00064324" w:rsidP="00A97575">
      <w:pPr>
        <w:pStyle w:val="Prrafodelista"/>
        <w:pBdr>
          <w:top w:val="nil"/>
          <w:left w:val="nil"/>
          <w:bottom w:val="nil"/>
          <w:right w:val="nil"/>
          <w:between w:val="nil"/>
        </w:pBdr>
        <w:spacing w:line="360" w:lineRule="auto"/>
        <w:ind w:left="0" w:right="-28"/>
        <w:jc w:val="both"/>
        <w:rPr>
          <w:rFonts w:ascii="Palatino Linotype" w:eastAsia="Palatino Linotype" w:hAnsi="Palatino Linotype" w:cs="Palatino Linotype"/>
          <w:color w:val="000000" w:themeColor="text1"/>
        </w:rPr>
      </w:pPr>
    </w:p>
    <w:p w:rsidR="00064324" w:rsidRPr="00A97575" w:rsidRDefault="00064324" w:rsidP="00A97575">
      <w:pPr>
        <w:spacing w:line="360" w:lineRule="auto"/>
        <w:ind w:right="-28"/>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Pr="00A97575">
        <w:rPr>
          <w:rFonts w:ascii="Palatino Linotype" w:eastAsia="Palatino Linotype" w:hAnsi="Palatino Linotype" w:cs="Palatino Linotype"/>
          <w:b/>
          <w:color w:val="000000" w:themeColor="text1"/>
        </w:rPr>
        <w:t>RECURRENTE</w:t>
      </w:r>
      <w:r w:rsidRPr="00A97575">
        <w:rPr>
          <w:rFonts w:ascii="Palatino Linotype" w:eastAsia="Palatino Linotype" w:hAnsi="Palatino Linotype" w:cs="Palatino Linotype"/>
          <w:color w:val="000000" w:themeColor="text1"/>
        </w:rPr>
        <w:t xml:space="preserve">. </w:t>
      </w:r>
    </w:p>
    <w:p w:rsidR="00BF1C2F" w:rsidRPr="00A97575" w:rsidRDefault="00BF1C2F"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7020AD" w:rsidP="00A97575">
      <w:pPr>
        <w:spacing w:line="360" w:lineRule="auto"/>
        <w:ind w:right="-28"/>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b/>
          <w:color w:val="000000" w:themeColor="text1"/>
        </w:rPr>
        <w:t xml:space="preserve">TERCERO. Notifíquese </w:t>
      </w:r>
      <w:r w:rsidRPr="00A97575">
        <w:rPr>
          <w:rFonts w:ascii="Palatino Linotype" w:eastAsia="Palatino Linotype" w:hAnsi="Palatino Linotype" w:cs="Palatino Linotype"/>
          <w:color w:val="000000" w:themeColor="text1"/>
        </w:rPr>
        <w:t xml:space="preserve">la presente </w:t>
      </w:r>
      <w:r w:rsidR="008D0D2D" w:rsidRPr="00A97575">
        <w:rPr>
          <w:rFonts w:ascii="Palatino Linotype" w:eastAsia="Palatino Linotype" w:hAnsi="Palatino Linotype" w:cs="Palatino Linotype"/>
          <w:color w:val="000000" w:themeColor="text1"/>
        </w:rPr>
        <w:t>R</w:t>
      </w:r>
      <w:r w:rsidRPr="00A97575">
        <w:rPr>
          <w:rFonts w:ascii="Palatino Linotype" w:eastAsia="Palatino Linotype" w:hAnsi="Palatino Linotype" w:cs="Palatino Linotype"/>
          <w:color w:val="000000" w:themeColor="text1"/>
        </w:rPr>
        <w:t xml:space="preserve">esolución al Titular de la Unidad de Transparencia del </w:t>
      </w:r>
      <w:r w:rsidR="00064324" w:rsidRPr="00A97575">
        <w:rPr>
          <w:rFonts w:ascii="Palatino Linotype" w:eastAsia="Palatino Linotype" w:hAnsi="Palatino Linotype" w:cs="Palatino Linotype"/>
          <w:b/>
          <w:color w:val="000000" w:themeColor="text1"/>
        </w:rPr>
        <w:t>SUJETO OBLIGADO</w:t>
      </w:r>
      <w:r w:rsidR="00064324" w:rsidRPr="00A97575">
        <w:rPr>
          <w:rFonts w:ascii="Palatino Linotype" w:eastAsia="Palatino Linotype" w:hAnsi="Palatino Linotype" w:cs="Palatino Linotype"/>
          <w:color w:val="000000" w:themeColor="text1"/>
        </w:rPr>
        <w:t xml:space="preserve"> </w:t>
      </w:r>
      <w:r w:rsidRPr="00A97575">
        <w:rPr>
          <w:rFonts w:ascii="Palatino Linotype" w:eastAsia="Palatino Linotype" w:hAnsi="Palatino Linotype" w:cs="Palatino Linotype"/>
          <w:color w:val="000000" w:themeColor="text1"/>
        </w:rPr>
        <w:t xml:space="preserve">vía SAIMEX, para que conforme al artículo 186 último párrafo, 189 segundo párrafo y 194 de la Ley de Transparencia y Acceso a la Información Pública del Estado de México y Municipios; </w:t>
      </w:r>
      <w:r w:rsidRPr="00A97575">
        <w:rPr>
          <w:rFonts w:ascii="Palatino Linotype" w:eastAsia="Palatino Linotype" w:hAnsi="Palatino Linotype" w:cs="Palatino Linotype"/>
          <w:b/>
          <w:color w:val="000000" w:themeColor="text1"/>
        </w:rPr>
        <w:t xml:space="preserve">dé cumplimiento a lo ordenado dentro del plazo de diez días </w:t>
      </w:r>
      <w:r w:rsidRPr="00A97575">
        <w:rPr>
          <w:rFonts w:ascii="Palatino Linotype" w:eastAsia="Palatino Linotype" w:hAnsi="Palatino Linotype" w:cs="Palatino Linotype"/>
          <w:b/>
          <w:color w:val="000000" w:themeColor="text1"/>
        </w:rPr>
        <w:lastRenderedPageBreak/>
        <w:t>hábiles,</w:t>
      </w:r>
      <w:r w:rsidRPr="00A97575">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83A57" w:rsidRPr="00A97575" w:rsidRDefault="00D83A57"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7020AD" w:rsidP="00A97575">
      <w:pPr>
        <w:tabs>
          <w:tab w:val="left" w:pos="2756"/>
        </w:tabs>
        <w:spacing w:line="360" w:lineRule="auto"/>
        <w:ind w:right="-28"/>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b/>
          <w:color w:val="000000" w:themeColor="text1"/>
        </w:rPr>
        <w:t xml:space="preserve">CUARTO. </w:t>
      </w:r>
      <w:r w:rsidRPr="00A97575">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A97575">
        <w:rPr>
          <w:rFonts w:ascii="Palatino Linotype" w:eastAsia="Palatino Linotype" w:hAnsi="Palatino Linotype" w:cs="Palatino Linotype"/>
          <w:b/>
          <w:color w:val="000000" w:themeColor="text1"/>
        </w:rPr>
        <w:t>SUJETO OBLIGADO</w:t>
      </w:r>
      <w:r w:rsidRPr="00A97575">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7020AD" w:rsidP="00A97575">
      <w:pPr>
        <w:tabs>
          <w:tab w:val="left" w:pos="8080"/>
        </w:tabs>
        <w:spacing w:line="360" w:lineRule="auto"/>
        <w:ind w:right="-28"/>
        <w:jc w:val="both"/>
        <w:rPr>
          <w:rFonts w:ascii="Palatino Linotype" w:eastAsia="Palatino Linotype" w:hAnsi="Palatino Linotype" w:cs="Palatino Linotype"/>
          <w:color w:val="000000" w:themeColor="text1"/>
        </w:rPr>
      </w:pPr>
      <w:bookmarkStart w:id="10" w:name="_heading=h.1ksv4uv" w:colFirst="0" w:colLast="0"/>
      <w:bookmarkEnd w:id="10"/>
      <w:r w:rsidRPr="00A97575">
        <w:rPr>
          <w:rFonts w:ascii="Palatino Linotype" w:eastAsia="Palatino Linotype" w:hAnsi="Palatino Linotype" w:cs="Palatino Linotype"/>
          <w:b/>
          <w:color w:val="000000" w:themeColor="text1"/>
        </w:rPr>
        <w:t xml:space="preserve">QUINTO. </w:t>
      </w:r>
      <w:r w:rsidRPr="00A97575">
        <w:rPr>
          <w:rFonts w:ascii="Palatino Linotype" w:eastAsia="Palatino Linotype" w:hAnsi="Palatino Linotype" w:cs="Palatino Linotype"/>
          <w:color w:val="000000" w:themeColor="text1"/>
        </w:rPr>
        <w:t xml:space="preserve">Notifíquese al </w:t>
      </w:r>
      <w:r w:rsidRPr="00A97575">
        <w:rPr>
          <w:rFonts w:ascii="Palatino Linotype" w:eastAsia="Palatino Linotype" w:hAnsi="Palatino Linotype" w:cs="Palatino Linotype"/>
          <w:b/>
          <w:color w:val="000000" w:themeColor="text1"/>
        </w:rPr>
        <w:t>RECURRENTE</w:t>
      </w:r>
      <w:r w:rsidRPr="00A97575">
        <w:rPr>
          <w:rFonts w:ascii="Palatino Linotype" w:eastAsia="Palatino Linotype" w:hAnsi="Palatino Linotype" w:cs="Palatino Linotype"/>
          <w:color w:val="000000" w:themeColor="text1"/>
        </w:rPr>
        <w:t xml:space="preserve"> la presente Resolución, vía </w:t>
      </w:r>
      <w:r w:rsidRPr="00A97575">
        <w:rPr>
          <w:rFonts w:ascii="Palatino Linotype" w:eastAsia="Palatino Linotype" w:hAnsi="Palatino Linotype" w:cs="Palatino Linotype"/>
          <w:b/>
          <w:color w:val="000000" w:themeColor="text1"/>
        </w:rPr>
        <w:t>SAIMEX</w:t>
      </w:r>
      <w:r w:rsidRPr="00A97575">
        <w:rPr>
          <w:rFonts w:ascii="Palatino Linotype" w:eastAsia="Palatino Linotype" w:hAnsi="Palatino Linotype" w:cs="Palatino Linotype"/>
          <w:color w:val="000000" w:themeColor="text1"/>
        </w:rPr>
        <w:t>.</w:t>
      </w:r>
    </w:p>
    <w:p w:rsidR="003F528B" w:rsidRPr="00A97575" w:rsidRDefault="003F528B" w:rsidP="00A97575">
      <w:pPr>
        <w:tabs>
          <w:tab w:val="left" w:pos="8080"/>
        </w:tabs>
        <w:spacing w:line="360" w:lineRule="auto"/>
        <w:ind w:right="-28"/>
        <w:jc w:val="both"/>
        <w:rPr>
          <w:rFonts w:ascii="Palatino Linotype" w:eastAsia="Palatino Linotype" w:hAnsi="Palatino Linotype" w:cs="Palatino Linotype"/>
          <w:color w:val="000000" w:themeColor="text1"/>
        </w:rPr>
      </w:pPr>
    </w:p>
    <w:p w:rsidR="003F528B" w:rsidRPr="00A97575" w:rsidRDefault="007020AD" w:rsidP="00A97575">
      <w:pPr>
        <w:shd w:val="clear" w:color="auto" w:fill="FFFFFF"/>
        <w:spacing w:line="360" w:lineRule="auto"/>
        <w:ind w:right="-28"/>
        <w:jc w:val="both"/>
        <w:rPr>
          <w:rFonts w:ascii="Palatino Linotype" w:eastAsia="Palatino Linotype" w:hAnsi="Palatino Linotype" w:cs="Palatino Linotype"/>
          <w:color w:val="000000" w:themeColor="text1"/>
        </w:rPr>
      </w:pPr>
      <w:r w:rsidRPr="00A97575">
        <w:rPr>
          <w:rFonts w:ascii="Palatino Linotype" w:eastAsia="Palatino Linotype" w:hAnsi="Palatino Linotype" w:cs="Palatino Linotype"/>
          <w:b/>
          <w:color w:val="000000" w:themeColor="text1"/>
        </w:rPr>
        <w:t xml:space="preserve">SEXTO. </w:t>
      </w:r>
      <w:r w:rsidRPr="00A97575">
        <w:rPr>
          <w:rFonts w:ascii="Palatino Linotype" w:eastAsia="Palatino Linotype" w:hAnsi="Palatino Linotype" w:cs="Palatino Linotype"/>
          <w:color w:val="000000" w:themeColor="text1"/>
        </w:rPr>
        <w:t>Se hace del conocimiento del</w:t>
      </w:r>
      <w:r w:rsidRPr="00A97575">
        <w:rPr>
          <w:rFonts w:ascii="Palatino Linotype" w:eastAsia="Palatino Linotype" w:hAnsi="Palatino Linotype" w:cs="Palatino Linotype"/>
          <w:b/>
          <w:color w:val="000000" w:themeColor="text1"/>
        </w:rPr>
        <w:t xml:space="preserve"> RECURRENTE </w:t>
      </w:r>
      <w:r w:rsidRPr="00A97575">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CC5256" w:rsidRDefault="00CC5256" w:rsidP="00A97575">
      <w:pPr>
        <w:spacing w:line="360" w:lineRule="auto"/>
        <w:ind w:right="-28"/>
        <w:jc w:val="both"/>
        <w:rPr>
          <w:rFonts w:ascii="Palatino Linotype" w:eastAsia="Palatino Linotype" w:hAnsi="Palatino Linotype" w:cs="Palatino Linotype"/>
          <w:color w:val="000000" w:themeColor="text1"/>
        </w:rPr>
      </w:pPr>
    </w:p>
    <w:p w:rsidR="005D3D33" w:rsidRPr="00444783" w:rsidRDefault="005D3D33" w:rsidP="005D3D33">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575AE2">
        <w:rPr>
          <w:rFonts w:ascii="Palatino Linotype" w:eastAsia="Palatino Linotype" w:hAnsi="Palatino Linotype" w:cs="Palatino Linotype"/>
        </w:rPr>
        <w:lastRenderedPageBreak/>
        <w:t xml:space="preserve">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p w:rsidR="003F528B" w:rsidRPr="00A97575" w:rsidRDefault="003F528B" w:rsidP="00A97575">
      <w:pPr>
        <w:spacing w:line="360" w:lineRule="auto"/>
        <w:ind w:right="-28"/>
        <w:jc w:val="both"/>
        <w:rPr>
          <w:rFonts w:ascii="Palatino Linotype" w:eastAsia="Palatino Linotype" w:hAnsi="Palatino Linotype" w:cs="Palatino Linotype"/>
          <w:color w:val="000000" w:themeColor="text1"/>
        </w:rPr>
      </w:pPr>
    </w:p>
    <w:sectPr w:rsidR="003F528B" w:rsidRPr="00A97575" w:rsidSect="00D8614A">
      <w:headerReference w:type="even" r:id="rId9"/>
      <w:headerReference w:type="default" r:id="rId10"/>
      <w:footerReference w:type="default" r:id="rId11"/>
      <w:headerReference w:type="first" r:id="rId12"/>
      <w:footerReference w:type="first" r:id="rId13"/>
      <w:pgSz w:w="12240" w:h="15840"/>
      <w:pgMar w:top="80" w:right="758" w:bottom="2269"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0E5" w:rsidRDefault="00EF50E5">
      <w:r>
        <w:separator/>
      </w:r>
    </w:p>
  </w:endnote>
  <w:endnote w:type="continuationSeparator" w:id="0">
    <w:p w:rsidR="00EF50E5" w:rsidRDefault="00EF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swiss"/>
    <w:pitch w:val="variable"/>
    <w:sig w:usb0="00000003" w:usb1="0200E0A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14A" w:rsidRDefault="00D8614A">
    <w:pPr>
      <w:pBdr>
        <w:top w:val="nil"/>
        <w:left w:val="nil"/>
        <w:bottom w:val="nil"/>
        <w:right w:val="nil"/>
        <w:between w:val="nil"/>
      </w:pBdr>
      <w:tabs>
        <w:tab w:val="center" w:pos="4419"/>
        <w:tab w:val="right" w:pos="8838"/>
      </w:tabs>
      <w:jc w:val="right"/>
      <w:rPr>
        <w:color w:val="000000"/>
      </w:rPr>
    </w:pPr>
  </w:p>
  <w:p w:rsidR="00D8614A" w:rsidRDefault="00D8614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C7E42">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C7E42">
      <w:rPr>
        <w:b/>
        <w:noProof/>
        <w:color w:val="000000"/>
      </w:rPr>
      <w:t>65</w:t>
    </w:r>
    <w:r>
      <w:rPr>
        <w:b/>
        <w:color w:val="000000"/>
      </w:rPr>
      <w:fldChar w:fldCharType="end"/>
    </w:r>
  </w:p>
  <w:p w:rsidR="00D8614A" w:rsidRDefault="00D8614A">
    <w:pPr>
      <w:pBdr>
        <w:top w:val="nil"/>
        <w:left w:val="nil"/>
        <w:bottom w:val="nil"/>
        <w:right w:val="nil"/>
        <w:between w:val="nil"/>
      </w:pBdr>
      <w:tabs>
        <w:tab w:val="center" w:pos="4419"/>
        <w:tab w:val="right" w:pos="8838"/>
      </w:tabs>
      <w:rPr>
        <w:color w:val="000000"/>
      </w:rPr>
    </w:pPr>
  </w:p>
  <w:p w:rsidR="00D8614A" w:rsidRDefault="00D8614A"/>
  <w:p w:rsidR="00D8614A" w:rsidRDefault="00D8614A"/>
  <w:p w:rsidR="00D8614A" w:rsidRDefault="00D861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14A" w:rsidRDefault="00D8614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C7E4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C7E42">
      <w:rPr>
        <w:b/>
        <w:noProof/>
        <w:color w:val="000000"/>
      </w:rPr>
      <w:t>65</w:t>
    </w:r>
    <w:r>
      <w:rPr>
        <w:b/>
        <w:color w:val="000000"/>
      </w:rPr>
      <w:fldChar w:fldCharType="end"/>
    </w:r>
  </w:p>
  <w:p w:rsidR="00D8614A" w:rsidRDefault="00D8614A">
    <w:pPr>
      <w:pBdr>
        <w:top w:val="nil"/>
        <w:left w:val="nil"/>
        <w:bottom w:val="nil"/>
        <w:right w:val="nil"/>
        <w:between w:val="nil"/>
      </w:pBdr>
      <w:tabs>
        <w:tab w:val="center" w:pos="4419"/>
        <w:tab w:val="right" w:pos="8838"/>
      </w:tabs>
      <w:rPr>
        <w:color w:val="000000"/>
      </w:rPr>
    </w:pPr>
  </w:p>
  <w:p w:rsidR="00D8614A" w:rsidRDefault="00D8614A"/>
  <w:p w:rsidR="00D8614A" w:rsidRDefault="00D8614A"/>
  <w:p w:rsidR="00D8614A" w:rsidRDefault="00D861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0E5" w:rsidRDefault="00EF50E5">
      <w:r>
        <w:separator/>
      </w:r>
    </w:p>
  </w:footnote>
  <w:footnote w:type="continuationSeparator" w:id="0">
    <w:p w:rsidR="00EF50E5" w:rsidRDefault="00EF50E5">
      <w:r>
        <w:continuationSeparator/>
      </w:r>
    </w:p>
  </w:footnote>
  <w:footnote w:id="1">
    <w:p w:rsidR="00D8614A" w:rsidRDefault="00D8614A" w:rsidP="00395B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D8614A" w:rsidRDefault="00D8614A">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3">
    <w:p w:rsidR="00D8614A" w:rsidRDefault="00D8614A">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4">
    <w:p w:rsidR="00D8614A" w:rsidRDefault="00D8614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D8614A" w:rsidRDefault="00D8614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rsidR="00D8614A" w:rsidRDefault="00D8614A">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rsidR="00D8614A" w:rsidRDefault="00D8614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D8614A" w:rsidRDefault="00D8614A">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D8614A" w:rsidRDefault="00D8614A">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14A" w:rsidRDefault="00EF50E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2"/>
          <w10:wrap anchorx="margin" anchory="margin"/>
        </v:shape>
      </w:pict>
    </w:r>
  </w:p>
  <w:p w:rsidR="00D8614A" w:rsidRDefault="00D8614A"/>
  <w:p w:rsidR="00D8614A" w:rsidRDefault="00D8614A"/>
  <w:p w:rsidR="00D8614A" w:rsidRDefault="00D861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490" w:type="dxa"/>
      <w:tblInd w:w="0" w:type="dxa"/>
      <w:tblLayout w:type="fixed"/>
      <w:tblLook w:val="0400" w:firstRow="0" w:lastRow="0" w:firstColumn="0" w:lastColumn="0" w:noHBand="0" w:noVBand="1"/>
    </w:tblPr>
    <w:tblGrid>
      <w:gridCol w:w="1843"/>
      <w:gridCol w:w="8647"/>
    </w:tblGrid>
    <w:tr w:rsidR="00D8614A" w:rsidTr="00A97575">
      <w:trPr>
        <w:trHeight w:val="1435"/>
      </w:trPr>
      <w:tc>
        <w:tcPr>
          <w:tcW w:w="1843" w:type="dxa"/>
          <w:shd w:val="clear" w:color="auto" w:fill="auto"/>
        </w:tcPr>
        <w:p w:rsidR="00D8614A" w:rsidRDefault="00D8614A">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647" w:type="dxa"/>
          <w:shd w:val="clear" w:color="auto" w:fill="auto"/>
        </w:tcPr>
        <w:tbl>
          <w:tblPr>
            <w:tblStyle w:val="a0"/>
            <w:tblW w:w="7654" w:type="dxa"/>
            <w:tblInd w:w="594" w:type="dxa"/>
            <w:tblBorders>
              <w:top w:val="nil"/>
              <w:left w:val="nil"/>
              <w:bottom w:val="nil"/>
              <w:right w:val="nil"/>
              <w:insideH w:val="nil"/>
              <w:insideV w:val="nil"/>
            </w:tblBorders>
            <w:tblLayout w:type="fixed"/>
            <w:tblLook w:val="0400" w:firstRow="0" w:lastRow="0" w:firstColumn="0" w:lastColumn="0" w:noHBand="0" w:noVBand="1"/>
          </w:tblPr>
          <w:tblGrid>
            <w:gridCol w:w="2693"/>
            <w:gridCol w:w="4961"/>
          </w:tblGrid>
          <w:tr w:rsidR="00D8614A" w:rsidTr="00A97575">
            <w:trPr>
              <w:trHeight w:val="338"/>
            </w:trPr>
            <w:tc>
              <w:tcPr>
                <w:tcW w:w="2693" w:type="dxa"/>
              </w:tcPr>
              <w:p w:rsidR="00D8614A" w:rsidRPr="00A97575" w:rsidRDefault="00D8614A" w:rsidP="00A97575">
                <w:pPr>
                  <w:tabs>
                    <w:tab w:val="right" w:pos="8838"/>
                  </w:tabs>
                  <w:ind w:right="-105"/>
                  <w:rPr>
                    <w:rFonts w:ascii="Palatino Linotype" w:eastAsia="Palatino Linotype" w:hAnsi="Palatino Linotype" w:cs="Palatino Linotype"/>
                    <w:b/>
                  </w:rPr>
                </w:pPr>
                <w:r w:rsidRPr="00A97575">
                  <w:rPr>
                    <w:rFonts w:ascii="Palatino Linotype" w:eastAsia="Palatino Linotype" w:hAnsi="Palatino Linotype" w:cs="Palatino Linotype"/>
                    <w:b/>
                  </w:rPr>
                  <w:t>Recurso de Revisión:</w:t>
                </w:r>
              </w:p>
            </w:tc>
            <w:tc>
              <w:tcPr>
                <w:tcW w:w="4961" w:type="dxa"/>
              </w:tcPr>
              <w:p w:rsidR="00D8614A" w:rsidRPr="00A97575" w:rsidRDefault="00D8614A" w:rsidP="00D8614A">
                <w:pPr>
                  <w:tabs>
                    <w:tab w:val="right" w:pos="8838"/>
                  </w:tabs>
                  <w:ind w:hanging="115"/>
                  <w:rPr>
                    <w:rFonts w:ascii="Palatino Linotype" w:eastAsia="Palatino Linotype" w:hAnsi="Palatino Linotype" w:cs="Palatino Linotype"/>
                  </w:rPr>
                </w:pPr>
                <w:r w:rsidRPr="00A97575">
                  <w:rPr>
                    <w:rFonts w:ascii="Palatino Linotype" w:eastAsia="Palatino Linotype" w:hAnsi="Palatino Linotype" w:cs="Palatino Linotype"/>
                  </w:rPr>
                  <w:t>10493/INFOEM/IP/RR/2025 y</w:t>
                </w:r>
                <w:r>
                  <w:rPr>
                    <w:rFonts w:ascii="Palatino Linotype" w:eastAsia="Palatino Linotype" w:hAnsi="Palatino Linotype" w:cs="Palatino Linotype"/>
                  </w:rPr>
                  <w:t xml:space="preserve"> </w:t>
                </w:r>
                <w:r w:rsidRPr="00A97575">
                  <w:rPr>
                    <w:rFonts w:ascii="Palatino Linotype" w:eastAsia="Palatino Linotype" w:hAnsi="Palatino Linotype" w:cs="Palatino Linotype"/>
                  </w:rPr>
                  <w:t>acumulados</w:t>
                </w:r>
              </w:p>
            </w:tc>
          </w:tr>
          <w:tr w:rsidR="00D8614A" w:rsidTr="00A97575">
            <w:trPr>
              <w:trHeight w:val="283"/>
            </w:trPr>
            <w:tc>
              <w:tcPr>
                <w:tcW w:w="2693" w:type="dxa"/>
              </w:tcPr>
              <w:p w:rsidR="00D8614A" w:rsidRPr="00A97575" w:rsidRDefault="00D8614A" w:rsidP="00A97575">
                <w:pPr>
                  <w:tabs>
                    <w:tab w:val="right" w:pos="8838"/>
                  </w:tabs>
                  <w:ind w:right="-105"/>
                  <w:rPr>
                    <w:rFonts w:ascii="Palatino Linotype" w:eastAsia="Palatino Linotype" w:hAnsi="Palatino Linotype" w:cs="Palatino Linotype"/>
                    <w:b/>
                  </w:rPr>
                </w:pPr>
                <w:bookmarkStart w:id="11" w:name="_heading=h.2s8eyo1" w:colFirst="0" w:colLast="0"/>
                <w:bookmarkEnd w:id="11"/>
                <w:r w:rsidRPr="00A97575">
                  <w:rPr>
                    <w:rFonts w:ascii="Palatino Linotype" w:eastAsia="Palatino Linotype" w:hAnsi="Palatino Linotype" w:cs="Palatino Linotype"/>
                    <w:b/>
                  </w:rPr>
                  <w:t>Sujeto Obligado:</w:t>
                </w:r>
              </w:p>
            </w:tc>
            <w:tc>
              <w:tcPr>
                <w:tcW w:w="4961" w:type="dxa"/>
              </w:tcPr>
              <w:p w:rsidR="00D8614A" w:rsidRPr="00A97575" w:rsidRDefault="00D8614A" w:rsidP="00D8614A">
                <w:pPr>
                  <w:ind w:left="-115"/>
                  <w:rPr>
                    <w:rFonts w:ascii="Palatino Linotype" w:eastAsia="Palatino Linotype" w:hAnsi="Palatino Linotype" w:cs="Palatino Linotype"/>
                  </w:rPr>
                </w:pPr>
                <w:r w:rsidRPr="00A97575">
                  <w:rPr>
                    <w:rFonts w:ascii="Palatino Linotype" w:eastAsia="Palatino Linotype" w:hAnsi="Palatino Linotype" w:cs="Palatino Linotype"/>
                  </w:rPr>
                  <w:t>Sistema Municipal Para el Desarrollo Integral de la Familia de Ixtapaluca</w:t>
                </w:r>
              </w:p>
            </w:tc>
          </w:tr>
          <w:tr w:rsidR="00D8614A" w:rsidTr="00A97575">
            <w:trPr>
              <w:trHeight w:val="283"/>
            </w:trPr>
            <w:tc>
              <w:tcPr>
                <w:tcW w:w="2693" w:type="dxa"/>
              </w:tcPr>
              <w:p w:rsidR="00D8614A" w:rsidRPr="00A97575" w:rsidRDefault="00D8614A" w:rsidP="00A97575">
                <w:pPr>
                  <w:tabs>
                    <w:tab w:val="right" w:pos="8838"/>
                  </w:tabs>
                  <w:ind w:right="-105"/>
                  <w:rPr>
                    <w:rFonts w:ascii="Palatino Linotype" w:eastAsia="Palatino Linotype" w:hAnsi="Palatino Linotype" w:cs="Palatino Linotype"/>
                    <w:b/>
                  </w:rPr>
                </w:pPr>
                <w:r w:rsidRPr="00A97575">
                  <w:rPr>
                    <w:rFonts w:ascii="Palatino Linotype" w:eastAsia="Palatino Linotype" w:hAnsi="Palatino Linotype" w:cs="Palatino Linotype"/>
                    <w:b/>
                  </w:rPr>
                  <w:t>Comisionada Ponente:</w:t>
                </w:r>
              </w:p>
            </w:tc>
            <w:tc>
              <w:tcPr>
                <w:tcW w:w="4961" w:type="dxa"/>
              </w:tcPr>
              <w:p w:rsidR="00D8614A" w:rsidRPr="00A97575" w:rsidRDefault="00D8614A" w:rsidP="00D8614A">
                <w:pPr>
                  <w:ind w:left="-113"/>
                  <w:rPr>
                    <w:rFonts w:ascii="Palatino Linotype" w:eastAsia="Palatino Linotype" w:hAnsi="Palatino Linotype" w:cs="Palatino Linotype"/>
                    <w:b/>
                  </w:rPr>
                </w:pPr>
                <w:r w:rsidRPr="00A97575">
                  <w:rPr>
                    <w:rFonts w:ascii="Palatino Linotype" w:eastAsia="Palatino Linotype" w:hAnsi="Palatino Linotype" w:cs="Palatino Linotype"/>
                  </w:rPr>
                  <w:t>María del Rosario Mejía Ayala</w:t>
                </w:r>
              </w:p>
            </w:tc>
          </w:tr>
        </w:tbl>
        <w:p w:rsidR="00D8614A" w:rsidRDefault="00D8614A">
          <w:pPr>
            <w:tabs>
              <w:tab w:val="right" w:pos="8838"/>
            </w:tabs>
            <w:ind w:left="-28"/>
            <w:jc w:val="both"/>
            <w:rPr>
              <w:rFonts w:ascii="Arial" w:eastAsia="Arial" w:hAnsi="Arial" w:cs="Arial"/>
              <w:b/>
              <w:sz w:val="22"/>
              <w:szCs w:val="22"/>
            </w:rPr>
          </w:pPr>
        </w:p>
      </w:tc>
    </w:tr>
  </w:tbl>
  <w:p w:rsidR="00D8614A" w:rsidRDefault="00EF50E5">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94.1pt;margin-top:-152.8pt;width:663.5pt;height:12in;z-index:-251659776;mso-position-horizontal-relative:margin;mso-position-vertical-relative:margin">
          <v:imagedata r:id="rId1" o:title="image2"/>
          <w10:wrap anchorx="margin" anchory="margin"/>
        </v:shape>
      </w:pict>
    </w:r>
  </w:p>
  <w:p w:rsidR="00D8614A" w:rsidRDefault="00D8614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560" w:type="dxa"/>
      <w:tblInd w:w="0" w:type="dxa"/>
      <w:tblLayout w:type="fixed"/>
      <w:tblLook w:val="0400" w:firstRow="0" w:lastRow="0" w:firstColumn="0" w:lastColumn="0" w:noHBand="0" w:noVBand="1"/>
    </w:tblPr>
    <w:tblGrid>
      <w:gridCol w:w="1560"/>
      <w:gridCol w:w="9000"/>
    </w:tblGrid>
    <w:tr w:rsidR="00D8614A">
      <w:trPr>
        <w:trHeight w:val="1435"/>
      </w:trPr>
      <w:tc>
        <w:tcPr>
          <w:tcW w:w="1560" w:type="dxa"/>
          <w:shd w:val="clear" w:color="auto" w:fill="auto"/>
        </w:tcPr>
        <w:p w:rsidR="00D8614A" w:rsidRDefault="00D8614A">
          <w:pPr>
            <w:tabs>
              <w:tab w:val="right" w:pos="4273"/>
            </w:tabs>
            <w:rPr>
              <w:rFonts w:ascii="Garamond" w:eastAsia="Garamond" w:hAnsi="Garamond" w:cs="Garamond"/>
              <w:sz w:val="22"/>
              <w:szCs w:val="22"/>
            </w:rPr>
          </w:pPr>
        </w:p>
      </w:tc>
      <w:tc>
        <w:tcPr>
          <w:tcW w:w="9000" w:type="dxa"/>
          <w:shd w:val="clear" w:color="auto" w:fill="auto"/>
        </w:tcPr>
        <w:tbl>
          <w:tblPr>
            <w:tblStyle w:val="a2"/>
            <w:tblW w:w="9926" w:type="dxa"/>
            <w:tblInd w:w="877" w:type="dxa"/>
            <w:tblBorders>
              <w:top w:val="nil"/>
              <w:left w:val="nil"/>
              <w:bottom w:val="nil"/>
              <w:right w:val="nil"/>
              <w:insideH w:val="nil"/>
              <w:insideV w:val="nil"/>
            </w:tblBorders>
            <w:tblLayout w:type="fixed"/>
            <w:tblLook w:val="0400" w:firstRow="0" w:lastRow="0" w:firstColumn="0" w:lastColumn="0" w:noHBand="0" w:noVBand="1"/>
          </w:tblPr>
          <w:tblGrid>
            <w:gridCol w:w="2551"/>
            <w:gridCol w:w="5245"/>
            <w:gridCol w:w="2130"/>
          </w:tblGrid>
          <w:tr w:rsidR="00D8614A" w:rsidTr="00A97575">
            <w:trPr>
              <w:trHeight w:val="144"/>
            </w:trPr>
            <w:tc>
              <w:tcPr>
                <w:tcW w:w="2551" w:type="dxa"/>
              </w:tcPr>
              <w:p w:rsidR="00D8614A" w:rsidRPr="00A97575" w:rsidRDefault="00D8614A">
                <w:pPr>
                  <w:tabs>
                    <w:tab w:val="right" w:pos="8838"/>
                  </w:tabs>
                  <w:ind w:left="-74" w:right="-105"/>
                  <w:rPr>
                    <w:rFonts w:ascii="Palatino Linotype" w:eastAsia="Palatino Linotype" w:hAnsi="Palatino Linotype" w:cs="Palatino Linotype"/>
                    <w:b/>
                  </w:rPr>
                </w:pPr>
                <w:bookmarkStart w:id="12" w:name="_heading=h.17dp8vu" w:colFirst="0" w:colLast="0"/>
                <w:bookmarkEnd w:id="12"/>
                <w:r w:rsidRPr="00A97575">
                  <w:rPr>
                    <w:rFonts w:ascii="Palatino Linotype" w:eastAsia="Palatino Linotype" w:hAnsi="Palatino Linotype" w:cs="Palatino Linotype"/>
                    <w:b/>
                  </w:rPr>
                  <w:t>Recurso de Revisión:</w:t>
                </w:r>
              </w:p>
            </w:tc>
            <w:tc>
              <w:tcPr>
                <w:tcW w:w="5245" w:type="dxa"/>
              </w:tcPr>
              <w:p w:rsidR="00D8614A" w:rsidRPr="00A97575" w:rsidRDefault="00D8614A" w:rsidP="005C7E42">
                <w:pPr>
                  <w:tabs>
                    <w:tab w:val="right" w:pos="8838"/>
                  </w:tabs>
                  <w:ind w:left="-3" w:right="-33"/>
                  <w:rPr>
                    <w:rFonts w:ascii="Palatino Linotype" w:eastAsia="Palatino Linotype" w:hAnsi="Palatino Linotype" w:cs="Palatino Linotype"/>
                  </w:rPr>
                </w:pPr>
                <w:r w:rsidRPr="00A97575">
                  <w:rPr>
                    <w:rFonts w:ascii="Palatino Linotype" w:eastAsia="Palatino Linotype" w:hAnsi="Palatino Linotype" w:cs="Palatino Linotype"/>
                  </w:rPr>
                  <w:t>10493/INFOEM/IP/RR/2025 y</w:t>
                </w:r>
                <w:r>
                  <w:rPr>
                    <w:rFonts w:ascii="Palatino Linotype" w:eastAsia="Palatino Linotype" w:hAnsi="Palatino Linotype" w:cs="Palatino Linotype"/>
                  </w:rPr>
                  <w:t xml:space="preserve"> </w:t>
                </w:r>
                <w:r w:rsidR="005C7E42">
                  <w:rPr>
                    <w:rFonts w:ascii="Palatino Linotype" w:eastAsia="Palatino Linotype" w:hAnsi="Palatino Linotype" w:cs="Palatino Linotype"/>
                  </w:rPr>
                  <w:t>A</w:t>
                </w:r>
                <w:r w:rsidRPr="00A97575">
                  <w:rPr>
                    <w:rFonts w:ascii="Palatino Linotype" w:eastAsia="Palatino Linotype" w:hAnsi="Palatino Linotype" w:cs="Palatino Linotype"/>
                  </w:rPr>
                  <w:t>cumulados</w:t>
                </w:r>
              </w:p>
            </w:tc>
            <w:tc>
              <w:tcPr>
                <w:tcW w:w="2130" w:type="dxa"/>
              </w:tcPr>
              <w:p w:rsidR="00D8614A" w:rsidRDefault="00D8614A">
                <w:pPr>
                  <w:tabs>
                    <w:tab w:val="right" w:pos="8838"/>
                  </w:tabs>
                  <w:ind w:left="-74" w:right="-105"/>
                  <w:jc w:val="both"/>
                  <w:rPr>
                    <w:rFonts w:ascii="Palatino Linotype" w:eastAsia="Palatino Linotype" w:hAnsi="Palatino Linotype" w:cs="Palatino Linotype"/>
                    <w:sz w:val="22"/>
                    <w:szCs w:val="22"/>
                  </w:rPr>
                </w:pPr>
              </w:p>
            </w:tc>
          </w:tr>
          <w:tr w:rsidR="00D8614A" w:rsidTr="00A97575">
            <w:trPr>
              <w:trHeight w:val="144"/>
            </w:trPr>
            <w:tc>
              <w:tcPr>
                <w:tcW w:w="2551" w:type="dxa"/>
              </w:tcPr>
              <w:p w:rsidR="00D8614A" w:rsidRPr="00A97575" w:rsidRDefault="00D8614A">
                <w:pPr>
                  <w:tabs>
                    <w:tab w:val="right" w:pos="8838"/>
                  </w:tabs>
                  <w:ind w:left="-74" w:right="-105"/>
                  <w:rPr>
                    <w:rFonts w:ascii="Palatino Linotype" w:eastAsia="Palatino Linotype" w:hAnsi="Palatino Linotype" w:cs="Palatino Linotype"/>
                    <w:b/>
                  </w:rPr>
                </w:pPr>
                <w:bookmarkStart w:id="13" w:name="_heading=h.3rdcrjn" w:colFirst="0" w:colLast="0"/>
                <w:bookmarkEnd w:id="13"/>
                <w:r w:rsidRPr="00A97575">
                  <w:rPr>
                    <w:rFonts w:ascii="Palatino Linotype" w:eastAsia="Palatino Linotype" w:hAnsi="Palatino Linotype" w:cs="Palatino Linotype"/>
                    <w:b/>
                  </w:rPr>
                  <w:t>Recurrente:</w:t>
                </w:r>
              </w:p>
            </w:tc>
            <w:tc>
              <w:tcPr>
                <w:tcW w:w="5245" w:type="dxa"/>
              </w:tcPr>
              <w:p w:rsidR="00D8614A" w:rsidRPr="00A97575" w:rsidRDefault="005C7E42" w:rsidP="00D8614A">
                <w:pPr>
                  <w:tabs>
                    <w:tab w:val="left" w:pos="3122"/>
                    <w:tab w:val="right" w:pos="8838"/>
                  </w:tabs>
                  <w:ind w:left="-3" w:right="-33"/>
                  <w:rPr>
                    <w:rFonts w:ascii="Palatino Linotype" w:eastAsia="Palatino Linotype" w:hAnsi="Palatino Linotype" w:cs="Palatino Linotype"/>
                  </w:rPr>
                </w:pPr>
                <w:r>
                  <w:rPr>
                    <w:rFonts w:ascii="Palatino Linotype" w:eastAsia="Palatino Linotype" w:hAnsi="Palatino Linotype" w:cs="Palatino Linotype"/>
                  </w:rPr>
                  <w:t>XXXX</w:t>
                </w:r>
              </w:p>
            </w:tc>
            <w:tc>
              <w:tcPr>
                <w:tcW w:w="2130" w:type="dxa"/>
              </w:tcPr>
              <w:p w:rsidR="00D8614A" w:rsidRDefault="00D8614A">
                <w:pPr>
                  <w:tabs>
                    <w:tab w:val="left" w:pos="3122"/>
                    <w:tab w:val="right" w:pos="8838"/>
                  </w:tabs>
                  <w:ind w:right="-105"/>
                  <w:jc w:val="both"/>
                  <w:rPr>
                    <w:rFonts w:ascii="Palatino Linotype" w:eastAsia="Palatino Linotype" w:hAnsi="Palatino Linotype" w:cs="Palatino Linotype"/>
                    <w:sz w:val="22"/>
                    <w:szCs w:val="22"/>
                  </w:rPr>
                </w:pPr>
              </w:p>
            </w:tc>
          </w:tr>
          <w:tr w:rsidR="00D8614A" w:rsidTr="00A97575">
            <w:trPr>
              <w:trHeight w:val="283"/>
            </w:trPr>
            <w:tc>
              <w:tcPr>
                <w:tcW w:w="2551" w:type="dxa"/>
              </w:tcPr>
              <w:p w:rsidR="00D8614A" w:rsidRPr="00A97575" w:rsidRDefault="00D8614A">
                <w:pPr>
                  <w:tabs>
                    <w:tab w:val="right" w:pos="8838"/>
                  </w:tabs>
                  <w:ind w:left="-74" w:right="-105"/>
                  <w:rPr>
                    <w:rFonts w:ascii="Palatino Linotype" w:eastAsia="Palatino Linotype" w:hAnsi="Palatino Linotype" w:cs="Palatino Linotype"/>
                    <w:b/>
                  </w:rPr>
                </w:pPr>
                <w:r w:rsidRPr="00A97575">
                  <w:rPr>
                    <w:rFonts w:ascii="Palatino Linotype" w:eastAsia="Palatino Linotype" w:hAnsi="Palatino Linotype" w:cs="Palatino Linotype"/>
                    <w:b/>
                  </w:rPr>
                  <w:t>Sujeto Obligado:</w:t>
                </w:r>
              </w:p>
            </w:tc>
            <w:tc>
              <w:tcPr>
                <w:tcW w:w="5245" w:type="dxa"/>
              </w:tcPr>
              <w:p w:rsidR="00D8614A" w:rsidRPr="00A97575" w:rsidRDefault="00D8614A" w:rsidP="00D8614A">
                <w:pPr>
                  <w:tabs>
                    <w:tab w:val="left" w:pos="2834"/>
                    <w:tab w:val="right" w:pos="8838"/>
                  </w:tabs>
                  <w:ind w:left="-3" w:right="-33"/>
                  <w:rPr>
                    <w:rFonts w:ascii="Palatino Linotype" w:eastAsia="Palatino Linotype" w:hAnsi="Palatino Linotype" w:cs="Palatino Linotype"/>
                  </w:rPr>
                </w:pPr>
                <w:r w:rsidRPr="00A97575">
                  <w:rPr>
                    <w:rFonts w:ascii="Palatino Linotype" w:eastAsia="Palatino Linotype" w:hAnsi="Palatino Linotype" w:cs="Palatino Linotype"/>
                  </w:rPr>
                  <w:t>Sistema Municipal Para el Desarrollo Integral de la Familia de Ixtapaluca</w:t>
                </w:r>
              </w:p>
            </w:tc>
            <w:tc>
              <w:tcPr>
                <w:tcW w:w="2130" w:type="dxa"/>
              </w:tcPr>
              <w:p w:rsidR="00D8614A" w:rsidRDefault="00D8614A">
                <w:pPr>
                  <w:tabs>
                    <w:tab w:val="left" w:pos="2834"/>
                    <w:tab w:val="right" w:pos="8838"/>
                  </w:tabs>
                  <w:ind w:left="-74" w:right="-105"/>
                  <w:jc w:val="both"/>
                  <w:rPr>
                    <w:rFonts w:ascii="Palatino Linotype" w:eastAsia="Palatino Linotype" w:hAnsi="Palatino Linotype" w:cs="Palatino Linotype"/>
                    <w:sz w:val="22"/>
                    <w:szCs w:val="22"/>
                  </w:rPr>
                </w:pPr>
              </w:p>
            </w:tc>
          </w:tr>
          <w:tr w:rsidR="00D8614A" w:rsidTr="00A97575">
            <w:trPr>
              <w:trHeight w:val="283"/>
            </w:trPr>
            <w:tc>
              <w:tcPr>
                <w:tcW w:w="2551" w:type="dxa"/>
              </w:tcPr>
              <w:p w:rsidR="00D8614A" w:rsidRPr="00A97575" w:rsidRDefault="00D8614A">
                <w:pPr>
                  <w:tabs>
                    <w:tab w:val="right" w:pos="8838"/>
                  </w:tabs>
                  <w:ind w:left="-74" w:right="-105"/>
                  <w:rPr>
                    <w:rFonts w:ascii="Palatino Linotype" w:eastAsia="Palatino Linotype" w:hAnsi="Palatino Linotype" w:cs="Palatino Linotype"/>
                    <w:b/>
                  </w:rPr>
                </w:pPr>
                <w:r w:rsidRPr="00A97575">
                  <w:rPr>
                    <w:rFonts w:ascii="Palatino Linotype" w:eastAsia="Palatino Linotype" w:hAnsi="Palatino Linotype" w:cs="Palatino Linotype"/>
                    <w:b/>
                  </w:rPr>
                  <w:t>Comisionada Ponente:</w:t>
                </w:r>
              </w:p>
            </w:tc>
            <w:tc>
              <w:tcPr>
                <w:tcW w:w="5245" w:type="dxa"/>
              </w:tcPr>
              <w:p w:rsidR="00D8614A" w:rsidRPr="00A97575" w:rsidRDefault="00D8614A" w:rsidP="00D8614A">
                <w:pPr>
                  <w:tabs>
                    <w:tab w:val="right" w:pos="8838"/>
                  </w:tabs>
                  <w:ind w:left="-3" w:right="-33"/>
                  <w:rPr>
                    <w:rFonts w:ascii="Palatino Linotype" w:eastAsia="Palatino Linotype" w:hAnsi="Palatino Linotype" w:cs="Palatino Linotype"/>
                  </w:rPr>
                </w:pPr>
                <w:r w:rsidRPr="00A97575">
                  <w:rPr>
                    <w:rFonts w:ascii="Palatino Linotype" w:eastAsia="Palatino Linotype" w:hAnsi="Palatino Linotype" w:cs="Palatino Linotype"/>
                  </w:rPr>
                  <w:t>María del Rosario Mejía Ayala</w:t>
                </w:r>
              </w:p>
            </w:tc>
            <w:tc>
              <w:tcPr>
                <w:tcW w:w="2130" w:type="dxa"/>
              </w:tcPr>
              <w:p w:rsidR="00D8614A" w:rsidRDefault="00D8614A">
                <w:pPr>
                  <w:tabs>
                    <w:tab w:val="right" w:pos="8838"/>
                  </w:tabs>
                  <w:ind w:left="-74" w:right="-105"/>
                  <w:jc w:val="both"/>
                  <w:rPr>
                    <w:rFonts w:ascii="Palatino Linotype" w:eastAsia="Palatino Linotype" w:hAnsi="Palatino Linotype" w:cs="Palatino Linotype"/>
                    <w:sz w:val="22"/>
                    <w:szCs w:val="22"/>
                  </w:rPr>
                </w:pPr>
              </w:p>
            </w:tc>
          </w:tr>
        </w:tbl>
        <w:p w:rsidR="00D8614A" w:rsidRDefault="00D8614A">
          <w:pPr>
            <w:tabs>
              <w:tab w:val="right" w:pos="8838"/>
            </w:tabs>
            <w:ind w:left="-28"/>
            <w:jc w:val="both"/>
            <w:rPr>
              <w:rFonts w:ascii="Arial" w:eastAsia="Arial" w:hAnsi="Arial" w:cs="Arial"/>
              <w:b/>
              <w:sz w:val="22"/>
              <w:szCs w:val="22"/>
            </w:rPr>
          </w:pPr>
        </w:p>
      </w:tc>
    </w:tr>
  </w:tbl>
  <w:p w:rsidR="00D8614A" w:rsidRDefault="00EF50E5">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97.45pt;margin-top:-141.75pt;width:663.5pt;height:12in;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5465E"/>
    <w:multiLevelType w:val="hybridMultilevel"/>
    <w:tmpl w:val="128CE224"/>
    <w:lvl w:ilvl="0" w:tplc="F9CC997A">
      <w:start w:val="1"/>
      <w:numFmt w:val="lowerLetter"/>
      <w:lvlText w:val="%1)"/>
      <w:lvlJc w:val="left"/>
      <w:pPr>
        <w:ind w:left="1440" w:hanging="360"/>
      </w:pPr>
      <w:rPr>
        <w:rFonts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3351D9A"/>
    <w:multiLevelType w:val="hybridMultilevel"/>
    <w:tmpl w:val="9B18674E"/>
    <w:lvl w:ilvl="0" w:tplc="FFFFFFFF">
      <w:start w:val="1"/>
      <w:numFmt w:val="upperRoman"/>
      <w:lvlText w:val="%1."/>
      <w:lvlJc w:val="right"/>
      <w:pPr>
        <w:ind w:left="1380" w:hanging="10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2D5048"/>
    <w:multiLevelType w:val="multilevel"/>
    <w:tmpl w:val="4FACD00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760C70"/>
    <w:multiLevelType w:val="hybridMultilevel"/>
    <w:tmpl w:val="9B18674E"/>
    <w:lvl w:ilvl="0" w:tplc="FFFFFFFF">
      <w:start w:val="1"/>
      <w:numFmt w:val="upperRoman"/>
      <w:lvlText w:val="%1."/>
      <w:lvlJc w:val="right"/>
      <w:pPr>
        <w:ind w:left="1380" w:hanging="10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0C61AE"/>
    <w:multiLevelType w:val="hybridMultilevel"/>
    <w:tmpl w:val="4F8AF2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70367F3"/>
    <w:multiLevelType w:val="hybridMultilevel"/>
    <w:tmpl w:val="BAA0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FE593A"/>
    <w:multiLevelType w:val="multilevel"/>
    <w:tmpl w:val="B7C24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DF4594"/>
    <w:multiLevelType w:val="hybridMultilevel"/>
    <w:tmpl w:val="9B18674E"/>
    <w:lvl w:ilvl="0" w:tplc="FFFFFFFF">
      <w:start w:val="1"/>
      <w:numFmt w:val="upperRoman"/>
      <w:lvlText w:val="%1."/>
      <w:lvlJc w:val="right"/>
      <w:pPr>
        <w:ind w:left="1380" w:hanging="10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EF4657"/>
    <w:multiLevelType w:val="hybridMultilevel"/>
    <w:tmpl w:val="ACB8B7C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9F22F1F"/>
    <w:multiLevelType w:val="hybridMultilevel"/>
    <w:tmpl w:val="1A521C3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4930C03"/>
    <w:multiLevelType w:val="hybridMultilevel"/>
    <w:tmpl w:val="ACB8B7C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D2966C9"/>
    <w:multiLevelType w:val="hybridMultilevel"/>
    <w:tmpl w:val="1A521C3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01A47BC"/>
    <w:multiLevelType w:val="hybridMultilevel"/>
    <w:tmpl w:val="ACB8B7C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1004418"/>
    <w:multiLevelType w:val="hybridMultilevel"/>
    <w:tmpl w:val="ACB8B7C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1A60FD8"/>
    <w:multiLevelType w:val="hybridMultilevel"/>
    <w:tmpl w:val="ACB8B7C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399642C"/>
    <w:multiLevelType w:val="hybridMultilevel"/>
    <w:tmpl w:val="1A521C3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3C56D25"/>
    <w:multiLevelType w:val="hybridMultilevel"/>
    <w:tmpl w:val="D55A6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06622F"/>
    <w:multiLevelType w:val="hybridMultilevel"/>
    <w:tmpl w:val="9B18674E"/>
    <w:lvl w:ilvl="0" w:tplc="FFFFFFFF">
      <w:start w:val="1"/>
      <w:numFmt w:val="upperRoman"/>
      <w:lvlText w:val="%1."/>
      <w:lvlJc w:val="right"/>
      <w:pPr>
        <w:ind w:left="1380" w:hanging="10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762C56"/>
    <w:multiLevelType w:val="hybridMultilevel"/>
    <w:tmpl w:val="1A521C3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B306103"/>
    <w:multiLevelType w:val="hybridMultilevel"/>
    <w:tmpl w:val="A928D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9E1379"/>
    <w:multiLevelType w:val="hybridMultilevel"/>
    <w:tmpl w:val="9B18674E"/>
    <w:lvl w:ilvl="0" w:tplc="FFFFFFFF">
      <w:start w:val="1"/>
      <w:numFmt w:val="upperRoman"/>
      <w:lvlText w:val="%1."/>
      <w:lvlJc w:val="right"/>
      <w:pPr>
        <w:ind w:left="1380" w:hanging="10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0F5658"/>
    <w:multiLevelType w:val="hybridMultilevel"/>
    <w:tmpl w:val="1A521C3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6"/>
  </w:num>
  <w:num w:numId="2">
    <w:abstractNumId w:val="2"/>
  </w:num>
  <w:num w:numId="3">
    <w:abstractNumId w:val="0"/>
  </w:num>
  <w:num w:numId="4">
    <w:abstractNumId w:val="4"/>
  </w:num>
  <w:num w:numId="5">
    <w:abstractNumId w:val="7"/>
  </w:num>
  <w:num w:numId="6">
    <w:abstractNumId w:val="12"/>
  </w:num>
  <w:num w:numId="7">
    <w:abstractNumId w:val="18"/>
  </w:num>
  <w:num w:numId="8">
    <w:abstractNumId w:val="16"/>
  </w:num>
  <w:num w:numId="9">
    <w:abstractNumId w:val="3"/>
  </w:num>
  <w:num w:numId="10">
    <w:abstractNumId w:val="13"/>
  </w:num>
  <w:num w:numId="11">
    <w:abstractNumId w:val="15"/>
  </w:num>
  <w:num w:numId="12">
    <w:abstractNumId w:val="19"/>
  </w:num>
  <w:num w:numId="13">
    <w:abstractNumId w:val="1"/>
  </w:num>
  <w:num w:numId="14">
    <w:abstractNumId w:val="8"/>
  </w:num>
  <w:num w:numId="15">
    <w:abstractNumId w:val="21"/>
  </w:num>
  <w:num w:numId="16">
    <w:abstractNumId w:val="20"/>
  </w:num>
  <w:num w:numId="17">
    <w:abstractNumId w:val="14"/>
  </w:num>
  <w:num w:numId="18">
    <w:abstractNumId w:val="9"/>
  </w:num>
  <w:num w:numId="19">
    <w:abstractNumId w:val="17"/>
  </w:num>
  <w:num w:numId="20">
    <w:abstractNumId w:val="10"/>
  </w:num>
  <w:num w:numId="21">
    <w:abstractNumId w:val="11"/>
  </w:num>
  <w:num w:numId="2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8B"/>
    <w:rsid w:val="00002240"/>
    <w:rsid w:val="00020F40"/>
    <w:rsid w:val="0004369A"/>
    <w:rsid w:val="00045168"/>
    <w:rsid w:val="00054778"/>
    <w:rsid w:val="00060DCC"/>
    <w:rsid w:val="00061CCE"/>
    <w:rsid w:val="000627CD"/>
    <w:rsid w:val="00064324"/>
    <w:rsid w:val="000A1D6B"/>
    <w:rsid w:val="000A5DB9"/>
    <w:rsid w:val="000D78BD"/>
    <w:rsid w:val="000E1100"/>
    <w:rsid w:val="00136258"/>
    <w:rsid w:val="00140862"/>
    <w:rsid w:val="00142D6D"/>
    <w:rsid w:val="001505B7"/>
    <w:rsid w:val="00152AD8"/>
    <w:rsid w:val="001718BA"/>
    <w:rsid w:val="001B432C"/>
    <w:rsid w:val="001C2792"/>
    <w:rsid w:val="001C2F6F"/>
    <w:rsid w:val="001D35A0"/>
    <w:rsid w:val="001E363F"/>
    <w:rsid w:val="00213AF9"/>
    <w:rsid w:val="00222C26"/>
    <w:rsid w:val="00226929"/>
    <w:rsid w:val="00241A52"/>
    <w:rsid w:val="00256137"/>
    <w:rsid w:val="00257C34"/>
    <w:rsid w:val="00265B3D"/>
    <w:rsid w:val="00280E78"/>
    <w:rsid w:val="002829E1"/>
    <w:rsid w:val="0028484F"/>
    <w:rsid w:val="002A2431"/>
    <w:rsid w:val="002B5D5C"/>
    <w:rsid w:val="002B7097"/>
    <w:rsid w:val="002C67AB"/>
    <w:rsid w:val="002C7DFB"/>
    <w:rsid w:val="002D6F7B"/>
    <w:rsid w:val="002F44FD"/>
    <w:rsid w:val="002F6237"/>
    <w:rsid w:val="002F6F5C"/>
    <w:rsid w:val="00301157"/>
    <w:rsid w:val="00333269"/>
    <w:rsid w:val="00340903"/>
    <w:rsid w:val="00345171"/>
    <w:rsid w:val="003558A5"/>
    <w:rsid w:val="003631A5"/>
    <w:rsid w:val="00367627"/>
    <w:rsid w:val="00395979"/>
    <w:rsid w:val="00395B06"/>
    <w:rsid w:val="0039649F"/>
    <w:rsid w:val="003A1969"/>
    <w:rsid w:val="003A6433"/>
    <w:rsid w:val="003A789B"/>
    <w:rsid w:val="003C7FBE"/>
    <w:rsid w:val="003D470B"/>
    <w:rsid w:val="003D68C2"/>
    <w:rsid w:val="003D779D"/>
    <w:rsid w:val="003E7CFB"/>
    <w:rsid w:val="003F06F0"/>
    <w:rsid w:val="003F132A"/>
    <w:rsid w:val="003F1B36"/>
    <w:rsid w:val="003F21FF"/>
    <w:rsid w:val="003F528B"/>
    <w:rsid w:val="004013AF"/>
    <w:rsid w:val="00402E97"/>
    <w:rsid w:val="00406D21"/>
    <w:rsid w:val="0041509E"/>
    <w:rsid w:val="00420D77"/>
    <w:rsid w:val="004243BB"/>
    <w:rsid w:val="00424B8B"/>
    <w:rsid w:val="00430216"/>
    <w:rsid w:val="00431103"/>
    <w:rsid w:val="00447D61"/>
    <w:rsid w:val="00466933"/>
    <w:rsid w:val="004736C8"/>
    <w:rsid w:val="00477AC7"/>
    <w:rsid w:val="0048757E"/>
    <w:rsid w:val="004A3480"/>
    <w:rsid w:val="004B46F9"/>
    <w:rsid w:val="004C5CCF"/>
    <w:rsid w:val="004C7524"/>
    <w:rsid w:val="004D02D4"/>
    <w:rsid w:val="0050324D"/>
    <w:rsid w:val="00515AAE"/>
    <w:rsid w:val="00517C69"/>
    <w:rsid w:val="005220D3"/>
    <w:rsid w:val="00523C5D"/>
    <w:rsid w:val="00550850"/>
    <w:rsid w:val="00556723"/>
    <w:rsid w:val="0057489F"/>
    <w:rsid w:val="005A15DE"/>
    <w:rsid w:val="005A4F11"/>
    <w:rsid w:val="005B006F"/>
    <w:rsid w:val="005B667A"/>
    <w:rsid w:val="005C2C44"/>
    <w:rsid w:val="005C7E42"/>
    <w:rsid w:val="005D3D33"/>
    <w:rsid w:val="005D6A0A"/>
    <w:rsid w:val="005D7649"/>
    <w:rsid w:val="005E5020"/>
    <w:rsid w:val="005E6833"/>
    <w:rsid w:val="005E716B"/>
    <w:rsid w:val="005F4C3A"/>
    <w:rsid w:val="005F6795"/>
    <w:rsid w:val="00605590"/>
    <w:rsid w:val="006071E1"/>
    <w:rsid w:val="006102AA"/>
    <w:rsid w:val="00620C1D"/>
    <w:rsid w:val="0062123D"/>
    <w:rsid w:val="00656514"/>
    <w:rsid w:val="0066357F"/>
    <w:rsid w:val="006643BE"/>
    <w:rsid w:val="006708C1"/>
    <w:rsid w:val="00682032"/>
    <w:rsid w:val="00694B21"/>
    <w:rsid w:val="006A1036"/>
    <w:rsid w:val="006C366E"/>
    <w:rsid w:val="006C4F8C"/>
    <w:rsid w:val="006D0A87"/>
    <w:rsid w:val="006D4128"/>
    <w:rsid w:val="006F351E"/>
    <w:rsid w:val="007020AD"/>
    <w:rsid w:val="0074233C"/>
    <w:rsid w:val="00774E27"/>
    <w:rsid w:val="00793D6A"/>
    <w:rsid w:val="007B1340"/>
    <w:rsid w:val="007B4E40"/>
    <w:rsid w:val="007B7316"/>
    <w:rsid w:val="007C4920"/>
    <w:rsid w:val="007D1B5C"/>
    <w:rsid w:val="007E34FD"/>
    <w:rsid w:val="007E3A50"/>
    <w:rsid w:val="00811254"/>
    <w:rsid w:val="00813FDE"/>
    <w:rsid w:val="00814999"/>
    <w:rsid w:val="008202C6"/>
    <w:rsid w:val="008215C0"/>
    <w:rsid w:val="00826B91"/>
    <w:rsid w:val="00836558"/>
    <w:rsid w:val="00867DCC"/>
    <w:rsid w:val="00871F7D"/>
    <w:rsid w:val="00877153"/>
    <w:rsid w:val="00885F00"/>
    <w:rsid w:val="00896187"/>
    <w:rsid w:val="008A640B"/>
    <w:rsid w:val="008B24AE"/>
    <w:rsid w:val="008B7F18"/>
    <w:rsid w:val="008C1373"/>
    <w:rsid w:val="008C1F66"/>
    <w:rsid w:val="008C7769"/>
    <w:rsid w:val="008D0D2D"/>
    <w:rsid w:val="008D2490"/>
    <w:rsid w:val="008E1478"/>
    <w:rsid w:val="008E78AF"/>
    <w:rsid w:val="0091762E"/>
    <w:rsid w:val="009A203E"/>
    <w:rsid w:val="009B5868"/>
    <w:rsid w:val="009D4323"/>
    <w:rsid w:val="009D468C"/>
    <w:rsid w:val="00A00935"/>
    <w:rsid w:val="00A03DAF"/>
    <w:rsid w:val="00A06612"/>
    <w:rsid w:val="00A310FB"/>
    <w:rsid w:val="00A52F85"/>
    <w:rsid w:val="00A6203A"/>
    <w:rsid w:val="00A64A8B"/>
    <w:rsid w:val="00A91A90"/>
    <w:rsid w:val="00A97575"/>
    <w:rsid w:val="00AA1224"/>
    <w:rsid w:val="00AA1383"/>
    <w:rsid w:val="00AA665E"/>
    <w:rsid w:val="00AB0C6C"/>
    <w:rsid w:val="00AC6D86"/>
    <w:rsid w:val="00AF0F95"/>
    <w:rsid w:val="00AF59AD"/>
    <w:rsid w:val="00B0093C"/>
    <w:rsid w:val="00B014B1"/>
    <w:rsid w:val="00B143D7"/>
    <w:rsid w:val="00B2024F"/>
    <w:rsid w:val="00B55C5F"/>
    <w:rsid w:val="00B60133"/>
    <w:rsid w:val="00B62FF3"/>
    <w:rsid w:val="00B71CCD"/>
    <w:rsid w:val="00B775B9"/>
    <w:rsid w:val="00B9387A"/>
    <w:rsid w:val="00B97F2C"/>
    <w:rsid w:val="00BA59FB"/>
    <w:rsid w:val="00BD4865"/>
    <w:rsid w:val="00BF1C2F"/>
    <w:rsid w:val="00BF511F"/>
    <w:rsid w:val="00C00CF8"/>
    <w:rsid w:val="00C07473"/>
    <w:rsid w:val="00C30572"/>
    <w:rsid w:val="00C33B4F"/>
    <w:rsid w:val="00C43A0A"/>
    <w:rsid w:val="00C712CF"/>
    <w:rsid w:val="00CA50A8"/>
    <w:rsid w:val="00CB7DCA"/>
    <w:rsid w:val="00CC1AFC"/>
    <w:rsid w:val="00CC5256"/>
    <w:rsid w:val="00D10980"/>
    <w:rsid w:val="00D14781"/>
    <w:rsid w:val="00D267F7"/>
    <w:rsid w:val="00D3394C"/>
    <w:rsid w:val="00D339FB"/>
    <w:rsid w:val="00D6225D"/>
    <w:rsid w:val="00D641AA"/>
    <w:rsid w:val="00D65EE8"/>
    <w:rsid w:val="00D83A57"/>
    <w:rsid w:val="00D8614A"/>
    <w:rsid w:val="00D93B1A"/>
    <w:rsid w:val="00DA2A40"/>
    <w:rsid w:val="00DA3897"/>
    <w:rsid w:val="00DB67C8"/>
    <w:rsid w:val="00DD6ABF"/>
    <w:rsid w:val="00DD6D75"/>
    <w:rsid w:val="00DD6F0D"/>
    <w:rsid w:val="00DE73FC"/>
    <w:rsid w:val="00E06AEA"/>
    <w:rsid w:val="00E13899"/>
    <w:rsid w:val="00E1526B"/>
    <w:rsid w:val="00E20B70"/>
    <w:rsid w:val="00E45783"/>
    <w:rsid w:val="00E52E55"/>
    <w:rsid w:val="00E60C5E"/>
    <w:rsid w:val="00E62E0E"/>
    <w:rsid w:val="00E6763A"/>
    <w:rsid w:val="00E77F25"/>
    <w:rsid w:val="00EA40CC"/>
    <w:rsid w:val="00EA7C41"/>
    <w:rsid w:val="00ED3370"/>
    <w:rsid w:val="00ED3486"/>
    <w:rsid w:val="00EF230F"/>
    <w:rsid w:val="00EF50E5"/>
    <w:rsid w:val="00F03F6D"/>
    <w:rsid w:val="00F37C81"/>
    <w:rsid w:val="00F4128B"/>
    <w:rsid w:val="00F42A9F"/>
    <w:rsid w:val="00F46499"/>
    <w:rsid w:val="00F46DF8"/>
    <w:rsid w:val="00F52D7C"/>
    <w:rsid w:val="00F56A08"/>
    <w:rsid w:val="00F61634"/>
    <w:rsid w:val="00F81215"/>
    <w:rsid w:val="00F83EE2"/>
    <w:rsid w:val="00F91498"/>
    <w:rsid w:val="00FA6885"/>
    <w:rsid w:val="00FE1215"/>
    <w:rsid w:val="00FE2512"/>
    <w:rsid w:val="00FE3145"/>
    <w:rsid w:val="00FE396F"/>
    <w:rsid w:val="00FF3C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B6C2526-1336-4DD9-8E8D-BBFB7EDC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79"/>
  </w:style>
  <w:style w:type="paragraph" w:styleId="Ttulo1">
    <w:name w:val="heading 1"/>
    <w:basedOn w:val="Normal"/>
    <w:next w:val="Normal"/>
    <w:link w:val="Ttulo1Car"/>
    <w:uiPriority w:val="9"/>
    <w:qFormat/>
    <w:rsid w:val="001C2C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C2C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1C2C79"/>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1C2C79"/>
    <w:rPr>
      <w:rFonts w:asciiTheme="majorHAnsi" w:eastAsiaTheme="majorEastAsia" w:hAnsiTheme="majorHAnsi" w:cstheme="majorBidi"/>
      <w:color w:val="2E74B5" w:themeColor="accent1" w:themeShade="BF"/>
      <w:sz w:val="26"/>
      <w:szCs w:val="26"/>
      <w:lang w:eastAsia="es-MX"/>
    </w:rPr>
  </w:style>
  <w:style w:type="paragraph" w:styleId="Piedepgina">
    <w:name w:val="footer"/>
    <w:basedOn w:val="Normal"/>
    <w:link w:val="PiedepginaCar"/>
    <w:uiPriority w:val="99"/>
    <w:unhideWhenUsed/>
    <w:rsid w:val="001C2C79"/>
    <w:pPr>
      <w:tabs>
        <w:tab w:val="center" w:pos="4419"/>
        <w:tab w:val="right" w:pos="8838"/>
      </w:tabs>
    </w:pPr>
  </w:style>
  <w:style w:type="character" w:customStyle="1" w:styleId="PiedepginaCar">
    <w:name w:val="Pie de página Car"/>
    <w:basedOn w:val="Fuentedeprrafopredeter"/>
    <w:link w:val="Piedepgina"/>
    <w:uiPriority w:val="99"/>
    <w:rsid w:val="001C2C7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328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3281"/>
    <w:rPr>
      <w:rFonts w:ascii="Times New Roman" w:eastAsia="Times New Roman" w:hAnsi="Times New Roman" w:cs="Times New Roman"/>
      <w:sz w:val="24"/>
      <w:szCs w:val="24"/>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D37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37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5D37F5"/>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D37F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9D578F"/>
    <w:rPr>
      <w:color w:val="0563C1" w:themeColor="hyperlink"/>
      <w:u w:val="single"/>
    </w:rPr>
  </w:style>
  <w:style w:type="paragraph" w:styleId="NormalWeb">
    <w:name w:val="Normal (Web)"/>
    <w:basedOn w:val="Normal"/>
    <w:uiPriority w:val="99"/>
    <w:rsid w:val="00596A43"/>
    <w:pPr>
      <w:spacing w:before="100" w:beforeAutospacing="1" w:after="100" w:afterAutospacing="1"/>
    </w:pPr>
    <w:rPr>
      <w:lang w:eastAsia="es-ES"/>
    </w:rPr>
  </w:style>
  <w:style w:type="table" w:customStyle="1" w:styleId="Tablanormal12">
    <w:name w:val="Tabla normal 12"/>
    <w:basedOn w:val="Tablanormal"/>
    <w:next w:val="Tablanormal1"/>
    <w:uiPriority w:val="41"/>
    <w:rsid w:val="00224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24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INFOEM">
    <w:name w:val="INFOEM"/>
    <w:basedOn w:val="Normal"/>
    <w:qFormat/>
    <w:rsid w:val="00226929"/>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styleId="Textoennegrita">
    <w:name w:val="Strong"/>
    <w:basedOn w:val="Fuentedeprrafopredeter"/>
    <w:uiPriority w:val="22"/>
    <w:qFormat/>
    <w:rsid w:val="006F351E"/>
    <w:rPr>
      <w:b/>
      <w:bCs/>
    </w:rPr>
  </w:style>
  <w:style w:type="paragraph" w:customStyle="1" w:styleId="Citas">
    <w:name w:val="Citas"/>
    <w:basedOn w:val="Normal"/>
    <w:qFormat/>
    <w:rsid w:val="006F351E"/>
    <w:pPr>
      <w:spacing w:before="240" w:after="160" w:line="360" w:lineRule="auto"/>
      <w:ind w:left="851" w:right="851"/>
      <w:jc w:val="both"/>
    </w:pPr>
    <w:rPr>
      <w:rFonts w:ascii="Palatino Linotype" w:eastAsiaTheme="minorHAnsi" w:hAnsi="Palatino Linotype" w:cs="Arial"/>
      <w:i/>
      <w:sz w:val="22"/>
      <w:szCs w:val="22"/>
      <w:lang w:eastAsia="en-US"/>
    </w:rPr>
  </w:style>
  <w:style w:type="table" w:styleId="Tablaconcuadrcula">
    <w:name w:val="Table Grid"/>
    <w:basedOn w:val="Tablanormal"/>
    <w:uiPriority w:val="59"/>
    <w:rsid w:val="002B5D5C"/>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5E6833"/>
    <w:rPr>
      <w:rFonts w:asciiTheme="minorHAnsi" w:eastAsiaTheme="minorHAnsi" w:hAnsiTheme="minorHAnsi" w:cstheme="minorBidi"/>
      <w:sz w:val="22"/>
      <w:szCs w:val="22"/>
      <w:lang w:eastAsia="en-US"/>
    </w:rPr>
  </w:style>
  <w:style w:type="character" w:customStyle="1" w:styleId="SinespaciadoCar">
    <w:name w:val="Sin espaciado Car"/>
    <w:aliases w:val="Francesa Car,INAI Car"/>
    <w:link w:val="Sinespaciado"/>
    <w:uiPriority w:val="1"/>
    <w:qFormat/>
    <w:locked/>
    <w:rsid w:val="005E683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500384">
      <w:bodyDiv w:val="1"/>
      <w:marLeft w:val="0"/>
      <w:marRight w:val="0"/>
      <w:marTop w:val="0"/>
      <w:marBottom w:val="0"/>
      <w:divBdr>
        <w:top w:val="none" w:sz="0" w:space="0" w:color="auto"/>
        <w:left w:val="none" w:sz="0" w:space="0" w:color="auto"/>
        <w:bottom w:val="none" w:sz="0" w:space="0" w:color="auto"/>
        <w:right w:val="none" w:sz="0" w:space="0" w:color="auto"/>
      </w:divBdr>
    </w:div>
    <w:div w:id="1790078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Qtl3Mjr6jNgfh692Ev5f7dvPYQ==">CgMxLjAyCGguZ2pkZ3hzMghoLmdqZGd4czIJaC4zMGowemxsMgloLjFmb2I5dGUyCWguM3pueXNoNzIJaC4yZXQ5MnAwMghoLnR5amN3dDIJaC4zZHk2dmttMgloLjF0M2g1c2YyCWguNGQzNG9nODIJaC4zMGowemxsMgloLjFrc3Y0dXYyCWguMnM4ZXlvMTIJaC4xN2RwOHZ1MgloLjNyZGNyam44AHIhMS14MWM1WlpDejFNU0pNZGRLMlNqX25hTzNCT0QwdDQx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E32859-BE44-4CE6-A890-BDD32AD3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65</Pages>
  <Words>15586</Words>
  <Characters>85726</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24</cp:revision>
  <cp:lastPrinted>2025-10-17T17:44:00Z</cp:lastPrinted>
  <dcterms:created xsi:type="dcterms:W3CDTF">2025-10-07T22:24:00Z</dcterms:created>
  <dcterms:modified xsi:type="dcterms:W3CDTF">2025-11-12T17:49:00Z</dcterms:modified>
</cp:coreProperties>
</file>