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2F83B9FB"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206B79">
        <w:rPr>
          <w:rFonts w:ascii="Palatino Linotype" w:hAnsi="Palatino Linotype" w:cs="Arial"/>
          <w:color w:val="000000"/>
          <w:lang w:val="es-MX" w:eastAsia="es-MX"/>
        </w:rPr>
        <w:t>do</w:t>
      </w:r>
      <w:r w:rsidR="00F86C05">
        <w:rPr>
          <w:rFonts w:ascii="Palatino Linotype" w:hAnsi="Palatino Linotype" w:cs="Arial"/>
          <w:color w:val="000000"/>
          <w:lang w:val="es-MX" w:eastAsia="es-MX"/>
        </w:rPr>
        <w:t>s de abril de</w:t>
      </w:r>
      <w:r w:rsidR="002C7968">
        <w:rPr>
          <w:rFonts w:ascii="Palatino Linotype" w:hAnsi="Palatino Linotype" w:cs="Arial"/>
          <w:color w:val="000000"/>
          <w:lang w:val="es-MX" w:eastAsia="es-MX"/>
        </w:rPr>
        <w:t xml:space="preserve"> </w:t>
      </w:r>
      <w:r w:rsidR="007237B8" w:rsidRPr="006A240A">
        <w:rPr>
          <w:rFonts w:ascii="Palatino Linotype" w:hAnsi="Palatino Linotype" w:cs="Arial"/>
          <w:color w:val="000000"/>
          <w:lang w:val="es-MX" w:eastAsia="es-MX"/>
        </w:rPr>
        <w:t xml:space="preserve">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7E7C655E"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bookmarkStart w:id="0" w:name="_GoBack"/>
      <w:r w:rsidR="00DF0080" w:rsidRPr="006A240A">
        <w:rPr>
          <w:rFonts w:ascii="Palatino Linotype" w:eastAsiaTheme="minorHAnsi" w:hAnsi="Palatino Linotype" w:cs="Arial"/>
          <w:b/>
          <w:lang w:val="es-MX" w:eastAsia="en-US"/>
        </w:rPr>
        <w:t>0</w:t>
      </w:r>
      <w:r w:rsidR="00FC1298">
        <w:rPr>
          <w:rFonts w:ascii="Palatino Linotype" w:eastAsiaTheme="minorHAnsi" w:hAnsi="Palatino Linotype" w:cs="Arial"/>
          <w:b/>
          <w:lang w:val="es-MX" w:eastAsia="en-US"/>
        </w:rPr>
        <w:t>1270</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bookmarkEnd w:id="0"/>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864828">
        <w:rPr>
          <w:rFonts w:ascii="Palatino Linotype" w:hAnsi="Palatino Linotype" w:cs="Arial"/>
        </w:rPr>
        <w:t xml:space="preserve"> </w:t>
      </w:r>
      <w:r w:rsidR="00C2706B" w:rsidRPr="00C2706B">
        <w:rPr>
          <w:rFonts w:ascii="Palatino Linotype" w:hAnsi="Palatino Linotype" w:cs="Arial"/>
        </w:rPr>
        <w:t>persona que señala nombre de identificación</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FC1298" w:rsidRPr="00FC1298">
        <w:rPr>
          <w:rFonts w:ascii="Palatino Linotype" w:eastAsiaTheme="minorHAnsi" w:hAnsi="Palatino Linotype" w:cs="Arial"/>
          <w:b/>
          <w:lang w:val="es-MX" w:eastAsia="en-US"/>
        </w:rPr>
        <w:t>Ayuntamiento de Toluca</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r w:rsidR="00020D0B">
        <w:rPr>
          <w:rFonts w:ascii="Palatino Linotype" w:eastAsiaTheme="minorHAnsi" w:hAnsi="Palatino Linotype" w:cs="Arial"/>
          <w:lang w:val="es-MX" w:eastAsia="en-US"/>
        </w:rPr>
        <w:t xml:space="preserve"> </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6040B146"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w:t>
      </w:r>
      <w:r w:rsidR="00FC1298">
        <w:rPr>
          <w:rFonts w:ascii="Palatino Linotype" w:eastAsiaTheme="minorHAnsi" w:hAnsi="Palatino Linotype" w:cs="Arial"/>
          <w:szCs w:val="22"/>
          <w:lang w:val="es-MX" w:eastAsia="en-US"/>
        </w:rPr>
        <w:t>diecisiete</w:t>
      </w:r>
      <w:r w:rsidR="00864828">
        <w:rPr>
          <w:rFonts w:ascii="Palatino Linotype" w:eastAsiaTheme="minorHAnsi" w:hAnsi="Palatino Linotype" w:cs="Arial"/>
          <w:szCs w:val="22"/>
          <w:lang w:val="es-MX" w:eastAsia="en-US"/>
        </w:rPr>
        <w:t xml:space="preserve"> de enero de dos mil veinticinco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FC1298" w:rsidRPr="00FC1298">
        <w:rPr>
          <w:rFonts w:ascii="Palatino Linotype" w:eastAsiaTheme="minorHAnsi" w:hAnsi="Palatino Linotype" w:cs="Arial"/>
          <w:b/>
          <w:szCs w:val="22"/>
          <w:lang w:val="es-MX" w:eastAsia="en-US"/>
        </w:rPr>
        <w:t>00339/TOLUCA/IP/2025</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787E21EB"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FC1298" w:rsidRPr="00FC1298">
        <w:rPr>
          <w:rFonts w:ascii="Palatino Linotype" w:hAnsi="Palatino Linotype"/>
          <w:i/>
          <w:szCs w:val="20"/>
          <w:lang w:val="es-MX" w:eastAsia="es-MX"/>
        </w:rPr>
        <w:t>SOLICITAMOS EL NUMERO TELEFONICO, CORREO ELECTRONICO DE TODOS LOS INTEGRANTES DE CABILDO.</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24C3467C" w14:textId="77777777" w:rsidR="006A200A" w:rsidRDefault="006A200A" w:rsidP="004309A2">
      <w:pPr>
        <w:spacing w:line="360" w:lineRule="auto"/>
        <w:jc w:val="both"/>
        <w:rPr>
          <w:rFonts w:ascii="Palatino Linotype" w:eastAsiaTheme="minorHAnsi" w:hAnsi="Palatino Linotype" w:cs="Arial"/>
          <w:lang w:val="es-MX" w:eastAsia="en-US"/>
        </w:rPr>
      </w:pPr>
    </w:p>
    <w:p w14:paraId="21818EA7" w14:textId="73ECD191" w:rsidR="004309A2" w:rsidRDefault="00393EAF" w:rsidP="004309A2">
      <w:pPr>
        <w:spacing w:line="360" w:lineRule="auto"/>
        <w:jc w:val="both"/>
        <w:rPr>
          <w:rFonts w:ascii="Palatino Linotype" w:eastAsiaTheme="minorHAnsi" w:hAnsi="Palatino Linotype" w:cs="Arial"/>
          <w:lang w:val="es-MX" w:eastAsia="en-US"/>
        </w:rPr>
      </w:pPr>
      <w:r w:rsidRPr="00393EAF">
        <w:rPr>
          <w:rFonts w:ascii="Palatino Linotype" w:eastAsiaTheme="minorHAnsi" w:hAnsi="Palatino Linotype" w:cs="Arial"/>
          <w:lang w:val="es-MX" w:eastAsia="en-US"/>
        </w:rPr>
        <w:lastRenderedPageBreak/>
        <w:t>El 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6D54AE58"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FC1298">
        <w:rPr>
          <w:rFonts w:ascii="Palatino Linotype" w:eastAsiaTheme="minorHAnsi" w:hAnsi="Palatino Linotype" w:cs="Arial"/>
          <w:lang w:val="es-MX" w:eastAsia="en-US"/>
        </w:rPr>
        <w:t>doce</w:t>
      </w:r>
      <w:r w:rsidR="006A200A">
        <w:rPr>
          <w:rFonts w:ascii="Palatino Linotype" w:eastAsiaTheme="minorHAnsi" w:hAnsi="Palatino Linotype" w:cs="Arial"/>
          <w:lang w:val="es-MX" w:eastAsia="en-US"/>
        </w:rPr>
        <w:t xml:space="preserve"> de febrero</w:t>
      </w:r>
      <w:r w:rsidR="00D02C55">
        <w:rPr>
          <w:rFonts w:ascii="Palatino Linotype" w:eastAsiaTheme="minorHAnsi" w:hAnsi="Palatino Linotype" w:cs="Arial"/>
          <w:lang w:val="es-MX" w:eastAsia="en-US"/>
        </w:rPr>
        <w:t xml:space="preserve">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484FED">
        <w:rPr>
          <w:rFonts w:ascii="Palatino Linotype" w:eastAsiaTheme="minorHAnsi" w:hAnsi="Palatino Linotype" w:cs="Arial"/>
          <w:b/>
          <w:bCs/>
          <w:lang w:val="es-MX" w:eastAsia="es-MX"/>
        </w:rPr>
        <w:t>1</w:t>
      </w:r>
      <w:r w:rsidR="00FC1298">
        <w:rPr>
          <w:rFonts w:ascii="Palatino Linotype" w:eastAsiaTheme="minorHAnsi" w:hAnsi="Palatino Linotype" w:cs="Arial"/>
          <w:b/>
          <w:bCs/>
          <w:lang w:val="es-MX" w:eastAsia="es-MX"/>
        </w:rPr>
        <w:t>270</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2AF8587C" w:rsidR="00021DCF" w:rsidRPr="00021DCF" w:rsidRDefault="00021DCF" w:rsidP="00FC1298">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FC1298">
        <w:rPr>
          <w:rFonts w:ascii="Palatino Linotype" w:eastAsia="Palatino Linotype" w:hAnsi="Palatino Linotype"/>
          <w:i/>
        </w:rPr>
        <w:t>“</w:t>
      </w:r>
      <w:r w:rsidR="00FC1298" w:rsidRPr="00FC1298">
        <w:rPr>
          <w:rFonts w:ascii="Palatino Linotype" w:eastAsia="Palatino Linotype" w:hAnsi="Palatino Linotype"/>
          <w:i/>
        </w:rPr>
        <w:t>No dieron respuesta</w:t>
      </w:r>
      <w:r w:rsidRPr="00FC1298">
        <w:rPr>
          <w:rFonts w:ascii="Palatino Linotype" w:eastAsia="Palatino Linotype" w:hAnsi="Palatino Linotype"/>
          <w:i/>
        </w:rPr>
        <w:t>” (Sic)</w:t>
      </w:r>
      <w:r w:rsidRPr="00021DCF">
        <w:rPr>
          <w:rFonts w:eastAsia="Palatino Linotype"/>
        </w:rPr>
        <w:t xml:space="preserve"> </w:t>
      </w:r>
    </w:p>
    <w:p w14:paraId="00930ED4" w14:textId="6BF197D4" w:rsidR="00021DCF" w:rsidRPr="00021DCF" w:rsidRDefault="00021DCF" w:rsidP="00FC1298">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FC1298">
        <w:rPr>
          <w:rFonts w:ascii="Palatino Linotype" w:eastAsia="Palatino Linotype" w:hAnsi="Palatino Linotype"/>
          <w:i/>
          <w:lang w:val="es-ES_tradnl"/>
        </w:rPr>
        <w:t>“</w:t>
      </w:r>
      <w:r w:rsidR="00FC1298" w:rsidRPr="00FC1298">
        <w:rPr>
          <w:rFonts w:ascii="Palatino Linotype" w:eastAsia="Palatino Linotype" w:hAnsi="Palatino Linotype"/>
          <w:i/>
          <w:lang w:val="es-ES_tradnl"/>
        </w:rPr>
        <w:t>No dieron respuesta a mi solicitud</w:t>
      </w:r>
      <w:r w:rsidRPr="00FC1298">
        <w:rPr>
          <w:rFonts w:ascii="Palatino Linotype" w:eastAsia="Palatino Linotype" w:hAnsi="Palatino Linotype"/>
          <w:i/>
          <w:lang w:val="es-ES_tradnl"/>
        </w:rPr>
        <w:t>” (Sic)</w:t>
      </w:r>
      <w:r w:rsidRPr="00FC1298">
        <w:rPr>
          <w:rFonts w:eastAsia="Palatino Linotype"/>
          <w:i/>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0B1A41FC"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484FED">
        <w:rPr>
          <w:rFonts w:ascii="Palatino Linotype" w:eastAsia="Palatino Linotype" w:hAnsi="Palatino Linotype" w:cs="Palatino Linotype"/>
          <w:color w:val="000000"/>
          <w:lang w:val="es-ES_tradnl" w:eastAsia="en-US"/>
        </w:rPr>
        <w:t>dieciocho</w:t>
      </w:r>
      <w:r w:rsidR="00023DA9">
        <w:rPr>
          <w:rFonts w:ascii="Palatino Linotype" w:eastAsia="Palatino Linotype" w:hAnsi="Palatino Linotype" w:cs="Palatino Linotype"/>
          <w:color w:val="000000"/>
          <w:lang w:val="es-ES_tradnl" w:eastAsia="en-US"/>
        </w:rPr>
        <w:t xml:space="preserve"> de febrero</w:t>
      </w:r>
      <w:r w:rsidR="009436C4">
        <w:rPr>
          <w:rFonts w:ascii="Palatino Linotype" w:eastAsia="Palatino Linotype" w:hAnsi="Palatino Linotype" w:cs="Palatino Linotype"/>
          <w:color w:val="000000"/>
          <w:lang w:val="es-ES_tradnl" w:eastAsia="en-US"/>
        </w:rPr>
        <w:t xml:space="preserve">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r w:rsidR="00484FED" w:rsidRPr="00414479">
        <w:rPr>
          <w:rFonts w:ascii="Palatino Linotype" w:eastAsiaTheme="minorHAnsi" w:hAnsi="Palatino Linotype" w:cstheme="minorBidi"/>
          <w:lang w:val="es-MX" w:eastAsia="en-US"/>
        </w:rPr>
        <w:t>disposición</w:t>
      </w:r>
      <w:r w:rsidRPr="00414479">
        <w:rPr>
          <w:rFonts w:ascii="Palatino Linotype" w:eastAsiaTheme="minorHAnsi" w:hAnsi="Palatino Linotype" w:cstheme="minorBidi"/>
          <w:lang w:val="es-MX" w:eastAsia="en-US"/>
        </w:rPr>
        <w:t xml:space="preserve"> de las partes, para que, en un plazo </w:t>
      </w:r>
      <w:r w:rsidR="00484FED" w:rsidRPr="00414479">
        <w:rPr>
          <w:rFonts w:ascii="Palatino Linotype" w:eastAsiaTheme="minorHAnsi" w:hAnsi="Palatino Linotype" w:cstheme="minorBidi"/>
          <w:lang w:val="es-MX" w:eastAsia="en-US"/>
        </w:rPr>
        <w:t>máximo</w:t>
      </w:r>
      <w:r w:rsidRPr="00414479">
        <w:rPr>
          <w:rFonts w:ascii="Palatino Linotype" w:eastAsiaTheme="minorHAnsi" w:hAnsi="Palatino Linotype" w:cstheme="minorBidi"/>
          <w:lang w:val="es-MX" w:eastAsia="en-US"/>
        </w:rPr>
        <w:t xml:space="preserve"> de siete </w:t>
      </w:r>
      <w:r w:rsidR="00484FED" w:rsidRPr="00414479">
        <w:rPr>
          <w:rFonts w:ascii="Palatino Linotype" w:eastAsiaTheme="minorHAnsi" w:hAnsi="Palatino Linotype" w:cstheme="minorBidi"/>
          <w:lang w:val="es-MX" w:eastAsia="en-US"/>
        </w:rPr>
        <w:t>días</w:t>
      </w:r>
      <w:r w:rsidRPr="00414479">
        <w:rPr>
          <w:rFonts w:ascii="Palatino Linotype" w:eastAsiaTheme="minorHAnsi" w:hAnsi="Palatino Linotype" w:cstheme="minorBidi"/>
          <w:lang w:val="es-MX" w:eastAsia="en-US"/>
        </w:rPr>
        <w:t xml:space="preserve"> </w:t>
      </w:r>
      <w:r w:rsidR="00484FED" w:rsidRPr="00414479">
        <w:rPr>
          <w:rFonts w:ascii="Palatino Linotype" w:eastAsiaTheme="minorHAnsi" w:hAnsi="Palatino Linotype" w:cstheme="minorBidi"/>
          <w:lang w:val="es-MX" w:eastAsia="en-US"/>
        </w:rPr>
        <w:t>hábiles</w:t>
      </w:r>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27B2F703" w14:textId="77777777" w:rsidR="00FC1298" w:rsidRPr="00604E50" w:rsidRDefault="00FC1298" w:rsidP="00FC1298">
      <w:pPr>
        <w:spacing w:line="360" w:lineRule="auto"/>
        <w:jc w:val="both"/>
        <w:rPr>
          <w:rFonts w:ascii="Palatino Linotype" w:hAnsi="Palatino Linotype" w:cs="Arial"/>
          <w:b/>
          <w:sz w:val="28"/>
          <w:szCs w:val="28"/>
        </w:rPr>
      </w:pPr>
      <w:r w:rsidRPr="00604E50">
        <w:rPr>
          <w:rFonts w:ascii="Palatino Linotype" w:hAnsi="Palatino Linotype" w:cs="Arial"/>
          <w:b/>
          <w:sz w:val="28"/>
        </w:rPr>
        <w:t>QUINTO</w:t>
      </w:r>
      <w:r w:rsidRPr="00604E50">
        <w:rPr>
          <w:rFonts w:ascii="Palatino Linotype" w:hAnsi="Palatino Linotype" w:cs="Arial"/>
          <w:b/>
        </w:rPr>
        <w:t xml:space="preserve">. </w:t>
      </w:r>
      <w:r w:rsidRPr="00604E50">
        <w:rPr>
          <w:rFonts w:ascii="Palatino Linotype" w:hAnsi="Palatino Linotype" w:cs="Arial"/>
          <w:b/>
          <w:sz w:val="28"/>
          <w:szCs w:val="28"/>
        </w:rPr>
        <w:t>De la etapa de instrucción.</w:t>
      </w:r>
    </w:p>
    <w:p w14:paraId="17BAEB4F" w14:textId="7F14557B" w:rsidR="00FC1298" w:rsidRPr="00604E50" w:rsidRDefault="00FC1298" w:rsidP="00FC1298">
      <w:pPr>
        <w:spacing w:line="360" w:lineRule="auto"/>
        <w:jc w:val="both"/>
        <w:rPr>
          <w:rFonts w:ascii="Palatino Linotype" w:hAnsi="Palatino Linotype" w:cs="Arial"/>
        </w:rPr>
      </w:pPr>
      <w:r w:rsidRPr="00604E50">
        <w:rPr>
          <w:rFonts w:ascii="Palatino Linotype" w:hAnsi="Palatino Linotype" w:cs="Arial"/>
        </w:rPr>
        <w:lastRenderedPageBreak/>
        <w:t xml:space="preserve">Así, una vez transcurrido el término legal referido, se aprecia que en fecha </w:t>
      </w:r>
      <w:r>
        <w:rPr>
          <w:rFonts w:ascii="Palatino Linotype" w:hAnsi="Palatino Linotype" w:cs="Arial"/>
        </w:rPr>
        <w:t>diecinueve de febrero de dos mil veinticinco</w:t>
      </w:r>
      <w:r w:rsidRPr="00604E50">
        <w:rPr>
          <w:rFonts w:ascii="Palatino Linotype" w:hAnsi="Palatino Linotype" w:cs="Arial"/>
        </w:rPr>
        <w:t xml:space="preserve">, </w:t>
      </w:r>
      <w:r w:rsidRPr="00604E50">
        <w:rPr>
          <w:rFonts w:ascii="Palatino Linotype" w:hAnsi="Palatino Linotype" w:cs="Arial"/>
          <w:b/>
        </w:rPr>
        <w:t xml:space="preserve">El Sujeto Obligado </w:t>
      </w:r>
      <w:r w:rsidRPr="00604E50">
        <w:rPr>
          <w:rFonts w:ascii="Palatino Linotype" w:hAnsi="Palatino Linotype" w:cs="Arial"/>
        </w:rPr>
        <w:t xml:space="preserve">remitió su informe justificado mediante los archivos electrónicos denominados </w:t>
      </w:r>
      <w:r w:rsidRPr="00604E50">
        <w:rPr>
          <w:rFonts w:ascii="Palatino Linotype" w:hAnsi="Palatino Linotype" w:cs="Arial"/>
          <w:i/>
        </w:rPr>
        <w:t>“</w:t>
      </w:r>
      <w:r w:rsidRPr="00FC1298">
        <w:rPr>
          <w:rFonts w:ascii="Palatino Linotype" w:hAnsi="Palatino Linotype" w:cs="Arial"/>
          <w:b/>
          <w:bCs/>
          <w:i/>
        </w:rPr>
        <w:t>RR-1270-2025.pdf</w:t>
      </w:r>
      <w:r w:rsidRPr="00604E50">
        <w:rPr>
          <w:rFonts w:ascii="Palatino Linotype" w:hAnsi="Palatino Linotype" w:cs="Arial"/>
          <w:i/>
        </w:rPr>
        <w:t>” y “</w:t>
      </w:r>
      <w:r w:rsidRPr="00FC1298">
        <w:rPr>
          <w:rFonts w:ascii="Palatino Linotype" w:hAnsi="Palatino Linotype" w:cs="Arial"/>
          <w:b/>
          <w:bCs/>
          <w:i/>
        </w:rPr>
        <w:t>SA anexo SAIMEX 339.pdf</w:t>
      </w:r>
      <w:r w:rsidRPr="00604E50">
        <w:rPr>
          <w:rFonts w:ascii="Palatino Linotype" w:hAnsi="Palatino Linotype" w:cs="Arial"/>
          <w:i/>
        </w:rPr>
        <w:t>”</w:t>
      </w:r>
      <w:r w:rsidRPr="00604E50">
        <w:rPr>
          <w:rFonts w:ascii="Palatino Linotype" w:hAnsi="Palatino Linotype" w:cs="Arial"/>
        </w:rPr>
        <w:t xml:space="preserve">; el cual, fue puesto a la vista de la parte </w:t>
      </w:r>
      <w:r w:rsidRPr="00604E50">
        <w:rPr>
          <w:rFonts w:ascii="Palatino Linotype" w:hAnsi="Palatino Linotype" w:cs="Arial"/>
          <w:b/>
        </w:rPr>
        <w:t>Recurrente</w:t>
      </w:r>
      <w:r w:rsidRPr="00604E50">
        <w:rPr>
          <w:rFonts w:ascii="Palatino Linotype" w:hAnsi="Palatino Linotype" w:cs="Arial"/>
        </w:rPr>
        <w:t xml:space="preserve"> mediante Acuerdo de fecha </w:t>
      </w:r>
      <w:r>
        <w:rPr>
          <w:rFonts w:ascii="Palatino Linotype" w:hAnsi="Palatino Linotype" w:cs="Arial"/>
        </w:rPr>
        <w:t>veintisiete de febrero de dos mil veinticinco</w:t>
      </w:r>
      <w:r w:rsidRPr="00604E50">
        <w:rPr>
          <w:rFonts w:ascii="Palatino Linotype" w:hAnsi="Palatino Linotype" w:cs="Arial"/>
        </w:rPr>
        <w:t xml:space="preserve">; por otra parte, el </w:t>
      </w:r>
      <w:r w:rsidRPr="00604E50">
        <w:rPr>
          <w:rFonts w:ascii="Palatino Linotype" w:hAnsi="Palatino Linotype" w:cs="Arial"/>
          <w:b/>
        </w:rPr>
        <w:t>Recurrente</w:t>
      </w:r>
      <w:r w:rsidRPr="00604E50">
        <w:rPr>
          <w:rFonts w:ascii="Palatino Linotype" w:hAnsi="Palatino Linotype" w:cs="Arial"/>
        </w:rPr>
        <w:t xml:space="preserve">, no presentó alegatos a la información remitida por parte del </w:t>
      </w:r>
      <w:r w:rsidRPr="00604E50">
        <w:rPr>
          <w:rFonts w:ascii="Palatino Linotype" w:hAnsi="Palatino Linotype" w:cs="Arial"/>
          <w:b/>
        </w:rPr>
        <w:t>Sujeto Obligado</w:t>
      </w:r>
      <w:r w:rsidRPr="00604E50">
        <w:rPr>
          <w:rFonts w:ascii="Palatino Linotype" w:hAnsi="Palatino Linotype" w:cs="Arial"/>
        </w:rPr>
        <w:t xml:space="preserve">. </w:t>
      </w:r>
    </w:p>
    <w:p w14:paraId="78E1F888" w14:textId="77777777" w:rsidR="00FC1298" w:rsidRPr="00604E50" w:rsidRDefault="00FC1298" w:rsidP="00FC1298">
      <w:pPr>
        <w:spacing w:line="360" w:lineRule="auto"/>
        <w:jc w:val="center"/>
        <w:rPr>
          <w:rFonts w:ascii="Palatino Linotype" w:hAnsi="Palatino Linotype" w:cs="Arial"/>
        </w:rPr>
      </w:pPr>
    </w:p>
    <w:p w14:paraId="10087A83" w14:textId="77777777" w:rsidR="00FC1298" w:rsidRPr="00604E50" w:rsidRDefault="00FC1298" w:rsidP="00FC1298">
      <w:pPr>
        <w:spacing w:line="360" w:lineRule="auto"/>
        <w:jc w:val="both"/>
        <w:rPr>
          <w:rFonts w:ascii="Palatino Linotype" w:hAnsi="Palatino Linotype" w:cs="Arial"/>
          <w:b/>
          <w:sz w:val="28"/>
          <w:szCs w:val="28"/>
        </w:rPr>
      </w:pPr>
      <w:r w:rsidRPr="00604E50">
        <w:rPr>
          <w:rFonts w:ascii="Palatino Linotype" w:hAnsi="Palatino Linotype" w:cs="Arial"/>
          <w:b/>
          <w:sz w:val="28"/>
        </w:rPr>
        <w:t>SEXTO</w:t>
      </w:r>
      <w:r w:rsidRPr="00604E50">
        <w:rPr>
          <w:rFonts w:ascii="Palatino Linotype" w:hAnsi="Palatino Linotype" w:cs="Arial"/>
          <w:b/>
        </w:rPr>
        <w:t xml:space="preserve">. </w:t>
      </w:r>
      <w:r w:rsidRPr="00604E50">
        <w:rPr>
          <w:rFonts w:ascii="Palatino Linotype" w:hAnsi="Palatino Linotype" w:cs="Arial"/>
          <w:b/>
          <w:sz w:val="28"/>
          <w:szCs w:val="28"/>
        </w:rPr>
        <w:t>Del Cierre de la Etapa de Instrucción.</w:t>
      </w:r>
    </w:p>
    <w:p w14:paraId="3050A5DE" w14:textId="5BE32609" w:rsidR="00FC1298" w:rsidRPr="00604E50" w:rsidRDefault="00FC1298" w:rsidP="00FC1298">
      <w:pPr>
        <w:spacing w:line="360" w:lineRule="auto"/>
        <w:jc w:val="both"/>
        <w:rPr>
          <w:rFonts w:ascii="Palatino Linotype" w:hAnsi="Palatino Linotype" w:cs="Arial"/>
        </w:rPr>
      </w:pPr>
      <w:r w:rsidRPr="00604E50">
        <w:rPr>
          <w:rFonts w:ascii="Palatino Linotype" w:hAnsi="Palatino Linotype" w:cs="Arial"/>
        </w:rPr>
        <w:t xml:space="preserve">En fecha </w:t>
      </w:r>
      <w:r w:rsidRPr="00880298">
        <w:rPr>
          <w:rFonts w:ascii="Palatino Linotype" w:hAnsi="Palatino Linotype" w:cs="Arial"/>
        </w:rPr>
        <w:t xml:space="preserve">veintiocho de </w:t>
      </w:r>
      <w:r w:rsidR="00880298">
        <w:rPr>
          <w:rFonts w:ascii="Palatino Linotype" w:hAnsi="Palatino Linotype" w:cs="Arial"/>
        </w:rPr>
        <w:t>marzo</w:t>
      </w:r>
      <w:r w:rsidRPr="00880298">
        <w:rPr>
          <w:rFonts w:ascii="Palatino Linotype" w:hAnsi="Palatino Linotype" w:cs="Arial"/>
        </w:rPr>
        <w:t xml:space="preserve"> de dos mil veinticinco,</w:t>
      </w:r>
      <w:r w:rsidRPr="00604E50">
        <w:rPr>
          <w:rFonts w:ascii="Palatino Linotype" w:hAnsi="Palatino Linotype" w:cs="Arial"/>
        </w:rPr>
        <w:t xml:space="preserve"> en términos del artículo 185, fracción VI, de la Ley de Transparencia y Acceso a la Información Pública del Estado de México y Municipios, se decretó el cierre de instrucción, iniciando el término legal para dictar resolución definitiva del asunto.</w:t>
      </w:r>
    </w:p>
    <w:p w14:paraId="20F80AEB" w14:textId="46E17C4F" w:rsidR="00FC1298" w:rsidRPr="00604E50" w:rsidRDefault="00FC1298" w:rsidP="00FC1298">
      <w:pPr>
        <w:spacing w:line="360" w:lineRule="auto"/>
        <w:jc w:val="both"/>
        <w:rPr>
          <w:rFonts w:ascii="Palatino Linotype" w:hAnsi="Palatino Linotype" w:cs="Arial"/>
        </w:rPr>
      </w:pPr>
    </w:p>
    <w:p w14:paraId="66C7A7F8" w14:textId="77777777" w:rsidR="00FC1298" w:rsidRPr="00604E50" w:rsidRDefault="00FC1298" w:rsidP="00FC1298">
      <w:pPr>
        <w:spacing w:line="360" w:lineRule="auto"/>
        <w:jc w:val="center"/>
        <w:rPr>
          <w:rFonts w:ascii="Palatino Linotype" w:hAnsi="Palatino Linotype" w:cs="Arial"/>
          <w:b/>
          <w:sz w:val="28"/>
        </w:rPr>
      </w:pPr>
      <w:r w:rsidRPr="00604E50">
        <w:rPr>
          <w:rFonts w:ascii="Palatino Linotype" w:hAnsi="Palatino Linotype" w:cs="Arial"/>
          <w:b/>
          <w:sz w:val="28"/>
        </w:rPr>
        <w:t xml:space="preserve">C O N S I D E R A N D O </w:t>
      </w:r>
    </w:p>
    <w:p w14:paraId="1483C3B1" w14:textId="77777777" w:rsidR="00FC1298" w:rsidRPr="00604E50" w:rsidRDefault="00FC1298" w:rsidP="00FC1298">
      <w:pPr>
        <w:pStyle w:val="Sinespaciado"/>
      </w:pPr>
    </w:p>
    <w:p w14:paraId="1DF714AD" w14:textId="77777777" w:rsidR="00FC1298" w:rsidRPr="00604E50" w:rsidRDefault="00FC1298" w:rsidP="00FC1298">
      <w:pPr>
        <w:spacing w:line="360" w:lineRule="auto"/>
        <w:jc w:val="both"/>
        <w:rPr>
          <w:rFonts w:ascii="Palatino Linotype" w:hAnsi="Palatino Linotype" w:cs="Arial"/>
        </w:rPr>
      </w:pPr>
      <w:r w:rsidRPr="00604E50">
        <w:rPr>
          <w:rFonts w:ascii="Palatino Linotype" w:hAnsi="Palatino Linotype" w:cs="Arial"/>
          <w:b/>
          <w:sz w:val="28"/>
        </w:rPr>
        <w:t>PRIMERO.</w:t>
      </w:r>
      <w:r w:rsidRPr="00604E50">
        <w:rPr>
          <w:rFonts w:ascii="Palatino Linotype" w:hAnsi="Palatino Linotype" w:cs="Arial"/>
          <w:b/>
        </w:rPr>
        <w:t xml:space="preserve"> </w:t>
      </w:r>
      <w:r w:rsidRPr="00604E50">
        <w:rPr>
          <w:rFonts w:ascii="Palatino Linotype" w:hAnsi="Palatino Linotype" w:cs="Arial"/>
          <w:b/>
          <w:sz w:val="28"/>
          <w:szCs w:val="28"/>
        </w:rPr>
        <w:t>De la competencia</w:t>
      </w:r>
      <w:r w:rsidRPr="00604E50">
        <w:rPr>
          <w:rFonts w:ascii="Palatino Linotype" w:hAnsi="Palatino Linotype" w:cs="Arial"/>
          <w:sz w:val="28"/>
          <w:szCs w:val="28"/>
        </w:rPr>
        <w:t>.</w:t>
      </w:r>
    </w:p>
    <w:p w14:paraId="2AE0ED3E" w14:textId="25DCA0AB" w:rsidR="00FC1298" w:rsidRPr="00604E50" w:rsidRDefault="000A2901" w:rsidP="00FC1298">
      <w:pPr>
        <w:spacing w:line="360" w:lineRule="auto"/>
        <w:jc w:val="both"/>
        <w:rPr>
          <w:rFonts w:ascii="Palatino Linotype" w:eastAsiaTheme="minorHAnsi" w:hAnsi="Palatino Linotype" w:cs="Arial"/>
          <w:lang w:val="es-MX" w:eastAsia="en-US"/>
        </w:rPr>
      </w:pPr>
      <w:r w:rsidRPr="00DF1B1E">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w:t>
      </w:r>
      <w:r w:rsidRPr="00DF1B1E">
        <w:rPr>
          <w:rFonts w:ascii="Palatino Linotype" w:eastAsiaTheme="minorHAnsi" w:hAnsi="Palatino Linotype" w:cs="Arial"/>
          <w:lang w:val="es-MX" w:eastAsia="en-US"/>
        </w:rPr>
        <w:lastRenderedPageBreak/>
        <w:t>Acceso a la Información Pública y Protección de Datos Personales del Estado de México y Municipios</w:t>
      </w:r>
      <w:r w:rsidRPr="00D60B7E">
        <w:rPr>
          <w:rFonts w:ascii="Palatino Linotype" w:eastAsiaTheme="minorHAnsi" w:hAnsi="Palatino Linotype" w:cs="Arial"/>
          <w:lang w:val="es-MX" w:eastAsia="en-US"/>
        </w:rPr>
        <w:t>.</w:t>
      </w:r>
    </w:p>
    <w:p w14:paraId="11FA2670"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b/>
          <w:lang w:val="es-MX"/>
        </w:rPr>
      </w:pPr>
    </w:p>
    <w:p w14:paraId="44A15208"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b/>
          <w:sz w:val="28"/>
        </w:rPr>
        <w:t>SEGUNDO</w:t>
      </w:r>
      <w:r w:rsidRPr="00604E50">
        <w:rPr>
          <w:rFonts w:ascii="Palatino Linotype" w:hAnsi="Palatino Linotype" w:cs="Arial"/>
          <w:b/>
        </w:rPr>
        <w:t xml:space="preserve">. </w:t>
      </w:r>
      <w:r w:rsidRPr="00604E50">
        <w:rPr>
          <w:rFonts w:ascii="Palatino Linotype" w:hAnsi="Palatino Linotype" w:cs="Arial"/>
          <w:b/>
          <w:sz w:val="28"/>
          <w:szCs w:val="28"/>
        </w:rPr>
        <w:t>Sobre los alcances del recurso de revisión.</w:t>
      </w:r>
      <w:r w:rsidRPr="00604E50">
        <w:rPr>
          <w:rFonts w:ascii="Palatino Linotype" w:hAnsi="Palatino Linotype" w:cs="Arial"/>
          <w:b/>
        </w:rPr>
        <w:t xml:space="preserve"> </w:t>
      </w:r>
    </w:p>
    <w:p w14:paraId="7BD4D159"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70385F" w14:textId="77777777" w:rsidR="00FC1298" w:rsidRPr="00604E50" w:rsidRDefault="00FC1298" w:rsidP="00FC1298">
      <w:pPr>
        <w:autoSpaceDE w:val="0"/>
        <w:autoSpaceDN w:val="0"/>
        <w:adjustRightInd w:val="0"/>
        <w:spacing w:line="360" w:lineRule="auto"/>
        <w:jc w:val="both"/>
        <w:rPr>
          <w:rFonts w:ascii="Palatino Linotype" w:hAnsi="Palatino Linotype" w:cs="Arial"/>
        </w:rPr>
      </w:pPr>
    </w:p>
    <w:p w14:paraId="222F63DD" w14:textId="77777777" w:rsidR="00FC1298" w:rsidRPr="00604E50" w:rsidRDefault="00FC1298" w:rsidP="00FC1298">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Es de precisar que la Ley de Transparencia y Acceso a la Información Pública del Estado de México y Municipios, describe el mecanismo de procedencia de los recursos de revisión, en ese sentido en su artículo 163, se indica lo siguiente:</w:t>
      </w:r>
    </w:p>
    <w:p w14:paraId="0F16D67A" w14:textId="77777777" w:rsidR="00FC1298" w:rsidRPr="00604E50" w:rsidRDefault="00FC1298" w:rsidP="00FC1298">
      <w:pPr>
        <w:pStyle w:val="Sinespaciado"/>
        <w:rPr>
          <w:rFonts w:ascii="Palatino Linotype" w:hAnsi="Palatino Linotype"/>
        </w:rPr>
      </w:pPr>
    </w:p>
    <w:p w14:paraId="7A2EBAD8"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163.</w:t>
      </w:r>
      <w:r w:rsidRPr="00604E50">
        <w:rPr>
          <w:rFonts w:ascii="Palatino Linotype" w:hAnsi="Palatino Linotype" w:cs="Arial"/>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DC2D6F8"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p>
    <w:p w14:paraId="66BDD483"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B8E9F80" w14:textId="77777777" w:rsidR="00FC1298" w:rsidRPr="00604E50" w:rsidRDefault="00FC1298" w:rsidP="00FC1298">
      <w:pPr>
        <w:pStyle w:val="Prrafodelista"/>
        <w:autoSpaceDE w:val="0"/>
        <w:autoSpaceDN w:val="0"/>
        <w:adjustRightInd w:val="0"/>
        <w:ind w:left="567" w:right="567"/>
        <w:jc w:val="right"/>
        <w:rPr>
          <w:rFonts w:ascii="Palatino Linotype" w:hAnsi="Palatino Linotype" w:cs="Arial"/>
          <w:i/>
          <w:sz w:val="20"/>
          <w:szCs w:val="22"/>
        </w:rPr>
      </w:pPr>
      <w:r w:rsidRPr="00604E50">
        <w:rPr>
          <w:rFonts w:ascii="Palatino Linotype" w:hAnsi="Palatino Linotype" w:cs="Arial"/>
          <w:i/>
          <w:sz w:val="20"/>
          <w:szCs w:val="22"/>
        </w:rPr>
        <w:t>(Énfasis añadido)</w:t>
      </w:r>
    </w:p>
    <w:p w14:paraId="4989B948" w14:textId="77777777" w:rsidR="00FC1298" w:rsidRPr="00604E50" w:rsidRDefault="00FC1298" w:rsidP="00FC1298">
      <w:pPr>
        <w:autoSpaceDE w:val="0"/>
        <w:autoSpaceDN w:val="0"/>
        <w:adjustRightInd w:val="0"/>
        <w:spacing w:line="360" w:lineRule="auto"/>
        <w:jc w:val="both"/>
        <w:rPr>
          <w:rFonts w:ascii="Palatino Linotype" w:hAnsi="Palatino Linotype" w:cs="Arial"/>
        </w:rPr>
      </w:pPr>
    </w:p>
    <w:p w14:paraId="4395D972" w14:textId="77777777" w:rsidR="00FC1298" w:rsidRPr="00604E50" w:rsidRDefault="00FC1298" w:rsidP="00FC1298">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lastRenderedPageBreak/>
        <w:t>De la interpretación al precepto legal inserto, se advierte que el plazo que les asiste a los Sujetos Obligados para notificar la respuesta a una solicitud de información pública, es de quince días hábiles posteriores a la presentación de ésta.</w:t>
      </w:r>
    </w:p>
    <w:p w14:paraId="66C3BF88" w14:textId="77777777" w:rsidR="00FC1298" w:rsidRPr="00604E50" w:rsidRDefault="00FC1298" w:rsidP="00FC1298">
      <w:pPr>
        <w:autoSpaceDE w:val="0"/>
        <w:autoSpaceDN w:val="0"/>
        <w:adjustRightInd w:val="0"/>
        <w:spacing w:line="360" w:lineRule="auto"/>
        <w:jc w:val="both"/>
        <w:rPr>
          <w:rFonts w:ascii="Palatino Linotype" w:hAnsi="Palatino Linotype" w:cs="Arial"/>
        </w:rPr>
      </w:pPr>
    </w:p>
    <w:p w14:paraId="7E97AB6E" w14:textId="77777777" w:rsidR="00FC1298" w:rsidRPr="00604E50" w:rsidRDefault="00FC1298" w:rsidP="00FC1298">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 xml:space="preserve">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 Derivado de lo anterior, se constituye la figura jurídica de la </w:t>
      </w:r>
      <w:r w:rsidRPr="00604E50">
        <w:rPr>
          <w:rFonts w:ascii="Palatino Linotype" w:hAnsi="Palatino Linotype" w:cs="Arial"/>
          <w:b/>
          <w:i/>
        </w:rPr>
        <w:t>Negativa Ficta</w:t>
      </w:r>
      <w:r w:rsidRPr="00604E50">
        <w:rPr>
          <w:rFonts w:ascii="Palatino Linotype" w:hAnsi="Palatino Linotype" w:cs="Arial"/>
        </w:rPr>
        <w:t>, cuya esencia consiste en atribuir un efecto negativo al silencio de la autoridad administrativa frente a las instancias y solicitudes que hagan los particulares.</w:t>
      </w:r>
    </w:p>
    <w:p w14:paraId="1B9891CD" w14:textId="77777777" w:rsidR="00FC1298" w:rsidRPr="00604E50" w:rsidRDefault="00FC1298" w:rsidP="00FC1298">
      <w:pPr>
        <w:pStyle w:val="Sinespaciado"/>
        <w:rPr>
          <w:rFonts w:ascii="Palatino Linotype" w:hAnsi="Palatino Linotype"/>
        </w:rPr>
      </w:pPr>
    </w:p>
    <w:p w14:paraId="471E1C3F" w14:textId="77777777" w:rsidR="00FC1298" w:rsidRPr="00604E50" w:rsidRDefault="00FC1298" w:rsidP="00FC1298">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604E50">
        <w:rPr>
          <w:rFonts w:ascii="Palatino Linotype" w:eastAsiaTheme="minorHAnsi" w:hAnsi="Palatino Linotype" w:cs="Arial"/>
          <w:lang w:val="es-MX" w:eastAsia="en-US"/>
        </w:rPr>
        <w:t>Por su parte el artículo 178, de la Ley de Transparencia y Acceso a la Información Pública del Estado de México y Municipios, establece:</w:t>
      </w:r>
    </w:p>
    <w:p w14:paraId="692E6E42" w14:textId="77777777" w:rsidR="00FC1298" w:rsidRPr="00604E50" w:rsidRDefault="00FC1298" w:rsidP="00FC1298">
      <w:pPr>
        <w:pStyle w:val="Sinespaciado"/>
        <w:rPr>
          <w:rFonts w:eastAsiaTheme="minorHAnsi"/>
          <w:lang w:eastAsia="en-US"/>
        </w:rPr>
      </w:pPr>
    </w:p>
    <w:p w14:paraId="3548BDDB"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178.</w:t>
      </w:r>
      <w:r w:rsidRPr="00604E50">
        <w:rPr>
          <w:rFonts w:ascii="Palatino Linotype" w:hAnsi="Palatino Linotype" w:cs="Arial"/>
          <w:i/>
          <w:sz w:val="22"/>
          <w:szCs w:val="22"/>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2A85945"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b/>
          <w:i/>
          <w:sz w:val="22"/>
          <w:szCs w:val="22"/>
        </w:rPr>
      </w:pPr>
    </w:p>
    <w:p w14:paraId="4F757652"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b/>
          <w:i/>
          <w:sz w:val="22"/>
          <w:szCs w:val="22"/>
        </w:rPr>
        <w:t>A falta de respuesta del sujeto obligado, dentro de los plazos establecidos en esta Ley, a una solicitud de acceso a la información pública, el recurso podrá ser interpuesto en cualquier momento</w:t>
      </w:r>
      <w:r w:rsidRPr="00604E50">
        <w:rPr>
          <w:rFonts w:ascii="Palatino Linotype" w:hAnsi="Palatino Linotype" w:cs="Arial"/>
          <w:i/>
          <w:sz w:val="22"/>
          <w:szCs w:val="22"/>
        </w:rPr>
        <w:t>, acompañado con el documento que pruebe la fecha en que presentó la solicitud.</w:t>
      </w:r>
    </w:p>
    <w:p w14:paraId="684901DA"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p>
    <w:p w14:paraId="53D8EEC5"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2"/>
          <w:szCs w:val="22"/>
        </w:rPr>
      </w:pPr>
      <w:r w:rsidRPr="00604E50">
        <w:rPr>
          <w:rFonts w:ascii="Palatino Linotype" w:hAnsi="Palatino Linotype" w:cs="Arial"/>
          <w:i/>
          <w:sz w:val="22"/>
          <w:szCs w:val="22"/>
        </w:rPr>
        <w:t>En el caso de que se interponga ante la Unidad de Transparencia, ésta deberá remitir el recurso de revisión al Instituto a más tardar al día siguiente de haberlo recibido.”</w:t>
      </w:r>
    </w:p>
    <w:p w14:paraId="444CEEF5" w14:textId="77777777" w:rsidR="00FC1298" w:rsidRPr="00604E50" w:rsidRDefault="00FC1298" w:rsidP="00FC1298">
      <w:pPr>
        <w:pStyle w:val="Prrafodelista"/>
        <w:autoSpaceDE w:val="0"/>
        <w:autoSpaceDN w:val="0"/>
        <w:adjustRightInd w:val="0"/>
        <w:ind w:left="567" w:right="567"/>
        <w:jc w:val="both"/>
        <w:rPr>
          <w:rFonts w:ascii="Palatino Linotype" w:hAnsi="Palatino Linotype" w:cs="Arial"/>
          <w:i/>
          <w:sz w:val="28"/>
          <w:szCs w:val="22"/>
        </w:rPr>
      </w:pPr>
    </w:p>
    <w:p w14:paraId="5677FC5A"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w:t>
      </w:r>
      <w:r w:rsidRPr="00604E50">
        <w:rPr>
          <w:rFonts w:ascii="Palatino Linotype" w:hAnsi="Palatino Linotype" w:cs="Arial"/>
        </w:rPr>
        <w:lastRenderedPageBreak/>
        <w:t xml:space="preserve">una negativa ficta, evidentemente no existió respuesta a la solicitud de información por parte del </w:t>
      </w:r>
      <w:r w:rsidRPr="00604E50">
        <w:rPr>
          <w:rFonts w:ascii="Palatino Linotype" w:hAnsi="Palatino Linotype" w:cs="Arial"/>
          <w:b/>
        </w:rPr>
        <w:t>Sujeto Obligado</w:t>
      </w:r>
      <w:r w:rsidRPr="00604E50">
        <w:rPr>
          <w:rFonts w:ascii="Palatino Linotype" w:hAnsi="Palatino Linotype" w:cs="Arial"/>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5418F03F"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5BC57BC6" w14:textId="77777777" w:rsidR="00FC1298" w:rsidRPr="0066744A" w:rsidRDefault="00FC1298" w:rsidP="00FC1298">
      <w:pPr>
        <w:spacing w:line="360" w:lineRule="auto"/>
        <w:contextualSpacing/>
        <w:jc w:val="both"/>
        <w:rPr>
          <w:rFonts w:ascii="Palatino Linotype" w:hAnsi="Palatino Linotype" w:cs="Palatino Linotype"/>
          <w:lang w:eastAsia="es-MX"/>
        </w:rPr>
      </w:pPr>
      <w:r w:rsidRPr="0066744A">
        <w:rPr>
          <w:rFonts w:ascii="Palatino Linotype" w:hAnsi="Palatino Linotype" w:cs="Arial"/>
          <w:b/>
          <w:sz w:val="28"/>
        </w:rPr>
        <w:t>TERCERO</w:t>
      </w:r>
      <w:r w:rsidRPr="0066744A">
        <w:rPr>
          <w:rFonts w:ascii="Palatino Linotype" w:hAnsi="Palatino Linotype" w:cs="Arial"/>
          <w:b/>
        </w:rPr>
        <w:t xml:space="preserve">. </w:t>
      </w:r>
      <w:r w:rsidRPr="0066744A">
        <w:rPr>
          <w:rFonts w:ascii="Palatino Linotype" w:hAnsi="Palatino Linotype" w:cs="Arial"/>
          <w:b/>
          <w:sz w:val="28"/>
          <w:szCs w:val="28"/>
        </w:rPr>
        <w:t>Cuestiones de previo y especial pronunciamiento.</w:t>
      </w:r>
    </w:p>
    <w:p w14:paraId="422A416F" w14:textId="77777777" w:rsidR="00FC1298" w:rsidRPr="0066744A" w:rsidRDefault="00FC1298" w:rsidP="00FC1298">
      <w:pPr>
        <w:pStyle w:val="Sinespaciado"/>
        <w:spacing w:line="360" w:lineRule="auto"/>
        <w:jc w:val="both"/>
        <w:rPr>
          <w:rFonts w:ascii="Palatino Linotype" w:hAnsi="Palatino Linotype" w:cs="Palatino Linotype"/>
          <w:lang w:val="es-ES_tradnl" w:eastAsia="es-MX"/>
        </w:rPr>
      </w:pPr>
      <w:r w:rsidRPr="0066744A">
        <w:rPr>
          <w:rFonts w:ascii="Palatino Linotype" w:hAnsi="Palatino Linotype" w:cs="Palatino Linotype"/>
          <w:lang w:val="es-ES_tradnl" w:eastAsia="es-MX"/>
        </w:rPr>
        <w:t>El recurso de revisión en estudio contiene los elementos normativos de validez exigidos en la Ley de Transparencia y Acceso a la Información Pública del Estado de México y Municipios, establecidos en el artículo 180 que enuncia:</w:t>
      </w:r>
    </w:p>
    <w:p w14:paraId="6A1D0561" w14:textId="77777777" w:rsidR="00FC1298" w:rsidRPr="0066744A" w:rsidRDefault="00FC1298" w:rsidP="00FC1298">
      <w:pPr>
        <w:spacing w:line="360" w:lineRule="auto"/>
        <w:contextualSpacing/>
        <w:jc w:val="both"/>
        <w:rPr>
          <w:rFonts w:ascii="Palatino Linotype" w:hAnsi="Palatino Linotype" w:cs="Palatino Linotype"/>
          <w:lang w:eastAsia="es-MX"/>
        </w:rPr>
      </w:pPr>
    </w:p>
    <w:p w14:paraId="76645412"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 xml:space="preserve">Artículo 180. </w:t>
      </w:r>
      <w:r w:rsidRPr="0066744A">
        <w:rPr>
          <w:rFonts w:ascii="Palatino Linotype" w:hAnsi="Palatino Linotype" w:cs="Palatino Linotype"/>
          <w:i/>
          <w:lang w:eastAsia="es-MX"/>
        </w:rPr>
        <w:t>El recurso de revisión contendrá:</w:t>
      </w:r>
    </w:p>
    <w:p w14:paraId="01FA1DB8" w14:textId="77777777" w:rsidR="00FC1298" w:rsidRPr="0066744A" w:rsidRDefault="00FC1298" w:rsidP="00FC1298">
      <w:pPr>
        <w:ind w:left="567" w:right="567"/>
        <w:contextualSpacing/>
        <w:jc w:val="both"/>
        <w:rPr>
          <w:rFonts w:ascii="Palatino Linotype" w:hAnsi="Palatino Linotype" w:cs="Palatino Linotype"/>
          <w:i/>
          <w:lang w:eastAsia="es-MX"/>
        </w:rPr>
      </w:pPr>
    </w:p>
    <w:p w14:paraId="7352D3F6"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 El sujeto obligado ante la cual se presentó la solicitud;</w:t>
      </w:r>
    </w:p>
    <w:p w14:paraId="4B9A8672"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II. El nombre del solicitante que recurre</w:t>
      </w:r>
      <w:r w:rsidRPr="0066744A">
        <w:rPr>
          <w:rFonts w:ascii="Palatino Linotype" w:hAnsi="Palatino Linotype" w:cs="Palatino Linotype"/>
          <w:i/>
          <w:lang w:eastAsia="es-MX"/>
        </w:rPr>
        <w:t xml:space="preserve"> o de su representante y, en su caso, del tercero interesado, así como la dirección o medio que señale para recibir notificaciones;</w:t>
      </w:r>
    </w:p>
    <w:p w14:paraId="02249A8F"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III. El número de folio de respuesta de la solicitud de acceso;</w:t>
      </w:r>
    </w:p>
    <w:p w14:paraId="514A1CF1"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IV. La fecha en que fue notificada la respuesta al solicitante o tuvo conocimiento del acto reclamado, o de presentación de la solicitud, en caso de falta de respuesta;</w:t>
      </w:r>
    </w:p>
    <w:p w14:paraId="23451DD9"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 El acto que se recurre;</w:t>
      </w:r>
    </w:p>
    <w:p w14:paraId="2D96E593"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VI. Las razones o motivos de inconformidad;</w:t>
      </w:r>
    </w:p>
    <w:p w14:paraId="10F206C8"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VII. La copia de la respuesta que se impugna y, en su caso, de la notificación correspondiente, en el caso de respuesta de la solicitud; y</w:t>
      </w:r>
    </w:p>
    <w:p w14:paraId="2FFAD9FC"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VIII. Firma del recurrente, en su caso, cuando se presente por escrito, requisito sin el cual se dará trámite al recurso.</w:t>
      </w:r>
    </w:p>
    <w:p w14:paraId="45895C48" w14:textId="77777777" w:rsidR="00FC1298" w:rsidRPr="0066744A" w:rsidRDefault="00FC1298" w:rsidP="00FC1298">
      <w:pPr>
        <w:ind w:left="567" w:right="567"/>
        <w:contextualSpacing/>
        <w:jc w:val="both"/>
        <w:rPr>
          <w:rFonts w:ascii="Palatino Linotype" w:hAnsi="Palatino Linotype" w:cs="Palatino Linotype"/>
          <w:i/>
          <w:lang w:eastAsia="es-MX"/>
        </w:rPr>
      </w:pPr>
    </w:p>
    <w:p w14:paraId="41A617CA"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Adicionalmente, se podrán anexar las pruebas y demás elementos que considere procedentes someter a juicio del Instituto.</w:t>
      </w:r>
    </w:p>
    <w:p w14:paraId="1BEB6DDC" w14:textId="77777777" w:rsidR="00FC1298" w:rsidRPr="0066744A" w:rsidRDefault="00FC1298" w:rsidP="00FC1298">
      <w:pPr>
        <w:ind w:left="567" w:right="567"/>
        <w:contextualSpacing/>
        <w:jc w:val="both"/>
        <w:rPr>
          <w:rFonts w:ascii="Palatino Linotype" w:hAnsi="Palatino Linotype" w:cs="Palatino Linotype"/>
          <w:i/>
          <w:lang w:eastAsia="es-MX"/>
        </w:rPr>
      </w:pPr>
    </w:p>
    <w:p w14:paraId="31E263B8"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En ningún caso será necesario que el particular ratifique el recurso de revisión interpuesto.</w:t>
      </w:r>
    </w:p>
    <w:p w14:paraId="551858AB" w14:textId="77777777" w:rsidR="00FC1298" w:rsidRPr="0066744A" w:rsidRDefault="00FC1298" w:rsidP="00FC1298">
      <w:pPr>
        <w:ind w:left="567" w:right="567"/>
        <w:contextualSpacing/>
        <w:jc w:val="both"/>
        <w:rPr>
          <w:rFonts w:ascii="Palatino Linotype" w:hAnsi="Palatino Linotype" w:cs="Palatino Linotype"/>
          <w:i/>
          <w:lang w:eastAsia="es-MX"/>
        </w:rPr>
      </w:pPr>
    </w:p>
    <w:p w14:paraId="220E7542"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b/>
          <w:bCs/>
          <w:i/>
          <w:iCs/>
          <w:lang w:eastAsia="es-MX"/>
        </w:rPr>
        <w:t>En caso de que el recurso se interponga de manera electrónica no será indispensable que contengan los requisitos establecidos en las fracciones II</w:t>
      </w:r>
      <w:r w:rsidRPr="0066744A">
        <w:rPr>
          <w:rFonts w:ascii="Palatino Linotype" w:hAnsi="Palatino Linotype" w:cs="Palatino Linotype"/>
          <w:i/>
          <w:iCs/>
          <w:lang w:eastAsia="es-MX"/>
        </w:rPr>
        <w:t>, IV, VII y VIII.</w:t>
      </w:r>
    </w:p>
    <w:p w14:paraId="1FB5365A" w14:textId="77777777" w:rsidR="00FC1298" w:rsidRPr="0066744A" w:rsidRDefault="00FC1298" w:rsidP="00FC1298">
      <w:pPr>
        <w:spacing w:line="360" w:lineRule="auto"/>
        <w:contextualSpacing/>
        <w:jc w:val="both"/>
        <w:rPr>
          <w:rFonts w:ascii="Palatino Linotype" w:hAnsi="Palatino Linotype" w:cs="Palatino Linotype"/>
          <w:bCs/>
          <w:iCs/>
          <w:lang w:eastAsia="es-MX"/>
        </w:rPr>
      </w:pPr>
    </w:p>
    <w:p w14:paraId="05F2D837" w14:textId="77777777" w:rsidR="00FC1298" w:rsidRPr="0066744A" w:rsidRDefault="00FC1298" w:rsidP="00FC1298">
      <w:pPr>
        <w:spacing w:line="360" w:lineRule="auto"/>
        <w:contextualSpacing/>
        <w:jc w:val="both"/>
        <w:rPr>
          <w:rFonts w:ascii="Palatino Linotype" w:hAnsi="Palatino Linotype" w:cs="Palatino Linotype"/>
          <w:lang w:eastAsia="es-MX"/>
        </w:rPr>
      </w:pPr>
      <w:r w:rsidRPr="0066744A">
        <w:rPr>
          <w:rFonts w:ascii="Palatino Linotype" w:hAnsi="Palatino Linotype" w:cs="Palatino Linotype"/>
          <w:lang w:eastAsia="es-MX"/>
        </w:rPr>
        <w:t xml:space="preserve">Cabe señalar que el hoy Recurrente </w:t>
      </w:r>
      <w:r w:rsidRPr="0066744A">
        <w:rPr>
          <w:rFonts w:ascii="Palatino Linotype" w:hAnsi="Palatino Linotype"/>
        </w:rPr>
        <w:t xml:space="preserve">en ejercicio de su derecho de acceso a la información pública, no proporcionó un nombre para que </w:t>
      </w:r>
      <w:r w:rsidRPr="0066744A">
        <w:rPr>
          <w:rFonts w:ascii="Palatino Linotype" w:hAnsi="Palatino Linotype" w:cs="Arial"/>
        </w:rPr>
        <w:t>sea</w:t>
      </w:r>
      <w:r w:rsidRPr="0066744A">
        <w:rPr>
          <w:rFonts w:ascii="Palatino Linotype" w:hAnsi="Palatino Linotype"/>
        </w:rPr>
        <w:t xml:space="preserve"> identificado; por lo que no tiene certeza sobre su identidad</w:t>
      </w:r>
      <w:r w:rsidRPr="0066744A">
        <w:rPr>
          <w:rFonts w:ascii="Palatino Linotype" w:hAnsi="Palatino Linotype" w:cs="Palatino Linotype"/>
          <w:lang w:eastAsia="es-MX"/>
        </w:rPr>
        <w:t>; no obstante, proporcionar el nombre incompleto, seudónimo o realizar la solicitud de manera anónima, no es motivo para desechar las solicitudes de acceso a la información pública conforme a lo previsto en el artículo 155, penúltimo párrafo de la Ley de Transparencia y Acceso a la Información Pública del Estado de México y Municipios que señala lo siguiente:</w:t>
      </w:r>
    </w:p>
    <w:p w14:paraId="505D6E53" w14:textId="77777777" w:rsidR="00FC1298" w:rsidRPr="0066744A" w:rsidRDefault="00FC1298" w:rsidP="00FC1298">
      <w:pPr>
        <w:spacing w:line="360" w:lineRule="auto"/>
        <w:contextualSpacing/>
        <w:jc w:val="both"/>
        <w:rPr>
          <w:rFonts w:ascii="Palatino Linotype" w:hAnsi="Palatino Linotype" w:cs="Palatino Linotype"/>
          <w:lang w:eastAsia="es-MX"/>
        </w:rPr>
      </w:pPr>
    </w:p>
    <w:p w14:paraId="2B5E56C5"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Artículo 155.</w:t>
      </w:r>
      <w:r w:rsidRPr="0066744A">
        <w:rPr>
          <w:rFonts w:ascii="Palatino Linotype" w:hAnsi="Palatino Linotype" w:cs="Palatino Linotype"/>
          <w:i/>
          <w:lang w:eastAsia="es-MX"/>
        </w:rPr>
        <w:t xml:space="preserve"> […]</w:t>
      </w:r>
    </w:p>
    <w:p w14:paraId="5D339DA1" w14:textId="77777777" w:rsidR="00FC1298" w:rsidRPr="0066744A" w:rsidRDefault="00FC1298" w:rsidP="00FC1298">
      <w:pPr>
        <w:ind w:left="567" w:right="567"/>
        <w:contextualSpacing/>
        <w:jc w:val="both"/>
        <w:rPr>
          <w:rFonts w:ascii="Palatino Linotype" w:hAnsi="Palatino Linotype" w:cs="Palatino Linotype"/>
          <w:i/>
          <w:lang w:eastAsia="es-MX"/>
        </w:rPr>
      </w:pPr>
    </w:p>
    <w:p w14:paraId="20331011"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Las solicitudes anónimas</w:t>
      </w:r>
      <w:r w:rsidRPr="0066744A">
        <w:rPr>
          <w:rFonts w:ascii="Palatino Linotype" w:hAnsi="Palatino Linotype" w:cs="Palatino Linotype"/>
          <w:i/>
          <w:lang w:eastAsia="es-MX"/>
        </w:rPr>
        <w:t xml:space="preserve">, con nombre incompleto o seudónimo </w:t>
      </w:r>
      <w:r w:rsidRPr="0066744A">
        <w:rPr>
          <w:rFonts w:ascii="Palatino Linotype" w:hAnsi="Palatino Linotype" w:cs="Palatino Linotype"/>
          <w:b/>
          <w:i/>
          <w:lang w:eastAsia="es-MX"/>
        </w:rPr>
        <w:t>serán procedentes para su trámite</w:t>
      </w:r>
      <w:r w:rsidRPr="0066744A">
        <w:rPr>
          <w:rFonts w:ascii="Palatino Linotype" w:hAnsi="Palatino Linotype" w:cs="Palatino Linotype"/>
          <w:i/>
          <w:lang w:eastAsia="es-MX"/>
        </w:rPr>
        <w:t xml:space="preserve"> por parte del sujeto obligado ante quien se presente. No podrá requerirse información adicional con motivo del nombre proporcionado por el solicitante.</w:t>
      </w:r>
    </w:p>
    <w:p w14:paraId="61FC2933" w14:textId="77777777" w:rsidR="00FC1298" w:rsidRPr="0066744A" w:rsidRDefault="00FC1298" w:rsidP="00FC1298">
      <w:pPr>
        <w:spacing w:line="360" w:lineRule="auto"/>
        <w:contextualSpacing/>
        <w:jc w:val="both"/>
        <w:rPr>
          <w:rFonts w:ascii="Palatino Linotype" w:hAnsi="Palatino Linotype" w:cs="Palatino Linotype"/>
          <w:lang w:eastAsia="es-MX"/>
        </w:rPr>
      </w:pPr>
    </w:p>
    <w:p w14:paraId="21C57F3E" w14:textId="77777777" w:rsidR="00FC1298" w:rsidRPr="0066744A" w:rsidRDefault="00FC1298" w:rsidP="00FC1298">
      <w:pPr>
        <w:spacing w:line="360" w:lineRule="auto"/>
        <w:contextualSpacing/>
        <w:jc w:val="both"/>
        <w:rPr>
          <w:rFonts w:ascii="Palatino Linotype" w:hAnsi="Palatino Linotype" w:cs="Palatino Linotype"/>
          <w:lang w:eastAsia="es-MX"/>
        </w:rPr>
      </w:pPr>
      <w:r w:rsidRPr="0066744A">
        <w:rPr>
          <w:rFonts w:ascii="Palatino Linotype" w:hAnsi="Palatino Linotype" w:cs="Palatino Linotype"/>
          <w:lang w:eastAsia="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30AF2EB6" w14:textId="77777777" w:rsidR="00FC1298" w:rsidRPr="0066744A" w:rsidRDefault="00FC1298" w:rsidP="00FC1298">
      <w:pPr>
        <w:spacing w:line="360" w:lineRule="auto"/>
        <w:contextualSpacing/>
        <w:jc w:val="both"/>
        <w:rPr>
          <w:rFonts w:ascii="Palatino Linotype" w:hAnsi="Palatino Linotype" w:cs="Palatino Linotype"/>
          <w:lang w:eastAsia="es-MX"/>
        </w:rPr>
      </w:pPr>
    </w:p>
    <w:p w14:paraId="4B9FD701" w14:textId="77777777" w:rsidR="00FC1298" w:rsidRPr="0066744A" w:rsidRDefault="00FC1298" w:rsidP="00FC1298">
      <w:pPr>
        <w:ind w:left="567" w:right="567"/>
        <w:contextualSpacing/>
        <w:jc w:val="center"/>
        <w:rPr>
          <w:rFonts w:ascii="Palatino Linotype" w:hAnsi="Palatino Linotype" w:cs="Palatino Linotype"/>
          <w:b/>
          <w:i/>
          <w:u w:val="single"/>
          <w:lang w:eastAsia="es-MX"/>
        </w:rPr>
      </w:pPr>
      <w:r w:rsidRPr="0066744A">
        <w:rPr>
          <w:rFonts w:ascii="Palatino Linotype" w:hAnsi="Palatino Linotype" w:cs="Palatino Linotype"/>
          <w:b/>
          <w:i/>
          <w:u w:val="single"/>
          <w:lang w:eastAsia="es-MX"/>
        </w:rPr>
        <w:t>Constitución Política de los Estados Unidos Mexicanos</w:t>
      </w:r>
    </w:p>
    <w:p w14:paraId="4E0827DD"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b/>
          <w:bCs/>
          <w:i/>
          <w:iCs/>
          <w:lang w:eastAsia="es-MX"/>
        </w:rPr>
        <w:t>Artículo 6</w:t>
      </w:r>
      <w:r w:rsidRPr="0066744A">
        <w:rPr>
          <w:rFonts w:ascii="Palatino Linotype" w:hAnsi="Palatino Linotype" w:cs="Palatino Linotype"/>
          <w:i/>
          <w:iCs/>
          <w:lang w:eastAsia="es-MX"/>
        </w:rPr>
        <w:t xml:space="preserve">°.- La manifestación de las ideas no será objeto de ninguna inquisición judicial o administrativa, sino en el caso de que ataque a la moral, la vida privada o los derechos de terceros, provoque algún delito, o perturbe el orden público; el </w:t>
      </w:r>
      <w:r w:rsidRPr="0066744A">
        <w:rPr>
          <w:rFonts w:ascii="Palatino Linotype" w:hAnsi="Palatino Linotype" w:cs="Palatino Linotype"/>
          <w:i/>
          <w:iCs/>
          <w:lang w:eastAsia="es-MX"/>
        </w:rPr>
        <w:lastRenderedPageBreak/>
        <w:t>derecho de réplica será ejercido en los términos dispuestos por la ley. El derecho a la información será garantizado por el Estado.</w:t>
      </w:r>
    </w:p>
    <w:p w14:paraId="29EE35B5"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328F343A"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 xml:space="preserve">Para efectos de lo dispuesto en el presente artículo se observará lo siguiente: </w:t>
      </w:r>
    </w:p>
    <w:p w14:paraId="3AD355E2" w14:textId="77777777" w:rsidR="00FC1298" w:rsidRPr="0066744A" w:rsidRDefault="00FC1298" w:rsidP="00FC1298">
      <w:pPr>
        <w:ind w:left="567" w:right="567"/>
        <w:contextualSpacing/>
        <w:jc w:val="both"/>
        <w:rPr>
          <w:rFonts w:ascii="Palatino Linotype" w:hAnsi="Palatino Linotype" w:cs="Palatino Linotype"/>
          <w:i/>
          <w:lang w:eastAsia="es-MX"/>
        </w:rPr>
      </w:pPr>
    </w:p>
    <w:p w14:paraId="58929D83"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A. Para el ejercicio del derecho de acceso a la información, la Federación y las entidades federativas, en el ámbito de sus respectivas competencias, se regirán por los siguientes principios y bases:</w:t>
      </w:r>
    </w:p>
    <w:p w14:paraId="0BB17F56"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336ECA6E"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 xml:space="preserve">III. Toda persona, sin necesidad de acreditar interés alguno o justificar su utilización, tendrá acceso gratuito a la información pública, a sus datos personales o a la rectificación de éstos. </w:t>
      </w:r>
    </w:p>
    <w:p w14:paraId="3C589CAD"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IV. Se establecerán mecanismos de acceso a la información y procedimientos de revisión expeditos que se sustanciarán ante los organismos autónomos especializados e imparciales que establece esta Constitución.</w:t>
      </w:r>
    </w:p>
    <w:p w14:paraId="2E7F73F6" w14:textId="77777777" w:rsidR="00FC1298" w:rsidRPr="0066744A" w:rsidRDefault="00FC1298" w:rsidP="00FC1298">
      <w:pPr>
        <w:ind w:left="567" w:right="567"/>
        <w:contextualSpacing/>
        <w:jc w:val="both"/>
        <w:rPr>
          <w:rFonts w:ascii="Palatino Linotype" w:hAnsi="Palatino Linotype" w:cs="Palatino Linotype"/>
          <w:i/>
          <w:lang w:eastAsia="es-MX"/>
        </w:rPr>
      </w:pPr>
    </w:p>
    <w:p w14:paraId="6A907969" w14:textId="77777777" w:rsidR="00FC1298" w:rsidRPr="0066744A" w:rsidRDefault="00FC1298" w:rsidP="00FC1298">
      <w:pPr>
        <w:ind w:left="567" w:right="567"/>
        <w:contextualSpacing/>
        <w:jc w:val="center"/>
        <w:rPr>
          <w:rFonts w:ascii="Palatino Linotype" w:hAnsi="Palatino Linotype" w:cs="Palatino Linotype"/>
          <w:b/>
          <w:i/>
          <w:u w:val="single"/>
          <w:lang w:eastAsia="es-MX"/>
        </w:rPr>
      </w:pPr>
      <w:r w:rsidRPr="0066744A">
        <w:rPr>
          <w:rFonts w:ascii="Palatino Linotype" w:hAnsi="Palatino Linotype" w:cs="Palatino Linotype"/>
          <w:b/>
          <w:i/>
          <w:u w:val="single"/>
          <w:lang w:eastAsia="es-MX"/>
        </w:rPr>
        <w:t>Constitución Política del Estado Libre y Soberano de México</w:t>
      </w:r>
    </w:p>
    <w:p w14:paraId="438E9134"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Artículo 5</w:t>
      </w:r>
      <w:r w:rsidRPr="0066744A">
        <w:rPr>
          <w:rFonts w:ascii="Palatino Linotype" w:hAnsi="Palatino Linotype" w:cs="Palatino Linotype"/>
          <w:i/>
          <w:lang w:eastAsia="es-MX"/>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F654C7C"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7C340DA8"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Toda persona en el Estado de México, tiene derecho al libre acceso a la información plural y oportuna, así como a buscar recibir y difundir información e ideas de toda índole por cualquier medio de expresión.</w:t>
      </w:r>
    </w:p>
    <w:p w14:paraId="73FCD359"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4544FE22"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 xml:space="preserve">El derecho a la información será garantizado por el Estado. La ley establecerá las previsiones que permitan asegurar la protección, el respeto y la difusión de este derecho. </w:t>
      </w:r>
    </w:p>
    <w:p w14:paraId="02D6417C" w14:textId="77777777" w:rsidR="00FC1298" w:rsidRPr="0066744A" w:rsidRDefault="00FC1298" w:rsidP="00FC1298">
      <w:pPr>
        <w:ind w:left="567" w:right="567"/>
        <w:contextualSpacing/>
        <w:jc w:val="both"/>
        <w:rPr>
          <w:rFonts w:ascii="Palatino Linotype" w:hAnsi="Palatino Linotype" w:cs="Palatino Linotype"/>
          <w:i/>
          <w:lang w:eastAsia="es-MX"/>
        </w:rPr>
      </w:pPr>
    </w:p>
    <w:p w14:paraId="709AF16F"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32D22CC" w14:textId="77777777" w:rsidR="00FC1298" w:rsidRPr="0066744A" w:rsidRDefault="00FC1298" w:rsidP="00FC1298">
      <w:pPr>
        <w:ind w:left="567" w:right="567"/>
        <w:contextualSpacing/>
        <w:jc w:val="both"/>
        <w:rPr>
          <w:rFonts w:ascii="Palatino Linotype" w:hAnsi="Palatino Linotype" w:cs="Palatino Linotype"/>
          <w:i/>
          <w:lang w:eastAsia="es-MX"/>
        </w:rPr>
      </w:pPr>
    </w:p>
    <w:p w14:paraId="759C8CB3"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lastRenderedPageBreak/>
        <w:t>Este derecho se regirá por los principios y bases siguientes:</w:t>
      </w:r>
    </w:p>
    <w:p w14:paraId="11CEAFC2"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41397247"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III.</w:t>
      </w:r>
      <w:r w:rsidRPr="0066744A">
        <w:rPr>
          <w:rFonts w:ascii="Palatino Linotype" w:hAnsi="Palatino Linotype" w:cs="Palatino Linotype"/>
          <w:i/>
          <w:lang w:eastAsia="es-MX"/>
        </w:rPr>
        <w:t xml:space="preserve"> Toda persona, sin necesidad de acreditar interés alguno o justificar su utilización, tendrá acceso gratuito a la información pública, a sus datos personales o a la rectificación de éstos;</w:t>
      </w:r>
    </w:p>
    <w:p w14:paraId="53E1EE99"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IV.</w:t>
      </w:r>
      <w:r w:rsidRPr="0066744A">
        <w:rPr>
          <w:rFonts w:ascii="Palatino Linotype" w:hAnsi="Palatino Linotype" w:cs="Palatino Linotype"/>
          <w:i/>
          <w:lang w:eastAsia="es-MX"/>
        </w:rPr>
        <w:t xml:space="preserve"> Se establecerán mecanismos de acceso a la información y procedimientos de revisión expeditos que se sustanciarán ante el organismo autónomo especializado e imparcial que establece esta Constitución.</w:t>
      </w:r>
    </w:p>
    <w:p w14:paraId="1D8B5780"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05A87CE8"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VIII.</w:t>
      </w:r>
      <w:r w:rsidRPr="0066744A">
        <w:rPr>
          <w:rFonts w:ascii="Palatino Linotype" w:hAnsi="Palatino Linotype" w:cs="Palatino Linotype"/>
          <w:i/>
          <w:lang w:eastAsia="es-MX"/>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BCC749F"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i/>
          <w:lang w:eastAsia="es-MX"/>
        </w:rPr>
        <w:t>[…]</w:t>
      </w:r>
    </w:p>
    <w:p w14:paraId="5DA2D545" w14:textId="77777777" w:rsidR="00FC1298" w:rsidRPr="0066744A" w:rsidRDefault="00FC1298" w:rsidP="00FC1298">
      <w:pPr>
        <w:spacing w:line="360" w:lineRule="auto"/>
        <w:ind w:left="567" w:right="567"/>
        <w:contextualSpacing/>
        <w:jc w:val="both"/>
        <w:rPr>
          <w:rFonts w:ascii="Palatino Linotype" w:hAnsi="Palatino Linotype" w:cs="Palatino Linotype"/>
          <w:lang w:eastAsia="es-MX"/>
        </w:rPr>
      </w:pPr>
    </w:p>
    <w:p w14:paraId="4ADCAC48" w14:textId="77777777" w:rsidR="00FC1298" w:rsidRPr="0066744A" w:rsidRDefault="00FC1298" w:rsidP="00FC1298">
      <w:pPr>
        <w:spacing w:line="360" w:lineRule="auto"/>
        <w:ind w:right="49"/>
        <w:contextualSpacing/>
        <w:jc w:val="both"/>
        <w:rPr>
          <w:rFonts w:ascii="Palatino Linotype" w:hAnsi="Palatino Linotype" w:cs="Palatino Linotype"/>
          <w:lang w:eastAsia="es-MX"/>
        </w:rPr>
      </w:pPr>
      <w:r w:rsidRPr="0066744A">
        <w:rPr>
          <w:rFonts w:ascii="Palatino Linotype" w:hAnsi="Palatino Linotype" w:cs="Palatino Linotype"/>
          <w:lang w:eastAsia="es-MX"/>
        </w:rPr>
        <w:t>Por otra parte, del contenido del artículo 1 de la Constitución Política de los Estados Unidos Mexicanos, se destaca lo siguiente:</w:t>
      </w:r>
    </w:p>
    <w:p w14:paraId="0ECA156F" w14:textId="77777777" w:rsidR="00FC1298" w:rsidRPr="0066744A" w:rsidRDefault="00FC1298" w:rsidP="00FC1298">
      <w:pPr>
        <w:spacing w:line="360" w:lineRule="auto"/>
        <w:ind w:right="49"/>
        <w:contextualSpacing/>
        <w:jc w:val="both"/>
        <w:rPr>
          <w:rFonts w:ascii="Palatino Linotype" w:hAnsi="Palatino Linotype" w:cs="Palatino Linotype"/>
          <w:lang w:eastAsia="es-MX"/>
        </w:rPr>
      </w:pPr>
    </w:p>
    <w:p w14:paraId="79A4FD8A" w14:textId="77777777" w:rsidR="00FC1298" w:rsidRPr="0066744A" w:rsidRDefault="00FC1298" w:rsidP="00FC1298">
      <w:pPr>
        <w:ind w:left="567" w:right="567"/>
        <w:contextualSpacing/>
        <w:jc w:val="both"/>
        <w:rPr>
          <w:rFonts w:ascii="Palatino Linotype" w:hAnsi="Palatino Linotype" w:cs="Palatino Linotype"/>
          <w:i/>
          <w:lang w:eastAsia="es-MX"/>
        </w:rPr>
      </w:pPr>
      <w:r w:rsidRPr="0066744A">
        <w:rPr>
          <w:rFonts w:ascii="Palatino Linotype" w:hAnsi="Palatino Linotype" w:cs="Palatino Linotype"/>
          <w:b/>
          <w:i/>
          <w:lang w:eastAsia="es-MX"/>
        </w:rPr>
        <w:t>Artículo 1o</w:t>
      </w:r>
      <w:r w:rsidRPr="0066744A">
        <w:rPr>
          <w:rFonts w:ascii="Palatino Linotype" w:hAnsi="Palatino Linotype" w:cs="Palatino Linotype"/>
          <w:i/>
          <w:lang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99F9C81" w14:textId="77777777" w:rsidR="00FC1298" w:rsidRPr="0066744A" w:rsidRDefault="00FC1298" w:rsidP="00FC1298">
      <w:pPr>
        <w:ind w:left="567" w:right="567"/>
        <w:contextualSpacing/>
        <w:jc w:val="both"/>
        <w:rPr>
          <w:rFonts w:ascii="Palatino Linotype" w:hAnsi="Palatino Linotype" w:cs="Palatino Linotype"/>
          <w:i/>
          <w:lang w:eastAsia="es-MX"/>
        </w:rPr>
      </w:pPr>
    </w:p>
    <w:p w14:paraId="0B43E6FE"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Las normas relativas a los derechos humanos se interpretarán de conformidad con esta Constitución y con los tratados internacionales de la materia favoreciendo en todo tiempo a las personas la protección más amplia.</w:t>
      </w:r>
    </w:p>
    <w:p w14:paraId="470167DA" w14:textId="77777777" w:rsidR="00FC1298" w:rsidRPr="0066744A" w:rsidRDefault="00FC1298" w:rsidP="00FC1298">
      <w:pPr>
        <w:ind w:left="567" w:right="567"/>
        <w:contextualSpacing/>
        <w:jc w:val="both"/>
        <w:rPr>
          <w:rFonts w:ascii="Palatino Linotype" w:hAnsi="Palatino Linotype" w:cs="Palatino Linotype"/>
          <w:i/>
          <w:lang w:eastAsia="es-MX"/>
        </w:rPr>
      </w:pPr>
    </w:p>
    <w:p w14:paraId="1BF9FE46" w14:textId="77777777" w:rsidR="00FC1298" w:rsidRPr="0066744A" w:rsidRDefault="00FC1298" w:rsidP="00FC1298">
      <w:pPr>
        <w:ind w:left="567" w:right="567"/>
        <w:contextualSpacing/>
        <w:jc w:val="both"/>
        <w:rPr>
          <w:rFonts w:ascii="Palatino Linotype" w:hAnsi="Palatino Linotype" w:cs="Palatino Linotype"/>
          <w:i/>
          <w:iCs/>
          <w:lang w:eastAsia="es-MX"/>
        </w:rPr>
      </w:pPr>
      <w:r w:rsidRPr="0066744A">
        <w:rPr>
          <w:rFonts w:ascii="Palatino Linotype" w:hAnsi="Palatino Linotype" w:cs="Palatino Linotype"/>
          <w:i/>
          <w:iCs/>
          <w:lang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609C825E" w14:textId="77777777" w:rsidR="00FC1298" w:rsidRPr="0066744A" w:rsidRDefault="00FC1298" w:rsidP="00FC1298">
      <w:pPr>
        <w:spacing w:line="360" w:lineRule="auto"/>
        <w:jc w:val="both"/>
        <w:rPr>
          <w:rFonts w:ascii="Palatino Linotype" w:hAnsi="Palatino Linotype" w:cs="Calibri"/>
          <w:lang w:eastAsia="es-MX"/>
        </w:rPr>
      </w:pPr>
    </w:p>
    <w:p w14:paraId="6F42402A" w14:textId="77777777" w:rsidR="00FC1298" w:rsidRPr="0066744A" w:rsidRDefault="00FC1298" w:rsidP="00FC1298">
      <w:pPr>
        <w:spacing w:line="360" w:lineRule="auto"/>
        <w:jc w:val="both"/>
        <w:rPr>
          <w:rFonts w:ascii="Palatino Linotype" w:hAnsi="Palatino Linotype" w:cs="Palatino Linotype"/>
          <w:lang w:eastAsia="es-MX"/>
        </w:rPr>
      </w:pPr>
      <w:r w:rsidRPr="0066744A">
        <w:rPr>
          <w:rFonts w:ascii="Palatino Linotype" w:hAnsi="Palatino Linotype" w:cs="Palatino Linotype"/>
          <w:lang w:eastAsia="es-MX"/>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BA47A4D" w14:textId="77777777" w:rsidR="00FC1298" w:rsidRPr="0066744A" w:rsidRDefault="00FC1298" w:rsidP="00FC1298">
      <w:pPr>
        <w:spacing w:line="360" w:lineRule="auto"/>
        <w:jc w:val="both"/>
        <w:rPr>
          <w:rFonts w:ascii="Palatino Linotype" w:hAnsi="Palatino Linotype" w:cs="Palatino Linotype"/>
          <w:lang w:eastAsia="es-MX"/>
        </w:rPr>
      </w:pPr>
    </w:p>
    <w:p w14:paraId="4FF4BD4E" w14:textId="77777777" w:rsidR="00FC1298" w:rsidRPr="00604E50" w:rsidRDefault="00FC1298" w:rsidP="00FC1298">
      <w:pPr>
        <w:spacing w:line="360" w:lineRule="auto"/>
        <w:jc w:val="both"/>
        <w:rPr>
          <w:rFonts w:ascii="Palatino Linotype" w:hAnsi="Palatino Linotype" w:cs="Palatino Linotype"/>
          <w:color w:val="000000"/>
          <w:lang w:eastAsia="es-MX"/>
        </w:rPr>
      </w:pPr>
      <w:r w:rsidRPr="0066744A">
        <w:rPr>
          <w:rFonts w:ascii="Palatino Linotype" w:hAnsi="Palatino Linotype" w:cs="Palatino Linotype"/>
          <w:color w:val="000000"/>
          <w:lang w:eastAsia="es-MX"/>
        </w:rPr>
        <w:t xml:space="preserve">En conclusión, se cubrieron los requisitos de procedencia y </w:t>
      </w:r>
      <w:proofErr w:type="spellStart"/>
      <w:r w:rsidRPr="0066744A">
        <w:rPr>
          <w:rFonts w:ascii="Palatino Linotype" w:hAnsi="Palatino Linotype" w:cs="Palatino Linotype"/>
          <w:color w:val="000000"/>
          <w:lang w:eastAsia="es-MX"/>
        </w:rPr>
        <w:t>procedibilidad</w:t>
      </w:r>
      <w:proofErr w:type="spellEnd"/>
      <w:r w:rsidRPr="0066744A">
        <w:rPr>
          <w:rFonts w:ascii="Palatino Linotype" w:hAnsi="Palatino Linotype" w:cs="Palatino Linotype"/>
          <w:color w:val="000000"/>
          <w:lang w:eastAsia="es-MX"/>
        </w:rPr>
        <w:t xml:space="preserve"> y conforme a las constancias que obran en el expediente.</w:t>
      </w:r>
    </w:p>
    <w:p w14:paraId="7B0F314C" w14:textId="77777777" w:rsidR="00FC1298" w:rsidRPr="00604E50" w:rsidRDefault="00FC1298" w:rsidP="00FC1298">
      <w:pPr>
        <w:autoSpaceDE w:val="0"/>
        <w:autoSpaceDN w:val="0"/>
        <w:adjustRightInd w:val="0"/>
        <w:spacing w:line="360" w:lineRule="auto"/>
        <w:jc w:val="both"/>
        <w:rPr>
          <w:rFonts w:ascii="Palatino Linotype" w:hAnsi="Palatino Linotype" w:cs="Arial"/>
          <w:b/>
          <w:sz w:val="28"/>
        </w:rPr>
      </w:pPr>
    </w:p>
    <w:p w14:paraId="10E33A41" w14:textId="77777777" w:rsidR="00FC1298" w:rsidRPr="00604E50" w:rsidRDefault="00FC1298" w:rsidP="00FC1298">
      <w:pPr>
        <w:autoSpaceDE w:val="0"/>
        <w:autoSpaceDN w:val="0"/>
        <w:adjustRightInd w:val="0"/>
        <w:spacing w:line="360" w:lineRule="auto"/>
        <w:jc w:val="both"/>
        <w:rPr>
          <w:rFonts w:ascii="Palatino Linotype" w:hAnsi="Palatino Linotype" w:cs="Arial"/>
          <w:b/>
          <w:sz w:val="28"/>
        </w:rPr>
      </w:pPr>
      <w:r w:rsidRPr="00604E50">
        <w:rPr>
          <w:rFonts w:ascii="Palatino Linotype" w:hAnsi="Palatino Linotype" w:cs="Arial"/>
          <w:b/>
          <w:sz w:val="28"/>
        </w:rPr>
        <w:t xml:space="preserve">CUARTO. Del estudio de las causas de improcedencia. </w:t>
      </w:r>
    </w:p>
    <w:p w14:paraId="783E9D03" w14:textId="77777777" w:rsidR="00FC1298" w:rsidRPr="00604E50" w:rsidRDefault="00FC1298" w:rsidP="00FC1298">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 xml:space="preserve">El estudio de las causas de improcedencia que se hagan valer por las partes o que se advierta de oficio por este </w:t>
      </w:r>
      <w:proofErr w:type="spellStart"/>
      <w:r w:rsidRPr="00604E50">
        <w:rPr>
          <w:rFonts w:ascii="Palatino Linotype" w:hAnsi="Palatino Linotype" w:cs="Arial"/>
        </w:rPr>
        <w:t>Resolutor</w:t>
      </w:r>
      <w:proofErr w:type="spellEnd"/>
      <w:r w:rsidRPr="00604E50">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151A6E49" w14:textId="77777777" w:rsidR="00FC1298" w:rsidRPr="00604E50" w:rsidRDefault="00FC1298" w:rsidP="00FC1298">
      <w:pPr>
        <w:pStyle w:val="Sinespaciado"/>
      </w:pPr>
    </w:p>
    <w:p w14:paraId="3205931A" w14:textId="77777777" w:rsidR="00FC1298" w:rsidRPr="00604E50" w:rsidRDefault="00FC1298" w:rsidP="00FC1298">
      <w:pPr>
        <w:ind w:left="567" w:right="616"/>
        <w:jc w:val="both"/>
        <w:rPr>
          <w:rFonts w:ascii="Palatino Linotype" w:hAnsi="Palatino Linotype"/>
          <w:b/>
          <w:bCs/>
          <w:i/>
          <w:sz w:val="22"/>
          <w:szCs w:val="22"/>
          <w:lang w:eastAsia="es-MX"/>
        </w:rPr>
      </w:pPr>
      <w:r w:rsidRPr="00604E50">
        <w:rPr>
          <w:rFonts w:ascii="Palatino Linotype" w:hAnsi="Palatino Linotype"/>
          <w:b/>
          <w:bCs/>
          <w:i/>
          <w:sz w:val="22"/>
          <w:szCs w:val="22"/>
        </w:rPr>
        <w:lastRenderedPageBreak/>
        <w:t>IMPROCEDENCIA Y SOBRESEIMIENTO EN EL JUICIO DE AMPARO. LAS CAUSAS PREVISTAS EN LOS ARTÍCULOS 73 Y 74 DE LA LEY DE LA MATERIA, RESPECTIVAMENTE, NO SON INCOMPATIBLES CON EL ARTÍCULO 25.1 DE LA CONVENCIÓN AMERICANA SOBRE DERECHOS HUMANOS.</w:t>
      </w:r>
    </w:p>
    <w:p w14:paraId="1AE92936" w14:textId="77777777" w:rsidR="00FC1298" w:rsidRPr="00604E50" w:rsidRDefault="00FC1298" w:rsidP="00FC1298">
      <w:pPr>
        <w:pStyle w:val="Prrafodelista"/>
        <w:autoSpaceDE w:val="0"/>
        <w:autoSpaceDN w:val="0"/>
        <w:adjustRightInd w:val="0"/>
        <w:ind w:left="567" w:right="616"/>
        <w:jc w:val="both"/>
        <w:rPr>
          <w:rFonts w:ascii="Palatino Linotype" w:hAnsi="Palatino Linotype"/>
          <w:i/>
          <w:sz w:val="22"/>
          <w:szCs w:val="22"/>
        </w:rPr>
      </w:pPr>
    </w:p>
    <w:p w14:paraId="7DDEAB25"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sz w:val="22"/>
          <w:szCs w:val="22"/>
        </w:rPr>
      </w:pPr>
      <w:r w:rsidRPr="00604E50">
        <w:rPr>
          <w:rFonts w:ascii="Palatino Linotype" w:hAnsi="Palatino Linotype"/>
          <w:i/>
          <w:sz w:val="22"/>
          <w:szCs w:val="22"/>
        </w:rPr>
        <w:t>Del examen de compatibilidad de los artículos</w:t>
      </w:r>
      <w:r w:rsidRPr="00604E50">
        <w:rPr>
          <w:rStyle w:val="apple-converted-space"/>
          <w:rFonts w:ascii="Palatino Linotype" w:hAnsi="Palatino Linotype"/>
          <w:i/>
          <w:sz w:val="22"/>
          <w:szCs w:val="22"/>
        </w:rPr>
        <w:t> </w:t>
      </w:r>
      <w:hyperlink r:id="rId8" w:history="1">
        <w:r w:rsidRPr="00604E50">
          <w:rPr>
            <w:rStyle w:val="Hipervnculo"/>
            <w:rFonts w:ascii="Palatino Linotype" w:eastAsia="Calibri" w:hAnsi="Palatino Linotype"/>
            <w:i/>
            <w:sz w:val="22"/>
            <w:szCs w:val="22"/>
          </w:rPr>
          <w:t>73 y 74 de la Ley de Amparo</w:t>
        </w:r>
      </w:hyperlink>
      <w:r w:rsidRPr="00604E50">
        <w:rPr>
          <w:rStyle w:val="apple-converted-space"/>
          <w:rFonts w:ascii="Palatino Linotype" w:hAnsi="Palatino Linotype"/>
          <w:i/>
          <w:sz w:val="22"/>
          <w:szCs w:val="22"/>
        </w:rPr>
        <w:t> </w:t>
      </w:r>
      <w:r w:rsidRPr="00604E50">
        <w:rPr>
          <w:rFonts w:ascii="Palatino Linotype" w:hAnsi="Palatino Linotype"/>
          <w:i/>
          <w:sz w:val="22"/>
          <w:szCs w:val="22"/>
        </w:rPr>
        <w:t>con el artículo</w:t>
      </w:r>
      <w:r w:rsidRPr="00604E50">
        <w:rPr>
          <w:rStyle w:val="apple-converted-space"/>
          <w:rFonts w:ascii="Palatino Linotype" w:hAnsi="Palatino Linotype"/>
          <w:i/>
          <w:sz w:val="22"/>
          <w:szCs w:val="22"/>
        </w:rPr>
        <w:t> </w:t>
      </w:r>
      <w:hyperlink r:id="rId9" w:history="1">
        <w:r w:rsidRPr="00604E50">
          <w:rPr>
            <w:rStyle w:val="Hipervnculo"/>
            <w:rFonts w:ascii="Palatino Linotype" w:eastAsia="Calibri" w:hAnsi="Palatino Linotype"/>
            <w:i/>
            <w:sz w:val="22"/>
            <w:szCs w:val="22"/>
          </w:rPr>
          <w:t>25.1 de la Convención Americana sobre Derechos Humanos</w:t>
        </w:r>
      </w:hyperlink>
      <w:r w:rsidRPr="00604E50">
        <w:rPr>
          <w:rStyle w:val="apple-converted-space"/>
          <w:rFonts w:ascii="Palatino Linotype" w:hAnsi="Palatino Linotype"/>
          <w:i/>
          <w:sz w:val="22"/>
          <w:szCs w:val="22"/>
        </w:rPr>
        <w:t> </w:t>
      </w:r>
      <w:r w:rsidRPr="00604E50">
        <w:rPr>
          <w:rFonts w:ascii="Palatino Linotype" w:hAnsi="Palatino Linotype"/>
          <w:b/>
          <w:i/>
          <w:sz w:val="22"/>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604E50">
        <w:rPr>
          <w:rFonts w:ascii="Palatino Linotype" w:hAnsi="Palatino Linotype"/>
          <w:i/>
          <w:sz w:val="22"/>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604E50">
        <w:rPr>
          <w:rFonts w:ascii="Palatino Linotype" w:hAnsi="Palatino Linotype"/>
          <w:i/>
          <w:sz w:val="22"/>
          <w:szCs w:val="22"/>
        </w:rPr>
        <w:t>concesoria</w:t>
      </w:r>
      <w:proofErr w:type="spellEnd"/>
      <w:r w:rsidRPr="00604E50">
        <w:rPr>
          <w:rFonts w:ascii="Palatino Linotype" w:hAnsi="Palatino Linotype"/>
          <w:i/>
          <w:sz w:val="22"/>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258A2ED"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7D6F3AEE" w14:textId="77777777" w:rsidR="00FC1298" w:rsidRPr="00604E50" w:rsidRDefault="00FC1298" w:rsidP="00FC1298">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t>Por lo que una vez que se analizó el expediente en estudio se cae en la cuenta de que no se actualiza ninguna de las casuales a continuación transcritas:</w:t>
      </w:r>
    </w:p>
    <w:p w14:paraId="2F34BEB0" w14:textId="77777777" w:rsidR="00FC1298" w:rsidRPr="00604E50" w:rsidRDefault="00FC1298" w:rsidP="00FC1298">
      <w:pPr>
        <w:pStyle w:val="Sinespaciado"/>
      </w:pPr>
    </w:p>
    <w:p w14:paraId="15843417"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Artículo 191.</w:t>
      </w:r>
      <w:r w:rsidRPr="00604E50">
        <w:rPr>
          <w:rFonts w:ascii="Palatino Linotype" w:hAnsi="Palatino Linotype" w:cs="Arial"/>
          <w:i/>
          <w:sz w:val="22"/>
          <w:szCs w:val="22"/>
        </w:rPr>
        <w:t xml:space="preserve"> El recurso será desechado por improcedente cuando:  </w:t>
      </w:r>
    </w:p>
    <w:p w14:paraId="0BCF1B25"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 Sea extemporáneo por haber transcurrido el plazo establecido en la presente Ley, a partir de la respuesta;  </w:t>
      </w:r>
    </w:p>
    <w:p w14:paraId="2351042E"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II. Se esté tramitando ante el Poder Judicial de la Federación algún recurso o medio de defensa interpuesto por el recurrente;  </w:t>
      </w:r>
    </w:p>
    <w:p w14:paraId="761A12DA"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III. No actualice alguno de los supuestos previstos en la presente Ley;  </w:t>
      </w:r>
    </w:p>
    <w:p w14:paraId="61523399"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IV. No se haya desahogado la prevención en los términos establecidos en la presente Ley;</w:t>
      </w:r>
    </w:p>
    <w:p w14:paraId="29925EE8"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V. Se impugne la veracidad de la información proporcionada;  </w:t>
      </w:r>
    </w:p>
    <w:p w14:paraId="6F4FBA74"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 xml:space="preserve">VI. Se trate de una consulta, o trámite en específico; y  </w:t>
      </w:r>
    </w:p>
    <w:p w14:paraId="60B0DB9D" w14:textId="77777777" w:rsidR="00FC1298" w:rsidRPr="00604E50" w:rsidRDefault="00FC1298" w:rsidP="00FC1298">
      <w:pPr>
        <w:pStyle w:val="Prrafodelista"/>
        <w:autoSpaceDE w:val="0"/>
        <w:autoSpaceDN w:val="0"/>
        <w:adjustRightInd w:val="0"/>
        <w:ind w:left="567" w:right="616"/>
        <w:jc w:val="both"/>
        <w:rPr>
          <w:rFonts w:ascii="Palatino Linotype" w:hAnsi="Palatino Linotype" w:cs="Arial"/>
          <w:i/>
          <w:sz w:val="22"/>
          <w:szCs w:val="22"/>
        </w:rPr>
      </w:pPr>
      <w:r w:rsidRPr="00604E50">
        <w:rPr>
          <w:rFonts w:ascii="Palatino Linotype" w:hAnsi="Palatino Linotype" w:cs="Arial"/>
          <w:i/>
          <w:sz w:val="22"/>
          <w:szCs w:val="22"/>
        </w:rPr>
        <w:t>VII. El recurrente amplíe su solicitud en el recurso de revisión, únicamente respecto de los nuevos contenidos.”</w:t>
      </w:r>
    </w:p>
    <w:p w14:paraId="7BE61064" w14:textId="77777777" w:rsidR="00FC1298" w:rsidRPr="00604E50" w:rsidRDefault="00FC1298" w:rsidP="00FC1298">
      <w:pPr>
        <w:autoSpaceDE w:val="0"/>
        <w:autoSpaceDN w:val="0"/>
        <w:adjustRightInd w:val="0"/>
        <w:spacing w:line="360" w:lineRule="auto"/>
        <w:jc w:val="both"/>
        <w:rPr>
          <w:rFonts w:ascii="Palatino Linotype" w:hAnsi="Palatino Linotype" w:cs="Arial"/>
        </w:rPr>
      </w:pPr>
    </w:p>
    <w:p w14:paraId="440FBDEB" w14:textId="77777777" w:rsidR="00FC1298" w:rsidRPr="00604E50" w:rsidRDefault="00FC1298" w:rsidP="00FC1298">
      <w:pPr>
        <w:autoSpaceDE w:val="0"/>
        <w:autoSpaceDN w:val="0"/>
        <w:adjustRightInd w:val="0"/>
        <w:spacing w:line="360" w:lineRule="auto"/>
        <w:jc w:val="both"/>
        <w:rPr>
          <w:rFonts w:ascii="Palatino Linotype" w:hAnsi="Palatino Linotype" w:cs="Arial"/>
        </w:rPr>
      </w:pPr>
      <w:r w:rsidRPr="00604E50">
        <w:rPr>
          <w:rFonts w:ascii="Palatino Linotype" w:hAnsi="Palatino Linotype" w:cs="Arial"/>
        </w:rPr>
        <w:lastRenderedPageBreak/>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2AF5C84C"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3211E2FA"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Así las cosas, al no existir causas de improcedencia invocadas por las partes ni advertidas de oficio por este </w:t>
      </w:r>
      <w:proofErr w:type="spellStart"/>
      <w:r w:rsidRPr="00604E50">
        <w:rPr>
          <w:rFonts w:ascii="Palatino Linotype" w:hAnsi="Palatino Linotype" w:cs="Arial"/>
        </w:rPr>
        <w:t>Resolutor</w:t>
      </w:r>
      <w:proofErr w:type="spellEnd"/>
      <w:r w:rsidRPr="00604E50">
        <w:rPr>
          <w:rFonts w:ascii="Palatino Linotype" w:hAnsi="Palatino Linotype" w:cs="Arial"/>
        </w:rPr>
        <w:t xml:space="preserve">, se </w:t>
      </w:r>
      <w:proofErr w:type="gramStart"/>
      <w:r w:rsidRPr="00604E50">
        <w:rPr>
          <w:rFonts w:ascii="Palatino Linotype" w:hAnsi="Palatino Linotype" w:cs="Arial"/>
        </w:rPr>
        <w:t>procede</w:t>
      </w:r>
      <w:proofErr w:type="gramEnd"/>
      <w:r w:rsidRPr="00604E50">
        <w:rPr>
          <w:rFonts w:ascii="Palatino Linotype" w:hAnsi="Palatino Linotype" w:cs="Arial"/>
        </w:rPr>
        <w:t xml:space="preserve"> al análisis del fondo de los asuntos en los siguientes términos.</w:t>
      </w:r>
    </w:p>
    <w:p w14:paraId="733D62B7"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1500F4C7" w14:textId="77777777" w:rsidR="00FC1298" w:rsidRPr="00604E50" w:rsidRDefault="00FC1298" w:rsidP="00FC1298">
      <w:pPr>
        <w:tabs>
          <w:tab w:val="left" w:pos="709"/>
        </w:tabs>
        <w:spacing w:line="360" w:lineRule="auto"/>
        <w:ind w:right="51"/>
        <w:jc w:val="both"/>
        <w:rPr>
          <w:rFonts w:ascii="Palatino Linotype" w:hAnsi="Palatino Linotype"/>
          <w:b/>
          <w:sz w:val="28"/>
          <w:szCs w:val="28"/>
        </w:rPr>
      </w:pPr>
      <w:r w:rsidRPr="00604E50">
        <w:rPr>
          <w:rFonts w:ascii="Palatino Linotype" w:hAnsi="Palatino Linotype"/>
          <w:b/>
          <w:sz w:val="28"/>
          <w:szCs w:val="28"/>
        </w:rPr>
        <w:t xml:space="preserve">QUINTO. Estudio y resolución del asunto </w:t>
      </w:r>
    </w:p>
    <w:p w14:paraId="60BB3827" w14:textId="77777777" w:rsidR="00FC1298" w:rsidRPr="00604E50" w:rsidRDefault="00FC1298" w:rsidP="00FC1298">
      <w:pPr>
        <w:spacing w:line="360" w:lineRule="auto"/>
        <w:jc w:val="both"/>
        <w:rPr>
          <w:rFonts w:ascii="Palatino Linotype" w:hAnsi="Palatino Linotype"/>
        </w:rPr>
      </w:pPr>
      <w:r w:rsidRPr="00604E50">
        <w:rPr>
          <w:rFonts w:ascii="Palatino Linotype" w:hAnsi="Palatino Linotype"/>
        </w:rPr>
        <w:t xml:space="preserve">Antes del entrar al estudio, cabe precisar que </w:t>
      </w:r>
      <w:r w:rsidRPr="00604E50">
        <w:rPr>
          <w:rFonts w:ascii="Palatino Linotype" w:hAnsi="Palatino Linotype"/>
          <w:b/>
        </w:rPr>
        <w:t>El Sujeto Obligado</w:t>
      </w:r>
      <w:r w:rsidRPr="00604E50">
        <w:rPr>
          <w:rFonts w:ascii="Palatino Linotype" w:hAnsi="Palatino Linotype"/>
        </w:rPr>
        <w:t xml:space="preserve">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actualizándose las hipótesis, señaladas</w:t>
      </w:r>
      <w:r w:rsidRPr="00604E50">
        <w:rPr>
          <w:rFonts w:ascii="Palatino Linotype" w:eastAsia="Calibri" w:hAnsi="Palatino Linotype"/>
        </w:rPr>
        <w:t xml:space="preserve"> en las fracciones I y VII, del artículo 179, de la Ley de Transparencia y Acceso a la Información Pública del Estado de México y Municipios,</w:t>
      </w:r>
      <w:r w:rsidRPr="00604E50">
        <w:rPr>
          <w:rFonts w:ascii="Palatino Linotype" w:eastAsia="Calibri" w:hAnsi="Palatino Linotype"/>
          <w:b/>
        </w:rPr>
        <w:t xml:space="preserve"> </w:t>
      </w:r>
      <w:r w:rsidRPr="00604E50">
        <w:rPr>
          <w:rFonts w:ascii="Palatino Linotype" w:hAnsi="Palatino Linotype"/>
        </w:rPr>
        <w:t>resultando procedente la interposición del recurso de revisión cuando no se dé respuesta a una solicitud de información.</w:t>
      </w:r>
    </w:p>
    <w:p w14:paraId="09662369" w14:textId="77777777" w:rsidR="00FC1298" w:rsidRPr="00604E50" w:rsidRDefault="00FC1298" w:rsidP="00FC1298">
      <w:pPr>
        <w:spacing w:line="360" w:lineRule="auto"/>
        <w:jc w:val="both"/>
        <w:rPr>
          <w:rFonts w:ascii="Palatino Linotype" w:hAnsi="Palatino Linotype"/>
        </w:rPr>
      </w:pPr>
    </w:p>
    <w:p w14:paraId="2E69348F" w14:textId="77777777" w:rsidR="00FC1298" w:rsidRPr="00604E50" w:rsidRDefault="00FC1298" w:rsidP="00FC1298">
      <w:pPr>
        <w:spacing w:line="360" w:lineRule="auto"/>
        <w:jc w:val="both"/>
        <w:rPr>
          <w:rFonts w:ascii="Palatino Linotype" w:hAnsi="Palatino Linotype"/>
        </w:rPr>
      </w:pPr>
      <w:r w:rsidRPr="00604E50">
        <w:rPr>
          <w:rFonts w:ascii="Palatino Linotype" w:hAnsi="Palatino Linotype"/>
        </w:rPr>
        <w:t xml:space="preserve">Así las cosas, ante la omisión del Sujeto Obligado para dar respuesta al </w:t>
      </w:r>
      <w:r w:rsidRPr="00604E50">
        <w:rPr>
          <w:rFonts w:ascii="Palatino Linotype" w:hAnsi="Palatino Linotype"/>
          <w:b/>
        </w:rPr>
        <w:t>Recurrente</w:t>
      </w:r>
      <w:r w:rsidRPr="00604E50">
        <w:rPr>
          <w:rFonts w:ascii="Palatino Linotype" w:hAnsi="Palatino Linotype"/>
        </w:rPr>
        <w:t xml:space="preserve">, se advierte lo que en la doctrina se le conoce como </w:t>
      </w:r>
      <w:r w:rsidRPr="00604E50">
        <w:rPr>
          <w:rFonts w:ascii="Palatino Linotype" w:hAnsi="Palatino Linotype"/>
          <w:b/>
          <w:i/>
        </w:rPr>
        <w:t>negativa ficta</w:t>
      </w:r>
      <w:r w:rsidRPr="00604E50">
        <w:rPr>
          <w:rFonts w:ascii="Palatino Linotype" w:hAnsi="Palatino Linotype"/>
        </w:rPr>
        <w:t>, figura jurídica cuya esencia consiste en atribuir un efecto negativo al silencio de la autoridad administrativa frente a las instancias y solicitudes que hagan los particulares.</w:t>
      </w:r>
    </w:p>
    <w:p w14:paraId="15121B62" w14:textId="77777777" w:rsidR="00FC1298" w:rsidRPr="00604E50" w:rsidRDefault="00FC1298" w:rsidP="00FC1298">
      <w:pPr>
        <w:spacing w:line="360" w:lineRule="auto"/>
        <w:jc w:val="both"/>
        <w:rPr>
          <w:rFonts w:ascii="Palatino Linotype" w:hAnsi="Palatino Linotype"/>
        </w:rPr>
      </w:pPr>
    </w:p>
    <w:p w14:paraId="72B13260" w14:textId="77777777" w:rsidR="00FC1298" w:rsidRPr="00604E50" w:rsidRDefault="00FC1298" w:rsidP="00FC1298">
      <w:pPr>
        <w:spacing w:line="360" w:lineRule="auto"/>
        <w:jc w:val="both"/>
        <w:rPr>
          <w:rFonts w:ascii="Palatino Linotype" w:hAnsi="Palatino Linotype"/>
        </w:rPr>
      </w:pPr>
      <w:r w:rsidRPr="00604E50">
        <w:rPr>
          <w:rFonts w:ascii="Palatino Linotype" w:hAnsi="Palatino Linotype"/>
        </w:rPr>
        <w:t xml:space="preserve">En este sentido la </w:t>
      </w:r>
      <w:r w:rsidRPr="00604E50">
        <w:rPr>
          <w:rFonts w:ascii="Palatino Linotype" w:hAnsi="Palatino Linotype"/>
          <w:i/>
        </w:rPr>
        <w:t>negativa ficta</w:t>
      </w:r>
      <w:r w:rsidRPr="00604E50">
        <w:rPr>
          <w:rFonts w:ascii="Palatino Linotype" w:hAnsi="Palatino Linotype"/>
        </w:rPr>
        <w:t xml:space="preserve"> constituye una presunción legal, en el entendido de que donde no hubo respuesta por parte del Sujeto Obligado</w:t>
      </w:r>
      <w:r w:rsidRPr="00604E50">
        <w:rPr>
          <w:rFonts w:ascii="Palatino Linotype" w:hAnsi="Palatino Linotype"/>
          <w:b/>
        </w:rPr>
        <w:t xml:space="preserve"> </w:t>
      </w:r>
      <w:r w:rsidRPr="00604E50">
        <w:rPr>
          <w:rFonts w:ascii="Palatino Linotype" w:hAnsi="Palatino Linotype"/>
        </w:rPr>
        <w:t xml:space="preserve">existe, una resolución de rechazo ante la solicitud del ciudadano; ya que efectivamente, dicha figura se encuentra íntimamente vinculada con el Derecho al Acceso de Información, consagrado en nuestra Carta Magna, es por ello que constituye un instrumento que garantiza la posibilidad de defensa del particular en contra de la incertidumbre jurídica y que tiende a realizar ese </w:t>
      </w:r>
      <w:r w:rsidRPr="00604E50">
        <w:rPr>
          <w:rFonts w:ascii="Palatino Linotype" w:hAnsi="Palatino Linotype"/>
          <w:i/>
        </w:rPr>
        <w:t>Estado de Derecho</w:t>
      </w:r>
      <w:r w:rsidRPr="00604E50">
        <w:rPr>
          <w:rFonts w:ascii="Palatino Linotype" w:hAnsi="Palatino Linotype"/>
        </w:rPr>
        <w:t xml:space="preserve"> en el que, el particular, tiene siempre una vía de defensa.</w:t>
      </w:r>
    </w:p>
    <w:p w14:paraId="12E67A6C" w14:textId="77777777" w:rsidR="00FC1298" w:rsidRPr="00604E50" w:rsidRDefault="00FC1298" w:rsidP="00FC1298">
      <w:pPr>
        <w:spacing w:line="360" w:lineRule="auto"/>
        <w:jc w:val="both"/>
        <w:rPr>
          <w:rFonts w:ascii="Palatino Linotype" w:hAnsi="Palatino Linotype"/>
        </w:rPr>
      </w:pPr>
    </w:p>
    <w:p w14:paraId="2EF34A4A" w14:textId="77777777" w:rsidR="00FC1298" w:rsidRPr="00604E50" w:rsidRDefault="00FC1298" w:rsidP="00FC1298">
      <w:pPr>
        <w:spacing w:line="360" w:lineRule="auto"/>
        <w:jc w:val="both"/>
        <w:rPr>
          <w:rFonts w:ascii="Palatino Linotype" w:hAnsi="Palatino Linotype"/>
        </w:rPr>
      </w:pPr>
      <w:r w:rsidRPr="00604E50">
        <w:rPr>
          <w:rFonts w:ascii="Palatino Linotype" w:hAnsi="Palatino Linotype"/>
        </w:rPr>
        <w:t xml:space="preserve">En este sentido en el marco del derecho de acceso a la información pública, la figura de la </w:t>
      </w:r>
      <w:r w:rsidRPr="00604E50">
        <w:rPr>
          <w:rFonts w:ascii="Palatino Linotype" w:hAnsi="Palatino Linotype"/>
          <w:i/>
        </w:rPr>
        <w:t>negativa ficta</w:t>
      </w:r>
      <w:r w:rsidRPr="00604E50">
        <w:rPr>
          <w:rFonts w:ascii="Palatino Linotype" w:hAnsi="Palatino Linotype"/>
        </w:rPr>
        <w:t xml:space="preserve"> brinda al ciudadano la oportunidad de inconformarse en los casos en que estime violentado su derecho; en consecuencia, resulta indispensable subrayar que 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4675D68B" w14:textId="77777777" w:rsidR="00FC1298" w:rsidRPr="00604E50" w:rsidRDefault="00FC1298" w:rsidP="00FC1298">
      <w:pPr>
        <w:pStyle w:val="Sinespaciado"/>
      </w:pPr>
    </w:p>
    <w:p w14:paraId="31B46E49"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b/>
          <w:i/>
          <w:sz w:val="22"/>
        </w:rPr>
        <w:t>Artículo 4.</w:t>
      </w:r>
      <w:r w:rsidRPr="00604E50">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1F7AD8D" w14:textId="77777777" w:rsidR="00FC1298" w:rsidRPr="00604E50" w:rsidRDefault="00FC1298" w:rsidP="00FC1298">
      <w:pPr>
        <w:ind w:left="567" w:right="567"/>
        <w:jc w:val="both"/>
        <w:rPr>
          <w:rFonts w:ascii="Palatino Linotype" w:hAnsi="Palatino Linotype"/>
          <w:i/>
          <w:sz w:val="22"/>
        </w:rPr>
      </w:pPr>
    </w:p>
    <w:p w14:paraId="45C9DB8E"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6BF8AEA0" w14:textId="77777777" w:rsidR="00FC1298" w:rsidRPr="00604E50" w:rsidRDefault="00FC1298" w:rsidP="00FC1298">
      <w:pPr>
        <w:ind w:left="567" w:right="567"/>
        <w:jc w:val="both"/>
        <w:rPr>
          <w:rFonts w:ascii="Palatino Linotype" w:hAnsi="Palatino Linotype"/>
          <w:i/>
          <w:sz w:val="22"/>
        </w:rPr>
      </w:pPr>
    </w:p>
    <w:p w14:paraId="3E501A60"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lastRenderedPageBreak/>
        <w:t>Los sujetos obligados deben poner en práctica, políticas y programas de acceso a la información que se apeguen a criterios de publicidad, veracidad, oportunidad, precisión y suficiencia en beneficio de los solicitantes.</w:t>
      </w:r>
    </w:p>
    <w:p w14:paraId="22109E3B" w14:textId="77777777" w:rsidR="00FC1298" w:rsidRPr="00604E50" w:rsidRDefault="00FC1298" w:rsidP="00FC1298">
      <w:pPr>
        <w:ind w:left="567" w:right="567"/>
        <w:jc w:val="both"/>
        <w:rPr>
          <w:rFonts w:ascii="Palatino Linotype" w:hAnsi="Palatino Linotype"/>
          <w:i/>
          <w:sz w:val="22"/>
        </w:rPr>
      </w:pPr>
    </w:p>
    <w:p w14:paraId="7293109A"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b/>
          <w:i/>
          <w:sz w:val="22"/>
        </w:rPr>
        <w:t>Artículo 12.</w:t>
      </w:r>
      <w:r w:rsidRPr="00604E50">
        <w:rPr>
          <w:rFonts w:ascii="Palatino Linotype" w:hAnsi="Palatino Linotype"/>
          <w:i/>
          <w:sz w:val="22"/>
        </w:rPr>
        <w:t xml:space="preserve"> Quienes generen, recopilen, administren, manejen, procesen, archiven o conserven información pública serán responsables de la misma en los términos de las disposiciones jurídicas aplicables.</w:t>
      </w:r>
    </w:p>
    <w:p w14:paraId="0EF0D59D" w14:textId="77777777" w:rsidR="00FC1298" w:rsidRPr="00604E50" w:rsidRDefault="00FC1298" w:rsidP="00FC1298">
      <w:pPr>
        <w:ind w:left="567" w:right="567"/>
        <w:jc w:val="both"/>
        <w:rPr>
          <w:rFonts w:ascii="Palatino Linotype" w:hAnsi="Palatino Linotype"/>
          <w:i/>
          <w:sz w:val="22"/>
        </w:rPr>
      </w:pPr>
    </w:p>
    <w:p w14:paraId="483FB0A4"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E685DCB"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w:t>
      </w:r>
    </w:p>
    <w:p w14:paraId="14E302E6" w14:textId="77777777" w:rsidR="00FC1298" w:rsidRPr="00604E50" w:rsidRDefault="00FC1298" w:rsidP="00FC1298">
      <w:pPr>
        <w:ind w:left="567" w:right="567"/>
        <w:jc w:val="both"/>
        <w:rPr>
          <w:rFonts w:ascii="Palatino Linotype" w:hAnsi="Palatino Linotype"/>
          <w:b/>
          <w:i/>
          <w:sz w:val="22"/>
        </w:rPr>
      </w:pPr>
    </w:p>
    <w:p w14:paraId="63F2F656" w14:textId="77777777" w:rsidR="00FC1298" w:rsidRPr="00604E50" w:rsidRDefault="00FC1298" w:rsidP="00FC1298">
      <w:pPr>
        <w:ind w:left="567" w:right="567"/>
        <w:jc w:val="both"/>
        <w:rPr>
          <w:rFonts w:ascii="Palatino Linotype" w:hAnsi="Palatino Linotype"/>
          <w:b/>
          <w:i/>
          <w:sz w:val="22"/>
        </w:rPr>
      </w:pPr>
      <w:r w:rsidRPr="00604E50">
        <w:rPr>
          <w:rFonts w:ascii="Palatino Linotype" w:hAnsi="Palatino Linotype"/>
          <w:b/>
          <w:i/>
          <w:sz w:val="22"/>
        </w:rPr>
        <w:t xml:space="preserve">Artículo 24. </w:t>
      </w:r>
    </w:p>
    <w:p w14:paraId="7AE137B3"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w:t>
      </w:r>
    </w:p>
    <w:p w14:paraId="2D22D4E6"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Los sujetos obligados solo proporcionarán la información pública que generen, administren o posean en el ejercicio de sus atribuciones.”</w:t>
      </w:r>
    </w:p>
    <w:p w14:paraId="2C4E5399"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w:t>
      </w:r>
    </w:p>
    <w:p w14:paraId="53E9D877"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b/>
          <w:i/>
          <w:sz w:val="22"/>
        </w:rPr>
        <w:t>Artículo 160.</w:t>
      </w:r>
      <w:r w:rsidRPr="00604E50">
        <w:rPr>
          <w:rFonts w:ascii="Palatino Linotype" w:hAnsi="Palatino Linotype"/>
          <w:i/>
          <w:sz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D223CCC" w14:textId="77777777" w:rsidR="00FC1298" w:rsidRPr="00604E50" w:rsidRDefault="00FC1298" w:rsidP="00FC1298">
      <w:pPr>
        <w:ind w:left="567" w:right="567"/>
        <w:jc w:val="both"/>
        <w:rPr>
          <w:rFonts w:ascii="Palatino Linotype" w:hAnsi="Palatino Linotype"/>
          <w:i/>
          <w:sz w:val="22"/>
        </w:rPr>
      </w:pPr>
    </w:p>
    <w:p w14:paraId="358349B5"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i/>
          <w:sz w:val="22"/>
        </w:rPr>
        <w:t>En caso que la información solicitada consista en bases de datos se deberá privilegiar la entrega de la misma en formatos abiertos.</w:t>
      </w:r>
    </w:p>
    <w:p w14:paraId="08AF784D" w14:textId="77777777" w:rsidR="00FC1298" w:rsidRPr="00604E50" w:rsidRDefault="00FC1298" w:rsidP="00FC1298">
      <w:pPr>
        <w:spacing w:line="360" w:lineRule="auto"/>
        <w:jc w:val="both"/>
        <w:rPr>
          <w:rFonts w:ascii="Palatino Linotype" w:hAnsi="Palatino Linotype"/>
        </w:rPr>
      </w:pPr>
    </w:p>
    <w:p w14:paraId="4EA6E9C1" w14:textId="77777777" w:rsidR="00FC1298" w:rsidRPr="00604E50" w:rsidRDefault="00FC1298" w:rsidP="00FC1298">
      <w:pPr>
        <w:spacing w:line="360" w:lineRule="auto"/>
        <w:jc w:val="both"/>
        <w:rPr>
          <w:rFonts w:ascii="Palatino Linotype" w:hAnsi="Palatino Linotype"/>
        </w:rPr>
      </w:pPr>
      <w:r w:rsidRPr="00604E50">
        <w:rPr>
          <w:rFonts w:ascii="Palatino Linotype" w:hAnsi="Palatino Linotype"/>
        </w:rPr>
        <w:t xml:space="preserve">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604E50">
        <w:rPr>
          <w:rFonts w:ascii="Palatino Linotype" w:hAnsi="Palatino Linotype"/>
          <w:bCs/>
        </w:rPr>
        <w:t>de la Ley local en la materia, que se reproduce de la siguiente forma</w:t>
      </w:r>
      <w:r w:rsidRPr="00604E50">
        <w:rPr>
          <w:rFonts w:ascii="Palatino Linotype" w:hAnsi="Palatino Linotype"/>
        </w:rPr>
        <w:t>:</w:t>
      </w:r>
    </w:p>
    <w:p w14:paraId="74626B66" w14:textId="77777777" w:rsidR="00FC1298" w:rsidRPr="00604E50" w:rsidRDefault="00FC1298" w:rsidP="00FC1298">
      <w:pPr>
        <w:pStyle w:val="Sinespaciado"/>
      </w:pPr>
    </w:p>
    <w:p w14:paraId="7EBF2388" w14:textId="77777777" w:rsidR="00FC1298" w:rsidRPr="00604E50" w:rsidRDefault="00FC1298" w:rsidP="00FC1298">
      <w:pPr>
        <w:ind w:left="567" w:right="567"/>
        <w:jc w:val="both"/>
        <w:rPr>
          <w:rFonts w:ascii="Palatino Linotype" w:hAnsi="Palatino Linotype" w:cs="Arial"/>
          <w:i/>
          <w:sz w:val="22"/>
        </w:rPr>
      </w:pPr>
      <w:r w:rsidRPr="00604E50">
        <w:rPr>
          <w:rFonts w:ascii="Palatino Linotype" w:hAnsi="Palatino Linotype" w:cs="Arial"/>
          <w:b/>
          <w:i/>
          <w:sz w:val="22"/>
        </w:rPr>
        <w:t>Artículo 166.</w:t>
      </w:r>
      <w:r w:rsidRPr="00604E50">
        <w:rPr>
          <w:rFonts w:ascii="Palatino Linotype" w:hAnsi="Palatino Linotype" w:cs="Arial"/>
          <w:i/>
          <w:sz w:val="22"/>
        </w:rPr>
        <w:t xml:space="preserve"> La obligación de acceso a la información pública se tendrá por cumplida cuando el solicitante tenga a su disposición la información requerida, o cuando realice la consulta de la misma en el lugar en el que ésta se localice.</w:t>
      </w:r>
    </w:p>
    <w:p w14:paraId="05C325CD" w14:textId="77777777" w:rsidR="00FC1298" w:rsidRPr="00604E50" w:rsidRDefault="00FC1298" w:rsidP="00FC1298">
      <w:pPr>
        <w:spacing w:line="360" w:lineRule="auto"/>
        <w:jc w:val="both"/>
        <w:rPr>
          <w:rFonts w:ascii="Palatino Linotype" w:hAnsi="Palatino Linotype"/>
        </w:rPr>
      </w:pPr>
    </w:p>
    <w:p w14:paraId="2A8DD3A9" w14:textId="77777777" w:rsidR="00FC1298" w:rsidRPr="00604E50" w:rsidRDefault="00FC1298" w:rsidP="00FC1298">
      <w:pPr>
        <w:spacing w:line="360" w:lineRule="auto"/>
        <w:jc w:val="both"/>
        <w:rPr>
          <w:rFonts w:ascii="Palatino Linotype" w:hAnsi="Palatino Linotype"/>
        </w:rPr>
      </w:pPr>
      <w:r w:rsidRPr="00604E50">
        <w:rPr>
          <w:rFonts w:ascii="Palatino Linotype" w:hAnsi="Palatino Linotype"/>
        </w:rPr>
        <w:t>De lo anterior, conforme a las acciones del Sujeto Obligado, se establece que éste vulnera el derecho de acceso a la información pública del Recurrente, toda vez que no entrega respuesta a la solicitud de información presentada, de conformidad a lo establecido en los artículos 24 fracción XI, y 166, de la ley local en la materia, y que señalan:</w:t>
      </w:r>
    </w:p>
    <w:p w14:paraId="1DFDB7FD" w14:textId="77777777" w:rsidR="00FC1298" w:rsidRPr="00604E50" w:rsidRDefault="00FC1298" w:rsidP="00FC1298">
      <w:pPr>
        <w:pStyle w:val="Sinespaciado"/>
      </w:pPr>
    </w:p>
    <w:p w14:paraId="2988243A"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b/>
          <w:i/>
          <w:sz w:val="22"/>
        </w:rPr>
        <w:t>A</w:t>
      </w:r>
      <w:r w:rsidRPr="00604E50">
        <w:rPr>
          <w:rFonts w:ascii="Palatino Linotype" w:hAnsi="Palatino Linotype"/>
          <w:b/>
          <w:bCs/>
          <w:i/>
          <w:sz w:val="22"/>
        </w:rPr>
        <w:t>rtículo 24.</w:t>
      </w:r>
      <w:r w:rsidRPr="00604E50">
        <w:rPr>
          <w:rFonts w:ascii="Palatino Linotype" w:hAnsi="Palatino Linotype"/>
          <w:bCs/>
          <w:i/>
          <w:sz w:val="22"/>
        </w:rPr>
        <w:t xml:space="preserve"> </w:t>
      </w:r>
      <w:r w:rsidRPr="00604E50">
        <w:rPr>
          <w:rFonts w:ascii="Palatino Linotype" w:hAnsi="Palatino Linotype"/>
          <w:i/>
          <w:sz w:val="22"/>
        </w:rPr>
        <w:t>Para el cumplimiento de los objetivos de esta Ley, los sujetos obligados deberán cumplir con las siguientes obligaciones, según corresponda, de acuerdo a su naturaleza:</w:t>
      </w:r>
    </w:p>
    <w:p w14:paraId="66E28B33" w14:textId="77777777" w:rsidR="00FC1298" w:rsidRPr="00604E50" w:rsidRDefault="00FC1298" w:rsidP="00FC1298">
      <w:pPr>
        <w:ind w:left="567" w:right="567"/>
        <w:jc w:val="both"/>
        <w:rPr>
          <w:rFonts w:ascii="Palatino Linotype" w:hAnsi="Palatino Linotype"/>
          <w:i/>
          <w:sz w:val="22"/>
        </w:rPr>
      </w:pPr>
      <w:r w:rsidRPr="00604E50">
        <w:rPr>
          <w:rFonts w:ascii="Palatino Linotype" w:hAnsi="Palatino Linotype"/>
          <w:bCs/>
          <w:i/>
          <w:sz w:val="22"/>
        </w:rPr>
        <w:t>(..</w:t>
      </w:r>
      <w:r w:rsidRPr="00604E50">
        <w:rPr>
          <w:rFonts w:ascii="Palatino Linotype" w:hAnsi="Palatino Linotype"/>
          <w:i/>
          <w:sz w:val="22"/>
        </w:rPr>
        <w:t>.)</w:t>
      </w:r>
    </w:p>
    <w:p w14:paraId="1C032455" w14:textId="77777777" w:rsidR="00FC1298" w:rsidRPr="00604E50" w:rsidRDefault="00FC1298" w:rsidP="00FC1298">
      <w:pPr>
        <w:ind w:left="567" w:right="567"/>
        <w:jc w:val="both"/>
        <w:rPr>
          <w:rFonts w:ascii="Palatino Linotype" w:hAnsi="Palatino Linotype"/>
          <w:bCs/>
          <w:i/>
          <w:sz w:val="22"/>
        </w:rPr>
      </w:pPr>
      <w:r w:rsidRPr="00604E50">
        <w:rPr>
          <w:rFonts w:ascii="Palatino Linotype" w:hAnsi="Palatino Linotype"/>
          <w:bCs/>
          <w:i/>
          <w:sz w:val="22"/>
        </w:rPr>
        <w:t>XI. Dar acceso a la información pública que le sea requerida, en los términos de la Ley General, esta Ley y demás disposiciones jurídicas aplicables;</w:t>
      </w:r>
    </w:p>
    <w:p w14:paraId="3F958D92"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6764F8D2"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27AA87E0"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542B7251" w14:textId="7DBB71B7" w:rsidR="00FC1298" w:rsidRPr="00604E50" w:rsidRDefault="00FC1298" w:rsidP="00FC1298">
      <w:pPr>
        <w:tabs>
          <w:tab w:val="left" w:pos="709"/>
        </w:tabs>
        <w:spacing w:line="360" w:lineRule="auto"/>
        <w:ind w:right="51"/>
        <w:jc w:val="both"/>
        <w:rPr>
          <w:rFonts w:ascii="Palatino Linotype" w:hAnsi="Palatino Linotype"/>
        </w:rPr>
      </w:pPr>
      <w:r w:rsidRPr="00604E50">
        <w:rPr>
          <w:rFonts w:ascii="Palatino Linotype" w:hAnsi="Palatino Linotype"/>
        </w:rPr>
        <w:t xml:space="preserve">En este tenor, de forma objetiva al desentrañar la solicitud de información </w:t>
      </w:r>
      <w:r w:rsidRPr="00FC1298">
        <w:rPr>
          <w:rFonts w:ascii="Palatino Linotype" w:hAnsi="Palatino Linotype"/>
          <w:b/>
          <w:bCs/>
        </w:rPr>
        <w:t>00339/TOLUCA/IP/2025</w:t>
      </w:r>
      <w:r w:rsidRPr="00604E50">
        <w:rPr>
          <w:rFonts w:ascii="Palatino Linotype" w:hAnsi="Palatino Linotype"/>
        </w:rPr>
        <w:t xml:space="preserve">, podemos identificar que </w:t>
      </w:r>
      <w:r w:rsidRPr="00604E50">
        <w:rPr>
          <w:rFonts w:ascii="Palatino Linotype" w:hAnsi="Palatino Linotype"/>
          <w:b/>
        </w:rPr>
        <w:t xml:space="preserve">El Recurrente </w:t>
      </w:r>
      <w:r w:rsidRPr="00604E50">
        <w:rPr>
          <w:rFonts w:ascii="Palatino Linotype" w:hAnsi="Palatino Linotype"/>
        </w:rPr>
        <w:t xml:space="preserve">peticiona, el o los documentos, donde conste lo subsecuente: </w:t>
      </w:r>
    </w:p>
    <w:p w14:paraId="21CD7461" w14:textId="77777777" w:rsidR="00FC1298" w:rsidRPr="00604E50" w:rsidRDefault="00FC1298" w:rsidP="00FC1298">
      <w:pPr>
        <w:tabs>
          <w:tab w:val="left" w:pos="709"/>
        </w:tabs>
        <w:spacing w:line="360" w:lineRule="auto"/>
        <w:ind w:right="51"/>
        <w:jc w:val="both"/>
        <w:rPr>
          <w:rFonts w:ascii="Palatino Linotype" w:hAnsi="Palatino Linotype"/>
        </w:rPr>
      </w:pPr>
    </w:p>
    <w:p w14:paraId="61F676BE" w14:textId="03C0FA34" w:rsidR="00FC1298" w:rsidRPr="003C744F" w:rsidRDefault="00FC1298" w:rsidP="00FC1298">
      <w:pPr>
        <w:pStyle w:val="Prrafodelista"/>
        <w:numPr>
          <w:ilvl w:val="0"/>
          <w:numId w:val="20"/>
        </w:numPr>
        <w:autoSpaceDE w:val="0"/>
        <w:autoSpaceDN w:val="0"/>
        <w:adjustRightInd w:val="0"/>
        <w:spacing w:line="360" w:lineRule="auto"/>
        <w:jc w:val="both"/>
        <w:rPr>
          <w:rFonts w:ascii="Palatino Linotype" w:hAnsi="Palatino Linotype" w:cs="Arial"/>
        </w:rPr>
      </w:pPr>
      <w:r w:rsidRPr="00FC1298">
        <w:rPr>
          <w:rFonts w:ascii="Palatino Linotype" w:hAnsi="Palatino Linotype" w:cs="Arial"/>
        </w:rPr>
        <w:t>SOLICITAMOS EL NUMERO TELEFONICO, CORREO ELECTRONICO DE TODOS LOS INTEGRANTES DE CABILDO.</w:t>
      </w:r>
      <w:r w:rsidRPr="00604E50">
        <w:rPr>
          <w:rFonts w:ascii="Palatino Linotype" w:hAnsi="Palatino Linotype" w:cs="Arial"/>
        </w:rPr>
        <w:t xml:space="preserve"> </w:t>
      </w:r>
    </w:p>
    <w:p w14:paraId="47363821" w14:textId="77777777" w:rsidR="00FC1298" w:rsidRPr="003C744F" w:rsidRDefault="00FC1298" w:rsidP="00FC1298">
      <w:pPr>
        <w:pStyle w:val="Sinespaciado"/>
        <w:rPr>
          <w:rFonts w:ascii="Palatino Linotype" w:hAnsi="Palatino Linotype"/>
        </w:rPr>
      </w:pPr>
    </w:p>
    <w:p w14:paraId="0614336B"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otra parte, al referirnos al acto impugnado por </w:t>
      </w:r>
      <w:r w:rsidRPr="00604E50">
        <w:rPr>
          <w:rFonts w:ascii="Palatino Linotype" w:hAnsi="Palatino Linotype" w:cs="Arial"/>
          <w:b/>
        </w:rPr>
        <w:t xml:space="preserve">El Recurrente, </w:t>
      </w:r>
      <w:r w:rsidRPr="00604E50">
        <w:rPr>
          <w:rFonts w:ascii="Palatino Linotype" w:hAnsi="Palatino Linotype" w:cs="Arial"/>
        </w:rPr>
        <w:t>concatenado con los motivos o razones de inconformidad emitidos, se distingue que se adolece, de forma toral, de la falta de respuesta a la solicitud de acceso a la información pública, actualizando con ello lo establecido en la fracción VII, del artículo 179, de la Ley de Transparencia y Acceso a la Información Pública del Estado de México y Municipios, el cual a la letra reza:</w:t>
      </w:r>
    </w:p>
    <w:p w14:paraId="500532C9" w14:textId="77777777" w:rsidR="00FC1298" w:rsidRPr="00604E50" w:rsidRDefault="00FC1298" w:rsidP="00FC1298">
      <w:pPr>
        <w:pStyle w:val="Sinespaciado"/>
      </w:pPr>
    </w:p>
    <w:p w14:paraId="727A3B95" w14:textId="77777777" w:rsidR="00FC1298" w:rsidRPr="00604E50" w:rsidRDefault="00FC1298" w:rsidP="00FC1298">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
          <w:bCs/>
          <w:i/>
          <w:sz w:val="22"/>
          <w:szCs w:val="22"/>
        </w:rPr>
        <w:t xml:space="preserve">“Artículo 179. </w:t>
      </w:r>
      <w:r w:rsidRPr="00604E50">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14:paraId="564CB8EA" w14:textId="77777777" w:rsidR="00FC1298" w:rsidRPr="00604E50" w:rsidRDefault="00FC1298" w:rsidP="00FC1298">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Cs/>
          <w:i/>
          <w:sz w:val="22"/>
          <w:szCs w:val="22"/>
        </w:rPr>
        <w:t>(…</w:t>
      </w:r>
      <w:r w:rsidRPr="00604E50">
        <w:rPr>
          <w:rFonts w:ascii="Palatino Linotype" w:hAnsi="Palatino Linotype"/>
          <w:i/>
          <w:sz w:val="22"/>
          <w:szCs w:val="22"/>
        </w:rPr>
        <w:t>)</w:t>
      </w:r>
    </w:p>
    <w:p w14:paraId="585ED787" w14:textId="77777777" w:rsidR="00FC1298" w:rsidRPr="00604E50" w:rsidRDefault="00FC1298" w:rsidP="00FC1298">
      <w:pPr>
        <w:pStyle w:val="Prrafodelista"/>
        <w:autoSpaceDE w:val="0"/>
        <w:autoSpaceDN w:val="0"/>
        <w:adjustRightInd w:val="0"/>
        <w:ind w:left="851" w:right="851"/>
        <w:jc w:val="both"/>
        <w:rPr>
          <w:rFonts w:ascii="Palatino Linotype" w:hAnsi="Palatino Linotype"/>
          <w:i/>
          <w:sz w:val="22"/>
          <w:szCs w:val="22"/>
        </w:rPr>
      </w:pPr>
      <w:r w:rsidRPr="00604E50">
        <w:rPr>
          <w:rFonts w:ascii="Palatino Linotype" w:hAnsi="Palatino Linotype"/>
          <w:b/>
          <w:bCs/>
          <w:i/>
          <w:sz w:val="22"/>
          <w:szCs w:val="22"/>
        </w:rPr>
        <w:t xml:space="preserve">VII. </w:t>
      </w:r>
      <w:r w:rsidRPr="00604E50">
        <w:rPr>
          <w:rFonts w:ascii="Palatino Linotype" w:hAnsi="Palatino Linotype"/>
          <w:i/>
          <w:sz w:val="22"/>
          <w:szCs w:val="22"/>
        </w:rPr>
        <w:t>La falta de respuesta a una solicitud de acceso a la información</w:t>
      </w:r>
    </w:p>
    <w:p w14:paraId="497F2CCF" w14:textId="77777777" w:rsidR="00FC1298" w:rsidRPr="00604E50" w:rsidRDefault="00FC1298" w:rsidP="00FC1298">
      <w:pPr>
        <w:pStyle w:val="Prrafodelista"/>
        <w:autoSpaceDE w:val="0"/>
        <w:autoSpaceDN w:val="0"/>
        <w:adjustRightInd w:val="0"/>
        <w:ind w:left="851" w:right="851"/>
        <w:rPr>
          <w:rFonts w:ascii="Palatino Linotype" w:hAnsi="Palatino Linotype" w:cs="Arial"/>
          <w:b/>
          <w:i/>
          <w:sz w:val="22"/>
          <w:szCs w:val="22"/>
        </w:rPr>
      </w:pPr>
      <w:r w:rsidRPr="00604E50">
        <w:rPr>
          <w:rFonts w:ascii="Palatino Linotype" w:hAnsi="Palatino Linotype" w:cs="Arial"/>
          <w:i/>
          <w:sz w:val="22"/>
          <w:szCs w:val="22"/>
        </w:rPr>
        <w:t>(…)</w:t>
      </w:r>
      <w:r w:rsidRPr="00604E50">
        <w:rPr>
          <w:rFonts w:ascii="Palatino Linotype" w:hAnsi="Palatino Linotype" w:cs="Arial"/>
          <w:b/>
          <w:i/>
          <w:sz w:val="22"/>
          <w:szCs w:val="22"/>
        </w:rPr>
        <w:t>”</w:t>
      </w:r>
      <w:r w:rsidRPr="00604E50">
        <w:rPr>
          <w:rFonts w:ascii="Palatino Linotype" w:hAnsi="Palatino Linotype" w:cs="Arial"/>
          <w:i/>
          <w:sz w:val="22"/>
          <w:szCs w:val="22"/>
        </w:rPr>
        <w:t xml:space="preserve"> </w:t>
      </w:r>
      <w:r w:rsidRPr="00604E50">
        <w:rPr>
          <w:rFonts w:ascii="Palatino Linotype" w:hAnsi="Palatino Linotype" w:cs="Arial"/>
          <w:b/>
          <w:i/>
          <w:sz w:val="22"/>
          <w:szCs w:val="22"/>
        </w:rPr>
        <w:t>[Sic]</w:t>
      </w:r>
    </w:p>
    <w:p w14:paraId="2EE6E814"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6B6209CD"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rPr>
        <w:t xml:space="preserve">En este tenor, resulta evidente que las razones o motivos de inconformidad hechos valer por </w:t>
      </w:r>
      <w:r w:rsidRPr="00604E50">
        <w:rPr>
          <w:rFonts w:ascii="Palatino Linotype" w:hAnsi="Palatino Linotype" w:cs="Arial"/>
          <w:b/>
        </w:rPr>
        <w:t xml:space="preserve">El Recurrente, </w:t>
      </w:r>
      <w:r w:rsidRPr="00604E50">
        <w:rPr>
          <w:rFonts w:ascii="Palatino Linotype" w:hAnsi="Palatino Linotype" w:cs="Arial"/>
        </w:rPr>
        <w:t xml:space="preserve">resultan fundados y procedentes, en virtud de que como consta en el expediente electrónico del </w:t>
      </w:r>
      <w:r w:rsidRPr="00604E50">
        <w:rPr>
          <w:rFonts w:ascii="Palatino Linotype" w:hAnsi="Palatino Linotype" w:cs="Arial"/>
          <w:b/>
        </w:rPr>
        <w:t xml:space="preserve">SAIMEX, </w:t>
      </w:r>
      <w:r w:rsidRPr="00604E50">
        <w:rPr>
          <w:rFonts w:ascii="Palatino Linotype" w:hAnsi="Palatino Linotype" w:cs="Arial"/>
        </w:rPr>
        <w:t xml:space="preserve">se acredita que </w:t>
      </w:r>
      <w:r w:rsidRPr="00604E50">
        <w:rPr>
          <w:rFonts w:ascii="Palatino Linotype" w:hAnsi="Palatino Linotype" w:cs="Arial"/>
          <w:b/>
        </w:rPr>
        <w:t xml:space="preserve">El Sujeto Obligado </w:t>
      </w:r>
      <w:r w:rsidRPr="00604E50">
        <w:rPr>
          <w:rFonts w:ascii="Palatino Linotype" w:hAnsi="Palatino Linotype" w:cs="Arial"/>
        </w:rPr>
        <w:t xml:space="preserve">fue omiso en responder la solicitud de información hecha por </w:t>
      </w:r>
      <w:r w:rsidRPr="00604E50">
        <w:rPr>
          <w:rFonts w:ascii="Palatino Linotype" w:hAnsi="Palatino Linotype" w:cs="Arial"/>
          <w:b/>
        </w:rPr>
        <w:t>El Recurrente</w:t>
      </w:r>
      <w:r w:rsidRPr="00604E50">
        <w:rPr>
          <w:rFonts w:ascii="Palatino Linotype" w:hAnsi="Palatino Linotype" w:cs="Arial"/>
        </w:rPr>
        <w:t xml:space="preserve">; dicho lo anterior, considerando la información requerida por </w:t>
      </w:r>
      <w:r w:rsidRPr="00604E50">
        <w:rPr>
          <w:rFonts w:ascii="Palatino Linotype" w:hAnsi="Palatino Linotype" w:cs="Arial"/>
          <w:b/>
        </w:rPr>
        <w:t xml:space="preserve">El Recurrente </w:t>
      </w:r>
      <w:r w:rsidRPr="00604E50">
        <w:rPr>
          <w:rFonts w:ascii="Palatino Linotype" w:hAnsi="Palatino Linotype" w:cs="Arial"/>
        </w:rPr>
        <w:t xml:space="preserve">en su solicitud de información, y ante la falta de respuesta, se establece que la materia de estudio se centrará en las atribuciones del </w:t>
      </w:r>
      <w:r w:rsidRPr="00604E50">
        <w:rPr>
          <w:rFonts w:ascii="Palatino Linotype" w:hAnsi="Palatino Linotype" w:cs="Arial"/>
          <w:b/>
        </w:rPr>
        <w:t xml:space="preserve">Sujeto Obligado, </w:t>
      </w:r>
      <w:r w:rsidRPr="00604E50">
        <w:rPr>
          <w:rFonts w:ascii="Palatino Linotype" w:hAnsi="Palatino Linotype" w:cs="Arial"/>
        </w:rPr>
        <w:t>a efecto de determinar si éste genera, posee o administra dicha información.</w:t>
      </w:r>
    </w:p>
    <w:p w14:paraId="2B1EE2B4"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5AEBD627"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b/>
        </w:rPr>
      </w:pPr>
      <w:r w:rsidRPr="00604E50">
        <w:rPr>
          <w:rFonts w:ascii="Palatino Linotype" w:hAnsi="Palatino Linotype" w:cs="Arial"/>
        </w:rPr>
        <w:t xml:space="preserve">Una vez establecida y delimitada la materia del presente recurso de revisión, y atentos a </w:t>
      </w:r>
      <w:r w:rsidRPr="00604E50">
        <w:rPr>
          <w:rFonts w:ascii="Palatino Linotype" w:hAnsi="Palatino Linotype"/>
          <w:lang w:eastAsia="es-MX"/>
        </w:rPr>
        <w:t xml:space="preserve">la falta de respuesta del </w:t>
      </w:r>
      <w:r w:rsidRPr="00604E50">
        <w:rPr>
          <w:rFonts w:ascii="Palatino Linotype" w:hAnsi="Palatino Linotype"/>
          <w:b/>
          <w:lang w:eastAsia="es-MX"/>
        </w:rPr>
        <w:t>Sujeto Obligado</w:t>
      </w:r>
      <w:r w:rsidRPr="00604E50">
        <w:rPr>
          <w:rFonts w:ascii="Palatino Linotype" w:hAnsi="Palatino Linotype"/>
          <w:lang w:eastAsia="es-MX"/>
        </w:rPr>
        <w:t xml:space="preserve"> a la solicitud de información, la cual se traduce en el hecho de ser omiso en dar atención a la petición en términos de la Ley de la materia, es decir, incumplir con las obligaciones que dicho cuerpo legal le impone como </w:t>
      </w:r>
      <w:r w:rsidRPr="00604E50">
        <w:rPr>
          <w:rFonts w:ascii="Palatino Linotype" w:hAnsi="Palatino Linotype"/>
          <w:b/>
          <w:lang w:eastAsia="es-MX"/>
        </w:rPr>
        <w:t>Sujeto Obligado</w:t>
      </w:r>
      <w:r w:rsidRPr="00604E50">
        <w:rPr>
          <w:rFonts w:ascii="Palatino Linotype" w:hAnsi="Palatino Linotype"/>
          <w:lang w:eastAsia="es-MX"/>
        </w:rPr>
        <w:t xml:space="preserve"> de la misma, tal y como lo constituyen </w:t>
      </w:r>
      <w:r w:rsidRPr="00604E50">
        <w:rPr>
          <w:rFonts w:ascii="Palatino Linotype" w:hAnsi="Palatino Linotype" w:cs="Arial"/>
        </w:rPr>
        <w:t xml:space="preserve">los artículos, 7 y 23, </w:t>
      </w:r>
      <w:r w:rsidRPr="00604E50">
        <w:rPr>
          <w:rFonts w:ascii="Palatino Linotype" w:hAnsi="Palatino Linotype" w:cs="Arial"/>
        </w:rPr>
        <w:lastRenderedPageBreak/>
        <w:t>fracción IV, de la Ley de Transparencia y Acceso a la Información Pública del Estado de México y Municipios, que establecen como deber de los sujetos obligados el hacer pública toda la información en su posesión, como se aprecia a continuación:</w:t>
      </w:r>
    </w:p>
    <w:p w14:paraId="248369F1" w14:textId="77777777" w:rsidR="00FC1298" w:rsidRPr="00604E50" w:rsidRDefault="00FC1298" w:rsidP="00FC1298">
      <w:pPr>
        <w:pStyle w:val="Sinespaciado"/>
        <w:rPr>
          <w:sz w:val="12"/>
        </w:rPr>
      </w:pPr>
    </w:p>
    <w:p w14:paraId="6083F8DF" w14:textId="77777777" w:rsidR="00FC1298" w:rsidRPr="00604E50" w:rsidRDefault="00FC1298" w:rsidP="00FC1298">
      <w:pPr>
        <w:pStyle w:val="Sinespaciado"/>
        <w:rPr>
          <w:rFonts w:ascii="Palatino Linotype" w:hAnsi="Palatino Linotype"/>
        </w:rPr>
      </w:pPr>
    </w:p>
    <w:p w14:paraId="41EF774D" w14:textId="77777777" w:rsidR="00FC1298" w:rsidRPr="00604E50" w:rsidRDefault="00FC1298" w:rsidP="00FC1298">
      <w:pPr>
        <w:autoSpaceDE w:val="0"/>
        <w:autoSpaceDN w:val="0"/>
        <w:adjustRightInd w:val="0"/>
        <w:ind w:left="567" w:right="567"/>
        <w:jc w:val="both"/>
        <w:rPr>
          <w:rFonts w:ascii="Palatino Linotype" w:hAnsi="Palatino Linotype" w:cs="Arial"/>
          <w:i/>
          <w:sz w:val="22"/>
        </w:rPr>
      </w:pPr>
      <w:r w:rsidRPr="00604E50">
        <w:rPr>
          <w:rFonts w:ascii="Palatino Linotype" w:hAnsi="Palatino Linotype" w:cs="Arial"/>
          <w:i/>
          <w:sz w:val="22"/>
        </w:rPr>
        <w:t>“</w:t>
      </w:r>
      <w:r w:rsidRPr="00604E50">
        <w:rPr>
          <w:rFonts w:ascii="Palatino Linotype" w:hAnsi="Palatino Linotype" w:cs="Arial"/>
          <w:b/>
          <w:i/>
          <w:sz w:val="22"/>
        </w:rPr>
        <w:t>Artículo 7. El Estado de México garantizará el efectivo acceso de toda persona a la información en posesión de cualquier entidad,</w:t>
      </w:r>
      <w:r w:rsidRPr="00604E50">
        <w:rPr>
          <w:rFonts w:ascii="Palatino Linotype" w:hAnsi="Palatino Linotype" w:cs="Arial"/>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604E50">
        <w:rPr>
          <w:rFonts w:ascii="Palatino Linotype" w:hAnsi="Palatino Linotype" w:cs="Arial"/>
          <w:b/>
          <w:i/>
          <w:sz w:val="22"/>
        </w:rPr>
        <w:t>que reciba y ejerza recursos públicos</w:t>
      </w:r>
      <w:r w:rsidRPr="00604E50">
        <w:rPr>
          <w:rFonts w:ascii="Palatino Linotype" w:hAnsi="Palatino Linotype" w:cs="Arial"/>
          <w:i/>
          <w:sz w:val="22"/>
        </w:rPr>
        <w:t xml:space="preserve"> o realice actos de autoridad en el ámbito de competencia del Estado de México y sus municipios. </w:t>
      </w:r>
    </w:p>
    <w:p w14:paraId="1AC09B38" w14:textId="77777777" w:rsidR="00FC1298" w:rsidRPr="00604E50" w:rsidRDefault="00FC1298" w:rsidP="00FC1298">
      <w:pPr>
        <w:autoSpaceDE w:val="0"/>
        <w:autoSpaceDN w:val="0"/>
        <w:adjustRightInd w:val="0"/>
        <w:ind w:left="567" w:right="567"/>
        <w:jc w:val="both"/>
        <w:rPr>
          <w:rFonts w:ascii="Palatino Linotype" w:hAnsi="Palatino Linotype" w:cs="Arial"/>
          <w:i/>
          <w:sz w:val="22"/>
        </w:rPr>
      </w:pPr>
    </w:p>
    <w:p w14:paraId="6A0F6971" w14:textId="77777777" w:rsidR="00FC1298" w:rsidRPr="00604E50" w:rsidRDefault="00FC1298" w:rsidP="00FC1298">
      <w:pPr>
        <w:autoSpaceDE w:val="0"/>
        <w:autoSpaceDN w:val="0"/>
        <w:adjustRightInd w:val="0"/>
        <w:ind w:left="567" w:right="567"/>
        <w:jc w:val="both"/>
        <w:rPr>
          <w:rFonts w:ascii="Palatino Linotype" w:hAnsi="Palatino Linotype" w:cs="Arial"/>
          <w:bCs/>
          <w:i/>
          <w:sz w:val="22"/>
        </w:rPr>
      </w:pPr>
      <w:r w:rsidRPr="00604E50">
        <w:rPr>
          <w:rFonts w:ascii="Palatino Linotype" w:hAnsi="Palatino Linotype" w:cs="Arial"/>
          <w:b/>
          <w:bCs/>
          <w:i/>
          <w:sz w:val="22"/>
        </w:rPr>
        <w:t>Artículo 23</w:t>
      </w:r>
      <w:r w:rsidRPr="00604E50">
        <w:rPr>
          <w:rFonts w:ascii="Palatino Linotype" w:hAnsi="Palatino Linotype" w:cs="Arial"/>
          <w:bCs/>
          <w:i/>
          <w:sz w:val="22"/>
        </w:rPr>
        <w:t xml:space="preserve">. Son sujetos obligados a transparentar y permitir el acceso a su información y proteger los datos personales que obren en su poder: </w:t>
      </w:r>
    </w:p>
    <w:p w14:paraId="6C4CF36F" w14:textId="77777777" w:rsidR="00FC1298" w:rsidRPr="00604E50" w:rsidRDefault="00FC1298" w:rsidP="00FC1298">
      <w:pPr>
        <w:ind w:left="567" w:right="709"/>
        <w:jc w:val="both"/>
        <w:rPr>
          <w:rFonts w:ascii="Palatino Linotype" w:hAnsi="Palatino Linotype" w:cs="Arial"/>
          <w:bCs/>
          <w:i/>
          <w:sz w:val="22"/>
        </w:rPr>
      </w:pPr>
      <w:r w:rsidRPr="00604E50">
        <w:rPr>
          <w:rFonts w:ascii="Palatino Linotype" w:hAnsi="Palatino Linotype" w:cs="Arial"/>
          <w:bCs/>
          <w:i/>
          <w:sz w:val="22"/>
        </w:rPr>
        <w:t>(…)</w:t>
      </w:r>
    </w:p>
    <w:p w14:paraId="5F23CBEE" w14:textId="77777777" w:rsidR="00FC1298" w:rsidRPr="00604E50" w:rsidRDefault="00FC1298" w:rsidP="00FC1298">
      <w:pPr>
        <w:ind w:left="567" w:right="709"/>
        <w:jc w:val="both"/>
        <w:rPr>
          <w:rFonts w:ascii="Palatino Linotype" w:hAnsi="Palatino Linotype" w:cs="Arial"/>
          <w:bCs/>
          <w:i/>
          <w:sz w:val="22"/>
        </w:rPr>
      </w:pPr>
      <w:r w:rsidRPr="00604E50">
        <w:rPr>
          <w:rFonts w:ascii="Palatino Linotype" w:hAnsi="Palatino Linotype" w:cs="Arial"/>
          <w:b/>
          <w:bCs/>
          <w:i/>
          <w:sz w:val="22"/>
        </w:rPr>
        <w:t xml:space="preserve">IV. </w:t>
      </w:r>
      <w:r w:rsidRPr="00604E50">
        <w:rPr>
          <w:rFonts w:ascii="Palatino Linotype" w:hAnsi="Palatino Linotype" w:cs="Arial"/>
          <w:b/>
          <w:bCs/>
          <w:i/>
          <w:sz w:val="22"/>
          <w:u w:val="single"/>
        </w:rPr>
        <w:t>Los ayuntamientos y las dependencias, organismos, órganos y entidades de la administración municipal</w:t>
      </w:r>
      <w:r w:rsidRPr="00604E50">
        <w:rPr>
          <w:rFonts w:ascii="Palatino Linotype" w:hAnsi="Palatino Linotype" w:cs="Arial"/>
          <w:bCs/>
          <w:i/>
          <w:sz w:val="22"/>
        </w:rPr>
        <w:t>;</w:t>
      </w:r>
    </w:p>
    <w:p w14:paraId="7B5344CC" w14:textId="77777777" w:rsidR="00FC1298" w:rsidRPr="00604E50" w:rsidRDefault="00FC1298" w:rsidP="00FC1298">
      <w:pPr>
        <w:pStyle w:val="Sinespaciado"/>
        <w:rPr>
          <w:sz w:val="8"/>
        </w:rPr>
      </w:pPr>
    </w:p>
    <w:p w14:paraId="4483300F" w14:textId="77777777" w:rsidR="00FC1298" w:rsidRPr="00604E50" w:rsidRDefault="00FC1298" w:rsidP="00FC1298">
      <w:pPr>
        <w:spacing w:line="360" w:lineRule="auto"/>
        <w:contextualSpacing/>
        <w:jc w:val="both"/>
        <w:rPr>
          <w:rFonts w:ascii="Palatino Linotype" w:eastAsia="MS Mincho" w:hAnsi="Palatino Linotype"/>
        </w:rPr>
      </w:pPr>
    </w:p>
    <w:p w14:paraId="77D7834A" w14:textId="77777777" w:rsidR="00FC1298" w:rsidRPr="00604E50" w:rsidRDefault="00FC1298" w:rsidP="00FC1298">
      <w:pPr>
        <w:spacing w:line="360" w:lineRule="auto"/>
        <w:contextualSpacing/>
        <w:jc w:val="both"/>
        <w:rPr>
          <w:rFonts w:ascii="Palatino Linotype" w:eastAsia="MS Mincho" w:hAnsi="Palatino Linotype" w:cs="Arial"/>
          <w:i/>
        </w:rPr>
      </w:pPr>
      <w:r w:rsidRPr="00604E50">
        <w:rPr>
          <w:rFonts w:ascii="Palatino Linotype" w:eastAsia="MS Mincho" w:hAnsi="Palatino Linotype"/>
        </w:rPr>
        <w:t xml:space="preserve">Resulta necesario señalar que el derecho de acceso a la información pública es un </w:t>
      </w:r>
      <w:r w:rsidRPr="00604E50">
        <w:rPr>
          <w:rFonts w:ascii="Palatino Linotype"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604E50">
        <w:rPr>
          <w:rFonts w:ascii="Palatino Linotype" w:hAnsi="Palatino Linotype" w:cs="Arial"/>
          <w:color w:val="000000"/>
        </w:rPr>
        <w:t xml:space="preserve"> </w:t>
      </w:r>
      <w:r w:rsidRPr="00604E50">
        <w:rPr>
          <w:rFonts w:ascii="Palatino Linotype" w:hAnsi="Palatino Linotype" w:cs="Arial"/>
          <w:b/>
          <w:color w:val="000000"/>
        </w:rPr>
        <w:t>Sujeto Obligado</w:t>
      </w:r>
      <w:r w:rsidRPr="00604E50">
        <w:rPr>
          <w:rFonts w:ascii="Palatino Linotype"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604E50">
        <w:rPr>
          <w:rFonts w:ascii="Palatino Linotype" w:hAnsi="Palatino Linotype" w:cs="Arial"/>
          <w:b/>
          <w:color w:val="000000"/>
        </w:rPr>
        <w:t xml:space="preserve">Constitución Política de los Estados Unidos Mexicanos </w:t>
      </w:r>
      <w:r w:rsidRPr="00604E50">
        <w:rPr>
          <w:rFonts w:ascii="Palatino Linotype" w:hAnsi="Palatino Linotype" w:cs="Arial"/>
          <w:color w:val="000000"/>
        </w:rPr>
        <w:t xml:space="preserve">al señalar la obligación de “promover, </w:t>
      </w:r>
      <w:r w:rsidRPr="00604E50">
        <w:rPr>
          <w:rFonts w:ascii="Palatino Linotype" w:hAnsi="Palatino Linotype" w:cs="Arial"/>
          <w:b/>
          <w:color w:val="000000"/>
        </w:rPr>
        <w:t>respetar</w:t>
      </w:r>
      <w:r w:rsidRPr="00604E50">
        <w:rPr>
          <w:rFonts w:ascii="Palatino Linotype" w:hAnsi="Palatino Linotype" w:cs="Arial"/>
          <w:color w:val="000000"/>
        </w:rPr>
        <w:t xml:space="preserve">, </w:t>
      </w:r>
      <w:r w:rsidRPr="00604E50">
        <w:rPr>
          <w:rFonts w:ascii="Palatino Linotype" w:hAnsi="Palatino Linotype" w:cs="Arial"/>
          <w:b/>
          <w:color w:val="000000"/>
        </w:rPr>
        <w:t>proteger</w:t>
      </w:r>
      <w:r w:rsidRPr="00604E50">
        <w:rPr>
          <w:rFonts w:ascii="Palatino Linotype" w:hAnsi="Palatino Linotype" w:cs="Arial"/>
          <w:color w:val="000000"/>
        </w:rPr>
        <w:t xml:space="preserve"> y </w:t>
      </w:r>
      <w:r w:rsidRPr="00604E50">
        <w:rPr>
          <w:rFonts w:ascii="Palatino Linotype" w:hAnsi="Palatino Linotype" w:cs="Arial"/>
          <w:b/>
          <w:color w:val="000000"/>
        </w:rPr>
        <w:t>garantizar</w:t>
      </w:r>
      <w:r w:rsidRPr="00604E50">
        <w:rPr>
          <w:rFonts w:ascii="Palatino Linotype" w:hAnsi="Palatino Linotype" w:cs="Arial"/>
          <w:color w:val="000000"/>
        </w:rPr>
        <w:t xml:space="preserve"> los derechos humanos”, entre los cuales se encuentra dicho derecho.</w:t>
      </w:r>
    </w:p>
    <w:p w14:paraId="21D4B7E7" w14:textId="77777777" w:rsidR="00FC1298" w:rsidRPr="00604E50" w:rsidRDefault="00FC1298" w:rsidP="00FC1298">
      <w:pPr>
        <w:spacing w:line="360" w:lineRule="auto"/>
        <w:contextualSpacing/>
        <w:jc w:val="both"/>
        <w:rPr>
          <w:rFonts w:ascii="Palatino Linotype" w:hAnsi="Palatino Linotype" w:cs="Arial"/>
          <w:color w:val="000000"/>
        </w:rPr>
      </w:pPr>
    </w:p>
    <w:p w14:paraId="789FE2DE" w14:textId="77777777" w:rsidR="00FC1298" w:rsidRPr="00604E50" w:rsidRDefault="00FC1298" w:rsidP="00FC1298">
      <w:pPr>
        <w:spacing w:line="360" w:lineRule="auto"/>
        <w:contextualSpacing/>
        <w:jc w:val="both"/>
        <w:rPr>
          <w:rFonts w:ascii="Palatino Linotype" w:eastAsia="MS Mincho" w:hAnsi="Palatino Linotype" w:cs="Arial"/>
          <w:i/>
        </w:rPr>
      </w:pPr>
      <w:r w:rsidRPr="00604E50">
        <w:rPr>
          <w:rFonts w:ascii="Palatino Linotype" w:hAnsi="Palatino Linotype" w:cs="Arial"/>
          <w:color w:val="000000"/>
        </w:rPr>
        <w:lastRenderedPageBreak/>
        <w:t>El acceso a la información pública es el derecho humano a través del cual se puede solicitar aquellos documentos que generen, administren o posean las autoridades en ejercicio de sus respectivas atribuciones y competencia.</w:t>
      </w:r>
    </w:p>
    <w:p w14:paraId="28CF6991" w14:textId="77777777" w:rsidR="00FC1298" w:rsidRPr="00604E50" w:rsidRDefault="00FC1298" w:rsidP="00FC1298">
      <w:pPr>
        <w:spacing w:line="360" w:lineRule="auto"/>
        <w:contextualSpacing/>
        <w:jc w:val="both"/>
        <w:rPr>
          <w:rFonts w:ascii="Palatino Linotype" w:hAnsi="Palatino Linotype" w:cs="Arial"/>
          <w:color w:val="000000"/>
        </w:rPr>
      </w:pPr>
    </w:p>
    <w:p w14:paraId="3811B086" w14:textId="77777777" w:rsidR="00FC1298" w:rsidRPr="00604E50" w:rsidRDefault="00FC1298" w:rsidP="00FC1298">
      <w:pPr>
        <w:spacing w:line="360" w:lineRule="auto"/>
        <w:contextualSpacing/>
        <w:jc w:val="both"/>
        <w:rPr>
          <w:rFonts w:ascii="Palatino Linotype" w:eastAsia="MS Mincho" w:hAnsi="Palatino Linotype" w:cs="Arial"/>
          <w:i/>
        </w:rPr>
      </w:pPr>
      <w:r w:rsidRPr="00604E50">
        <w:rPr>
          <w:rFonts w:ascii="Palatino Linotype" w:hAnsi="Palatino Linotype" w:cs="Arial"/>
          <w:color w:val="000000"/>
        </w:rPr>
        <w:t>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19ADDE26" w14:textId="77777777" w:rsidR="00FC1298" w:rsidRPr="00604E50" w:rsidRDefault="00FC1298" w:rsidP="00FC1298">
      <w:pPr>
        <w:pStyle w:val="Prrafodelista"/>
        <w:spacing w:line="360" w:lineRule="auto"/>
        <w:ind w:left="0"/>
        <w:contextualSpacing/>
        <w:jc w:val="both"/>
        <w:rPr>
          <w:rFonts w:ascii="Palatino Linotype" w:eastAsia="MS Mincho" w:hAnsi="Palatino Linotype"/>
        </w:rPr>
      </w:pPr>
    </w:p>
    <w:p w14:paraId="3E3006A3" w14:textId="77777777" w:rsidR="00FC1298" w:rsidRPr="00604E50" w:rsidRDefault="00FC1298" w:rsidP="00FC1298">
      <w:pPr>
        <w:pStyle w:val="Prrafodelista"/>
        <w:spacing w:line="360" w:lineRule="auto"/>
        <w:ind w:left="0"/>
        <w:contextualSpacing/>
        <w:jc w:val="both"/>
        <w:rPr>
          <w:rFonts w:ascii="Palatino Linotype" w:hAnsi="Palatino Linotype"/>
          <w:lang w:eastAsia="es-MX"/>
        </w:rPr>
      </w:pPr>
      <w:r w:rsidRPr="00604E50">
        <w:rPr>
          <w:rFonts w:ascii="Palatino Linotype" w:eastAsia="MS Mincho" w:hAnsi="Palatino Linotype"/>
        </w:rPr>
        <w:t>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Sujeto Obligados.</w:t>
      </w:r>
    </w:p>
    <w:p w14:paraId="537B62D8" w14:textId="77777777" w:rsidR="00FC1298" w:rsidRPr="00604E50" w:rsidRDefault="00FC1298" w:rsidP="00FC1298">
      <w:pPr>
        <w:pStyle w:val="Prrafodelista"/>
        <w:spacing w:line="360" w:lineRule="auto"/>
        <w:ind w:left="0"/>
        <w:contextualSpacing/>
        <w:jc w:val="both"/>
        <w:rPr>
          <w:rFonts w:ascii="Palatino Linotype" w:hAnsi="Palatino Linotype"/>
          <w:lang w:eastAsia="es-MX"/>
        </w:rPr>
      </w:pPr>
    </w:p>
    <w:p w14:paraId="3F8BEB2F" w14:textId="77777777" w:rsidR="00FC1298" w:rsidRPr="00604E50" w:rsidRDefault="00FC1298" w:rsidP="00FC1298">
      <w:pPr>
        <w:pStyle w:val="Prrafodelista"/>
        <w:spacing w:line="360" w:lineRule="auto"/>
        <w:ind w:left="0"/>
        <w:contextualSpacing/>
        <w:jc w:val="both"/>
        <w:rPr>
          <w:rFonts w:ascii="Palatino Linotype" w:hAnsi="Palatino Linotype" w:cs="Arial"/>
        </w:rPr>
      </w:pPr>
      <w:r w:rsidRPr="00604E50">
        <w:rPr>
          <w:rFonts w:ascii="Palatino Linotype" w:hAnsi="Palatino Linotype" w:cs="Arial"/>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75CA476F" w14:textId="77777777" w:rsidR="00FC1298" w:rsidRPr="00604E50" w:rsidRDefault="00FC1298" w:rsidP="00FC1298">
      <w:pPr>
        <w:spacing w:line="360" w:lineRule="auto"/>
        <w:jc w:val="both"/>
        <w:rPr>
          <w:rFonts w:ascii="Palatino Linotype" w:hAnsi="Palatino Linotype" w:cs="Arial"/>
          <w:b/>
        </w:rPr>
      </w:pPr>
    </w:p>
    <w:p w14:paraId="6C235399"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lastRenderedPageBreak/>
        <w:t xml:space="preserve">Por lo que en cumplimiento a las obligaciones que establece nuestra Carta Magna, la Constitución Estatal y la Ley de la materia le imponen, el </w:t>
      </w:r>
      <w:r w:rsidRPr="00604E50">
        <w:rPr>
          <w:rFonts w:ascii="Palatino Linotype" w:hAnsi="Palatino Linotype" w:cs="Arial"/>
          <w:b/>
        </w:rPr>
        <w:t>Sujeto Obligado</w:t>
      </w:r>
      <w:r w:rsidRPr="00604E50">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por motivo de la solicitud que dio origen a este recurso, el </w:t>
      </w:r>
      <w:r w:rsidRPr="00604E50">
        <w:rPr>
          <w:rFonts w:ascii="Palatino Linotype" w:hAnsi="Palatino Linotype" w:cs="Arial"/>
          <w:b/>
        </w:rPr>
        <w:t>Sujeto Obligado</w:t>
      </w:r>
      <w:r w:rsidRPr="00604E50">
        <w:rPr>
          <w:rFonts w:ascii="Palatino Linotype" w:hAnsi="Palatino Linotype" w:cs="Arial"/>
        </w:rPr>
        <w:t xml:space="preserve"> fue omiso en dar respuesta a la solicitud.</w:t>
      </w:r>
    </w:p>
    <w:p w14:paraId="224B128A"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3512F8A6"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eastAsia="Calibri" w:hAnsi="Palatino Linotype"/>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3D9BAD8" w14:textId="77777777" w:rsidR="00FC1298" w:rsidRPr="00604E50" w:rsidRDefault="00FC1298" w:rsidP="00FC1298">
      <w:pPr>
        <w:pStyle w:val="Prrafodelista"/>
        <w:autoSpaceDE w:val="0"/>
        <w:autoSpaceDN w:val="0"/>
        <w:adjustRightInd w:val="0"/>
        <w:spacing w:line="360" w:lineRule="auto"/>
        <w:ind w:left="0"/>
        <w:jc w:val="both"/>
        <w:rPr>
          <w:rFonts w:ascii="Palatino Linotype" w:eastAsia="Calibri" w:hAnsi="Palatino Linotype"/>
        </w:rPr>
      </w:pPr>
    </w:p>
    <w:p w14:paraId="42E1AF55" w14:textId="77777777" w:rsidR="00FC1298" w:rsidRPr="00604E50" w:rsidRDefault="00FC1298" w:rsidP="00FC1298">
      <w:pPr>
        <w:pStyle w:val="Prrafodelista"/>
        <w:autoSpaceDE w:val="0"/>
        <w:autoSpaceDN w:val="0"/>
        <w:adjustRightInd w:val="0"/>
        <w:spacing w:line="360" w:lineRule="auto"/>
        <w:ind w:left="0"/>
        <w:jc w:val="both"/>
        <w:rPr>
          <w:rFonts w:ascii="Palatino Linotype" w:eastAsia="Calibri" w:hAnsi="Palatino Linotype"/>
          <w:i/>
        </w:rPr>
      </w:pPr>
      <w:r w:rsidRPr="00604E50">
        <w:rPr>
          <w:rFonts w:ascii="Palatino Linotype" w:eastAsia="Calibri" w:hAnsi="Palatino Linotype"/>
        </w:rPr>
        <w:t xml:space="preserve">No sobra decir que, al actuar de esta forma, el Sujeto Obligado incumple con el primer mandato contenido en el párrafo tercero del artículo primero de la Constitución Política de los Estados Unidos Mexicanos que establece el deber de todas las autoridades, </w:t>
      </w:r>
      <w:r w:rsidRPr="00604E50">
        <w:rPr>
          <w:rFonts w:ascii="Palatino Linotype" w:eastAsia="Calibri" w:hAnsi="Palatino Linotype"/>
          <w:i/>
        </w:rPr>
        <w:t xml:space="preserve">en el ámbito de sus atribuciones, de promover, respetar, proteger y </w:t>
      </w:r>
      <w:r w:rsidRPr="00604E50">
        <w:rPr>
          <w:rFonts w:ascii="Palatino Linotype" w:eastAsia="Calibri" w:hAnsi="Palatino Linotype"/>
          <w:b/>
          <w:i/>
        </w:rPr>
        <w:t>garantizar</w:t>
      </w:r>
      <w:r w:rsidRPr="00604E50">
        <w:rPr>
          <w:rFonts w:ascii="Palatino Linotype" w:eastAsia="Calibri" w:hAnsi="Palatino Linotype"/>
          <w:i/>
        </w:rPr>
        <w:t xml:space="preserve"> los derechos humanos. </w:t>
      </w:r>
    </w:p>
    <w:p w14:paraId="671038ED" w14:textId="77777777" w:rsidR="00FC1298" w:rsidRPr="00604E50" w:rsidRDefault="00FC1298" w:rsidP="00FC1298">
      <w:pPr>
        <w:pStyle w:val="Prrafodelista"/>
        <w:autoSpaceDE w:val="0"/>
        <w:autoSpaceDN w:val="0"/>
        <w:adjustRightInd w:val="0"/>
        <w:spacing w:line="360" w:lineRule="auto"/>
        <w:ind w:left="0"/>
        <w:jc w:val="both"/>
        <w:rPr>
          <w:rFonts w:ascii="Palatino Linotype" w:eastAsia="Calibri" w:hAnsi="Palatino Linotype"/>
        </w:rPr>
      </w:pPr>
    </w:p>
    <w:p w14:paraId="7464CF42"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eastAsia="Calibri" w:hAnsi="Palatino Linotype"/>
        </w:rPr>
        <w:t xml:space="preserve">En este contexto, debe considerarse que según lo dispuesto por el artículo 150 de la Ley de Transparencia y Acceso a la Información Pública del Estado de México y Municipios, el </w:t>
      </w:r>
      <w:r w:rsidRPr="00604E50">
        <w:rPr>
          <w:rFonts w:ascii="Palatino Linotype" w:eastAsia="Calibri" w:hAnsi="Palatino Linotype"/>
          <w:i/>
        </w:rPr>
        <w:t>procedimiento de acceso a la información es la garantía primaria del derecho en cuestión.</w:t>
      </w:r>
      <w:r w:rsidRPr="00604E50">
        <w:rPr>
          <w:rFonts w:ascii="Palatino Linotype" w:eastAsia="Calibri" w:hAnsi="Palatino Linotype"/>
        </w:rPr>
        <w:t xml:space="preserve"> Por lo tanto, la falta de respuesta a una solicitud de acceso a la información constituye un incumplimiento del Sujeto Obligado a su deber de garantizar el derecho, lo que constituye una vulneración al mismo y resulta, totalmente aplicable, el último </w:t>
      </w:r>
      <w:r w:rsidRPr="00604E50">
        <w:rPr>
          <w:rFonts w:ascii="Palatino Linotype" w:eastAsia="Calibri" w:hAnsi="Palatino Linotype"/>
        </w:rPr>
        <w:lastRenderedPageBreak/>
        <w:t xml:space="preserve">mandato del mismo párrafo del artículo constitucional antes citado que establece la obligación del Estado Mexicano, de </w:t>
      </w:r>
      <w:r w:rsidRPr="00604E50">
        <w:rPr>
          <w:rFonts w:ascii="Palatino Linotype" w:eastAsia="Calibri" w:hAnsi="Palatino Linotype"/>
          <w:i/>
        </w:rPr>
        <w:t>investigar, sancionar y reparar las violaciones a los derechos humanos.</w:t>
      </w:r>
    </w:p>
    <w:p w14:paraId="5A701E25"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1A41655C"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Por lo que en cumplimiento a esta resolución, el </w:t>
      </w:r>
      <w:r w:rsidRPr="00604E50">
        <w:rPr>
          <w:rFonts w:ascii="Palatino Linotype" w:hAnsi="Palatino Linotype" w:cs="Arial"/>
          <w:b/>
        </w:rPr>
        <w:t xml:space="preserve">Sujeto Obligado </w:t>
      </w:r>
      <w:r w:rsidRPr="00604E50">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59DA2DD2"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221CC25C"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En consecuencia, para responder a la solicitud de acceso a la información en cuestión el </w:t>
      </w:r>
      <w:r w:rsidRPr="00604E50">
        <w:rPr>
          <w:rFonts w:ascii="Palatino Linotype" w:hAnsi="Palatino Linotype" w:cs="Arial"/>
          <w:b/>
        </w:rPr>
        <w:t>Sujeto Obligado</w:t>
      </w:r>
      <w:r w:rsidRPr="00604E50">
        <w:rPr>
          <w:rFonts w:ascii="Palatino Linotype" w:hAnsi="Palatino Linotype" w:cs="Arial"/>
        </w:rPr>
        <w:t xml:space="preserve"> deberá de verificar si esta corresponde a una facultad, competencia o función explícita o implícita, y si ésta corresponde al ejercicio de sus facultades, competencias o funciones, deberá de proceder, según lo establecido en el artículo 162, de la Ley de Transparencia y Acceso a la Información Pública del Estado de México, turnando la solicitud a todas las área competentes que cuenten o deban tener la información, con objeto de que realicen una búsqueda exhaustiva y razonable de la información solicitada.</w:t>
      </w:r>
    </w:p>
    <w:p w14:paraId="4458FA92"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249180E4"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r w:rsidRPr="00604E50">
        <w:rPr>
          <w:rFonts w:ascii="Palatino Linotype" w:hAnsi="Palatino Linotype" w:cs="Arial"/>
        </w:rPr>
        <w:t xml:space="preserve">En cualquiera de los casos, imperativamente, el </w:t>
      </w:r>
      <w:r w:rsidRPr="00604E50">
        <w:rPr>
          <w:rFonts w:ascii="Palatino Linotype" w:hAnsi="Palatino Linotype" w:cs="Arial"/>
          <w:b/>
        </w:rPr>
        <w:t>Sujeto Obligado</w:t>
      </w:r>
      <w:r w:rsidRPr="00604E50">
        <w:rPr>
          <w:rFonts w:ascii="Palatino Linotype" w:hAnsi="Palatino Linotype" w:cs="Arial"/>
        </w:rPr>
        <w:t xml:space="preserve"> debe de responder a la solicitud de acceso a la información pública, ya sea señalando que no cuenta con la información porque esta no corresponde al ejercicio de sus facultades, competencias o funciones, o bien, si la información sí corresponde a cualquiera de éstas, buscando, localizando y entregando la información de manera íntegra, parcial o clasificándola en su totalidad por los supuestos que se señalan en la Ley de Transparencia y Acceso a la </w:t>
      </w:r>
      <w:r w:rsidRPr="00604E50">
        <w:rPr>
          <w:rFonts w:ascii="Palatino Linotype" w:hAnsi="Palatino Linotype" w:cs="Arial"/>
        </w:rPr>
        <w:lastRenderedPageBreak/>
        <w:t>Información Pública del Estado de México y Municipios; en su defecto, de no localizar la información que debía tener, procediendo según lo refieren los párrafos segundo o tercero del artículo 19, de la Ley en cita, pero emitiendo una respuesta.</w:t>
      </w:r>
    </w:p>
    <w:p w14:paraId="7D0A7A19" w14:textId="77777777" w:rsidR="00FC1298" w:rsidRPr="00604E50" w:rsidRDefault="00FC1298" w:rsidP="00FC1298">
      <w:pPr>
        <w:pStyle w:val="Prrafodelista"/>
        <w:autoSpaceDE w:val="0"/>
        <w:autoSpaceDN w:val="0"/>
        <w:adjustRightInd w:val="0"/>
        <w:spacing w:line="360" w:lineRule="auto"/>
        <w:ind w:left="0"/>
        <w:jc w:val="both"/>
        <w:rPr>
          <w:rFonts w:ascii="Palatino Linotype" w:hAnsi="Palatino Linotype" w:cs="Arial"/>
        </w:rPr>
      </w:pPr>
    </w:p>
    <w:p w14:paraId="15FB1808" w14:textId="7CFCE154" w:rsidR="00FC1298" w:rsidRPr="00604E50" w:rsidRDefault="00FC1298" w:rsidP="00FC1298">
      <w:pPr>
        <w:spacing w:line="360" w:lineRule="auto"/>
        <w:jc w:val="both"/>
        <w:rPr>
          <w:rFonts w:ascii="Palatino Linotype" w:eastAsia="MS Mincho" w:hAnsi="Palatino Linotype"/>
        </w:rPr>
      </w:pPr>
      <w:r w:rsidRPr="00604E50">
        <w:rPr>
          <w:rFonts w:ascii="Palatino Linotype" w:eastAsia="MS Mincho" w:hAnsi="Palatino Linotype"/>
        </w:rPr>
        <w:t xml:space="preserve">No obstante, el </w:t>
      </w:r>
      <w:r w:rsidRPr="00604E50">
        <w:rPr>
          <w:rFonts w:ascii="Palatino Linotype" w:eastAsia="MS Mincho" w:hAnsi="Palatino Linotype"/>
          <w:b/>
        </w:rPr>
        <w:t>Sujeto Obligado</w:t>
      </w:r>
      <w:r w:rsidRPr="00604E50">
        <w:rPr>
          <w:rFonts w:ascii="Palatino Linotype" w:eastAsia="MS Mincho" w:hAnsi="Palatino Linotype"/>
        </w:rPr>
        <w:t xml:space="preserve"> en la etapa de manifestaciones, remitió </w:t>
      </w:r>
      <w:r w:rsidRPr="00604E50">
        <w:rPr>
          <w:rFonts w:ascii="Palatino Linotype" w:hAnsi="Palatino Linotype" w:cs="Arial"/>
        </w:rPr>
        <w:t xml:space="preserve">los archivos electrónicos denominados </w:t>
      </w:r>
      <w:r w:rsidRPr="00604E50">
        <w:rPr>
          <w:rFonts w:ascii="Palatino Linotype" w:hAnsi="Palatino Linotype" w:cs="Arial"/>
          <w:i/>
        </w:rPr>
        <w:t>“</w:t>
      </w:r>
      <w:r w:rsidRPr="00FC1298">
        <w:rPr>
          <w:rFonts w:ascii="Palatino Linotype" w:hAnsi="Palatino Linotype" w:cs="Arial"/>
          <w:b/>
          <w:bCs/>
          <w:i/>
        </w:rPr>
        <w:t>RR-1270-2025.pdf</w:t>
      </w:r>
      <w:r w:rsidRPr="00604E50">
        <w:rPr>
          <w:rFonts w:ascii="Palatino Linotype" w:hAnsi="Palatino Linotype" w:cs="Arial"/>
          <w:i/>
        </w:rPr>
        <w:t>” y “</w:t>
      </w:r>
      <w:r w:rsidRPr="00FC1298">
        <w:rPr>
          <w:rFonts w:ascii="Palatino Linotype" w:hAnsi="Palatino Linotype" w:cs="Arial"/>
          <w:b/>
          <w:bCs/>
          <w:i/>
        </w:rPr>
        <w:t>SA anexo SAIMEX 339.pdf</w:t>
      </w:r>
      <w:r w:rsidRPr="00604E50">
        <w:rPr>
          <w:rFonts w:ascii="Palatino Linotype" w:hAnsi="Palatino Linotype" w:cs="Arial"/>
          <w:i/>
        </w:rPr>
        <w:t>”</w:t>
      </w:r>
      <w:r w:rsidRPr="00604E50">
        <w:rPr>
          <w:rFonts w:ascii="Palatino Linotype" w:eastAsia="MS Mincho" w:hAnsi="Palatino Linotype"/>
        </w:rPr>
        <w:t xml:space="preserve">; en los cuales consta la siguiente información:  </w:t>
      </w:r>
    </w:p>
    <w:p w14:paraId="5CD5A3A0" w14:textId="77777777" w:rsidR="00FC1298" w:rsidRPr="00604E50" w:rsidRDefault="00FC1298" w:rsidP="00FC1298">
      <w:pPr>
        <w:spacing w:line="360" w:lineRule="auto"/>
        <w:jc w:val="both"/>
        <w:rPr>
          <w:rFonts w:ascii="Palatino Linotype" w:eastAsia="MS Mincho" w:hAnsi="Palatino Linotype"/>
        </w:rPr>
      </w:pPr>
    </w:p>
    <w:p w14:paraId="0AF31E39" w14:textId="5B65C5DC" w:rsidR="00FC1298" w:rsidRPr="00604E50" w:rsidRDefault="00FC1298" w:rsidP="003676E0">
      <w:pPr>
        <w:pStyle w:val="Prrafodelista"/>
        <w:numPr>
          <w:ilvl w:val="0"/>
          <w:numId w:val="21"/>
        </w:numPr>
        <w:spacing w:line="360" w:lineRule="auto"/>
        <w:jc w:val="both"/>
        <w:rPr>
          <w:rFonts w:ascii="Palatino Linotype" w:eastAsia="MS Mincho" w:hAnsi="Palatino Linotype"/>
          <w:lang w:val="es-MX"/>
        </w:rPr>
      </w:pPr>
      <w:r w:rsidRPr="00604E50">
        <w:rPr>
          <w:rFonts w:ascii="Palatino Linotype" w:eastAsia="MS Mincho" w:hAnsi="Palatino Linotype"/>
        </w:rPr>
        <w:t>“</w:t>
      </w:r>
      <w:r w:rsidR="003676E0" w:rsidRPr="003676E0">
        <w:rPr>
          <w:rFonts w:ascii="Palatino Linotype" w:eastAsia="MS Mincho" w:hAnsi="Palatino Linotype"/>
          <w:b/>
          <w:bCs/>
        </w:rPr>
        <w:t>RR-1270-2025.pdf</w:t>
      </w:r>
      <w:r w:rsidRPr="00604E50">
        <w:rPr>
          <w:rFonts w:ascii="Palatino Linotype" w:eastAsia="MS Mincho" w:hAnsi="Palatino Linotype"/>
        </w:rPr>
        <w:t xml:space="preserve">”: </w:t>
      </w:r>
      <w:r w:rsidR="003676E0">
        <w:rPr>
          <w:rFonts w:ascii="Palatino Linotype" w:eastAsia="MS Mincho" w:hAnsi="Palatino Linotype"/>
        </w:rPr>
        <w:t>Consta de un documento remitido por el Titular de la Unidad de Transparencia, mediante el cual adjunta su informe justificado en el que ratifica en todas y cada una de sus partes la respuesta a la solicitud de información en mérito, toda vez que se le entregó lo que obra de acuerdo a lo requerido en la solicitud de acceso a la información pública</w:t>
      </w:r>
      <w:r w:rsidRPr="00604E50">
        <w:rPr>
          <w:rFonts w:ascii="Palatino Linotype" w:eastAsia="MS Mincho" w:hAnsi="Palatino Linotype"/>
          <w:lang w:val="es-MX"/>
        </w:rPr>
        <w:t>.</w:t>
      </w:r>
    </w:p>
    <w:p w14:paraId="2BDB362B" w14:textId="77777777" w:rsidR="00FC1298" w:rsidRPr="00E24950" w:rsidRDefault="00FC1298" w:rsidP="00FC1298">
      <w:pPr>
        <w:spacing w:line="360" w:lineRule="auto"/>
        <w:jc w:val="both"/>
        <w:rPr>
          <w:rFonts w:ascii="Palatino Linotype" w:hAnsi="Palatino Linotype"/>
        </w:rPr>
      </w:pPr>
    </w:p>
    <w:p w14:paraId="0401D930" w14:textId="3BCA5319" w:rsidR="00FC1298" w:rsidRPr="00180A70" w:rsidRDefault="00FC1298" w:rsidP="003676E0">
      <w:pPr>
        <w:pStyle w:val="Prrafodelista"/>
        <w:numPr>
          <w:ilvl w:val="0"/>
          <w:numId w:val="21"/>
        </w:numPr>
        <w:spacing w:line="360" w:lineRule="auto"/>
        <w:jc w:val="both"/>
        <w:rPr>
          <w:rFonts w:ascii="Palatino Linotype" w:hAnsi="Palatino Linotype"/>
          <w:lang w:val="es-MX"/>
        </w:rPr>
      </w:pPr>
      <w:r w:rsidRPr="00604E50">
        <w:rPr>
          <w:rFonts w:ascii="Palatino Linotype" w:hAnsi="Palatino Linotype"/>
        </w:rPr>
        <w:t>“</w:t>
      </w:r>
      <w:r w:rsidR="003676E0" w:rsidRPr="003676E0">
        <w:rPr>
          <w:rFonts w:ascii="Palatino Linotype" w:hAnsi="Palatino Linotype"/>
          <w:b/>
          <w:bCs/>
        </w:rPr>
        <w:t>SA anexo SAIMEX 339.pdf</w:t>
      </w:r>
      <w:r w:rsidRPr="00604E50">
        <w:rPr>
          <w:rFonts w:ascii="Palatino Linotype" w:hAnsi="Palatino Linotype"/>
        </w:rPr>
        <w:t xml:space="preserve">”: </w:t>
      </w:r>
      <w:r w:rsidR="003676E0">
        <w:rPr>
          <w:rFonts w:ascii="Palatino Linotype" w:hAnsi="Palatino Linotype"/>
        </w:rPr>
        <w:t>Contiene un documento en el cual se observa la extensión y correo electrónico de los síndicos y regidores del Ayuntamiento</w:t>
      </w:r>
      <w:r w:rsidR="00180A70">
        <w:rPr>
          <w:rFonts w:ascii="Palatino Linotype" w:hAnsi="Palatino Linotype"/>
        </w:rPr>
        <w:t>, para lo cual se adjunta la siguiente captura de pantalla</w:t>
      </w:r>
      <w:r w:rsidR="00DF1988">
        <w:rPr>
          <w:rFonts w:ascii="Palatino Linotype" w:hAnsi="Palatino Linotype"/>
        </w:rPr>
        <w:t>:</w:t>
      </w:r>
    </w:p>
    <w:p w14:paraId="13AC76FA" w14:textId="77777777" w:rsidR="00180A70" w:rsidRPr="00180A70" w:rsidRDefault="00180A70" w:rsidP="00180A70">
      <w:pPr>
        <w:pStyle w:val="Prrafodelista"/>
        <w:rPr>
          <w:rFonts w:ascii="Palatino Linotype" w:hAnsi="Palatino Linotype"/>
          <w:lang w:val="es-MX"/>
        </w:rPr>
      </w:pPr>
    </w:p>
    <w:p w14:paraId="06D8B69A" w14:textId="77777777" w:rsidR="00180A70" w:rsidRPr="003676E0" w:rsidRDefault="00180A70" w:rsidP="00180A70">
      <w:pPr>
        <w:pStyle w:val="Prrafodelista"/>
        <w:spacing w:line="360" w:lineRule="auto"/>
        <w:ind w:left="720"/>
        <w:jc w:val="both"/>
        <w:rPr>
          <w:rFonts w:ascii="Palatino Linotype" w:hAnsi="Palatino Linotype"/>
          <w:lang w:val="es-MX"/>
        </w:rPr>
      </w:pPr>
    </w:p>
    <w:p w14:paraId="6BE61135" w14:textId="409EF761" w:rsidR="00180A70" w:rsidRDefault="00180A70" w:rsidP="00DF1988">
      <w:pPr>
        <w:tabs>
          <w:tab w:val="left" w:pos="9072"/>
        </w:tabs>
        <w:spacing w:line="360" w:lineRule="auto"/>
        <w:contextualSpacing/>
        <w:jc w:val="both"/>
        <w:rPr>
          <w:rFonts w:ascii="Palatino Linotype" w:eastAsia="Palatino Linotype" w:hAnsi="Palatino Linotype" w:cs="Palatino Linotype"/>
          <w:bCs/>
          <w:u w:val="single"/>
          <w:lang w:eastAsia="es-MX"/>
        </w:rPr>
      </w:pPr>
      <w:r w:rsidRPr="00180A70">
        <w:rPr>
          <w:rFonts w:ascii="Palatino Linotype" w:eastAsia="Palatino Linotype" w:hAnsi="Palatino Linotype" w:cs="Palatino Linotype"/>
          <w:bCs/>
          <w:noProof/>
          <w:lang w:val="es-MX" w:eastAsia="es-MX"/>
        </w:rPr>
        <w:lastRenderedPageBreak/>
        <w:drawing>
          <wp:inline distT="0" distB="0" distL="0" distR="0" wp14:anchorId="648264E6" wp14:editId="66669DD0">
            <wp:extent cx="5355771" cy="3674541"/>
            <wp:effectExtent l="190500" t="190500" r="187960" b="1930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2141"/>
                    <a:stretch/>
                  </pic:blipFill>
                  <pic:spPr bwMode="auto">
                    <a:xfrm>
                      <a:off x="0" y="0"/>
                      <a:ext cx="5359420" cy="3677044"/>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C9FB210" w14:textId="0A75FFE1" w:rsidR="00FC1298" w:rsidRPr="00A86B05" w:rsidRDefault="00FC1298" w:rsidP="00FC1298">
      <w:pPr>
        <w:spacing w:line="360" w:lineRule="auto"/>
        <w:contextualSpacing/>
        <w:jc w:val="both"/>
        <w:rPr>
          <w:rFonts w:ascii="Palatino Linotype" w:eastAsia="Calibri" w:hAnsi="Palatino Linotype" w:cs="Tahoma"/>
          <w:color w:val="000000"/>
          <w:szCs w:val="28"/>
          <w:lang w:val="es-MX" w:eastAsia="en-US"/>
        </w:rPr>
      </w:pPr>
      <w:r w:rsidRPr="00A86B05">
        <w:rPr>
          <w:rFonts w:ascii="Palatino Linotype" w:eastAsia="Calibri" w:hAnsi="Palatino Linotype" w:cs="Tahoma"/>
          <w:color w:val="000000"/>
          <w:szCs w:val="28"/>
          <w:lang w:val="es-MX" w:eastAsia="en-US"/>
        </w:rPr>
        <w:t>Cabe señalar que el Recurrente no realizó manifestaciones, vertió alegatos o presentó pruebas que a su derecho convinieran durante la etapa de instrucción; del mismo modo, no emitió pronunciamiento alguno respecto de los documentos rendidos vía Informe Justificado.</w:t>
      </w:r>
    </w:p>
    <w:p w14:paraId="05D29D77" w14:textId="77777777" w:rsidR="00FC1298" w:rsidRDefault="00FC1298" w:rsidP="00FC1298">
      <w:pPr>
        <w:spacing w:line="360" w:lineRule="auto"/>
        <w:contextualSpacing/>
        <w:jc w:val="both"/>
        <w:rPr>
          <w:rFonts w:ascii="Palatino Linotype" w:eastAsia="Calibri" w:hAnsi="Palatino Linotype" w:cs="Tahoma"/>
          <w:color w:val="000000"/>
          <w:szCs w:val="28"/>
          <w:lang w:val="es-MX" w:eastAsia="en-US"/>
        </w:rPr>
      </w:pPr>
    </w:p>
    <w:p w14:paraId="7BEF99B8" w14:textId="77777777" w:rsidR="00FC1298" w:rsidRDefault="00FC1298" w:rsidP="00FC1298">
      <w:pPr>
        <w:autoSpaceDE w:val="0"/>
        <w:autoSpaceDN w:val="0"/>
        <w:adjustRightInd w:val="0"/>
        <w:spacing w:line="360" w:lineRule="auto"/>
        <w:jc w:val="both"/>
        <w:rPr>
          <w:rFonts w:ascii="Palatino Linotype" w:hAnsi="Palatino Linotype" w:cs="Arial"/>
        </w:rPr>
      </w:pPr>
      <w:r>
        <w:rPr>
          <w:rFonts w:ascii="Palatino Linotype" w:hAnsi="Palatino Linotype" w:cs="Arial"/>
        </w:rPr>
        <w:t>Por lo que una vez analizada</w:t>
      </w:r>
      <w:r w:rsidRPr="00C4280E">
        <w:rPr>
          <w:rFonts w:ascii="Palatino Linotype" w:hAnsi="Palatino Linotype" w:cs="Arial"/>
        </w:rPr>
        <w:t xml:space="preserve"> la información que proporcionó El Sujeto Obligado en Informe Justificado, se estima que esta colmó los requerimientos originales formulados por el solicitante,</w:t>
      </w:r>
      <w:r>
        <w:rPr>
          <w:rFonts w:ascii="Palatino Linotype" w:hAnsi="Palatino Linotype" w:cs="Arial"/>
        </w:rPr>
        <w:t xml:space="preserve"> informando que en el periodo solicitado no se encontraron Resoluciones notificadas por este Instituto a la Unidad de Transparencia.</w:t>
      </w:r>
    </w:p>
    <w:p w14:paraId="31E93097" w14:textId="77777777" w:rsidR="00FC1298" w:rsidRDefault="00FC1298" w:rsidP="00FC1298">
      <w:pPr>
        <w:autoSpaceDE w:val="0"/>
        <w:autoSpaceDN w:val="0"/>
        <w:adjustRightInd w:val="0"/>
        <w:spacing w:line="360" w:lineRule="auto"/>
        <w:jc w:val="both"/>
        <w:rPr>
          <w:rFonts w:ascii="Palatino Linotype" w:hAnsi="Palatino Linotype" w:cs="Arial"/>
        </w:rPr>
      </w:pPr>
    </w:p>
    <w:p w14:paraId="71E43273" w14:textId="77777777" w:rsidR="00E96EBE" w:rsidRPr="00476BC1" w:rsidRDefault="00E96EBE" w:rsidP="00E96EBE">
      <w:pPr>
        <w:spacing w:line="360" w:lineRule="auto"/>
        <w:jc w:val="both"/>
        <w:rPr>
          <w:rFonts w:ascii="Palatino Linotype" w:hAnsi="Palatino Linotype"/>
          <w:color w:val="000000"/>
        </w:rPr>
      </w:pPr>
      <w:r>
        <w:rPr>
          <w:rFonts w:ascii="Palatino Linotype" w:hAnsi="Palatino Linotype" w:cs="Arial"/>
          <w:szCs w:val="22"/>
          <w:lang w:val="es-MX" w:eastAsia="en-US"/>
        </w:rPr>
        <w:t>En tal tesitura</w:t>
      </w:r>
      <w:r w:rsidRPr="00476BC1">
        <w:rPr>
          <w:rFonts w:ascii="Palatino Linotype" w:hAnsi="Palatino Linotype" w:cs="Arial"/>
          <w:szCs w:val="22"/>
          <w:lang w:val="es-MX" w:eastAsia="en-US"/>
        </w:rPr>
        <w:t xml:space="preserve">, </w:t>
      </w:r>
      <w:r>
        <w:rPr>
          <w:rFonts w:ascii="Palatino Linotype" w:hAnsi="Palatino Linotype" w:cs="Arial"/>
          <w:szCs w:val="22"/>
          <w:lang w:val="es-MX" w:eastAsia="en-US"/>
        </w:rPr>
        <w:t>se destaque que el Directorio de los servidores públicos</w:t>
      </w:r>
      <w:r w:rsidRPr="00476BC1">
        <w:rPr>
          <w:rFonts w:ascii="Palatino Linotype" w:hAnsi="Palatino Linotype"/>
          <w:lang w:val="es-MX" w:eastAsia="es-MX"/>
        </w:rPr>
        <w:t xml:space="preserve"> forma parte de las Obligaciones de Transparencia Comunes del </w:t>
      </w:r>
      <w:r w:rsidRPr="00476BC1">
        <w:rPr>
          <w:rFonts w:ascii="Palatino Linotype" w:hAnsi="Palatino Linotype"/>
          <w:b/>
          <w:lang w:val="es-MX" w:eastAsia="es-MX"/>
        </w:rPr>
        <w:t>Sujeto Obligado</w:t>
      </w:r>
      <w:r w:rsidRPr="00476BC1">
        <w:rPr>
          <w:rFonts w:ascii="Palatino Linotype" w:hAnsi="Palatino Linotype"/>
          <w:lang w:val="es-MX" w:eastAsia="es-MX"/>
        </w:rPr>
        <w:t xml:space="preserve">, lo que nos </w:t>
      </w:r>
      <w:r w:rsidRPr="00476BC1">
        <w:rPr>
          <w:rFonts w:ascii="Palatino Linotype" w:hAnsi="Palatino Linotype"/>
        </w:rPr>
        <w:t xml:space="preserve">permite </w:t>
      </w:r>
      <w:r w:rsidRPr="00476BC1">
        <w:rPr>
          <w:rFonts w:ascii="Palatino Linotype" w:hAnsi="Palatino Linotype"/>
        </w:rPr>
        <w:lastRenderedPageBreak/>
        <w:t>traer a colación lo dispuesto por la fracción VII del artículo 92 de la Ley de Transparencia y Acceso a la Información Pública del Estado de México y Municipios en el cual se aprecia lo siguiente:</w:t>
      </w:r>
    </w:p>
    <w:p w14:paraId="5A7053D9" w14:textId="77777777" w:rsidR="00E96EBE" w:rsidRPr="00476BC1" w:rsidRDefault="00E96EBE" w:rsidP="00E96EBE">
      <w:pPr>
        <w:autoSpaceDE w:val="0"/>
        <w:autoSpaceDN w:val="0"/>
        <w:adjustRightInd w:val="0"/>
        <w:spacing w:line="360" w:lineRule="auto"/>
        <w:jc w:val="both"/>
        <w:rPr>
          <w:rFonts w:ascii="Palatino Linotype" w:hAnsi="Palatino Linotype" w:cs="Arial"/>
        </w:rPr>
      </w:pPr>
    </w:p>
    <w:p w14:paraId="224D7F3B" w14:textId="77777777" w:rsidR="00E96EBE" w:rsidRPr="00476BC1" w:rsidRDefault="00E96EBE" w:rsidP="00E96EBE">
      <w:pPr>
        <w:ind w:left="851" w:right="851"/>
        <w:jc w:val="both"/>
        <w:rPr>
          <w:rFonts w:ascii="Palatino Linotype" w:hAnsi="Palatino Linotype" w:cs="Arial"/>
          <w:i/>
          <w:sz w:val="22"/>
          <w:szCs w:val="22"/>
          <w:lang w:val="es-MX" w:eastAsia="en-US"/>
        </w:rPr>
      </w:pPr>
      <w:r w:rsidRPr="00476BC1">
        <w:rPr>
          <w:rFonts w:ascii="Palatino Linotype" w:hAnsi="Palatino Linotype" w:cs="Arial"/>
          <w:i/>
          <w:sz w:val="22"/>
          <w:szCs w:val="22"/>
          <w:lang w:val="es-MX" w:eastAsia="en-US"/>
        </w:rPr>
        <w:t xml:space="preserve">Artículo 92. </w:t>
      </w:r>
      <w:r w:rsidRPr="00476BC1">
        <w:rPr>
          <w:rFonts w:ascii="Palatino Linotype" w:hAnsi="Palatino Linotype" w:cs="Arial"/>
          <w:b/>
          <w:i/>
          <w:sz w:val="22"/>
          <w:szCs w:val="22"/>
          <w:lang w:val="es-MX" w:eastAsia="en-US"/>
        </w:rPr>
        <w:t>Los sujetos obligados deberán poner a disposición del público de manera permanente y actualizada</w:t>
      </w:r>
      <w:r w:rsidRPr="00476BC1">
        <w:rPr>
          <w:rFonts w:ascii="Palatino Linotype" w:hAnsi="Palatino Linotype" w:cs="Arial"/>
          <w:i/>
          <w:sz w:val="22"/>
          <w:szCs w:val="22"/>
          <w:lang w:val="es-MX" w:eastAsia="en-US"/>
        </w:rPr>
        <w:t xml:space="preserve"> </w:t>
      </w:r>
      <w:r w:rsidRPr="00476BC1">
        <w:rPr>
          <w:rFonts w:ascii="Palatino Linotype" w:hAnsi="Palatino Linotype" w:cs="Arial"/>
          <w:b/>
          <w:bCs/>
          <w:i/>
          <w:sz w:val="22"/>
          <w:szCs w:val="22"/>
          <w:lang w:val="es-MX" w:eastAsia="en-US"/>
        </w:rPr>
        <w:t>de forma sencilla, precisa y entendible, en los respectivos medios electrónicos</w:t>
      </w:r>
      <w:r w:rsidRPr="00476BC1">
        <w:rPr>
          <w:rFonts w:ascii="Palatino Linotype" w:hAnsi="Palatino Linotype" w:cs="Arial"/>
          <w:i/>
          <w:sz w:val="22"/>
          <w:szCs w:val="22"/>
          <w:lang w:val="es-MX" w:eastAsia="en-US"/>
        </w:rPr>
        <w:t>, de acuerdo con sus facultades, atribuciones, funciones u objeto social, según corresponda, la información, por lo menos, de los temas, documentos y políticas que a continuación se señalan:</w:t>
      </w:r>
    </w:p>
    <w:p w14:paraId="1216B448" w14:textId="77777777" w:rsidR="00E96EBE" w:rsidRPr="00476BC1" w:rsidRDefault="00E96EBE" w:rsidP="00E96EBE">
      <w:pPr>
        <w:ind w:left="851" w:right="851"/>
        <w:jc w:val="both"/>
        <w:rPr>
          <w:rFonts w:ascii="Palatino Linotype" w:hAnsi="Palatino Linotype" w:cs="Arial"/>
          <w:i/>
          <w:sz w:val="22"/>
          <w:szCs w:val="22"/>
          <w:lang w:val="es-MX" w:eastAsia="en-US"/>
        </w:rPr>
      </w:pPr>
      <w:r w:rsidRPr="00476BC1">
        <w:rPr>
          <w:rFonts w:ascii="Palatino Linotype" w:hAnsi="Palatino Linotype" w:cs="Arial"/>
          <w:i/>
          <w:sz w:val="22"/>
          <w:szCs w:val="22"/>
          <w:lang w:val="es-MX" w:eastAsia="en-US"/>
        </w:rPr>
        <w:t>(…)</w:t>
      </w:r>
    </w:p>
    <w:p w14:paraId="0C0EEA54" w14:textId="77777777" w:rsidR="00E96EBE" w:rsidRPr="00476BC1" w:rsidRDefault="00E96EBE" w:rsidP="00E96EBE">
      <w:pPr>
        <w:ind w:left="851" w:right="851"/>
        <w:jc w:val="both"/>
        <w:rPr>
          <w:rFonts w:ascii="Palatino Linotype" w:hAnsi="Palatino Linotype" w:cs="Arial"/>
          <w:i/>
          <w:sz w:val="22"/>
          <w:szCs w:val="22"/>
          <w:lang w:val="es-MX" w:eastAsia="en-US"/>
        </w:rPr>
      </w:pPr>
      <w:r w:rsidRPr="00476BC1">
        <w:rPr>
          <w:rFonts w:ascii="Palatino Linotype" w:hAnsi="Palatino Linotype" w:cs="Arial"/>
          <w:i/>
          <w:sz w:val="22"/>
          <w:szCs w:val="22"/>
          <w:lang w:val="es-MX" w:eastAsia="en-US"/>
        </w:rPr>
        <w:t xml:space="preserve">VII. </w:t>
      </w:r>
      <w:bookmarkStart w:id="1" w:name="_Hlk71889929"/>
      <w:r w:rsidRPr="00476BC1">
        <w:rPr>
          <w:rFonts w:ascii="Palatino Linotype" w:hAnsi="Palatino Linotype" w:cs="Arial"/>
          <w:b/>
          <w:i/>
          <w:sz w:val="22"/>
          <w:szCs w:val="22"/>
          <w:lang w:val="es-MX" w:eastAsia="en-US"/>
        </w:rPr>
        <w:t>El directorio de todos los servidores públicos</w:t>
      </w:r>
      <w:r w:rsidRPr="00476BC1">
        <w:rPr>
          <w:rFonts w:ascii="Palatino Linotype" w:hAnsi="Palatino Linotype" w:cs="Arial"/>
          <w:i/>
          <w:sz w:val="22"/>
          <w:szCs w:val="22"/>
          <w:lang w:val="es-MX" w:eastAsia="en-US"/>
        </w:rPr>
        <w:t>,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bookmarkEnd w:id="1"/>
      <w:r w:rsidRPr="00476BC1">
        <w:rPr>
          <w:rFonts w:ascii="Palatino Linotype" w:hAnsi="Palatino Linotype" w:cs="Arial"/>
          <w:i/>
          <w:sz w:val="22"/>
          <w:szCs w:val="22"/>
          <w:lang w:val="es-MX" w:eastAsia="en-US"/>
        </w:rPr>
        <w:t xml:space="preserve">. </w:t>
      </w:r>
    </w:p>
    <w:p w14:paraId="33404686" w14:textId="77777777" w:rsidR="00E96EBE" w:rsidRPr="00476BC1" w:rsidRDefault="00E96EBE" w:rsidP="00E96EBE">
      <w:pPr>
        <w:ind w:left="851" w:right="851"/>
        <w:jc w:val="both"/>
        <w:rPr>
          <w:rFonts w:ascii="Palatino Linotype" w:hAnsi="Palatino Linotype" w:cs="Arial"/>
          <w:i/>
          <w:sz w:val="22"/>
          <w:szCs w:val="22"/>
          <w:lang w:val="es-MX" w:eastAsia="en-US"/>
        </w:rPr>
      </w:pPr>
    </w:p>
    <w:p w14:paraId="43DE4A63" w14:textId="77777777" w:rsidR="00E96EBE" w:rsidRPr="00476BC1" w:rsidRDefault="00E96EBE" w:rsidP="00E96EBE">
      <w:pPr>
        <w:ind w:left="851" w:right="851"/>
        <w:jc w:val="both"/>
        <w:rPr>
          <w:rFonts w:ascii="Palatino Linotype" w:hAnsi="Palatino Linotype" w:cs="Arial"/>
          <w:i/>
          <w:sz w:val="22"/>
          <w:szCs w:val="22"/>
          <w:lang w:val="es-MX" w:eastAsia="en-US"/>
        </w:rPr>
      </w:pPr>
      <w:r w:rsidRPr="00476BC1">
        <w:rPr>
          <w:rFonts w:ascii="Palatino Linotype" w:hAnsi="Palatino Linotype" w:cs="Arial"/>
          <w:b/>
          <w:i/>
          <w:sz w:val="22"/>
          <w:szCs w:val="22"/>
          <w:lang w:val="es-MX" w:eastAsia="en-US"/>
        </w:rPr>
        <w:t xml:space="preserve">El directorio deberá incluir, al menos </w:t>
      </w:r>
      <w:r w:rsidRPr="00476BC1">
        <w:rPr>
          <w:rFonts w:ascii="Palatino Linotype" w:hAnsi="Palatino Linotype" w:cs="Arial"/>
          <w:bCs/>
          <w:i/>
          <w:sz w:val="22"/>
          <w:szCs w:val="22"/>
          <w:u w:val="single"/>
          <w:lang w:val="es-MX" w:eastAsia="en-US"/>
        </w:rPr>
        <w:t>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r w:rsidRPr="00476BC1">
        <w:rPr>
          <w:rFonts w:ascii="Palatino Linotype" w:hAnsi="Palatino Linotype" w:cs="Arial"/>
          <w:i/>
          <w:sz w:val="22"/>
          <w:szCs w:val="22"/>
          <w:lang w:val="es-MX" w:eastAsia="en-US"/>
        </w:rPr>
        <w:t>;</w:t>
      </w:r>
    </w:p>
    <w:p w14:paraId="41D88B49" w14:textId="77777777" w:rsidR="00E96EBE" w:rsidRPr="00476BC1" w:rsidRDefault="00E96EBE" w:rsidP="00E96EBE">
      <w:pPr>
        <w:autoSpaceDE w:val="0"/>
        <w:autoSpaceDN w:val="0"/>
        <w:adjustRightInd w:val="0"/>
        <w:spacing w:line="360" w:lineRule="auto"/>
        <w:ind w:right="51"/>
        <w:jc w:val="both"/>
        <w:rPr>
          <w:rFonts w:ascii="Palatino Linotype" w:hAnsi="Palatino Linotype" w:cs="Arial"/>
          <w:color w:val="000000"/>
          <w:lang w:val="es-MX" w:eastAsia="es-MX"/>
        </w:rPr>
      </w:pPr>
    </w:p>
    <w:p w14:paraId="2B6448C3" w14:textId="77777777" w:rsidR="00E96EBE" w:rsidRPr="00476BC1" w:rsidRDefault="00E96EBE" w:rsidP="00E96EBE">
      <w:pPr>
        <w:autoSpaceDE w:val="0"/>
        <w:autoSpaceDN w:val="0"/>
        <w:adjustRightInd w:val="0"/>
        <w:spacing w:line="360" w:lineRule="auto"/>
        <w:ind w:right="51"/>
        <w:jc w:val="both"/>
        <w:rPr>
          <w:rFonts w:ascii="Palatino Linotype" w:hAnsi="Palatino Linotype" w:cs="Arial"/>
          <w:color w:val="000000"/>
          <w:lang w:val="es-MX" w:eastAsia="es-MX"/>
        </w:rPr>
      </w:pPr>
      <w:r w:rsidRPr="00476BC1">
        <w:rPr>
          <w:rFonts w:ascii="Palatino Linotype" w:hAnsi="Palatino Linotype" w:cs="Arial"/>
          <w:color w:val="000000"/>
          <w:lang w:val="es-MX" w:eastAsia="es-MX"/>
        </w:rPr>
        <w:t>Robustece lo antes expuesto, lo establecido en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 la letra señala lo siguiente:</w:t>
      </w:r>
    </w:p>
    <w:p w14:paraId="41482121" w14:textId="77777777" w:rsidR="00E96EBE" w:rsidRPr="00476BC1" w:rsidRDefault="00E96EBE" w:rsidP="00E96EBE">
      <w:pPr>
        <w:autoSpaceDE w:val="0"/>
        <w:autoSpaceDN w:val="0"/>
        <w:adjustRightInd w:val="0"/>
        <w:spacing w:line="360" w:lineRule="auto"/>
        <w:ind w:right="51"/>
        <w:jc w:val="both"/>
        <w:rPr>
          <w:rFonts w:ascii="Palatino Linotype" w:hAnsi="Palatino Linotype" w:cs="Arial"/>
          <w:color w:val="000000"/>
          <w:lang w:val="es-MX" w:eastAsia="es-MX"/>
        </w:rPr>
      </w:pPr>
    </w:p>
    <w:p w14:paraId="072BC2FD" w14:textId="77777777" w:rsidR="00E96EBE" w:rsidRPr="00476BC1" w:rsidRDefault="00E96EBE" w:rsidP="00E96EBE">
      <w:pPr>
        <w:autoSpaceDE w:val="0"/>
        <w:autoSpaceDN w:val="0"/>
        <w:adjustRightInd w:val="0"/>
        <w:ind w:left="567" w:right="567"/>
        <w:jc w:val="both"/>
        <w:rPr>
          <w:rFonts w:ascii="Palatino Linotype" w:hAnsi="Palatino Linotype" w:cs="Arial"/>
          <w:i/>
          <w:iCs/>
          <w:color w:val="000000"/>
          <w:sz w:val="22"/>
          <w:szCs w:val="22"/>
          <w:lang w:val="es-MX" w:eastAsia="es-MX"/>
        </w:rPr>
      </w:pPr>
      <w:r w:rsidRPr="00476BC1">
        <w:rPr>
          <w:rFonts w:ascii="Palatino Linotype" w:hAnsi="Palatino Linotype" w:cs="Arial"/>
          <w:i/>
          <w:iCs/>
          <w:color w:val="000000"/>
          <w:sz w:val="22"/>
          <w:szCs w:val="22"/>
          <w:lang w:val="es-MX" w:eastAsia="es-MX"/>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w:t>
      </w:r>
      <w:r w:rsidRPr="00476BC1">
        <w:rPr>
          <w:rFonts w:ascii="Palatino Linotype" w:hAnsi="Palatino Linotype" w:cs="Arial"/>
          <w:b/>
          <w:bCs/>
          <w:i/>
          <w:iCs/>
          <w:color w:val="000000"/>
          <w:sz w:val="22"/>
          <w:szCs w:val="22"/>
          <w:u w:val="single"/>
          <w:lang w:val="es-MX" w:eastAsia="es-MX"/>
        </w:rPr>
        <w:t xml:space="preserve">directorio deberá incluir al menos el nombre, cargo o nombramiento asignado, nivel del </w:t>
      </w:r>
      <w:r w:rsidRPr="00476BC1">
        <w:rPr>
          <w:rFonts w:ascii="Palatino Linotype" w:hAnsi="Palatino Linotype" w:cs="Arial"/>
          <w:b/>
          <w:bCs/>
          <w:i/>
          <w:iCs/>
          <w:color w:val="000000"/>
          <w:sz w:val="22"/>
          <w:szCs w:val="22"/>
          <w:u w:val="single"/>
          <w:lang w:val="es-MX" w:eastAsia="es-MX"/>
        </w:rPr>
        <w:lastRenderedPageBreak/>
        <w:t>puesto en la estructura orgánica, fecha de alta en el cargo, número telefónico, domicilio para recibir correspondencia y dirección de correo electrónico oficia</w:t>
      </w:r>
      <w:r w:rsidRPr="00476BC1">
        <w:rPr>
          <w:rFonts w:ascii="Palatino Linotype" w:hAnsi="Palatino Linotype" w:cs="Arial"/>
          <w:i/>
          <w:iCs/>
          <w:color w:val="000000"/>
          <w:sz w:val="22"/>
          <w:szCs w:val="22"/>
          <w:lang w:val="es-MX" w:eastAsia="es-MX"/>
        </w:rPr>
        <w:t>les.</w:t>
      </w:r>
    </w:p>
    <w:p w14:paraId="34E408C7"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p>
    <w:p w14:paraId="2B317BDB"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Para el cumplimiento de la presente fracción los sujetos obligados deberán integrar el directorio con los datos básicos para establecer contacto con sus servidores(as) públicos(as), integrantes y/o miembros, así como toda persona que desempeñe un empleo, cargo o comisión y/o ejerza actos de autoridad en los mismos.</w:t>
      </w:r>
    </w:p>
    <w:p w14:paraId="246957ED"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p>
    <w:p w14:paraId="785EF0FE"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Se publicará la información correspondiente desde el nivel de jefe de departamento o equivalente, hasta el titular del sujeto obligado; y de menor nivel en caso de que brinden atención al público, manejen o apliquen recursos públicos, realicen actos de autoridad o presten servicios profesionales bajo el régimen de honorarios, confianza y personal de base.</w:t>
      </w:r>
    </w:p>
    <w:p w14:paraId="6D502E91"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p>
    <w:p w14:paraId="381758E7"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w:t>
      </w:r>
    </w:p>
    <w:p w14:paraId="72BA62DE"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p>
    <w:p w14:paraId="736FCD64"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i/>
          <w:color w:val="000000"/>
          <w:sz w:val="22"/>
          <w:szCs w:val="22"/>
          <w:lang w:val="es-MX" w:eastAsia="es-MX"/>
        </w:rPr>
        <w:t>La información que se publique en cumplimiento de la presente fracción guardará correspondencia con lo publicado en las fracciones II (estructura orgánica), III (facultades de cada área), VIII (remuneración), IX (gastos de representación y viáticos),X (total de plazas y personal de base y confianza), XII (declaraciones patrimoniales), XIII (Unidad de Transparencia), XIV(convocatorias a concursos para ocupar cargos públicos) y XVII (información curricular de servidores[as] públicos[as]) del artículo 70 de la Ley General.</w:t>
      </w:r>
    </w:p>
    <w:p w14:paraId="23276127" w14:textId="77777777" w:rsidR="00E96EBE" w:rsidRPr="00476BC1" w:rsidRDefault="00E96EBE" w:rsidP="00E96EBE">
      <w:pPr>
        <w:autoSpaceDE w:val="0"/>
        <w:autoSpaceDN w:val="0"/>
        <w:adjustRightInd w:val="0"/>
        <w:ind w:left="567" w:right="567"/>
        <w:rPr>
          <w:rFonts w:ascii="Palatino Linotype" w:hAnsi="Palatino Linotype" w:cs="Arial"/>
          <w:b/>
          <w:bCs/>
          <w:i/>
          <w:color w:val="000000"/>
          <w:sz w:val="22"/>
          <w:szCs w:val="22"/>
          <w:lang w:val="es-MX" w:eastAsia="es-MX"/>
        </w:rPr>
      </w:pPr>
    </w:p>
    <w:p w14:paraId="38C6D755"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Criterios sustantivos de contenido</w:t>
      </w:r>
    </w:p>
    <w:p w14:paraId="3F3F9A44"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1</w:t>
      </w:r>
      <w:r w:rsidRPr="00476BC1">
        <w:rPr>
          <w:rFonts w:ascii="Palatino Linotype" w:hAnsi="Palatino Linotype" w:cs="Arial"/>
          <w:i/>
          <w:color w:val="000000"/>
          <w:sz w:val="22"/>
          <w:szCs w:val="22"/>
          <w:lang w:val="es-MX" w:eastAsia="es-MX"/>
        </w:rPr>
        <w:t>      Clave o nivel del puesto (de acuerdo con el catálogo que regule la actividad del sujeto obligado)</w:t>
      </w:r>
    </w:p>
    <w:p w14:paraId="060DFA00"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2</w:t>
      </w:r>
      <w:r w:rsidRPr="00476BC1">
        <w:rPr>
          <w:rFonts w:ascii="Palatino Linotype" w:hAnsi="Palatino Linotype" w:cs="Arial"/>
          <w:i/>
          <w:color w:val="000000"/>
          <w:sz w:val="22"/>
          <w:szCs w:val="22"/>
          <w:lang w:val="es-MX" w:eastAsia="es-MX"/>
        </w:rPr>
        <w:t>      Denominación del cargo o nombramiento otorgado</w:t>
      </w:r>
    </w:p>
    <w:p w14:paraId="613C7690"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3</w:t>
      </w:r>
      <w:r w:rsidRPr="00476BC1">
        <w:rPr>
          <w:rFonts w:ascii="Palatino Linotype" w:hAnsi="Palatino Linotype" w:cs="Arial"/>
          <w:i/>
          <w:color w:val="000000"/>
          <w:sz w:val="22"/>
          <w:szCs w:val="22"/>
          <w:lang w:val="es-MX" w:eastAsia="es-MX"/>
        </w:rPr>
        <w:t>      </w:t>
      </w:r>
      <w:r w:rsidRPr="00476BC1">
        <w:rPr>
          <w:rFonts w:ascii="Palatino Linotype" w:hAnsi="Palatino Linotype" w:cs="Arial"/>
          <w:bCs/>
          <w:i/>
          <w:color w:val="000000"/>
          <w:sz w:val="22"/>
          <w:szCs w:val="22"/>
          <w:lang w:val="es-MX" w:eastAsia="es-MX"/>
        </w:rPr>
        <w:t>Nombre del servidor(a) público(a</w:t>
      </w:r>
      <w:proofErr w:type="gramStart"/>
      <w:r w:rsidRPr="00476BC1">
        <w:rPr>
          <w:rFonts w:ascii="Palatino Linotype" w:hAnsi="Palatino Linotype" w:cs="Arial"/>
          <w:bCs/>
          <w:i/>
          <w:color w:val="000000"/>
          <w:sz w:val="22"/>
          <w:szCs w:val="22"/>
          <w:lang w:val="es-MX" w:eastAsia="es-MX"/>
        </w:rPr>
        <w:t>)(</w:t>
      </w:r>
      <w:proofErr w:type="gramEnd"/>
      <w:r w:rsidRPr="00476BC1">
        <w:rPr>
          <w:rFonts w:ascii="Palatino Linotype" w:hAnsi="Palatino Linotype" w:cs="Arial"/>
          <w:bCs/>
          <w:i/>
          <w:color w:val="000000"/>
          <w:sz w:val="22"/>
          <w:szCs w:val="22"/>
          <w:lang w:val="es-MX" w:eastAsia="es-MX"/>
        </w:rPr>
        <w:t>nombre[s], primer apellido, segundo apellido), integrante y/omiembro del sujeto obligado,</w:t>
      </w:r>
      <w:r w:rsidRPr="00476BC1">
        <w:rPr>
          <w:rFonts w:ascii="Palatino Linotype" w:hAnsi="Palatino Linotype" w:cs="Arial"/>
          <w:i/>
          <w:color w:val="000000"/>
          <w:sz w:val="22"/>
          <w:szCs w:val="22"/>
          <w:lang w:val="es-MX" w:eastAsia="es-MX"/>
        </w:rPr>
        <w:t> y/o persona que desempeñe un empleo, cargo o comisión y/o ejerzaactos de autoridad(8). En su caso, incluir una leyenda que especifique el motivo por el cual noexiste servidor público ocupando el cargo, por ejemplo: </w:t>
      </w:r>
      <w:r w:rsidRPr="00476BC1">
        <w:rPr>
          <w:rFonts w:ascii="Palatino Linotype" w:hAnsi="Palatino Linotype" w:cs="Arial"/>
          <w:i/>
          <w:iCs/>
          <w:color w:val="000000"/>
          <w:sz w:val="22"/>
          <w:szCs w:val="22"/>
          <w:lang w:val="es-MX" w:eastAsia="es-MX"/>
        </w:rPr>
        <w:t>Vacante</w:t>
      </w:r>
    </w:p>
    <w:p w14:paraId="679D64BA"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w:t>
      </w:r>
      <w:r w:rsidRPr="00476BC1">
        <w:rPr>
          <w:rFonts w:ascii="Palatino Linotype" w:hAnsi="Palatino Linotype" w:cs="Arial"/>
          <w:i/>
          <w:color w:val="000000"/>
          <w:sz w:val="22"/>
          <w:szCs w:val="22"/>
          <w:lang w:val="es-MX" w:eastAsia="es-MX"/>
        </w:rPr>
        <w:t>4      Área o unidad administrativa de adscripción (de acuerdo con el catálogo de unidadesadministrativas o puestos)</w:t>
      </w:r>
    </w:p>
    <w:p w14:paraId="1C2E1B6C"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5</w:t>
      </w:r>
      <w:r w:rsidRPr="00476BC1">
        <w:rPr>
          <w:rFonts w:ascii="Palatino Linotype" w:hAnsi="Palatino Linotype" w:cs="Arial"/>
          <w:i/>
          <w:color w:val="000000"/>
          <w:sz w:val="22"/>
          <w:szCs w:val="22"/>
          <w:lang w:val="es-MX" w:eastAsia="es-MX"/>
        </w:rPr>
        <w:t>      Fecha de alta en el cargo con el formato día/mes/año (ej. 31/Marzo/2016)</w:t>
      </w:r>
    </w:p>
    <w:p w14:paraId="2FDECEA2" w14:textId="77777777" w:rsidR="00E96EBE" w:rsidRPr="00476BC1" w:rsidRDefault="00E96EBE" w:rsidP="00E96EBE">
      <w:pPr>
        <w:autoSpaceDE w:val="0"/>
        <w:autoSpaceDN w:val="0"/>
        <w:adjustRightInd w:val="0"/>
        <w:ind w:left="567" w:right="567"/>
        <w:jc w:val="both"/>
        <w:rPr>
          <w:rFonts w:ascii="Palatino Linotype" w:hAnsi="Palatino Linotype" w:cs="Arial"/>
          <w:bCs/>
          <w:i/>
          <w:color w:val="000000"/>
          <w:sz w:val="22"/>
          <w:szCs w:val="22"/>
          <w:lang w:val="es-MX" w:eastAsia="es-MX"/>
        </w:rPr>
      </w:pPr>
      <w:r w:rsidRPr="00476BC1">
        <w:rPr>
          <w:rFonts w:ascii="Palatino Linotype" w:hAnsi="Palatino Linotype" w:cs="Arial"/>
          <w:b/>
          <w:bCs/>
          <w:i/>
          <w:color w:val="000000"/>
          <w:sz w:val="22"/>
          <w:szCs w:val="22"/>
          <w:lang w:val="es-MX" w:eastAsia="es-MX"/>
        </w:rPr>
        <w:t>Criterio 6</w:t>
      </w:r>
      <w:r w:rsidRPr="00476BC1">
        <w:rPr>
          <w:rFonts w:ascii="Palatino Linotype" w:hAnsi="Palatino Linotype" w:cs="Arial"/>
          <w:i/>
          <w:color w:val="000000"/>
          <w:sz w:val="22"/>
          <w:szCs w:val="22"/>
          <w:lang w:val="es-MX" w:eastAsia="es-MX"/>
        </w:rPr>
        <w:t xml:space="preserve">      Domicilio para recibir correspondencia oficial (tipo de vialidad [catálogo], nombre de vialidad[calle], número exterior, número interior [en su caso], tipo de asentamiento humano [catálogo], nombre de asentamiento humano [colonia], clave de la localidad [catálogo], nombre de la localidad [catálogo], clave del municipio [catálogo], </w:t>
      </w:r>
      <w:r w:rsidRPr="00476BC1">
        <w:rPr>
          <w:rFonts w:ascii="Palatino Linotype" w:hAnsi="Palatino Linotype" w:cs="Arial"/>
          <w:i/>
          <w:color w:val="000000"/>
          <w:sz w:val="22"/>
          <w:szCs w:val="22"/>
          <w:lang w:val="es-MX" w:eastAsia="es-MX"/>
        </w:rPr>
        <w:lastRenderedPageBreak/>
        <w:t>nombre del municipio o delegación [catálogo], clave de la entidad federativa [catálogo], nombre de la entidad federativa [catálogo], código postal)(9)</w:t>
      </w:r>
    </w:p>
    <w:p w14:paraId="11A9F2DF"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7</w:t>
      </w:r>
      <w:r w:rsidRPr="00476BC1">
        <w:rPr>
          <w:rFonts w:ascii="Palatino Linotype" w:hAnsi="Palatino Linotype" w:cs="Arial"/>
          <w:i/>
          <w:color w:val="000000"/>
          <w:sz w:val="22"/>
          <w:szCs w:val="22"/>
          <w:lang w:val="es-MX" w:eastAsia="es-MX"/>
        </w:rPr>
        <w:t>      Número(s) de teléfono(s) oficial(es) y extensión (es)</w:t>
      </w:r>
    </w:p>
    <w:p w14:paraId="3FD71C92"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8</w:t>
      </w:r>
      <w:r w:rsidRPr="00476BC1">
        <w:rPr>
          <w:rFonts w:ascii="Palatino Linotype" w:hAnsi="Palatino Linotype" w:cs="Arial"/>
          <w:i/>
          <w:color w:val="000000"/>
          <w:sz w:val="22"/>
          <w:szCs w:val="22"/>
          <w:lang w:val="es-MX" w:eastAsia="es-MX"/>
        </w:rPr>
        <w:t>      Correo electrónico oficial, en su caso</w:t>
      </w:r>
    </w:p>
    <w:p w14:paraId="3A6FD26C" w14:textId="77777777" w:rsidR="00E96EBE" w:rsidRPr="00476BC1" w:rsidRDefault="00E96EBE" w:rsidP="00E96EBE">
      <w:pPr>
        <w:autoSpaceDE w:val="0"/>
        <w:autoSpaceDN w:val="0"/>
        <w:adjustRightInd w:val="0"/>
        <w:ind w:left="567" w:right="567"/>
        <w:jc w:val="both"/>
        <w:rPr>
          <w:rFonts w:ascii="Palatino Linotype" w:hAnsi="Palatino Linotype" w:cs="Arial"/>
          <w:i/>
          <w:color w:val="000000"/>
          <w:sz w:val="22"/>
          <w:szCs w:val="22"/>
          <w:lang w:val="es-MX" w:eastAsia="es-MX"/>
        </w:rPr>
      </w:pPr>
      <w:r w:rsidRPr="00476BC1">
        <w:rPr>
          <w:rFonts w:ascii="Palatino Linotype" w:hAnsi="Palatino Linotype" w:cs="Arial"/>
          <w:b/>
          <w:bCs/>
          <w:i/>
          <w:color w:val="000000"/>
          <w:sz w:val="22"/>
          <w:szCs w:val="22"/>
          <w:lang w:val="es-MX" w:eastAsia="es-MX"/>
        </w:rPr>
        <w:t>Criterio 9</w:t>
      </w:r>
      <w:r w:rsidRPr="00476BC1">
        <w:rPr>
          <w:rFonts w:ascii="Palatino Linotype" w:hAnsi="Palatino Linotype" w:cs="Arial"/>
          <w:i/>
          <w:color w:val="000000"/>
          <w:sz w:val="22"/>
          <w:szCs w:val="22"/>
          <w:lang w:val="es-MX" w:eastAsia="es-MX"/>
        </w:rPr>
        <w:t>     Respecto de los prestadores de servicios profesionales reportados se incluirá una leyenda que especifique que éstos no forman parte de la estructura orgánica del sujeto obligado toda vez que fungen como apoyo para el desarrollo de las actividades de los puestos que sí conforman la estructura </w:t>
      </w:r>
    </w:p>
    <w:p w14:paraId="6EE85AB7" w14:textId="77777777" w:rsidR="00E96EBE" w:rsidRPr="00476BC1" w:rsidRDefault="00E96EBE" w:rsidP="00E96EBE">
      <w:pPr>
        <w:autoSpaceDE w:val="0"/>
        <w:autoSpaceDN w:val="0"/>
        <w:adjustRightInd w:val="0"/>
        <w:ind w:left="567" w:right="567"/>
        <w:rPr>
          <w:rFonts w:ascii="Palatino Linotype" w:hAnsi="Palatino Linotype" w:cs="Arial"/>
          <w:b/>
          <w:bCs/>
          <w:i/>
          <w:color w:val="000000"/>
          <w:sz w:val="22"/>
          <w:szCs w:val="22"/>
          <w:lang w:val="es-419" w:eastAsia="es-MX"/>
        </w:rPr>
      </w:pPr>
    </w:p>
    <w:p w14:paraId="62ED0462"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Criterios adjetivos de actualización</w:t>
      </w:r>
    </w:p>
    <w:p w14:paraId="39CDFEA4"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10</w:t>
      </w:r>
      <w:r w:rsidRPr="00476BC1">
        <w:rPr>
          <w:rFonts w:ascii="Palatino Linotype" w:hAnsi="Palatino Linotype" w:cs="Arial"/>
          <w:i/>
          <w:color w:val="000000"/>
          <w:sz w:val="22"/>
          <w:szCs w:val="22"/>
          <w:lang w:val="es-419" w:eastAsia="es-MX"/>
        </w:rPr>
        <w:t>    Periodo de actualización de la información: trimestral</w:t>
      </w:r>
    </w:p>
    <w:p w14:paraId="2EAEA7A8"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11</w:t>
      </w:r>
      <w:r w:rsidRPr="00476BC1">
        <w:rPr>
          <w:rFonts w:ascii="Palatino Linotype" w:hAnsi="Palatino Linotype" w:cs="Arial"/>
          <w:i/>
          <w:color w:val="000000"/>
          <w:sz w:val="22"/>
          <w:szCs w:val="22"/>
          <w:lang w:val="es-419" w:eastAsia="es-MX"/>
        </w:rPr>
        <w:t>    La información publicada deberá estar actualizada al periodo que corresponde de acuerdo con la </w:t>
      </w:r>
      <w:r w:rsidRPr="00476BC1">
        <w:rPr>
          <w:rFonts w:ascii="Palatino Linotype" w:hAnsi="Palatino Linotype" w:cs="Arial"/>
          <w:i/>
          <w:iCs/>
          <w:color w:val="000000"/>
          <w:sz w:val="22"/>
          <w:szCs w:val="22"/>
          <w:lang w:val="es-419" w:eastAsia="es-MX"/>
        </w:rPr>
        <w:t>Tabla de actualización y conservación de la información</w:t>
      </w:r>
    </w:p>
    <w:p w14:paraId="7D6295D8"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12</w:t>
      </w:r>
      <w:r w:rsidRPr="00476BC1">
        <w:rPr>
          <w:rFonts w:ascii="Palatino Linotype" w:hAnsi="Palatino Linotype" w:cs="Arial"/>
          <w:i/>
          <w:color w:val="000000"/>
          <w:sz w:val="22"/>
          <w:szCs w:val="22"/>
          <w:lang w:val="es-419" w:eastAsia="es-MX"/>
        </w:rPr>
        <w:t>    Conservar en el sitio de Internet y a través de la Plataforma Nacional la información de acuerdo con la </w:t>
      </w:r>
      <w:r w:rsidRPr="00476BC1">
        <w:rPr>
          <w:rFonts w:ascii="Palatino Linotype" w:hAnsi="Palatino Linotype" w:cs="Arial"/>
          <w:i/>
          <w:iCs/>
          <w:color w:val="000000"/>
          <w:sz w:val="22"/>
          <w:szCs w:val="22"/>
          <w:lang w:val="es-419" w:eastAsia="es-MX"/>
        </w:rPr>
        <w:t>Tabla de actualización y conservación de la información</w:t>
      </w:r>
    </w:p>
    <w:p w14:paraId="4A1B7A0D" w14:textId="77777777" w:rsidR="00E96EBE" w:rsidRPr="00476BC1" w:rsidRDefault="00E96EBE" w:rsidP="00E96EBE">
      <w:pPr>
        <w:autoSpaceDE w:val="0"/>
        <w:autoSpaceDN w:val="0"/>
        <w:adjustRightInd w:val="0"/>
        <w:ind w:left="567" w:right="567"/>
        <w:rPr>
          <w:rFonts w:ascii="Palatino Linotype" w:hAnsi="Palatino Linotype" w:cs="Arial"/>
          <w:b/>
          <w:bCs/>
          <w:i/>
          <w:color w:val="000000"/>
          <w:sz w:val="22"/>
          <w:szCs w:val="22"/>
          <w:lang w:val="es-419" w:eastAsia="es-MX"/>
        </w:rPr>
      </w:pPr>
    </w:p>
    <w:p w14:paraId="1B2624DC"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Criterios adjetivos de confiabilidad</w:t>
      </w:r>
    </w:p>
    <w:p w14:paraId="2160C120"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13</w:t>
      </w:r>
      <w:r w:rsidRPr="00476BC1">
        <w:rPr>
          <w:rFonts w:ascii="Palatino Linotype" w:hAnsi="Palatino Linotype" w:cs="Arial"/>
          <w:i/>
          <w:color w:val="000000"/>
          <w:sz w:val="22"/>
          <w:szCs w:val="22"/>
          <w:lang w:val="es-419" w:eastAsia="es-MX"/>
        </w:rPr>
        <w:t>    Área(s) o unidad(es) administrativa(s) que genera(n) o posee(n) la información respectiva y son responsables de publicarla y actualizarla</w:t>
      </w:r>
    </w:p>
    <w:p w14:paraId="17DD9AC1"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14</w:t>
      </w:r>
      <w:r w:rsidRPr="00476BC1">
        <w:rPr>
          <w:rFonts w:ascii="Palatino Linotype" w:hAnsi="Palatino Linotype" w:cs="Arial"/>
          <w:i/>
          <w:color w:val="000000"/>
          <w:sz w:val="22"/>
          <w:szCs w:val="22"/>
          <w:lang w:val="es-419" w:eastAsia="es-MX"/>
        </w:rPr>
        <w:t>    Fecha de actualización de la información publicada con el formato día/mes/año (por ej. 31/Marzo/2016)</w:t>
      </w:r>
    </w:p>
    <w:p w14:paraId="2B86A572"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15</w:t>
      </w:r>
      <w:r w:rsidRPr="00476BC1">
        <w:rPr>
          <w:rFonts w:ascii="Palatino Linotype" w:hAnsi="Palatino Linotype" w:cs="Arial"/>
          <w:i/>
          <w:color w:val="000000"/>
          <w:sz w:val="22"/>
          <w:szCs w:val="22"/>
          <w:lang w:val="es-419" w:eastAsia="es-MX"/>
        </w:rPr>
        <w:t>    Fecha de validación de la información publicada con el formato día/mes/año (por ej. 31/Marzo/2016)</w:t>
      </w:r>
    </w:p>
    <w:p w14:paraId="6785DD41"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p>
    <w:p w14:paraId="1585F476"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Criterios adjetivos de formato</w:t>
      </w:r>
    </w:p>
    <w:p w14:paraId="4F001148"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16</w:t>
      </w:r>
      <w:r w:rsidRPr="00476BC1">
        <w:rPr>
          <w:rFonts w:ascii="Palatino Linotype" w:hAnsi="Palatino Linotype" w:cs="Arial"/>
          <w:i/>
          <w:color w:val="000000"/>
          <w:sz w:val="22"/>
          <w:szCs w:val="22"/>
          <w:lang w:val="es-419" w:eastAsia="es-MX"/>
        </w:rPr>
        <w:t>    La información publicada se organiza mediante el formato 7, en el que se incluyen todos los campos especificados en los criterios sustantivos de contenido</w:t>
      </w:r>
    </w:p>
    <w:p w14:paraId="50A3DCC2"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Criterio 17</w:t>
      </w:r>
      <w:r w:rsidRPr="00476BC1">
        <w:rPr>
          <w:rFonts w:ascii="Palatino Linotype" w:hAnsi="Palatino Linotype" w:cs="Arial"/>
          <w:i/>
          <w:color w:val="000000"/>
          <w:sz w:val="22"/>
          <w:szCs w:val="22"/>
          <w:lang w:val="es-419" w:eastAsia="es-MX"/>
        </w:rPr>
        <w:t>    El soporte de la información permite su reutilización</w:t>
      </w:r>
    </w:p>
    <w:p w14:paraId="3958E401" w14:textId="77777777" w:rsidR="00E96EBE" w:rsidRPr="00476BC1" w:rsidRDefault="00E96EBE" w:rsidP="00E96EBE">
      <w:pPr>
        <w:autoSpaceDE w:val="0"/>
        <w:autoSpaceDN w:val="0"/>
        <w:adjustRightInd w:val="0"/>
        <w:ind w:right="51"/>
        <w:rPr>
          <w:rFonts w:ascii="Palatino Linotype" w:hAnsi="Palatino Linotype" w:cs="Arial"/>
          <w:b/>
          <w:bCs/>
          <w:i/>
          <w:color w:val="000000"/>
          <w:sz w:val="22"/>
          <w:szCs w:val="22"/>
          <w:lang w:val="es-419" w:eastAsia="es-MX"/>
        </w:rPr>
      </w:pPr>
    </w:p>
    <w:p w14:paraId="222FD8ED"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Formato 7. LGT_Art_70_Fr_VII</w:t>
      </w:r>
    </w:p>
    <w:p w14:paraId="20A1B86B"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b/>
          <w:bCs/>
          <w:i/>
          <w:color w:val="000000"/>
          <w:sz w:val="22"/>
          <w:szCs w:val="22"/>
          <w:lang w:val="es-419" w:eastAsia="es-MX"/>
        </w:rPr>
        <w:t>Directorio de &lt;&lt;sujeto obligado&gt;&gt;</w:t>
      </w:r>
    </w:p>
    <w:p w14:paraId="772C9CD0"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p>
    <w:p w14:paraId="0588BD65"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lastRenderedPageBreak/>
        <w:t> </w:t>
      </w:r>
      <w:r w:rsidRPr="00476BC1">
        <w:rPr>
          <w:rFonts w:ascii="Palatino Linotype" w:hAnsi="Palatino Linotype" w:cs="Arial"/>
          <w:i/>
          <w:noProof/>
          <w:color w:val="000000"/>
          <w:sz w:val="22"/>
          <w:szCs w:val="22"/>
          <w:lang w:val="es-MX" w:eastAsia="es-MX"/>
        </w:rPr>
        <w:drawing>
          <wp:inline distT="0" distB="0" distL="0" distR="0" wp14:anchorId="3A3166ED" wp14:editId="144657B6">
            <wp:extent cx="5724525" cy="3028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t="1666"/>
                    <a:stretch>
                      <a:fillRect/>
                    </a:stretch>
                  </pic:blipFill>
                  <pic:spPr bwMode="auto">
                    <a:xfrm>
                      <a:off x="0" y="0"/>
                      <a:ext cx="5724525" cy="3028950"/>
                    </a:xfrm>
                    <a:prstGeom prst="rect">
                      <a:avLst/>
                    </a:prstGeom>
                    <a:noFill/>
                    <a:ln>
                      <a:noFill/>
                    </a:ln>
                  </pic:spPr>
                </pic:pic>
              </a:graphicData>
            </a:graphic>
          </wp:inline>
        </w:drawing>
      </w:r>
    </w:p>
    <w:p w14:paraId="69D67978"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 </w:t>
      </w:r>
    </w:p>
    <w:p w14:paraId="63FEF01F"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Periodo de actualización de la información: trimestral</w:t>
      </w:r>
    </w:p>
    <w:p w14:paraId="464EB4F2"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Fecha de actualización: día/mes/año</w:t>
      </w:r>
    </w:p>
    <w:p w14:paraId="54808007" w14:textId="77777777" w:rsidR="00E96EBE" w:rsidRPr="00476BC1"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Fecha de validación: día/mes/año</w:t>
      </w:r>
    </w:p>
    <w:p w14:paraId="5627C195" w14:textId="7C34408A" w:rsidR="00FC1298" w:rsidRPr="00E96EBE" w:rsidRDefault="00E96EBE" w:rsidP="00E96EBE">
      <w:pPr>
        <w:autoSpaceDE w:val="0"/>
        <w:autoSpaceDN w:val="0"/>
        <w:adjustRightInd w:val="0"/>
        <w:ind w:left="567" w:right="567"/>
        <w:rPr>
          <w:rFonts w:ascii="Palatino Linotype" w:hAnsi="Palatino Linotype" w:cs="Arial"/>
          <w:i/>
          <w:color w:val="000000"/>
          <w:sz w:val="22"/>
          <w:szCs w:val="22"/>
          <w:lang w:val="es-419" w:eastAsia="es-MX"/>
        </w:rPr>
      </w:pPr>
      <w:r w:rsidRPr="00476BC1">
        <w:rPr>
          <w:rFonts w:ascii="Palatino Linotype" w:hAnsi="Palatino Linotype" w:cs="Arial"/>
          <w:i/>
          <w:color w:val="000000"/>
          <w:sz w:val="22"/>
          <w:szCs w:val="22"/>
          <w:lang w:val="es-419" w:eastAsia="es-MX"/>
        </w:rPr>
        <w:t>Área(s) o unidad(es) administrativa(s) que genera(n) o posee(n) la información:</w:t>
      </w:r>
    </w:p>
    <w:p w14:paraId="4E3A4B6B" w14:textId="77777777" w:rsidR="00FC1298" w:rsidRPr="007769B2" w:rsidRDefault="00FC1298" w:rsidP="00FC1298"/>
    <w:p w14:paraId="2D6C1CFE" w14:textId="77777777" w:rsidR="00FC1298" w:rsidRPr="007769B2" w:rsidRDefault="00FC1298" w:rsidP="00FC1298">
      <w:pPr>
        <w:autoSpaceDE w:val="0"/>
        <w:autoSpaceDN w:val="0"/>
        <w:adjustRightInd w:val="0"/>
        <w:spacing w:before="240" w:line="360" w:lineRule="auto"/>
        <w:jc w:val="both"/>
        <w:rPr>
          <w:rFonts w:ascii="Palatino Linotype" w:eastAsia="Calibri" w:hAnsi="Palatino Linotype" w:cs="Arial"/>
        </w:rPr>
      </w:pPr>
      <w:r w:rsidRPr="007769B2">
        <w:rPr>
          <w:rFonts w:ascii="Palatino Linotype" w:eastAsia="Calibri" w:hAnsi="Palatino Linotype" w:cs="Arial"/>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27A0FCF0" w14:textId="77777777" w:rsidR="00FC1298" w:rsidRPr="007769B2" w:rsidRDefault="00FC1298" w:rsidP="00FC1298"/>
    <w:p w14:paraId="661453A9" w14:textId="77777777" w:rsidR="00FC1298" w:rsidRPr="007769B2" w:rsidRDefault="00FC1298" w:rsidP="00FC1298">
      <w:pPr>
        <w:ind w:left="851" w:right="850"/>
        <w:jc w:val="both"/>
        <w:rPr>
          <w:rFonts w:ascii="Palatino Linotype" w:hAnsi="Palatino Linotype"/>
          <w:i/>
        </w:rPr>
      </w:pPr>
      <w:r w:rsidRPr="007769B2">
        <w:rPr>
          <w:rFonts w:ascii="Palatino Linotype" w:hAnsi="Palatino Linotype"/>
        </w:rPr>
        <w:t>“</w:t>
      </w:r>
      <w:r w:rsidRPr="007769B2">
        <w:rPr>
          <w:rFonts w:ascii="Palatino Linotype" w:hAnsi="Palatino Linotype"/>
          <w:b/>
          <w:i/>
        </w:rPr>
        <w:t>Artículo 12.</w:t>
      </w:r>
      <w:r w:rsidRPr="007769B2">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34DA5762" w14:textId="77777777" w:rsidR="00FC1298" w:rsidRPr="007769B2" w:rsidRDefault="00FC1298" w:rsidP="00FC1298">
      <w:pPr>
        <w:ind w:left="851" w:right="850"/>
        <w:jc w:val="both"/>
        <w:rPr>
          <w:rFonts w:ascii="Palatino Linotype" w:hAnsi="Palatino Linotype"/>
          <w:i/>
        </w:rPr>
      </w:pPr>
    </w:p>
    <w:p w14:paraId="37570E0A" w14:textId="77777777" w:rsidR="00FC1298" w:rsidRPr="007104AA" w:rsidRDefault="00FC1298" w:rsidP="00FC1298">
      <w:pPr>
        <w:ind w:left="851" w:right="850"/>
        <w:jc w:val="both"/>
        <w:rPr>
          <w:rFonts w:ascii="Palatino Linotype" w:hAnsi="Palatino Linotype"/>
        </w:rPr>
      </w:pPr>
      <w:r w:rsidRPr="007769B2">
        <w:rPr>
          <w:rFonts w:ascii="Palatino Linotype" w:hAnsi="Palatino Linotype"/>
          <w:b/>
          <w:i/>
          <w:u w:val="single"/>
        </w:rPr>
        <w:t>Los sujetos obligados sólo proporcionarán la información pública que se les requiera y que obre en sus archivos</w:t>
      </w:r>
      <w:r w:rsidRPr="007769B2">
        <w:rPr>
          <w:rFonts w:ascii="Palatino Linotype" w:hAnsi="Palatino Linotype"/>
          <w:i/>
        </w:rPr>
        <w:t xml:space="preserve"> y en el estado en que ésta se encuentre. La obligación de proporcionar información no comprende el procesamiento de la misma, ni el presentarla conforme al interés del </w:t>
      </w:r>
      <w:r w:rsidRPr="007769B2">
        <w:rPr>
          <w:rFonts w:ascii="Palatino Linotype" w:hAnsi="Palatino Linotype"/>
          <w:i/>
        </w:rPr>
        <w:lastRenderedPageBreak/>
        <w:t>solicitante; no estarán obligados a generarla, resumirla, efectuar cálculos o practicar investigaciones.”</w:t>
      </w:r>
    </w:p>
    <w:p w14:paraId="21C25B65" w14:textId="77777777" w:rsidR="00FC1298" w:rsidRDefault="00FC1298" w:rsidP="00FC1298">
      <w:pPr>
        <w:autoSpaceDE w:val="0"/>
        <w:autoSpaceDN w:val="0"/>
        <w:adjustRightInd w:val="0"/>
        <w:spacing w:line="360" w:lineRule="auto"/>
        <w:jc w:val="both"/>
        <w:rPr>
          <w:rFonts w:ascii="Palatino Linotype" w:hAnsi="Palatino Linotype" w:cs="Arial"/>
        </w:rPr>
      </w:pPr>
    </w:p>
    <w:p w14:paraId="3838E94A" w14:textId="77777777" w:rsidR="00FC1298" w:rsidRPr="00A42B6E" w:rsidRDefault="00FC1298" w:rsidP="00FC1298">
      <w:pPr>
        <w:autoSpaceDE w:val="0"/>
        <w:autoSpaceDN w:val="0"/>
        <w:adjustRightInd w:val="0"/>
        <w:spacing w:line="360" w:lineRule="auto"/>
        <w:jc w:val="both"/>
        <w:rPr>
          <w:rFonts w:ascii="Palatino Linotype" w:hAnsi="Palatino Linotype" w:cs="Arial"/>
        </w:rPr>
      </w:pPr>
      <w:r w:rsidRPr="00B81A2B">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7A5A8D2D" w14:textId="77777777" w:rsidR="00FC1298" w:rsidRPr="00B81A2B" w:rsidRDefault="00FC1298" w:rsidP="00FC1298">
      <w:pPr>
        <w:autoSpaceDE w:val="0"/>
        <w:autoSpaceDN w:val="0"/>
        <w:adjustRightInd w:val="0"/>
        <w:spacing w:line="360" w:lineRule="auto"/>
        <w:jc w:val="both"/>
        <w:rPr>
          <w:rFonts w:ascii="Palatino Linotype" w:hAnsi="Palatino Linotype"/>
        </w:rPr>
      </w:pPr>
    </w:p>
    <w:p w14:paraId="7EE6FA9E" w14:textId="77777777" w:rsidR="00FC1298" w:rsidRPr="00B81A2B" w:rsidRDefault="00FC1298" w:rsidP="00FC1298">
      <w:pPr>
        <w:autoSpaceDE w:val="0"/>
        <w:autoSpaceDN w:val="0"/>
        <w:adjustRightInd w:val="0"/>
        <w:spacing w:line="360" w:lineRule="auto"/>
        <w:jc w:val="both"/>
        <w:rPr>
          <w:rFonts w:ascii="Palatino Linotype" w:hAnsi="Palatino Linotype"/>
        </w:rPr>
      </w:pPr>
      <w:r w:rsidRPr="00B81A2B">
        <w:rPr>
          <w:rFonts w:ascii="Palatino Linotype" w:hAnsi="Palatino Linotype"/>
        </w:rPr>
        <w:t xml:space="preserve">En </w:t>
      </w:r>
      <w:r>
        <w:rPr>
          <w:rFonts w:ascii="Palatino Linotype" w:hAnsi="Palatino Linotype"/>
        </w:rPr>
        <w:t xml:space="preserve">esa </w:t>
      </w:r>
      <w:r w:rsidRPr="00B81A2B">
        <w:rPr>
          <w:rFonts w:ascii="Palatino Linotype" w:hAnsi="Palatino Linotype"/>
        </w:rPr>
        <w:t>virtud</w:t>
      </w:r>
      <w:r>
        <w:rPr>
          <w:rFonts w:ascii="Palatino Linotype" w:hAnsi="Palatino Linotype"/>
        </w:rPr>
        <w:t>,</w:t>
      </w:r>
      <w:r w:rsidRPr="00B81A2B">
        <w:rPr>
          <w:rFonts w:ascii="Palatino Linotype" w:hAnsi="Palatino Linotype"/>
        </w:rPr>
        <w:t xml:space="preserve"> del análisis efectuado a las manifestaciones esgrimidas mediante su informe justificado, se advierte que </w:t>
      </w:r>
      <w:r w:rsidRPr="00B81A2B">
        <w:rPr>
          <w:rFonts w:ascii="Palatino Linotype" w:hAnsi="Palatino Linotype"/>
          <w:b/>
        </w:rPr>
        <w:t>El Sujeto Obligado</w:t>
      </w:r>
      <w:r w:rsidRPr="00B81A2B">
        <w:rPr>
          <w:rFonts w:ascii="Palatino Linotype" w:hAnsi="Palatino Linotype"/>
        </w:rPr>
        <w:t xml:space="preserve"> colma en su totalidad lo solicitado por la particular, como se desarrolló en los párrafos anteriores.</w:t>
      </w:r>
    </w:p>
    <w:p w14:paraId="7E298897"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1A69F92D"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Así, conviene recordar que la Ley de Transparencia de la entidad, en su artículo 192, contempla la figura jurídica del sobreseimiento, y específicamente en su hipótesis contenida en la fracción V, refiere que se sobreseerá el asunto cuando el recurso de revisión quede sin materia por cualquier motivo; lo que en el presente caso ocurrió, puesto que se atendió el requerimiento original del Recurrente al cual, en un primer momento, el Sujeto Obligado no dio respuesta.</w:t>
      </w:r>
    </w:p>
    <w:p w14:paraId="6E88F19C"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16A9EBB4"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Por lo anterior, en virtud de que el Sujeto Obligado, al momento de rendir su Informe Justificado, colmó las pretensiones del Recurrente y, por ende, se estima que una vez </w:t>
      </w:r>
      <w:r w:rsidRPr="00A86B05">
        <w:rPr>
          <w:rFonts w:ascii="Palatino Linotype" w:eastAsia="Calibri" w:hAnsi="Palatino Linotype" w:cs="Tahoma"/>
          <w:color w:val="000000"/>
          <w:szCs w:val="28"/>
          <w:lang w:eastAsia="en-US"/>
        </w:rPr>
        <w:lastRenderedPageBreak/>
        <w:t xml:space="preserve">satisfecho el derecho de acceso a la información pública del particular, el presente recurso de revisión ha quedado sin materia. </w:t>
      </w:r>
    </w:p>
    <w:p w14:paraId="0FC41FF3"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720A72A9" w14:textId="48AD67B3"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En conclusión, toda vez que el Sujeto Obligado colmó el requerimiento de Recurrente plasmado en la solicitud de información </w:t>
      </w:r>
      <w:r w:rsidR="00E96EBE" w:rsidRPr="00E96EBE">
        <w:rPr>
          <w:rFonts w:ascii="Palatino Linotype" w:eastAsia="Calibri" w:hAnsi="Palatino Linotype" w:cs="Tahoma"/>
          <w:b/>
          <w:bCs/>
          <w:color w:val="000000"/>
          <w:szCs w:val="28"/>
          <w:lang w:eastAsia="en-US"/>
        </w:rPr>
        <w:t>00339/TOLUCA/IP/2025</w:t>
      </w:r>
      <w:r w:rsidRPr="00A86B05">
        <w:rPr>
          <w:rFonts w:ascii="Palatino Linotype" w:eastAsia="Calibri" w:hAnsi="Palatino Linotype" w:cs="Tahoma"/>
          <w:color w:val="000000"/>
          <w:szCs w:val="28"/>
          <w:lang w:eastAsia="en-US"/>
        </w:rPr>
        <w:t xml:space="preserve"> con la rendición del Informe Justificado, se considera que no existen ya extremos legales para la procedencia del recurso, lo que conlleva a decretar el sobreseimiento. Es así que</w:t>
      </w:r>
      <w:r>
        <w:rPr>
          <w:rFonts w:ascii="Palatino Linotype" w:eastAsia="Calibri" w:hAnsi="Palatino Linotype" w:cs="Tahoma"/>
          <w:color w:val="000000"/>
          <w:szCs w:val="28"/>
          <w:lang w:eastAsia="en-US"/>
        </w:rPr>
        <w:t>,</w:t>
      </w:r>
      <w:r w:rsidRPr="00A86B05">
        <w:rPr>
          <w:rFonts w:ascii="Palatino Linotype" w:eastAsia="Calibri" w:hAnsi="Palatino Linotype" w:cs="Tahoma"/>
          <w:color w:val="000000"/>
          <w:szCs w:val="28"/>
          <w:lang w:eastAsia="en-US"/>
        </w:rPr>
        <w:t xml:space="preserve"> en el caso en concreto</w:t>
      </w:r>
      <w:r>
        <w:rPr>
          <w:rFonts w:ascii="Palatino Linotype" w:eastAsia="Calibri" w:hAnsi="Palatino Linotype" w:cs="Tahoma"/>
          <w:color w:val="000000"/>
          <w:szCs w:val="28"/>
          <w:lang w:eastAsia="en-US"/>
        </w:rPr>
        <w:t>,</w:t>
      </w:r>
      <w:r w:rsidRPr="00A86B05">
        <w:rPr>
          <w:rFonts w:ascii="Palatino Linotype" w:eastAsia="Calibri" w:hAnsi="Palatino Linotype" w:cs="Tahoma"/>
          <w:color w:val="000000"/>
          <w:szCs w:val="28"/>
          <w:lang w:eastAsia="en-US"/>
        </w:rPr>
        <w:t xml:space="preserve"> se actualiza la causal de sobreseimiento prevista en la fracción V del artículo 192 de la Ley de Transparencia y Acceso a la Información Pública del Estado de México y Municipio, que a la letra establece:</w:t>
      </w:r>
    </w:p>
    <w:p w14:paraId="15DD9EE1"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7224DD5A" w14:textId="77777777" w:rsidR="00FC1298" w:rsidRPr="00A86B05" w:rsidRDefault="00FC1298" w:rsidP="00FC1298">
      <w:pPr>
        <w:ind w:left="567" w:right="567"/>
        <w:contextualSpacing/>
        <w:jc w:val="both"/>
        <w:rPr>
          <w:rFonts w:ascii="Palatino Linotype" w:eastAsia="Calibri" w:hAnsi="Palatino Linotype" w:cs="Tahoma"/>
          <w:i/>
          <w:color w:val="000000"/>
          <w:szCs w:val="28"/>
          <w:lang w:eastAsia="en-US"/>
        </w:rPr>
      </w:pPr>
      <w:r w:rsidRPr="00A86B05">
        <w:rPr>
          <w:rFonts w:ascii="Palatino Linotype" w:eastAsia="Calibri" w:hAnsi="Palatino Linotype" w:cs="Tahoma"/>
          <w:b/>
          <w:i/>
          <w:color w:val="000000"/>
          <w:szCs w:val="28"/>
          <w:lang w:eastAsia="en-US"/>
        </w:rPr>
        <w:t xml:space="preserve">Artículo 192. </w:t>
      </w:r>
      <w:r w:rsidRPr="00A86B05">
        <w:rPr>
          <w:rFonts w:ascii="Palatino Linotype" w:eastAsia="Calibri" w:hAnsi="Palatino Linotype" w:cs="Tahoma"/>
          <w:i/>
          <w:color w:val="000000"/>
          <w:szCs w:val="28"/>
          <w:lang w:eastAsia="en-US"/>
        </w:rPr>
        <w:t>El recurso será sobreseído, en todo o en parte, cuando una vez admitido, se actualicen alguno de los siguientes supuestos:</w:t>
      </w:r>
    </w:p>
    <w:p w14:paraId="0B4CA7B4" w14:textId="77777777" w:rsidR="00FC1298" w:rsidRPr="00A86B05" w:rsidRDefault="00FC1298" w:rsidP="00FC1298">
      <w:pPr>
        <w:ind w:left="567" w:right="567"/>
        <w:contextualSpacing/>
        <w:jc w:val="both"/>
        <w:rPr>
          <w:rFonts w:ascii="Palatino Linotype" w:eastAsia="Calibri" w:hAnsi="Palatino Linotype" w:cs="Tahoma"/>
          <w:i/>
          <w:color w:val="000000"/>
          <w:szCs w:val="28"/>
          <w:lang w:eastAsia="en-US"/>
        </w:rPr>
      </w:pPr>
      <w:r w:rsidRPr="00A86B05">
        <w:rPr>
          <w:rFonts w:ascii="Palatino Linotype" w:eastAsia="Calibri" w:hAnsi="Palatino Linotype" w:cs="Tahoma"/>
          <w:i/>
          <w:color w:val="000000"/>
          <w:szCs w:val="28"/>
          <w:lang w:eastAsia="en-US"/>
        </w:rPr>
        <w:t>(…)</w:t>
      </w:r>
    </w:p>
    <w:p w14:paraId="16CA6E59" w14:textId="77777777" w:rsidR="00FC1298" w:rsidRPr="00A86B05" w:rsidRDefault="00FC1298" w:rsidP="00FC1298">
      <w:pPr>
        <w:ind w:left="567" w:right="567"/>
        <w:contextualSpacing/>
        <w:jc w:val="both"/>
        <w:rPr>
          <w:rFonts w:ascii="Palatino Linotype" w:eastAsia="Calibri" w:hAnsi="Palatino Linotype" w:cs="Tahoma"/>
          <w:b/>
          <w:i/>
          <w:color w:val="000000"/>
          <w:szCs w:val="28"/>
          <w:lang w:eastAsia="en-US"/>
        </w:rPr>
      </w:pPr>
      <w:r w:rsidRPr="00A86B05">
        <w:rPr>
          <w:rFonts w:ascii="Palatino Linotype" w:eastAsia="Calibri" w:hAnsi="Palatino Linotype" w:cs="Tahoma"/>
          <w:b/>
          <w:i/>
          <w:color w:val="000000"/>
          <w:szCs w:val="28"/>
          <w:lang w:eastAsia="en-US"/>
        </w:rPr>
        <w:t>V. Cuando por cualquier motivo quede sin materia el recurso.</w:t>
      </w:r>
    </w:p>
    <w:p w14:paraId="6EF80A85"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0E2E5FD8"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Lo anterior es así, ya que el Pleno ha determinado que cuando el Sujeto Obligado mediante entrega, complemento o precisión proporciona la respuesta a la solicitud de información planteada, y la misma es coincidente con lo requerido por el solicitante, debe entenderse que este rubro queda sin materia al haber colmado el requerimiento inicial planteado.</w:t>
      </w:r>
    </w:p>
    <w:p w14:paraId="241F9F83"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6C372759"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r w:rsidRPr="00A86B05">
        <w:rPr>
          <w:rFonts w:ascii="Palatino Linotype" w:eastAsia="Calibri" w:hAnsi="Palatino Linotype" w:cs="Tahoma"/>
          <w:color w:val="000000"/>
          <w:szCs w:val="28"/>
          <w:lang w:eastAsia="en-US"/>
        </w:rPr>
        <w:t xml:space="preserve">Así, con fundamento en lo prescrito en los artículos 36 fracciones II y III, 186 </w:t>
      </w:r>
      <w:proofErr w:type="gramStart"/>
      <w:r w:rsidRPr="00A86B05">
        <w:rPr>
          <w:rFonts w:ascii="Palatino Linotype" w:eastAsia="Calibri" w:hAnsi="Palatino Linotype" w:cs="Tahoma"/>
          <w:color w:val="000000"/>
          <w:szCs w:val="28"/>
          <w:lang w:eastAsia="en-US"/>
        </w:rPr>
        <w:t>fracción</w:t>
      </w:r>
      <w:proofErr w:type="gramEnd"/>
      <w:r w:rsidRPr="00A86B05">
        <w:rPr>
          <w:rFonts w:ascii="Palatino Linotype" w:eastAsia="Calibri" w:hAnsi="Palatino Linotype" w:cs="Tahoma"/>
          <w:color w:val="000000"/>
          <w:szCs w:val="28"/>
          <w:lang w:eastAsia="en-US"/>
        </w:rPr>
        <w:t xml:space="preserve"> I y 192 fracción V de la Ley de Transparencia y Acceso a la Información Pública del Estado de México y Municipios el Pleno de este Órgano Garante:</w:t>
      </w:r>
    </w:p>
    <w:p w14:paraId="1AED7B78" w14:textId="77777777" w:rsidR="00FC1298" w:rsidRPr="00A86B05" w:rsidRDefault="00FC1298" w:rsidP="00FC1298">
      <w:pPr>
        <w:spacing w:line="360" w:lineRule="auto"/>
        <w:contextualSpacing/>
        <w:jc w:val="both"/>
        <w:rPr>
          <w:rFonts w:ascii="Palatino Linotype" w:eastAsia="Calibri" w:hAnsi="Palatino Linotype" w:cs="Tahoma"/>
          <w:color w:val="000000"/>
          <w:szCs w:val="28"/>
          <w:lang w:eastAsia="en-US"/>
        </w:rPr>
      </w:pPr>
    </w:p>
    <w:p w14:paraId="23A66112" w14:textId="77777777" w:rsidR="00FC1298" w:rsidRPr="00604E50" w:rsidRDefault="00FC1298" w:rsidP="00FC1298">
      <w:pPr>
        <w:pStyle w:val="Sinespaciado"/>
        <w:rPr>
          <w:rStyle w:val="Refdenotaalpie"/>
          <w:rFonts w:ascii="Palatino Linotype" w:hAnsi="Palatino Linotype"/>
          <w:vertAlign w:val="baseline"/>
        </w:rPr>
      </w:pPr>
    </w:p>
    <w:p w14:paraId="40E6A50A" w14:textId="77777777" w:rsidR="00FC1298" w:rsidRPr="00604E50" w:rsidRDefault="00FC1298" w:rsidP="00FC1298">
      <w:pPr>
        <w:spacing w:line="360" w:lineRule="auto"/>
        <w:ind w:right="-234" w:firstLine="567"/>
        <w:jc w:val="center"/>
        <w:rPr>
          <w:rFonts w:ascii="Palatino Linotype" w:hAnsi="Palatino Linotype"/>
          <w:b/>
          <w:sz w:val="28"/>
          <w:lang w:val="pt-BR"/>
        </w:rPr>
      </w:pPr>
      <w:r w:rsidRPr="00604E50">
        <w:rPr>
          <w:rFonts w:ascii="Palatino Linotype" w:hAnsi="Palatino Linotype"/>
          <w:b/>
          <w:sz w:val="28"/>
          <w:lang w:val="pt-BR"/>
        </w:rPr>
        <w:lastRenderedPageBreak/>
        <w:t>S E     R E S U E L V E</w:t>
      </w:r>
    </w:p>
    <w:p w14:paraId="6B563EA1" w14:textId="77777777" w:rsidR="00FC1298" w:rsidRPr="00604E50" w:rsidRDefault="00FC1298" w:rsidP="00FC1298">
      <w:pPr>
        <w:pStyle w:val="Sinespaciado"/>
      </w:pPr>
    </w:p>
    <w:p w14:paraId="66ADAA0F" w14:textId="3263A54F" w:rsidR="00FC1298" w:rsidRPr="00647342" w:rsidRDefault="00FC1298" w:rsidP="00FC1298">
      <w:pPr>
        <w:spacing w:line="360" w:lineRule="auto"/>
        <w:jc w:val="both"/>
        <w:rPr>
          <w:rFonts w:ascii="Palatino Linotype" w:hAnsi="Palatino Linotype"/>
          <w:color w:val="222222"/>
          <w:shd w:val="clear" w:color="auto" w:fill="FFFFFF"/>
        </w:rPr>
      </w:pPr>
      <w:r w:rsidRPr="00647342">
        <w:rPr>
          <w:rFonts w:ascii="Palatino Linotype" w:hAnsi="Palatino Linotype"/>
          <w:b/>
          <w:color w:val="222222"/>
          <w:sz w:val="28"/>
          <w:szCs w:val="28"/>
          <w:shd w:val="clear" w:color="auto" w:fill="FFFFFF"/>
        </w:rPr>
        <w:t>PRIMERO.</w:t>
      </w:r>
      <w:r w:rsidRPr="00647342">
        <w:rPr>
          <w:rFonts w:ascii="Palatino Linotype" w:hAnsi="Palatino Linotype"/>
          <w:color w:val="222222"/>
          <w:shd w:val="clear" w:color="auto" w:fill="FFFFFF"/>
        </w:rPr>
        <w:t xml:space="preserve"> Se</w:t>
      </w:r>
      <w:r w:rsidRPr="00647342">
        <w:rPr>
          <w:rFonts w:ascii="Palatino Linotype" w:hAnsi="Palatino Linotype"/>
          <w:b/>
          <w:color w:val="222222"/>
          <w:shd w:val="clear" w:color="auto" w:fill="FFFFFF"/>
        </w:rPr>
        <w:t xml:space="preserve"> SOBRESEE </w:t>
      </w:r>
      <w:r w:rsidRPr="00647342">
        <w:rPr>
          <w:rFonts w:ascii="Palatino Linotype" w:hAnsi="Palatino Linotype"/>
          <w:color w:val="222222"/>
          <w:shd w:val="clear" w:color="auto" w:fill="FFFFFF"/>
        </w:rPr>
        <w:t xml:space="preserve">el recurso de revisión número </w:t>
      </w:r>
      <w:r w:rsidR="00E96EBE" w:rsidRPr="00E96EBE">
        <w:rPr>
          <w:rFonts w:ascii="Palatino Linotype" w:hAnsi="Palatino Linotype"/>
          <w:b/>
          <w:bCs/>
          <w:color w:val="222222"/>
          <w:shd w:val="clear" w:color="auto" w:fill="FFFFFF"/>
        </w:rPr>
        <w:t>00339/TOLUCA/IP/2025</w:t>
      </w:r>
      <w:r w:rsidRPr="00647342">
        <w:rPr>
          <w:rFonts w:ascii="Palatino Linotype" w:hAnsi="Palatino Linotype"/>
          <w:color w:val="222222"/>
          <w:shd w:val="clear" w:color="auto" w:fill="FFFFFF"/>
        </w:rPr>
        <w:t xml:space="preserve">, por quedarse sin materia en términos del artículo 192 fracción V de la Ley de Transparencia y Acceso a la Información Pública del Estado de México y Municipios y del </w:t>
      </w:r>
      <w:r w:rsidRPr="00647342">
        <w:rPr>
          <w:rFonts w:ascii="Palatino Linotype" w:hAnsi="Palatino Linotype"/>
          <w:b/>
          <w:color w:val="222222"/>
          <w:shd w:val="clear" w:color="auto" w:fill="FFFFFF"/>
        </w:rPr>
        <w:t xml:space="preserve">Considerando </w:t>
      </w:r>
      <w:r>
        <w:rPr>
          <w:rFonts w:ascii="Palatino Linotype" w:hAnsi="Palatino Linotype"/>
          <w:b/>
          <w:color w:val="222222"/>
          <w:shd w:val="clear" w:color="auto" w:fill="FFFFFF"/>
        </w:rPr>
        <w:t>QUINTO</w:t>
      </w:r>
      <w:r w:rsidRPr="00647342">
        <w:rPr>
          <w:rFonts w:ascii="Palatino Linotype" w:hAnsi="Palatino Linotype"/>
          <w:color w:val="222222"/>
          <w:shd w:val="clear" w:color="auto" w:fill="FFFFFF"/>
        </w:rPr>
        <w:t xml:space="preserve"> de la presente resolución.</w:t>
      </w:r>
    </w:p>
    <w:p w14:paraId="2F620027" w14:textId="77777777" w:rsidR="00FC1298" w:rsidRPr="00604E50" w:rsidRDefault="00FC1298" w:rsidP="00FC1298">
      <w:pPr>
        <w:spacing w:line="360" w:lineRule="auto"/>
        <w:jc w:val="both"/>
        <w:rPr>
          <w:rFonts w:ascii="Palatino Linotype" w:hAnsi="Palatino Linotype"/>
          <w:color w:val="222222"/>
          <w:shd w:val="clear" w:color="auto" w:fill="FFFFFF"/>
        </w:rPr>
      </w:pPr>
    </w:p>
    <w:p w14:paraId="5DACB7ED" w14:textId="77777777" w:rsidR="00FC1298" w:rsidRPr="00604E50" w:rsidRDefault="00FC1298" w:rsidP="00FC1298">
      <w:pPr>
        <w:spacing w:line="360" w:lineRule="auto"/>
        <w:jc w:val="both"/>
        <w:rPr>
          <w:rFonts w:ascii="Palatino Linotype" w:eastAsiaTheme="minorHAnsi" w:hAnsi="Palatino Linotype" w:cstheme="minorBidi"/>
          <w:szCs w:val="22"/>
          <w:lang w:val="es-MX" w:eastAsia="en-US"/>
        </w:rPr>
      </w:pPr>
      <w:r>
        <w:rPr>
          <w:rFonts w:ascii="Palatino Linotype" w:hAnsi="Palatino Linotype" w:cs="Arial"/>
          <w:b/>
          <w:sz w:val="28"/>
        </w:rPr>
        <w:t>SEGUND</w:t>
      </w:r>
      <w:r w:rsidRPr="00604E50">
        <w:rPr>
          <w:rFonts w:ascii="Palatino Linotype" w:hAnsi="Palatino Linotype" w:cs="Arial"/>
          <w:b/>
          <w:sz w:val="28"/>
        </w:rPr>
        <w:t xml:space="preserve">O. </w:t>
      </w:r>
      <w:r w:rsidRPr="00604E50">
        <w:rPr>
          <w:rFonts w:ascii="Palatino Linotype" w:eastAsiaTheme="minorHAnsi" w:hAnsi="Palatino Linotype" w:cstheme="minorBidi"/>
          <w:b/>
          <w:szCs w:val="22"/>
          <w:lang w:val="es-MX" w:eastAsia="en-US"/>
        </w:rPr>
        <w:t>NOTIFÍQUESE</w:t>
      </w:r>
      <w:r w:rsidRPr="00604E50">
        <w:rPr>
          <w:rFonts w:ascii="Palatino Linotype" w:eastAsiaTheme="minorHAnsi" w:hAnsi="Palatino Linotype" w:cstheme="minorBidi"/>
          <w:szCs w:val="22"/>
          <w:lang w:val="es-MX" w:eastAsia="en-US"/>
        </w:rPr>
        <w:t xml:space="preserve"> la presente resolución al Titular de la Unidad de Transparencia del Sujeto Obligado</w:t>
      </w:r>
      <w:r w:rsidRPr="00604E50">
        <w:rPr>
          <w:rFonts w:ascii="Palatino Linotype" w:eastAsiaTheme="minorHAnsi" w:hAnsi="Palatino Linotype" w:cs="Arial"/>
          <w:lang w:val="es-MX" w:eastAsia="en-US"/>
        </w:rPr>
        <w:t xml:space="preserve"> a través del </w:t>
      </w:r>
      <w:r w:rsidRPr="00604E50">
        <w:rPr>
          <w:rFonts w:ascii="Palatino Linotype" w:eastAsiaTheme="minorHAnsi" w:hAnsi="Palatino Linotype" w:cs="Arial"/>
          <w:szCs w:val="22"/>
          <w:lang w:val="es-MX" w:eastAsia="en-US"/>
        </w:rPr>
        <w:t xml:space="preserve">Sistema de Acceso a la Información Mexiquense </w:t>
      </w:r>
      <w:r w:rsidRPr="00604E50">
        <w:rPr>
          <w:rFonts w:ascii="Palatino Linotype" w:eastAsiaTheme="minorHAnsi" w:hAnsi="Palatino Linotype" w:cs="Arial"/>
          <w:b/>
          <w:szCs w:val="22"/>
          <w:lang w:val="es-MX" w:eastAsia="en-US"/>
        </w:rPr>
        <w:t>(SAIMEX)</w:t>
      </w:r>
      <w:r>
        <w:rPr>
          <w:rFonts w:ascii="Palatino Linotype" w:eastAsiaTheme="minorHAnsi" w:hAnsi="Palatino Linotype" w:cstheme="minorBidi"/>
          <w:szCs w:val="22"/>
          <w:lang w:val="es-MX" w:eastAsia="en-US"/>
        </w:rPr>
        <w:t>.</w:t>
      </w:r>
    </w:p>
    <w:p w14:paraId="4618DE2E" w14:textId="77777777" w:rsidR="00FC1298" w:rsidRPr="00604E50" w:rsidRDefault="00FC1298" w:rsidP="00FC1298">
      <w:pPr>
        <w:autoSpaceDE w:val="0"/>
        <w:autoSpaceDN w:val="0"/>
        <w:adjustRightInd w:val="0"/>
        <w:spacing w:line="360" w:lineRule="auto"/>
        <w:ind w:right="49"/>
        <w:jc w:val="both"/>
        <w:rPr>
          <w:rFonts w:ascii="Palatino Linotype" w:hAnsi="Palatino Linotype" w:cs="Arial"/>
          <w:b/>
        </w:rPr>
      </w:pPr>
    </w:p>
    <w:p w14:paraId="12182A5C" w14:textId="39465E57" w:rsidR="009C1CD1" w:rsidRDefault="00F86C05" w:rsidP="00FC1298">
      <w:pPr>
        <w:spacing w:line="360" w:lineRule="auto"/>
        <w:jc w:val="both"/>
        <w:rPr>
          <w:rFonts w:ascii="Palatino Linotype" w:eastAsiaTheme="minorHAnsi" w:hAnsi="Palatino Linotype" w:cstheme="minorBidi"/>
          <w:lang w:val="es-MX" w:eastAsia="en-US"/>
        </w:rPr>
      </w:pPr>
      <w:r>
        <w:rPr>
          <w:rFonts w:ascii="Palatino Linotype" w:hAnsi="Palatino Linotype" w:cs="Arial"/>
          <w:b/>
          <w:noProof/>
          <w:sz w:val="28"/>
          <w:lang w:val="es-MX" w:eastAsia="es-MX"/>
        </w:rPr>
        <mc:AlternateContent>
          <mc:Choice Requires="wps">
            <w:drawing>
              <wp:anchor distT="0" distB="0" distL="114300" distR="114300" simplePos="0" relativeHeight="251659264" behindDoc="0" locked="0" layoutInCell="1" allowOverlap="1" wp14:anchorId="5B9E0506" wp14:editId="4D10CD4F">
                <wp:simplePos x="0" y="0"/>
                <wp:positionH relativeFrom="column">
                  <wp:posOffset>-32386</wp:posOffset>
                </wp:positionH>
                <wp:positionV relativeFrom="paragraph">
                  <wp:posOffset>1553844</wp:posOffset>
                </wp:positionV>
                <wp:extent cx="5762625" cy="284797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5762625" cy="2847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EE7E006"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22.35pt" to="451.2pt,3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" strokecolor="#5b9bd5 [3204]" strokeweight=".5pt">
                <v:stroke joinstyle="miter"/>
              </v:line>
            </w:pict>
          </mc:Fallback>
        </mc:AlternateContent>
      </w:r>
      <w:r w:rsidR="00FC1298">
        <w:rPr>
          <w:rFonts w:ascii="Palatino Linotype" w:hAnsi="Palatino Linotype" w:cs="Arial"/>
          <w:b/>
          <w:sz w:val="28"/>
        </w:rPr>
        <w:t>TERCERO</w:t>
      </w:r>
      <w:r w:rsidR="00FC1298" w:rsidRPr="00604E50">
        <w:rPr>
          <w:rFonts w:ascii="Palatino Linotype" w:hAnsi="Palatino Linotype" w:cs="Arial"/>
          <w:b/>
          <w:sz w:val="28"/>
        </w:rPr>
        <w:t xml:space="preserve">. </w:t>
      </w:r>
      <w:r w:rsidR="00FC1298" w:rsidRPr="00604E50">
        <w:rPr>
          <w:rFonts w:ascii="Palatino Linotype" w:eastAsiaTheme="minorHAnsi" w:hAnsi="Palatino Linotype" w:cs="Arial"/>
          <w:b/>
          <w:lang w:val="es-MX" w:eastAsia="en-US"/>
        </w:rPr>
        <w:t>NOTIFÍQUESE</w:t>
      </w:r>
      <w:r w:rsidR="00FC1298" w:rsidRPr="00604E50">
        <w:rPr>
          <w:rFonts w:ascii="Palatino Linotype" w:eastAsiaTheme="minorHAnsi" w:hAnsi="Palatino Linotype" w:cs="Arial"/>
          <w:lang w:val="es-MX" w:eastAsia="en-US"/>
        </w:rPr>
        <w:t xml:space="preserve"> al </w:t>
      </w:r>
      <w:r w:rsidR="00FC1298" w:rsidRPr="00604E50">
        <w:rPr>
          <w:rFonts w:ascii="Palatino Linotype" w:eastAsiaTheme="minorHAnsi" w:hAnsi="Palatino Linotype" w:cs="Arial"/>
          <w:b/>
          <w:lang w:val="es-MX" w:eastAsia="en-US"/>
        </w:rPr>
        <w:t>Recurrente</w:t>
      </w:r>
      <w:r w:rsidR="00FC1298" w:rsidRPr="00604E50">
        <w:rPr>
          <w:rFonts w:ascii="Palatino Linotype" w:eastAsiaTheme="minorHAnsi" w:hAnsi="Palatino Linotype" w:cs="Arial"/>
          <w:lang w:val="es-MX" w:eastAsia="en-US"/>
        </w:rPr>
        <w:t xml:space="preserve"> la presente resolución a través del </w:t>
      </w:r>
      <w:r w:rsidR="00FC1298" w:rsidRPr="00604E50">
        <w:rPr>
          <w:rFonts w:ascii="Palatino Linotype" w:eastAsiaTheme="minorHAnsi" w:hAnsi="Palatino Linotype" w:cs="Arial"/>
          <w:szCs w:val="22"/>
          <w:lang w:val="es-MX" w:eastAsia="en-US"/>
        </w:rPr>
        <w:t xml:space="preserve">Sistema de Acceso a la Información Mexiquense </w:t>
      </w:r>
      <w:r w:rsidR="00FC1298" w:rsidRPr="00604E50">
        <w:rPr>
          <w:rFonts w:ascii="Palatino Linotype" w:eastAsiaTheme="minorHAnsi" w:hAnsi="Palatino Linotype" w:cs="Arial"/>
          <w:b/>
          <w:szCs w:val="22"/>
          <w:lang w:val="es-MX" w:eastAsia="en-US"/>
        </w:rPr>
        <w:t>(SAIMEX)</w:t>
      </w:r>
      <w:r w:rsidR="00FC1298" w:rsidRPr="00604E50">
        <w:rPr>
          <w:rFonts w:ascii="Palatino Linotype" w:eastAsiaTheme="minorHAnsi" w:hAnsi="Palatino Linotype" w:cs="Arial"/>
          <w:bCs/>
          <w:lang w:val="es-MX" w:eastAsia="en-US"/>
        </w:rPr>
        <w:t>,</w:t>
      </w:r>
      <w:r w:rsidR="00FC1298" w:rsidRPr="00604E50">
        <w:rPr>
          <w:rFonts w:ascii="Palatino Linotype" w:eastAsiaTheme="minorHAnsi" w:hAnsi="Palatino Linotype" w:cs="Arial"/>
          <w:lang w:val="es-MX" w:eastAsia="en-US"/>
        </w:rPr>
        <w:t xml:space="preserve"> 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00360A93" w14:textId="32737777" w:rsidR="00772AF9" w:rsidRDefault="00772AF9" w:rsidP="009C1CD1">
      <w:pPr>
        <w:spacing w:line="360" w:lineRule="auto"/>
        <w:jc w:val="both"/>
        <w:rPr>
          <w:rFonts w:ascii="Palatino Linotype" w:eastAsiaTheme="minorHAnsi" w:hAnsi="Palatino Linotype" w:cstheme="minorBidi"/>
          <w:lang w:val="es-MX" w:eastAsia="en-US"/>
        </w:rPr>
      </w:pPr>
    </w:p>
    <w:p w14:paraId="12BACFB3" w14:textId="55BD8516" w:rsidR="00F86C05" w:rsidRDefault="00F86C05" w:rsidP="009C1CD1">
      <w:pPr>
        <w:spacing w:line="360" w:lineRule="auto"/>
        <w:jc w:val="both"/>
        <w:rPr>
          <w:rFonts w:ascii="Palatino Linotype" w:eastAsiaTheme="minorHAnsi" w:hAnsi="Palatino Linotype" w:cstheme="minorBidi"/>
          <w:lang w:val="es-MX" w:eastAsia="en-US"/>
        </w:rPr>
      </w:pPr>
    </w:p>
    <w:p w14:paraId="62A77D20" w14:textId="6AA351D6" w:rsidR="00F86C05" w:rsidRDefault="00F86C05" w:rsidP="009C1CD1">
      <w:pPr>
        <w:spacing w:line="360" w:lineRule="auto"/>
        <w:jc w:val="both"/>
        <w:rPr>
          <w:rFonts w:ascii="Palatino Linotype" w:eastAsiaTheme="minorHAnsi" w:hAnsi="Palatino Linotype" w:cstheme="minorBidi"/>
          <w:lang w:val="es-MX" w:eastAsia="en-US"/>
        </w:rPr>
      </w:pPr>
    </w:p>
    <w:p w14:paraId="16876CBD" w14:textId="7F75F0D3" w:rsidR="00F86C05" w:rsidRDefault="00F86C05" w:rsidP="009C1CD1">
      <w:pPr>
        <w:spacing w:line="360" w:lineRule="auto"/>
        <w:jc w:val="both"/>
        <w:rPr>
          <w:rFonts w:ascii="Palatino Linotype" w:eastAsiaTheme="minorHAnsi" w:hAnsi="Palatino Linotype" w:cstheme="minorBidi"/>
          <w:lang w:val="es-MX" w:eastAsia="en-US"/>
        </w:rPr>
      </w:pPr>
    </w:p>
    <w:p w14:paraId="6AA4C4AA" w14:textId="5DD37CD4" w:rsidR="00F86C05" w:rsidRDefault="00F86C05" w:rsidP="009C1CD1">
      <w:pPr>
        <w:spacing w:line="360" w:lineRule="auto"/>
        <w:jc w:val="both"/>
        <w:rPr>
          <w:rFonts w:ascii="Palatino Linotype" w:eastAsiaTheme="minorHAnsi" w:hAnsi="Palatino Linotype" w:cstheme="minorBidi"/>
          <w:lang w:val="es-MX" w:eastAsia="en-US"/>
        </w:rPr>
      </w:pPr>
    </w:p>
    <w:p w14:paraId="1568BD11" w14:textId="3DDD5AC4" w:rsidR="00F86C05" w:rsidRDefault="00F86C05" w:rsidP="009C1CD1">
      <w:pPr>
        <w:spacing w:line="360" w:lineRule="auto"/>
        <w:jc w:val="both"/>
        <w:rPr>
          <w:rFonts w:ascii="Palatino Linotype" w:eastAsiaTheme="minorHAnsi" w:hAnsi="Palatino Linotype" w:cstheme="minorBidi"/>
          <w:lang w:val="es-MX" w:eastAsia="en-US"/>
        </w:rPr>
      </w:pPr>
    </w:p>
    <w:p w14:paraId="6FEFE199" w14:textId="03442974" w:rsidR="00F86C05" w:rsidRDefault="00F86C05" w:rsidP="009C1CD1">
      <w:pPr>
        <w:spacing w:line="360" w:lineRule="auto"/>
        <w:jc w:val="both"/>
        <w:rPr>
          <w:rFonts w:ascii="Palatino Linotype" w:eastAsiaTheme="minorHAnsi" w:hAnsi="Palatino Linotype" w:cstheme="minorBidi"/>
          <w:lang w:val="es-MX" w:eastAsia="en-US"/>
        </w:rPr>
      </w:pPr>
    </w:p>
    <w:p w14:paraId="68F6FA9E" w14:textId="66F5E31B" w:rsidR="00F86C05" w:rsidRDefault="00F86C05" w:rsidP="009C1CD1">
      <w:pPr>
        <w:spacing w:line="360" w:lineRule="auto"/>
        <w:jc w:val="both"/>
        <w:rPr>
          <w:rFonts w:ascii="Palatino Linotype" w:eastAsiaTheme="minorHAnsi" w:hAnsi="Palatino Linotype" w:cstheme="minorBidi"/>
          <w:lang w:val="es-MX" w:eastAsia="en-US"/>
        </w:rPr>
      </w:pPr>
    </w:p>
    <w:p w14:paraId="02166664" w14:textId="77777777" w:rsidR="00F86C05" w:rsidRPr="009C1CD1" w:rsidRDefault="00F86C05" w:rsidP="009C1CD1">
      <w:pPr>
        <w:spacing w:line="360" w:lineRule="auto"/>
        <w:jc w:val="both"/>
        <w:rPr>
          <w:rFonts w:ascii="Palatino Linotype" w:eastAsiaTheme="minorHAnsi" w:hAnsi="Palatino Linotype" w:cstheme="minorBidi"/>
          <w:lang w:val="es-MX" w:eastAsia="en-US"/>
        </w:rPr>
      </w:pPr>
    </w:p>
    <w:p w14:paraId="57537907" w14:textId="1FF087CE"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lastRenderedPageBreak/>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F86C05">
        <w:rPr>
          <w:rFonts w:ascii="Palatino Linotype" w:eastAsiaTheme="minorHAnsi" w:hAnsi="Palatino Linotype" w:cs="Arial"/>
          <w:lang w:val="es-MX" w:eastAsia="en-US"/>
        </w:rPr>
        <w:t>DÉCIMA SEGUNDA</w:t>
      </w:r>
      <w:r w:rsidRPr="00B341AE">
        <w:rPr>
          <w:rFonts w:ascii="Palatino Linotype" w:eastAsiaTheme="minorHAnsi" w:hAnsi="Palatino Linotype" w:cs="Arial"/>
          <w:lang w:val="es-MX" w:eastAsia="en-US"/>
        </w:rPr>
        <w:t xml:space="preserve"> SESIÓN ORDINARIA CELEBRADA EL </w:t>
      </w:r>
      <w:r w:rsidR="00F86C05">
        <w:rPr>
          <w:rFonts w:ascii="Palatino Linotype" w:eastAsiaTheme="minorHAnsi" w:hAnsi="Palatino Linotype" w:cs="Arial"/>
          <w:lang w:val="es-MX" w:eastAsia="en-US"/>
        </w:rPr>
        <w:t xml:space="preserve">DOS DE ABRIL </w:t>
      </w:r>
      <w:r w:rsidRPr="00B341AE">
        <w:rPr>
          <w:rFonts w:ascii="Palatino Linotype" w:eastAsiaTheme="minorHAnsi" w:hAnsi="Palatino Linotype" w:cs="Arial"/>
          <w:lang w:val="es-MX" w:eastAsia="en-US"/>
        </w:rPr>
        <w:t xml:space="preserve">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SECRETARIO TÉCNICO DEL PLENO, ALEXIS TAPIA RAMÍREZ. ----</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2C7968" w:rsidRPr="002C7968">
        <w:rPr>
          <w:rFonts w:ascii="Palatino Linotype" w:eastAsiaTheme="minorHAnsi" w:hAnsi="Palatino Linotype" w:cs="Arial"/>
          <w:lang w:val="es-MX" w:eastAsia="en-US"/>
        </w:rPr>
        <w:t>--------------------------------------------------------------------------------------------------------------------------------------------------------------------------------------------------------------------------------------------------------------------------------------------------------------------------------------------------------------------------------------------------------------------------------------------------------------------------------------------------------------------------------------------------------------------------------------------------------------------------------------------------------------------------------------------------------------------------------------------------------------------------------------------------------------------------------------------------------------------------------------------------------------------------------------------------------------------------------------------------------------------------------------------------------------------------------------------------------------------------------------------------------------------------------------------------------------------------------------------------------------------------------------------------------------------------------------------------------------------------------------------------------------------------------------------------------------------------------------------------------------------------------------------------------------------------------------------------------------------------------------------------------------------------------------------------------------------------------------------------------------------------------------------------------------------------------------------------------------------------</w:t>
      </w:r>
      <w:r w:rsidR="00F86C05">
        <w:rPr>
          <w:rFonts w:ascii="Palatino Linotype" w:eastAsiaTheme="minorHAnsi" w:hAnsi="Palatino Linotype" w:cs="Arial"/>
          <w:lang w:val="es-MX" w:eastAsia="en-US"/>
        </w:rPr>
        <w:t>-----------------------------</w:t>
      </w:r>
      <w:r w:rsidR="002C7968">
        <w:rPr>
          <w:rFonts w:ascii="Palatino Linotype" w:eastAsiaTheme="minorHAnsi" w:hAnsi="Palatino Linotype" w:cs="Arial"/>
          <w:lang w:val="es-MX" w:eastAsia="en-US"/>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5EB18051" w14:textId="77777777" w:rsidR="00E24920" w:rsidRDefault="00E24920" w:rsidP="00B341AE">
      <w:pPr>
        <w:spacing w:line="360" w:lineRule="auto"/>
        <w:jc w:val="both"/>
        <w:rPr>
          <w:rFonts w:ascii="Palatino Linotype" w:eastAsiaTheme="minorHAnsi" w:hAnsi="Palatino Linotype" w:cs="Arial"/>
          <w:lang w:val="es-MX" w:eastAsia="en-US"/>
        </w:rPr>
      </w:pPr>
    </w:p>
    <w:p w14:paraId="5A947CAA" w14:textId="77777777" w:rsidR="00E24920" w:rsidRDefault="00E24920" w:rsidP="00B341AE">
      <w:pPr>
        <w:spacing w:line="360" w:lineRule="auto"/>
        <w:jc w:val="both"/>
        <w:rPr>
          <w:rFonts w:ascii="Palatino Linotype" w:eastAsiaTheme="minorHAnsi" w:hAnsi="Palatino Linotype" w:cs="Arial"/>
          <w:lang w:val="es-MX" w:eastAsia="en-US"/>
        </w:rPr>
      </w:pPr>
    </w:p>
    <w:p w14:paraId="0D7F6C6A" w14:textId="77777777" w:rsidR="00E24920" w:rsidRDefault="00E24920" w:rsidP="00B341AE">
      <w:pPr>
        <w:spacing w:line="360" w:lineRule="auto"/>
        <w:jc w:val="both"/>
        <w:rPr>
          <w:rFonts w:ascii="Palatino Linotype" w:eastAsiaTheme="minorHAnsi" w:hAnsi="Palatino Linotype" w:cs="Arial"/>
          <w:lang w:val="es-MX" w:eastAsia="en-US"/>
        </w:rPr>
      </w:pPr>
    </w:p>
    <w:p w14:paraId="6C6ECC23" w14:textId="77777777" w:rsidR="00E24920" w:rsidRDefault="00E24920" w:rsidP="00B341AE">
      <w:pPr>
        <w:spacing w:line="360" w:lineRule="auto"/>
        <w:jc w:val="both"/>
        <w:rPr>
          <w:rFonts w:ascii="Palatino Linotype" w:eastAsiaTheme="minorHAnsi" w:hAnsi="Palatino Linotype" w:cs="Arial"/>
          <w:lang w:val="es-MX" w:eastAsia="en-US"/>
        </w:rPr>
      </w:pPr>
    </w:p>
    <w:p w14:paraId="719A4C4E" w14:textId="77777777" w:rsidR="00E24920" w:rsidRDefault="00E24920" w:rsidP="00B341AE">
      <w:pPr>
        <w:spacing w:line="360" w:lineRule="auto"/>
        <w:jc w:val="both"/>
        <w:rPr>
          <w:rFonts w:ascii="Palatino Linotype" w:eastAsiaTheme="minorHAnsi" w:hAnsi="Palatino Linotype" w:cs="Arial"/>
          <w:lang w:val="es-MX" w:eastAsia="en-US"/>
        </w:rPr>
      </w:pPr>
    </w:p>
    <w:p w14:paraId="476E3443" w14:textId="77777777" w:rsidR="00E24920" w:rsidRDefault="00E24920" w:rsidP="00B341AE">
      <w:pPr>
        <w:spacing w:line="360" w:lineRule="auto"/>
        <w:jc w:val="both"/>
        <w:rPr>
          <w:rFonts w:ascii="Palatino Linotype" w:eastAsiaTheme="minorHAnsi" w:hAnsi="Palatino Linotype" w:cs="Arial"/>
          <w:lang w:val="es-MX" w:eastAsia="en-US"/>
        </w:rPr>
      </w:pPr>
    </w:p>
    <w:p w14:paraId="69D7C5C7" w14:textId="77777777" w:rsidR="00E24920" w:rsidRDefault="00E24920" w:rsidP="00B341AE">
      <w:pPr>
        <w:spacing w:line="360" w:lineRule="auto"/>
        <w:jc w:val="both"/>
        <w:rPr>
          <w:rFonts w:ascii="Palatino Linotype" w:eastAsiaTheme="minorHAnsi" w:hAnsi="Palatino Linotype" w:cs="Arial"/>
          <w:lang w:val="es-MX" w:eastAsia="en-US"/>
        </w:rPr>
      </w:pPr>
    </w:p>
    <w:p w14:paraId="15CB6286" w14:textId="77777777" w:rsidR="00E24920" w:rsidRPr="00B341AE" w:rsidRDefault="00E24920" w:rsidP="00B341AE">
      <w:pPr>
        <w:spacing w:line="360" w:lineRule="auto"/>
        <w:jc w:val="both"/>
        <w:rPr>
          <w:rFonts w:ascii="Palatino Linotype" w:eastAsiaTheme="minorHAnsi" w:hAnsi="Palatino Linotype" w:cs="Arial"/>
          <w:lang w:val="es-MX" w:eastAsia="en-US"/>
        </w:rPr>
      </w:pPr>
    </w:p>
    <w:p w14:paraId="1F8F7F99"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1B7DDC3C" w14:textId="77777777" w:rsidR="00B341AE" w:rsidRDefault="00B341AE" w:rsidP="0029071C">
      <w:pPr>
        <w:spacing w:line="360" w:lineRule="auto"/>
        <w:jc w:val="both"/>
        <w:rPr>
          <w:rFonts w:ascii="Palatino Linotype" w:eastAsiaTheme="minorHAnsi" w:hAnsi="Palatino Linotype" w:cs="Arial"/>
          <w:b/>
          <w:sz w:val="28"/>
          <w:lang w:val="es-MX" w:eastAsia="en-US"/>
        </w:rPr>
      </w:pPr>
    </w:p>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6B2A1705" w:rsidR="0029071C" w:rsidRPr="003E56C9" w:rsidRDefault="0029071C" w:rsidP="003E56C9"/>
    <w:sectPr w:rsidR="0029071C" w:rsidRPr="003E56C9" w:rsidSect="00792E66">
      <w:headerReference w:type="even" r:id="rId12"/>
      <w:headerReference w:type="default" r:id="rId13"/>
      <w:footerReference w:type="default" r:id="rId14"/>
      <w:headerReference w:type="first" r:id="rId15"/>
      <w:footerReference w:type="first" r:id="rId16"/>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E9797" w14:textId="77777777" w:rsidR="00527C36" w:rsidRDefault="00527C36" w:rsidP="000B5E25">
      <w:r>
        <w:separator/>
      </w:r>
    </w:p>
  </w:endnote>
  <w:endnote w:type="continuationSeparator" w:id="0">
    <w:p w14:paraId="736D4FA6" w14:textId="77777777" w:rsidR="00527C36" w:rsidRDefault="00527C3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13757E72" w:rsidR="003676E0" w:rsidRPr="000D3AD4" w:rsidRDefault="003676E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74116">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74116">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5C1BE9EF" w:rsidR="003676E0" w:rsidRPr="000D3AD4" w:rsidRDefault="003676E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C74116">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C74116">
      <w:rPr>
        <w:rFonts w:ascii="Palatino Linotype" w:hAnsi="Palatino Linotype" w:cs="Arial"/>
        <w:bCs/>
        <w:noProof/>
        <w:sz w:val="20"/>
        <w:szCs w:val="20"/>
      </w:rPr>
      <w:t>31</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D5390" w14:textId="77777777" w:rsidR="00527C36" w:rsidRDefault="00527C36" w:rsidP="000B5E25">
      <w:r>
        <w:separator/>
      </w:r>
    </w:p>
  </w:footnote>
  <w:footnote w:type="continuationSeparator" w:id="0">
    <w:p w14:paraId="7DFE4344" w14:textId="77777777" w:rsidR="00527C36" w:rsidRDefault="00527C36"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3676E0" w:rsidRDefault="00C74116">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676E0" w:rsidRPr="008F2CCC" w14:paraId="6A2352FA" w14:textId="77777777" w:rsidTr="00BA27FC">
      <w:tc>
        <w:tcPr>
          <w:tcW w:w="2551" w:type="dxa"/>
          <w:shd w:val="clear" w:color="auto" w:fill="auto"/>
          <w:vAlign w:val="center"/>
        </w:tcPr>
        <w:p w14:paraId="217E963F"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14867A57" w:rsidR="003676E0" w:rsidRPr="0029071C" w:rsidRDefault="003676E0"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01270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3676E0" w:rsidRPr="008F2CCC" w14:paraId="1F299A1F" w14:textId="77777777" w:rsidTr="00BA27FC">
      <w:trPr>
        <w:trHeight w:val="228"/>
      </w:trPr>
      <w:tc>
        <w:tcPr>
          <w:tcW w:w="2551" w:type="dxa"/>
          <w:shd w:val="clear" w:color="auto" w:fill="auto"/>
          <w:vAlign w:val="center"/>
        </w:tcPr>
        <w:p w14:paraId="683328AB"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C434BE6" w:rsidR="003676E0" w:rsidRPr="0029071C" w:rsidRDefault="003676E0" w:rsidP="0090178D">
          <w:pPr>
            <w:spacing w:line="276" w:lineRule="auto"/>
            <w:jc w:val="right"/>
            <w:rPr>
              <w:rFonts w:ascii="Palatino Linotype" w:hAnsi="Palatino Linotype"/>
              <w:sz w:val="22"/>
              <w:szCs w:val="22"/>
            </w:rPr>
          </w:pPr>
          <w:r w:rsidRPr="00FC1298">
            <w:rPr>
              <w:rFonts w:ascii="Palatino Linotype" w:hAnsi="Palatino Linotype"/>
              <w:sz w:val="22"/>
              <w:szCs w:val="22"/>
            </w:rPr>
            <w:t>Ayuntamiento de Toluca</w:t>
          </w:r>
        </w:p>
      </w:tc>
    </w:tr>
    <w:tr w:rsidR="003676E0" w:rsidRPr="008F2CCC" w14:paraId="46D09EF7" w14:textId="77777777" w:rsidTr="00BA27FC">
      <w:tc>
        <w:tcPr>
          <w:tcW w:w="2551" w:type="dxa"/>
          <w:shd w:val="clear" w:color="auto" w:fill="auto"/>
          <w:vAlign w:val="center"/>
        </w:tcPr>
        <w:p w14:paraId="1A0A5ED2"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3676E0" w:rsidRPr="0029071C" w:rsidRDefault="003676E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3676E0" w:rsidRPr="001779E0" w:rsidRDefault="00C74116"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3676E0" w:rsidRPr="008F2CCC" w14:paraId="647E1A5E" w14:textId="77777777" w:rsidTr="00BA27FC">
      <w:tc>
        <w:tcPr>
          <w:tcW w:w="2551" w:type="dxa"/>
          <w:shd w:val="clear" w:color="auto" w:fill="auto"/>
          <w:vAlign w:val="center"/>
        </w:tcPr>
        <w:p w14:paraId="61C1A94D"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83149C6" w:rsidR="003676E0" w:rsidRPr="0029071C" w:rsidRDefault="003676E0" w:rsidP="00F4128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01270</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3676E0" w:rsidRPr="008F2CCC" w14:paraId="34929B82" w14:textId="77777777" w:rsidTr="00BA27FC">
      <w:tc>
        <w:tcPr>
          <w:tcW w:w="2551" w:type="dxa"/>
          <w:shd w:val="clear" w:color="auto" w:fill="auto"/>
          <w:vAlign w:val="center"/>
        </w:tcPr>
        <w:p w14:paraId="54C68700"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2F4FFE18" w:rsidR="003676E0" w:rsidRPr="006D30E6" w:rsidRDefault="00C74116"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3676E0" w:rsidRPr="008F2CCC" w14:paraId="15459416" w14:textId="77777777" w:rsidTr="00BA27FC">
      <w:trPr>
        <w:trHeight w:val="228"/>
      </w:trPr>
      <w:tc>
        <w:tcPr>
          <w:tcW w:w="2551" w:type="dxa"/>
          <w:shd w:val="clear" w:color="auto" w:fill="auto"/>
          <w:vAlign w:val="center"/>
        </w:tcPr>
        <w:p w14:paraId="776491B5"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546C0332" w:rsidR="003676E0" w:rsidRPr="0029071C" w:rsidRDefault="003676E0" w:rsidP="0090178D">
          <w:pPr>
            <w:spacing w:line="276" w:lineRule="auto"/>
            <w:jc w:val="right"/>
            <w:rPr>
              <w:rFonts w:ascii="Palatino Linotype" w:hAnsi="Palatino Linotype"/>
              <w:sz w:val="22"/>
              <w:szCs w:val="22"/>
            </w:rPr>
          </w:pPr>
          <w:r w:rsidRPr="00FC1298">
            <w:rPr>
              <w:rFonts w:ascii="Palatino Linotype" w:hAnsi="Palatino Linotype"/>
              <w:sz w:val="22"/>
              <w:szCs w:val="22"/>
            </w:rPr>
            <w:t>Ayuntamiento de Toluca</w:t>
          </w:r>
        </w:p>
      </w:tc>
    </w:tr>
    <w:tr w:rsidR="003676E0" w:rsidRPr="008F2CCC" w14:paraId="5C009CDE" w14:textId="77777777" w:rsidTr="00BA27FC">
      <w:tc>
        <w:tcPr>
          <w:tcW w:w="2551" w:type="dxa"/>
          <w:shd w:val="clear" w:color="auto" w:fill="auto"/>
          <w:vAlign w:val="center"/>
        </w:tcPr>
        <w:p w14:paraId="294ED620" w14:textId="77777777" w:rsidR="003676E0" w:rsidRPr="008F5DAE" w:rsidRDefault="003676E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3676E0" w:rsidRPr="0029071C" w:rsidRDefault="003676E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3676E0" w:rsidRPr="008F2CCC" w14:paraId="31DA1ECE" w14:textId="77777777" w:rsidTr="00BA27FC">
      <w:tc>
        <w:tcPr>
          <w:tcW w:w="2551" w:type="dxa"/>
          <w:shd w:val="clear" w:color="auto" w:fill="auto"/>
          <w:vAlign w:val="center"/>
        </w:tcPr>
        <w:p w14:paraId="1E8ECF6F" w14:textId="77777777" w:rsidR="003676E0" w:rsidRPr="008F5DAE" w:rsidRDefault="003676E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3676E0" w:rsidRPr="00BA27FC" w:rsidRDefault="003676E0" w:rsidP="00BA27FC">
          <w:pPr>
            <w:spacing w:line="276" w:lineRule="auto"/>
            <w:rPr>
              <w:rFonts w:ascii="Palatino Linotype" w:hAnsi="Palatino Linotype"/>
              <w:sz w:val="14"/>
              <w:szCs w:val="22"/>
              <w:lang w:val="es-ES_tradnl"/>
            </w:rPr>
          </w:pPr>
        </w:p>
      </w:tc>
    </w:tr>
  </w:tbl>
  <w:p w14:paraId="17DC856D" w14:textId="77777777" w:rsidR="003676E0" w:rsidRPr="009F1AB6" w:rsidRDefault="00C74116">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227ECD"/>
    <w:multiLevelType w:val="hybridMultilevel"/>
    <w:tmpl w:val="818AF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41E41C95"/>
    <w:multiLevelType w:val="hybridMultilevel"/>
    <w:tmpl w:val="8C46DBC4"/>
    <w:lvl w:ilvl="0" w:tplc="A8D43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5"/>
  </w:num>
  <w:num w:numId="4">
    <w:abstractNumId w:val="7"/>
  </w:num>
  <w:num w:numId="5">
    <w:abstractNumId w:val="15"/>
  </w:num>
  <w:num w:numId="6">
    <w:abstractNumId w:val="0"/>
  </w:num>
  <w:num w:numId="7">
    <w:abstractNumId w:val="10"/>
  </w:num>
  <w:num w:numId="8">
    <w:abstractNumId w:val="8"/>
  </w:num>
  <w:num w:numId="9">
    <w:abstractNumId w:val="3"/>
  </w:num>
  <w:num w:numId="10">
    <w:abstractNumId w:val="4"/>
  </w:num>
  <w:num w:numId="11">
    <w:abstractNumId w:val="20"/>
  </w:num>
  <w:num w:numId="12">
    <w:abstractNumId w:val="14"/>
  </w:num>
  <w:num w:numId="13">
    <w:abstractNumId w:val="13"/>
  </w:num>
  <w:num w:numId="14">
    <w:abstractNumId w:val="16"/>
  </w:num>
  <w:num w:numId="15">
    <w:abstractNumId w:val="2"/>
  </w:num>
  <w:num w:numId="16">
    <w:abstractNumId w:val="18"/>
  </w:num>
  <w:num w:numId="17">
    <w:abstractNumId w:val="6"/>
  </w:num>
  <w:num w:numId="18">
    <w:abstractNumId w:val="17"/>
  </w:num>
  <w:num w:numId="19">
    <w:abstractNumId w:val="11"/>
  </w:num>
  <w:num w:numId="20">
    <w:abstractNumId w:val="12"/>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1953"/>
    <w:rsid w:val="000120BC"/>
    <w:rsid w:val="000153AF"/>
    <w:rsid w:val="00020D0B"/>
    <w:rsid w:val="0002117B"/>
    <w:rsid w:val="00021DCF"/>
    <w:rsid w:val="00023DA9"/>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A55"/>
    <w:rsid w:val="00091E1F"/>
    <w:rsid w:val="00093AE1"/>
    <w:rsid w:val="0009435E"/>
    <w:rsid w:val="00094CC7"/>
    <w:rsid w:val="000A2901"/>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64372"/>
    <w:rsid w:val="00170829"/>
    <w:rsid w:val="00170AA7"/>
    <w:rsid w:val="00171EE9"/>
    <w:rsid w:val="001751B0"/>
    <w:rsid w:val="0017615A"/>
    <w:rsid w:val="001762FA"/>
    <w:rsid w:val="00180A70"/>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3981"/>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06B79"/>
    <w:rsid w:val="002151BC"/>
    <w:rsid w:val="00216776"/>
    <w:rsid w:val="002167BB"/>
    <w:rsid w:val="00217E6C"/>
    <w:rsid w:val="00224947"/>
    <w:rsid w:val="00225163"/>
    <w:rsid w:val="0022726A"/>
    <w:rsid w:val="002273B6"/>
    <w:rsid w:val="002313F8"/>
    <w:rsid w:val="002329AD"/>
    <w:rsid w:val="00235936"/>
    <w:rsid w:val="00236CBA"/>
    <w:rsid w:val="00241C4E"/>
    <w:rsid w:val="00241E6D"/>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A040B"/>
    <w:rsid w:val="002A3F1A"/>
    <w:rsid w:val="002A4B43"/>
    <w:rsid w:val="002A676F"/>
    <w:rsid w:val="002B48AD"/>
    <w:rsid w:val="002C0BE5"/>
    <w:rsid w:val="002C240F"/>
    <w:rsid w:val="002C7968"/>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1A0E"/>
    <w:rsid w:val="00363F90"/>
    <w:rsid w:val="00365F0F"/>
    <w:rsid w:val="00367392"/>
    <w:rsid w:val="003676E0"/>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03A2"/>
    <w:rsid w:val="003B153A"/>
    <w:rsid w:val="003B1C85"/>
    <w:rsid w:val="003B3224"/>
    <w:rsid w:val="003B4CF3"/>
    <w:rsid w:val="003B63F7"/>
    <w:rsid w:val="003B70B0"/>
    <w:rsid w:val="003B7506"/>
    <w:rsid w:val="003C3563"/>
    <w:rsid w:val="003C6395"/>
    <w:rsid w:val="003C6E1C"/>
    <w:rsid w:val="003D0889"/>
    <w:rsid w:val="003D1214"/>
    <w:rsid w:val="003D32FC"/>
    <w:rsid w:val="003D5C8A"/>
    <w:rsid w:val="003D5F3E"/>
    <w:rsid w:val="003D7AF1"/>
    <w:rsid w:val="003E21A7"/>
    <w:rsid w:val="003E3BD5"/>
    <w:rsid w:val="003E3DAA"/>
    <w:rsid w:val="003E56C9"/>
    <w:rsid w:val="003E6C2E"/>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72ED"/>
    <w:rsid w:val="00470282"/>
    <w:rsid w:val="00484F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344"/>
    <w:rsid w:val="004F7F8A"/>
    <w:rsid w:val="00500B82"/>
    <w:rsid w:val="0050130E"/>
    <w:rsid w:val="0050243E"/>
    <w:rsid w:val="00507C0C"/>
    <w:rsid w:val="00511ABA"/>
    <w:rsid w:val="00514361"/>
    <w:rsid w:val="00515EFA"/>
    <w:rsid w:val="00515F14"/>
    <w:rsid w:val="005203ED"/>
    <w:rsid w:val="00520E0F"/>
    <w:rsid w:val="005234F2"/>
    <w:rsid w:val="00523808"/>
    <w:rsid w:val="00524A8D"/>
    <w:rsid w:val="00526853"/>
    <w:rsid w:val="00527C36"/>
    <w:rsid w:val="00527D5E"/>
    <w:rsid w:val="005327BF"/>
    <w:rsid w:val="0053343D"/>
    <w:rsid w:val="0054391A"/>
    <w:rsid w:val="005439BE"/>
    <w:rsid w:val="0054796A"/>
    <w:rsid w:val="005521C6"/>
    <w:rsid w:val="005527B5"/>
    <w:rsid w:val="00555C87"/>
    <w:rsid w:val="005619F6"/>
    <w:rsid w:val="00561A6E"/>
    <w:rsid w:val="00563B39"/>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33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278DF"/>
    <w:rsid w:val="00630BD1"/>
    <w:rsid w:val="00631E2F"/>
    <w:rsid w:val="00632E48"/>
    <w:rsid w:val="00634105"/>
    <w:rsid w:val="006345E3"/>
    <w:rsid w:val="00637F33"/>
    <w:rsid w:val="00643B58"/>
    <w:rsid w:val="0066047F"/>
    <w:rsid w:val="00660854"/>
    <w:rsid w:val="00661CC3"/>
    <w:rsid w:val="0066775F"/>
    <w:rsid w:val="00673084"/>
    <w:rsid w:val="006762A5"/>
    <w:rsid w:val="00681058"/>
    <w:rsid w:val="006810FF"/>
    <w:rsid w:val="00681ED0"/>
    <w:rsid w:val="00683574"/>
    <w:rsid w:val="00684C32"/>
    <w:rsid w:val="0069065D"/>
    <w:rsid w:val="00694976"/>
    <w:rsid w:val="00696D7B"/>
    <w:rsid w:val="006A200A"/>
    <w:rsid w:val="006A240A"/>
    <w:rsid w:val="006A2694"/>
    <w:rsid w:val="006A3506"/>
    <w:rsid w:val="006A6458"/>
    <w:rsid w:val="006B321A"/>
    <w:rsid w:val="006B3C0A"/>
    <w:rsid w:val="006B418F"/>
    <w:rsid w:val="006B4456"/>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2AF9"/>
    <w:rsid w:val="007764BB"/>
    <w:rsid w:val="007779D5"/>
    <w:rsid w:val="007828DC"/>
    <w:rsid w:val="00782922"/>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3020"/>
    <w:rsid w:val="008578BF"/>
    <w:rsid w:val="00857982"/>
    <w:rsid w:val="00864828"/>
    <w:rsid w:val="008660D6"/>
    <w:rsid w:val="008733BC"/>
    <w:rsid w:val="00880298"/>
    <w:rsid w:val="008803EF"/>
    <w:rsid w:val="00880D92"/>
    <w:rsid w:val="00882980"/>
    <w:rsid w:val="008907E4"/>
    <w:rsid w:val="00896D29"/>
    <w:rsid w:val="00897958"/>
    <w:rsid w:val="008A12CF"/>
    <w:rsid w:val="008A1A90"/>
    <w:rsid w:val="008A3681"/>
    <w:rsid w:val="008A64CB"/>
    <w:rsid w:val="008B082B"/>
    <w:rsid w:val="008B3DB9"/>
    <w:rsid w:val="008B6546"/>
    <w:rsid w:val="008C170A"/>
    <w:rsid w:val="008C3ADE"/>
    <w:rsid w:val="008C3B24"/>
    <w:rsid w:val="008C52F9"/>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C1CD1"/>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18AB"/>
    <w:rsid w:val="00A62CF2"/>
    <w:rsid w:val="00A6692F"/>
    <w:rsid w:val="00A6775F"/>
    <w:rsid w:val="00A72262"/>
    <w:rsid w:val="00A747D8"/>
    <w:rsid w:val="00A75827"/>
    <w:rsid w:val="00A7773A"/>
    <w:rsid w:val="00A80FAE"/>
    <w:rsid w:val="00A82119"/>
    <w:rsid w:val="00A83B4F"/>
    <w:rsid w:val="00A90858"/>
    <w:rsid w:val="00A9379F"/>
    <w:rsid w:val="00A9389D"/>
    <w:rsid w:val="00A95797"/>
    <w:rsid w:val="00A97381"/>
    <w:rsid w:val="00AA0A6C"/>
    <w:rsid w:val="00AA26B4"/>
    <w:rsid w:val="00AB15E3"/>
    <w:rsid w:val="00AB34F9"/>
    <w:rsid w:val="00AB4982"/>
    <w:rsid w:val="00AB4CE0"/>
    <w:rsid w:val="00AC3DB9"/>
    <w:rsid w:val="00AC626F"/>
    <w:rsid w:val="00AC687D"/>
    <w:rsid w:val="00AC7790"/>
    <w:rsid w:val="00AC7BC9"/>
    <w:rsid w:val="00AC7CD5"/>
    <w:rsid w:val="00AD30F3"/>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7DF2"/>
    <w:rsid w:val="00B71058"/>
    <w:rsid w:val="00B72FCB"/>
    <w:rsid w:val="00B7320F"/>
    <w:rsid w:val="00B802A5"/>
    <w:rsid w:val="00B8098B"/>
    <w:rsid w:val="00B80C9E"/>
    <w:rsid w:val="00B82DE9"/>
    <w:rsid w:val="00B83E10"/>
    <w:rsid w:val="00B84875"/>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C4E1D"/>
    <w:rsid w:val="00BD14B3"/>
    <w:rsid w:val="00BD1819"/>
    <w:rsid w:val="00BD269F"/>
    <w:rsid w:val="00BD4B93"/>
    <w:rsid w:val="00BD677A"/>
    <w:rsid w:val="00BD74AF"/>
    <w:rsid w:val="00BE1107"/>
    <w:rsid w:val="00BE233B"/>
    <w:rsid w:val="00BE7180"/>
    <w:rsid w:val="00BE7A6E"/>
    <w:rsid w:val="00BF0AD4"/>
    <w:rsid w:val="00BF2FBF"/>
    <w:rsid w:val="00BF4AAA"/>
    <w:rsid w:val="00BF58D2"/>
    <w:rsid w:val="00BF6E0F"/>
    <w:rsid w:val="00C0414E"/>
    <w:rsid w:val="00C058C8"/>
    <w:rsid w:val="00C07220"/>
    <w:rsid w:val="00C145A0"/>
    <w:rsid w:val="00C20F80"/>
    <w:rsid w:val="00C21BDE"/>
    <w:rsid w:val="00C2417C"/>
    <w:rsid w:val="00C249A6"/>
    <w:rsid w:val="00C2706B"/>
    <w:rsid w:val="00C27FA1"/>
    <w:rsid w:val="00C37A05"/>
    <w:rsid w:val="00C4326C"/>
    <w:rsid w:val="00C46059"/>
    <w:rsid w:val="00C464BA"/>
    <w:rsid w:val="00C468F3"/>
    <w:rsid w:val="00C50EC6"/>
    <w:rsid w:val="00C56DD5"/>
    <w:rsid w:val="00C57395"/>
    <w:rsid w:val="00C63F7B"/>
    <w:rsid w:val="00C6588E"/>
    <w:rsid w:val="00C70447"/>
    <w:rsid w:val="00C74116"/>
    <w:rsid w:val="00C753C2"/>
    <w:rsid w:val="00C755DB"/>
    <w:rsid w:val="00C802FB"/>
    <w:rsid w:val="00C8473B"/>
    <w:rsid w:val="00C8502C"/>
    <w:rsid w:val="00C85653"/>
    <w:rsid w:val="00C86669"/>
    <w:rsid w:val="00C87949"/>
    <w:rsid w:val="00CA216C"/>
    <w:rsid w:val="00CA4BF9"/>
    <w:rsid w:val="00CA62C6"/>
    <w:rsid w:val="00CA7698"/>
    <w:rsid w:val="00CB3433"/>
    <w:rsid w:val="00CB54CA"/>
    <w:rsid w:val="00CB5558"/>
    <w:rsid w:val="00CC0700"/>
    <w:rsid w:val="00CC0B81"/>
    <w:rsid w:val="00CC2F50"/>
    <w:rsid w:val="00CC30A4"/>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C55"/>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65F7"/>
    <w:rsid w:val="00DA74C3"/>
    <w:rsid w:val="00DB368A"/>
    <w:rsid w:val="00DC1583"/>
    <w:rsid w:val="00DC2B31"/>
    <w:rsid w:val="00DC3FEA"/>
    <w:rsid w:val="00DC76D5"/>
    <w:rsid w:val="00DD1866"/>
    <w:rsid w:val="00DD5A69"/>
    <w:rsid w:val="00DE01B9"/>
    <w:rsid w:val="00DE0A8D"/>
    <w:rsid w:val="00DE23BF"/>
    <w:rsid w:val="00DE347D"/>
    <w:rsid w:val="00DE4773"/>
    <w:rsid w:val="00DE562A"/>
    <w:rsid w:val="00DE5A03"/>
    <w:rsid w:val="00DE5DC2"/>
    <w:rsid w:val="00DE7148"/>
    <w:rsid w:val="00DF0080"/>
    <w:rsid w:val="00DF1988"/>
    <w:rsid w:val="00DF35F0"/>
    <w:rsid w:val="00DF62A4"/>
    <w:rsid w:val="00DF700F"/>
    <w:rsid w:val="00E00D15"/>
    <w:rsid w:val="00E06D0C"/>
    <w:rsid w:val="00E11B18"/>
    <w:rsid w:val="00E14823"/>
    <w:rsid w:val="00E174F8"/>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96EBE"/>
    <w:rsid w:val="00EA2560"/>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128C"/>
    <w:rsid w:val="00F42FDD"/>
    <w:rsid w:val="00F43935"/>
    <w:rsid w:val="00F43F9A"/>
    <w:rsid w:val="00F455F1"/>
    <w:rsid w:val="00F538CE"/>
    <w:rsid w:val="00F5646A"/>
    <w:rsid w:val="00F570D3"/>
    <w:rsid w:val="00F62221"/>
    <w:rsid w:val="00F63223"/>
    <w:rsid w:val="00F66C7B"/>
    <w:rsid w:val="00F709E9"/>
    <w:rsid w:val="00F712EE"/>
    <w:rsid w:val="00F7363B"/>
    <w:rsid w:val="00F73BB1"/>
    <w:rsid w:val="00F849DB"/>
    <w:rsid w:val="00F8513C"/>
    <w:rsid w:val="00F86C05"/>
    <w:rsid w:val="00F90EBA"/>
    <w:rsid w:val="00F97C38"/>
    <w:rsid w:val="00FA5223"/>
    <w:rsid w:val="00FA7ED5"/>
    <w:rsid w:val="00FB22AA"/>
    <w:rsid w:val="00FB3FA6"/>
    <w:rsid w:val="00FB4B40"/>
    <w:rsid w:val="00FB4C7D"/>
    <w:rsid w:val="00FC079F"/>
    <w:rsid w:val="00FC0DAE"/>
    <w:rsid w:val="00FC1298"/>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Fundamentos"/>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Fundamentos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68965620">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99302781">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67363555">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521669252">
      <w:bodyDiv w:val="1"/>
      <w:marLeft w:val="0"/>
      <w:marRight w:val="0"/>
      <w:marTop w:val="0"/>
      <w:marBottom w:val="0"/>
      <w:divBdr>
        <w:top w:val="none" w:sz="0" w:space="0" w:color="auto"/>
        <w:left w:val="none" w:sz="0" w:space="0" w:color="auto"/>
        <w:bottom w:val="none" w:sz="0" w:space="0" w:color="auto"/>
        <w:right w:val="none" w:sz="0" w:space="0" w:color="auto"/>
      </w:divBdr>
    </w:div>
    <w:div w:id="579213476">
      <w:bodyDiv w:val="1"/>
      <w:marLeft w:val="0"/>
      <w:marRight w:val="0"/>
      <w:marTop w:val="0"/>
      <w:marBottom w:val="0"/>
      <w:divBdr>
        <w:top w:val="none" w:sz="0" w:space="0" w:color="auto"/>
        <w:left w:val="none" w:sz="0" w:space="0" w:color="auto"/>
        <w:bottom w:val="none" w:sz="0" w:space="0" w:color="auto"/>
        <w:right w:val="none" w:sz="0" w:space="0" w:color="auto"/>
      </w:divBdr>
    </w:div>
    <w:div w:id="63205643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915626975">
      <w:bodyDiv w:val="1"/>
      <w:marLeft w:val="0"/>
      <w:marRight w:val="0"/>
      <w:marTop w:val="0"/>
      <w:marBottom w:val="0"/>
      <w:divBdr>
        <w:top w:val="none" w:sz="0" w:space="0" w:color="auto"/>
        <w:left w:val="none" w:sz="0" w:space="0" w:color="auto"/>
        <w:bottom w:val="none" w:sz="0" w:space="0" w:color="auto"/>
        <w:right w:val="none" w:sz="0" w:space="0" w:color="auto"/>
      </w:divBdr>
    </w:div>
    <w:div w:id="949047455">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295601288">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60925033">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 w:id="19670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F97C-180C-4CA6-9F10-EC00B63B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8033</Words>
  <Characters>44185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cp:lastPrinted>2025-03-24T16:41:00Z</cp:lastPrinted>
  <dcterms:created xsi:type="dcterms:W3CDTF">2025-03-27T04:45:00Z</dcterms:created>
  <dcterms:modified xsi:type="dcterms:W3CDTF">2025-04-29T15:14:00Z</dcterms:modified>
</cp:coreProperties>
</file>