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B1C36"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6E26D3">
        <w:rPr>
          <w:rFonts w:ascii="Palatino Linotype" w:eastAsia="Palatino Linotype" w:hAnsi="Palatino Linotype" w:cs="Palatino Linotype"/>
          <w:b/>
          <w:bCs/>
          <w:sz w:val="22"/>
          <w:szCs w:val="22"/>
        </w:rPr>
        <w:t>tres de diciembre de dos mil veinticinco.</w:t>
      </w:r>
    </w:p>
    <w:p w14:paraId="1AF63177" w14:textId="77777777" w:rsidR="008C41BA" w:rsidRPr="006E26D3" w:rsidRDefault="008C41BA">
      <w:pPr>
        <w:spacing w:line="360" w:lineRule="auto"/>
        <w:ind w:right="49"/>
        <w:jc w:val="both"/>
        <w:rPr>
          <w:rFonts w:ascii="Palatino Linotype" w:eastAsia="Palatino Linotype" w:hAnsi="Palatino Linotype" w:cs="Palatino Linotype"/>
          <w:sz w:val="22"/>
          <w:szCs w:val="22"/>
        </w:rPr>
      </w:pPr>
    </w:p>
    <w:p w14:paraId="71D460CB" w14:textId="1CCC317F"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 xml:space="preserve">VISTO </w:t>
      </w:r>
      <w:r w:rsidRPr="006E26D3">
        <w:rPr>
          <w:rFonts w:ascii="Palatino Linotype" w:eastAsia="Palatino Linotype" w:hAnsi="Palatino Linotype" w:cs="Palatino Linotype"/>
          <w:sz w:val="22"/>
          <w:szCs w:val="22"/>
        </w:rPr>
        <w:t xml:space="preserve">el expediente relativo al recurso de revisión </w:t>
      </w:r>
      <w:r w:rsidRPr="006E26D3">
        <w:rPr>
          <w:rFonts w:ascii="Palatino Linotype" w:eastAsia="Palatino Linotype" w:hAnsi="Palatino Linotype" w:cs="Palatino Linotype"/>
          <w:b/>
          <w:bCs/>
          <w:sz w:val="22"/>
          <w:szCs w:val="22"/>
        </w:rPr>
        <w:t xml:space="preserve">08919/INFOEM/IP/RR/2025, </w:t>
      </w:r>
      <w:r w:rsidRPr="006E26D3">
        <w:rPr>
          <w:rFonts w:ascii="Palatino Linotype" w:eastAsia="Palatino Linotype" w:hAnsi="Palatino Linotype" w:cs="Palatino Linotype"/>
          <w:sz w:val="22"/>
          <w:szCs w:val="22"/>
        </w:rPr>
        <w:t xml:space="preserve">interpuesto por </w:t>
      </w:r>
      <w:r w:rsidR="00A858F1">
        <w:rPr>
          <w:rFonts w:ascii="Palatino Linotype" w:eastAsia="Palatino Linotype" w:hAnsi="Palatino Linotype" w:cs="Palatino Linotype"/>
          <w:b/>
          <w:bCs/>
          <w:color w:val="000000"/>
          <w:sz w:val="20"/>
          <w:szCs w:val="20"/>
        </w:rPr>
        <w:t>XXXXX XXXX XXXXXX</w:t>
      </w:r>
      <w:r w:rsidRPr="006E26D3">
        <w:rPr>
          <w:rFonts w:ascii="Palatino Linotype" w:eastAsia="Palatino Linotype" w:hAnsi="Palatino Linotype" w:cs="Palatino Linotype"/>
          <w:sz w:val="22"/>
          <w:szCs w:val="22"/>
        </w:rPr>
        <w:t>,</w:t>
      </w:r>
      <w:bookmarkStart w:id="0" w:name="_GoBack"/>
      <w:bookmarkEnd w:id="0"/>
      <w:r w:rsidRPr="006E26D3">
        <w:rPr>
          <w:rFonts w:ascii="Palatino Linotype" w:eastAsia="Palatino Linotype" w:hAnsi="Palatino Linotype" w:cs="Palatino Linotype"/>
          <w:sz w:val="22"/>
          <w:szCs w:val="22"/>
        </w:rPr>
        <w:t xml:space="preserve"> en lo sucesivo la parte </w:t>
      </w:r>
      <w:r w:rsidRPr="006E26D3">
        <w:rPr>
          <w:rFonts w:ascii="Palatino Linotype" w:eastAsia="Palatino Linotype" w:hAnsi="Palatino Linotype" w:cs="Palatino Linotype"/>
          <w:b/>
          <w:bCs/>
          <w:sz w:val="22"/>
          <w:szCs w:val="22"/>
        </w:rPr>
        <w:t>Recurrente</w:t>
      </w:r>
      <w:r w:rsidRPr="006E26D3">
        <w:rPr>
          <w:rFonts w:ascii="Palatino Linotype" w:eastAsia="Palatino Linotype" w:hAnsi="Palatino Linotype" w:cs="Palatino Linotype"/>
          <w:sz w:val="22"/>
          <w:szCs w:val="22"/>
        </w:rPr>
        <w:t xml:space="preserve">, en contra de la respuesta a la solicitud de información por parte del </w:t>
      </w:r>
      <w:r w:rsidRPr="006E26D3">
        <w:rPr>
          <w:rFonts w:ascii="Palatino Linotype" w:eastAsia="Palatino Linotype" w:hAnsi="Palatino Linotype" w:cs="Palatino Linotype"/>
          <w:b/>
          <w:bCs/>
          <w:sz w:val="22"/>
          <w:szCs w:val="22"/>
        </w:rPr>
        <w:t>Ayuntamiento de Atizapán de Zaragoza</w:t>
      </w:r>
      <w:r w:rsidRPr="006E26D3">
        <w:rPr>
          <w:rFonts w:ascii="Palatino Linotype" w:eastAsia="Palatino Linotype" w:hAnsi="Palatino Linotype" w:cs="Palatino Linotype"/>
          <w:sz w:val="22"/>
          <w:szCs w:val="22"/>
        </w:rPr>
        <w:t xml:space="preserve">, en lo sucesivo el </w:t>
      </w:r>
      <w:r w:rsidRPr="006E26D3">
        <w:rPr>
          <w:rFonts w:ascii="Palatino Linotype" w:eastAsia="Palatino Linotype" w:hAnsi="Palatino Linotype" w:cs="Palatino Linotype"/>
          <w:b/>
          <w:bCs/>
          <w:sz w:val="22"/>
          <w:szCs w:val="22"/>
        </w:rPr>
        <w:t xml:space="preserve">Sujeto Obligado; </w:t>
      </w:r>
      <w:r w:rsidRPr="006E26D3">
        <w:rPr>
          <w:rFonts w:ascii="Palatino Linotype" w:eastAsia="Palatino Linotype" w:hAnsi="Palatino Linotype" w:cs="Palatino Linotype"/>
          <w:sz w:val="22"/>
          <w:szCs w:val="22"/>
        </w:rPr>
        <w:t>se procede a dictar la presente resolución, con base en lo siguiente.</w:t>
      </w:r>
    </w:p>
    <w:p w14:paraId="7B923F48" w14:textId="77777777" w:rsidR="008C41BA" w:rsidRPr="006E26D3" w:rsidRDefault="008C41BA">
      <w:pPr>
        <w:spacing w:line="360" w:lineRule="auto"/>
        <w:ind w:right="49"/>
        <w:jc w:val="both"/>
        <w:rPr>
          <w:rFonts w:ascii="Palatino Linotype" w:eastAsia="Palatino Linotype" w:hAnsi="Palatino Linotype" w:cs="Palatino Linotype"/>
          <w:sz w:val="22"/>
          <w:szCs w:val="22"/>
        </w:rPr>
      </w:pPr>
    </w:p>
    <w:p w14:paraId="3492B0F5" w14:textId="77777777" w:rsidR="008C41BA" w:rsidRPr="006E26D3" w:rsidRDefault="000B1C06">
      <w:pPr>
        <w:spacing w:line="360" w:lineRule="auto"/>
        <w:ind w:right="49"/>
        <w:jc w:val="center"/>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I.</w:t>
      </w:r>
      <w:r w:rsidRPr="006E26D3">
        <w:rPr>
          <w:rFonts w:ascii="Palatino Linotype" w:eastAsia="Palatino Linotype" w:hAnsi="Palatino Linotype" w:cs="Palatino Linotype"/>
          <w:b/>
          <w:bCs/>
          <w:sz w:val="22"/>
          <w:szCs w:val="22"/>
        </w:rPr>
        <w:tab/>
        <w:t>A N T E C E D E N T E S</w:t>
      </w:r>
    </w:p>
    <w:p w14:paraId="7A9B6DF5" w14:textId="77777777" w:rsidR="008C41BA" w:rsidRPr="006E26D3" w:rsidRDefault="008C41BA">
      <w:pPr>
        <w:spacing w:line="360" w:lineRule="auto"/>
        <w:ind w:right="49"/>
        <w:jc w:val="both"/>
        <w:rPr>
          <w:rFonts w:ascii="Palatino Linotype" w:eastAsia="Palatino Linotype" w:hAnsi="Palatino Linotype" w:cs="Palatino Linotype"/>
          <w:sz w:val="22"/>
          <w:szCs w:val="22"/>
        </w:rPr>
      </w:pPr>
    </w:p>
    <w:p w14:paraId="37D650BB"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1.</w:t>
      </w: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b/>
          <w:bCs/>
          <w:sz w:val="22"/>
          <w:szCs w:val="22"/>
        </w:rPr>
        <w:t>Solicitud de Acceso a la Información. El veintiocho de mayo de dos mil veinticinco</w:t>
      </w: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b/>
          <w:bCs/>
          <w:sz w:val="22"/>
          <w:szCs w:val="22"/>
        </w:rPr>
        <w:t>LA PARTE</w:t>
      </w: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b/>
          <w:bCs/>
          <w:sz w:val="22"/>
          <w:szCs w:val="22"/>
        </w:rPr>
        <w:t>RECURRENTE</w:t>
      </w:r>
      <w:r w:rsidRPr="006E26D3">
        <w:rPr>
          <w:rFonts w:ascii="Palatino Linotype" w:eastAsia="Palatino Linotype" w:hAnsi="Palatino Linotype" w:cs="Palatino Linotype"/>
          <w:sz w:val="22"/>
          <w:szCs w:val="22"/>
        </w:rPr>
        <w:t xml:space="preserve"> formuló solicitud de acceso a información pública a través del </w:t>
      </w:r>
      <w:r w:rsidRPr="006E26D3">
        <w:rPr>
          <w:rFonts w:ascii="Palatino Linotype" w:eastAsia="Palatino Linotype" w:hAnsi="Palatino Linotype" w:cs="Palatino Linotype"/>
          <w:b/>
          <w:bCs/>
          <w:sz w:val="22"/>
          <w:szCs w:val="22"/>
        </w:rPr>
        <w:t>SAIMEX</w:t>
      </w:r>
      <w:r w:rsidRPr="006E26D3">
        <w:rPr>
          <w:rFonts w:ascii="Palatino Linotype" w:eastAsia="Palatino Linotype" w:hAnsi="Palatino Linotype" w:cs="Palatino Linotype"/>
          <w:sz w:val="22"/>
          <w:szCs w:val="22"/>
        </w:rPr>
        <w:t>, en la que requirió lo siguiente:</w:t>
      </w:r>
    </w:p>
    <w:p w14:paraId="33E3F22C"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4ACE4C76" w14:textId="77777777" w:rsidR="008C41BA" w:rsidRPr="006E26D3" w:rsidRDefault="000B1C06">
      <w:pPr>
        <w:numPr>
          <w:ilvl w:val="0"/>
          <w:numId w:val="1"/>
        </w:numPr>
        <w:pBdr>
          <w:top w:val="nil"/>
          <w:left w:val="nil"/>
          <w:bottom w:val="nil"/>
          <w:right w:val="nil"/>
          <w:between w:val="nil"/>
        </w:pBdr>
        <w:spacing w:line="360" w:lineRule="auto"/>
        <w:ind w:left="426" w:right="49"/>
        <w:jc w:val="both"/>
        <w:rPr>
          <w:rFonts w:ascii="Palatino Linotype" w:eastAsia="Palatino Linotype" w:hAnsi="Palatino Linotype" w:cs="Palatino Linotype"/>
          <w:b/>
          <w:bCs/>
          <w:sz w:val="22"/>
          <w:szCs w:val="22"/>
        </w:rPr>
      </w:pPr>
      <w:bookmarkStart w:id="1" w:name="_heading=h.3znysh7" w:colFirst="0" w:colLast="0"/>
      <w:bookmarkEnd w:id="1"/>
      <w:r w:rsidRPr="006E26D3">
        <w:rPr>
          <w:rFonts w:ascii="Palatino Linotype" w:eastAsia="Palatino Linotype" w:hAnsi="Palatino Linotype" w:cs="Palatino Linotype"/>
          <w:b/>
          <w:bCs/>
          <w:sz w:val="22"/>
          <w:szCs w:val="22"/>
        </w:rPr>
        <w:t xml:space="preserve">00345/ATIZARA/IP/2025 </w:t>
      </w:r>
    </w:p>
    <w:p w14:paraId="675839D5" w14:textId="77777777" w:rsidR="008C41BA" w:rsidRPr="006E26D3" w:rsidRDefault="000B1C06">
      <w:pPr>
        <w:spacing w:line="360" w:lineRule="auto"/>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sz w:val="22"/>
          <w:szCs w:val="22"/>
        </w:rPr>
        <w:tab/>
      </w:r>
      <w:r w:rsidRPr="006E26D3">
        <w:rPr>
          <w:rFonts w:ascii="Palatino Linotype" w:eastAsia="Palatino Linotype" w:hAnsi="Palatino Linotype" w:cs="Palatino Linotype"/>
          <w:i/>
          <w:iCs/>
          <w:sz w:val="22"/>
          <w:szCs w:val="22"/>
        </w:rPr>
        <w:t xml:space="preserve">"el contrato, la gaceta el expediente generado del proveedor y toda la información relativa a la contratación de las </w:t>
      </w:r>
      <w:proofErr w:type="spellStart"/>
      <w:r w:rsidRPr="006E26D3">
        <w:rPr>
          <w:rFonts w:ascii="Palatino Linotype" w:eastAsia="Palatino Linotype" w:hAnsi="Palatino Linotype" w:cs="Palatino Linotype"/>
          <w:i/>
          <w:iCs/>
          <w:sz w:val="22"/>
          <w:szCs w:val="22"/>
        </w:rPr>
        <w:t>polizas</w:t>
      </w:r>
      <w:proofErr w:type="spellEnd"/>
      <w:r w:rsidRPr="006E26D3">
        <w:rPr>
          <w:rFonts w:ascii="Palatino Linotype" w:eastAsia="Palatino Linotype" w:hAnsi="Palatino Linotype" w:cs="Palatino Linotype"/>
          <w:i/>
          <w:iCs/>
          <w:sz w:val="22"/>
          <w:szCs w:val="22"/>
        </w:rPr>
        <w:t xml:space="preserve"> de seguros de vivienda y gastos funerarios que se </w:t>
      </w:r>
      <w:proofErr w:type="spellStart"/>
      <w:r w:rsidRPr="006E26D3">
        <w:rPr>
          <w:rFonts w:ascii="Palatino Linotype" w:eastAsia="Palatino Linotype" w:hAnsi="Palatino Linotype" w:cs="Palatino Linotype"/>
          <w:i/>
          <w:iCs/>
          <w:sz w:val="22"/>
          <w:szCs w:val="22"/>
        </w:rPr>
        <w:t>otorgo</w:t>
      </w:r>
      <w:proofErr w:type="spellEnd"/>
      <w:r w:rsidRPr="006E26D3">
        <w:rPr>
          <w:rFonts w:ascii="Palatino Linotype" w:eastAsia="Palatino Linotype" w:hAnsi="Palatino Linotype" w:cs="Palatino Linotype"/>
          <w:i/>
          <w:iCs/>
          <w:sz w:val="22"/>
          <w:szCs w:val="22"/>
        </w:rPr>
        <w:t xml:space="preserve"> como beneficio por el pago del impuesto predial, así como la </w:t>
      </w:r>
      <w:proofErr w:type="spellStart"/>
      <w:r w:rsidRPr="006E26D3">
        <w:rPr>
          <w:rFonts w:ascii="Palatino Linotype" w:eastAsia="Palatino Linotype" w:hAnsi="Palatino Linotype" w:cs="Palatino Linotype"/>
          <w:i/>
          <w:iCs/>
          <w:sz w:val="22"/>
          <w:szCs w:val="22"/>
        </w:rPr>
        <w:t>poliza</w:t>
      </w:r>
      <w:proofErr w:type="spellEnd"/>
      <w:r w:rsidRPr="006E26D3">
        <w:rPr>
          <w:rFonts w:ascii="Palatino Linotype" w:eastAsia="Palatino Linotype" w:hAnsi="Palatino Linotype" w:cs="Palatino Linotype"/>
          <w:i/>
          <w:iCs/>
          <w:sz w:val="22"/>
          <w:szCs w:val="22"/>
        </w:rPr>
        <w:t xml:space="preserve"> que ampara dichos beneficios”</w:t>
      </w:r>
    </w:p>
    <w:p w14:paraId="3EAFA0F5" w14:textId="77777777" w:rsidR="008C41BA" w:rsidRPr="006E26D3" w:rsidRDefault="008C41BA">
      <w:pPr>
        <w:spacing w:line="360" w:lineRule="auto"/>
        <w:ind w:left="567" w:right="843"/>
        <w:jc w:val="both"/>
        <w:rPr>
          <w:rFonts w:ascii="Palatino Linotype" w:eastAsia="Palatino Linotype" w:hAnsi="Palatino Linotype" w:cs="Palatino Linotype"/>
          <w:i/>
          <w:iCs/>
          <w:sz w:val="22"/>
          <w:szCs w:val="22"/>
        </w:rPr>
      </w:pPr>
    </w:p>
    <w:p w14:paraId="72BEA527"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Modalidad elegida para la entrega de la información:</w:t>
      </w:r>
      <w:r w:rsidRPr="006E26D3">
        <w:rPr>
          <w:rFonts w:ascii="Palatino Linotype" w:eastAsia="Palatino Linotype" w:hAnsi="Palatino Linotype" w:cs="Palatino Linotype"/>
          <w:sz w:val="22"/>
          <w:szCs w:val="22"/>
        </w:rPr>
        <w:t xml:space="preserve"> a través del Sistema de Acceso a la Información Mexiquense (SAIMEX).</w:t>
      </w:r>
    </w:p>
    <w:p w14:paraId="16D2B451"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2C5C57AD" w14:textId="77777777" w:rsidR="008C41BA" w:rsidRPr="006E26D3" w:rsidRDefault="000B1C06">
      <w:pPr>
        <w:widowControl w:val="0"/>
        <w:spacing w:line="360" w:lineRule="auto"/>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lastRenderedPageBreak/>
        <w:t>2. Prorroga. El dieciocho de junio de dos mil veinticinco, e</w:t>
      </w:r>
      <w:r w:rsidRPr="006E26D3">
        <w:rPr>
          <w:rFonts w:ascii="Palatino Linotype" w:eastAsia="Palatino Linotype" w:hAnsi="Palatino Linotype" w:cs="Palatino Linotype"/>
          <w:sz w:val="22"/>
          <w:szCs w:val="22"/>
        </w:rPr>
        <w:t>l Sujeto Obligado solicitó una prórroga para dar respuesta en los siguientes términos:</w:t>
      </w:r>
    </w:p>
    <w:p w14:paraId="6D9C4FED" w14:textId="77777777" w:rsidR="008C41BA" w:rsidRPr="006E26D3" w:rsidRDefault="008C41BA">
      <w:pPr>
        <w:widowControl w:val="0"/>
        <w:spacing w:line="360" w:lineRule="auto"/>
        <w:jc w:val="both"/>
        <w:rPr>
          <w:rFonts w:ascii="Palatino Linotype" w:eastAsia="Palatino Linotype" w:hAnsi="Palatino Linotype" w:cs="Palatino Linotype"/>
          <w:b/>
          <w:bCs/>
          <w:sz w:val="22"/>
          <w:szCs w:val="22"/>
        </w:rPr>
      </w:pPr>
    </w:p>
    <w:p w14:paraId="20B32D43" w14:textId="77777777" w:rsidR="008C41BA" w:rsidRPr="006E26D3" w:rsidRDefault="000B1C06">
      <w:pPr>
        <w:widowControl w:val="0"/>
        <w:spacing w:line="360" w:lineRule="auto"/>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4DC280D" w14:textId="77777777" w:rsidR="008C41BA" w:rsidRPr="006E26D3" w:rsidRDefault="000B1C06">
      <w:pPr>
        <w:widowControl w:val="0"/>
        <w:spacing w:line="360" w:lineRule="auto"/>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Con fundamento en los artículos 4, 23 fracción IV, 24 último párrafo, 53 fracción VI, 59, 160, 163 segundo párrafo y demás relativos de la Ley de Transparencia y Acceso a la Información Pública del Estado de México y Municipios, se solicita la prórroga para la entrega de la información, ya que la entrega de la misma requiere un procesamiento toda vez que contiene datos personales, respecto de los cuales resulta necesario realizar una versión pública de los mismos, máxime de señalar que el número de solicitudes recibidas por esta Dependencia retrasa la búsqueda de la información, por lo que resulta necesaria la ampliación de plazo legal para la correcta atención de dicha solicitud”</w:t>
      </w:r>
    </w:p>
    <w:p w14:paraId="5CF943DA" w14:textId="77777777" w:rsidR="008C41BA" w:rsidRPr="006E26D3" w:rsidRDefault="008C41BA">
      <w:pPr>
        <w:widowControl w:val="0"/>
        <w:spacing w:line="360" w:lineRule="auto"/>
        <w:jc w:val="both"/>
        <w:rPr>
          <w:rFonts w:ascii="Palatino Linotype" w:eastAsia="Palatino Linotype" w:hAnsi="Palatino Linotype" w:cs="Palatino Linotype"/>
          <w:b/>
          <w:bCs/>
          <w:sz w:val="22"/>
          <w:szCs w:val="22"/>
        </w:rPr>
      </w:pPr>
    </w:p>
    <w:p w14:paraId="61ACE6D3" w14:textId="77777777" w:rsidR="008C41BA" w:rsidRPr="006E26D3" w:rsidRDefault="000B1C06">
      <w:pPr>
        <w:widowControl w:val="0"/>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3. Respuesta.</w:t>
      </w:r>
      <w:r w:rsidRPr="006E26D3">
        <w:rPr>
          <w:rFonts w:ascii="Palatino Linotype" w:eastAsia="Palatino Linotype" w:hAnsi="Palatino Linotype" w:cs="Palatino Linotype"/>
          <w:sz w:val="22"/>
          <w:szCs w:val="22"/>
        </w:rPr>
        <w:t xml:space="preserve"> El </w:t>
      </w:r>
      <w:r w:rsidRPr="006E26D3">
        <w:rPr>
          <w:rFonts w:ascii="Palatino Linotype" w:eastAsia="Palatino Linotype" w:hAnsi="Palatino Linotype" w:cs="Palatino Linotype"/>
          <w:b/>
          <w:bCs/>
          <w:sz w:val="22"/>
          <w:szCs w:val="22"/>
        </w:rPr>
        <w:t>treinta</w:t>
      </w: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b/>
          <w:bCs/>
          <w:sz w:val="22"/>
          <w:szCs w:val="22"/>
        </w:rPr>
        <w:t>de junio de dos mil veinticinco</w:t>
      </w:r>
      <w:r w:rsidRPr="006E26D3">
        <w:rPr>
          <w:rFonts w:ascii="Palatino Linotype" w:eastAsia="Palatino Linotype" w:hAnsi="Palatino Linotype" w:cs="Palatino Linotype"/>
          <w:sz w:val="22"/>
          <w:szCs w:val="22"/>
        </w:rPr>
        <w:t>, el Sujeto Obligado dio respuesta a la solicitud, en los siguientes términos:</w:t>
      </w:r>
    </w:p>
    <w:p w14:paraId="41200452" w14:textId="77777777" w:rsidR="008C41BA" w:rsidRPr="006E26D3" w:rsidRDefault="008C41BA">
      <w:pPr>
        <w:widowControl w:val="0"/>
        <w:spacing w:line="360" w:lineRule="auto"/>
        <w:jc w:val="both"/>
        <w:rPr>
          <w:rFonts w:ascii="Palatino Linotype" w:eastAsia="Palatino Linotype" w:hAnsi="Palatino Linotype" w:cs="Palatino Linotype"/>
          <w:sz w:val="22"/>
          <w:szCs w:val="22"/>
        </w:rPr>
      </w:pPr>
    </w:p>
    <w:p w14:paraId="04528533" w14:textId="77777777" w:rsidR="008C41BA" w:rsidRPr="006E26D3" w:rsidRDefault="000B1C06">
      <w:pPr>
        <w:widowControl w:val="0"/>
        <w:spacing w:line="276" w:lineRule="auto"/>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CCACF9" w14:textId="77777777" w:rsidR="008C41BA" w:rsidRPr="006E26D3" w:rsidRDefault="000B1C06">
      <w:pPr>
        <w:widowControl w:val="0"/>
        <w:spacing w:line="276" w:lineRule="auto"/>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Se atiende mediante memorándum anexo y documentales anexas</w:t>
      </w:r>
    </w:p>
    <w:p w14:paraId="0314B62F" w14:textId="77777777" w:rsidR="008C41BA" w:rsidRPr="006E26D3" w:rsidRDefault="000B1C06">
      <w:pPr>
        <w:widowControl w:val="0"/>
        <w:spacing w:line="276" w:lineRule="auto"/>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ATENTAMENTE</w:t>
      </w:r>
    </w:p>
    <w:p w14:paraId="4C9DE7F0" w14:textId="77777777" w:rsidR="008C41BA" w:rsidRPr="006E26D3" w:rsidRDefault="000B1C06">
      <w:pPr>
        <w:widowControl w:val="0"/>
        <w:spacing w:line="276" w:lineRule="auto"/>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LIC. MARIA FERNANDA ROA CASTRO” (sic)</w:t>
      </w:r>
    </w:p>
    <w:p w14:paraId="60D7CB3D" w14:textId="77777777" w:rsidR="008C41BA" w:rsidRPr="006E26D3" w:rsidRDefault="008C41BA">
      <w:pPr>
        <w:widowControl w:val="0"/>
        <w:spacing w:line="360" w:lineRule="auto"/>
        <w:jc w:val="both"/>
        <w:rPr>
          <w:rFonts w:ascii="Palatino Linotype" w:eastAsia="Palatino Linotype" w:hAnsi="Palatino Linotype" w:cs="Palatino Linotype"/>
          <w:sz w:val="22"/>
          <w:szCs w:val="22"/>
        </w:rPr>
      </w:pPr>
    </w:p>
    <w:p w14:paraId="519CC6F7" w14:textId="77777777" w:rsidR="008C41BA" w:rsidRPr="006E26D3" w:rsidRDefault="000B1C06">
      <w:pPr>
        <w:widowControl w:val="0"/>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Asimismo, adjuntó los documentos electrónicos siguientes:</w:t>
      </w:r>
    </w:p>
    <w:p w14:paraId="0689C97A" w14:textId="77777777" w:rsidR="008C41BA" w:rsidRPr="006E26D3" w:rsidRDefault="000B1C06">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roofErr w:type="spellStart"/>
      <w:r w:rsidRPr="006E26D3">
        <w:rPr>
          <w:rFonts w:ascii="Palatino Linotype" w:eastAsia="Palatino Linotype" w:hAnsi="Palatino Linotype" w:cs="Palatino Linotype"/>
          <w:b/>
          <w:bCs/>
          <w:sz w:val="22"/>
          <w:szCs w:val="22"/>
        </w:rPr>
        <w:lastRenderedPageBreak/>
        <w:t>analisis</w:t>
      </w:r>
      <w:proofErr w:type="spellEnd"/>
      <w:r w:rsidRPr="006E26D3">
        <w:rPr>
          <w:rFonts w:ascii="Palatino Linotype" w:eastAsia="Palatino Linotype" w:hAnsi="Palatino Linotype" w:cs="Palatino Linotype"/>
          <w:b/>
          <w:bCs/>
          <w:sz w:val="22"/>
          <w:szCs w:val="22"/>
        </w:rPr>
        <w:t xml:space="preserve"> </w:t>
      </w:r>
      <w:proofErr w:type="spellStart"/>
      <w:r w:rsidRPr="006E26D3">
        <w:rPr>
          <w:rFonts w:ascii="Palatino Linotype" w:eastAsia="Palatino Linotype" w:hAnsi="Palatino Linotype" w:cs="Palatino Linotype"/>
          <w:b/>
          <w:bCs/>
          <w:sz w:val="22"/>
          <w:szCs w:val="22"/>
        </w:rPr>
        <w:t>evalu</w:t>
      </w:r>
      <w:proofErr w:type="spellEnd"/>
      <w:r w:rsidRPr="006E26D3">
        <w:rPr>
          <w:rFonts w:ascii="Palatino Linotype" w:eastAsia="Palatino Linotype" w:hAnsi="Palatino Linotype" w:cs="Palatino Linotype"/>
          <w:b/>
          <w:bCs/>
          <w:sz w:val="22"/>
          <w:szCs w:val="22"/>
        </w:rPr>
        <w:t xml:space="preserve"> y dictamen.pdf: </w:t>
      </w:r>
      <w:r w:rsidRPr="006E26D3">
        <w:rPr>
          <w:rFonts w:ascii="Palatino Linotype" w:eastAsia="Palatino Linotype" w:hAnsi="Palatino Linotype" w:cs="Palatino Linotype"/>
          <w:sz w:val="22"/>
          <w:szCs w:val="22"/>
        </w:rPr>
        <w:t xml:space="preserve">Documento integrado por dieciséis páginas que contiene el análisis de propuestas y emisión de dictamen de ejecución de la licitación pública MAZ-DA-LPN-005-2025 relativa a la Contratación de la Membresía Integral para la casa habitación a los contribuyentes cumplidos en el Municipio que realicen su pago íntegro del impuesto predial del ejercicio fiscal 2025. En el que se determina que es procedente adjudicar la adquisición a la persona jurídica colectiva </w:t>
      </w:r>
      <w:r w:rsidRPr="006E26D3">
        <w:rPr>
          <w:rFonts w:ascii="Palatino Linotype" w:eastAsia="Palatino Linotype" w:hAnsi="Palatino Linotype" w:cs="Palatino Linotype"/>
          <w:b/>
          <w:bCs/>
          <w:sz w:val="22"/>
          <w:szCs w:val="22"/>
        </w:rPr>
        <w:t>VALE MAS ASISTENCIAS S.A.P.I. DE C.V.</w:t>
      </w:r>
      <w:r w:rsidRPr="006E26D3">
        <w:rPr>
          <w:rFonts w:ascii="Palatino Linotype" w:eastAsia="Palatino Linotype" w:hAnsi="Palatino Linotype" w:cs="Palatino Linotype"/>
          <w:sz w:val="22"/>
          <w:szCs w:val="22"/>
        </w:rPr>
        <w:t xml:space="preserve"> </w:t>
      </w:r>
    </w:p>
    <w:p w14:paraId="6F02F554" w14:textId="77777777" w:rsidR="008C41BA" w:rsidRPr="006E26D3" w:rsidRDefault="000B1C06">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roofErr w:type="spellStart"/>
      <w:r w:rsidRPr="006E26D3">
        <w:rPr>
          <w:rFonts w:ascii="Palatino Linotype" w:eastAsia="Palatino Linotype" w:hAnsi="Palatino Linotype" w:cs="Palatino Linotype"/>
          <w:b/>
          <w:bCs/>
          <w:sz w:val="22"/>
          <w:szCs w:val="22"/>
        </w:rPr>
        <w:t>suf</w:t>
      </w:r>
      <w:proofErr w:type="spellEnd"/>
      <w:r w:rsidRPr="006E26D3">
        <w:rPr>
          <w:rFonts w:ascii="Palatino Linotype" w:eastAsia="Palatino Linotype" w:hAnsi="Palatino Linotype" w:cs="Palatino Linotype"/>
          <w:b/>
          <w:bCs/>
          <w:sz w:val="22"/>
          <w:szCs w:val="22"/>
        </w:rPr>
        <w:t xml:space="preserve"> pres.pdf: </w:t>
      </w:r>
      <w:r w:rsidRPr="006E26D3">
        <w:rPr>
          <w:rFonts w:ascii="Palatino Linotype" w:eastAsia="Palatino Linotype" w:hAnsi="Palatino Linotype" w:cs="Palatino Linotype"/>
          <w:sz w:val="22"/>
          <w:szCs w:val="22"/>
        </w:rPr>
        <w:t>Oficio TM/STE/1021/2025 suscrito por el Tesorero Municipal mediante el cual adjunta la suficiencia</w:t>
      </w:r>
      <w:r w:rsidRPr="006E26D3">
        <w:rPr>
          <w:rFonts w:ascii="Palatino Linotype" w:eastAsia="Palatino Linotype" w:hAnsi="Palatino Linotype" w:cs="Palatino Linotype"/>
          <w:b/>
          <w:bCs/>
          <w:sz w:val="22"/>
          <w:szCs w:val="22"/>
        </w:rPr>
        <w:t xml:space="preserve"> </w:t>
      </w:r>
      <w:r w:rsidRPr="006E26D3">
        <w:rPr>
          <w:rFonts w:ascii="Palatino Linotype" w:eastAsia="Palatino Linotype" w:hAnsi="Palatino Linotype" w:cs="Palatino Linotype"/>
          <w:sz w:val="22"/>
          <w:szCs w:val="22"/>
        </w:rPr>
        <w:t xml:space="preserve">presupuestal para realizar el procedimiento de Licitación Pública. </w:t>
      </w:r>
    </w:p>
    <w:p w14:paraId="5F8A9791" w14:textId="77777777" w:rsidR="008C41BA" w:rsidRPr="006E26D3" w:rsidRDefault="000B1C06">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 xml:space="preserve">acto pres apert.pdf: </w:t>
      </w:r>
      <w:r w:rsidRPr="006E26D3">
        <w:rPr>
          <w:rFonts w:ascii="Palatino Linotype" w:eastAsia="Palatino Linotype" w:hAnsi="Palatino Linotype" w:cs="Palatino Linotype"/>
          <w:sz w:val="22"/>
          <w:szCs w:val="22"/>
        </w:rPr>
        <w:t>Acta correspondiente al acto de presentación y apertura de propuestas técnicas y económicas de la Licitación Pública Nacional de dos personas jurídicas colectivas, en el que se determina que la propuesta más económica es a la que se adjudicó la licitación.</w:t>
      </w:r>
    </w:p>
    <w:p w14:paraId="62E57FD9" w14:textId="77777777" w:rsidR="008C41BA" w:rsidRPr="006E26D3" w:rsidRDefault="000B1C06">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 xml:space="preserve">cont.pdf: </w:t>
      </w:r>
      <w:r w:rsidRPr="006E26D3">
        <w:rPr>
          <w:rFonts w:ascii="Palatino Linotype" w:eastAsia="Palatino Linotype" w:hAnsi="Palatino Linotype" w:cs="Palatino Linotype"/>
          <w:sz w:val="22"/>
          <w:szCs w:val="22"/>
        </w:rPr>
        <w:t>Contrato de prestación de servicios</w:t>
      </w:r>
      <w:r w:rsidRPr="006E26D3">
        <w:rPr>
          <w:rFonts w:ascii="Palatino Linotype" w:eastAsia="Palatino Linotype" w:hAnsi="Palatino Linotype" w:cs="Palatino Linotype"/>
          <w:b/>
          <w:bCs/>
          <w:sz w:val="22"/>
          <w:szCs w:val="22"/>
        </w:rPr>
        <w:t xml:space="preserve"> </w:t>
      </w:r>
      <w:r w:rsidRPr="006E26D3">
        <w:rPr>
          <w:rFonts w:ascii="Palatino Linotype" w:eastAsia="Palatino Linotype" w:hAnsi="Palatino Linotype" w:cs="Palatino Linotype"/>
          <w:sz w:val="22"/>
          <w:szCs w:val="22"/>
        </w:rPr>
        <w:t>de la Membresía Integral para la casa habitación a los contribuyentes cumplidos en el Municipio que realicen su pago íntegro del impuesto predial del ejercicio fiscal 2025. (Contiene datos personales como el número de pasaporte de la Apoderada Legal.)</w:t>
      </w:r>
    </w:p>
    <w:p w14:paraId="1966906F" w14:textId="77777777" w:rsidR="008C41BA" w:rsidRPr="006E26D3" w:rsidRDefault="000B1C06">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 xml:space="preserve">convoc.pdf: </w:t>
      </w:r>
      <w:r w:rsidRPr="006E26D3">
        <w:rPr>
          <w:rFonts w:ascii="Palatino Linotype" w:eastAsia="Palatino Linotype" w:hAnsi="Palatino Linotype" w:cs="Palatino Linotype"/>
          <w:sz w:val="22"/>
          <w:szCs w:val="22"/>
        </w:rPr>
        <w:t>Contiene la convocatoria para participar en la Licitación Pública Nacional número MAZ-DA-LPN-005-2025, respecto a la contratación de la Membresía Integral para la casa habitación a los contribuyentes cumplidos en el Municipio que realicen su pago íntegro del impuesto predial del ejercicio fiscal 2025.</w:t>
      </w:r>
    </w:p>
    <w:p w14:paraId="0EBFBBAF" w14:textId="77777777" w:rsidR="008C41BA" w:rsidRPr="006E26D3" w:rsidRDefault="000B1C06">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 xml:space="preserve">345.pdf: </w:t>
      </w:r>
      <w:proofErr w:type="spellStart"/>
      <w:r w:rsidRPr="006E26D3">
        <w:rPr>
          <w:rFonts w:ascii="Palatino Linotype" w:eastAsia="Palatino Linotype" w:hAnsi="Palatino Linotype" w:cs="Palatino Linotype"/>
          <w:sz w:val="22"/>
          <w:szCs w:val="22"/>
        </w:rPr>
        <w:t>Memorandum</w:t>
      </w:r>
      <w:proofErr w:type="spellEnd"/>
      <w:r w:rsidRPr="006E26D3">
        <w:rPr>
          <w:rFonts w:ascii="Palatino Linotype" w:eastAsia="Palatino Linotype" w:hAnsi="Palatino Linotype" w:cs="Palatino Linotype"/>
          <w:sz w:val="22"/>
          <w:szCs w:val="22"/>
        </w:rPr>
        <w:t xml:space="preserve"> SRM/076/2025 suscrito por el Subdirector de Recursos Materiales mediante el cual refiere que entrega la información de su competencia.</w:t>
      </w:r>
    </w:p>
    <w:p w14:paraId="6C8FD561" w14:textId="77777777" w:rsidR="008C41BA" w:rsidRPr="006E26D3" w:rsidRDefault="000B1C06">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 xml:space="preserve">fallo.pdf: </w:t>
      </w:r>
      <w:r w:rsidRPr="006E26D3">
        <w:rPr>
          <w:rFonts w:ascii="Palatino Linotype" w:eastAsia="Palatino Linotype" w:hAnsi="Palatino Linotype" w:cs="Palatino Linotype"/>
          <w:sz w:val="22"/>
          <w:szCs w:val="22"/>
        </w:rPr>
        <w:t>Fallo de adjudicación de la Licitación Pública MAZ-DA-LPN-005-2025 por la contratación de la Membresía Integral para la casa habitación a los contribuyentes cumplidos en el Municipio que realicen su pago íntegro del impuesto predial del ejercicio fiscal 2025.</w:t>
      </w:r>
    </w:p>
    <w:p w14:paraId="64F9DBE7" w14:textId="77777777" w:rsidR="008C41BA" w:rsidRPr="006E26D3" w:rsidRDefault="000B1C06">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 xml:space="preserve">requi.pdf: </w:t>
      </w:r>
      <w:r w:rsidRPr="006E26D3">
        <w:rPr>
          <w:rFonts w:ascii="Palatino Linotype" w:eastAsia="Palatino Linotype" w:hAnsi="Palatino Linotype" w:cs="Palatino Linotype"/>
          <w:sz w:val="22"/>
          <w:szCs w:val="22"/>
        </w:rPr>
        <w:t>Oficio TM/STE/0856/2025 suscrito por</w:t>
      </w:r>
      <w:r w:rsidRPr="006E26D3">
        <w:rPr>
          <w:rFonts w:ascii="Palatino Linotype" w:eastAsia="Palatino Linotype" w:hAnsi="Palatino Linotype" w:cs="Palatino Linotype"/>
          <w:b/>
          <w:bCs/>
          <w:sz w:val="22"/>
          <w:szCs w:val="22"/>
        </w:rPr>
        <w:t xml:space="preserve"> </w:t>
      </w:r>
      <w:r w:rsidRPr="006E26D3">
        <w:rPr>
          <w:rFonts w:ascii="Palatino Linotype" w:eastAsia="Palatino Linotype" w:hAnsi="Palatino Linotype" w:cs="Palatino Linotype"/>
          <w:sz w:val="22"/>
          <w:szCs w:val="22"/>
        </w:rPr>
        <w:t>el Tesorero Municipal</w:t>
      </w:r>
      <w:r w:rsidRPr="006E26D3">
        <w:rPr>
          <w:rFonts w:ascii="Palatino Linotype" w:eastAsia="Palatino Linotype" w:hAnsi="Palatino Linotype" w:cs="Palatino Linotype"/>
          <w:b/>
          <w:bCs/>
          <w:sz w:val="22"/>
          <w:szCs w:val="22"/>
        </w:rPr>
        <w:t xml:space="preserve"> </w:t>
      </w:r>
      <w:r w:rsidRPr="006E26D3">
        <w:rPr>
          <w:rFonts w:ascii="Palatino Linotype" w:eastAsia="Palatino Linotype" w:hAnsi="Palatino Linotype" w:cs="Palatino Linotype"/>
          <w:sz w:val="22"/>
          <w:szCs w:val="22"/>
        </w:rPr>
        <w:t>mediante el cual refiere la requisición número 000006 membresía integral para la casa habitación a los contribuyentes cumplidos del municipio de Atizapán de Zaragoza que realicen su pago íntegro de impuesto predial del ejercicio fiscal 2025 y que ampara siniestros naturales, riesgos de incendio, rayo, explosión, riesgos, hidrometeorológicos, responsabilidad civil, asistencia médica y servicios funerarios, con la finalidad de que sea liberada la suficiencia presupuestal.</w:t>
      </w:r>
      <w:r w:rsidRPr="006E26D3">
        <w:rPr>
          <w:rFonts w:ascii="Palatino Linotype" w:eastAsia="Palatino Linotype" w:hAnsi="Palatino Linotype" w:cs="Palatino Linotype"/>
          <w:b/>
          <w:bCs/>
          <w:sz w:val="22"/>
          <w:szCs w:val="22"/>
        </w:rPr>
        <w:t xml:space="preserve"> </w:t>
      </w:r>
      <w:r w:rsidRPr="006E26D3">
        <w:rPr>
          <w:rFonts w:ascii="Palatino Linotype" w:eastAsia="Palatino Linotype" w:hAnsi="Palatino Linotype" w:cs="Palatino Linotype"/>
          <w:sz w:val="22"/>
          <w:szCs w:val="22"/>
        </w:rPr>
        <w:t>Adjuntó el documento de requisición de bienes y servicios número 000006.</w:t>
      </w:r>
    </w:p>
    <w:p w14:paraId="60761BE3" w14:textId="77777777" w:rsidR="008C41BA" w:rsidRPr="006E26D3" w:rsidRDefault="000B1C06">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roofErr w:type="spellStart"/>
      <w:r w:rsidRPr="006E26D3">
        <w:rPr>
          <w:rFonts w:ascii="Palatino Linotype" w:eastAsia="Palatino Linotype" w:hAnsi="Palatino Linotype" w:cs="Palatino Linotype"/>
          <w:b/>
          <w:bCs/>
          <w:sz w:val="22"/>
          <w:szCs w:val="22"/>
        </w:rPr>
        <w:t>analisis</w:t>
      </w:r>
      <w:proofErr w:type="spellEnd"/>
      <w:r w:rsidRPr="006E26D3">
        <w:rPr>
          <w:rFonts w:ascii="Palatino Linotype" w:eastAsia="Palatino Linotype" w:hAnsi="Palatino Linotype" w:cs="Palatino Linotype"/>
          <w:b/>
          <w:bCs/>
          <w:sz w:val="22"/>
          <w:szCs w:val="22"/>
        </w:rPr>
        <w:t xml:space="preserve"> </w:t>
      </w:r>
      <w:proofErr w:type="spellStart"/>
      <w:r w:rsidRPr="006E26D3">
        <w:rPr>
          <w:rFonts w:ascii="Palatino Linotype" w:eastAsia="Palatino Linotype" w:hAnsi="Palatino Linotype" w:cs="Palatino Linotype"/>
          <w:b/>
          <w:bCs/>
          <w:sz w:val="22"/>
          <w:szCs w:val="22"/>
        </w:rPr>
        <w:t>evalu</w:t>
      </w:r>
      <w:proofErr w:type="spellEnd"/>
      <w:r w:rsidRPr="006E26D3">
        <w:rPr>
          <w:rFonts w:ascii="Palatino Linotype" w:eastAsia="Palatino Linotype" w:hAnsi="Palatino Linotype" w:cs="Palatino Linotype"/>
          <w:b/>
          <w:bCs/>
          <w:sz w:val="22"/>
          <w:szCs w:val="22"/>
        </w:rPr>
        <w:t xml:space="preserve"> y dictamen_removed.pdf: </w:t>
      </w:r>
      <w:r w:rsidRPr="006E26D3">
        <w:rPr>
          <w:rFonts w:ascii="Palatino Linotype" w:eastAsia="Palatino Linotype" w:hAnsi="Palatino Linotype" w:cs="Palatino Linotype"/>
          <w:sz w:val="22"/>
          <w:szCs w:val="22"/>
        </w:rPr>
        <w:t xml:space="preserve">Documento integrado por quince páginas que contiene el análisis de propuestas y emisión de dictamen de ejecución de la licitación pública MAZ-DA-LPN-005-2025 relativa a la Contratación de la Membresía Integral para la casa habitación a los contribuyentes cumplidos en el Municipio que realicen su pago íntegro del impuesto predial del ejercicio fiscal 2025. En el que se determina que es procedente adjudicar la adquisición a la persona jurídica colectiva </w:t>
      </w:r>
      <w:r w:rsidRPr="006E26D3">
        <w:rPr>
          <w:rFonts w:ascii="Palatino Linotype" w:eastAsia="Palatino Linotype" w:hAnsi="Palatino Linotype" w:cs="Palatino Linotype"/>
          <w:b/>
          <w:bCs/>
          <w:sz w:val="22"/>
          <w:szCs w:val="22"/>
        </w:rPr>
        <w:t>VALE MAS ASISTENCIAS S.A.P.I. DE C.V.</w:t>
      </w:r>
      <w:r w:rsidRPr="006E26D3">
        <w:rPr>
          <w:rFonts w:ascii="Palatino Linotype" w:eastAsia="Palatino Linotype" w:hAnsi="Palatino Linotype" w:cs="Palatino Linotype"/>
          <w:sz w:val="22"/>
          <w:szCs w:val="22"/>
        </w:rPr>
        <w:t xml:space="preserve"> </w:t>
      </w:r>
    </w:p>
    <w:p w14:paraId="2E18ADAE" w14:textId="77777777" w:rsidR="008C41BA" w:rsidRPr="006E26D3" w:rsidRDefault="008C41BA">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03CBBA5D"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 xml:space="preserve">3. Del Recurso de Revisión. </w:t>
      </w:r>
      <w:r w:rsidRPr="006E26D3">
        <w:rPr>
          <w:rFonts w:ascii="Palatino Linotype" w:eastAsia="Palatino Linotype" w:hAnsi="Palatino Linotype" w:cs="Palatino Linotype"/>
          <w:sz w:val="22"/>
          <w:szCs w:val="22"/>
        </w:rPr>
        <w:t>Inconforme con la respuesta del</w:t>
      </w:r>
      <w:r w:rsidRPr="006E26D3">
        <w:rPr>
          <w:rFonts w:ascii="Palatino Linotype" w:eastAsia="Palatino Linotype" w:hAnsi="Palatino Linotype" w:cs="Palatino Linotype"/>
          <w:b/>
          <w:bCs/>
          <w:sz w:val="22"/>
          <w:szCs w:val="22"/>
        </w:rPr>
        <w:t xml:space="preserve"> SUJETO OBLIGADO, </w:t>
      </w:r>
      <w:r w:rsidRPr="006E26D3">
        <w:rPr>
          <w:rFonts w:ascii="Palatino Linotype" w:eastAsia="Palatino Linotype" w:hAnsi="Palatino Linotype" w:cs="Palatino Linotype"/>
          <w:sz w:val="22"/>
          <w:szCs w:val="22"/>
        </w:rPr>
        <w:t xml:space="preserve">el </w:t>
      </w:r>
      <w:r w:rsidRPr="006E26D3">
        <w:rPr>
          <w:rFonts w:ascii="Palatino Linotype" w:eastAsia="Palatino Linotype" w:hAnsi="Palatino Linotype" w:cs="Palatino Linotype"/>
          <w:b/>
          <w:bCs/>
          <w:sz w:val="22"/>
          <w:szCs w:val="22"/>
        </w:rPr>
        <w:t>veintiuno</w:t>
      </w: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b/>
          <w:bCs/>
          <w:sz w:val="22"/>
          <w:szCs w:val="22"/>
        </w:rPr>
        <w:t xml:space="preserve">de julio de dos mil veinticinco, LA PARTE RECURRENTE </w:t>
      </w:r>
      <w:r w:rsidRPr="006E26D3">
        <w:rPr>
          <w:rFonts w:ascii="Palatino Linotype" w:eastAsia="Palatino Linotype" w:hAnsi="Palatino Linotype" w:cs="Palatino Linotype"/>
          <w:sz w:val="22"/>
          <w:szCs w:val="22"/>
        </w:rPr>
        <w:t xml:space="preserve">interpuso el recurso de revisión; sin embargo, al ser día inhábil, se tuvo por presentado el </w:t>
      </w:r>
      <w:r w:rsidRPr="006E26D3">
        <w:rPr>
          <w:rFonts w:ascii="Palatino Linotype" w:eastAsia="Palatino Linotype" w:hAnsi="Palatino Linotype" w:cs="Palatino Linotype"/>
          <w:b/>
          <w:bCs/>
          <w:sz w:val="22"/>
          <w:szCs w:val="22"/>
        </w:rPr>
        <w:t>cuatro de agosto de dos mil veinticinco</w:t>
      </w:r>
      <w:r w:rsidRPr="006E26D3">
        <w:rPr>
          <w:rFonts w:ascii="Palatino Linotype" w:eastAsia="Palatino Linotype" w:hAnsi="Palatino Linotype" w:cs="Palatino Linotype"/>
          <w:sz w:val="22"/>
          <w:szCs w:val="22"/>
        </w:rPr>
        <w:t xml:space="preserve">, mediante el cual y manifestó lo siguiente: </w:t>
      </w:r>
    </w:p>
    <w:p w14:paraId="39B94692"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13D51F24" w14:textId="77777777" w:rsidR="008C41BA" w:rsidRPr="006E26D3" w:rsidRDefault="000B1C06">
      <w:pPr>
        <w:numPr>
          <w:ilvl w:val="0"/>
          <w:numId w:val="6"/>
        </w:numPr>
        <w:pBdr>
          <w:top w:val="nil"/>
          <w:left w:val="nil"/>
          <w:bottom w:val="nil"/>
          <w:right w:val="nil"/>
          <w:between w:val="nil"/>
        </w:pBdr>
        <w:spacing w:line="360" w:lineRule="auto"/>
        <w:ind w:right="56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Acto Impugnado:</w:t>
      </w:r>
      <w:r w:rsidRPr="006E26D3">
        <w:rPr>
          <w:rFonts w:ascii="Palatino Linotype" w:eastAsia="Palatino Linotype" w:hAnsi="Palatino Linotype" w:cs="Palatino Linotype"/>
          <w:i/>
          <w:iCs/>
          <w:sz w:val="22"/>
          <w:szCs w:val="22"/>
        </w:rPr>
        <w:t xml:space="preserve"> “Falta información”.</w:t>
      </w:r>
    </w:p>
    <w:p w14:paraId="72186238" w14:textId="77777777" w:rsidR="008C41BA" w:rsidRPr="006E26D3" w:rsidRDefault="000B1C06">
      <w:pPr>
        <w:numPr>
          <w:ilvl w:val="0"/>
          <w:numId w:val="6"/>
        </w:numPr>
        <w:pBdr>
          <w:top w:val="nil"/>
          <w:left w:val="nil"/>
          <w:bottom w:val="nil"/>
          <w:right w:val="nil"/>
          <w:between w:val="nil"/>
        </w:pBdr>
        <w:spacing w:line="360" w:lineRule="auto"/>
        <w:ind w:right="56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Motivo de inconformidad:</w:t>
      </w:r>
      <w:r w:rsidRPr="006E26D3">
        <w:rPr>
          <w:rFonts w:ascii="Palatino Linotype" w:eastAsia="Palatino Linotype" w:hAnsi="Palatino Linotype" w:cs="Palatino Linotype"/>
          <w:i/>
          <w:iCs/>
          <w:sz w:val="22"/>
          <w:szCs w:val="22"/>
        </w:rPr>
        <w:t xml:space="preserve"> “NO se </w:t>
      </w:r>
      <w:proofErr w:type="spellStart"/>
      <w:r w:rsidRPr="006E26D3">
        <w:rPr>
          <w:rFonts w:ascii="Palatino Linotype" w:eastAsia="Palatino Linotype" w:hAnsi="Palatino Linotype" w:cs="Palatino Linotype"/>
          <w:i/>
          <w:iCs/>
          <w:sz w:val="22"/>
          <w:szCs w:val="22"/>
        </w:rPr>
        <w:t>emtntrega</w:t>
      </w:r>
      <w:proofErr w:type="spellEnd"/>
      <w:r w:rsidRPr="006E26D3">
        <w:rPr>
          <w:rFonts w:ascii="Palatino Linotype" w:eastAsia="Palatino Linotype" w:hAnsi="Palatino Linotype" w:cs="Palatino Linotype"/>
          <w:i/>
          <w:iCs/>
          <w:sz w:val="22"/>
          <w:szCs w:val="22"/>
        </w:rPr>
        <w:t xml:space="preserve"> completa la información”.</w:t>
      </w:r>
    </w:p>
    <w:p w14:paraId="2C7CFCC0" w14:textId="77777777" w:rsidR="008C41BA" w:rsidRPr="006E26D3" w:rsidRDefault="008C41BA">
      <w:pPr>
        <w:spacing w:line="360" w:lineRule="auto"/>
        <w:ind w:left="142" w:right="560"/>
        <w:jc w:val="both"/>
        <w:rPr>
          <w:rFonts w:ascii="Palatino Linotype" w:eastAsia="Palatino Linotype" w:hAnsi="Palatino Linotype" w:cs="Palatino Linotype"/>
          <w:i/>
          <w:iCs/>
          <w:sz w:val="22"/>
          <w:szCs w:val="22"/>
        </w:rPr>
      </w:pPr>
    </w:p>
    <w:p w14:paraId="51F915B6"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 xml:space="preserve">4. Turno. </w:t>
      </w:r>
      <w:r w:rsidRPr="006E26D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6E26D3">
        <w:rPr>
          <w:rFonts w:ascii="Palatino Linotype" w:eastAsia="Palatino Linotype" w:hAnsi="Palatino Linotype" w:cs="Palatino Linotype"/>
          <w:b/>
          <w:bCs/>
          <w:sz w:val="22"/>
          <w:szCs w:val="22"/>
        </w:rPr>
        <w:t>08919/INFOEM/IP/RR/2025</w:t>
      </w:r>
      <w:r w:rsidRPr="006E26D3">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6E26D3">
        <w:rPr>
          <w:rFonts w:ascii="Palatino Linotype" w:eastAsia="Palatino Linotype" w:hAnsi="Palatino Linotype" w:cs="Palatino Linotype"/>
          <w:b/>
          <w:bCs/>
          <w:sz w:val="22"/>
          <w:szCs w:val="22"/>
        </w:rPr>
        <w:t>Guadalupe Ramírez Peña</w:t>
      </w:r>
      <w:r w:rsidRPr="006E26D3">
        <w:rPr>
          <w:rFonts w:ascii="Palatino Linotype" w:eastAsia="Palatino Linotype" w:hAnsi="Palatino Linotype" w:cs="Palatino Linotype"/>
          <w:sz w:val="22"/>
          <w:szCs w:val="22"/>
        </w:rPr>
        <w:t>, para su análisis, estudio, elaboración del proyecto y presentación ante el Pleno de este Instituto.</w:t>
      </w:r>
    </w:p>
    <w:p w14:paraId="5BC2B74A"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57FE795C" w14:textId="77777777" w:rsidR="008C41BA" w:rsidRPr="006E26D3" w:rsidRDefault="000B1C06">
      <w:pPr>
        <w:spacing w:line="360" w:lineRule="auto"/>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 xml:space="preserve">5. Admisión. </w:t>
      </w:r>
      <w:r w:rsidRPr="006E26D3">
        <w:rPr>
          <w:rFonts w:ascii="Palatino Linotype" w:eastAsia="Palatino Linotype" w:hAnsi="Palatino Linotype" w:cs="Palatino Linotype"/>
          <w:sz w:val="22"/>
          <w:szCs w:val="22"/>
        </w:rPr>
        <w:t xml:space="preserve">El </w:t>
      </w:r>
      <w:r w:rsidRPr="006E26D3">
        <w:rPr>
          <w:rFonts w:ascii="Palatino Linotype" w:eastAsia="Palatino Linotype" w:hAnsi="Palatino Linotype" w:cs="Palatino Linotype"/>
          <w:b/>
          <w:bCs/>
          <w:sz w:val="22"/>
          <w:szCs w:val="22"/>
        </w:rPr>
        <w:t>ocho</w:t>
      </w: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b/>
          <w:bCs/>
          <w:sz w:val="22"/>
          <w:szCs w:val="22"/>
        </w:rPr>
        <w:t>de agosto de dos mil veinticinco</w:t>
      </w:r>
      <w:r w:rsidRPr="006E26D3">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6E26D3">
        <w:rPr>
          <w:rFonts w:ascii="Palatino Linotype" w:eastAsia="Palatino Linotype" w:hAnsi="Palatino Linotype" w:cs="Palatino Linotype"/>
          <w:b/>
          <w:bCs/>
          <w:sz w:val="22"/>
          <w:szCs w:val="22"/>
        </w:rPr>
        <w:t>.</w:t>
      </w:r>
    </w:p>
    <w:p w14:paraId="58829257" w14:textId="77777777" w:rsidR="008C41BA" w:rsidRPr="006E26D3" w:rsidRDefault="008C41BA">
      <w:pPr>
        <w:spacing w:line="360" w:lineRule="auto"/>
        <w:jc w:val="both"/>
        <w:rPr>
          <w:rFonts w:ascii="Palatino Linotype" w:eastAsia="Palatino Linotype" w:hAnsi="Palatino Linotype" w:cs="Palatino Linotype"/>
          <w:b/>
          <w:bCs/>
          <w:sz w:val="22"/>
          <w:szCs w:val="22"/>
        </w:rPr>
      </w:pPr>
    </w:p>
    <w:p w14:paraId="2434FE3B" w14:textId="77777777" w:rsidR="008C41BA" w:rsidRPr="006E26D3" w:rsidRDefault="000B1C06">
      <w:pPr>
        <w:spacing w:line="360" w:lineRule="auto"/>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6. Manifestaciones.</w:t>
      </w:r>
      <w:r w:rsidRPr="006E26D3">
        <w:rPr>
          <w:rFonts w:ascii="Palatino Linotype" w:eastAsia="Palatino Linotype" w:hAnsi="Palatino Linotype" w:cs="Palatino Linotype"/>
          <w:sz w:val="22"/>
          <w:szCs w:val="22"/>
        </w:rPr>
        <w:t xml:space="preserve"> De las constancias que obran en el expediente electrónico del SAIMEX, se advierte que, el </w:t>
      </w:r>
      <w:r w:rsidRPr="006E26D3">
        <w:rPr>
          <w:rFonts w:ascii="Palatino Linotype" w:eastAsia="Palatino Linotype" w:hAnsi="Palatino Linotype" w:cs="Palatino Linotype"/>
          <w:b/>
          <w:bCs/>
          <w:sz w:val="22"/>
          <w:szCs w:val="22"/>
        </w:rPr>
        <w:t>once de agosto de dos mil veinticinco,</w:t>
      </w:r>
      <w:r w:rsidRPr="006E26D3">
        <w:rPr>
          <w:rFonts w:ascii="Palatino Linotype" w:eastAsia="Palatino Linotype" w:hAnsi="Palatino Linotype" w:cs="Palatino Linotype"/>
          <w:sz w:val="22"/>
          <w:szCs w:val="22"/>
        </w:rPr>
        <w:t xml:space="preserve"> el Sujeto Obligado entregó el documento electrónico denominado (</w:t>
      </w:r>
      <w:proofErr w:type="spellStart"/>
      <w:r w:rsidRPr="006E26D3">
        <w:rPr>
          <w:rFonts w:ascii="Palatino Linotype" w:eastAsia="Palatino Linotype" w:hAnsi="Palatino Linotype" w:cs="Palatino Linotype"/>
          <w:sz w:val="22"/>
          <w:szCs w:val="22"/>
        </w:rPr>
        <w:t>Untitled</w:t>
      </w:r>
      <w:proofErr w:type="spellEnd"/>
      <w:r w:rsidRPr="006E26D3">
        <w:rPr>
          <w:rFonts w:ascii="Palatino Linotype" w:eastAsia="Palatino Linotype" w:hAnsi="Palatino Linotype" w:cs="Palatino Linotype"/>
          <w:sz w:val="22"/>
          <w:szCs w:val="22"/>
        </w:rPr>
        <w:t xml:space="preserve">)_2025081111345221_1-4.pdf; documento suscrito por la Dirección de Administración mediante el cual refiere que en la respuesta se proporcionó la información que obra en los archivos que obran en la Dirección al momento de ingresar la solicitud, por lo que se confirma la contestación inicial. El informe justificado se puso a disposición del Recurrente el </w:t>
      </w:r>
      <w:r w:rsidRPr="006E26D3">
        <w:rPr>
          <w:rFonts w:ascii="Palatino Linotype" w:eastAsia="Palatino Linotype" w:hAnsi="Palatino Linotype" w:cs="Palatino Linotype"/>
          <w:b/>
          <w:bCs/>
          <w:sz w:val="22"/>
          <w:szCs w:val="22"/>
        </w:rPr>
        <w:t>veinticuatro</w:t>
      </w: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b/>
          <w:bCs/>
          <w:sz w:val="22"/>
          <w:szCs w:val="22"/>
        </w:rPr>
        <w:t xml:space="preserve">de noviembre de dos mil veinticinco. </w:t>
      </w:r>
    </w:p>
    <w:p w14:paraId="2009E31F" w14:textId="77777777" w:rsidR="008C41BA" w:rsidRPr="006E26D3" w:rsidRDefault="008C41BA">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14:paraId="365ACCE4" w14:textId="77777777" w:rsidR="008C41BA" w:rsidRPr="006E26D3" w:rsidRDefault="000B1C0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7. Ampliación de plazo. El veinticuatro de noviembre de dos mil veinticinco</w:t>
      </w:r>
      <w:r w:rsidRPr="006E26D3">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 mediante el acuerdo notificado el veinte de agosto de la misma anualidad.</w:t>
      </w:r>
    </w:p>
    <w:p w14:paraId="54731C3F" w14:textId="77777777" w:rsidR="008C41BA" w:rsidRPr="006E26D3" w:rsidRDefault="008C41B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F0F796C"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FB20A95"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 </w:t>
      </w:r>
    </w:p>
    <w:p w14:paraId="1C4CFAFB"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045249B"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 </w:t>
      </w:r>
    </w:p>
    <w:p w14:paraId="079A3BB5"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F149B9" w14:textId="77777777" w:rsidR="008C41BA" w:rsidRPr="006E26D3" w:rsidRDefault="008C41BA">
      <w:pPr>
        <w:spacing w:line="360" w:lineRule="auto"/>
        <w:ind w:right="49"/>
        <w:jc w:val="both"/>
        <w:rPr>
          <w:rFonts w:ascii="Palatino Linotype" w:eastAsia="Palatino Linotype" w:hAnsi="Palatino Linotype" w:cs="Palatino Linotype"/>
          <w:sz w:val="22"/>
          <w:szCs w:val="22"/>
        </w:rPr>
      </w:pPr>
    </w:p>
    <w:p w14:paraId="3DA6162C"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7AD7944" w14:textId="77777777" w:rsidR="008C41BA" w:rsidRPr="006E26D3" w:rsidRDefault="008C41BA">
      <w:pPr>
        <w:spacing w:line="360" w:lineRule="auto"/>
        <w:ind w:right="49"/>
        <w:jc w:val="both"/>
        <w:rPr>
          <w:rFonts w:ascii="Palatino Linotype" w:eastAsia="Palatino Linotype" w:hAnsi="Palatino Linotype" w:cs="Palatino Linotype"/>
          <w:sz w:val="22"/>
          <w:szCs w:val="22"/>
        </w:rPr>
      </w:pPr>
    </w:p>
    <w:p w14:paraId="4511F307"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CA53EC4" w14:textId="77777777" w:rsidR="008C41BA" w:rsidRPr="006E26D3" w:rsidRDefault="008C41BA">
      <w:pPr>
        <w:spacing w:line="360" w:lineRule="auto"/>
        <w:ind w:right="49"/>
        <w:jc w:val="both"/>
        <w:rPr>
          <w:rFonts w:ascii="Palatino Linotype" w:eastAsia="Palatino Linotype" w:hAnsi="Palatino Linotype" w:cs="Palatino Linotype"/>
          <w:sz w:val="22"/>
          <w:szCs w:val="22"/>
        </w:rPr>
      </w:pPr>
    </w:p>
    <w:p w14:paraId="4A65BC45" w14:textId="77777777" w:rsidR="008C41BA" w:rsidRPr="006E26D3" w:rsidRDefault="000B1C06">
      <w:pPr>
        <w:tabs>
          <w:tab w:val="left" w:pos="709"/>
        </w:tabs>
        <w:spacing w:line="360" w:lineRule="auto"/>
        <w:ind w:left="567" w:right="560"/>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a)    Complejidad del asunto:</w:t>
      </w:r>
      <w:r w:rsidRPr="006E26D3">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3BF47F74" w14:textId="77777777" w:rsidR="008C41BA" w:rsidRPr="006E26D3" w:rsidRDefault="000B1C06">
      <w:pPr>
        <w:tabs>
          <w:tab w:val="left" w:pos="709"/>
        </w:tabs>
        <w:spacing w:line="360" w:lineRule="auto"/>
        <w:ind w:left="567" w:right="560"/>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b)   Actividad Procesal del interesado</w:t>
      </w:r>
      <w:r w:rsidRPr="006E26D3">
        <w:rPr>
          <w:rFonts w:ascii="Palatino Linotype" w:eastAsia="Palatino Linotype" w:hAnsi="Palatino Linotype" w:cs="Palatino Linotype"/>
          <w:sz w:val="22"/>
          <w:szCs w:val="22"/>
        </w:rPr>
        <w:t>: Acciones u omisiones del interesado.</w:t>
      </w:r>
    </w:p>
    <w:p w14:paraId="2DCA5D8F" w14:textId="77777777" w:rsidR="008C41BA" w:rsidRPr="006E26D3" w:rsidRDefault="000B1C06">
      <w:pPr>
        <w:tabs>
          <w:tab w:val="left" w:pos="851"/>
        </w:tabs>
        <w:spacing w:line="360" w:lineRule="auto"/>
        <w:ind w:left="567" w:right="560"/>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c)  Conducta de la Autoridad:</w:t>
      </w:r>
      <w:r w:rsidRPr="006E26D3">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773F750" w14:textId="77777777" w:rsidR="008C41BA" w:rsidRPr="006E26D3" w:rsidRDefault="000B1C06">
      <w:pPr>
        <w:tabs>
          <w:tab w:val="left" w:pos="851"/>
        </w:tabs>
        <w:spacing w:line="360" w:lineRule="auto"/>
        <w:ind w:left="567" w:right="560"/>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d) La afectación generada en la situación jurídica de la persona involucrada en el proceso:</w:t>
      </w:r>
      <w:r w:rsidRPr="006E26D3">
        <w:rPr>
          <w:rFonts w:ascii="Palatino Linotype" w:eastAsia="Palatino Linotype" w:hAnsi="Palatino Linotype" w:cs="Palatino Linotype"/>
          <w:sz w:val="22"/>
          <w:szCs w:val="22"/>
        </w:rPr>
        <w:t xml:space="preserve"> Violación a sus derechos humanos.</w:t>
      </w:r>
    </w:p>
    <w:p w14:paraId="46E39306" w14:textId="77777777" w:rsidR="008C41BA" w:rsidRPr="006E26D3" w:rsidRDefault="008C41BA">
      <w:pPr>
        <w:spacing w:line="360" w:lineRule="auto"/>
        <w:ind w:right="49"/>
        <w:jc w:val="both"/>
        <w:rPr>
          <w:rFonts w:ascii="Palatino Linotype" w:eastAsia="Palatino Linotype" w:hAnsi="Palatino Linotype" w:cs="Palatino Linotype"/>
          <w:sz w:val="22"/>
          <w:szCs w:val="22"/>
        </w:rPr>
      </w:pPr>
    </w:p>
    <w:p w14:paraId="238C3AA7"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B2DA9B"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 </w:t>
      </w:r>
    </w:p>
    <w:p w14:paraId="49794027"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6E26D3">
        <w:rPr>
          <w:rFonts w:ascii="Palatino Linotype" w:eastAsia="Palatino Linotype" w:hAnsi="Palatino Linotype" w:cs="Palatino Linotype"/>
          <w:b/>
          <w:bCs/>
          <w:sz w:val="22"/>
          <w:szCs w:val="22"/>
        </w:rPr>
        <w:t>TÉRMINOS PROCESALES. PARA DETERMINAR SI UN FUNCIONARIO JUDICIAL ACTUÓ INDEBIDAMENTE POR NO RESPETARLOS SE DEBE ATENDER AL PRESUPUESTO QUE CONSIDERÓ EL LEGISLADOR AL FIJARLOS Y LAS CARACTERÍSTICAS DEL CASO.”</w:t>
      </w:r>
      <w:r w:rsidRPr="006E26D3">
        <w:rPr>
          <w:rFonts w:ascii="Palatino Linotype" w:eastAsia="Palatino Linotype" w:hAnsi="Palatino Linotype" w:cs="Palatino Linotype"/>
          <w:sz w:val="22"/>
          <w:szCs w:val="22"/>
        </w:rPr>
        <w:t>, visible en la Gaceta del Seminario Judicial de la Federación con el registro digital 205635.</w:t>
      </w:r>
    </w:p>
    <w:p w14:paraId="4B9EFBD2"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 </w:t>
      </w:r>
    </w:p>
    <w:p w14:paraId="2D2F9775"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5D23A20" w14:textId="77777777" w:rsidR="008C41BA" w:rsidRPr="006E26D3" w:rsidRDefault="008C41BA">
      <w:pPr>
        <w:spacing w:line="360" w:lineRule="auto"/>
        <w:ind w:right="49"/>
        <w:jc w:val="both"/>
        <w:rPr>
          <w:rFonts w:ascii="Palatino Linotype" w:eastAsia="Palatino Linotype" w:hAnsi="Palatino Linotype" w:cs="Palatino Linotype"/>
          <w:sz w:val="22"/>
          <w:szCs w:val="22"/>
        </w:rPr>
      </w:pPr>
    </w:p>
    <w:p w14:paraId="3D0C9034"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604E5AC" w14:textId="77777777" w:rsidR="008C41BA" w:rsidRPr="006E26D3" w:rsidRDefault="008C41BA">
      <w:pPr>
        <w:spacing w:line="360" w:lineRule="auto"/>
        <w:ind w:right="49"/>
        <w:jc w:val="both"/>
        <w:rPr>
          <w:rFonts w:ascii="Palatino Linotype" w:eastAsia="Palatino Linotype" w:hAnsi="Palatino Linotype" w:cs="Palatino Linotype"/>
          <w:sz w:val="22"/>
          <w:szCs w:val="22"/>
        </w:rPr>
      </w:pPr>
    </w:p>
    <w:p w14:paraId="24EBB59A" w14:textId="77777777" w:rsidR="008C41BA" w:rsidRPr="006E26D3" w:rsidRDefault="000B1C06">
      <w:pPr>
        <w:spacing w:line="360" w:lineRule="auto"/>
        <w:ind w:left="567" w:right="560"/>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 xml:space="preserve"> “PLAZO RAZONABLE PARA RESOLVER. DIMENSIÓN Y EFECTOS DE ESTE CONCEPTO CUANDO SE ADUCE EXCESIVA CARGA DE TRABAJO.”</w:t>
      </w:r>
      <w:r w:rsidRPr="006E26D3">
        <w:rPr>
          <w:rFonts w:ascii="Palatino Linotype" w:eastAsia="Palatino Linotype" w:hAnsi="Palatino Linotype" w:cs="Palatino Linotype"/>
          <w:sz w:val="22"/>
          <w:szCs w:val="22"/>
        </w:rPr>
        <w:t xml:space="preserve"> consultable en el Seminario Judicial de la Federación y su gaceta, con el registro digital 2002351.</w:t>
      </w:r>
    </w:p>
    <w:p w14:paraId="01A29EAE" w14:textId="77777777" w:rsidR="008C41BA" w:rsidRPr="006E26D3" w:rsidRDefault="000B1C06">
      <w:pPr>
        <w:spacing w:line="360" w:lineRule="auto"/>
        <w:ind w:left="567" w:right="560"/>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“PLAZO RAZONABLE PARA RESOLVER. CONCEPTO Y ELEMENTOS QUE LO INTEGRAN A LA LUZ DEL DERECHO INTERNACIONAL DE LOS DERECHOS HUMANOS.”,</w:t>
      </w:r>
      <w:r w:rsidRPr="006E26D3">
        <w:rPr>
          <w:rFonts w:ascii="Palatino Linotype" w:eastAsia="Palatino Linotype" w:hAnsi="Palatino Linotype" w:cs="Palatino Linotype"/>
          <w:sz w:val="22"/>
          <w:szCs w:val="22"/>
        </w:rPr>
        <w:t xml:space="preserve"> visible en el Seminario Judicial de la Federación y su gaceta, con el registro digital 2002350.</w:t>
      </w:r>
    </w:p>
    <w:p w14:paraId="56AE227F" w14:textId="77777777" w:rsidR="008C41BA" w:rsidRPr="006E26D3" w:rsidRDefault="008C41B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16E3F32" w14:textId="77777777" w:rsidR="008C41BA" w:rsidRPr="006E26D3" w:rsidRDefault="000B1C0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de carácter excepcional. </w:t>
      </w:r>
    </w:p>
    <w:p w14:paraId="2D7B5D66" w14:textId="77777777" w:rsidR="008C41BA" w:rsidRPr="006E26D3" w:rsidRDefault="008C41B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0BACBD2" w14:textId="2B443FC6" w:rsidR="008C41BA" w:rsidRPr="006E26D3" w:rsidRDefault="000B1C0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8. Cierre de instrucción</w:t>
      </w:r>
      <w:r w:rsidRPr="006E26D3">
        <w:rPr>
          <w:rFonts w:ascii="Palatino Linotype" w:eastAsia="Palatino Linotype" w:hAnsi="Palatino Linotype" w:cs="Palatino Linotype"/>
          <w:sz w:val="22"/>
          <w:szCs w:val="22"/>
        </w:rPr>
        <w:t xml:space="preserve">. En fecha </w:t>
      </w:r>
      <w:r w:rsidR="00B32EEA" w:rsidRPr="006E26D3">
        <w:rPr>
          <w:rFonts w:ascii="Palatino Linotype" w:eastAsia="Palatino Linotype" w:hAnsi="Palatino Linotype" w:cs="Palatino Linotype"/>
          <w:b/>
          <w:bCs/>
          <w:sz w:val="22"/>
          <w:szCs w:val="22"/>
        </w:rPr>
        <w:t>dos de diciembre</w:t>
      </w:r>
      <w:r w:rsidRPr="006E26D3">
        <w:rPr>
          <w:rFonts w:ascii="Palatino Linotype" w:eastAsia="Palatino Linotype" w:hAnsi="Palatino Linotype" w:cs="Palatino Linotype"/>
          <w:b/>
          <w:bCs/>
          <w:sz w:val="22"/>
          <w:szCs w:val="22"/>
        </w:rPr>
        <w:t xml:space="preserve"> de dos mil veinticinco</w:t>
      </w:r>
      <w:r w:rsidRPr="006E26D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92A3937" w14:textId="77777777" w:rsidR="008C41BA" w:rsidRPr="006E26D3" w:rsidRDefault="008C41B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3E1CB9E"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384D6808" w14:textId="77777777" w:rsidR="008C41BA" w:rsidRPr="006E26D3" w:rsidRDefault="008C41BA">
      <w:pPr>
        <w:spacing w:line="360" w:lineRule="auto"/>
        <w:ind w:right="49"/>
        <w:jc w:val="both"/>
        <w:rPr>
          <w:rFonts w:ascii="Palatino Linotype" w:eastAsia="Palatino Linotype" w:hAnsi="Palatino Linotype" w:cs="Palatino Linotype"/>
          <w:sz w:val="22"/>
          <w:szCs w:val="22"/>
        </w:rPr>
      </w:pPr>
    </w:p>
    <w:p w14:paraId="0C9CC9A9" w14:textId="77777777" w:rsidR="008C41BA" w:rsidRPr="006E26D3" w:rsidRDefault="000B1C06">
      <w:pPr>
        <w:spacing w:line="360" w:lineRule="auto"/>
        <w:ind w:right="49"/>
        <w:jc w:val="center"/>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II.</w:t>
      </w:r>
      <w:r w:rsidRPr="006E26D3">
        <w:rPr>
          <w:rFonts w:ascii="Palatino Linotype" w:eastAsia="Palatino Linotype" w:hAnsi="Palatino Linotype" w:cs="Palatino Linotype"/>
          <w:b/>
          <w:bCs/>
          <w:sz w:val="22"/>
          <w:szCs w:val="22"/>
        </w:rPr>
        <w:tab/>
        <w:t>C O N S I D E R A N D O:</w:t>
      </w:r>
    </w:p>
    <w:p w14:paraId="75F10832" w14:textId="77777777" w:rsidR="008C41BA" w:rsidRPr="006E26D3" w:rsidRDefault="008C41BA">
      <w:pPr>
        <w:spacing w:line="360" w:lineRule="auto"/>
        <w:ind w:right="49"/>
        <w:jc w:val="both"/>
        <w:rPr>
          <w:rFonts w:ascii="Palatino Linotype" w:eastAsia="Palatino Linotype" w:hAnsi="Palatino Linotype" w:cs="Palatino Linotype"/>
          <w:sz w:val="22"/>
          <w:szCs w:val="22"/>
        </w:rPr>
      </w:pPr>
    </w:p>
    <w:p w14:paraId="3AD46205"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Primero. Competencia.</w:t>
      </w:r>
      <w:r w:rsidRPr="006E26D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0C13D66" w14:textId="77777777" w:rsidR="008C41BA" w:rsidRPr="006E26D3" w:rsidRDefault="000B1C06">
      <w:pPr>
        <w:spacing w:before="240" w:after="240"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 xml:space="preserve">Segundo. Oportunidad y Procedibilidad del Recurso de Revisión. </w:t>
      </w:r>
      <w:r w:rsidRPr="006E26D3">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05D34E5" w14:textId="77777777" w:rsidR="008C41BA" w:rsidRPr="006E26D3" w:rsidRDefault="000B1C06">
      <w:pPr>
        <w:spacing w:before="240" w:after="240"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2C2E991" w14:textId="77777777" w:rsidR="008C41BA" w:rsidRPr="006E26D3" w:rsidRDefault="000B1C06">
      <w:pPr>
        <w:spacing w:line="276" w:lineRule="auto"/>
        <w:ind w:left="851"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 xml:space="preserve">“Artículo 178. </w:t>
      </w:r>
      <w:r w:rsidRPr="006E26D3">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A8743BE" w14:textId="77777777" w:rsidR="008C41BA" w:rsidRPr="006E26D3" w:rsidRDefault="000B1C06">
      <w:pPr>
        <w:spacing w:before="240" w:after="240"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6E26D3">
        <w:rPr>
          <w:rFonts w:ascii="Palatino Linotype" w:eastAsia="Palatino Linotype" w:hAnsi="Palatino Linotype" w:cs="Palatino Linotype"/>
          <w:b/>
          <w:bCs/>
          <w:sz w:val="22"/>
          <w:szCs w:val="22"/>
        </w:rPr>
        <w:t>SUJETO OBLIGADO</w:t>
      </w:r>
      <w:r w:rsidRPr="006E26D3">
        <w:rPr>
          <w:rFonts w:ascii="Palatino Linotype" w:eastAsia="Palatino Linotype" w:hAnsi="Palatino Linotype" w:cs="Palatino Linotype"/>
          <w:sz w:val="22"/>
          <w:szCs w:val="22"/>
        </w:rPr>
        <w:t xml:space="preserve"> remitió la respuesta a la solicitud de información el día </w:t>
      </w:r>
      <w:r w:rsidRPr="006E26D3">
        <w:rPr>
          <w:rFonts w:ascii="Palatino Linotype" w:eastAsia="Palatino Linotype" w:hAnsi="Palatino Linotype" w:cs="Palatino Linotype"/>
          <w:b/>
          <w:bCs/>
          <w:sz w:val="22"/>
          <w:szCs w:val="22"/>
        </w:rPr>
        <w:t xml:space="preserve">treinta de junio de dos mil veinticinco, </w:t>
      </w:r>
      <w:r w:rsidRPr="006E26D3">
        <w:rPr>
          <w:rFonts w:ascii="Palatino Linotype" w:eastAsia="Palatino Linotype" w:hAnsi="Palatino Linotype" w:cs="Palatino Linotype"/>
          <w:sz w:val="22"/>
          <w:szCs w:val="22"/>
        </w:rPr>
        <w:t xml:space="preserve">mientras que el recurso de revisión interpuesto por la parte </w:t>
      </w:r>
      <w:r w:rsidRPr="006E26D3">
        <w:rPr>
          <w:rFonts w:ascii="Palatino Linotype" w:eastAsia="Palatino Linotype" w:hAnsi="Palatino Linotype" w:cs="Palatino Linotype"/>
          <w:b/>
          <w:bCs/>
          <w:sz w:val="22"/>
          <w:szCs w:val="22"/>
        </w:rPr>
        <w:t>RECURRENTE</w:t>
      </w:r>
      <w:r w:rsidRPr="006E26D3">
        <w:rPr>
          <w:rFonts w:ascii="Palatino Linotype" w:eastAsia="Palatino Linotype" w:hAnsi="Palatino Linotype" w:cs="Palatino Linotype"/>
          <w:sz w:val="22"/>
          <w:szCs w:val="22"/>
        </w:rPr>
        <w:t xml:space="preserve">, se tuvo por presentado el </w:t>
      </w:r>
      <w:r w:rsidRPr="006E26D3">
        <w:rPr>
          <w:rFonts w:ascii="Palatino Linotype" w:eastAsia="Palatino Linotype" w:hAnsi="Palatino Linotype" w:cs="Palatino Linotype"/>
          <w:b/>
          <w:bCs/>
          <w:sz w:val="22"/>
          <w:szCs w:val="22"/>
        </w:rPr>
        <w:t>cuatro de agosto del año dos mil veinticinco</w:t>
      </w:r>
      <w:r w:rsidRPr="006E26D3">
        <w:rPr>
          <w:rFonts w:ascii="Palatino Linotype" w:eastAsia="Palatino Linotype" w:hAnsi="Palatino Linotype" w:cs="Palatino Linotype"/>
          <w:sz w:val="22"/>
          <w:szCs w:val="22"/>
        </w:rPr>
        <w:t xml:space="preserve">; esto es, al </w:t>
      </w:r>
      <w:r w:rsidRPr="006E26D3">
        <w:rPr>
          <w:rFonts w:ascii="Palatino Linotype" w:eastAsia="Palatino Linotype" w:hAnsi="Palatino Linotype" w:cs="Palatino Linotype"/>
          <w:b/>
          <w:bCs/>
          <w:sz w:val="22"/>
          <w:szCs w:val="22"/>
        </w:rPr>
        <w:t xml:space="preserve">décimo quinto día hábil </w:t>
      </w:r>
      <w:r w:rsidRPr="006E26D3">
        <w:rPr>
          <w:rFonts w:ascii="Palatino Linotype" w:eastAsia="Palatino Linotype" w:hAnsi="Palatino Linotype" w:cs="Palatino Linotype"/>
          <w:sz w:val="22"/>
          <w:szCs w:val="22"/>
        </w:rPr>
        <w:t>siguiente al que se tuvo conocimiento de la respuesta respectivamente.</w:t>
      </w:r>
    </w:p>
    <w:p w14:paraId="623EACEF" w14:textId="77777777" w:rsidR="008C41BA" w:rsidRPr="006E26D3" w:rsidRDefault="000B1C06">
      <w:pPr>
        <w:spacing w:before="240" w:after="240"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197D2FA8" w14:textId="77777777" w:rsidR="008C41BA" w:rsidRPr="006E26D3" w:rsidRDefault="000B1C06">
      <w:pPr>
        <w:spacing w:line="360" w:lineRule="auto"/>
        <w:ind w:left="851" w:right="1041"/>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r w:rsidRPr="006E26D3">
        <w:rPr>
          <w:rFonts w:ascii="Palatino Linotype" w:eastAsia="Palatino Linotype" w:hAnsi="Palatino Linotype" w:cs="Palatino Linotype"/>
          <w:b/>
          <w:bCs/>
          <w:i/>
          <w:iCs/>
          <w:sz w:val="22"/>
          <w:szCs w:val="22"/>
        </w:rPr>
        <w:t xml:space="preserve">Artículo 179. </w:t>
      </w:r>
      <w:r w:rsidRPr="006E26D3">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729A09E8" w14:textId="77777777" w:rsidR="008C41BA" w:rsidRPr="006E26D3" w:rsidRDefault="000B1C06">
      <w:pPr>
        <w:spacing w:line="360" w:lineRule="auto"/>
        <w:ind w:left="851" w:right="1041"/>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p>
    <w:p w14:paraId="1A7B0D3C" w14:textId="77777777" w:rsidR="008C41BA" w:rsidRPr="006E26D3" w:rsidRDefault="000B1C06">
      <w:pPr>
        <w:spacing w:line="360" w:lineRule="auto"/>
        <w:ind w:left="851" w:right="1041"/>
        <w:jc w:val="both"/>
        <w:rPr>
          <w:rFonts w:ascii="Palatino Linotype" w:eastAsia="Palatino Linotype" w:hAnsi="Palatino Linotype" w:cs="Palatino Linotype"/>
          <w:i/>
          <w:iCs/>
          <w:sz w:val="22"/>
          <w:szCs w:val="22"/>
        </w:rPr>
      </w:pPr>
      <w:bookmarkStart w:id="2" w:name="_heading=h.1wt2magmayxd" w:colFirst="0" w:colLast="0"/>
      <w:bookmarkEnd w:id="2"/>
      <w:r w:rsidRPr="006E26D3">
        <w:rPr>
          <w:rFonts w:ascii="Palatino Linotype" w:eastAsia="Palatino Linotype" w:hAnsi="Palatino Linotype" w:cs="Palatino Linotype"/>
          <w:b/>
          <w:bCs/>
          <w:i/>
          <w:iCs/>
          <w:sz w:val="22"/>
          <w:szCs w:val="22"/>
        </w:rPr>
        <w:t>V. la entrega de información incompleta</w:t>
      </w:r>
      <w:r w:rsidRPr="006E26D3">
        <w:rPr>
          <w:rFonts w:ascii="Palatino Linotype" w:eastAsia="Palatino Linotype" w:hAnsi="Palatino Linotype" w:cs="Palatino Linotype"/>
          <w:i/>
          <w:iCs/>
          <w:sz w:val="22"/>
          <w:szCs w:val="22"/>
        </w:rPr>
        <w:t>;</w:t>
      </w:r>
    </w:p>
    <w:p w14:paraId="7DB76553" w14:textId="77777777" w:rsidR="008C41BA" w:rsidRPr="006E26D3" w:rsidRDefault="000B1C06">
      <w:pPr>
        <w:spacing w:line="360" w:lineRule="auto"/>
        <w:ind w:left="851" w:right="1041"/>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p>
    <w:p w14:paraId="7FB719A2" w14:textId="77777777" w:rsidR="008C41BA" w:rsidRPr="006E26D3" w:rsidRDefault="000B1C06">
      <w:pPr>
        <w:spacing w:before="240" w:after="240"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 xml:space="preserve">Tercero. Materia de la revisión. </w:t>
      </w:r>
      <w:r w:rsidRPr="006E26D3">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E26D3">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6E26D3">
        <w:rPr>
          <w:rFonts w:ascii="Palatino Linotype" w:eastAsia="Palatino Linotype" w:hAnsi="Palatino Linotype" w:cs="Palatino Linotype"/>
          <w:sz w:val="22"/>
          <w:szCs w:val="22"/>
        </w:rPr>
        <w:t xml:space="preserve">de la parte </w:t>
      </w:r>
      <w:r w:rsidRPr="006E26D3">
        <w:rPr>
          <w:rFonts w:ascii="Palatino Linotype" w:eastAsia="Palatino Linotype" w:hAnsi="Palatino Linotype" w:cs="Palatino Linotype"/>
          <w:b/>
          <w:bCs/>
          <w:sz w:val="22"/>
          <w:szCs w:val="22"/>
        </w:rPr>
        <w:t>Recurrente</w:t>
      </w:r>
      <w:r w:rsidRPr="006E26D3">
        <w:rPr>
          <w:rFonts w:ascii="Palatino Linotype" w:eastAsia="Palatino Linotype" w:hAnsi="Palatino Linotype" w:cs="Palatino Linotype"/>
          <w:sz w:val="22"/>
          <w:szCs w:val="22"/>
        </w:rPr>
        <w:t>, o en su defecto, en caso de ser procedente, ordenar la entrega de información.</w:t>
      </w:r>
    </w:p>
    <w:p w14:paraId="2E5F5F0D"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 xml:space="preserve">Cuarto. Estudio del asunto. </w:t>
      </w:r>
      <w:r w:rsidRPr="006E26D3">
        <w:rPr>
          <w:rFonts w:ascii="Palatino Linotype" w:eastAsia="Palatino Linotype" w:hAnsi="Palatino Linotype" w:cs="Palatino Linotype"/>
          <w:sz w:val="22"/>
          <w:szCs w:val="22"/>
        </w:rPr>
        <w:t xml:space="preserve">En principio, es conveniente analizar si la respuesta como el informe justificado del </w:t>
      </w:r>
      <w:r w:rsidRPr="006E26D3">
        <w:rPr>
          <w:rFonts w:ascii="Palatino Linotype" w:eastAsia="Palatino Linotype" w:hAnsi="Palatino Linotype" w:cs="Palatino Linotype"/>
          <w:b/>
          <w:bCs/>
          <w:sz w:val="22"/>
          <w:szCs w:val="22"/>
        </w:rPr>
        <w:t>SUJETO OBLIGADO</w:t>
      </w:r>
      <w:r w:rsidRPr="006E26D3">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BCE51AA"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551F955D" w14:textId="77777777" w:rsidR="008C41BA" w:rsidRPr="006E26D3" w:rsidRDefault="000B1C06">
      <w:pPr>
        <w:spacing w:line="276" w:lineRule="auto"/>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r w:rsidRPr="006E26D3">
        <w:rPr>
          <w:rFonts w:ascii="Palatino Linotype" w:eastAsia="Palatino Linotype" w:hAnsi="Palatino Linotype" w:cs="Palatino Linotype"/>
          <w:b/>
          <w:bCs/>
          <w:i/>
          <w:iCs/>
          <w:sz w:val="22"/>
          <w:szCs w:val="22"/>
        </w:rPr>
        <w:t>Artículo 4</w:t>
      </w:r>
      <w:r w:rsidRPr="006E26D3">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7B1E9E0" w14:textId="77777777" w:rsidR="008C41BA" w:rsidRPr="006E26D3" w:rsidRDefault="000B1C06">
      <w:pPr>
        <w:spacing w:line="276" w:lineRule="auto"/>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6E26D3">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F660F17" w14:textId="77777777" w:rsidR="008C41BA" w:rsidRPr="006E26D3" w:rsidRDefault="000B1C06">
      <w:pPr>
        <w:spacing w:line="276" w:lineRule="auto"/>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6E26D3">
        <w:rPr>
          <w:rFonts w:ascii="Palatino Linotype" w:eastAsia="Palatino Linotype" w:hAnsi="Palatino Linotype" w:cs="Palatino Linotype"/>
          <w:i/>
          <w:iCs/>
          <w:sz w:val="22"/>
          <w:szCs w:val="22"/>
        </w:rPr>
        <w:t>.”</w:t>
      </w:r>
    </w:p>
    <w:p w14:paraId="495DC198" w14:textId="77777777" w:rsidR="008C41BA" w:rsidRPr="006E26D3" w:rsidRDefault="008C41BA">
      <w:pPr>
        <w:spacing w:line="276" w:lineRule="auto"/>
        <w:jc w:val="both"/>
        <w:rPr>
          <w:rFonts w:ascii="Palatino Linotype" w:eastAsia="Palatino Linotype" w:hAnsi="Palatino Linotype" w:cs="Palatino Linotype"/>
          <w:sz w:val="22"/>
          <w:szCs w:val="22"/>
        </w:rPr>
      </w:pPr>
    </w:p>
    <w:p w14:paraId="2CD8AEB3"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FB2D1A3"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5A210E10" w14:textId="77777777" w:rsidR="008C41BA" w:rsidRPr="006E26D3" w:rsidRDefault="000B1C06">
      <w:pPr>
        <w:spacing w:line="276" w:lineRule="auto"/>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“Artículo 12.-</w:t>
      </w:r>
      <w:r w:rsidRPr="006E26D3">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41257054" w14:textId="77777777" w:rsidR="008C41BA" w:rsidRPr="006E26D3" w:rsidRDefault="008C41BA">
      <w:pPr>
        <w:spacing w:line="276" w:lineRule="auto"/>
        <w:ind w:left="567" w:right="616"/>
        <w:jc w:val="both"/>
        <w:rPr>
          <w:rFonts w:ascii="Palatino Linotype" w:eastAsia="Palatino Linotype" w:hAnsi="Palatino Linotype" w:cs="Palatino Linotype"/>
          <w:i/>
          <w:iCs/>
          <w:sz w:val="22"/>
          <w:szCs w:val="22"/>
        </w:rPr>
      </w:pPr>
    </w:p>
    <w:p w14:paraId="54530B4D" w14:textId="77777777" w:rsidR="008C41BA" w:rsidRPr="006E26D3" w:rsidRDefault="000B1C06">
      <w:pPr>
        <w:spacing w:line="276" w:lineRule="auto"/>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6E26D3">
        <w:rPr>
          <w:rFonts w:ascii="Palatino Linotype" w:eastAsia="Palatino Linotype" w:hAnsi="Palatino Linotype" w:cs="Palatino Linotype"/>
          <w:i/>
          <w:iCs/>
          <w:sz w:val="22"/>
          <w:szCs w:val="22"/>
        </w:rPr>
        <w:t xml:space="preserve">. </w:t>
      </w:r>
      <w:r w:rsidRPr="006E26D3">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0E55913" w14:textId="77777777" w:rsidR="008C41BA" w:rsidRPr="006E26D3" w:rsidRDefault="008C41BA">
      <w:pPr>
        <w:spacing w:line="360" w:lineRule="auto"/>
        <w:ind w:right="-93"/>
        <w:jc w:val="both"/>
        <w:rPr>
          <w:rFonts w:ascii="Palatino Linotype" w:eastAsia="Palatino Linotype" w:hAnsi="Palatino Linotype" w:cs="Palatino Linotype"/>
          <w:sz w:val="22"/>
          <w:szCs w:val="22"/>
        </w:rPr>
      </w:pPr>
    </w:p>
    <w:p w14:paraId="4996E80C" w14:textId="77777777" w:rsidR="008C41BA" w:rsidRPr="006E26D3" w:rsidRDefault="000B1C06">
      <w:pPr>
        <w:spacing w:line="360" w:lineRule="auto"/>
        <w:ind w:right="-9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3D50EC67" w14:textId="77777777" w:rsidR="008C41BA" w:rsidRPr="006E26D3" w:rsidRDefault="008C41BA">
      <w:pPr>
        <w:spacing w:line="360" w:lineRule="auto"/>
        <w:ind w:right="-93"/>
        <w:jc w:val="both"/>
        <w:rPr>
          <w:rFonts w:ascii="Palatino Linotype" w:eastAsia="Palatino Linotype" w:hAnsi="Palatino Linotype" w:cs="Palatino Linotype"/>
          <w:sz w:val="22"/>
          <w:szCs w:val="22"/>
        </w:rPr>
      </w:pPr>
    </w:p>
    <w:p w14:paraId="6489EF4D" w14:textId="77777777" w:rsidR="008C41BA" w:rsidRPr="006E26D3" w:rsidRDefault="000B1C06">
      <w:pPr>
        <w:spacing w:line="360" w:lineRule="auto"/>
        <w:ind w:right="-9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6E26D3">
        <w:rPr>
          <w:rFonts w:ascii="Palatino Linotype" w:eastAsia="Palatino Linotype" w:hAnsi="Palatino Linotype" w:cs="Palatino Linotype"/>
          <w:b/>
          <w:bCs/>
          <w:sz w:val="22"/>
          <w:szCs w:val="22"/>
        </w:rPr>
        <w:t xml:space="preserve"> </w:t>
      </w:r>
    </w:p>
    <w:p w14:paraId="1AAE4C8B" w14:textId="77777777" w:rsidR="008C41BA" w:rsidRPr="006E26D3" w:rsidRDefault="008C41BA">
      <w:pPr>
        <w:spacing w:line="360" w:lineRule="auto"/>
        <w:jc w:val="both"/>
        <w:rPr>
          <w:rFonts w:ascii="Palatino Linotype" w:eastAsia="Palatino Linotype" w:hAnsi="Palatino Linotype" w:cs="Palatino Linotype"/>
          <w:b/>
          <w:bCs/>
          <w:sz w:val="22"/>
          <w:szCs w:val="22"/>
        </w:rPr>
      </w:pPr>
    </w:p>
    <w:p w14:paraId="2BBB35BB" w14:textId="77777777" w:rsidR="008C41BA" w:rsidRPr="006E26D3" w:rsidRDefault="000B1C06">
      <w:pPr>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r w:rsidRPr="006E26D3">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6E26D3">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8091A7A" w14:textId="77777777" w:rsidR="008C41BA" w:rsidRPr="006E26D3" w:rsidRDefault="008C41BA">
      <w:pPr>
        <w:spacing w:line="360" w:lineRule="auto"/>
        <w:ind w:right="-93"/>
        <w:jc w:val="both"/>
        <w:rPr>
          <w:rFonts w:ascii="Palatino Linotype" w:eastAsia="Palatino Linotype" w:hAnsi="Palatino Linotype" w:cs="Palatino Linotype"/>
          <w:sz w:val="22"/>
          <w:szCs w:val="22"/>
        </w:rPr>
      </w:pPr>
    </w:p>
    <w:p w14:paraId="2049A878"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4D0B785"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161D3E70"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AF10F59" w14:textId="77777777" w:rsidR="008C41BA" w:rsidRPr="006E26D3" w:rsidRDefault="008C41BA">
      <w:pPr>
        <w:spacing w:line="360" w:lineRule="auto"/>
        <w:ind w:right="49"/>
        <w:jc w:val="both"/>
        <w:rPr>
          <w:rFonts w:ascii="Palatino Linotype" w:eastAsia="Palatino Linotype" w:hAnsi="Palatino Linotype" w:cs="Palatino Linotype"/>
          <w:sz w:val="22"/>
          <w:szCs w:val="22"/>
        </w:rPr>
      </w:pPr>
    </w:p>
    <w:p w14:paraId="0CE6C02C"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B670EC3" w14:textId="77777777" w:rsidR="008C41BA" w:rsidRPr="006E26D3" w:rsidRDefault="008C41BA">
      <w:pPr>
        <w:spacing w:line="360" w:lineRule="auto"/>
        <w:ind w:left="567" w:right="616"/>
        <w:jc w:val="both"/>
        <w:rPr>
          <w:rFonts w:ascii="Palatino Linotype" w:eastAsia="Palatino Linotype" w:hAnsi="Palatino Linotype" w:cs="Palatino Linotype"/>
          <w:i/>
          <w:iCs/>
          <w:sz w:val="22"/>
          <w:szCs w:val="22"/>
        </w:rPr>
      </w:pPr>
    </w:p>
    <w:p w14:paraId="0BADF9DA" w14:textId="77777777" w:rsidR="008C41BA" w:rsidRPr="006E26D3" w:rsidRDefault="000B1C06">
      <w:pPr>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r w:rsidRPr="006E26D3">
        <w:rPr>
          <w:rFonts w:ascii="Palatino Linotype" w:eastAsia="Palatino Linotype" w:hAnsi="Palatino Linotype" w:cs="Palatino Linotype"/>
          <w:b/>
          <w:bCs/>
          <w:i/>
          <w:iCs/>
          <w:sz w:val="22"/>
          <w:szCs w:val="22"/>
        </w:rPr>
        <w:t xml:space="preserve">Artículo 3. </w:t>
      </w:r>
      <w:r w:rsidRPr="006E26D3">
        <w:rPr>
          <w:rFonts w:ascii="Palatino Linotype" w:eastAsia="Palatino Linotype" w:hAnsi="Palatino Linotype" w:cs="Palatino Linotype"/>
          <w:i/>
          <w:iCs/>
          <w:sz w:val="22"/>
          <w:szCs w:val="22"/>
        </w:rPr>
        <w:t>Para los efectos de la presente Ley se entenderá por:</w:t>
      </w:r>
    </w:p>
    <w:p w14:paraId="2C56DDB7" w14:textId="77777777" w:rsidR="008C41BA" w:rsidRPr="006E26D3" w:rsidRDefault="000B1C06">
      <w:pPr>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p>
    <w:p w14:paraId="1B846DD4" w14:textId="77777777" w:rsidR="008C41BA" w:rsidRPr="006E26D3" w:rsidRDefault="000B1C06">
      <w:pPr>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XI. Documento:</w:t>
      </w:r>
      <w:r w:rsidRPr="006E26D3">
        <w:rPr>
          <w:rFonts w:ascii="Palatino Linotype" w:eastAsia="Palatino Linotype" w:hAnsi="Palatino Linotype" w:cs="Palatino Linotype"/>
          <w:i/>
          <w:iCs/>
          <w:sz w:val="22"/>
          <w:szCs w:val="22"/>
        </w:rPr>
        <w:t xml:space="preserve"> Los expedientes, reportes, estudios, actas</w:t>
      </w:r>
      <w:r w:rsidRPr="006E26D3">
        <w:rPr>
          <w:rFonts w:ascii="Palatino Linotype" w:eastAsia="Palatino Linotype" w:hAnsi="Palatino Linotype" w:cs="Palatino Linotype"/>
          <w:b/>
          <w:bCs/>
          <w:i/>
          <w:iCs/>
          <w:sz w:val="22"/>
          <w:szCs w:val="22"/>
        </w:rPr>
        <w:t>,</w:t>
      </w:r>
      <w:r w:rsidRPr="006E26D3">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2762845" w14:textId="77777777" w:rsidR="008C41BA" w:rsidRPr="006E26D3" w:rsidRDefault="008C41BA">
      <w:pPr>
        <w:spacing w:line="360" w:lineRule="auto"/>
        <w:ind w:left="851" w:right="899"/>
        <w:jc w:val="both"/>
        <w:rPr>
          <w:rFonts w:ascii="Palatino Linotype" w:eastAsia="Palatino Linotype" w:hAnsi="Palatino Linotype" w:cs="Palatino Linotype"/>
          <w:sz w:val="22"/>
          <w:szCs w:val="22"/>
        </w:rPr>
      </w:pPr>
    </w:p>
    <w:p w14:paraId="49F3B921"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6120D91"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1D9F40B4" w14:textId="77777777" w:rsidR="008C41BA" w:rsidRPr="006E26D3" w:rsidRDefault="000B1C06">
      <w:pPr>
        <w:ind w:left="567" w:right="616"/>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sz w:val="22"/>
          <w:szCs w:val="22"/>
        </w:rPr>
        <w:t>“</w:t>
      </w:r>
      <w:r w:rsidRPr="006E26D3">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6E26D3">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8208BE" w14:textId="77777777" w:rsidR="008C41BA" w:rsidRPr="006E26D3" w:rsidRDefault="000B1C06">
      <w:pPr>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74962235" w14:textId="77777777" w:rsidR="008C41BA" w:rsidRPr="006E26D3" w:rsidRDefault="000B1C06">
      <w:pPr>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3EAB4C82" w14:textId="77777777" w:rsidR="008C41BA" w:rsidRPr="006E26D3" w:rsidRDefault="000B1C06">
      <w:pPr>
        <w:ind w:left="567" w:right="616"/>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4CA2E2FB" w14:textId="77777777" w:rsidR="008C41BA" w:rsidRPr="006E26D3" w:rsidRDefault="000B1C06">
      <w:pPr>
        <w:ind w:left="567" w:right="616"/>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1FEA832A" w14:textId="77777777" w:rsidR="008C41BA" w:rsidRPr="006E26D3" w:rsidRDefault="008C41BA">
      <w:pPr>
        <w:tabs>
          <w:tab w:val="left" w:pos="8647"/>
        </w:tabs>
        <w:spacing w:line="360" w:lineRule="auto"/>
        <w:jc w:val="both"/>
        <w:rPr>
          <w:rFonts w:ascii="Palatino Linotype" w:eastAsia="Palatino Linotype" w:hAnsi="Palatino Linotype" w:cs="Palatino Linotype"/>
          <w:b/>
          <w:bCs/>
          <w:sz w:val="22"/>
          <w:szCs w:val="22"/>
        </w:rPr>
      </w:pPr>
    </w:p>
    <w:p w14:paraId="02B69CC8" w14:textId="77777777" w:rsidR="008C41BA" w:rsidRPr="006E26D3" w:rsidRDefault="000B1C06">
      <w:pPr>
        <w:spacing w:after="240" w:line="360" w:lineRule="auto"/>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sz w:val="22"/>
          <w:szCs w:val="22"/>
        </w:rPr>
        <w:t>Del análisis de la solicitud de información motivo del recurso de revisión que ahora se resuelve, se advierte que el particular requirió al Ayuntamiento de Atizapán de Zaragoza, de la contratación de las pólizas de seguros de vivienda y gastos funerarios que se otorgó como beneficio por el pago del impuesto predial:</w:t>
      </w:r>
    </w:p>
    <w:p w14:paraId="32A952D0" w14:textId="77777777" w:rsidR="008C41BA" w:rsidRPr="006E26D3" w:rsidRDefault="000B1C06">
      <w:pPr>
        <w:numPr>
          <w:ilvl w:val="0"/>
          <w:numId w:val="3"/>
        </w:num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Contrato;</w:t>
      </w:r>
    </w:p>
    <w:p w14:paraId="24DACB36" w14:textId="77777777" w:rsidR="008C41BA" w:rsidRPr="006E26D3" w:rsidRDefault="000B1C06">
      <w:pPr>
        <w:numPr>
          <w:ilvl w:val="0"/>
          <w:numId w:val="3"/>
        </w:num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Gaceta;</w:t>
      </w:r>
    </w:p>
    <w:p w14:paraId="78B29255" w14:textId="77777777" w:rsidR="008C41BA" w:rsidRPr="006E26D3" w:rsidRDefault="000B1C06">
      <w:pPr>
        <w:numPr>
          <w:ilvl w:val="0"/>
          <w:numId w:val="3"/>
        </w:num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Expediente generado del proveedor y toda la información relativa a la contratación; y,</w:t>
      </w:r>
    </w:p>
    <w:p w14:paraId="75A4BE29" w14:textId="77777777" w:rsidR="008C41BA" w:rsidRPr="006E26D3" w:rsidRDefault="000B1C06">
      <w:pPr>
        <w:numPr>
          <w:ilvl w:val="0"/>
          <w:numId w:val="3"/>
        </w:num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Póliza que ampara dichos beneficios</w:t>
      </w:r>
    </w:p>
    <w:p w14:paraId="4C2031B1"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p w14:paraId="0A1F2474" w14:textId="77777777" w:rsidR="008C41BA" w:rsidRPr="006E26D3" w:rsidRDefault="000B1C06">
      <w:pPr>
        <w:spacing w:line="360" w:lineRule="auto"/>
        <w:ind w:right="-7"/>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Derivado de la naturaleza de la información requerida, es necesario precisar que la Ley de Contratación Pública del Estado de México y Municipios, la cual tiene por objeto regular los actos relativos a la </w:t>
      </w:r>
      <w:r w:rsidRPr="006E26D3">
        <w:rPr>
          <w:rFonts w:ascii="Palatino Linotype" w:eastAsia="Palatino Linotype" w:hAnsi="Palatino Linotype" w:cs="Palatino Linotype"/>
          <w:b/>
          <w:bCs/>
          <w:sz w:val="22"/>
          <w:szCs w:val="22"/>
          <w:u w:val="single"/>
        </w:rPr>
        <w:t>planeación, programación, presupuestación</w:t>
      </w:r>
      <w:r w:rsidRPr="006E26D3">
        <w:rPr>
          <w:rFonts w:ascii="Palatino Linotype" w:eastAsia="Palatino Linotype" w:hAnsi="Palatino Linotype" w:cs="Palatino Linotype"/>
          <w:sz w:val="22"/>
          <w:szCs w:val="22"/>
        </w:rPr>
        <w:t xml:space="preserve">, ejecución y control de la </w:t>
      </w:r>
      <w:r w:rsidRPr="006E26D3">
        <w:rPr>
          <w:rFonts w:ascii="Palatino Linotype" w:eastAsia="Palatino Linotype" w:hAnsi="Palatino Linotype" w:cs="Palatino Linotype"/>
          <w:b/>
          <w:bCs/>
          <w:sz w:val="22"/>
          <w:szCs w:val="22"/>
          <w:u w:val="single"/>
        </w:rPr>
        <w:t>adquisición</w:t>
      </w:r>
      <w:r w:rsidRPr="006E26D3">
        <w:rPr>
          <w:rFonts w:ascii="Palatino Linotype" w:eastAsia="Palatino Linotype" w:hAnsi="Palatino Linotype" w:cs="Palatino Linotype"/>
          <w:sz w:val="22"/>
          <w:szCs w:val="22"/>
        </w:rPr>
        <w:t xml:space="preserve">, enajenación y arrendamiento de bienes, y la </w:t>
      </w:r>
      <w:r w:rsidRPr="006E26D3">
        <w:rPr>
          <w:rFonts w:ascii="Palatino Linotype" w:eastAsia="Palatino Linotype" w:hAnsi="Palatino Linotype" w:cs="Palatino Linotype"/>
          <w:b/>
          <w:bCs/>
          <w:sz w:val="22"/>
          <w:szCs w:val="22"/>
          <w:u w:val="single"/>
        </w:rPr>
        <w:t>contratación de servicios de cualquier naturaleza, que realicen los Ayuntamientos del Estado</w:t>
      </w:r>
      <w:r w:rsidRPr="006E26D3">
        <w:rPr>
          <w:rFonts w:ascii="Palatino Linotype" w:eastAsia="Palatino Linotype" w:hAnsi="Palatino Linotype" w:cs="Palatino Linotype"/>
          <w:sz w:val="22"/>
          <w:szCs w:val="22"/>
        </w:rPr>
        <w:t>; entre ellos el Sujeto Obligado, los cuales se adjudicarán a través de licitación pública, invitación restringida o adjudicación directa, mediante convocatoria pública, tal y como lo establecen los artículos 4, 26 y 27 de dicha Ley, los cuales son del tenor siguiente:</w:t>
      </w:r>
    </w:p>
    <w:p w14:paraId="67C61EC0" w14:textId="77777777" w:rsidR="008C41BA" w:rsidRPr="006E26D3" w:rsidRDefault="000B1C06">
      <w:pPr>
        <w:spacing w:before="120" w:after="120"/>
        <w:ind w:left="85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“Artículo 4.-</w:t>
      </w:r>
      <w:r w:rsidRPr="006E26D3">
        <w:rPr>
          <w:rFonts w:ascii="Palatino Linotype" w:eastAsia="Palatino Linotype" w:hAnsi="Palatino Linotype" w:cs="Palatino Linotype"/>
          <w:i/>
          <w:iCs/>
          <w:sz w:val="22"/>
          <w:szCs w:val="22"/>
        </w:rPr>
        <w:t xml:space="preserve"> Para los efectos de esta Ley, </w:t>
      </w:r>
      <w:r w:rsidRPr="006E26D3">
        <w:rPr>
          <w:rFonts w:ascii="Palatino Linotype" w:eastAsia="Palatino Linotype" w:hAnsi="Palatino Linotype" w:cs="Palatino Linotype"/>
          <w:b/>
          <w:bCs/>
          <w:i/>
          <w:iCs/>
          <w:sz w:val="22"/>
          <w:szCs w:val="22"/>
        </w:rPr>
        <w:t>en las adquisiciones, enajenaciones, arrendamientos y servicios, quedan comprendidos</w:t>
      </w:r>
      <w:r w:rsidRPr="006E26D3">
        <w:rPr>
          <w:rFonts w:ascii="Palatino Linotype" w:eastAsia="Palatino Linotype" w:hAnsi="Palatino Linotype" w:cs="Palatino Linotype"/>
          <w:i/>
          <w:iCs/>
          <w:sz w:val="22"/>
          <w:szCs w:val="22"/>
        </w:rPr>
        <w:t>:</w:t>
      </w:r>
    </w:p>
    <w:p w14:paraId="369696D3"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w:t>
      </w:r>
      <w:r w:rsidRPr="006E26D3">
        <w:rPr>
          <w:rFonts w:ascii="Palatino Linotype" w:eastAsia="Palatino Linotype" w:hAnsi="Palatino Linotype" w:cs="Palatino Linotype"/>
          <w:i/>
          <w:iCs/>
          <w:sz w:val="22"/>
          <w:szCs w:val="22"/>
        </w:rPr>
        <w:t xml:space="preserve"> La adquisición de bienes muebles.</w:t>
      </w:r>
    </w:p>
    <w:p w14:paraId="4A24E5C8"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II</w:t>
      </w:r>
      <w:r w:rsidRPr="006E26D3">
        <w:rPr>
          <w:rFonts w:ascii="Palatino Linotype" w:eastAsia="Palatino Linotype" w:hAnsi="Palatino Linotype" w:cs="Palatino Linotype"/>
          <w:i/>
          <w:iCs/>
          <w:sz w:val="22"/>
          <w:szCs w:val="22"/>
        </w:rPr>
        <w:t>. La adquisición de bienes inmuebles, a través de compraventa.</w:t>
      </w:r>
    </w:p>
    <w:p w14:paraId="04900E4A"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III.</w:t>
      </w:r>
      <w:r w:rsidRPr="006E26D3">
        <w:rPr>
          <w:rFonts w:ascii="Palatino Linotype" w:eastAsia="Palatino Linotype" w:hAnsi="Palatino Linotype" w:cs="Palatino Linotype"/>
          <w:i/>
          <w:iCs/>
          <w:sz w:val="22"/>
          <w:szCs w:val="22"/>
        </w:rPr>
        <w:t xml:space="preserve"> La enajenación de bienes muebles e inmuebles.</w:t>
      </w:r>
    </w:p>
    <w:p w14:paraId="2580DE30"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IV.</w:t>
      </w:r>
      <w:r w:rsidRPr="006E26D3">
        <w:rPr>
          <w:rFonts w:ascii="Palatino Linotype" w:eastAsia="Palatino Linotype" w:hAnsi="Palatino Linotype" w:cs="Palatino Linotype"/>
          <w:i/>
          <w:iCs/>
          <w:sz w:val="22"/>
          <w:szCs w:val="22"/>
        </w:rPr>
        <w:t xml:space="preserve"> El arrendamiento de bienes muebles e inmuebles. </w:t>
      </w:r>
    </w:p>
    <w:p w14:paraId="5BD89ED8"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V</w:t>
      </w:r>
      <w:r w:rsidRPr="006E26D3">
        <w:rPr>
          <w:rFonts w:ascii="Palatino Linotype" w:eastAsia="Palatino Linotype" w:hAnsi="Palatino Linotype" w:cs="Palatino Linotype"/>
          <w:i/>
          <w:iCs/>
          <w:sz w:val="22"/>
          <w:szCs w:val="22"/>
        </w:rPr>
        <w:t>. La contratación de los servicios, relacionados con bienes muebles que se encuentran incorporados o adheridos a bienes inmuebles, cuya instalación o mantenimiento no implique modificación al bien inmueble.</w:t>
      </w:r>
    </w:p>
    <w:p w14:paraId="2052A248"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VI.</w:t>
      </w:r>
      <w:r w:rsidRPr="006E26D3">
        <w:rPr>
          <w:rFonts w:ascii="Palatino Linotype" w:eastAsia="Palatino Linotype" w:hAnsi="Palatino Linotype" w:cs="Palatino Linotype"/>
          <w:i/>
          <w:iCs/>
          <w:sz w:val="22"/>
          <w:szCs w:val="22"/>
        </w:rPr>
        <w:t xml:space="preserve"> La contratación de los servicios de reconstrucción y mantenimiento de bienes muebles. </w:t>
      </w:r>
    </w:p>
    <w:p w14:paraId="1D286785"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VII.</w:t>
      </w:r>
      <w:r w:rsidRPr="006E26D3">
        <w:rPr>
          <w:rFonts w:ascii="Palatino Linotype" w:eastAsia="Palatino Linotype" w:hAnsi="Palatino Linotype" w:cs="Palatino Linotype"/>
          <w:i/>
          <w:iCs/>
          <w:sz w:val="22"/>
          <w:szCs w:val="22"/>
        </w:rPr>
        <w:t xml:space="preserve"> La contratación de los servicios de maquila, seguros y transportación, así como de los de limpieza y vigilancia de bienes inmuebles. </w:t>
      </w:r>
    </w:p>
    <w:p w14:paraId="3218181C"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VIII.</w:t>
      </w:r>
      <w:r w:rsidRPr="006E26D3">
        <w:rPr>
          <w:rFonts w:ascii="Palatino Linotype" w:eastAsia="Palatino Linotype" w:hAnsi="Palatino Linotype" w:cs="Palatino Linotype"/>
          <w:i/>
          <w:iCs/>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6161A5E3" w14:textId="77777777" w:rsidR="008C41BA" w:rsidRPr="006E26D3" w:rsidRDefault="000B1C06">
      <w:pPr>
        <w:spacing w:before="120" w:after="120"/>
        <w:ind w:left="85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En general, otros actos que impliquen la contratación de servicios de cualquier naturaleza</w:t>
      </w:r>
    </w:p>
    <w:p w14:paraId="7A25ECBF" w14:textId="77777777" w:rsidR="008C41BA" w:rsidRPr="006E26D3" w:rsidRDefault="000B1C06">
      <w:pPr>
        <w:spacing w:before="120" w:after="120"/>
        <w:ind w:left="85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Artículo 26.-</w:t>
      </w:r>
      <w:r w:rsidRPr="006E26D3">
        <w:rPr>
          <w:rFonts w:ascii="Palatino Linotype" w:eastAsia="Palatino Linotype" w:hAnsi="Palatino Linotype" w:cs="Palatino Linotype"/>
          <w:i/>
          <w:iCs/>
          <w:sz w:val="22"/>
          <w:szCs w:val="22"/>
        </w:rPr>
        <w:t xml:space="preserve"> </w:t>
      </w:r>
      <w:r w:rsidRPr="006E26D3">
        <w:rPr>
          <w:rFonts w:ascii="Palatino Linotype" w:eastAsia="Palatino Linotype" w:hAnsi="Palatino Linotype" w:cs="Palatino Linotype"/>
          <w:b/>
          <w:bCs/>
          <w:i/>
          <w:iCs/>
          <w:sz w:val="22"/>
          <w:szCs w:val="22"/>
        </w:rPr>
        <w:t>Las adquisiciones, arrendamientos y servicios se adjudicarán a través de licitaciones públicas</w:t>
      </w:r>
      <w:r w:rsidRPr="006E26D3">
        <w:rPr>
          <w:rFonts w:ascii="Palatino Linotype" w:eastAsia="Palatino Linotype" w:hAnsi="Palatino Linotype" w:cs="Palatino Linotype"/>
          <w:i/>
          <w:iCs/>
          <w:sz w:val="22"/>
          <w:szCs w:val="22"/>
        </w:rPr>
        <w:t xml:space="preserve">, mediante convocatoria pública. </w:t>
      </w:r>
    </w:p>
    <w:p w14:paraId="1BF8622F" w14:textId="77777777" w:rsidR="008C41BA" w:rsidRPr="006E26D3" w:rsidRDefault="000B1C06">
      <w:pPr>
        <w:spacing w:before="120" w:after="120"/>
        <w:ind w:left="85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Artículo 27.</w:t>
      </w:r>
      <w:r w:rsidRPr="006E26D3">
        <w:rPr>
          <w:rFonts w:ascii="Palatino Linotype" w:eastAsia="Palatino Linotype" w:hAnsi="Palatino Linotype" w:cs="Palatino Linotype"/>
          <w:i/>
          <w:iCs/>
          <w:sz w:val="22"/>
          <w:szCs w:val="22"/>
        </w:rPr>
        <w:t xml:space="preserve">- La Secretaría, las entidades, los tribunales administrativos y los ayuntamientos podrán </w:t>
      </w:r>
      <w:r w:rsidRPr="006E26D3">
        <w:rPr>
          <w:rFonts w:ascii="Palatino Linotype" w:eastAsia="Palatino Linotype" w:hAnsi="Palatino Linotype" w:cs="Palatino Linotype"/>
          <w:b/>
          <w:bCs/>
          <w:i/>
          <w:iCs/>
          <w:sz w:val="22"/>
          <w:szCs w:val="22"/>
        </w:rPr>
        <w:t>adjudicar adquisiciones, arrendamientos y servicios, mediante las excepciones al procedimiento de licitación</w:t>
      </w:r>
      <w:r w:rsidRPr="006E26D3">
        <w:rPr>
          <w:rFonts w:ascii="Palatino Linotype" w:eastAsia="Palatino Linotype" w:hAnsi="Palatino Linotype" w:cs="Palatino Linotype"/>
          <w:i/>
          <w:iCs/>
          <w:sz w:val="22"/>
          <w:szCs w:val="22"/>
        </w:rPr>
        <w:t xml:space="preserve"> que a continuación se señalan:</w:t>
      </w:r>
    </w:p>
    <w:p w14:paraId="22DB7639"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w:t>
      </w:r>
      <w:r w:rsidRPr="006E26D3">
        <w:rPr>
          <w:rFonts w:ascii="Palatino Linotype" w:eastAsia="Palatino Linotype" w:hAnsi="Palatino Linotype" w:cs="Palatino Linotype"/>
          <w:i/>
          <w:iCs/>
          <w:sz w:val="22"/>
          <w:szCs w:val="22"/>
        </w:rPr>
        <w:t>. Invitación restringida.</w:t>
      </w:r>
    </w:p>
    <w:p w14:paraId="585337AE"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 xml:space="preserve">II. </w:t>
      </w:r>
      <w:r w:rsidRPr="006E26D3">
        <w:rPr>
          <w:rFonts w:ascii="Palatino Linotype" w:eastAsia="Palatino Linotype" w:hAnsi="Palatino Linotype" w:cs="Palatino Linotype"/>
          <w:i/>
          <w:iCs/>
          <w:sz w:val="22"/>
          <w:szCs w:val="22"/>
        </w:rPr>
        <w:t>Adjudicación directa.”</w:t>
      </w:r>
    </w:p>
    <w:p w14:paraId="0B8BF949" w14:textId="77777777" w:rsidR="008C41BA" w:rsidRPr="006E26D3" w:rsidRDefault="000B1C06">
      <w:pPr>
        <w:spacing w:before="240" w:after="240"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13E72EA7" w14:textId="77777777" w:rsidR="008C41BA" w:rsidRPr="006E26D3" w:rsidRDefault="000B1C06">
      <w:pPr>
        <w:spacing w:before="240" w:after="240"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26F57AEF" w14:textId="77777777" w:rsidR="008C41BA" w:rsidRPr="006E26D3" w:rsidRDefault="000B1C06">
      <w:pPr>
        <w:spacing w:before="240" w:after="240"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Por ello, de acuerdo con el artículo 44 de la Ley de Contratación Pública del Estado de México y Municipios, las entidades públicas podrán adquirir y contratar servicios mediante invitación restringida en los siguientes casos: </w:t>
      </w:r>
    </w:p>
    <w:p w14:paraId="3279FA7E" w14:textId="77777777" w:rsidR="008C41BA" w:rsidRPr="006E26D3" w:rsidRDefault="000B1C06">
      <w:pPr>
        <w:spacing w:before="120" w:after="120"/>
        <w:ind w:left="85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“Artículo 44.-</w:t>
      </w:r>
      <w:r w:rsidRPr="006E26D3">
        <w:rPr>
          <w:rFonts w:ascii="Palatino Linotype" w:eastAsia="Palatino Linotype" w:hAnsi="Palatino Linotype" w:cs="Palatino Linotype"/>
          <w:i/>
          <w:iCs/>
          <w:sz w:val="22"/>
          <w:szCs w:val="22"/>
        </w:rPr>
        <w:t xml:space="preserve"> La Secretaría, las entidades, los tribunales administrativos y los ayuntamientos podrán adquirir y contratar servicios mediante invitación restringida, cuando:</w:t>
      </w:r>
    </w:p>
    <w:p w14:paraId="0C8B7B2F"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w:t>
      </w:r>
      <w:r w:rsidRPr="006E26D3">
        <w:rPr>
          <w:rFonts w:ascii="Palatino Linotype" w:eastAsia="Palatino Linotype" w:hAnsi="Palatino Linotype" w:cs="Palatino Linotype"/>
          <w:i/>
          <w:iCs/>
          <w:sz w:val="22"/>
          <w:szCs w:val="22"/>
        </w:rPr>
        <w:t xml:space="preserve"> Se hubiere declarado desierto un procedimiento de licitación, o</w:t>
      </w:r>
    </w:p>
    <w:p w14:paraId="5E017185"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II</w:t>
      </w:r>
      <w:r w:rsidRPr="006E26D3">
        <w:rPr>
          <w:rFonts w:ascii="Palatino Linotype" w:eastAsia="Palatino Linotype" w:hAnsi="Palatino Linotype" w:cs="Palatino Linotype"/>
          <w:i/>
          <w:iCs/>
          <w:sz w:val="22"/>
          <w:szCs w:val="22"/>
        </w:rPr>
        <w:t>. El importe de la operación no exceda de los montos establecidos por el Presupuesto de Egresos del Gobierno del Estado de México del ejercicio correspondiente.</w:t>
      </w:r>
    </w:p>
    <w:p w14:paraId="786CE509" w14:textId="77777777" w:rsidR="008C41BA" w:rsidRPr="006E26D3" w:rsidRDefault="000B1C06">
      <w:pPr>
        <w:spacing w:before="120" w:after="120"/>
        <w:ind w:left="85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049B95CA" w14:textId="77777777" w:rsidR="008C41BA" w:rsidRPr="006E26D3" w:rsidRDefault="000B1C06">
      <w:pPr>
        <w:spacing w:before="120" w:after="120"/>
        <w:ind w:left="85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En la invitación deberá especificarse si en el proceso de asignación aplicará la modalidad de subasta inversa.”</w:t>
      </w:r>
    </w:p>
    <w:p w14:paraId="5FCE2240" w14:textId="77777777" w:rsidR="008C41BA" w:rsidRPr="006E26D3" w:rsidRDefault="000B1C06">
      <w:pPr>
        <w:spacing w:before="240" w:after="240"/>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Asimismo, el artículo 46 de la Ley referida, menciona que:</w:t>
      </w:r>
    </w:p>
    <w:p w14:paraId="0204D01D" w14:textId="77777777" w:rsidR="008C41BA" w:rsidRPr="006E26D3" w:rsidRDefault="008C41BA">
      <w:pPr>
        <w:spacing w:before="240" w:after="240"/>
        <w:ind w:right="49"/>
        <w:jc w:val="both"/>
        <w:rPr>
          <w:rFonts w:ascii="Palatino Linotype" w:eastAsia="Palatino Linotype" w:hAnsi="Palatino Linotype" w:cs="Palatino Linotype"/>
          <w:i/>
          <w:iCs/>
          <w:sz w:val="22"/>
          <w:szCs w:val="22"/>
        </w:rPr>
      </w:pPr>
    </w:p>
    <w:p w14:paraId="0DB09A5E" w14:textId="77777777" w:rsidR="008C41BA" w:rsidRPr="006E26D3" w:rsidRDefault="000B1C06">
      <w:pPr>
        <w:spacing w:before="120" w:after="120"/>
        <w:ind w:left="85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b/>
          <w:bCs/>
          <w:i/>
          <w:iCs/>
          <w:sz w:val="22"/>
          <w:szCs w:val="22"/>
        </w:rPr>
        <w:t>Artículo 46.-</w:t>
      </w:r>
      <w:r w:rsidRPr="006E26D3">
        <w:rPr>
          <w:rFonts w:ascii="Palatino Linotype" w:eastAsia="Palatino Linotype" w:hAnsi="Palatino Linotype" w:cs="Palatino Linotype"/>
          <w:i/>
          <w:iCs/>
          <w:sz w:val="22"/>
          <w:szCs w:val="22"/>
        </w:rPr>
        <w:t xml:space="preserve"> El procedimiento de invitación restringida se desarrollará en los términos de la licitación pública, a excepción de la publicación de la convocatoria.”</w:t>
      </w:r>
    </w:p>
    <w:p w14:paraId="4B1EB39C" w14:textId="77777777" w:rsidR="008C41BA" w:rsidRPr="006E26D3" w:rsidRDefault="008C41BA">
      <w:pPr>
        <w:spacing w:before="120" w:after="120"/>
        <w:ind w:left="851" w:right="902"/>
        <w:jc w:val="both"/>
        <w:rPr>
          <w:rFonts w:ascii="Palatino Linotype" w:eastAsia="Palatino Linotype" w:hAnsi="Palatino Linotype" w:cs="Palatino Linotype"/>
          <w:i/>
          <w:iCs/>
          <w:sz w:val="22"/>
          <w:szCs w:val="22"/>
        </w:rPr>
      </w:pPr>
    </w:p>
    <w:p w14:paraId="73DD3FA3" w14:textId="77777777" w:rsidR="008C41BA" w:rsidRPr="006E26D3" w:rsidRDefault="000B1C06">
      <w:pP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14:paraId="09DF3380" w14:textId="77777777" w:rsidR="008C41BA" w:rsidRPr="006E26D3" w:rsidRDefault="000B1C06">
      <w:pPr>
        <w:tabs>
          <w:tab w:val="left" w:pos="7938"/>
        </w:tabs>
        <w:spacing w:before="120" w:after="120"/>
        <w:ind w:left="851"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“Artículo 48.-</w:t>
      </w:r>
      <w:r w:rsidRPr="006E26D3">
        <w:rPr>
          <w:rFonts w:ascii="Palatino Linotype" w:eastAsia="Palatino Linotype" w:hAnsi="Palatino Linotype" w:cs="Palatino Linotype"/>
          <w:i/>
          <w:iCs/>
          <w:sz w:val="22"/>
          <w:szCs w:val="22"/>
        </w:rPr>
        <w:t xml:space="preserve"> La Secretaría, las entidades, los tribunales administrativos y los ayuntamientos podrán adquirir bienes, arrendar bienes muebles e inmuebles y contratar servicios, mediante adjudicación directa, cuando:</w:t>
      </w:r>
    </w:p>
    <w:p w14:paraId="52C75C89" w14:textId="77777777" w:rsidR="008C41BA" w:rsidRPr="006E26D3" w:rsidRDefault="000B1C06">
      <w:pPr>
        <w:tabs>
          <w:tab w:val="left" w:pos="7938"/>
        </w:tabs>
        <w:spacing w:before="120" w:after="120"/>
        <w:ind w:left="1134"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w:t>
      </w:r>
      <w:r w:rsidRPr="006E26D3">
        <w:rPr>
          <w:rFonts w:ascii="Palatino Linotype" w:eastAsia="Palatino Linotype" w:hAnsi="Palatino Linotype" w:cs="Palatino Linotype"/>
          <w:i/>
          <w:iCs/>
          <w:sz w:val="22"/>
          <w:szCs w:val="22"/>
        </w:rPr>
        <w:t>. La adquisición o el servicio sólo puedan realizarse con una determinada persona, por tratarse de obras de arte, titularidad de patentes, registros, marcas específicas, derechos de autor u otros derechos exclusivos.</w:t>
      </w:r>
    </w:p>
    <w:p w14:paraId="4535E5F6" w14:textId="77777777" w:rsidR="008C41BA" w:rsidRPr="006E26D3" w:rsidRDefault="000B1C06">
      <w:pPr>
        <w:tabs>
          <w:tab w:val="left" w:pos="7938"/>
        </w:tabs>
        <w:spacing w:before="120" w:after="120"/>
        <w:ind w:left="1134"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II</w:t>
      </w:r>
      <w:r w:rsidRPr="006E26D3">
        <w:rPr>
          <w:rFonts w:ascii="Palatino Linotype" w:eastAsia="Palatino Linotype" w:hAnsi="Palatino Linotype" w:cs="Palatino Linotype"/>
          <w:i/>
          <w:iCs/>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3FC3E150" w14:textId="77777777" w:rsidR="008C41BA" w:rsidRPr="006E26D3" w:rsidRDefault="000B1C06">
      <w:pPr>
        <w:tabs>
          <w:tab w:val="left" w:pos="7938"/>
        </w:tabs>
        <w:spacing w:before="120" w:after="120"/>
        <w:ind w:left="1134"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III.</w:t>
      </w:r>
      <w:r w:rsidRPr="006E26D3">
        <w:rPr>
          <w:rFonts w:ascii="Palatino Linotype" w:eastAsia="Palatino Linotype" w:hAnsi="Palatino Linotype" w:cs="Palatino Linotype"/>
          <w:i/>
          <w:iCs/>
          <w:sz w:val="22"/>
          <w:szCs w:val="22"/>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58A796D3" w14:textId="77777777" w:rsidR="008C41BA" w:rsidRPr="006E26D3" w:rsidRDefault="000B1C06">
      <w:pPr>
        <w:tabs>
          <w:tab w:val="left" w:pos="7938"/>
        </w:tabs>
        <w:spacing w:before="120" w:after="120"/>
        <w:ind w:left="1134"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IV.</w:t>
      </w:r>
      <w:r w:rsidRPr="006E26D3">
        <w:rPr>
          <w:rFonts w:ascii="Palatino Linotype" w:eastAsia="Palatino Linotype" w:hAnsi="Palatino Linotype" w:cs="Palatino Linotype"/>
          <w:i/>
          <w:iCs/>
          <w:sz w:val="22"/>
          <w:szCs w:val="22"/>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3051F18C" w14:textId="77777777" w:rsidR="008C41BA" w:rsidRPr="006E26D3" w:rsidRDefault="000B1C06">
      <w:pPr>
        <w:tabs>
          <w:tab w:val="left" w:pos="7938"/>
        </w:tabs>
        <w:spacing w:before="120" w:after="120"/>
        <w:ind w:left="1134"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V</w:t>
      </w:r>
      <w:r w:rsidRPr="006E26D3">
        <w:rPr>
          <w:rFonts w:ascii="Palatino Linotype" w:eastAsia="Palatino Linotype" w:hAnsi="Palatino Linotype" w:cs="Palatino Linotype"/>
          <w:i/>
          <w:iCs/>
          <w:sz w:val="22"/>
          <w:szCs w:val="22"/>
        </w:rPr>
        <w:t>. Existan circunstancias que puedan provocar pérdidas o costos adicionales importantes al erario.</w:t>
      </w:r>
    </w:p>
    <w:p w14:paraId="52AC59FB" w14:textId="77777777" w:rsidR="008C41BA" w:rsidRPr="006E26D3" w:rsidRDefault="000B1C06">
      <w:pPr>
        <w:tabs>
          <w:tab w:val="left" w:pos="7938"/>
        </w:tabs>
        <w:spacing w:before="120" w:after="120"/>
        <w:ind w:left="1134"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VI</w:t>
      </w:r>
      <w:r w:rsidRPr="006E26D3">
        <w:rPr>
          <w:rFonts w:ascii="Palatino Linotype" w:eastAsia="Palatino Linotype" w:hAnsi="Palatino Linotype" w:cs="Palatino Linotype"/>
          <w:i/>
          <w:iCs/>
          <w:sz w:val="22"/>
          <w:szCs w:val="22"/>
        </w:rPr>
        <w:t>. Pueda comprometerse información de naturaleza confidencial para el Estado o municipios, por razones de seguridad pública.</w:t>
      </w:r>
    </w:p>
    <w:p w14:paraId="3904CF05" w14:textId="77777777" w:rsidR="008C41BA" w:rsidRPr="006E26D3" w:rsidRDefault="000B1C06">
      <w:pPr>
        <w:tabs>
          <w:tab w:val="left" w:pos="7938"/>
        </w:tabs>
        <w:spacing w:before="120" w:after="120"/>
        <w:ind w:left="1134"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VII</w:t>
      </w:r>
      <w:r w:rsidRPr="006E26D3">
        <w:rPr>
          <w:rFonts w:ascii="Palatino Linotype" w:eastAsia="Palatino Linotype" w:hAnsi="Palatino Linotype" w:cs="Palatino Linotype"/>
          <w:i/>
          <w:iCs/>
          <w:sz w:val="22"/>
          <w:szCs w:val="22"/>
        </w:rPr>
        <w:t>. Existan circunstancias extraordinarias o imprevisibles derivadas de riesgo o desastre. En este supuesto, la adquisición, arrendamiento y servicio deberá limitarse a lo estrictamente necesario para enfrentar tal eventualidad.</w:t>
      </w:r>
    </w:p>
    <w:p w14:paraId="0886CEAF" w14:textId="77777777" w:rsidR="008C41BA" w:rsidRPr="006E26D3" w:rsidRDefault="000B1C06">
      <w:pPr>
        <w:tabs>
          <w:tab w:val="left" w:pos="7938"/>
        </w:tabs>
        <w:spacing w:before="120" w:after="120"/>
        <w:ind w:left="1134"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VIII</w:t>
      </w:r>
      <w:r w:rsidRPr="006E26D3">
        <w:rPr>
          <w:rFonts w:ascii="Palatino Linotype" w:eastAsia="Palatino Linotype" w:hAnsi="Palatino Linotype" w:cs="Palatino Linotype"/>
          <w:i/>
          <w:iCs/>
          <w:sz w:val="22"/>
          <w:szCs w:val="22"/>
        </w:rPr>
        <w:t>.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14:paraId="36B3B736" w14:textId="77777777" w:rsidR="008C41BA" w:rsidRPr="006E26D3" w:rsidRDefault="000B1C06">
      <w:pPr>
        <w:tabs>
          <w:tab w:val="left" w:pos="7938"/>
        </w:tabs>
        <w:spacing w:before="120" w:after="120"/>
        <w:ind w:left="1134"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IX</w:t>
      </w:r>
      <w:r w:rsidRPr="006E26D3">
        <w:rPr>
          <w:rFonts w:ascii="Palatino Linotype" w:eastAsia="Palatino Linotype" w:hAnsi="Palatino Linotype" w:cs="Palatino Linotype"/>
          <w:i/>
          <w:iCs/>
          <w:sz w:val="22"/>
          <w:szCs w:val="22"/>
        </w:rPr>
        <w:t>. Se hubiere declarado desierto un procedimiento de invitación restringida.</w:t>
      </w:r>
    </w:p>
    <w:p w14:paraId="27886FD4" w14:textId="77777777" w:rsidR="008C41BA" w:rsidRPr="006E26D3" w:rsidRDefault="000B1C06">
      <w:pPr>
        <w:tabs>
          <w:tab w:val="left" w:pos="7938"/>
        </w:tabs>
        <w:spacing w:before="120" w:after="120"/>
        <w:ind w:left="1134"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X</w:t>
      </w:r>
      <w:r w:rsidRPr="006E26D3">
        <w:rPr>
          <w:rFonts w:ascii="Palatino Linotype" w:eastAsia="Palatino Linotype" w:hAnsi="Palatino Linotype" w:cs="Palatino Linotype"/>
          <w:i/>
          <w:iCs/>
          <w:sz w:val="22"/>
          <w:szCs w:val="22"/>
        </w:rPr>
        <w:t>. Cuando se aseguren condiciones financieras que permitan al Estado o a los municipios cumplir con la obligación de pago de manera diferida, sin que ello implique un costo financiero adicional o que habiéndolo, sea inferior al del mercado, o</w:t>
      </w:r>
    </w:p>
    <w:p w14:paraId="3836F05B" w14:textId="77777777" w:rsidR="008C41BA" w:rsidRPr="006E26D3" w:rsidRDefault="000B1C06">
      <w:pPr>
        <w:tabs>
          <w:tab w:val="left" w:pos="7938"/>
        </w:tabs>
        <w:spacing w:before="120" w:after="120"/>
        <w:ind w:left="1134"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XI</w:t>
      </w:r>
      <w:r w:rsidRPr="006E26D3">
        <w:rPr>
          <w:rFonts w:ascii="Palatino Linotype" w:eastAsia="Palatino Linotype" w:hAnsi="Palatino Linotype" w:cs="Palatino Linotype"/>
          <w:i/>
          <w:iCs/>
          <w:sz w:val="22"/>
          <w:szCs w:val="22"/>
        </w:rPr>
        <w:t>.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2EAFB2D1" w14:textId="77777777" w:rsidR="008C41BA" w:rsidRPr="006E26D3" w:rsidRDefault="000B1C06">
      <w:pPr>
        <w:tabs>
          <w:tab w:val="left" w:pos="7938"/>
        </w:tabs>
        <w:spacing w:before="120" w:after="120"/>
        <w:ind w:left="1134"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XII</w:t>
      </w:r>
      <w:r w:rsidRPr="006E26D3">
        <w:rPr>
          <w:rFonts w:ascii="Palatino Linotype" w:eastAsia="Palatino Linotype" w:hAnsi="Palatino Linotype" w:cs="Palatino Linotype"/>
          <w:i/>
          <w:iCs/>
          <w:sz w:val="22"/>
          <w:szCs w:val="22"/>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256BDB03" w14:textId="77777777" w:rsidR="008C41BA" w:rsidRPr="006E26D3" w:rsidRDefault="000B1C06">
      <w:pPr>
        <w:tabs>
          <w:tab w:val="left" w:pos="7938"/>
        </w:tabs>
        <w:spacing w:before="120" w:after="120"/>
        <w:ind w:left="851" w:right="90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Artículo 49.-</w:t>
      </w:r>
      <w:r w:rsidRPr="006E26D3">
        <w:rPr>
          <w:rFonts w:ascii="Palatino Linotype" w:eastAsia="Palatino Linotype" w:hAnsi="Palatino Linotype" w:cs="Palatino Linotype"/>
          <w:i/>
          <w:iCs/>
          <w:sz w:val="22"/>
          <w:szCs w:val="22"/>
        </w:rPr>
        <w:t xml:space="preserve"> El procedimiento de adjudicación directa se substanciará con arreglo a el reglamento de esta Ley.”</w:t>
      </w:r>
    </w:p>
    <w:p w14:paraId="35BDC8D3" w14:textId="77777777" w:rsidR="008C41BA" w:rsidRPr="006E26D3" w:rsidRDefault="000B1C06">
      <w:pPr>
        <w:spacing w:before="240" w:after="240" w:line="360" w:lineRule="auto"/>
        <w:ind w:right="51"/>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Ahora bien, a través del cumplimiento a la obligación de transparencia señalada en la fracción XXIX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w:t>
      </w:r>
      <w:r w:rsidRPr="006E26D3">
        <w:rPr>
          <w:rFonts w:ascii="Palatino Linotype" w:eastAsia="Palatino Linotype" w:hAnsi="Palatino Linotype" w:cs="Palatino Linotype"/>
          <w:b/>
          <w:bCs/>
          <w:sz w:val="22"/>
          <w:szCs w:val="22"/>
        </w:rPr>
        <w:t>incluyendo la versión pública del expediente respectivo y de los contratos celebrados</w:t>
      </w:r>
      <w:r w:rsidRPr="006E26D3">
        <w:rPr>
          <w:rFonts w:ascii="Palatino Linotype" w:eastAsia="Palatino Linotype" w:hAnsi="Palatino Linotype" w:cs="Palatino Linotype"/>
          <w:sz w:val="22"/>
          <w:szCs w:val="22"/>
        </w:rPr>
        <w:t>, a saber:</w:t>
      </w:r>
    </w:p>
    <w:p w14:paraId="4CCE0C1C" w14:textId="77777777" w:rsidR="008C41BA" w:rsidRPr="006E26D3" w:rsidRDefault="000B1C06">
      <w:pPr>
        <w:ind w:left="85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r w:rsidRPr="006E26D3">
        <w:rPr>
          <w:rFonts w:ascii="Palatino Linotype" w:eastAsia="Palatino Linotype" w:hAnsi="Palatino Linotype" w:cs="Palatino Linotype"/>
          <w:b/>
          <w:bCs/>
          <w:i/>
          <w:iCs/>
          <w:sz w:val="22"/>
          <w:szCs w:val="22"/>
        </w:rPr>
        <w:t>Artículo 92</w:t>
      </w:r>
      <w:r w:rsidRPr="006E26D3">
        <w:rPr>
          <w:rFonts w:ascii="Palatino Linotype" w:eastAsia="Palatino Linotype" w:hAnsi="Palatino Linotype" w:cs="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B376A0" w14:textId="77777777" w:rsidR="008C41BA" w:rsidRPr="006E26D3" w:rsidRDefault="000B1C06">
      <w:pPr>
        <w:tabs>
          <w:tab w:val="left" w:pos="426"/>
          <w:tab w:val="left" w:pos="2145"/>
        </w:tabs>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r w:rsidRPr="006E26D3">
        <w:rPr>
          <w:rFonts w:ascii="Palatino Linotype" w:eastAsia="Palatino Linotype" w:hAnsi="Palatino Linotype" w:cs="Palatino Linotype"/>
          <w:i/>
          <w:iCs/>
          <w:sz w:val="22"/>
          <w:szCs w:val="22"/>
        </w:rPr>
        <w:tab/>
      </w:r>
    </w:p>
    <w:p w14:paraId="5ADA938B" w14:textId="77777777" w:rsidR="008C41BA" w:rsidRPr="006E26D3" w:rsidRDefault="000B1C06">
      <w:pPr>
        <w:tabs>
          <w:tab w:val="left" w:pos="426"/>
        </w:tabs>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XXIX.</w:t>
      </w:r>
      <w:r w:rsidRPr="006E26D3">
        <w:rPr>
          <w:rFonts w:ascii="Palatino Linotype" w:eastAsia="Palatino Linotype" w:hAnsi="Palatino Linotype" w:cs="Palatino Linotype"/>
          <w:i/>
          <w:iCs/>
          <w:sz w:val="22"/>
          <w:szCs w:val="22"/>
        </w:rPr>
        <w:t xml:space="preserve"> La </w:t>
      </w:r>
      <w:r w:rsidRPr="006E26D3">
        <w:rPr>
          <w:rFonts w:ascii="Palatino Linotype" w:eastAsia="Palatino Linotype" w:hAnsi="Palatino Linotype" w:cs="Palatino Linotype"/>
          <w:b/>
          <w:bCs/>
          <w:i/>
          <w:iCs/>
          <w:sz w:val="22"/>
          <w:szCs w:val="22"/>
        </w:rPr>
        <w:t xml:space="preserve">información sobre los procesos y resultados </w:t>
      </w:r>
      <w:r w:rsidRPr="006E26D3">
        <w:rPr>
          <w:rFonts w:ascii="Palatino Linotype" w:eastAsia="Palatino Linotype" w:hAnsi="Palatino Linotype" w:cs="Palatino Linotype"/>
          <w:b/>
          <w:bCs/>
          <w:i/>
          <w:iCs/>
          <w:sz w:val="22"/>
          <w:szCs w:val="22"/>
          <w:u w:val="single"/>
        </w:rPr>
        <w:t>sobre procedimientos de adjudicación directa, invitación restringida y licitación de cualquier naturaleza</w:t>
      </w:r>
      <w:r w:rsidRPr="006E26D3">
        <w:rPr>
          <w:rFonts w:ascii="Palatino Linotype" w:eastAsia="Palatino Linotype" w:hAnsi="Palatino Linotype" w:cs="Palatino Linotype"/>
          <w:i/>
          <w:iCs/>
          <w:sz w:val="22"/>
          <w:szCs w:val="22"/>
          <w:u w:val="single"/>
        </w:rPr>
        <w:t xml:space="preserve">, </w:t>
      </w:r>
      <w:r w:rsidRPr="006E26D3">
        <w:rPr>
          <w:rFonts w:ascii="Palatino Linotype" w:eastAsia="Palatino Linotype" w:hAnsi="Palatino Linotype" w:cs="Palatino Linotype"/>
          <w:b/>
          <w:bCs/>
          <w:i/>
          <w:iCs/>
          <w:sz w:val="22"/>
          <w:szCs w:val="22"/>
        </w:rPr>
        <w:t>incluyendo la versión pública</w:t>
      </w:r>
      <w:r w:rsidRPr="006E26D3">
        <w:rPr>
          <w:rFonts w:ascii="Palatino Linotype" w:eastAsia="Palatino Linotype" w:hAnsi="Palatino Linotype" w:cs="Palatino Linotype"/>
          <w:i/>
          <w:iCs/>
          <w:sz w:val="22"/>
          <w:szCs w:val="22"/>
        </w:rPr>
        <w:t xml:space="preserve"> del expediente respectivo y </w:t>
      </w:r>
      <w:r w:rsidRPr="006E26D3">
        <w:rPr>
          <w:rFonts w:ascii="Palatino Linotype" w:eastAsia="Palatino Linotype" w:hAnsi="Palatino Linotype" w:cs="Palatino Linotype"/>
          <w:b/>
          <w:bCs/>
          <w:i/>
          <w:iCs/>
          <w:sz w:val="22"/>
          <w:szCs w:val="22"/>
        </w:rPr>
        <w:t>de los contratos celebrados</w:t>
      </w:r>
      <w:r w:rsidRPr="006E26D3">
        <w:rPr>
          <w:rFonts w:ascii="Palatino Linotype" w:eastAsia="Palatino Linotype" w:hAnsi="Palatino Linotype" w:cs="Palatino Linotype"/>
          <w:i/>
          <w:iCs/>
          <w:sz w:val="22"/>
          <w:szCs w:val="22"/>
        </w:rPr>
        <w:t>, que deberán contener, por los menos, lo siguiente:</w:t>
      </w:r>
    </w:p>
    <w:p w14:paraId="0E5B16E9" w14:textId="77777777" w:rsidR="008C41BA" w:rsidRPr="006E26D3" w:rsidRDefault="000B1C06">
      <w:pPr>
        <w:tabs>
          <w:tab w:val="left" w:pos="426"/>
        </w:tabs>
        <w:spacing w:before="120" w:after="120"/>
        <w:ind w:left="1418" w:right="902"/>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a) De licitaciones públicas o procedimientos de invitación restringida:</w:t>
      </w:r>
    </w:p>
    <w:p w14:paraId="578AB332"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1)</w:t>
      </w:r>
      <w:r w:rsidRPr="006E26D3">
        <w:rPr>
          <w:rFonts w:ascii="Palatino Linotype" w:eastAsia="Palatino Linotype" w:hAnsi="Palatino Linotype" w:cs="Palatino Linotype"/>
          <w:i/>
          <w:iCs/>
          <w:sz w:val="22"/>
          <w:szCs w:val="22"/>
        </w:rPr>
        <w:t xml:space="preserve"> La convocatoria o invitación emitida, así como los fundamentos legales aplicados para llevarla a cabo;</w:t>
      </w:r>
    </w:p>
    <w:p w14:paraId="7F097B19"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2)</w:t>
      </w:r>
      <w:r w:rsidRPr="006E26D3">
        <w:rPr>
          <w:rFonts w:ascii="Palatino Linotype" w:eastAsia="Palatino Linotype" w:hAnsi="Palatino Linotype" w:cs="Palatino Linotype"/>
          <w:i/>
          <w:iCs/>
          <w:sz w:val="22"/>
          <w:szCs w:val="22"/>
        </w:rPr>
        <w:t xml:space="preserve"> Los nombres de los participantes o invitados;</w:t>
      </w:r>
    </w:p>
    <w:p w14:paraId="29C46A8A"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3)</w:t>
      </w:r>
      <w:r w:rsidRPr="006E26D3">
        <w:rPr>
          <w:rFonts w:ascii="Palatino Linotype" w:eastAsia="Palatino Linotype" w:hAnsi="Palatino Linotype" w:cs="Palatino Linotype"/>
          <w:i/>
          <w:iCs/>
          <w:sz w:val="22"/>
          <w:szCs w:val="22"/>
        </w:rPr>
        <w:t xml:space="preserve"> El nombre del ganador y las razones que lo justifican;</w:t>
      </w:r>
    </w:p>
    <w:p w14:paraId="6F37FEBB"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4)</w:t>
      </w:r>
      <w:r w:rsidRPr="006E26D3">
        <w:rPr>
          <w:rFonts w:ascii="Palatino Linotype" w:eastAsia="Palatino Linotype" w:hAnsi="Palatino Linotype" w:cs="Palatino Linotype"/>
          <w:i/>
          <w:iCs/>
          <w:sz w:val="22"/>
          <w:szCs w:val="22"/>
        </w:rPr>
        <w:t xml:space="preserve"> El área solicitante y la responsable de su ejecución;</w:t>
      </w:r>
    </w:p>
    <w:p w14:paraId="52343A87"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5)</w:t>
      </w:r>
      <w:r w:rsidRPr="006E26D3">
        <w:rPr>
          <w:rFonts w:ascii="Palatino Linotype" w:eastAsia="Palatino Linotype" w:hAnsi="Palatino Linotype" w:cs="Palatino Linotype"/>
          <w:i/>
          <w:iCs/>
          <w:sz w:val="22"/>
          <w:szCs w:val="22"/>
        </w:rPr>
        <w:t xml:space="preserve"> Las convocatorias e invitaciones emitidas; </w:t>
      </w:r>
    </w:p>
    <w:p w14:paraId="38B62AC7"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6)</w:t>
      </w:r>
      <w:r w:rsidRPr="006E26D3">
        <w:rPr>
          <w:rFonts w:ascii="Palatino Linotype" w:eastAsia="Palatino Linotype" w:hAnsi="Palatino Linotype" w:cs="Palatino Linotype"/>
          <w:i/>
          <w:iCs/>
          <w:sz w:val="22"/>
          <w:szCs w:val="22"/>
        </w:rPr>
        <w:t xml:space="preserve"> Los dictámenes y fallo de adjudicación;</w:t>
      </w:r>
    </w:p>
    <w:p w14:paraId="3F93F70C"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 xml:space="preserve">7) El contrato y, en su caso, sus anexos; </w:t>
      </w:r>
    </w:p>
    <w:p w14:paraId="2A7970A3"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8)</w:t>
      </w:r>
      <w:r w:rsidRPr="006E26D3">
        <w:rPr>
          <w:rFonts w:ascii="Palatino Linotype" w:eastAsia="Palatino Linotype" w:hAnsi="Palatino Linotype" w:cs="Palatino Linotype"/>
          <w:i/>
          <w:iCs/>
          <w:sz w:val="22"/>
          <w:szCs w:val="22"/>
        </w:rPr>
        <w:t xml:space="preserve"> Los mecanismos de vigilancia y supervisión, incluyendo en su caso, los estudios de impacto urbano y ambiental, según corresponda;</w:t>
      </w:r>
    </w:p>
    <w:p w14:paraId="0FE2D890"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9)</w:t>
      </w:r>
      <w:r w:rsidRPr="006E26D3">
        <w:rPr>
          <w:rFonts w:ascii="Palatino Linotype" w:eastAsia="Palatino Linotype" w:hAnsi="Palatino Linotype" w:cs="Palatino Linotype"/>
          <w:i/>
          <w:iCs/>
          <w:sz w:val="22"/>
          <w:szCs w:val="22"/>
        </w:rPr>
        <w:t xml:space="preserve"> La partida presupuestal, de conformidad con el clasificador por objeto del gasto, en el caso de ser aplicable; </w:t>
      </w:r>
    </w:p>
    <w:p w14:paraId="0C9ABA66"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10)</w:t>
      </w:r>
      <w:r w:rsidRPr="006E26D3">
        <w:rPr>
          <w:rFonts w:ascii="Palatino Linotype" w:eastAsia="Palatino Linotype" w:hAnsi="Palatino Linotype" w:cs="Palatino Linotype"/>
          <w:i/>
          <w:iCs/>
          <w:sz w:val="22"/>
          <w:szCs w:val="22"/>
        </w:rPr>
        <w:t xml:space="preserve"> Origen de los recursos especificando si son federales, estatales o municipales, así como el tipo de fondo de participación o aportación respectiva;</w:t>
      </w:r>
    </w:p>
    <w:p w14:paraId="26ED835E"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11)</w:t>
      </w:r>
      <w:r w:rsidRPr="006E26D3">
        <w:rPr>
          <w:rFonts w:ascii="Palatino Linotype" w:eastAsia="Palatino Linotype" w:hAnsi="Palatino Linotype" w:cs="Palatino Linotype"/>
          <w:i/>
          <w:iCs/>
          <w:sz w:val="22"/>
          <w:szCs w:val="22"/>
        </w:rPr>
        <w:t xml:space="preserve"> Los convenios modificatorios que, en su caso, sean firmados, precisando el objeto y la fecha de celebración;</w:t>
      </w:r>
    </w:p>
    <w:p w14:paraId="00D57C5A"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12)</w:t>
      </w:r>
      <w:r w:rsidRPr="006E26D3">
        <w:rPr>
          <w:rFonts w:ascii="Palatino Linotype" w:eastAsia="Palatino Linotype" w:hAnsi="Palatino Linotype" w:cs="Palatino Linotype"/>
          <w:i/>
          <w:iCs/>
          <w:sz w:val="22"/>
          <w:szCs w:val="22"/>
        </w:rPr>
        <w:t xml:space="preserve"> Los informes de avance físico y financiero sobre las obras o servicios contratados; </w:t>
      </w:r>
    </w:p>
    <w:p w14:paraId="19103BF3"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13)</w:t>
      </w:r>
      <w:r w:rsidRPr="006E26D3">
        <w:rPr>
          <w:rFonts w:ascii="Palatino Linotype" w:eastAsia="Palatino Linotype" w:hAnsi="Palatino Linotype" w:cs="Palatino Linotype"/>
          <w:i/>
          <w:iCs/>
          <w:sz w:val="22"/>
          <w:szCs w:val="22"/>
        </w:rPr>
        <w:t xml:space="preserve"> El convenio de terminación; </w:t>
      </w:r>
    </w:p>
    <w:p w14:paraId="1ED8960C"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14)</w:t>
      </w:r>
      <w:r w:rsidRPr="006E26D3">
        <w:rPr>
          <w:rFonts w:ascii="Palatino Linotype" w:eastAsia="Palatino Linotype" w:hAnsi="Palatino Linotype" w:cs="Palatino Linotype"/>
          <w:i/>
          <w:iCs/>
          <w:sz w:val="22"/>
          <w:szCs w:val="22"/>
        </w:rPr>
        <w:t xml:space="preserve"> El finiquito.</w:t>
      </w:r>
    </w:p>
    <w:p w14:paraId="7601153F" w14:textId="77777777" w:rsidR="008C41BA" w:rsidRPr="006E26D3" w:rsidRDefault="000B1C06">
      <w:pPr>
        <w:tabs>
          <w:tab w:val="left" w:pos="426"/>
        </w:tabs>
        <w:spacing w:before="120" w:after="120"/>
        <w:ind w:left="1418" w:right="902"/>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 xml:space="preserve">b) De las adjudicaciones directas: </w:t>
      </w:r>
    </w:p>
    <w:p w14:paraId="22991400"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1)</w:t>
      </w:r>
      <w:r w:rsidRPr="006E26D3">
        <w:rPr>
          <w:rFonts w:ascii="Palatino Linotype" w:eastAsia="Palatino Linotype" w:hAnsi="Palatino Linotype" w:cs="Palatino Linotype"/>
          <w:i/>
          <w:iCs/>
          <w:sz w:val="22"/>
          <w:szCs w:val="22"/>
        </w:rPr>
        <w:t xml:space="preserve"> La propuesta enviada por el participante; </w:t>
      </w:r>
    </w:p>
    <w:p w14:paraId="65A11AD7"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2)</w:t>
      </w:r>
      <w:r w:rsidRPr="006E26D3">
        <w:rPr>
          <w:rFonts w:ascii="Palatino Linotype" w:eastAsia="Palatino Linotype" w:hAnsi="Palatino Linotype" w:cs="Palatino Linotype"/>
          <w:i/>
          <w:iCs/>
          <w:sz w:val="22"/>
          <w:szCs w:val="22"/>
        </w:rPr>
        <w:t xml:space="preserve"> Los motivos y fundamentos legales aplicados para llevarla a cabo;</w:t>
      </w:r>
    </w:p>
    <w:p w14:paraId="708F97F3"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 xml:space="preserve">3) La autorización del ejercicio de la opción; </w:t>
      </w:r>
    </w:p>
    <w:p w14:paraId="4FC52A0E"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 xml:space="preserve">4) </w:t>
      </w:r>
      <w:r w:rsidRPr="006E26D3">
        <w:rPr>
          <w:rFonts w:ascii="Palatino Linotype" w:eastAsia="Palatino Linotype" w:hAnsi="Palatino Linotype" w:cs="Palatino Linotype"/>
          <w:i/>
          <w:iCs/>
          <w:sz w:val="22"/>
          <w:szCs w:val="22"/>
        </w:rPr>
        <w:t>En su caso, las cotizaciones consideradas, especificando los nombres de los proveedores y sus montos;</w:t>
      </w:r>
      <w:r w:rsidRPr="006E26D3">
        <w:rPr>
          <w:rFonts w:ascii="Palatino Linotype" w:eastAsia="Palatino Linotype" w:hAnsi="Palatino Linotype" w:cs="Palatino Linotype"/>
          <w:b/>
          <w:bCs/>
          <w:i/>
          <w:iCs/>
          <w:sz w:val="22"/>
          <w:szCs w:val="22"/>
        </w:rPr>
        <w:t xml:space="preserve"> </w:t>
      </w:r>
    </w:p>
    <w:p w14:paraId="59EB40C3"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5)</w:t>
      </w:r>
      <w:r w:rsidRPr="006E26D3">
        <w:rPr>
          <w:rFonts w:ascii="Palatino Linotype" w:eastAsia="Palatino Linotype" w:hAnsi="Palatino Linotype" w:cs="Palatino Linotype"/>
          <w:i/>
          <w:iCs/>
          <w:sz w:val="22"/>
          <w:szCs w:val="22"/>
        </w:rPr>
        <w:t xml:space="preserve"> El nombre de la persona física o jurídica colectiva adjudicada; </w:t>
      </w:r>
    </w:p>
    <w:p w14:paraId="31206556"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6)</w:t>
      </w:r>
      <w:r w:rsidRPr="006E26D3">
        <w:rPr>
          <w:rFonts w:ascii="Palatino Linotype" w:eastAsia="Palatino Linotype" w:hAnsi="Palatino Linotype" w:cs="Palatino Linotype"/>
          <w:i/>
          <w:iCs/>
          <w:sz w:val="22"/>
          <w:szCs w:val="22"/>
        </w:rPr>
        <w:t xml:space="preserve"> La unidad administrativa solicitante y la responsable de su ejecución; </w:t>
      </w:r>
    </w:p>
    <w:p w14:paraId="42DC6EAE"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 xml:space="preserve">7) El número, fecha, el monto del contrato y el plazo de entrega o de ejecución de los servicios u obra; </w:t>
      </w:r>
    </w:p>
    <w:p w14:paraId="1D8EEC45"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8)</w:t>
      </w:r>
      <w:r w:rsidRPr="006E26D3">
        <w:rPr>
          <w:rFonts w:ascii="Palatino Linotype" w:eastAsia="Palatino Linotype" w:hAnsi="Palatino Linotype" w:cs="Palatino Linotype"/>
          <w:i/>
          <w:iCs/>
          <w:sz w:val="22"/>
          <w:szCs w:val="22"/>
        </w:rPr>
        <w:t xml:space="preserve"> Los mecanismos de vigilancia y supervisión, incluyendo, en su caso, los estudios de impacto urbano y ambiental, según corresponda; </w:t>
      </w:r>
    </w:p>
    <w:p w14:paraId="0F0ACB7E"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9)</w:t>
      </w:r>
      <w:r w:rsidRPr="006E26D3">
        <w:rPr>
          <w:rFonts w:ascii="Palatino Linotype" w:eastAsia="Palatino Linotype" w:hAnsi="Palatino Linotype" w:cs="Palatino Linotype"/>
          <w:i/>
          <w:iCs/>
          <w:sz w:val="22"/>
          <w:szCs w:val="22"/>
        </w:rPr>
        <w:t xml:space="preserve"> Los informes de avance sobre las obras o servicios contratados; </w:t>
      </w:r>
    </w:p>
    <w:p w14:paraId="2C2D4BA2"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10)</w:t>
      </w:r>
      <w:r w:rsidRPr="006E26D3">
        <w:rPr>
          <w:rFonts w:ascii="Palatino Linotype" w:eastAsia="Palatino Linotype" w:hAnsi="Palatino Linotype" w:cs="Palatino Linotype"/>
          <w:i/>
          <w:iCs/>
          <w:sz w:val="22"/>
          <w:szCs w:val="22"/>
        </w:rPr>
        <w:t xml:space="preserve"> El convenio de terminación; y </w:t>
      </w:r>
    </w:p>
    <w:p w14:paraId="60BB5BCB" w14:textId="77777777" w:rsidR="008C41BA" w:rsidRPr="006E26D3" w:rsidRDefault="000B1C06">
      <w:pPr>
        <w:tabs>
          <w:tab w:val="left" w:pos="426"/>
        </w:tabs>
        <w:spacing w:before="120" w:after="120"/>
        <w:ind w:left="170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11)</w:t>
      </w:r>
      <w:r w:rsidRPr="006E26D3">
        <w:rPr>
          <w:rFonts w:ascii="Palatino Linotype" w:eastAsia="Palatino Linotype" w:hAnsi="Palatino Linotype" w:cs="Palatino Linotype"/>
          <w:i/>
          <w:iCs/>
          <w:sz w:val="22"/>
          <w:szCs w:val="22"/>
        </w:rPr>
        <w:t xml:space="preserve"> El finiquito;”</w:t>
      </w:r>
    </w:p>
    <w:p w14:paraId="0EBD61B3" w14:textId="77777777" w:rsidR="008C41BA" w:rsidRPr="006E26D3" w:rsidRDefault="000B1C06">
      <w:pPr>
        <w:spacing w:before="240" w:after="240"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1259D989" w14:textId="77777777" w:rsidR="008C41BA" w:rsidRPr="006E26D3" w:rsidRDefault="000B1C06">
      <w:pPr>
        <w:spacing w:before="240" w:after="240" w:line="360" w:lineRule="auto"/>
        <w:ind w:left="280"/>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sz w:val="22"/>
          <w:szCs w:val="22"/>
        </w:rPr>
        <w:tab/>
      </w:r>
      <w:r w:rsidRPr="006E26D3">
        <w:rPr>
          <w:rFonts w:ascii="Palatino Linotype" w:eastAsia="Palatino Linotype" w:hAnsi="Palatino Linotype" w:cs="Palatino Linotype"/>
          <w:b/>
          <w:bCs/>
          <w:sz w:val="22"/>
          <w:szCs w:val="22"/>
        </w:rPr>
        <w:t xml:space="preserve">Licitación pública: </w:t>
      </w:r>
      <w:r w:rsidRPr="006E26D3">
        <w:rPr>
          <w:rFonts w:ascii="Palatino Linotype" w:eastAsia="Palatino Linotype" w:hAnsi="Palatino Linotype" w:cs="Palatino Linotype"/>
          <w:sz w:val="22"/>
          <w:szCs w:val="22"/>
        </w:rPr>
        <w:t>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1BFB1784" w14:textId="77777777" w:rsidR="008C41BA" w:rsidRPr="006E26D3" w:rsidRDefault="000B1C06">
      <w:pPr>
        <w:spacing w:before="240" w:after="240" w:line="360" w:lineRule="auto"/>
        <w:ind w:left="284"/>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b/>
          <w:bCs/>
          <w:sz w:val="22"/>
          <w:szCs w:val="22"/>
        </w:rPr>
        <w:t xml:space="preserve">Invitación restringida: </w:t>
      </w:r>
      <w:r w:rsidRPr="006E26D3">
        <w:rPr>
          <w:rFonts w:ascii="Palatino Linotype" w:eastAsia="Palatino Linotype" w:hAnsi="Palatino Linotype" w:cs="Palatino Linotype"/>
          <w:sz w:val="22"/>
          <w:szCs w:val="22"/>
        </w:rPr>
        <w:t>invitación emitida y fundamentos legales aplicables para llevarla a cabo, nombre de los participantes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0AC1E604" w14:textId="77777777" w:rsidR="008C41BA" w:rsidRPr="006E26D3" w:rsidRDefault="000B1C06">
      <w:pPr>
        <w:spacing w:before="240" w:after="240" w:line="360" w:lineRule="auto"/>
        <w:ind w:left="284"/>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b/>
          <w:bCs/>
          <w:sz w:val="22"/>
          <w:szCs w:val="22"/>
        </w:rPr>
        <w:t xml:space="preserve">Adjudicaciones directas: </w:t>
      </w:r>
      <w:r w:rsidRPr="006E26D3">
        <w:rPr>
          <w:rFonts w:ascii="Palatino Linotype" w:eastAsia="Palatino Linotype" w:hAnsi="Palatino Linotype" w:cs="Palatino Linotype"/>
          <w:sz w:val="22"/>
          <w:szCs w:val="22"/>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4BA1F0BC" w14:textId="77777777" w:rsidR="008C41BA" w:rsidRPr="006E26D3" w:rsidRDefault="000B1C06">
      <w:pPr>
        <w:spacing w:before="240" w:after="240" w:line="360" w:lineRule="auto"/>
        <w:ind w:right="51"/>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señalada en el artículo 70  fracción XXVIII de la Ley General de Transparencia y Acceso a la Información Pública, vigentes a la fecha de la solicitud, los sujetos obligados deben publicar información sobre los actos, contratos y convenios celebrados, misma que </w:t>
      </w:r>
      <w:r w:rsidRPr="006E26D3">
        <w:rPr>
          <w:rFonts w:ascii="Palatino Linotype" w:eastAsia="Palatino Linotype" w:hAnsi="Palatino Linotype" w:cs="Palatino Linotype"/>
          <w:b/>
          <w:bCs/>
          <w:sz w:val="22"/>
          <w:szCs w:val="22"/>
        </w:rPr>
        <w:t>debe presentarse en una base de datos en la que cada registro se hará por tipo de procedimiento, ya sea licitación pública, invitación restringida o adjudicación directa,</w:t>
      </w:r>
      <w:r w:rsidRPr="006E26D3">
        <w:rPr>
          <w:rFonts w:ascii="Palatino Linotype" w:eastAsia="Palatino Linotype" w:hAnsi="Palatino Linotype" w:cs="Palatino Linotype"/>
          <w:sz w:val="22"/>
          <w:szCs w:val="22"/>
        </w:rPr>
        <w:t xml:space="preserve"> 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1E9D2880" w14:textId="77777777" w:rsidR="008C41BA" w:rsidRPr="006E26D3" w:rsidRDefault="000B1C06">
      <w:pPr>
        <w:spacing w:before="240" w:after="240"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En este sentido, se colige que la información requerida por la persona solicitante versa sobre una obligación de transparencia, y que por tal motivo el </w:t>
      </w:r>
      <w:r w:rsidRPr="006E26D3">
        <w:rPr>
          <w:rFonts w:ascii="Palatino Linotype" w:eastAsia="Palatino Linotype" w:hAnsi="Palatino Linotype" w:cs="Palatino Linotype"/>
          <w:b/>
          <w:bCs/>
          <w:sz w:val="22"/>
          <w:szCs w:val="22"/>
        </w:rPr>
        <w:t>Sujeto Obligado</w:t>
      </w:r>
      <w:r w:rsidRPr="006E26D3">
        <w:rPr>
          <w:rFonts w:ascii="Palatino Linotype" w:eastAsia="Palatino Linotype" w:hAnsi="Palatino Linotype" w:cs="Palatino Linotype"/>
          <w:sz w:val="22"/>
          <w:szCs w:val="22"/>
        </w:rPr>
        <w:t xml:space="preserve"> se encuentra constreñido a poner a disposición del público dicha 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0E2785ED" w14:textId="77777777" w:rsidR="008C41BA" w:rsidRPr="006E26D3" w:rsidRDefault="000B1C06">
      <w:pPr>
        <w:spacing w:before="120" w:after="120"/>
        <w:ind w:left="85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r w:rsidRPr="006E26D3">
        <w:rPr>
          <w:rFonts w:ascii="Palatino Linotype" w:eastAsia="Palatino Linotype" w:hAnsi="Palatino Linotype" w:cs="Palatino Linotype"/>
          <w:b/>
          <w:bCs/>
          <w:i/>
          <w:iCs/>
          <w:sz w:val="22"/>
          <w:szCs w:val="22"/>
        </w:rPr>
        <w:t>Artículo 18.</w:t>
      </w:r>
      <w:r w:rsidRPr="006E26D3">
        <w:rPr>
          <w:rFonts w:ascii="Palatino Linotype" w:eastAsia="Palatino Linotype" w:hAnsi="Palatino Linotype" w:cs="Palatino Linotype"/>
          <w:i/>
          <w:iCs/>
          <w:sz w:val="22"/>
          <w:szCs w:val="22"/>
        </w:rPr>
        <w:t xml:space="preserve"> Los sujetos obligados </w:t>
      </w:r>
      <w:r w:rsidRPr="006E26D3">
        <w:rPr>
          <w:rFonts w:ascii="Palatino Linotype" w:eastAsia="Palatino Linotype" w:hAnsi="Palatino Linotype" w:cs="Palatino Linotype"/>
          <w:b/>
          <w:bCs/>
          <w:i/>
          <w:iCs/>
          <w:sz w:val="22"/>
          <w:szCs w:val="22"/>
        </w:rPr>
        <w:t>deberán documentar todo acto</w:t>
      </w:r>
      <w:r w:rsidRPr="006E26D3">
        <w:rPr>
          <w:rFonts w:ascii="Palatino Linotype" w:eastAsia="Palatino Linotype" w:hAnsi="Palatino Linotype" w:cs="Palatino Linotype"/>
          <w:i/>
          <w:iCs/>
          <w:sz w:val="22"/>
          <w:szCs w:val="22"/>
        </w:rPr>
        <w:t xml:space="preserve"> </w:t>
      </w:r>
      <w:r w:rsidRPr="006E26D3">
        <w:rPr>
          <w:rFonts w:ascii="Palatino Linotype" w:eastAsia="Palatino Linotype" w:hAnsi="Palatino Linotype" w:cs="Palatino Linotype"/>
          <w:b/>
          <w:bCs/>
          <w:i/>
          <w:iCs/>
          <w:sz w:val="22"/>
          <w:szCs w:val="22"/>
        </w:rPr>
        <w:t>que derive del ejercicio de sus facultades, competencias o funciones</w:t>
      </w:r>
      <w:r w:rsidRPr="006E26D3">
        <w:rPr>
          <w:rFonts w:ascii="Palatino Linotype" w:eastAsia="Palatino Linotype" w:hAnsi="Palatino Linotype" w:cs="Palatino Linotype"/>
          <w:i/>
          <w:iCs/>
          <w:sz w:val="22"/>
          <w:szCs w:val="22"/>
        </w:rPr>
        <w:t>, considerando desde su origen la eventual publicidad y reutilización de la información que generen.</w:t>
      </w:r>
    </w:p>
    <w:p w14:paraId="1D499D42" w14:textId="77777777" w:rsidR="008C41BA" w:rsidRPr="006E26D3" w:rsidRDefault="000B1C06">
      <w:pPr>
        <w:spacing w:before="120" w:after="120"/>
        <w:ind w:left="85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p>
    <w:p w14:paraId="2C229D62" w14:textId="77777777" w:rsidR="008C41BA" w:rsidRPr="006E26D3" w:rsidRDefault="000B1C06">
      <w:pPr>
        <w:spacing w:before="120" w:after="120"/>
        <w:ind w:left="851"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Artículo 24.</w:t>
      </w:r>
      <w:r w:rsidRPr="006E26D3">
        <w:rPr>
          <w:rFonts w:ascii="Palatino Linotype" w:eastAsia="Palatino Linotype" w:hAnsi="Palatino Linotype" w:cs="Palatino Linotype"/>
          <w:i/>
          <w:iCs/>
          <w:sz w:val="22"/>
          <w:szCs w:val="22"/>
        </w:rPr>
        <w:t xml:space="preserve"> Para el cumplimiento de los objetivos de esta Ley</w:t>
      </w:r>
      <w:r w:rsidRPr="006E26D3">
        <w:rPr>
          <w:rFonts w:ascii="Palatino Linotype" w:eastAsia="Palatino Linotype" w:hAnsi="Palatino Linotype" w:cs="Palatino Linotype"/>
          <w:b/>
          <w:bCs/>
          <w:i/>
          <w:iCs/>
          <w:sz w:val="22"/>
          <w:szCs w:val="22"/>
        </w:rPr>
        <w:t>, los sujetos obligados deberán cumplir con las siguientes obligaciones</w:t>
      </w:r>
      <w:r w:rsidRPr="006E26D3">
        <w:rPr>
          <w:rFonts w:ascii="Palatino Linotype" w:eastAsia="Palatino Linotype" w:hAnsi="Palatino Linotype" w:cs="Palatino Linotype"/>
          <w:i/>
          <w:iCs/>
          <w:sz w:val="22"/>
          <w:szCs w:val="22"/>
        </w:rPr>
        <w:t>, según corresponda, de acuerdo a su naturaleza:</w:t>
      </w:r>
    </w:p>
    <w:p w14:paraId="46FC791D"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p>
    <w:p w14:paraId="5EBF366F" w14:textId="77777777" w:rsidR="008C41BA" w:rsidRPr="006E26D3" w:rsidRDefault="000B1C06">
      <w:pPr>
        <w:spacing w:before="120" w:after="120"/>
        <w:ind w:left="1134" w:right="902"/>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XXII.</w:t>
      </w:r>
      <w:r w:rsidRPr="006E26D3">
        <w:rPr>
          <w:rFonts w:ascii="Palatino Linotype" w:eastAsia="Palatino Linotype" w:hAnsi="Palatino Linotype" w:cs="Palatino Linotype"/>
          <w:i/>
          <w:iCs/>
          <w:sz w:val="22"/>
          <w:szCs w:val="22"/>
        </w:rPr>
        <w:t xml:space="preserve"> </w:t>
      </w:r>
      <w:r w:rsidRPr="006E26D3">
        <w:rPr>
          <w:rFonts w:ascii="Palatino Linotype" w:eastAsia="Palatino Linotype" w:hAnsi="Palatino Linotype" w:cs="Palatino Linotype"/>
          <w:b/>
          <w:bCs/>
          <w:i/>
          <w:iCs/>
          <w:sz w:val="22"/>
          <w:szCs w:val="22"/>
        </w:rPr>
        <w:t>Documentar todo acto que derive del ejercicio de sus facultades, competencias o funciones</w:t>
      </w:r>
      <w:r w:rsidRPr="006E26D3">
        <w:rPr>
          <w:rFonts w:ascii="Palatino Linotype" w:eastAsia="Palatino Linotype" w:hAnsi="Palatino Linotype" w:cs="Palatino Linotype"/>
          <w:i/>
          <w:iCs/>
          <w:sz w:val="22"/>
          <w:szCs w:val="22"/>
        </w:rPr>
        <w:t xml:space="preserve"> y abstenerse de destruirlos u ocultarlos, dentro de los que destacan los procesos deliberativos y de decisión definitiva;”</w:t>
      </w:r>
    </w:p>
    <w:p w14:paraId="6898258D" w14:textId="77777777" w:rsidR="008C41BA" w:rsidRPr="006E26D3" w:rsidRDefault="000B1C0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Por lo anterior, se advierte que los Ayuntamientos tienen atribuciones para generar, administrar y poseer información relacionada con procedimientos de adquisición de bienes y servicios que requieran las unidades administrativas.</w:t>
      </w:r>
    </w:p>
    <w:p w14:paraId="2FE57B46" w14:textId="77777777" w:rsidR="008C41BA" w:rsidRPr="006E26D3" w:rsidRDefault="008C41B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1B6F93C" w14:textId="77777777" w:rsidR="008C41BA" w:rsidRPr="006E26D3" w:rsidRDefault="000B1C06">
      <w:pPr>
        <w:spacing w:line="360" w:lineRule="auto"/>
        <w:ind w:right="-7"/>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Ahora bien, el Sujeto Obligado no niega la existencia de la información, sino por el contrario, la asume, al haber proporcionado parte de la misma. A efecto de demostrar si la información que requirió el Recurrente se satisface con la respuesta emitida por el Sujeto Obligado, es necesario realizar el siguiente cuadro comparativo:</w:t>
      </w:r>
    </w:p>
    <w:p w14:paraId="33842D3E"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tbl>
      <w:tblPr>
        <w:tblStyle w:val="af6"/>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8"/>
        <w:gridCol w:w="3018"/>
        <w:gridCol w:w="3019"/>
      </w:tblGrid>
      <w:tr w:rsidR="007A63F1" w:rsidRPr="006E26D3" w14:paraId="3ED1B4E8" w14:textId="77777777">
        <w:tc>
          <w:tcPr>
            <w:tcW w:w="3018" w:type="dxa"/>
            <w:shd w:val="clear" w:color="auto" w:fill="E7E6E6"/>
          </w:tcPr>
          <w:p w14:paraId="70C87112" w14:textId="77777777" w:rsidR="008C41BA" w:rsidRPr="006E26D3" w:rsidRDefault="000B1C06">
            <w:pPr>
              <w:spacing w:line="360" w:lineRule="auto"/>
              <w:ind w:right="-7"/>
              <w:jc w:val="center"/>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 xml:space="preserve">Requerimiento </w:t>
            </w:r>
            <w:r w:rsidRPr="006E26D3">
              <w:rPr>
                <w:rFonts w:ascii="Palatino Linotype" w:eastAsia="Palatino Linotype" w:hAnsi="Palatino Linotype" w:cs="Palatino Linotype"/>
                <w:sz w:val="22"/>
                <w:szCs w:val="22"/>
              </w:rPr>
              <w:t>de la contratación de las pólizas de seguros de vivienda y gastos funerarios que se otorgó como beneficio por el pago del impuesto predial</w:t>
            </w:r>
          </w:p>
        </w:tc>
        <w:tc>
          <w:tcPr>
            <w:tcW w:w="3018" w:type="dxa"/>
            <w:shd w:val="clear" w:color="auto" w:fill="E7E6E6"/>
          </w:tcPr>
          <w:p w14:paraId="54A6BFAA" w14:textId="77777777" w:rsidR="008C41BA" w:rsidRPr="006E26D3" w:rsidRDefault="000B1C06">
            <w:pPr>
              <w:spacing w:line="360" w:lineRule="auto"/>
              <w:ind w:right="-7"/>
              <w:jc w:val="center"/>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Respuesta</w:t>
            </w:r>
          </w:p>
        </w:tc>
        <w:tc>
          <w:tcPr>
            <w:tcW w:w="3019" w:type="dxa"/>
            <w:shd w:val="clear" w:color="auto" w:fill="E7E6E6"/>
          </w:tcPr>
          <w:p w14:paraId="1C13CDFA" w14:textId="77777777" w:rsidR="008C41BA" w:rsidRPr="006E26D3" w:rsidRDefault="000B1C06">
            <w:pPr>
              <w:spacing w:line="360" w:lineRule="auto"/>
              <w:ind w:right="-7"/>
              <w:jc w:val="center"/>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¿Colma?</w:t>
            </w:r>
          </w:p>
        </w:tc>
      </w:tr>
      <w:tr w:rsidR="007A63F1" w:rsidRPr="006E26D3" w14:paraId="0753E78A" w14:textId="77777777">
        <w:tc>
          <w:tcPr>
            <w:tcW w:w="3018" w:type="dxa"/>
          </w:tcPr>
          <w:p w14:paraId="0E15EDE5" w14:textId="77777777" w:rsidR="008C41BA" w:rsidRPr="006E26D3" w:rsidRDefault="000B1C06">
            <w:pPr>
              <w:spacing w:line="360" w:lineRule="auto"/>
              <w:ind w:right="-7"/>
              <w:jc w:val="center"/>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Contrato</w:t>
            </w:r>
          </w:p>
        </w:tc>
        <w:tc>
          <w:tcPr>
            <w:tcW w:w="3018" w:type="dxa"/>
          </w:tcPr>
          <w:p w14:paraId="7A5413D9" w14:textId="77777777" w:rsidR="008C41BA" w:rsidRPr="006E26D3" w:rsidRDefault="000B1C06">
            <w:pPr>
              <w:spacing w:line="360" w:lineRule="auto"/>
              <w:ind w:right="-7"/>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Entregó el contrato por la contratación </w:t>
            </w:r>
          </w:p>
        </w:tc>
        <w:tc>
          <w:tcPr>
            <w:tcW w:w="3019" w:type="dxa"/>
          </w:tcPr>
          <w:p w14:paraId="068A6BBD" w14:textId="77777777" w:rsidR="008C41BA" w:rsidRPr="006E26D3" w:rsidRDefault="000B1C06">
            <w:pPr>
              <w:spacing w:line="360" w:lineRule="auto"/>
              <w:ind w:right="-7"/>
              <w:jc w:val="center"/>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Si colma.</w:t>
            </w:r>
          </w:p>
        </w:tc>
      </w:tr>
      <w:tr w:rsidR="007A63F1" w:rsidRPr="006E26D3" w14:paraId="2EFE6115" w14:textId="77777777">
        <w:tc>
          <w:tcPr>
            <w:tcW w:w="3018" w:type="dxa"/>
          </w:tcPr>
          <w:p w14:paraId="38E63D40" w14:textId="77777777" w:rsidR="008C41BA" w:rsidRPr="006E26D3" w:rsidRDefault="000B1C06">
            <w:pPr>
              <w:spacing w:line="360" w:lineRule="auto"/>
              <w:ind w:right="-7"/>
              <w:jc w:val="center"/>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Gaceta </w:t>
            </w:r>
          </w:p>
        </w:tc>
        <w:tc>
          <w:tcPr>
            <w:tcW w:w="3018" w:type="dxa"/>
          </w:tcPr>
          <w:p w14:paraId="73C888DA" w14:textId="77777777" w:rsidR="008C41BA" w:rsidRPr="006E26D3" w:rsidRDefault="000B1C06">
            <w:pPr>
              <w:spacing w:line="360" w:lineRule="auto"/>
              <w:ind w:right="-7"/>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No hubo pronunciamiento</w:t>
            </w:r>
          </w:p>
        </w:tc>
        <w:tc>
          <w:tcPr>
            <w:tcW w:w="3019" w:type="dxa"/>
          </w:tcPr>
          <w:p w14:paraId="6F3713C5" w14:textId="77777777" w:rsidR="008C41BA" w:rsidRPr="006E26D3" w:rsidRDefault="000B1C06">
            <w:pPr>
              <w:spacing w:line="360" w:lineRule="auto"/>
              <w:ind w:right="-7"/>
              <w:jc w:val="center"/>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No colma</w:t>
            </w:r>
          </w:p>
        </w:tc>
      </w:tr>
      <w:tr w:rsidR="007A63F1" w:rsidRPr="006E26D3" w14:paraId="5FDD5838" w14:textId="77777777">
        <w:tc>
          <w:tcPr>
            <w:tcW w:w="3018" w:type="dxa"/>
          </w:tcPr>
          <w:p w14:paraId="6FDF277C" w14:textId="77777777" w:rsidR="008C41BA" w:rsidRPr="006E26D3" w:rsidRDefault="000B1C06">
            <w:pPr>
              <w:spacing w:line="360" w:lineRule="auto"/>
              <w:ind w:right="-7"/>
              <w:jc w:val="center"/>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Expediente</w:t>
            </w:r>
          </w:p>
        </w:tc>
        <w:tc>
          <w:tcPr>
            <w:tcW w:w="3018" w:type="dxa"/>
          </w:tcPr>
          <w:p w14:paraId="5EFABD7A" w14:textId="77777777" w:rsidR="008C41BA" w:rsidRPr="006E26D3" w:rsidRDefault="000B1C06">
            <w:pPr>
              <w:spacing w:line="360" w:lineRule="auto"/>
              <w:ind w:right="-7"/>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Entregó </w:t>
            </w:r>
          </w:p>
          <w:p w14:paraId="5443CDDB" w14:textId="77777777" w:rsidR="008C41BA" w:rsidRPr="006E26D3" w:rsidRDefault="000B1C06">
            <w:pPr>
              <w:numPr>
                <w:ilvl w:val="0"/>
                <w:numId w:val="4"/>
              </w:numPr>
              <w:pBdr>
                <w:top w:val="nil"/>
                <w:left w:val="nil"/>
                <w:bottom w:val="nil"/>
                <w:right w:val="nil"/>
                <w:between w:val="nil"/>
              </w:pBdr>
              <w:spacing w:line="360" w:lineRule="auto"/>
              <w:ind w:left="271"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Convocatoria;</w:t>
            </w:r>
          </w:p>
          <w:p w14:paraId="483D30E9" w14:textId="77777777" w:rsidR="008C41BA" w:rsidRPr="006E26D3" w:rsidRDefault="000B1C06">
            <w:pPr>
              <w:numPr>
                <w:ilvl w:val="0"/>
                <w:numId w:val="4"/>
              </w:numPr>
              <w:pBdr>
                <w:top w:val="nil"/>
                <w:left w:val="nil"/>
                <w:bottom w:val="nil"/>
                <w:right w:val="nil"/>
                <w:between w:val="nil"/>
              </w:pBdr>
              <w:spacing w:line="360" w:lineRule="auto"/>
              <w:ind w:left="271"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Análisis de propuestas y dictamen de adjudicación;</w:t>
            </w:r>
          </w:p>
          <w:p w14:paraId="6E8A3920" w14:textId="77777777" w:rsidR="008C41BA" w:rsidRPr="006E26D3" w:rsidRDefault="000B1C06">
            <w:pPr>
              <w:numPr>
                <w:ilvl w:val="0"/>
                <w:numId w:val="4"/>
              </w:numPr>
              <w:pBdr>
                <w:top w:val="nil"/>
                <w:left w:val="nil"/>
                <w:bottom w:val="nil"/>
                <w:right w:val="nil"/>
                <w:between w:val="nil"/>
              </w:pBdr>
              <w:spacing w:line="360" w:lineRule="auto"/>
              <w:ind w:left="271"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Dictamen verificación de suficiencia presupuestal;</w:t>
            </w:r>
          </w:p>
          <w:p w14:paraId="47BE82B3" w14:textId="77777777" w:rsidR="008C41BA" w:rsidRPr="006E26D3" w:rsidRDefault="000B1C06">
            <w:pPr>
              <w:numPr>
                <w:ilvl w:val="0"/>
                <w:numId w:val="4"/>
              </w:numPr>
              <w:pBdr>
                <w:top w:val="nil"/>
                <w:left w:val="nil"/>
                <w:bottom w:val="nil"/>
                <w:right w:val="nil"/>
                <w:between w:val="nil"/>
              </w:pBdr>
              <w:spacing w:line="360" w:lineRule="auto"/>
              <w:ind w:left="271"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Acta correspondiente al acto de presentación y apertura de propuestas técnicas y económicas;</w:t>
            </w:r>
          </w:p>
          <w:p w14:paraId="72A8F374" w14:textId="77777777" w:rsidR="008C41BA" w:rsidRPr="006E26D3" w:rsidRDefault="000B1C06">
            <w:pPr>
              <w:numPr>
                <w:ilvl w:val="0"/>
                <w:numId w:val="4"/>
              </w:numPr>
              <w:pBdr>
                <w:top w:val="nil"/>
                <w:left w:val="nil"/>
                <w:bottom w:val="nil"/>
                <w:right w:val="nil"/>
                <w:between w:val="nil"/>
              </w:pBdr>
              <w:spacing w:line="360" w:lineRule="auto"/>
              <w:ind w:left="271"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Contrato;</w:t>
            </w:r>
          </w:p>
          <w:p w14:paraId="56908E98" w14:textId="77777777" w:rsidR="008C41BA" w:rsidRPr="006E26D3" w:rsidRDefault="000B1C06">
            <w:pPr>
              <w:numPr>
                <w:ilvl w:val="0"/>
                <w:numId w:val="4"/>
              </w:numPr>
              <w:pBdr>
                <w:top w:val="nil"/>
                <w:left w:val="nil"/>
                <w:bottom w:val="nil"/>
                <w:right w:val="nil"/>
                <w:between w:val="nil"/>
              </w:pBdr>
              <w:spacing w:line="360" w:lineRule="auto"/>
              <w:ind w:left="271"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Fallo de la adjudicación;</w:t>
            </w:r>
          </w:p>
          <w:p w14:paraId="02BB34F7" w14:textId="77777777" w:rsidR="008C41BA" w:rsidRPr="006E26D3" w:rsidRDefault="000B1C06">
            <w:pPr>
              <w:numPr>
                <w:ilvl w:val="0"/>
                <w:numId w:val="4"/>
              </w:numPr>
              <w:pBdr>
                <w:top w:val="nil"/>
                <w:left w:val="nil"/>
                <w:bottom w:val="nil"/>
                <w:right w:val="nil"/>
                <w:between w:val="nil"/>
              </w:pBdr>
              <w:spacing w:line="360" w:lineRule="auto"/>
              <w:ind w:left="271"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Oficio de Requisición;</w:t>
            </w:r>
          </w:p>
        </w:tc>
        <w:tc>
          <w:tcPr>
            <w:tcW w:w="3019" w:type="dxa"/>
          </w:tcPr>
          <w:p w14:paraId="62EB8FBE" w14:textId="77777777" w:rsidR="008C41BA" w:rsidRPr="006E26D3" w:rsidRDefault="000B1C06">
            <w:pPr>
              <w:spacing w:line="360" w:lineRule="auto"/>
              <w:ind w:right="-7"/>
              <w:jc w:val="center"/>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Parcialmente. </w:t>
            </w:r>
          </w:p>
          <w:p w14:paraId="01F645B8" w14:textId="77777777" w:rsidR="008C41BA" w:rsidRPr="006E26D3" w:rsidRDefault="000B1C06">
            <w:pPr>
              <w:spacing w:line="360" w:lineRule="auto"/>
              <w:ind w:right="-7"/>
              <w:jc w:val="center"/>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Se dejaron a la vista datos personales pasaporte</w:t>
            </w:r>
          </w:p>
        </w:tc>
      </w:tr>
      <w:tr w:rsidR="00B32EEA" w:rsidRPr="006E26D3" w14:paraId="4365AB94" w14:textId="77777777">
        <w:tc>
          <w:tcPr>
            <w:tcW w:w="3018" w:type="dxa"/>
          </w:tcPr>
          <w:p w14:paraId="498E34E9" w14:textId="77777777" w:rsidR="008C41BA" w:rsidRPr="006E26D3" w:rsidRDefault="000B1C06">
            <w:pPr>
              <w:spacing w:line="360" w:lineRule="auto"/>
              <w:ind w:right="-7"/>
              <w:jc w:val="center"/>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Póliza de seguro.</w:t>
            </w:r>
          </w:p>
        </w:tc>
        <w:tc>
          <w:tcPr>
            <w:tcW w:w="3018" w:type="dxa"/>
          </w:tcPr>
          <w:p w14:paraId="6F90B3F2" w14:textId="77777777" w:rsidR="008C41BA" w:rsidRPr="006E26D3" w:rsidRDefault="000B1C06">
            <w:pPr>
              <w:spacing w:line="360" w:lineRule="auto"/>
              <w:ind w:right="-7"/>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No hubo pronunciamiento </w:t>
            </w:r>
          </w:p>
        </w:tc>
        <w:tc>
          <w:tcPr>
            <w:tcW w:w="3019" w:type="dxa"/>
          </w:tcPr>
          <w:p w14:paraId="1D543AEF" w14:textId="77777777" w:rsidR="008C41BA" w:rsidRPr="006E26D3" w:rsidRDefault="000B1C06">
            <w:pPr>
              <w:spacing w:line="360" w:lineRule="auto"/>
              <w:ind w:right="-7"/>
              <w:jc w:val="center"/>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No colma</w:t>
            </w:r>
          </w:p>
        </w:tc>
      </w:tr>
    </w:tbl>
    <w:p w14:paraId="2E7434EB"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p w14:paraId="3B1EE148" w14:textId="77777777" w:rsidR="008C41BA" w:rsidRPr="006E26D3" w:rsidRDefault="000B1C06">
      <w:pPr>
        <w:spacing w:line="360" w:lineRule="auto"/>
        <w:ind w:right="-7"/>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 xml:space="preserve">Expediente de adquisición. </w:t>
      </w:r>
    </w:p>
    <w:p w14:paraId="2AB54CB1" w14:textId="77777777" w:rsidR="008C41BA" w:rsidRPr="006E26D3" w:rsidRDefault="008C41BA">
      <w:pPr>
        <w:spacing w:line="360" w:lineRule="auto"/>
        <w:ind w:right="-7"/>
        <w:jc w:val="both"/>
        <w:rPr>
          <w:rFonts w:ascii="Palatino Linotype" w:eastAsia="Palatino Linotype" w:hAnsi="Palatino Linotype" w:cs="Palatino Linotype"/>
          <w:b/>
          <w:bCs/>
          <w:sz w:val="22"/>
          <w:szCs w:val="22"/>
        </w:rPr>
      </w:pPr>
    </w:p>
    <w:p w14:paraId="084BEB5C" w14:textId="77777777" w:rsidR="008C41BA" w:rsidRPr="006E26D3" w:rsidRDefault="000B1C06">
      <w:pPr>
        <w:spacing w:line="360" w:lineRule="auto"/>
        <w:ind w:right="-7"/>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Sobre este punto, si bien, el Recurrente solicitó en dos requerimientos el contrato y el expediente, lo cierto es que el primero es parte integral del segundo, razón por la que se analizará en conjunto. </w:t>
      </w:r>
    </w:p>
    <w:p w14:paraId="6390DFB8"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p w14:paraId="47E371A1" w14:textId="77777777" w:rsidR="008C41BA" w:rsidRPr="006E26D3" w:rsidRDefault="000B1C06">
      <w:pPr>
        <w:spacing w:line="360" w:lineRule="auto"/>
        <w:ind w:right="-7"/>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El Sujeto Obligado, a través de la respuesta entregó la siguiente información:</w:t>
      </w:r>
    </w:p>
    <w:p w14:paraId="7B8B1AE1"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p w14:paraId="2293316F" w14:textId="77777777" w:rsidR="008C41BA" w:rsidRPr="006E26D3" w:rsidRDefault="000B1C06">
      <w:pPr>
        <w:numPr>
          <w:ilvl w:val="0"/>
          <w:numId w:val="4"/>
        </w:numPr>
        <w:pBdr>
          <w:top w:val="nil"/>
          <w:left w:val="nil"/>
          <w:bottom w:val="nil"/>
          <w:right w:val="nil"/>
          <w:between w:val="nil"/>
        </w:pBdr>
        <w:spacing w:line="360" w:lineRule="auto"/>
        <w:ind w:left="567"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Convocatoria;</w:t>
      </w:r>
    </w:p>
    <w:p w14:paraId="03DC475E" w14:textId="77777777" w:rsidR="008C41BA" w:rsidRPr="006E26D3" w:rsidRDefault="000B1C06">
      <w:pPr>
        <w:numPr>
          <w:ilvl w:val="0"/>
          <w:numId w:val="4"/>
        </w:numPr>
        <w:pBdr>
          <w:top w:val="nil"/>
          <w:left w:val="nil"/>
          <w:bottom w:val="nil"/>
          <w:right w:val="nil"/>
          <w:between w:val="nil"/>
        </w:pBdr>
        <w:spacing w:line="360" w:lineRule="auto"/>
        <w:ind w:left="567"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Análisis de propuestas y dictamen de adjudicación;</w:t>
      </w:r>
    </w:p>
    <w:p w14:paraId="34AAA509" w14:textId="77777777" w:rsidR="008C41BA" w:rsidRPr="006E26D3" w:rsidRDefault="000B1C06">
      <w:pPr>
        <w:numPr>
          <w:ilvl w:val="0"/>
          <w:numId w:val="4"/>
        </w:numPr>
        <w:pBdr>
          <w:top w:val="nil"/>
          <w:left w:val="nil"/>
          <w:bottom w:val="nil"/>
          <w:right w:val="nil"/>
          <w:between w:val="nil"/>
        </w:pBdr>
        <w:spacing w:line="360" w:lineRule="auto"/>
        <w:ind w:left="567"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Dictamen de verificación de suficiencia presupuestal;</w:t>
      </w:r>
    </w:p>
    <w:p w14:paraId="118A137A" w14:textId="77777777" w:rsidR="008C41BA" w:rsidRPr="006E26D3" w:rsidRDefault="000B1C06">
      <w:pPr>
        <w:numPr>
          <w:ilvl w:val="0"/>
          <w:numId w:val="4"/>
        </w:numPr>
        <w:pBdr>
          <w:top w:val="nil"/>
          <w:left w:val="nil"/>
          <w:bottom w:val="nil"/>
          <w:right w:val="nil"/>
          <w:between w:val="nil"/>
        </w:pBdr>
        <w:spacing w:line="360" w:lineRule="auto"/>
        <w:ind w:left="567"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Acta correspondiente al acto de presentación y apertura de propuestas técnicas y económicas;</w:t>
      </w:r>
    </w:p>
    <w:p w14:paraId="7919F48D" w14:textId="77777777" w:rsidR="008C41BA" w:rsidRPr="006E26D3" w:rsidRDefault="000B1C06">
      <w:pPr>
        <w:numPr>
          <w:ilvl w:val="0"/>
          <w:numId w:val="4"/>
        </w:numPr>
        <w:pBdr>
          <w:top w:val="nil"/>
          <w:left w:val="nil"/>
          <w:bottom w:val="nil"/>
          <w:right w:val="nil"/>
          <w:between w:val="nil"/>
        </w:pBdr>
        <w:spacing w:line="360" w:lineRule="auto"/>
        <w:ind w:left="567"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Contrato;</w:t>
      </w:r>
    </w:p>
    <w:p w14:paraId="73C7BF21" w14:textId="77777777" w:rsidR="008C41BA" w:rsidRPr="006E26D3" w:rsidRDefault="000B1C06">
      <w:pPr>
        <w:numPr>
          <w:ilvl w:val="0"/>
          <w:numId w:val="4"/>
        </w:numPr>
        <w:pBdr>
          <w:top w:val="nil"/>
          <w:left w:val="nil"/>
          <w:bottom w:val="nil"/>
          <w:right w:val="nil"/>
          <w:between w:val="nil"/>
        </w:pBdr>
        <w:spacing w:line="360" w:lineRule="auto"/>
        <w:ind w:left="567"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Fallo de la adjudicación; y,</w:t>
      </w:r>
    </w:p>
    <w:p w14:paraId="50FC4335" w14:textId="77777777" w:rsidR="008C41BA" w:rsidRPr="006E26D3" w:rsidRDefault="000B1C06">
      <w:pPr>
        <w:numPr>
          <w:ilvl w:val="0"/>
          <w:numId w:val="4"/>
        </w:numPr>
        <w:pBdr>
          <w:top w:val="nil"/>
          <w:left w:val="nil"/>
          <w:bottom w:val="nil"/>
          <w:right w:val="nil"/>
          <w:between w:val="nil"/>
        </w:pBdr>
        <w:spacing w:line="360" w:lineRule="auto"/>
        <w:ind w:left="567" w:right="-7" w:hanging="28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Oficio de Requisición. </w:t>
      </w:r>
    </w:p>
    <w:p w14:paraId="78AB2995"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p w14:paraId="59673775" w14:textId="77777777" w:rsidR="008C41BA" w:rsidRPr="006E26D3" w:rsidRDefault="000B1C06">
      <w:pPr>
        <w:spacing w:line="360" w:lineRule="auto"/>
        <w:ind w:right="-7"/>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Lo anterior, Enfatizando mediante el informe justificado que es toda la información que a la fecha de la solicitud obra en sus archivos, Por lo que al haber existido un pronunciamiento por parte del Sujeto Obligado, proporcionando la información que requirió el particular, es que no se puede dudar de la veracidad de la información proporcionada.</w:t>
      </w:r>
    </w:p>
    <w:p w14:paraId="67C766EF"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p w14:paraId="67C4BA16" w14:textId="77777777" w:rsidR="008C41BA" w:rsidRPr="006E26D3" w:rsidRDefault="000B1C0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Sirve de apoyo a lo anterior por analogía el criterio orientador 31-10 emitido por el entonces Instituto Federal de Acceso a la Información y Protección de Datos, que a la letra dice:</w:t>
      </w:r>
    </w:p>
    <w:p w14:paraId="0123C0FA" w14:textId="77777777" w:rsidR="008C41BA" w:rsidRPr="006E26D3" w:rsidRDefault="008C41BA">
      <w:pPr>
        <w:pBdr>
          <w:top w:val="nil"/>
          <w:left w:val="nil"/>
          <w:bottom w:val="nil"/>
          <w:right w:val="nil"/>
          <w:between w:val="nil"/>
        </w:pBdr>
        <w:ind w:left="720"/>
        <w:rPr>
          <w:rFonts w:ascii="Palatino Linotype" w:eastAsia="Palatino Linotype" w:hAnsi="Palatino Linotype" w:cs="Palatino Linotype"/>
          <w:sz w:val="22"/>
          <w:szCs w:val="22"/>
        </w:rPr>
      </w:pPr>
    </w:p>
    <w:p w14:paraId="53AEE846" w14:textId="77777777" w:rsidR="008C41BA" w:rsidRPr="006E26D3" w:rsidRDefault="000B1C06">
      <w:pPr>
        <w:ind w:left="567" w:right="567"/>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El Instituto Federal de Acceso a la Información y Protección de Datos no cuenta con facultades para pronunciarse respecto de la veracidad de los documentos proporcionados por los sujetos obligados.</w:t>
      </w:r>
      <w:r w:rsidRPr="006E26D3">
        <w:rPr>
          <w:rFonts w:ascii="Palatino Linotype" w:eastAsia="Palatino Linotype" w:hAnsi="Palatino Linotype" w:cs="Palatino Linotype"/>
          <w:i/>
          <w:iCs/>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8119AC5" w14:textId="77777777" w:rsidR="008C41BA" w:rsidRPr="006E26D3" w:rsidRDefault="008C41BA">
      <w:pPr>
        <w:spacing w:line="360" w:lineRule="auto"/>
        <w:ind w:right="567"/>
        <w:jc w:val="both"/>
        <w:rPr>
          <w:rFonts w:ascii="Palatino Linotype" w:eastAsia="Palatino Linotype" w:hAnsi="Palatino Linotype" w:cs="Palatino Linotype"/>
          <w:sz w:val="22"/>
          <w:szCs w:val="22"/>
        </w:rPr>
      </w:pPr>
    </w:p>
    <w:p w14:paraId="566B7EF6" w14:textId="77777777" w:rsidR="008C41BA" w:rsidRPr="006E26D3" w:rsidRDefault="000B1C0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Este Órgano Garante carece de facultades para dudar de la veracidad sobre la información proporcionada por el Sujeto Obligado, sin embargo, no pasa desapercibido que dentro de la información que se proporcionó se encuentran datos personales susceptibles de clasificarse como confidenciales. </w:t>
      </w:r>
    </w:p>
    <w:p w14:paraId="74F285E5"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p w14:paraId="17079CED" w14:textId="77777777" w:rsidR="008C41BA" w:rsidRPr="006E26D3" w:rsidRDefault="000B1C06">
      <w:pPr>
        <w:spacing w:line="360" w:lineRule="auto"/>
        <w:ind w:right="-7"/>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Gaceta Municipal.</w:t>
      </w:r>
    </w:p>
    <w:p w14:paraId="1A1BF7F5"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p w14:paraId="3E042CE6" w14:textId="77777777" w:rsidR="008C41BA" w:rsidRPr="006E26D3" w:rsidRDefault="000B1C0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Respecto a la Gaceta, se tiene que el Sujeto Obligado turnó la solicitud a la Dirección de Administración; sin embargo, dicha unidad administrativa carece de atribuciones para generar, administrar y poseer información respecto a la publicación de las gacetas municipales, por lo que es necesario traer a contexto el artículo 91 de la Ley Orgánica Municipal del Estado de México, como se advierte a continuación:</w:t>
      </w:r>
    </w:p>
    <w:p w14:paraId="413B448D" w14:textId="77777777" w:rsidR="008C41BA" w:rsidRPr="006E26D3" w:rsidRDefault="008C41BA">
      <w:pPr>
        <w:spacing w:line="360" w:lineRule="auto"/>
      </w:pPr>
    </w:p>
    <w:p w14:paraId="19C1BCA0" w14:textId="77777777" w:rsidR="008C41BA" w:rsidRPr="006E26D3" w:rsidRDefault="000B1C06">
      <w:pPr>
        <w:pBdr>
          <w:top w:val="nil"/>
          <w:left w:val="nil"/>
          <w:bottom w:val="nil"/>
          <w:right w:val="nil"/>
          <w:between w:val="nil"/>
        </w:pBdr>
        <w:spacing w:line="360" w:lineRule="auto"/>
        <w:ind w:left="567" w:right="616"/>
        <w:jc w:val="both"/>
      </w:pPr>
      <w:r w:rsidRPr="006E26D3">
        <w:rPr>
          <w:rFonts w:ascii="Palatino Linotype" w:eastAsia="Palatino Linotype" w:hAnsi="Palatino Linotype" w:cs="Palatino Linotype"/>
          <w:i/>
          <w:iCs/>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86E1314" w14:textId="77777777" w:rsidR="008C41BA" w:rsidRPr="006E26D3" w:rsidRDefault="000B1C06">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I. Asistir a las sesiones del ayuntamiento y levantar las actas correspondientes;</w:t>
      </w:r>
    </w:p>
    <w:p w14:paraId="71DEAEA5" w14:textId="77777777" w:rsidR="008C41BA" w:rsidRPr="006E26D3" w:rsidRDefault="000B1C06">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II. Emitir los citatorios para la celebración de las sesiones de cabildo, convocadas legalmente;</w:t>
      </w:r>
    </w:p>
    <w:p w14:paraId="06DEDB9E" w14:textId="77777777" w:rsidR="008C41BA" w:rsidRPr="006E26D3" w:rsidRDefault="000B1C06">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IV. Llevar y conservar los libros de actas de cabildo, obteniendo las firmas de los asistentes a las sesiones; </w:t>
      </w:r>
    </w:p>
    <w:p w14:paraId="2E9BF0A0" w14:textId="77777777" w:rsidR="008C41BA" w:rsidRPr="006E26D3" w:rsidRDefault="000B1C06">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0"/>
          <w:szCs w:val="20"/>
        </w:rPr>
      </w:pPr>
      <w:r w:rsidRPr="006E26D3">
        <w:rPr>
          <w:rFonts w:ascii="Palatino Linotype" w:eastAsia="Palatino Linotype" w:hAnsi="Palatino Linotype" w:cs="Palatino Linotype"/>
          <w:i/>
          <w:iCs/>
          <w:sz w:val="22"/>
          <w:szCs w:val="22"/>
        </w:rPr>
        <w:t>V. Validar con su firma, los documentos oficiales emanados del ayuntamiento o de cualquiera de sus miembros;</w:t>
      </w:r>
    </w:p>
    <w:p w14:paraId="2F6AF4C1" w14:textId="77777777" w:rsidR="008C41BA" w:rsidRPr="006E26D3" w:rsidRDefault="000B1C06">
      <w:pPr>
        <w:pBdr>
          <w:top w:val="nil"/>
          <w:left w:val="nil"/>
          <w:bottom w:val="nil"/>
          <w:right w:val="nil"/>
          <w:between w:val="nil"/>
        </w:pBdr>
        <w:spacing w:line="360" w:lineRule="auto"/>
        <w:ind w:left="567" w:right="616"/>
        <w:jc w:val="both"/>
      </w:pPr>
      <w:r w:rsidRPr="006E26D3">
        <w:rPr>
          <w:rFonts w:ascii="Palatino Linotype" w:eastAsia="Palatino Linotype" w:hAnsi="Palatino Linotype" w:cs="Palatino Linotype"/>
          <w:i/>
          <w:iCs/>
          <w:sz w:val="22"/>
          <w:szCs w:val="22"/>
        </w:rPr>
        <w:t>[…]</w:t>
      </w:r>
    </w:p>
    <w:p w14:paraId="353C66A8" w14:textId="77777777" w:rsidR="008C41BA" w:rsidRPr="006E26D3" w:rsidRDefault="000B1C06">
      <w:pPr>
        <w:pBdr>
          <w:top w:val="nil"/>
          <w:left w:val="nil"/>
          <w:bottom w:val="nil"/>
          <w:right w:val="nil"/>
          <w:between w:val="nil"/>
        </w:pBdr>
        <w:spacing w:line="360" w:lineRule="auto"/>
        <w:ind w:left="567" w:right="616"/>
        <w:jc w:val="both"/>
      </w:pPr>
      <w:r w:rsidRPr="006E26D3">
        <w:rPr>
          <w:rFonts w:ascii="Palatino Linotype" w:eastAsia="Palatino Linotype" w:hAnsi="Palatino Linotype" w:cs="Palatino Linotype"/>
          <w:b/>
          <w:bCs/>
          <w:i/>
          <w:iCs/>
          <w:sz w:val="22"/>
          <w:szCs w:val="22"/>
        </w:rPr>
        <w:t>XIII. Ser responsable de la publicación de la Gaceta Municipal, así como de las publicaciones en los estrados de los Ayuntamientos</w:t>
      </w:r>
      <w:r w:rsidRPr="006E26D3">
        <w:rPr>
          <w:rFonts w:ascii="Palatino Linotype" w:eastAsia="Palatino Linotype" w:hAnsi="Palatino Linotype" w:cs="Palatino Linotype"/>
          <w:i/>
          <w:iCs/>
          <w:sz w:val="22"/>
          <w:szCs w:val="22"/>
        </w:rPr>
        <w:t>; y”</w:t>
      </w:r>
    </w:p>
    <w:p w14:paraId="693B0D00" w14:textId="77777777" w:rsidR="008C41BA" w:rsidRPr="006E26D3" w:rsidRDefault="000B1C06">
      <w:pPr>
        <w:pBdr>
          <w:top w:val="nil"/>
          <w:left w:val="nil"/>
          <w:bottom w:val="nil"/>
          <w:right w:val="nil"/>
          <w:between w:val="nil"/>
        </w:pBdr>
        <w:spacing w:line="360" w:lineRule="auto"/>
        <w:ind w:left="567" w:right="616"/>
        <w:jc w:val="right"/>
      </w:pPr>
      <w:r w:rsidRPr="006E26D3">
        <w:rPr>
          <w:rFonts w:ascii="Palatino Linotype" w:eastAsia="Palatino Linotype" w:hAnsi="Palatino Linotype" w:cs="Palatino Linotype"/>
          <w:i/>
          <w:iCs/>
          <w:sz w:val="22"/>
          <w:szCs w:val="22"/>
        </w:rPr>
        <w:t>(Énfasis añadido)</w:t>
      </w:r>
    </w:p>
    <w:p w14:paraId="196EAE44" w14:textId="77777777" w:rsidR="008C41BA" w:rsidRPr="006E26D3" w:rsidRDefault="008C41BA">
      <w:pPr>
        <w:spacing w:line="360" w:lineRule="auto"/>
      </w:pPr>
    </w:p>
    <w:p w14:paraId="46202472" w14:textId="77777777" w:rsidR="008C41BA" w:rsidRPr="006E26D3" w:rsidRDefault="000B1C0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En ese sentido, se advierte que la Secretaria del Ayuntamiento es el área responsable de realizar las publicaciones de la Gaceta Municipal, por lo que, de ser el caso de que el procedimiento de adquisición se haya publicado en la Gaceta Municipal, es la Secretaría del Ayuntamiento el Servidor Público Competente, por lo que se ORDENA realizar una nueva búsqueda exhaustiva y razonable a efecto de localizar y poner a disposición las gacetas municipales donde se haya realizado la publicación del procedimiento de adjudicación referido por el Recurrente, de manera enunciativa más no limitativa, puede ser la convocatoria, fallo, contratos, entre otros. </w:t>
      </w:r>
    </w:p>
    <w:p w14:paraId="5A22F6AA" w14:textId="77777777" w:rsidR="008C41BA" w:rsidRPr="006E26D3" w:rsidRDefault="008C41B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A5DBC04" w14:textId="77777777" w:rsidR="008C41BA" w:rsidRPr="006E26D3" w:rsidRDefault="000B1C0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De ser el caso de que el procedimiento señalado no haya sido publicado en las gacetas municipales, bastará con que así lo haga del conocimiento de la parte </w:t>
      </w:r>
      <w:r w:rsidRPr="006E26D3">
        <w:rPr>
          <w:rFonts w:ascii="Palatino Linotype" w:eastAsia="Palatino Linotype" w:hAnsi="Palatino Linotype" w:cs="Palatino Linotype"/>
          <w:b/>
          <w:bCs/>
          <w:sz w:val="22"/>
          <w:szCs w:val="22"/>
        </w:rPr>
        <w:t>Recurrente</w:t>
      </w:r>
      <w:r w:rsidRPr="006E26D3">
        <w:rPr>
          <w:rFonts w:ascii="Palatino Linotype" w:eastAsia="Palatino Linotype" w:hAnsi="Palatino Linotype" w:cs="Palatino Linotype"/>
          <w:sz w:val="22"/>
          <w:szCs w:val="22"/>
        </w:rPr>
        <w:t xml:space="preserve">, de manera clara y precisa, en términos del artículo 19, párrafo segundo de la Ley de Transparencia y Acceso a la Información pública del Estado de México y Municipios para tener por colmado el requerimiento de información. </w:t>
      </w:r>
    </w:p>
    <w:p w14:paraId="49029A47" w14:textId="77777777" w:rsidR="008C41BA" w:rsidRPr="006E26D3" w:rsidRDefault="008C41B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3E571CF" w14:textId="77777777" w:rsidR="008C41BA" w:rsidRPr="006E26D3" w:rsidRDefault="000B1C06">
      <w:pPr>
        <w:spacing w:line="360" w:lineRule="auto"/>
        <w:ind w:right="-7"/>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 xml:space="preserve">Póliza de seguro. </w:t>
      </w:r>
    </w:p>
    <w:p w14:paraId="144BC7C7"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p w14:paraId="3A3BCBE6" w14:textId="77777777" w:rsidR="008C41BA" w:rsidRPr="006E26D3" w:rsidRDefault="000B1C06">
      <w:pPr>
        <w:spacing w:line="360" w:lineRule="auto"/>
        <w:ind w:right="-7"/>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Sobre este punto en particular, el Recurrente fue muy específico en requerir “póliza de seguro” sin embargo, el Ayuntamiento llevó a cabo la contratación de la “Membresía Integral para la Casa habitación a los Contribuyentes cumplidos que realicen su pago íntegro del impuesto predial, del ejercicio fiscal 2025 que tendrá la siguiente cobertura:</w:t>
      </w:r>
    </w:p>
    <w:p w14:paraId="230A0FA6"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p w14:paraId="540705A8" w14:textId="77777777" w:rsidR="008C41BA" w:rsidRPr="006E26D3" w:rsidRDefault="000B1C06">
      <w:pPr>
        <w:spacing w:line="360" w:lineRule="auto"/>
        <w:ind w:left="284" w:right="-7"/>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1. Casa Habitación;</w:t>
      </w:r>
    </w:p>
    <w:p w14:paraId="2C70DA45" w14:textId="77777777" w:rsidR="008C41BA" w:rsidRPr="006E26D3" w:rsidRDefault="000B1C06">
      <w:pPr>
        <w:spacing w:line="360" w:lineRule="auto"/>
        <w:ind w:left="284" w:right="-7"/>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2. Asistencia Médica;</w:t>
      </w:r>
    </w:p>
    <w:p w14:paraId="0072538D" w14:textId="77777777" w:rsidR="008C41BA" w:rsidRPr="006E26D3" w:rsidRDefault="000B1C06">
      <w:pPr>
        <w:spacing w:line="360" w:lineRule="auto"/>
        <w:ind w:left="284" w:right="-7"/>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3. Servicios funerarios.</w:t>
      </w:r>
    </w:p>
    <w:p w14:paraId="3CFBEA77"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p w14:paraId="275EB172" w14:textId="77777777" w:rsidR="008C41BA" w:rsidRPr="006E26D3" w:rsidRDefault="000B1C06">
      <w:pPr>
        <w:spacing w:line="360" w:lineRule="auto"/>
        <w:ind w:right="-7"/>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La membresía tendrá una cobertura de hasta 100,000 contribuyentes, la membresía integral podrá ser descargada a través del código QR que pondrá a disposición del Municipio. Hasta este punto, se determina que con la contratación de los servicios referidos, se obtienen membresías integrales a favor de aquellos contribuyentes cumplidos en el ejercicio fiscal 2025, lo que se transforma en un apoyo o beneficio, por lo que resulta idóneo traer a contexto la Ley de Transparencia y Acceso a la Información Pública del Estado de México y Municipios, en el artículo 92, fracción XIV, que establece lo siguiente:</w:t>
      </w:r>
    </w:p>
    <w:p w14:paraId="76CA3C06"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p w14:paraId="476DBBAC" w14:textId="77777777" w:rsidR="008C41BA" w:rsidRPr="006E26D3" w:rsidRDefault="000B1C06">
      <w:pPr>
        <w:pBdr>
          <w:top w:val="nil"/>
          <w:left w:val="nil"/>
          <w:bottom w:val="nil"/>
          <w:right w:val="nil"/>
          <w:between w:val="nil"/>
        </w:pBdr>
        <w:spacing w:line="360" w:lineRule="auto"/>
        <w:ind w:left="864" w:right="864"/>
        <w:jc w:val="center"/>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TÍTULO QUINTO DE LAS OBLIGACIONES DE TRANSPARENCIA</w:t>
      </w:r>
    </w:p>
    <w:p w14:paraId="57C59B50"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Capítulo II De las Obligaciones de Transparencia Comunes</w:t>
      </w:r>
    </w:p>
    <w:p w14:paraId="52E42022"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p>
    <w:p w14:paraId="14B18A8D"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XIV. La información de los programas de subsidios, estímulos y apoyos, en el que se deberá informar respecto de los programas de transferencia, de servicios, de infraestructura social y de subsidio, en los que se deberá contener lo siguiente:</w:t>
      </w:r>
    </w:p>
    <w:p w14:paraId="7A1D00A9"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a) Área; </w:t>
      </w:r>
    </w:p>
    <w:p w14:paraId="45AF5180"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 xml:space="preserve">b) Denominación del programa; </w:t>
      </w:r>
    </w:p>
    <w:p w14:paraId="71D669F2"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 xml:space="preserve">c) Periodo de vigencia; </w:t>
      </w:r>
    </w:p>
    <w:p w14:paraId="49AB6FEF"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d) Diseño, objetivos y alcances;</w:t>
      </w:r>
    </w:p>
    <w:p w14:paraId="50F209F3"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e) Metas físicas; </w:t>
      </w:r>
    </w:p>
    <w:p w14:paraId="70749F38"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f) Población beneficiada estimada; </w:t>
      </w:r>
    </w:p>
    <w:p w14:paraId="450D0F6B"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 xml:space="preserve">g) Monto aprobado, modificado y ejercido, así como los calendarios de su programación presupuestal; </w:t>
      </w:r>
    </w:p>
    <w:p w14:paraId="21156140"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 xml:space="preserve">h) Requisitos y procedimientos de acceso; </w:t>
      </w:r>
    </w:p>
    <w:p w14:paraId="4C40A4DF"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i) Procedimiento de queja o inconformidad ciudadana; </w:t>
      </w:r>
    </w:p>
    <w:p w14:paraId="6701E9EF"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j) Mecanismos de exigibilidad; </w:t>
      </w:r>
    </w:p>
    <w:p w14:paraId="4F785761"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k) Mecanismos e informes de evaluación y seguimiento de recomendaciones; </w:t>
      </w:r>
    </w:p>
    <w:p w14:paraId="56BD111C"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l) Indicadores con nombre, definición, método de cálculo, unidad de medida; dimensión, frecuencia de medición, nombre de las bases de datos utilizadas para su cálculo; </w:t>
      </w:r>
    </w:p>
    <w:p w14:paraId="2E463617"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 xml:space="preserve">m) Formas de participación social; </w:t>
      </w:r>
    </w:p>
    <w:p w14:paraId="5695DECE"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n) Articulación con otros programas sociales; </w:t>
      </w:r>
    </w:p>
    <w:p w14:paraId="4E91657E"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 xml:space="preserve">ñ) Vínculo a las reglas de operación o documento equivalente; </w:t>
      </w:r>
    </w:p>
    <w:p w14:paraId="3AEF78C0"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o) Informes periódicos sobre la ejecución y los resultados de las evaluaciones realizadas; y</w:t>
      </w:r>
    </w:p>
    <w:p w14:paraId="0FF83FC2"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p) Padrón de beneficiarios</w:t>
      </w:r>
      <w:r w:rsidRPr="006E26D3">
        <w:rPr>
          <w:rFonts w:ascii="Palatino Linotype" w:eastAsia="Palatino Linotype" w:hAnsi="Palatino Linotype" w:cs="Palatino Linotype"/>
          <w:i/>
          <w:iCs/>
          <w:sz w:val="22"/>
          <w:szCs w:val="22"/>
        </w:rPr>
        <w:t xml:space="preserve">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41B2BF6E" w14:textId="77777777" w:rsidR="008C41BA" w:rsidRPr="006E26D3" w:rsidRDefault="000B1C06">
      <w:pPr>
        <w:pBdr>
          <w:top w:val="nil"/>
          <w:left w:val="nil"/>
          <w:bottom w:val="nil"/>
          <w:right w:val="nil"/>
          <w:between w:val="nil"/>
        </w:pBdr>
        <w:spacing w:line="360" w:lineRule="auto"/>
        <w:ind w:left="864" w:right="864"/>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w:t>
      </w:r>
    </w:p>
    <w:p w14:paraId="0166C385" w14:textId="77777777" w:rsidR="008C41BA" w:rsidRPr="006E26D3" w:rsidRDefault="008C41BA">
      <w:pPr>
        <w:spacing w:line="360" w:lineRule="auto"/>
        <w:rPr>
          <w:rFonts w:ascii="Palatino Linotype" w:eastAsia="Palatino Linotype" w:hAnsi="Palatino Linotype" w:cs="Palatino Linotype"/>
          <w:sz w:val="22"/>
          <w:szCs w:val="22"/>
        </w:rPr>
      </w:pPr>
    </w:p>
    <w:p w14:paraId="5E676FA6" w14:textId="77777777" w:rsidR="008C41BA" w:rsidRPr="006E26D3" w:rsidRDefault="000B1C0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De lo anterior, se colige que la información solicitada por la parte Recurrente constituye obligaciones de transparencia que deben ser acatadas por el Sujeto Obligado, debiendo publicar, entre otra información el presupuesto, convocatoria y </w:t>
      </w:r>
      <w:r w:rsidRPr="006E26D3">
        <w:rPr>
          <w:rFonts w:ascii="Palatino Linotype" w:eastAsia="Palatino Linotype" w:hAnsi="Palatino Linotype" w:cs="Palatino Linotype"/>
          <w:b/>
          <w:bCs/>
          <w:sz w:val="22"/>
          <w:szCs w:val="22"/>
        </w:rPr>
        <w:t>padrón de beneficiarios</w:t>
      </w:r>
      <w:r w:rsidRPr="006E26D3">
        <w:rPr>
          <w:rFonts w:ascii="Palatino Linotype" w:eastAsia="Palatino Linotype" w:hAnsi="Palatino Linotype" w:cs="Palatino Linotype"/>
          <w:sz w:val="22"/>
          <w:szCs w:val="22"/>
        </w:rPr>
        <w:t>, que este último cobra relevancia, pues para su publicación debe observarse lo siguiente:</w:t>
      </w:r>
    </w:p>
    <w:p w14:paraId="41332532" w14:textId="77777777" w:rsidR="008C41BA" w:rsidRPr="006E26D3" w:rsidRDefault="008C41BA">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226D810" w14:textId="77777777" w:rsidR="008C41BA" w:rsidRPr="006E26D3" w:rsidRDefault="000B1C0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noProof/>
          <w:sz w:val="22"/>
          <w:szCs w:val="22"/>
        </w:rPr>
        <w:drawing>
          <wp:inline distT="0" distB="0" distL="0" distR="0" wp14:anchorId="4DF8E217" wp14:editId="60065F99">
            <wp:extent cx="5756275" cy="3797935"/>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56275" cy="3797935"/>
                    </a:xfrm>
                    <a:prstGeom prst="rect">
                      <a:avLst/>
                    </a:prstGeom>
                    <a:ln/>
                  </pic:spPr>
                </pic:pic>
              </a:graphicData>
            </a:graphic>
          </wp:inline>
        </w:drawing>
      </w:r>
    </w:p>
    <w:p w14:paraId="073BC30B" w14:textId="77777777" w:rsidR="008C41BA" w:rsidRPr="006E26D3" w:rsidRDefault="000B1C0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Entre la información de interés para el particular se advierte que debe contener sus datos generales y, además, el monto, recurso, beneficio o apoyo otorgado, resultando en información que debe generar, administrar y poseer el Sujeto Obligado, por corresponder a obligaciones de transparencia común, siendo de manera enunciativa más no limitativa las membresías integrales de los Contribuyentes.</w:t>
      </w:r>
    </w:p>
    <w:p w14:paraId="1AB63FAF" w14:textId="77777777" w:rsidR="008C41BA" w:rsidRPr="006E26D3" w:rsidRDefault="008C41BA">
      <w:pPr>
        <w:spacing w:line="360" w:lineRule="auto"/>
        <w:ind w:right="-7"/>
        <w:jc w:val="both"/>
        <w:rPr>
          <w:rFonts w:ascii="Palatino Linotype" w:eastAsia="Palatino Linotype" w:hAnsi="Palatino Linotype" w:cs="Palatino Linotype"/>
          <w:sz w:val="22"/>
          <w:szCs w:val="22"/>
        </w:rPr>
      </w:pPr>
    </w:p>
    <w:p w14:paraId="5CB5E960" w14:textId="77777777" w:rsidR="008C41BA" w:rsidRPr="006E26D3" w:rsidRDefault="000B1C06">
      <w:pPr>
        <w:tabs>
          <w:tab w:val="left" w:pos="567"/>
        </w:tabs>
        <w:spacing w:line="360" w:lineRule="auto"/>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 xml:space="preserve">De la vista a la Dirección General de Protección de Datos Personales. </w:t>
      </w:r>
    </w:p>
    <w:p w14:paraId="49C6E8AF" w14:textId="77777777" w:rsidR="008C41BA" w:rsidRPr="006E26D3" w:rsidRDefault="008C41BA">
      <w:pPr>
        <w:tabs>
          <w:tab w:val="left" w:pos="567"/>
        </w:tabs>
        <w:spacing w:line="360" w:lineRule="auto"/>
        <w:jc w:val="both"/>
        <w:rPr>
          <w:rFonts w:ascii="Palatino Linotype" w:eastAsia="Palatino Linotype" w:hAnsi="Palatino Linotype" w:cs="Palatino Linotype"/>
          <w:b/>
          <w:bCs/>
          <w:sz w:val="22"/>
          <w:szCs w:val="22"/>
        </w:rPr>
      </w:pPr>
    </w:p>
    <w:p w14:paraId="6ED94F1F" w14:textId="77777777" w:rsidR="008C41BA" w:rsidRPr="006E26D3" w:rsidRDefault="000B1C06">
      <w:pPr>
        <w:tabs>
          <w:tab w:val="left" w:pos="567"/>
        </w:tabs>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Ahora bien, de la información proporcionada en respuesta, se logra advertir que el Sujeto Obligado dejó visibles datos personales confidenciales, como el número de pasaporte del apoderado legal, circunstancia que vulnera lo previsto en el artículo 143, fracción I, de la Ley de Transparencia y Acceso a la Información Pública del Estado de México y Municipios, por los argumentos expuestos anteriormente.</w:t>
      </w:r>
    </w:p>
    <w:p w14:paraId="21BD5864" w14:textId="77777777" w:rsidR="008C41BA" w:rsidRPr="006E26D3" w:rsidRDefault="008C41BA">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sz w:val="22"/>
          <w:szCs w:val="22"/>
        </w:rPr>
      </w:pPr>
    </w:p>
    <w:p w14:paraId="77F4BF2E" w14:textId="77777777" w:rsidR="008C41BA" w:rsidRPr="006E26D3" w:rsidRDefault="000B1C0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Por lo que,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que determine lo correspondiente.</w:t>
      </w:r>
    </w:p>
    <w:p w14:paraId="0357332A" w14:textId="77777777" w:rsidR="008C41BA" w:rsidRPr="006E26D3" w:rsidRDefault="000B1C06">
      <w:pPr>
        <w:spacing w:before="240" w:after="240"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 xml:space="preserve">Quinto. Versión Pública. </w:t>
      </w:r>
      <w:r w:rsidRPr="006E26D3">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6E26D3">
        <w:rPr>
          <w:rFonts w:ascii="Palatino Linotype" w:eastAsia="Palatino Linotype" w:hAnsi="Palatino Linotype" w:cs="Palatino Linotype"/>
          <w:b/>
          <w:bCs/>
          <w:sz w:val="22"/>
          <w:szCs w:val="22"/>
        </w:rPr>
        <w:t>la parte</w:t>
      </w: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b/>
          <w:bCs/>
          <w:sz w:val="22"/>
          <w:szCs w:val="22"/>
        </w:rPr>
        <w:t>Recurrente</w:t>
      </w:r>
      <w:r w:rsidRPr="006E26D3">
        <w:rPr>
          <w:rFonts w:ascii="Palatino Linotype" w:eastAsia="Palatino Linotype" w:hAnsi="Palatino Linotype" w:cs="Palatino Linotype"/>
          <w:sz w:val="22"/>
          <w:szCs w:val="22"/>
        </w:rPr>
        <w:t xml:space="preserve"> sin menoscabar el derecho a la protección de los datos personales de terceros.</w:t>
      </w:r>
    </w:p>
    <w:p w14:paraId="435271A7" w14:textId="77777777" w:rsidR="008C41BA" w:rsidRPr="006E26D3" w:rsidRDefault="000B1C06">
      <w:pPr>
        <w:spacing w:before="240" w:after="240" w:line="360" w:lineRule="auto"/>
        <w:ind w:right="4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4CDEF1A1" w14:textId="77777777" w:rsidR="008C41BA" w:rsidRPr="006E26D3" w:rsidRDefault="000B1C06">
      <w:pPr>
        <w:ind w:left="993" w:right="1041"/>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 xml:space="preserve"> “Artículo 3. Para los efectos de la presente Ley se entenderá por:</w:t>
      </w:r>
    </w:p>
    <w:p w14:paraId="1FE87ECA" w14:textId="77777777" w:rsidR="008C41BA" w:rsidRPr="006E26D3" w:rsidRDefault="000B1C06">
      <w:pPr>
        <w:ind w:left="993" w:right="1041"/>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IX. Datos personales:</w:t>
      </w:r>
      <w:r w:rsidRPr="006E26D3">
        <w:rPr>
          <w:rFonts w:ascii="Palatino Linotype" w:eastAsia="Palatino Linotype" w:hAnsi="Palatino Linotype" w:cs="Palatino Linotype"/>
          <w:i/>
          <w:iCs/>
          <w:sz w:val="22"/>
          <w:szCs w:val="22"/>
        </w:rPr>
        <w:t xml:space="preserve"> </w:t>
      </w:r>
      <w:r w:rsidRPr="006E26D3">
        <w:rPr>
          <w:rFonts w:ascii="Palatino Linotype" w:eastAsia="Palatino Linotype" w:hAnsi="Palatino Linotype" w:cs="Palatino Linotype"/>
          <w:b/>
          <w:bCs/>
          <w:i/>
          <w:iCs/>
          <w:sz w:val="22"/>
          <w:szCs w:val="22"/>
        </w:rPr>
        <w:t>La información concerniente a una persona, identificada o identificable</w:t>
      </w:r>
      <w:r w:rsidRPr="006E26D3">
        <w:rPr>
          <w:rFonts w:ascii="Palatino Linotype" w:eastAsia="Palatino Linotype" w:hAnsi="Palatino Linotype" w:cs="Palatino Linotype"/>
          <w:i/>
          <w:iCs/>
          <w:sz w:val="22"/>
          <w:szCs w:val="22"/>
        </w:rPr>
        <w:t xml:space="preserve"> según lo dispuesto por la Ley de Protección de Datos Personales del Estado de México;</w:t>
      </w:r>
    </w:p>
    <w:p w14:paraId="3554C1EE" w14:textId="77777777" w:rsidR="008C41BA" w:rsidRPr="006E26D3" w:rsidRDefault="000B1C06">
      <w:pPr>
        <w:ind w:left="993" w:right="1041"/>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XX. Información clasificada:</w:t>
      </w:r>
      <w:r w:rsidRPr="006E26D3">
        <w:rPr>
          <w:rFonts w:ascii="Palatino Linotype" w:eastAsia="Palatino Linotype" w:hAnsi="Palatino Linotype" w:cs="Palatino Linotype"/>
          <w:i/>
          <w:iCs/>
          <w:sz w:val="22"/>
          <w:szCs w:val="22"/>
        </w:rPr>
        <w:t xml:space="preserve"> Aquella considerada por la presente Ley como reservada o confidencial;</w:t>
      </w:r>
    </w:p>
    <w:p w14:paraId="0FA0AA4B" w14:textId="77777777" w:rsidR="008C41BA" w:rsidRPr="006E26D3" w:rsidRDefault="000B1C06">
      <w:pPr>
        <w:ind w:left="993" w:right="1041"/>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XXXII. Protección de Datos Personales:</w:t>
      </w:r>
      <w:r w:rsidRPr="006E26D3">
        <w:rPr>
          <w:rFonts w:ascii="Palatino Linotype" w:eastAsia="Palatino Linotype" w:hAnsi="Palatino Linotype" w:cs="Palatino Linotype"/>
          <w:i/>
          <w:iCs/>
          <w:sz w:val="22"/>
          <w:szCs w:val="22"/>
        </w:rPr>
        <w:t xml:space="preserve"> Derecho humano que tutela la privacidad de datos personales en poder de los sujetos obligados y sujetos particulares;</w:t>
      </w:r>
    </w:p>
    <w:p w14:paraId="21B1C921" w14:textId="77777777" w:rsidR="008C41BA" w:rsidRPr="006E26D3" w:rsidRDefault="000B1C06">
      <w:pPr>
        <w:ind w:left="993" w:right="1041"/>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XLV. Versión pública</w:t>
      </w:r>
      <w:r w:rsidRPr="006E26D3">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3C7DAE36" w14:textId="77777777" w:rsidR="008C41BA" w:rsidRPr="006E26D3" w:rsidRDefault="008C41BA">
      <w:pPr>
        <w:ind w:left="993" w:right="1041"/>
        <w:jc w:val="both"/>
        <w:rPr>
          <w:rFonts w:ascii="Palatino Linotype" w:eastAsia="Palatino Linotype" w:hAnsi="Palatino Linotype" w:cs="Palatino Linotype"/>
          <w:i/>
          <w:iCs/>
          <w:sz w:val="22"/>
          <w:szCs w:val="22"/>
        </w:rPr>
      </w:pPr>
    </w:p>
    <w:p w14:paraId="3C912270" w14:textId="77777777" w:rsidR="008C41BA" w:rsidRPr="006E26D3" w:rsidRDefault="000B1C06">
      <w:pPr>
        <w:ind w:left="993" w:right="1041"/>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“Artículo 6.</w:t>
      </w:r>
      <w:r w:rsidRPr="006E26D3">
        <w:rPr>
          <w:rFonts w:ascii="Palatino Linotype" w:eastAsia="Palatino Linotype" w:hAnsi="Palatino Linotype" w:cs="Palatino Linotype"/>
          <w:i/>
          <w:iCs/>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6E2EDD8" w14:textId="77777777" w:rsidR="008C41BA" w:rsidRPr="006E26D3" w:rsidRDefault="008C41BA">
      <w:pPr>
        <w:ind w:left="993" w:right="1041"/>
        <w:jc w:val="both"/>
        <w:rPr>
          <w:rFonts w:ascii="Palatino Linotype" w:eastAsia="Palatino Linotype" w:hAnsi="Palatino Linotype" w:cs="Palatino Linotype"/>
          <w:i/>
          <w:iCs/>
          <w:sz w:val="22"/>
          <w:szCs w:val="22"/>
        </w:rPr>
      </w:pPr>
    </w:p>
    <w:p w14:paraId="6ACB320F" w14:textId="77777777" w:rsidR="008C41BA" w:rsidRPr="006E26D3" w:rsidRDefault="000B1C06">
      <w:pPr>
        <w:ind w:left="993" w:right="1041"/>
        <w:jc w:val="both"/>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“Artículo 137.</w:t>
      </w:r>
      <w:r w:rsidRPr="006E26D3">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04C6B4E" w14:textId="77777777" w:rsidR="008C41BA" w:rsidRPr="006E26D3" w:rsidRDefault="008C41BA">
      <w:pPr>
        <w:ind w:left="993" w:right="1041"/>
        <w:jc w:val="both"/>
        <w:rPr>
          <w:rFonts w:ascii="Palatino Linotype" w:eastAsia="Palatino Linotype" w:hAnsi="Palatino Linotype" w:cs="Palatino Linotype"/>
          <w:b/>
          <w:bCs/>
          <w:i/>
          <w:iCs/>
          <w:sz w:val="22"/>
          <w:szCs w:val="22"/>
        </w:rPr>
      </w:pPr>
    </w:p>
    <w:p w14:paraId="5EBD3A91" w14:textId="77777777" w:rsidR="008C41BA" w:rsidRPr="006E26D3" w:rsidRDefault="000B1C06">
      <w:pPr>
        <w:ind w:left="993" w:right="1041"/>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“Artículo 143</w:t>
      </w:r>
      <w:r w:rsidRPr="006E26D3">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1C7CC576" w14:textId="77777777" w:rsidR="008C41BA" w:rsidRPr="006E26D3" w:rsidRDefault="000B1C06">
      <w:pPr>
        <w:ind w:left="993" w:right="1041"/>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w:t>
      </w:r>
      <w:r w:rsidRPr="006E26D3">
        <w:rPr>
          <w:rFonts w:ascii="Palatino Linotype" w:eastAsia="Palatino Linotype" w:hAnsi="Palatino Linotype" w:cs="Palatino Linotype"/>
          <w:i/>
          <w:iCs/>
          <w:sz w:val="22"/>
          <w:szCs w:val="22"/>
        </w:rPr>
        <w:t xml:space="preserve"> Se refiera a la información privada y los datos personales concernientes a una persona física o jurídica colectiva identificada o identificable;</w:t>
      </w:r>
    </w:p>
    <w:p w14:paraId="79B01236" w14:textId="77777777" w:rsidR="008C41BA" w:rsidRPr="006E26D3" w:rsidRDefault="000B1C06">
      <w:pPr>
        <w:ind w:left="993" w:right="1041"/>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2B7935B" w14:textId="77777777" w:rsidR="008C41BA" w:rsidRPr="006E26D3" w:rsidRDefault="000B1C06">
      <w:pPr>
        <w:ind w:left="993" w:right="1041"/>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III. La que presenten los particulares a los sujetos obligados, de conformidad con lo dispuesto por las leyes o los tratados internacionales.” </w:t>
      </w:r>
    </w:p>
    <w:p w14:paraId="079D0013" w14:textId="77777777" w:rsidR="008C41BA" w:rsidRPr="006E26D3" w:rsidRDefault="008C41BA">
      <w:pPr>
        <w:ind w:left="993" w:right="1041"/>
        <w:jc w:val="both"/>
        <w:rPr>
          <w:rFonts w:ascii="Palatino Linotype" w:eastAsia="Palatino Linotype" w:hAnsi="Palatino Linotype" w:cs="Palatino Linotype"/>
          <w:i/>
          <w:iCs/>
          <w:sz w:val="22"/>
          <w:szCs w:val="22"/>
        </w:rPr>
      </w:pPr>
    </w:p>
    <w:p w14:paraId="2D188FAD" w14:textId="77777777" w:rsidR="008C41BA" w:rsidRPr="006E26D3" w:rsidRDefault="000B1C06">
      <w:pPr>
        <w:spacing w:line="360" w:lineRule="auto"/>
        <w:ind w:right="51"/>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E26D3">
        <w:rPr>
          <w:rFonts w:ascii="Palatino Linotype" w:eastAsia="Palatino Linotype" w:hAnsi="Palatino Linotype" w:cs="Palatino Linotype"/>
          <w:b/>
          <w:bCs/>
          <w:sz w:val="22"/>
          <w:szCs w:val="22"/>
        </w:rPr>
        <w:t>Sujeto Obligado</w:t>
      </w:r>
      <w:r w:rsidRPr="006E26D3">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sidRPr="006E26D3">
        <w:rPr>
          <w:rFonts w:ascii="Palatino Linotype" w:eastAsia="Palatino Linotype" w:hAnsi="Palatino Linotype" w:cs="Palatino Linotype"/>
          <w:b/>
          <w:bCs/>
          <w:sz w:val="22"/>
          <w:szCs w:val="22"/>
        </w:rPr>
        <w:t>la parte</w:t>
      </w: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b/>
          <w:bCs/>
          <w:sz w:val="22"/>
          <w:szCs w:val="22"/>
        </w:rPr>
        <w:t>Recurrente</w:t>
      </w:r>
      <w:r w:rsidRPr="006E26D3">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24CB139" w14:textId="77777777" w:rsidR="008C41BA" w:rsidRPr="006E26D3" w:rsidRDefault="008C41BA">
      <w:pPr>
        <w:spacing w:line="360" w:lineRule="auto"/>
        <w:ind w:right="51"/>
        <w:jc w:val="both"/>
        <w:rPr>
          <w:rFonts w:ascii="Palatino Linotype" w:eastAsia="Palatino Linotype" w:hAnsi="Palatino Linotype" w:cs="Palatino Linotype"/>
          <w:sz w:val="22"/>
          <w:szCs w:val="22"/>
        </w:rPr>
      </w:pPr>
    </w:p>
    <w:p w14:paraId="73379538" w14:textId="77777777" w:rsidR="008C41BA" w:rsidRPr="006E26D3" w:rsidRDefault="000B1C06">
      <w:pPr>
        <w:spacing w:line="360" w:lineRule="auto"/>
        <w:ind w:right="50"/>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6648A6B" w14:textId="77777777" w:rsidR="008C41BA" w:rsidRPr="006E26D3" w:rsidRDefault="008C41BA">
      <w:pPr>
        <w:spacing w:line="360" w:lineRule="auto"/>
        <w:ind w:right="51"/>
        <w:jc w:val="both"/>
        <w:rPr>
          <w:rFonts w:ascii="Palatino Linotype" w:eastAsia="Palatino Linotype" w:hAnsi="Palatino Linotype" w:cs="Palatino Linotype"/>
          <w:sz w:val="22"/>
          <w:szCs w:val="22"/>
        </w:rPr>
      </w:pPr>
    </w:p>
    <w:p w14:paraId="4A1EF520" w14:textId="77777777" w:rsidR="008C41BA" w:rsidRPr="006E26D3" w:rsidRDefault="000B1C06">
      <w:pPr>
        <w:spacing w:line="360" w:lineRule="auto"/>
        <w:ind w:right="51"/>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6E26D3">
        <w:rPr>
          <w:rFonts w:ascii="Palatino Linotype" w:eastAsia="Palatino Linotype" w:hAnsi="Palatino Linotype" w:cs="Palatino Linotype"/>
          <w:b/>
          <w:bCs/>
          <w:sz w:val="22"/>
          <w:szCs w:val="22"/>
        </w:rPr>
        <w:t>Sujeto Obligado</w:t>
      </w:r>
      <w:r w:rsidRPr="006E26D3">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20AEA6B1" w14:textId="77777777" w:rsidR="008C41BA" w:rsidRPr="006E26D3" w:rsidRDefault="008C41BA">
      <w:pPr>
        <w:spacing w:line="360" w:lineRule="auto"/>
        <w:ind w:right="51"/>
        <w:jc w:val="both"/>
        <w:rPr>
          <w:rFonts w:ascii="Palatino Linotype" w:eastAsia="Palatino Linotype" w:hAnsi="Palatino Linotype" w:cs="Palatino Linotype"/>
          <w:sz w:val="22"/>
          <w:szCs w:val="22"/>
        </w:rPr>
      </w:pPr>
    </w:p>
    <w:p w14:paraId="673D9483" w14:textId="77777777" w:rsidR="008C41BA" w:rsidRPr="006E26D3" w:rsidRDefault="000B1C06">
      <w:pPr>
        <w:ind w:left="992" w:right="10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“Artículo 49.</w:t>
      </w:r>
      <w:r w:rsidRPr="006E26D3">
        <w:rPr>
          <w:rFonts w:ascii="Palatino Linotype" w:eastAsia="Palatino Linotype" w:hAnsi="Palatino Linotype" w:cs="Palatino Linotype"/>
          <w:i/>
          <w:iCs/>
          <w:sz w:val="22"/>
          <w:szCs w:val="22"/>
        </w:rPr>
        <w:t xml:space="preserve"> </w:t>
      </w:r>
      <w:r w:rsidRPr="006E26D3">
        <w:rPr>
          <w:rFonts w:ascii="Palatino Linotype" w:eastAsia="Palatino Linotype" w:hAnsi="Palatino Linotype" w:cs="Palatino Linotype"/>
          <w:b/>
          <w:bCs/>
          <w:i/>
          <w:iCs/>
          <w:sz w:val="22"/>
          <w:szCs w:val="22"/>
        </w:rPr>
        <w:t>Los Comités de Transparencia</w:t>
      </w:r>
      <w:r w:rsidRPr="006E26D3">
        <w:rPr>
          <w:rFonts w:ascii="Palatino Linotype" w:eastAsia="Palatino Linotype" w:hAnsi="Palatino Linotype" w:cs="Palatino Linotype"/>
          <w:i/>
          <w:iCs/>
          <w:sz w:val="22"/>
          <w:szCs w:val="22"/>
        </w:rPr>
        <w:t xml:space="preserve"> tendrán las siguientes atribuciones:</w:t>
      </w:r>
    </w:p>
    <w:p w14:paraId="407758FB" w14:textId="77777777" w:rsidR="008C41BA" w:rsidRPr="006E26D3" w:rsidRDefault="000B1C06">
      <w:pPr>
        <w:ind w:left="992" w:right="10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VIII. Aprobar, modificar o revocar la clasificación de la información</w:t>
      </w:r>
      <w:r w:rsidRPr="006E26D3">
        <w:rPr>
          <w:rFonts w:ascii="Palatino Linotype" w:eastAsia="Palatino Linotype" w:hAnsi="Palatino Linotype" w:cs="Palatino Linotype"/>
          <w:i/>
          <w:iCs/>
          <w:sz w:val="22"/>
          <w:szCs w:val="22"/>
        </w:rPr>
        <w:t>…”</w:t>
      </w:r>
    </w:p>
    <w:p w14:paraId="3D9D6488" w14:textId="77777777" w:rsidR="008C41BA" w:rsidRPr="006E26D3" w:rsidRDefault="000B1C06">
      <w:pPr>
        <w:ind w:left="992" w:right="10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r w:rsidRPr="006E26D3">
        <w:rPr>
          <w:rFonts w:ascii="Palatino Linotype" w:eastAsia="Palatino Linotype" w:hAnsi="Palatino Linotype" w:cs="Palatino Linotype"/>
          <w:b/>
          <w:bCs/>
          <w:i/>
          <w:iCs/>
          <w:sz w:val="22"/>
          <w:szCs w:val="22"/>
        </w:rPr>
        <w:t>Artículo 53.</w:t>
      </w:r>
      <w:r w:rsidRPr="006E26D3">
        <w:rPr>
          <w:rFonts w:ascii="Palatino Linotype" w:eastAsia="Palatino Linotype" w:hAnsi="Palatino Linotype" w:cs="Palatino Linotype"/>
          <w:i/>
          <w:iCs/>
          <w:sz w:val="22"/>
          <w:szCs w:val="22"/>
        </w:rPr>
        <w:t xml:space="preserve"> Las </w:t>
      </w:r>
      <w:r w:rsidRPr="006E26D3">
        <w:rPr>
          <w:rFonts w:ascii="Palatino Linotype" w:eastAsia="Palatino Linotype" w:hAnsi="Palatino Linotype" w:cs="Palatino Linotype"/>
          <w:b/>
          <w:bCs/>
          <w:i/>
          <w:iCs/>
          <w:sz w:val="22"/>
          <w:szCs w:val="22"/>
        </w:rPr>
        <w:t>Unidades de Transparencia</w:t>
      </w:r>
      <w:r w:rsidRPr="006E26D3">
        <w:rPr>
          <w:rFonts w:ascii="Palatino Linotype" w:eastAsia="Palatino Linotype" w:hAnsi="Palatino Linotype" w:cs="Palatino Linotype"/>
          <w:i/>
          <w:iCs/>
          <w:sz w:val="22"/>
          <w:szCs w:val="22"/>
        </w:rPr>
        <w:t xml:space="preserve"> tendrán las siguientes </w:t>
      </w:r>
      <w:r w:rsidRPr="006E26D3">
        <w:rPr>
          <w:rFonts w:ascii="Palatino Linotype" w:eastAsia="Palatino Linotype" w:hAnsi="Palatino Linotype" w:cs="Palatino Linotype"/>
          <w:b/>
          <w:bCs/>
          <w:i/>
          <w:iCs/>
          <w:sz w:val="22"/>
          <w:szCs w:val="22"/>
        </w:rPr>
        <w:t>funciones</w:t>
      </w:r>
      <w:r w:rsidRPr="006E26D3">
        <w:rPr>
          <w:rFonts w:ascii="Palatino Linotype" w:eastAsia="Palatino Linotype" w:hAnsi="Palatino Linotype" w:cs="Palatino Linotype"/>
          <w:i/>
          <w:iCs/>
          <w:sz w:val="22"/>
          <w:szCs w:val="22"/>
        </w:rPr>
        <w:t>:</w:t>
      </w:r>
    </w:p>
    <w:p w14:paraId="5A269CF5" w14:textId="77777777" w:rsidR="008C41BA" w:rsidRPr="006E26D3" w:rsidRDefault="000B1C06">
      <w:pPr>
        <w:ind w:left="992" w:right="10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X. Presentar ante el Comité, el proyecto de clasificación de información</w:t>
      </w:r>
      <w:r w:rsidRPr="006E26D3">
        <w:rPr>
          <w:rFonts w:ascii="Palatino Linotype" w:eastAsia="Palatino Linotype" w:hAnsi="Palatino Linotype" w:cs="Palatino Linotype"/>
          <w:i/>
          <w:iCs/>
          <w:sz w:val="22"/>
          <w:szCs w:val="22"/>
        </w:rPr>
        <w:t xml:space="preserve">…” </w:t>
      </w:r>
    </w:p>
    <w:p w14:paraId="16603DE5" w14:textId="77777777" w:rsidR="008C41BA" w:rsidRPr="006E26D3" w:rsidRDefault="000B1C06">
      <w:pPr>
        <w:ind w:left="992" w:right="10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“Artículo 59.</w:t>
      </w:r>
      <w:r w:rsidRPr="006E26D3">
        <w:rPr>
          <w:rFonts w:ascii="Palatino Linotype" w:eastAsia="Palatino Linotype" w:hAnsi="Palatino Linotype" w:cs="Palatino Linotype"/>
          <w:i/>
          <w:iCs/>
          <w:sz w:val="22"/>
          <w:szCs w:val="22"/>
        </w:rPr>
        <w:t xml:space="preserve"> Los </w:t>
      </w:r>
      <w:r w:rsidRPr="006E26D3">
        <w:rPr>
          <w:rFonts w:ascii="Palatino Linotype" w:eastAsia="Palatino Linotype" w:hAnsi="Palatino Linotype" w:cs="Palatino Linotype"/>
          <w:b/>
          <w:bCs/>
          <w:i/>
          <w:iCs/>
          <w:sz w:val="22"/>
          <w:szCs w:val="22"/>
        </w:rPr>
        <w:t>servidores públicos habilitados</w:t>
      </w:r>
      <w:r w:rsidRPr="006E26D3">
        <w:rPr>
          <w:rFonts w:ascii="Palatino Linotype" w:eastAsia="Palatino Linotype" w:hAnsi="Palatino Linotype" w:cs="Palatino Linotype"/>
          <w:i/>
          <w:iCs/>
          <w:sz w:val="22"/>
          <w:szCs w:val="22"/>
        </w:rPr>
        <w:t xml:space="preserve"> tendrán las </w:t>
      </w:r>
      <w:r w:rsidRPr="006E26D3">
        <w:rPr>
          <w:rFonts w:ascii="Palatino Linotype" w:eastAsia="Palatino Linotype" w:hAnsi="Palatino Linotype" w:cs="Palatino Linotype"/>
          <w:b/>
          <w:bCs/>
          <w:i/>
          <w:iCs/>
          <w:sz w:val="22"/>
          <w:szCs w:val="22"/>
        </w:rPr>
        <w:t>funciones</w:t>
      </w:r>
      <w:r w:rsidRPr="006E26D3">
        <w:rPr>
          <w:rFonts w:ascii="Palatino Linotype" w:eastAsia="Palatino Linotype" w:hAnsi="Palatino Linotype" w:cs="Palatino Linotype"/>
          <w:i/>
          <w:iCs/>
          <w:sz w:val="22"/>
          <w:szCs w:val="22"/>
        </w:rPr>
        <w:t xml:space="preserve"> siguientes:</w:t>
      </w:r>
    </w:p>
    <w:p w14:paraId="05333A55" w14:textId="77777777" w:rsidR="008C41BA" w:rsidRPr="006E26D3" w:rsidRDefault="000B1C06">
      <w:pPr>
        <w:ind w:left="992" w:right="10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6E26D3">
        <w:rPr>
          <w:rFonts w:ascii="Palatino Linotype" w:eastAsia="Palatino Linotype" w:hAnsi="Palatino Linotype" w:cs="Palatino Linotype"/>
          <w:i/>
          <w:iCs/>
          <w:sz w:val="22"/>
          <w:szCs w:val="22"/>
        </w:rPr>
        <w:t xml:space="preserve">, la cual tendrá los fundamentos y argumentos en que se basa dicha propuesta…” </w:t>
      </w:r>
    </w:p>
    <w:p w14:paraId="195194F1" w14:textId="77777777" w:rsidR="008C41BA" w:rsidRPr="006E26D3" w:rsidRDefault="008C41BA">
      <w:pPr>
        <w:ind w:left="992" w:right="1043"/>
        <w:jc w:val="both"/>
        <w:rPr>
          <w:rFonts w:ascii="Palatino Linotype" w:eastAsia="Palatino Linotype" w:hAnsi="Palatino Linotype" w:cs="Palatino Linotype"/>
          <w:i/>
          <w:iCs/>
          <w:sz w:val="22"/>
          <w:szCs w:val="22"/>
        </w:rPr>
      </w:pPr>
    </w:p>
    <w:p w14:paraId="69CB8EA8"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12CAA35"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698A91A9"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402FB81" w14:textId="77777777" w:rsidR="008C41BA" w:rsidRPr="006E26D3" w:rsidRDefault="000B1C06">
      <w:pPr>
        <w:spacing w:after="240"/>
        <w:ind w:left="993" w:right="1041"/>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r w:rsidRPr="006E26D3">
        <w:rPr>
          <w:rFonts w:ascii="Palatino Linotype" w:eastAsia="Palatino Linotype" w:hAnsi="Palatino Linotype" w:cs="Palatino Linotype"/>
          <w:b/>
          <w:bCs/>
          <w:i/>
          <w:iCs/>
          <w:sz w:val="22"/>
          <w:szCs w:val="22"/>
        </w:rPr>
        <w:t>Artículo 149.</w:t>
      </w:r>
      <w:r w:rsidRPr="006E26D3">
        <w:rPr>
          <w:rFonts w:ascii="Palatino Linotype" w:eastAsia="Palatino Linotype" w:hAnsi="Palatino Linotype" w:cs="Palatino Linotype"/>
          <w:i/>
          <w:iCs/>
          <w:sz w:val="22"/>
          <w:szCs w:val="22"/>
        </w:rPr>
        <w:t xml:space="preserve"> El </w:t>
      </w:r>
      <w:r w:rsidRPr="006E26D3">
        <w:rPr>
          <w:rFonts w:ascii="Palatino Linotype" w:eastAsia="Palatino Linotype" w:hAnsi="Palatino Linotype" w:cs="Palatino Linotype"/>
          <w:b/>
          <w:bCs/>
          <w:i/>
          <w:iCs/>
          <w:sz w:val="22"/>
          <w:szCs w:val="22"/>
        </w:rPr>
        <w:t>acuerdo que clasifique la información como confidencial</w:t>
      </w:r>
      <w:r w:rsidRPr="006E26D3">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w:t>
      </w:r>
    </w:p>
    <w:p w14:paraId="0177480D" w14:textId="77777777" w:rsidR="008C41BA" w:rsidRPr="006E26D3" w:rsidRDefault="000B1C06">
      <w:pPr>
        <w:spacing w:line="360" w:lineRule="auto"/>
        <w:ind w:right="51"/>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Es decir, el </w:t>
      </w:r>
      <w:r w:rsidRPr="006E26D3">
        <w:rPr>
          <w:rFonts w:ascii="Palatino Linotype" w:eastAsia="Palatino Linotype" w:hAnsi="Palatino Linotype" w:cs="Palatino Linotype"/>
          <w:b/>
          <w:bCs/>
          <w:sz w:val="22"/>
          <w:szCs w:val="22"/>
        </w:rPr>
        <w:t>Sujeto Obligado</w:t>
      </w:r>
      <w:r w:rsidRPr="006E26D3">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813D970" w14:textId="77777777" w:rsidR="008C41BA" w:rsidRPr="006E26D3" w:rsidRDefault="008C41BA">
      <w:pPr>
        <w:spacing w:line="360" w:lineRule="auto"/>
        <w:ind w:right="51"/>
        <w:jc w:val="both"/>
        <w:rPr>
          <w:rFonts w:ascii="Palatino Linotype" w:eastAsia="Palatino Linotype" w:hAnsi="Palatino Linotype" w:cs="Palatino Linotype"/>
          <w:sz w:val="22"/>
          <w:szCs w:val="22"/>
        </w:rPr>
      </w:pPr>
    </w:p>
    <w:p w14:paraId="0C8978CE"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Al respecto, se destaca que la versión pública que elabore el </w:t>
      </w:r>
      <w:r w:rsidRPr="006E26D3">
        <w:rPr>
          <w:rFonts w:ascii="Palatino Linotype" w:eastAsia="Palatino Linotype" w:hAnsi="Palatino Linotype" w:cs="Palatino Linotype"/>
          <w:b/>
          <w:bCs/>
          <w:sz w:val="22"/>
          <w:szCs w:val="22"/>
        </w:rPr>
        <w:t>Sujeto Obligado</w:t>
      </w:r>
      <w:r w:rsidRPr="006E26D3">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E26D3">
        <w:rPr>
          <w:rFonts w:ascii="Palatino Linotype" w:eastAsia="Palatino Linotype" w:hAnsi="Palatino Linotype" w:cs="Palatino Linotype"/>
          <w:b/>
          <w:bCs/>
          <w:sz w:val="22"/>
          <w:szCs w:val="22"/>
        </w:rPr>
        <w:t>LINEAMIENTOS GENERALES EN MATERIA DE CLASIFICACIÓN Y DESCLASIFICACIÓN DE LA INFORMACIÓN, ASÍ COMO PARA LA ELABORACIÓN DE VERSIONES PÚBLICAS</w:t>
      </w:r>
      <w:r w:rsidRPr="006E26D3">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10EC30FC" w14:textId="77777777" w:rsidR="008C41BA" w:rsidRPr="006E26D3" w:rsidRDefault="008C41BA">
      <w:pPr>
        <w:ind w:left="709" w:right="709"/>
        <w:jc w:val="both"/>
        <w:rPr>
          <w:rFonts w:ascii="Palatino Linotype" w:eastAsia="Palatino Linotype" w:hAnsi="Palatino Linotype" w:cs="Palatino Linotype"/>
          <w:b/>
          <w:bCs/>
          <w:i/>
          <w:iCs/>
          <w:sz w:val="22"/>
          <w:szCs w:val="22"/>
        </w:rPr>
      </w:pPr>
    </w:p>
    <w:p w14:paraId="501FE539"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i/>
          <w:iCs/>
          <w:sz w:val="22"/>
          <w:szCs w:val="22"/>
        </w:rPr>
        <w:t>“Lineamientos Generales en materia de Clasificación y Desclasificación de la Información, así como para la elaboración de Versiones Públicas</w:t>
      </w:r>
    </w:p>
    <w:p w14:paraId="72A9A5F4"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i/>
          <w:iCs/>
          <w:sz w:val="22"/>
          <w:szCs w:val="22"/>
        </w:rPr>
        <w:t>“</w:t>
      </w:r>
      <w:r w:rsidRPr="006E26D3">
        <w:rPr>
          <w:rFonts w:ascii="Palatino Linotype" w:eastAsia="Palatino Linotype" w:hAnsi="Palatino Linotype" w:cs="Palatino Linotype"/>
          <w:b/>
          <w:bCs/>
          <w:i/>
          <w:iCs/>
          <w:sz w:val="22"/>
          <w:szCs w:val="22"/>
        </w:rPr>
        <w:t>Segundo.-</w:t>
      </w:r>
      <w:r w:rsidRPr="006E26D3">
        <w:rPr>
          <w:rFonts w:ascii="Palatino Linotype" w:eastAsia="Palatino Linotype" w:hAnsi="Palatino Linotype" w:cs="Palatino Linotype"/>
          <w:i/>
          <w:iCs/>
          <w:sz w:val="22"/>
          <w:szCs w:val="22"/>
        </w:rPr>
        <w:t xml:space="preserve"> Para efectos de los presentes Lineamientos Generales, se entenderá por:</w:t>
      </w:r>
    </w:p>
    <w:p w14:paraId="71507135"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i/>
          <w:iCs/>
          <w:sz w:val="22"/>
          <w:szCs w:val="22"/>
        </w:rPr>
        <w:t>XVIII.</w:t>
      </w:r>
      <w:r w:rsidRPr="006E26D3">
        <w:rPr>
          <w:rFonts w:ascii="Palatino Linotype" w:eastAsia="Palatino Linotype" w:hAnsi="Palatino Linotype" w:cs="Palatino Linotype"/>
          <w:i/>
          <w:iCs/>
          <w:sz w:val="22"/>
          <w:szCs w:val="22"/>
        </w:rPr>
        <w:t xml:space="preserve"> </w:t>
      </w:r>
      <w:r w:rsidRPr="006E26D3">
        <w:rPr>
          <w:rFonts w:ascii="Palatino Linotype" w:eastAsia="Palatino Linotype" w:hAnsi="Palatino Linotype" w:cs="Palatino Linotype"/>
          <w:b/>
          <w:bCs/>
          <w:i/>
          <w:iCs/>
          <w:sz w:val="22"/>
          <w:szCs w:val="22"/>
        </w:rPr>
        <w:t>Versión pública:</w:t>
      </w:r>
      <w:r w:rsidRPr="006E26D3">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6E26D3">
        <w:rPr>
          <w:rFonts w:ascii="Palatino Linotype" w:eastAsia="Palatino Linotype" w:hAnsi="Palatino Linotype" w:cs="Palatino Linotype"/>
          <w:b/>
          <w:bCs/>
          <w:i/>
          <w:iCs/>
          <w:sz w:val="22"/>
          <w:szCs w:val="22"/>
          <w:u w:val="single"/>
        </w:rPr>
        <w:t>fundando y motivando la</w:t>
      </w:r>
      <w:r w:rsidRPr="006E26D3">
        <w:rPr>
          <w:rFonts w:ascii="Palatino Linotype" w:eastAsia="Palatino Linotype" w:hAnsi="Palatino Linotype" w:cs="Palatino Linotype"/>
          <w:i/>
          <w:iCs/>
          <w:sz w:val="22"/>
          <w:szCs w:val="22"/>
        </w:rPr>
        <w:t xml:space="preserve"> reserva o </w:t>
      </w:r>
      <w:r w:rsidRPr="006E26D3">
        <w:rPr>
          <w:rFonts w:ascii="Palatino Linotype" w:eastAsia="Palatino Linotype" w:hAnsi="Palatino Linotype" w:cs="Palatino Linotype"/>
          <w:b/>
          <w:bCs/>
          <w:i/>
          <w:iCs/>
          <w:sz w:val="22"/>
          <w:szCs w:val="22"/>
          <w:u w:val="single"/>
        </w:rPr>
        <w:t>confidencialidad</w:t>
      </w:r>
      <w:r w:rsidRPr="006E26D3">
        <w:rPr>
          <w:rFonts w:ascii="Palatino Linotype" w:eastAsia="Palatino Linotype" w:hAnsi="Palatino Linotype" w:cs="Palatino Linotype"/>
          <w:i/>
          <w:iCs/>
          <w:sz w:val="22"/>
          <w:szCs w:val="22"/>
        </w:rPr>
        <w:t>, a través de la resolución que para tal efecto emita el Comité de Transparencia.</w:t>
      </w:r>
    </w:p>
    <w:p w14:paraId="3613E9ED"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i/>
          <w:iCs/>
          <w:sz w:val="22"/>
          <w:szCs w:val="22"/>
        </w:rPr>
        <w:t>Cuarto.</w:t>
      </w:r>
      <w:r w:rsidRPr="006E26D3">
        <w:rPr>
          <w:rFonts w:ascii="Palatino Linotype" w:eastAsia="Palatino Linotype" w:hAnsi="Palatino Linotype" w:cs="Palatino Linotype"/>
          <w:i/>
          <w:iCs/>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50203B0"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14:paraId="29544191"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i/>
          <w:iCs/>
          <w:sz w:val="22"/>
          <w:szCs w:val="22"/>
        </w:rPr>
        <w:t>Quinto.</w:t>
      </w:r>
      <w:r w:rsidRPr="006E26D3">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0642E38"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i/>
          <w:iCs/>
          <w:sz w:val="22"/>
          <w:szCs w:val="22"/>
        </w:rPr>
        <w:t>…</w:t>
      </w:r>
    </w:p>
    <w:p w14:paraId="3E4DEC51"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i/>
          <w:iCs/>
          <w:sz w:val="22"/>
          <w:szCs w:val="22"/>
        </w:rPr>
        <w:t>Séptimo.</w:t>
      </w:r>
      <w:r w:rsidRPr="006E26D3">
        <w:rPr>
          <w:rFonts w:ascii="Palatino Linotype" w:eastAsia="Palatino Linotype" w:hAnsi="Palatino Linotype" w:cs="Palatino Linotype"/>
          <w:i/>
          <w:iCs/>
          <w:sz w:val="22"/>
          <w:szCs w:val="22"/>
        </w:rPr>
        <w:t xml:space="preserve"> La clasificación de la información se llevará a cabo en el momento en que:</w:t>
      </w:r>
    </w:p>
    <w:p w14:paraId="4E6FAE53"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i/>
          <w:iCs/>
          <w:sz w:val="22"/>
          <w:szCs w:val="22"/>
        </w:rPr>
        <w:t>I.</w:t>
      </w:r>
      <w:r w:rsidRPr="006E26D3">
        <w:rPr>
          <w:rFonts w:ascii="Palatino Linotype" w:eastAsia="Palatino Linotype" w:hAnsi="Palatino Linotype" w:cs="Palatino Linotype"/>
          <w:i/>
          <w:iCs/>
          <w:sz w:val="22"/>
          <w:szCs w:val="22"/>
        </w:rPr>
        <w:t xml:space="preserve"> Se reciba una solicitud de acceso a la información;</w:t>
      </w:r>
    </w:p>
    <w:p w14:paraId="2D7F8A42"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II.</w:t>
      </w:r>
      <w:r w:rsidRPr="006E26D3">
        <w:rPr>
          <w:rFonts w:ascii="Palatino Linotype" w:eastAsia="Palatino Linotype" w:hAnsi="Palatino Linotype" w:cs="Palatino Linotype"/>
          <w:i/>
          <w:iCs/>
          <w:sz w:val="22"/>
          <w:szCs w:val="22"/>
        </w:rPr>
        <w:t xml:space="preserve"> Se  determine mediante resolución del Comité de Transparencia, el órgano garante </w:t>
      </w:r>
    </w:p>
    <w:p w14:paraId="10E7D33B"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i/>
          <w:iCs/>
          <w:sz w:val="22"/>
          <w:szCs w:val="22"/>
        </w:rPr>
        <w:t>competente, o en cumplimiento a una sentencia del Poder Judicial; o</w:t>
      </w:r>
    </w:p>
    <w:p w14:paraId="289F3C53"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i/>
          <w:iCs/>
          <w:sz w:val="22"/>
          <w:szCs w:val="22"/>
        </w:rPr>
        <w:t>III.</w:t>
      </w:r>
      <w:r w:rsidRPr="006E26D3">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14:paraId="7FDA1756"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i/>
          <w:iCs/>
          <w:sz w:val="22"/>
          <w:szCs w:val="22"/>
        </w:rPr>
        <w:t>Los titulares de las áreas deberán revisar la clasificación al momento de la recepción de una solicitud de acceso a la información, para verificar si encuadra en una causal de reserva o de confidencialidad.</w:t>
      </w:r>
    </w:p>
    <w:p w14:paraId="6CBE409D"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i/>
          <w:iCs/>
          <w:sz w:val="22"/>
          <w:szCs w:val="22"/>
        </w:rPr>
        <w:t>Octavo.</w:t>
      </w:r>
      <w:r w:rsidRPr="006E26D3">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9C1C956"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14:paraId="7A55BD48"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64B7994"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i/>
          <w:iCs/>
          <w:sz w:val="22"/>
          <w:szCs w:val="22"/>
        </w:rPr>
        <w:t>Noveno.</w:t>
      </w:r>
      <w:r w:rsidRPr="006E26D3">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883F782"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i/>
          <w:iCs/>
          <w:sz w:val="22"/>
          <w:szCs w:val="22"/>
        </w:rPr>
        <w:t>Décimo.</w:t>
      </w:r>
      <w:r w:rsidRPr="006E26D3">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9BB20C6"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14:paraId="7AE53101"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Décimo primero.</w:t>
      </w:r>
      <w:r w:rsidRPr="006E26D3">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595F4D7" w14:textId="77777777" w:rsidR="008C41BA" w:rsidRPr="006E26D3" w:rsidRDefault="008C41BA">
      <w:pPr>
        <w:pBdr>
          <w:top w:val="nil"/>
          <w:left w:val="nil"/>
          <w:bottom w:val="nil"/>
          <w:right w:val="nil"/>
          <w:between w:val="nil"/>
        </w:pBdr>
        <w:ind w:right="709"/>
        <w:jc w:val="both"/>
        <w:rPr>
          <w:rFonts w:ascii="Palatino Linotype" w:eastAsia="Palatino Linotype" w:hAnsi="Palatino Linotype" w:cs="Palatino Linotype"/>
          <w:sz w:val="22"/>
          <w:szCs w:val="22"/>
        </w:rPr>
      </w:pPr>
    </w:p>
    <w:p w14:paraId="24DEB127" w14:textId="77777777" w:rsidR="008C41BA" w:rsidRPr="006E26D3" w:rsidRDefault="000B1C06">
      <w:pPr>
        <w:pBdr>
          <w:top w:val="nil"/>
          <w:left w:val="nil"/>
          <w:bottom w:val="nil"/>
          <w:right w:val="nil"/>
          <w:between w:val="nil"/>
        </w:pBdr>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i/>
          <w:iCs/>
          <w:sz w:val="22"/>
          <w:szCs w:val="22"/>
        </w:rPr>
        <w:t>[…]</w:t>
      </w:r>
    </w:p>
    <w:p w14:paraId="0E3EDEDE" w14:textId="77777777" w:rsidR="008C41BA" w:rsidRPr="006E26D3" w:rsidRDefault="000B1C06">
      <w:pPr>
        <w:pBdr>
          <w:top w:val="nil"/>
          <w:left w:val="nil"/>
          <w:bottom w:val="nil"/>
          <w:right w:val="nil"/>
          <w:between w:val="nil"/>
        </w:pBdr>
        <w:ind w:left="709" w:right="709"/>
        <w:jc w:val="center"/>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i/>
          <w:iCs/>
          <w:sz w:val="22"/>
          <w:szCs w:val="22"/>
        </w:rPr>
        <w:t>CAPÍTULO VIII</w:t>
      </w:r>
    </w:p>
    <w:p w14:paraId="1CF898E2" w14:textId="77777777" w:rsidR="008C41BA" w:rsidRPr="006E26D3" w:rsidRDefault="000B1C06">
      <w:pPr>
        <w:pBdr>
          <w:top w:val="nil"/>
          <w:left w:val="nil"/>
          <w:bottom w:val="nil"/>
          <w:right w:val="nil"/>
          <w:between w:val="nil"/>
        </w:pBdr>
        <w:spacing w:after="160"/>
        <w:ind w:left="709" w:right="709"/>
        <w:jc w:val="center"/>
        <w:rPr>
          <w:rFonts w:ascii="Palatino Linotype" w:eastAsia="Palatino Linotype" w:hAnsi="Palatino Linotype" w:cs="Palatino Linotype"/>
          <w:b/>
          <w:bCs/>
          <w:i/>
          <w:iCs/>
          <w:sz w:val="22"/>
          <w:szCs w:val="22"/>
        </w:rPr>
      </w:pPr>
      <w:r w:rsidRPr="006E26D3">
        <w:rPr>
          <w:rFonts w:ascii="Palatino Linotype" w:eastAsia="Palatino Linotype" w:hAnsi="Palatino Linotype" w:cs="Palatino Linotype"/>
          <w:b/>
          <w:bCs/>
          <w:i/>
          <w:iCs/>
          <w:sz w:val="22"/>
          <w:szCs w:val="22"/>
        </w:rPr>
        <w:t>DE LOS ELEMENTOS PARA LA CLASIFICACIÓN</w:t>
      </w:r>
    </w:p>
    <w:p w14:paraId="080DCC5A"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Quincuagésimo</w:t>
      </w:r>
      <w:r w:rsidRPr="006E26D3">
        <w:rPr>
          <w:rFonts w:ascii="Palatino Linotype" w:eastAsia="Palatino Linotype" w:hAnsi="Palatino Linotype" w:cs="Palatino Linotype"/>
          <w:i/>
          <w:iCs/>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14655FA8"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Quincuagésimo primero</w:t>
      </w:r>
      <w:r w:rsidRPr="006E26D3">
        <w:rPr>
          <w:rFonts w:ascii="Palatino Linotype" w:eastAsia="Palatino Linotype" w:hAnsi="Palatino Linotype" w:cs="Palatino Linotype"/>
          <w:i/>
          <w:iCs/>
          <w:sz w:val="22"/>
          <w:szCs w:val="22"/>
        </w:rPr>
        <w:t>. Toda acta del Comité de Transparencia deberá contener:</w:t>
      </w:r>
    </w:p>
    <w:p w14:paraId="10136409"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I. El número de sesión y fecha; </w:t>
      </w:r>
    </w:p>
    <w:p w14:paraId="52F162FE"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II. El nombre del área que solicitó la clasificación de información;</w:t>
      </w:r>
    </w:p>
    <w:p w14:paraId="116F8D2F"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III. La fundamentación legal y motivación correspondiente;</w:t>
      </w:r>
    </w:p>
    <w:p w14:paraId="7F87EE8E"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IV. La resolución o resoluciones aprobadas; y</w:t>
      </w:r>
    </w:p>
    <w:p w14:paraId="1CD7BD6B"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V. La rúbrica o firma digital de cada integrante del Comité de Transparencia. </w:t>
      </w:r>
    </w:p>
    <w:p w14:paraId="1B8A60DB"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Las resoluciones del Comité en las que se haya determinado confirmar o modificar la clasificación de información pública como reservada, deberán incluir, cuando menos:</w:t>
      </w:r>
    </w:p>
    <w:p w14:paraId="26B260C4"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I. Los motivos y razonamientos que sustenten la confirmación o modificación de la prueba de daño;</w:t>
      </w:r>
    </w:p>
    <w:p w14:paraId="24370351"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II. Descripción de las partes o secciones reservadas, en caso de clasificación parcial;</w:t>
      </w:r>
    </w:p>
    <w:p w14:paraId="6D86F22C"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III. El periodo por el que mantendrá su clasificación y fecha de expiración; y</w:t>
      </w:r>
    </w:p>
    <w:p w14:paraId="6D056137"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IV. El nombre del titular y área encargada de realizar la versión pública del documento, en su caso.</w:t>
      </w:r>
    </w:p>
    <w:p w14:paraId="026F7617"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0912149E"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5ADB716"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Quincuagésimo segundo</w:t>
      </w:r>
      <w:r w:rsidRPr="006E26D3">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4558E9D"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En el caso específico de la clasificación y elaboración de versiones públicas de documentos que contengan información confidencial, las áreas de los sujetos obligados deberán:</w:t>
      </w:r>
    </w:p>
    <w:p w14:paraId="214D0081"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22192065"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38FC79C4"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III. Señalar las personas o instancias autorizadas a acceder a la información clasificada.</w:t>
      </w:r>
    </w:p>
    <w:p w14:paraId="48D81B16"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2593EE64" w14:textId="77777777" w:rsidR="008C41BA" w:rsidRPr="006E26D3" w:rsidRDefault="000B1C06">
      <w:pPr>
        <w:pBdr>
          <w:top w:val="nil"/>
          <w:left w:val="nil"/>
          <w:bottom w:val="nil"/>
          <w:right w:val="nil"/>
          <w:between w:val="nil"/>
        </w:pBdr>
        <w:spacing w:after="160"/>
        <w:ind w:left="709" w:right="709"/>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i/>
          <w:iCs/>
          <w:sz w:val="22"/>
          <w:szCs w:val="22"/>
        </w:rPr>
        <w:t xml:space="preserve">Quincuagésimo quinto. Cada área del sujeto obligado podrá designar formalmente a una o más personas como responsables del </w:t>
      </w:r>
      <w:proofErr w:type="spellStart"/>
      <w:r w:rsidRPr="006E26D3">
        <w:rPr>
          <w:rFonts w:ascii="Palatino Linotype" w:eastAsia="Palatino Linotype" w:hAnsi="Palatino Linotype" w:cs="Palatino Linotype"/>
          <w:i/>
          <w:iCs/>
          <w:sz w:val="22"/>
          <w:szCs w:val="22"/>
        </w:rPr>
        <w:t>testado</w:t>
      </w:r>
      <w:proofErr w:type="spellEnd"/>
      <w:r w:rsidRPr="006E26D3">
        <w:rPr>
          <w:rFonts w:ascii="Palatino Linotype" w:eastAsia="Palatino Linotype" w:hAnsi="Palatino Linotype" w:cs="Palatino Linotype"/>
          <w:i/>
          <w:iCs/>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372D2C2C" w14:textId="77777777" w:rsidR="008C41BA" w:rsidRPr="006E26D3" w:rsidRDefault="008C41BA">
      <w:pPr>
        <w:rPr>
          <w:rFonts w:ascii="Palatino Linotype" w:eastAsia="Palatino Linotype" w:hAnsi="Palatino Linotype" w:cs="Palatino Linotype"/>
          <w:sz w:val="22"/>
          <w:szCs w:val="22"/>
        </w:rPr>
      </w:pPr>
    </w:p>
    <w:p w14:paraId="5B047684"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55437A52"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18B889DD"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Entre los datos personales que se encuentran en las documentales solicitadas se destaca el nombre de los beneficiarios del programa.</w:t>
      </w:r>
    </w:p>
    <w:p w14:paraId="7A8D903D"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23E373C4" w14:textId="77777777" w:rsidR="008C41BA" w:rsidRPr="006E26D3" w:rsidRDefault="000B1C06">
      <w:pPr>
        <w:spacing w:line="360" w:lineRule="auto"/>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sz w:val="22"/>
          <w:szCs w:val="22"/>
        </w:rPr>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6E26D3">
        <w:rPr>
          <w:rFonts w:ascii="Palatino Linotype" w:eastAsia="Palatino Linotype" w:hAnsi="Palatino Linotype" w:cs="Palatino Linotype"/>
          <w:i/>
          <w:iCs/>
          <w:sz w:val="22"/>
          <w:szCs w:val="22"/>
        </w:rPr>
        <w:t>per se</w:t>
      </w:r>
      <w:r w:rsidRPr="006E26D3">
        <w:rPr>
          <w:rFonts w:ascii="Palatino Linotype" w:eastAsia="Palatino Linotype" w:hAnsi="Palatino Linotype" w:cs="Palatino Linotype"/>
          <w:sz w:val="22"/>
          <w:szCs w:val="22"/>
        </w:rPr>
        <w:t xml:space="preserve"> es un elemento que hace a una persona física identificada o identificable, por lo que, </w:t>
      </w:r>
      <w:r w:rsidRPr="006E26D3">
        <w:rPr>
          <w:rFonts w:ascii="Palatino Linotype" w:eastAsia="Palatino Linotype" w:hAnsi="Palatino Linotype" w:cs="Palatino Linotype"/>
          <w:b/>
          <w:bCs/>
          <w:sz w:val="22"/>
          <w:szCs w:val="22"/>
        </w:rPr>
        <w:t>se considera un dato personal.</w:t>
      </w:r>
    </w:p>
    <w:p w14:paraId="67DCE690" w14:textId="77777777" w:rsidR="008C41BA" w:rsidRPr="006E26D3" w:rsidRDefault="008C41BA">
      <w:pPr>
        <w:spacing w:line="360" w:lineRule="auto"/>
        <w:jc w:val="both"/>
        <w:rPr>
          <w:rFonts w:ascii="Palatino Linotype" w:eastAsia="Palatino Linotype" w:hAnsi="Palatino Linotype" w:cs="Palatino Linotype"/>
          <w:b/>
          <w:bCs/>
          <w:sz w:val="22"/>
          <w:szCs w:val="22"/>
        </w:rPr>
      </w:pPr>
    </w:p>
    <w:p w14:paraId="208623A4" w14:textId="77777777" w:rsidR="008C41BA" w:rsidRPr="006E26D3" w:rsidRDefault="000B1C06">
      <w:pPr>
        <w:spacing w:line="360" w:lineRule="auto"/>
        <w:ind w:right="-9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sz w:val="22"/>
          <w:szCs w:val="22"/>
        </w:rPr>
        <w:t>De conformidad con lo señalado, se colige que las actividades que realicen los particulares, dentro del ámbito privado, o dentro de la esfera particular, es información que debe protegerse; sin embargo, en el presente asunto en particular, los nombres de particulares corresponden a beneficiarios por ser propietarios de vehículos automotores.</w:t>
      </w:r>
    </w:p>
    <w:p w14:paraId="551211AF" w14:textId="77777777" w:rsidR="008C41BA" w:rsidRPr="006E26D3" w:rsidRDefault="008C41BA">
      <w:pPr>
        <w:spacing w:line="360" w:lineRule="auto"/>
        <w:ind w:right="-93"/>
        <w:jc w:val="both"/>
        <w:rPr>
          <w:rFonts w:ascii="Palatino Linotype" w:eastAsia="Palatino Linotype" w:hAnsi="Palatino Linotype" w:cs="Palatino Linotype"/>
          <w:sz w:val="22"/>
          <w:szCs w:val="22"/>
        </w:rPr>
      </w:pPr>
    </w:p>
    <w:p w14:paraId="313D4EE0" w14:textId="77777777" w:rsidR="008C41BA" w:rsidRPr="006E26D3" w:rsidRDefault="000B1C06">
      <w:pPr>
        <w:spacing w:line="360" w:lineRule="auto"/>
        <w:ind w:right="-93"/>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La normatividad en la materia establece que es pública toda aquella información relativa al uso y destino de los recursos públicos, por lo que, bajo esa óptica, el nombre de beneficiarios del programa referido es información pública, y no actualiza causal de clasificación como información confidencial, de acuerdo al artículo 23 penúltimo párrafo, 24 fracción XVIII; 92, fracción XXXI y XLII, </w:t>
      </w:r>
    </w:p>
    <w:p w14:paraId="1807BB39" w14:textId="77777777" w:rsidR="008C41BA" w:rsidRPr="006E26D3" w:rsidRDefault="008C41BA">
      <w:pPr>
        <w:spacing w:line="360" w:lineRule="auto"/>
        <w:ind w:right="-93"/>
        <w:jc w:val="both"/>
        <w:rPr>
          <w:rFonts w:ascii="Palatino Linotype" w:eastAsia="Palatino Linotype" w:hAnsi="Palatino Linotype" w:cs="Palatino Linotype"/>
          <w:sz w:val="22"/>
          <w:szCs w:val="22"/>
        </w:rPr>
      </w:pPr>
    </w:p>
    <w:p w14:paraId="7BA636FF" w14:textId="77777777" w:rsidR="008C41BA" w:rsidRPr="006E26D3" w:rsidRDefault="000B1C06">
      <w:pPr>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Artículo 23. Son sujetos obligados a transparentar y permitir el acceso a su información y proteger los datos personales que obren en su poder:</w:t>
      </w:r>
    </w:p>
    <w:p w14:paraId="3298C4CE" w14:textId="77777777" w:rsidR="008C41BA" w:rsidRPr="006E26D3" w:rsidRDefault="000B1C06">
      <w:pPr>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p>
    <w:p w14:paraId="29C2E988" w14:textId="77777777" w:rsidR="008C41BA" w:rsidRPr="006E26D3" w:rsidRDefault="000B1C06">
      <w:pPr>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Los sujetos obligados deberán hacer pública toda aquella información relativa a los montos y las personas a quienes entreguen, por cualquier motivo, recursos públicos</w:t>
      </w:r>
      <w:r w:rsidRPr="006E26D3">
        <w:rPr>
          <w:rFonts w:ascii="Palatino Linotype" w:eastAsia="Palatino Linotype" w:hAnsi="Palatino Linotype" w:cs="Palatino Linotype"/>
          <w:i/>
          <w:iCs/>
          <w:sz w:val="22"/>
          <w:szCs w:val="22"/>
        </w:rPr>
        <w:t>, así como los informes que dichas personas les entreguen sobre el uso y destino de dichos recursos.</w:t>
      </w:r>
    </w:p>
    <w:p w14:paraId="3585BFF4" w14:textId="77777777" w:rsidR="008C41BA" w:rsidRPr="006E26D3" w:rsidRDefault="000B1C06">
      <w:pPr>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p>
    <w:p w14:paraId="6721BA4C" w14:textId="77777777" w:rsidR="008C41BA" w:rsidRPr="006E26D3" w:rsidRDefault="008C41BA">
      <w:pPr>
        <w:ind w:left="567" w:right="843"/>
        <w:jc w:val="both"/>
        <w:rPr>
          <w:rFonts w:ascii="Palatino Linotype" w:eastAsia="Palatino Linotype" w:hAnsi="Palatino Linotype" w:cs="Palatino Linotype"/>
          <w:i/>
          <w:iCs/>
          <w:sz w:val="22"/>
          <w:szCs w:val="22"/>
        </w:rPr>
      </w:pPr>
    </w:p>
    <w:p w14:paraId="13F4DA77" w14:textId="77777777" w:rsidR="008C41BA" w:rsidRPr="006E26D3" w:rsidRDefault="000B1C06">
      <w:pPr>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Artículo 24. Para el cumplimiento de los objetivos de esta Ley, los sujetos obligados deberán cumplir con las siguientes obligaciones, según corresponda, de acuerdo a su naturaleza:</w:t>
      </w:r>
    </w:p>
    <w:p w14:paraId="336DCD70" w14:textId="77777777" w:rsidR="008C41BA" w:rsidRPr="006E26D3" w:rsidRDefault="000B1C06">
      <w:pPr>
        <w:ind w:left="567" w:right="843"/>
        <w:jc w:val="both"/>
        <w:rPr>
          <w:rFonts w:ascii="Palatino Linotype" w:eastAsia="Palatino Linotype" w:hAnsi="Palatino Linotype" w:cs="Palatino Linotype"/>
          <w:i/>
          <w:iCs/>
          <w:sz w:val="20"/>
          <w:szCs w:val="20"/>
        </w:rPr>
      </w:pPr>
      <w:r w:rsidRPr="006E26D3">
        <w:rPr>
          <w:rFonts w:ascii="Palatino Linotype" w:eastAsia="Palatino Linotype" w:hAnsi="Palatino Linotype" w:cs="Palatino Linotype"/>
          <w:b/>
          <w:bCs/>
          <w:i/>
          <w:iCs/>
          <w:sz w:val="22"/>
          <w:szCs w:val="22"/>
        </w:rPr>
        <w:t>XVIII. Hacer pública toda aquella información relativa a los montos y las personas a quienes entreguen</w:t>
      </w:r>
      <w:r w:rsidRPr="006E26D3">
        <w:rPr>
          <w:rFonts w:ascii="Palatino Linotype" w:eastAsia="Palatino Linotype" w:hAnsi="Palatino Linotype" w:cs="Palatino Linotype"/>
          <w:i/>
          <w:iCs/>
          <w:sz w:val="22"/>
          <w:szCs w:val="22"/>
        </w:rPr>
        <w:t>, por cualquier motivo, recursos públicos, así como los informes que dichas personas les entreguen sobre el uso y destino de dichos recursos;</w:t>
      </w:r>
    </w:p>
    <w:p w14:paraId="166F2319" w14:textId="77777777" w:rsidR="008C41BA" w:rsidRPr="006E26D3" w:rsidRDefault="008C41BA">
      <w:pPr>
        <w:ind w:left="567" w:right="843"/>
        <w:jc w:val="both"/>
        <w:rPr>
          <w:rFonts w:ascii="Palatino Linotype" w:eastAsia="Palatino Linotype" w:hAnsi="Palatino Linotype" w:cs="Palatino Linotype"/>
          <w:i/>
          <w:iCs/>
          <w:sz w:val="20"/>
          <w:szCs w:val="20"/>
        </w:rPr>
      </w:pPr>
    </w:p>
    <w:p w14:paraId="40A22EA7" w14:textId="77777777" w:rsidR="008C41BA" w:rsidRPr="006E26D3" w:rsidRDefault="000B1C06">
      <w:pPr>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Capítulo II </w:t>
      </w:r>
    </w:p>
    <w:p w14:paraId="28E49BD4" w14:textId="77777777" w:rsidR="008C41BA" w:rsidRPr="006E26D3" w:rsidRDefault="000B1C06">
      <w:pPr>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De las Obligaciones de Transparencia Comunes </w:t>
      </w:r>
    </w:p>
    <w:p w14:paraId="653AE1B7" w14:textId="77777777" w:rsidR="008C41BA" w:rsidRPr="006E26D3" w:rsidRDefault="000B1C06">
      <w:pPr>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EF2112F" w14:textId="77777777" w:rsidR="008C41BA" w:rsidRPr="006E26D3" w:rsidRDefault="000B1C06">
      <w:pPr>
        <w:ind w:left="567" w:right="843"/>
        <w:jc w:val="both"/>
        <w:rPr>
          <w:rFonts w:ascii="Palatino Linotype" w:eastAsia="Palatino Linotype" w:hAnsi="Palatino Linotype" w:cs="Palatino Linotype"/>
          <w:b/>
          <w:bCs/>
          <w:i/>
          <w:iCs/>
          <w:sz w:val="20"/>
          <w:szCs w:val="20"/>
        </w:rPr>
      </w:pPr>
      <w:r w:rsidRPr="006E26D3">
        <w:rPr>
          <w:rFonts w:ascii="Palatino Linotype" w:eastAsia="Palatino Linotype" w:hAnsi="Palatino Linotype" w:cs="Palatino Linotype"/>
          <w:b/>
          <w:bCs/>
          <w:i/>
          <w:iCs/>
          <w:sz w:val="22"/>
          <w:szCs w:val="22"/>
        </w:rPr>
        <w:t>…</w:t>
      </w:r>
    </w:p>
    <w:p w14:paraId="4789FA89" w14:textId="77777777" w:rsidR="008C41BA" w:rsidRPr="006E26D3" w:rsidRDefault="000B1C06">
      <w:pPr>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b/>
          <w:bCs/>
          <w:i/>
          <w:iCs/>
          <w:sz w:val="22"/>
          <w:szCs w:val="22"/>
        </w:rPr>
        <w:t>XXXI. Los montos, criterios, convocatorias y listado de personas físicas o jurídicas colectivas, a quienes, por cualquier motivo, se les asigne o permita usar recursos públicos</w:t>
      </w:r>
      <w:r w:rsidRPr="006E26D3">
        <w:rPr>
          <w:rFonts w:ascii="Palatino Linotype" w:eastAsia="Palatino Linotype" w:hAnsi="Palatino Linotype" w:cs="Palatino Linotype"/>
          <w:i/>
          <w:iCs/>
          <w:sz w:val="22"/>
          <w:szCs w:val="22"/>
        </w:rPr>
        <w:t xml:space="preserve"> o, en los términos de las disposiciones jurídicas aplicables, realicen actos de autoridad. Asimismo, los informes que dichas personas les entreguen sobre el uso y destino de dichos recursos;</w:t>
      </w:r>
    </w:p>
    <w:p w14:paraId="135D3808" w14:textId="77777777" w:rsidR="008C41BA" w:rsidRPr="006E26D3" w:rsidRDefault="000B1C06">
      <w:pPr>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w:t>
      </w:r>
    </w:p>
    <w:p w14:paraId="7A3B51B6" w14:textId="77777777" w:rsidR="008C41BA" w:rsidRPr="006E26D3" w:rsidRDefault="000B1C06">
      <w:pPr>
        <w:ind w:left="567" w:right="843"/>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XLII. Los programas que ofrecen, incluyendo información sobre la población, objetivo y destino, tiempos de respuesta, requisitos y formatos para acceder a los mismos;</w:t>
      </w:r>
    </w:p>
    <w:p w14:paraId="50BAA5E8" w14:textId="77777777" w:rsidR="008C41BA" w:rsidRPr="006E26D3" w:rsidRDefault="000B1C06">
      <w:pPr>
        <w:ind w:left="567" w:right="843"/>
        <w:jc w:val="both"/>
        <w:rPr>
          <w:rFonts w:ascii="Palatino Linotype" w:eastAsia="Palatino Linotype" w:hAnsi="Palatino Linotype" w:cs="Palatino Linotype"/>
          <w:i/>
          <w:iCs/>
          <w:sz w:val="20"/>
          <w:szCs w:val="20"/>
        </w:rPr>
      </w:pPr>
      <w:r w:rsidRPr="006E26D3">
        <w:rPr>
          <w:rFonts w:ascii="Palatino Linotype" w:eastAsia="Palatino Linotype" w:hAnsi="Palatino Linotype" w:cs="Palatino Linotype"/>
          <w:i/>
          <w:iCs/>
          <w:sz w:val="22"/>
          <w:szCs w:val="22"/>
        </w:rPr>
        <w:t>…</w:t>
      </w:r>
    </w:p>
    <w:p w14:paraId="237B999D" w14:textId="77777777" w:rsidR="008C41BA" w:rsidRPr="006E26D3" w:rsidRDefault="008C41BA">
      <w:pPr>
        <w:spacing w:line="360" w:lineRule="auto"/>
        <w:ind w:right="-93"/>
        <w:jc w:val="both"/>
        <w:rPr>
          <w:rFonts w:ascii="Palatino Linotype" w:eastAsia="Palatino Linotype" w:hAnsi="Palatino Linotype" w:cs="Palatino Linotype"/>
          <w:sz w:val="22"/>
          <w:szCs w:val="22"/>
        </w:rPr>
      </w:pPr>
    </w:p>
    <w:p w14:paraId="57C0D7D4"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Es así que, el nombre de los beneficiarios de los programas que ofrece el Ayuntamiento es de naturaleza pública. </w:t>
      </w:r>
    </w:p>
    <w:p w14:paraId="1C24B7E9"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47B01B98" w14:textId="77777777" w:rsidR="008C41BA" w:rsidRPr="006E26D3" w:rsidRDefault="000B1C06">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6E26D3">
        <w:rPr>
          <w:rFonts w:ascii="Palatino Linotype" w:eastAsia="Palatino Linotype" w:hAnsi="Palatino Linotype" w:cs="Palatino Linotype"/>
          <w:b/>
          <w:bCs/>
        </w:rPr>
        <w:t>Domicilio particular.</w:t>
      </w:r>
      <w:r w:rsidRPr="006E26D3">
        <w:rPr>
          <w:rFonts w:ascii="Palatino Linotype" w:eastAsia="Palatino Linotype" w:hAnsi="Palatino Linotype" w:cs="Palatino Linotype"/>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4A1F67AA" w14:textId="77777777" w:rsidR="008C41BA" w:rsidRPr="006E26D3" w:rsidRDefault="000B1C06">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bCs/>
        </w:rPr>
      </w:pPr>
      <w:r w:rsidRPr="006E26D3">
        <w:rPr>
          <w:rFonts w:ascii="Palatino Linotype" w:eastAsia="Palatino Linotype" w:hAnsi="Palatino Linotype" w:cs="Palatino Linotype"/>
        </w:rPr>
        <w:t>De la misma manera, lo establece el artículo 29 del Código Civil Federal, al precisar que el domicilio de personas físicas</w:t>
      </w:r>
      <w:r w:rsidRPr="006E26D3">
        <w:rPr>
          <w:rFonts w:ascii="Palatino Linotype" w:eastAsia="Palatino Linotype" w:hAnsi="Palatino Linotype" w:cs="Palatino Linotype"/>
          <w:b/>
          <w:bCs/>
        </w:rPr>
        <w:t xml:space="preserve">, </w:t>
      </w:r>
      <w:r w:rsidRPr="006E26D3">
        <w:rPr>
          <w:rFonts w:ascii="Palatino Linotype" w:eastAsia="Palatino Linotype" w:hAnsi="Palatino Linotype" w:cs="Palatino Linotype"/>
        </w:rPr>
        <w:t>es el lugar donde residen habitualmente, el lugar del centro principal de sus negocios, donde residan o el lugar donde se encuentren.</w:t>
      </w:r>
    </w:p>
    <w:p w14:paraId="31D8CF9B" w14:textId="77777777" w:rsidR="008C41BA" w:rsidRPr="006E26D3" w:rsidRDefault="000B1C06">
      <w:pPr>
        <w:spacing w:before="240" w:after="240" w:line="360" w:lineRule="auto"/>
        <w:ind w:right="-93"/>
        <w:jc w:val="both"/>
        <w:rPr>
          <w:rFonts w:ascii="Palatino Linotype" w:eastAsia="Palatino Linotype" w:hAnsi="Palatino Linotype" w:cs="Palatino Linotype"/>
        </w:rPr>
      </w:pPr>
      <w:r w:rsidRPr="006E26D3">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65A147E5" w14:textId="77777777" w:rsidR="008C41BA" w:rsidRPr="006E26D3" w:rsidRDefault="000B1C06">
      <w:pPr>
        <w:spacing w:before="240" w:after="240" w:line="360" w:lineRule="auto"/>
        <w:ind w:right="-93"/>
        <w:jc w:val="both"/>
        <w:rPr>
          <w:rFonts w:ascii="Palatino Linotype" w:eastAsia="Palatino Linotype" w:hAnsi="Palatino Linotype" w:cs="Palatino Linotype"/>
        </w:rPr>
      </w:pPr>
      <w:r w:rsidRPr="006E26D3">
        <w:rPr>
          <w:rFonts w:ascii="Palatino Linotype" w:eastAsia="Palatino Linotype" w:hAnsi="Palatino Linotype" w:cs="Palatino Linotype"/>
        </w:rPr>
        <w:t xml:space="preserve">Por lo tanto, se actualiza la clasificación del </w:t>
      </w:r>
      <w:r w:rsidRPr="006E26D3">
        <w:rPr>
          <w:rFonts w:ascii="Palatino Linotype" w:eastAsia="Palatino Linotype" w:hAnsi="Palatino Linotype" w:cs="Palatino Linotype"/>
          <w:b/>
          <w:bCs/>
          <w:u w:val="single"/>
        </w:rPr>
        <w:t>domicilio particular y su comprobante</w:t>
      </w:r>
      <w:r w:rsidRPr="006E26D3">
        <w:rPr>
          <w:rFonts w:ascii="Palatino Linotype" w:eastAsia="Palatino Linotype" w:hAnsi="Palatino Linotype" w:cs="Palatino Linotype"/>
        </w:rPr>
        <w:t>, de conformidad con la fracción I, del artículo 143 de la Ley de Transparencia y Acceso a la Información Pública del Estado de México y Municipios.</w:t>
      </w:r>
    </w:p>
    <w:p w14:paraId="77500D2E" w14:textId="77777777" w:rsidR="008C41BA" w:rsidRPr="006E26D3" w:rsidRDefault="000B1C06">
      <w:pPr>
        <w:spacing w:before="240" w:after="240" w:line="360" w:lineRule="auto"/>
        <w:ind w:right="-93"/>
        <w:jc w:val="both"/>
        <w:rPr>
          <w:rFonts w:ascii="Palatino Linotype" w:eastAsia="Palatino Linotype" w:hAnsi="Palatino Linotype" w:cs="Palatino Linotype"/>
        </w:rPr>
      </w:pPr>
      <w:r w:rsidRPr="006E26D3">
        <w:rPr>
          <w:rFonts w:ascii="Palatino Linotype" w:eastAsia="Palatino Linotype" w:hAnsi="Palatino Linotype" w:cs="Palatino Linotype"/>
          <w:b/>
          <w:bCs/>
        </w:rPr>
        <w:t>- Teléfono particular</w:t>
      </w:r>
      <w:r w:rsidRPr="006E26D3">
        <w:rPr>
          <w:rFonts w:ascii="Palatino Linotype" w:eastAsia="Palatino Linotype" w:hAnsi="Palatino Linotype" w:cs="Palatino Linotype"/>
        </w:rPr>
        <w:t xml:space="preserve">. Constituye un medio para comunicarse con una persona física identificada o identificable, por lo que la hace localizable. Por lo tanto, se trata de información que al darse a conocer afectaría la intimidad de la persona respectiva, siendo susceptible de clasificarse como información confidencial de conformidad con la fracción I, del artículo 143 de la Ley de Transparencia y Acceso a la Información Pública del Estado de México y Municipios. </w:t>
      </w:r>
    </w:p>
    <w:p w14:paraId="55169A9E" w14:textId="77777777" w:rsidR="008C41BA" w:rsidRPr="006E26D3" w:rsidRDefault="000B1C06">
      <w:pPr>
        <w:shd w:val="clear" w:color="auto" w:fill="FFFFFF"/>
        <w:spacing w:line="360" w:lineRule="auto"/>
        <w:ind w:right="51"/>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6E26D3">
        <w:rPr>
          <w:rFonts w:ascii="Palatino Linotype" w:eastAsia="Palatino Linotype" w:hAnsi="Palatino Linotype" w:cs="Palatino Linotype"/>
          <w:b/>
          <w:bCs/>
          <w:sz w:val="22"/>
          <w:szCs w:val="22"/>
        </w:rPr>
        <w:t>la parte</w:t>
      </w:r>
      <w:r w:rsidRPr="006E26D3">
        <w:rPr>
          <w:rFonts w:ascii="Palatino Linotype" w:eastAsia="Palatino Linotype" w:hAnsi="Palatino Linotype" w:cs="Palatino Linotype"/>
          <w:sz w:val="22"/>
          <w:szCs w:val="22"/>
        </w:rPr>
        <w:t xml:space="preserve"> </w:t>
      </w:r>
      <w:r w:rsidRPr="006E26D3">
        <w:rPr>
          <w:rFonts w:ascii="Palatino Linotype" w:eastAsia="Palatino Linotype" w:hAnsi="Palatino Linotype" w:cs="Palatino Linotype"/>
          <w:b/>
          <w:bCs/>
          <w:sz w:val="22"/>
          <w:szCs w:val="22"/>
        </w:rPr>
        <w:t>Recurrente</w:t>
      </w:r>
      <w:r w:rsidRPr="006E26D3">
        <w:rPr>
          <w:rFonts w:ascii="Palatino Linotype" w:eastAsia="Palatino Linotype" w:hAnsi="Palatino Linotype" w:cs="Palatino Linotype"/>
          <w:sz w:val="22"/>
          <w:szCs w:val="22"/>
        </w:rPr>
        <w:t>.</w:t>
      </w:r>
    </w:p>
    <w:p w14:paraId="5F367171" w14:textId="77777777" w:rsidR="008C41BA" w:rsidRPr="006E26D3" w:rsidRDefault="000B1C06">
      <w:pPr>
        <w:spacing w:before="240" w:after="240"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46AAF848" w14:textId="77777777" w:rsidR="008C41BA" w:rsidRPr="006E26D3" w:rsidRDefault="000B1C06">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R E S U E L V E:</w:t>
      </w:r>
    </w:p>
    <w:p w14:paraId="2803C224" w14:textId="77777777" w:rsidR="008C41BA" w:rsidRPr="006E26D3" w:rsidRDefault="000B1C06">
      <w:pPr>
        <w:spacing w:before="240" w:after="240" w:line="360" w:lineRule="auto"/>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 xml:space="preserve">Primero. </w:t>
      </w:r>
      <w:r w:rsidRPr="006E26D3">
        <w:rPr>
          <w:rFonts w:ascii="Palatino Linotype" w:eastAsia="Palatino Linotype" w:hAnsi="Palatino Linotype" w:cs="Palatino Linotype"/>
          <w:sz w:val="22"/>
          <w:szCs w:val="22"/>
        </w:rPr>
        <w:t>Resultan</w:t>
      </w:r>
      <w:r w:rsidRPr="006E26D3">
        <w:rPr>
          <w:rFonts w:ascii="Palatino Linotype" w:eastAsia="Palatino Linotype" w:hAnsi="Palatino Linotype" w:cs="Palatino Linotype"/>
          <w:b/>
          <w:bCs/>
          <w:sz w:val="22"/>
          <w:szCs w:val="22"/>
        </w:rPr>
        <w:t xml:space="preserve"> parcialmente fundados </w:t>
      </w:r>
      <w:r w:rsidRPr="006E26D3">
        <w:rPr>
          <w:rFonts w:ascii="Palatino Linotype" w:eastAsia="Palatino Linotype" w:hAnsi="Palatino Linotype" w:cs="Palatino Linotype"/>
          <w:sz w:val="22"/>
          <w:szCs w:val="22"/>
        </w:rPr>
        <w:t xml:space="preserve">los motivos de inconformidad hechos valer por </w:t>
      </w:r>
      <w:r w:rsidRPr="006E26D3">
        <w:rPr>
          <w:rFonts w:ascii="Palatino Linotype" w:eastAsia="Palatino Linotype" w:hAnsi="Palatino Linotype" w:cs="Palatino Linotype"/>
          <w:b/>
          <w:bCs/>
          <w:sz w:val="22"/>
          <w:szCs w:val="22"/>
        </w:rPr>
        <w:t>la parte Recurrente</w:t>
      </w:r>
      <w:r w:rsidRPr="006E26D3">
        <w:rPr>
          <w:rFonts w:ascii="Palatino Linotype" w:eastAsia="Palatino Linotype" w:hAnsi="Palatino Linotype" w:cs="Palatino Linotype"/>
          <w:sz w:val="22"/>
          <w:szCs w:val="22"/>
        </w:rPr>
        <w:t xml:space="preserve"> en el Recurso de Revisión</w:t>
      </w:r>
      <w:r w:rsidRPr="006E26D3">
        <w:rPr>
          <w:rFonts w:ascii="Palatino Linotype" w:eastAsia="Palatino Linotype" w:hAnsi="Palatino Linotype" w:cs="Palatino Linotype"/>
          <w:b/>
          <w:bCs/>
          <w:sz w:val="22"/>
          <w:szCs w:val="22"/>
        </w:rPr>
        <w:t xml:space="preserve"> 08919/INFOEM/IP/RR/2025, </w:t>
      </w:r>
      <w:r w:rsidRPr="006E26D3">
        <w:rPr>
          <w:rFonts w:ascii="Palatino Linotype" w:eastAsia="Palatino Linotype" w:hAnsi="Palatino Linotype" w:cs="Palatino Linotype"/>
          <w:sz w:val="22"/>
          <w:szCs w:val="22"/>
        </w:rPr>
        <w:t>por lo que</w:t>
      </w:r>
      <w:r w:rsidRPr="006E26D3">
        <w:rPr>
          <w:rFonts w:ascii="Palatino Linotype" w:eastAsia="Palatino Linotype" w:hAnsi="Palatino Linotype" w:cs="Palatino Linotype"/>
          <w:b/>
          <w:bCs/>
          <w:sz w:val="22"/>
          <w:szCs w:val="22"/>
        </w:rPr>
        <w:t xml:space="preserve">, en términos del Considerando Cuarto </w:t>
      </w:r>
      <w:r w:rsidRPr="006E26D3">
        <w:rPr>
          <w:rFonts w:ascii="Palatino Linotype" w:eastAsia="Palatino Linotype" w:hAnsi="Palatino Linotype" w:cs="Palatino Linotype"/>
          <w:sz w:val="22"/>
          <w:szCs w:val="22"/>
        </w:rPr>
        <w:t>de la presente resolución</w:t>
      </w:r>
      <w:r w:rsidRPr="006E26D3">
        <w:rPr>
          <w:rFonts w:ascii="Palatino Linotype" w:eastAsia="Palatino Linotype" w:hAnsi="Palatino Linotype" w:cs="Palatino Linotype"/>
          <w:b/>
          <w:bCs/>
          <w:sz w:val="22"/>
          <w:szCs w:val="22"/>
        </w:rPr>
        <w:t>, se MODIFICA l</w:t>
      </w:r>
      <w:r w:rsidRPr="006E26D3">
        <w:rPr>
          <w:rFonts w:ascii="Palatino Linotype" w:eastAsia="Palatino Linotype" w:hAnsi="Palatino Linotype" w:cs="Palatino Linotype"/>
          <w:sz w:val="22"/>
          <w:szCs w:val="22"/>
        </w:rPr>
        <w:t>a respuesta del</w:t>
      </w:r>
      <w:r w:rsidRPr="006E26D3">
        <w:rPr>
          <w:rFonts w:ascii="Palatino Linotype" w:eastAsia="Palatino Linotype" w:hAnsi="Palatino Linotype" w:cs="Palatino Linotype"/>
          <w:b/>
          <w:bCs/>
          <w:sz w:val="22"/>
          <w:szCs w:val="22"/>
        </w:rPr>
        <w:t xml:space="preserve"> Sujeto Obligado.</w:t>
      </w:r>
    </w:p>
    <w:p w14:paraId="333BACB4" w14:textId="77777777" w:rsidR="008C41BA" w:rsidRPr="006E26D3" w:rsidRDefault="000B1C06">
      <w:pPr>
        <w:spacing w:before="240" w:after="240" w:line="360" w:lineRule="auto"/>
        <w:jc w:val="both"/>
        <w:rPr>
          <w:rFonts w:ascii="Palatino Linotype" w:eastAsia="Palatino Linotype" w:hAnsi="Palatino Linotype" w:cs="Palatino Linotype"/>
          <w:b/>
          <w:bCs/>
          <w:sz w:val="22"/>
          <w:szCs w:val="22"/>
        </w:rPr>
      </w:pPr>
      <w:bookmarkStart w:id="3" w:name="_heading=h.j3ppyxwlb1s2" w:colFirst="0" w:colLast="0"/>
      <w:bookmarkEnd w:id="3"/>
      <w:r w:rsidRPr="006E26D3">
        <w:rPr>
          <w:rFonts w:ascii="Palatino Linotype" w:eastAsia="Palatino Linotype" w:hAnsi="Palatino Linotype" w:cs="Palatino Linotype"/>
          <w:b/>
          <w:bCs/>
          <w:sz w:val="22"/>
          <w:szCs w:val="22"/>
        </w:rPr>
        <w:t xml:space="preserve">Segundo. Se Ordena al Sujeto Obligado </w:t>
      </w:r>
      <w:r w:rsidRPr="006E26D3">
        <w:rPr>
          <w:rFonts w:ascii="Palatino Linotype" w:eastAsia="Palatino Linotype" w:hAnsi="Palatino Linotype" w:cs="Palatino Linotype"/>
          <w:sz w:val="22"/>
          <w:szCs w:val="22"/>
        </w:rPr>
        <w:t>que en términos de los</w:t>
      </w:r>
      <w:r w:rsidRPr="006E26D3">
        <w:rPr>
          <w:rFonts w:ascii="Palatino Linotype" w:eastAsia="Palatino Linotype" w:hAnsi="Palatino Linotype" w:cs="Palatino Linotype"/>
          <w:b/>
          <w:bCs/>
          <w:sz w:val="22"/>
          <w:szCs w:val="22"/>
        </w:rPr>
        <w:t xml:space="preserve"> Considerandos Cuarto y Quinto </w:t>
      </w:r>
      <w:r w:rsidRPr="006E26D3">
        <w:rPr>
          <w:rFonts w:ascii="Palatino Linotype" w:eastAsia="Palatino Linotype" w:hAnsi="Palatino Linotype" w:cs="Palatino Linotype"/>
          <w:sz w:val="22"/>
          <w:szCs w:val="22"/>
        </w:rPr>
        <w:t xml:space="preserve">de esta resolución, haga entrega a </w:t>
      </w:r>
      <w:r w:rsidRPr="006E26D3">
        <w:rPr>
          <w:rFonts w:ascii="Palatino Linotype" w:eastAsia="Palatino Linotype" w:hAnsi="Palatino Linotype" w:cs="Palatino Linotype"/>
          <w:b/>
          <w:bCs/>
          <w:sz w:val="22"/>
          <w:szCs w:val="22"/>
        </w:rPr>
        <w:t xml:space="preserve">la parte Recurrente a través del SAIMEX, previa búsqueda exhaustiva y razonable, </w:t>
      </w:r>
      <w:r w:rsidRPr="006E26D3">
        <w:rPr>
          <w:rFonts w:ascii="Palatino Linotype" w:eastAsia="Palatino Linotype" w:hAnsi="Palatino Linotype" w:cs="Palatino Linotype"/>
          <w:sz w:val="22"/>
          <w:szCs w:val="22"/>
        </w:rPr>
        <w:t xml:space="preserve">en versión pública, la siguiente información: </w:t>
      </w:r>
    </w:p>
    <w:p w14:paraId="135D5620" w14:textId="77777777" w:rsidR="008C41BA" w:rsidRPr="006E26D3" w:rsidRDefault="000B1C06">
      <w:pPr>
        <w:numPr>
          <w:ilvl w:val="0"/>
          <w:numId w:val="5"/>
        </w:num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Del procedimiento de adquisición de Membresía Integral para la casa habitación a los contribuyentes cumplidos en el Municipio que realicen su pago íntegro del impuesto predial del ejercicio fiscal 2025:</w:t>
      </w:r>
    </w:p>
    <w:p w14:paraId="7EBDD034" w14:textId="77777777" w:rsidR="008C41BA" w:rsidRPr="006E26D3" w:rsidRDefault="000B1C06">
      <w:pPr>
        <w:numPr>
          <w:ilvl w:val="0"/>
          <w:numId w:val="2"/>
        </w:numPr>
        <w:pBdr>
          <w:top w:val="nil"/>
          <w:left w:val="nil"/>
          <w:bottom w:val="nil"/>
          <w:right w:val="nil"/>
          <w:between w:val="nil"/>
        </w:pBdr>
        <w:spacing w:line="360" w:lineRule="auto"/>
        <w:ind w:left="993" w:right="843"/>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Gacetas municipales donde se haya realizado la publicación del procedimiento de adquisición al veintiocho de mayo de dos mil veinticinco; y,</w:t>
      </w:r>
    </w:p>
    <w:p w14:paraId="52E95F23" w14:textId="77777777" w:rsidR="008C41BA" w:rsidRPr="006E26D3" w:rsidRDefault="000B1C06">
      <w:pPr>
        <w:numPr>
          <w:ilvl w:val="0"/>
          <w:numId w:val="2"/>
        </w:numPr>
        <w:pBdr>
          <w:top w:val="nil"/>
          <w:left w:val="nil"/>
          <w:bottom w:val="nil"/>
          <w:right w:val="nil"/>
          <w:between w:val="nil"/>
        </w:pBdr>
        <w:spacing w:line="360" w:lineRule="auto"/>
        <w:ind w:left="993" w:right="843"/>
        <w:jc w:val="both"/>
        <w:rPr>
          <w:rFonts w:ascii="Palatino Linotype" w:eastAsia="Palatino Linotype" w:hAnsi="Palatino Linotype" w:cs="Palatino Linotype"/>
          <w:b/>
          <w:bCs/>
          <w:sz w:val="22"/>
          <w:szCs w:val="22"/>
        </w:rPr>
      </w:pPr>
      <w:r w:rsidRPr="006E26D3">
        <w:rPr>
          <w:rFonts w:ascii="Palatino Linotype" w:eastAsia="Palatino Linotype" w:hAnsi="Palatino Linotype" w:cs="Palatino Linotype"/>
          <w:b/>
          <w:bCs/>
          <w:sz w:val="22"/>
          <w:szCs w:val="22"/>
        </w:rPr>
        <w:t>Membresías integrales de los beneficiarios al veintiocho de mayo de dos mil veinticinco.</w:t>
      </w:r>
    </w:p>
    <w:p w14:paraId="5DF3B27B" w14:textId="77777777" w:rsidR="008C41BA" w:rsidRPr="006E26D3" w:rsidRDefault="008C41BA">
      <w:p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p>
    <w:p w14:paraId="691300AF" w14:textId="77777777" w:rsidR="008C41BA" w:rsidRPr="006E26D3" w:rsidRDefault="000B1C06">
      <w:pPr>
        <w:pBdr>
          <w:top w:val="nil"/>
          <w:left w:val="nil"/>
          <w:bottom w:val="nil"/>
          <w:right w:val="nil"/>
          <w:between w:val="nil"/>
        </w:pBdr>
        <w:ind w:left="284" w:right="56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6E26D3">
        <w:rPr>
          <w:rFonts w:ascii="Palatino Linotype" w:eastAsia="Palatino Linotype" w:hAnsi="Palatino Linotype" w:cs="Palatino Linotype"/>
          <w:b/>
          <w:bCs/>
          <w:i/>
          <w:iCs/>
          <w:sz w:val="22"/>
          <w:szCs w:val="22"/>
        </w:rPr>
        <w:t>,</w:t>
      </w:r>
      <w:r w:rsidRPr="006E26D3">
        <w:rPr>
          <w:rFonts w:ascii="Palatino Linotype" w:eastAsia="Palatino Linotype" w:hAnsi="Palatino Linotype" w:cs="Palatino Linotype"/>
          <w:i/>
          <w:iCs/>
          <w:sz w:val="22"/>
          <w:szCs w:val="22"/>
        </w:rPr>
        <w:t xml:space="preserve"> y  se ponga a disposición de la parte Recurrente, en términos de los artículos 49, fracción VIII,  de la Ley de Transparencia y Acceso a la Información Pública del Estado de México y Municipios.</w:t>
      </w:r>
    </w:p>
    <w:p w14:paraId="190E17E9" w14:textId="77777777" w:rsidR="008C41BA" w:rsidRPr="006E26D3" w:rsidRDefault="008C41BA">
      <w:pPr>
        <w:pBdr>
          <w:top w:val="nil"/>
          <w:left w:val="nil"/>
          <w:bottom w:val="nil"/>
          <w:right w:val="nil"/>
          <w:between w:val="nil"/>
        </w:pBdr>
        <w:ind w:left="284" w:right="560"/>
        <w:jc w:val="both"/>
        <w:rPr>
          <w:rFonts w:ascii="Palatino Linotype" w:eastAsia="Palatino Linotype" w:hAnsi="Palatino Linotype" w:cs="Palatino Linotype"/>
          <w:i/>
          <w:iCs/>
          <w:sz w:val="22"/>
          <w:szCs w:val="22"/>
        </w:rPr>
      </w:pPr>
    </w:p>
    <w:p w14:paraId="4CB8136B" w14:textId="77777777" w:rsidR="008C41BA" w:rsidRPr="006E26D3" w:rsidRDefault="000B1C06">
      <w:pPr>
        <w:pBdr>
          <w:top w:val="nil"/>
          <w:left w:val="nil"/>
          <w:bottom w:val="nil"/>
          <w:right w:val="nil"/>
          <w:between w:val="nil"/>
        </w:pBdr>
        <w:ind w:left="284" w:right="560"/>
        <w:jc w:val="both"/>
        <w:rPr>
          <w:rFonts w:ascii="Palatino Linotype" w:eastAsia="Palatino Linotype" w:hAnsi="Palatino Linotype" w:cs="Palatino Linotype"/>
          <w:i/>
          <w:iCs/>
          <w:sz w:val="22"/>
          <w:szCs w:val="22"/>
        </w:rPr>
      </w:pPr>
      <w:r w:rsidRPr="006E26D3">
        <w:rPr>
          <w:rFonts w:ascii="Palatino Linotype" w:eastAsia="Palatino Linotype" w:hAnsi="Palatino Linotype" w:cs="Palatino Linotype"/>
          <w:i/>
          <w:iCs/>
          <w:sz w:val="22"/>
          <w:szCs w:val="22"/>
        </w:rPr>
        <w:t xml:space="preserve">De ser el caso de que no se cuente con Gacetas Municipales, por el hecho de que el procedimiento no se haya publicado en la misma, bastará con que así lo haga del conocimiento de la parte </w:t>
      </w:r>
      <w:r w:rsidRPr="006E26D3">
        <w:rPr>
          <w:rFonts w:ascii="Palatino Linotype" w:eastAsia="Palatino Linotype" w:hAnsi="Palatino Linotype" w:cs="Palatino Linotype"/>
          <w:b/>
          <w:bCs/>
          <w:i/>
          <w:iCs/>
          <w:sz w:val="22"/>
          <w:szCs w:val="22"/>
        </w:rPr>
        <w:t>Recurrente</w:t>
      </w:r>
      <w:r w:rsidRPr="006E26D3">
        <w:rPr>
          <w:rFonts w:ascii="Palatino Linotype" w:eastAsia="Palatino Linotype" w:hAnsi="Palatino Linotype" w:cs="Palatino Linotype"/>
          <w:i/>
          <w:iCs/>
          <w:sz w:val="22"/>
          <w:szCs w:val="22"/>
        </w:rPr>
        <w:t xml:space="preserve">, de manera clara y precisa, en términos del artículo 19, párrafo segundo de la Ley de Transparencia y Acceso a la Información pública del Estado de México y Municipios para tener por colmado el requerimiento de información. </w:t>
      </w:r>
    </w:p>
    <w:p w14:paraId="4CCDDE8A" w14:textId="77777777" w:rsidR="008C41BA" w:rsidRPr="006E26D3" w:rsidRDefault="008C41BA">
      <w:pPr>
        <w:pBdr>
          <w:top w:val="nil"/>
          <w:left w:val="nil"/>
          <w:bottom w:val="nil"/>
          <w:right w:val="nil"/>
          <w:between w:val="nil"/>
        </w:pBdr>
        <w:ind w:left="284" w:right="560"/>
        <w:jc w:val="both"/>
        <w:rPr>
          <w:rFonts w:ascii="Palatino Linotype" w:eastAsia="Palatino Linotype" w:hAnsi="Palatino Linotype" w:cs="Palatino Linotype"/>
          <w:i/>
          <w:iCs/>
          <w:sz w:val="22"/>
          <w:szCs w:val="22"/>
        </w:rPr>
      </w:pPr>
    </w:p>
    <w:p w14:paraId="10DF38D7" w14:textId="77777777" w:rsidR="008C41BA" w:rsidRPr="006E26D3" w:rsidRDefault="000B1C06">
      <w:pPr>
        <w:spacing w:before="240" w:after="240"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 xml:space="preserve">Tercero. Notifíquese vía SAIMEX, </w:t>
      </w:r>
      <w:r w:rsidRPr="006E26D3">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944860" w14:textId="77777777" w:rsidR="008C41BA" w:rsidRPr="006E26D3" w:rsidRDefault="000B1C06">
      <w:pPr>
        <w:spacing w:before="240" w:after="240"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 xml:space="preserve">Cuarto. </w:t>
      </w:r>
      <w:r w:rsidRPr="006E26D3">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6E26D3">
        <w:rPr>
          <w:rFonts w:ascii="Palatino Linotype" w:eastAsia="Palatino Linotype" w:hAnsi="Palatino Linotype" w:cs="Palatino Linotype"/>
          <w:b/>
          <w:bCs/>
          <w:sz w:val="22"/>
          <w:szCs w:val="22"/>
        </w:rPr>
        <w:t>Sujeto Obligado</w:t>
      </w:r>
      <w:r w:rsidRPr="006E26D3">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9A97485" w14:textId="77777777" w:rsidR="008C41BA" w:rsidRPr="006E26D3" w:rsidRDefault="000B1C06">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6E26D3">
        <w:rPr>
          <w:rFonts w:ascii="Palatino Linotype" w:eastAsia="Palatino Linotype" w:hAnsi="Palatino Linotype" w:cs="Palatino Linotype"/>
          <w:b/>
          <w:bCs/>
          <w:sz w:val="22"/>
          <w:szCs w:val="22"/>
        </w:rPr>
        <w:t xml:space="preserve">Quinto. Notifíquese vía SAIMEX, </w:t>
      </w:r>
      <w:r w:rsidRPr="006E26D3">
        <w:rPr>
          <w:rFonts w:ascii="Palatino Linotype" w:eastAsia="Palatino Linotype" w:hAnsi="Palatino Linotype" w:cs="Palatino Linotype"/>
          <w:sz w:val="22"/>
          <w:szCs w:val="22"/>
        </w:rPr>
        <w:t>a</w:t>
      </w:r>
      <w:r w:rsidRPr="006E26D3">
        <w:rPr>
          <w:rFonts w:ascii="Palatino Linotype" w:eastAsia="Palatino Linotype" w:hAnsi="Palatino Linotype" w:cs="Palatino Linotype"/>
          <w:b/>
          <w:bCs/>
          <w:sz w:val="22"/>
          <w:szCs w:val="22"/>
        </w:rPr>
        <w:t xml:space="preserve"> la parte Recurrente</w:t>
      </w:r>
      <w:r w:rsidRPr="006E26D3">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74E816DD"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06C20291" w14:textId="77777777" w:rsidR="008C41BA" w:rsidRPr="006E26D3" w:rsidRDefault="000B1C06">
      <w:pPr>
        <w:spacing w:line="360" w:lineRule="auto"/>
        <w:jc w:val="both"/>
        <w:rPr>
          <w:rFonts w:ascii="Palatino Linotype" w:eastAsia="Palatino Linotype" w:hAnsi="Palatino Linotype" w:cs="Palatino Linotype"/>
          <w:sz w:val="22"/>
          <w:szCs w:val="22"/>
        </w:rPr>
      </w:pPr>
      <w:r w:rsidRPr="006E26D3">
        <w:rPr>
          <w:rFonts w:ascii="Palatino Linotype" w:eastAsia="Palatino Linotype" w:hAnsi="Palatino Linotype" w:cs="Palatino Linotype"/>
          <w:b/>
          <w:bCs/>
          <w:sz w:val="22"/>
          <w:szCs w:val="22"/>
        </w:rPr>
        <w:t>Sexto</w:t>
      </w:r>
      <w:r w:rsidRPr="006E26D3">
        <w:rPr>
          <w:rFonts w:ascii="Palatino Linotype" w:eastAsia="Palatino Linotype" w:hAnsi="Palatino Linotype" w:cs="Palatino Linotype"/>
          <w:sz w:val="22"/>
          <w:szCs w:val="22"/>
        </w:rPr>
        <w:t xml:space="preserve">. Gírese oficio a la </w:t>
      </w:r>
      <w:r w:rsidRPr="006E26D3">
        <w:rPr>
          <w:rFonts w:ascii="Palatino Linotype" w:eastAsia="Palatino Linotype" w:hAnsi="Palatino Linotype" w:cs="Palatino Linotype"/>
          <w:b/>
          <w:bCs/>
          <w:sz w:val="22"/>
          <w:szCs w:val="22"/>
        </w:rPr>
        <w:t>Dirección General de Protección de Datos Personales</w:t>
      </w:r>
      <w:r w:rsidRPr="006E26D3">
        <w:rPr>
          <w:rFonts w:ascii="Palatino Linotype" w:eastAsia="Palatino Linotype" w:hAnsi="Palatino Linotype" w:cs="Palatino Linotype"/>
          <w:sz w:val="22"/>
          <w:szCs w:val="22"/>
        </w:rPr>
        <w:t xml:space="preserve"> en atención al artículo 82, fracción XXVII de la Ley de Protección de Datos Personales del Estado de México y Municipios, a fin de que determine lo conducente en términos del </w:t>
      </w:r>
      <w:r w:rsidRPr="006E26D3">
        <w:rPr>
          <w:rFonts w:ascii="Palatino Linotype" w:eastAsia="Palatino Linotype" w:hAnsi="Palatino Linotype" w:cs="Palatino Linotype"/>
          <w:b/>
          <w:bCs/>
          <w:sz w:val="22"/>
          <w:szCs w:val="22"/>
        </w:rPr>
        <w:t>Considerando Cuarto</w:t>
      </w:r>
      <w:r w:rsidRPr="006E26D3">
        <w:rPr>
          <w:rFonts w:ascii="Palatino Linotype" w:eastAsia="Palatino Linotype" w:hAnsi="Palatino Linotype" w:cs="Palatino Linotype"/>
          <w:sz w:val="22"/>
          <w:szCs w:val="22"/>
        </w:rPr>
        <w:t xml:space="preserve"> de la presente resolución. </w:t>
      </w:r>
    </w:p>
    <w:p w14:paraId="5BE925E7" w14:textId="77777777" w:rsidR="008C41BA" w:rsidRPr="006E26D3" w:rsidRDefault="008C41BA">
      <w:pPr>
        <w:spacing w:line="360" w:lineRule="auto"/>
        <w:jc w:val="both"/>
        <w:rPr>
          <w:rFonts w:ascii="Palatino Linotype" w:eastAsia="Palatino Linotype" w:hAnsi="Palatino Linotype" w:cs="Palatino Linotype"/>
          <w:sz w:val="22"/>
          <w:szCs w:val="22"/>
        </w:rPr>
      </w:pPr>
    </w:p>
    <w:p w14:paraId="460A65FF" w14:textId="77777777" w:rsidR="006E26D3" w:rsidRDefault="000B1C06">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r w:rsidRPr="006E26D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TRES DE DICIEMBRE DE DOS MIL VEINTICINCO, ANTE EL SECRETARIO TÉCNICO DEL PLENO ALEXIS TAPIA RAMÍREZ.</w:t>
      </w:r>
    </w:p>
    <w:p w14:paraId="167E5A3A" w14:textId="77777777" w:rsidR="006E26D3" w:rsidRDefault="006E26D3">
      <w:pPr>
        <w:spacing w:line="360" w:lineRule="auto"/>
        <w:ind w:right="-93"/>
        <w:jc w:val="both"/>
        <w:rPr>
          <w:rFonts w:ascii="Palatino Linotype" w:eastAsia="Palatino Linotype" w:hAnsi="Palatino Linotype" w:cs="Palatino Linotype"/>
          <w:sz w:val="22"/>
          <w:szCs w:val="22"/>
        </w:rPr>
      </w:pPr>
    </w:p>
    <w:p w14:paraId="08583066" w14:textId="77777777" w:rsidR="006E26D3" w:rsidRDefault="006E26D3">
      <w:pPr>
        <w:spacing w:line="360" w:lineRule="auto"/>
        <w:ind w:right="-93"/>
        <w:jc w:val="both"/>
        <w:rPr>
          <w:rFonts w:ascii="Palatino Linotype" w:eastAsia="Palatino Linotype" w:hAnsi="Palatino Linotype" w:cs="Palatino Linotype"/>
          <w:sz w:val="22"/>
          <w:szCs w:val="22"/>
        </w:rPr>
      </w:pPr>
    </w:p>
    <w:p w14:paraId="3A457DEA" w14:textId="77777777" w:rsidR="006E26D3" w:rsidRDefault="006E26D3">
      <w:pPr>
        <w:spacing w:line="360" w:lineRule="auto"/>
        <w:ind w:right="-93"/>
        <w:jc w:val="both"/>
        <w:rPr>
          <w:rFonts w:ascii="Palatino Linotype" w:eastAsia="Palatino Linotype" w:hAnsi="Palatino Linotype" w:cs="Palatino Linotype"/>
          <w:sz w:val="22"/>
          <w:szCs w:val="22"/>
        </w:rPr>
      </w:pPr>
    </w:p>
    <w:p w14:paraId="16FC5114" w14:textId="77777777" w:rsidR="006E26D3" w:rsidRDefault="006E26D3">
      <w:pPr>
        <w:spacing w:line="360" w:lineRule="auto"/>
        <w:ind w:right="-93"/>
        <w:jc w:val="both"/>
        <w:rPr>
          <w:rFonts w:ascii="Palatino Linotype" w:eastAsia="Palatino Linotype" w:hAnsi="Palatino Linotype" w:cs="Palatino Linotype"/>
          <w:sz w:val="22"/>
          <w:szCs w:val="22"/>
        </w:rPr>
      </w:pPr>
    </w:p>
    <w:p w14:paraId="68BF2249" w14:textId="77777777" w:rsidR="006E26D3" w:rsidRDefault="006E26D3">
      <w:pPr>
        <w:spacing w:line="360" w:lineRule="auto"/>
        <w:ind w:right="-93"/>
        <w:jc w:val="both"/>
        <w:rPr>
          <w:rFonts w:ascii="Palatino Linotype" w:eastAsia="Palatino Linotype" w:hAnsi="Palatino Linotype" w:cs="Palatino Linotype"/>
          <w:sz w:val="22"/>
          <w:szCs w:val="22"/>
        </w:rPr>
      </w:pPr>
    </w:p>
    <w:p w14:paraId="0793494D" w14:textId="77777777" w:rsidR="006E26D3" w:rsidRDefault="006E26D3">
      <w:pPr>
        <w:spacing w:line="360" w:lineRule="auto"/>
        <w:ind w:right="-93"/>
        <w:jc w:val="both"/>
        <w:rPr>
          <w:rFonts w:ascii="Palatino Linotype" w:eastAsia="Palatino Linotype" w:hAnsi="Palatino Linotype" w:cs="Palatino Linotype"/>
          <w:sz w:val="22"/>
          <w:szCs w:val="22"/>
        </w:rPr>
      </w:pPr>
    </w:p>
    <w:p w14:paraId="386FCF56" w14:textId="77777777" w:rsidR="006E26D3" w:rsidRDefault="006E26D3">
      <w:pPr>
        <w:spacing w:line="360" w:lineRule="auto"/>
        <w:ind w:right="-93"/>
        <w:jc w:val="both"/>
        <w:rPr>
          <w:rFonts w:ascii="Palatino Linotype" w:eastAsia="Palatino Linotype" w:hAnsi="Palatino Linotype" w:cs="Palatino Linotype"/>
          <w:sz w:val="22"/>
          <w:szCs w:val="22"/>
        </w:rPr>
      </w:pPr>
    </w:p>
    <w:p w14:paraId="3471F135" w14:textId="77777777" w:rsidR="006E26D3" w:rsidRDefault="006E26D3">
      <w:pPr>
        <w:spacing w:line="360" w:lineRule="auto"/>
        <w:ind w:right="-93"/>
        <w:jc w:val="both"/>
        <w:rPr>
          <w:rFonts w:ascii="Palatino Linotype" w:eastAsia="Palatino Linotype" w:hAnsi="Palatino Linotype" w:cs="Palatino Linotype"/>
          <w:sz w:val="22"/>
          <w:szCs w:val="22"/>
        </w:rPr>
      </w:pPr>
    </w:p>
    <w:p w14:paraId="1A5FF5B9" w14:textId="17F7BF9B" w:rsidR="008C41BA" w:rsidRPr="007A63F1" w:rsidRDefault="000B1C06">
      <w:pPr>
        <w:spacing w:line="360" w:lineRule="auto"/>
        <w:ind w:right="-93"/>
        <w:jc w:val="both"/>
        <w:rPr>
          <w:rFonts w:ascii="Palatino Linotype" w:eastAsia="Palatino Linotype" w:hAnsi="Palatino Linotype" w:cs="Palatino Linotype"/>
          <w:sz w:val="22"/>
          <w:szCs w:val="22"/>
        </w:rPr>
      </w:pPr>
      <w:r w:rsidRPr="007A63F1">
        <w:rPr>
          <w:rFonts w:ascii="Palatino Linotype" w:eastAsia="Palatino Linotype" w:hAnsi="Palatino Linotype" w:cs="Palatino Linotype"/>
          <w:sz w:val="22"/>
          <w:szCs w:val="22"/>
        </w:rPr>
        <w:t xml:space="preserve"> </w:t>
      </w:r>
    </w:p>
    <w:p w14:paraId="6E6275C6"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524D1647"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725C8A9D"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633EADA8"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7698F359"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64BC9E0F"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330881B0"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6864076A"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607D5C7A"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44518E89"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07D5EBEC"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34C88185"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0B1D9B6B"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09E01205"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741FFB7E"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09FFFB07"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3C4DDE89"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125F00F1" w14:textId="77777777" w:rsidR="008C41BA" w:rsidRPr="007A63F1" w:rsidRDefault="008C41BA">
      <w:pPr>
        <w:spacing w:line="360" w:lineRule="auto"/>
        <w:ind w:right="-93"/>
        <w:jc w:val="both"/>
        <w:rPr>
          <w:rFonts w:ascii="Palatino Linotype" w:eastAsia="Palatino Linotype" w:hAnsi="Palatino Linotype" w:cs="Palatino Linotype"/>
          <w:sz w:val="22"/>
          <w:szCs w:val="22"/>
        </w:rPr>
      </w:pPr>
    </w:p>
    <w:p w14:paraId="61B3E8DA" w14:textId="77777777" w:rsidR="008C41BA" w:rsidRPr="007A63F1" w:rsidRDefault="008C41BA">
      <w:pPr>
        <w:spacing w:line="360" w:lineRule="auto"/>
        <w:ind w:right="49"/>
        <w:jc w:val="both"/>
        <w:rPr>
          <w:rFonts w:ascii="Palatino Linotype" w:eastAsia="Palatino Linotype" w:hAnsi="Palatino Linotype" w:cs="Palatino Linotype"/>
          <w:sz w:val="22"/>
          <w:szCs w:val="22"/>
        </w:rPr>
      </w:pPr>
    </w:p>
    <w:sectPr w:rsidR="008C41BA" w:rsidRPr="007A63F1">
      <w:headerReference w:type="default" r:id="rId9"/>
      <w:footerReference w:type="default" r:id="rId10"/>
      <w:headerReference w:type="first" r:id="rId11"/>
      <w:footerReference w:type="first" r:id="rId1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1E076" w14:textId="77777777" w:rsidR="00690B2A" w:rsidRDefault="00690B2A">
      <w:r>
        <w:separator/>
      </w:r>
    </w:p>
  </w:endnote>
  <w:endnote w:type="continuationSeparator" w:id="0">
    <w:p w14:paraId="24A1004C" w14:textId="77777777" w:rsidR="00690B2A" w:rsidRDefault="0069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48D67447-7806-473E-B612-533A1B259376}"/>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AD27542-695F-4C01-9EAD-00B7262065EB}"/>
    <w:embedBold r:id="rId3" w:fontKey="{FA42EC8C-9BE2-45A7-94A4-1DB0790675D0}"/>
    <w:embedItalic r:id="rId4" w:fontKey="{F031E1B6-BC25-45AE-85E8-AD9F5B109F04}"/>
    <w:embedBoldItalic r:id="rId5" w:fontKey="{B814DF19-B913-4213-A404-5EE1A6C54F5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BEF7DAE-4FC0-4EFF-B861-33FFA39248B0}"/>
    <w:embedBold r:id="rId7" w:fontKey="{9B3E73CA-65F9-4860-9035-57D152E1B22B}"/>
  </w:font>
  <w:font w:name="Bookman Old Style">
    <w:panose1 w:val="02050604050505020204"/>
    <w:charset w:val="00"/>
    <w:family w:val="roman"/>
    <w:pitch w:val="variable"/>
    <w:sig w:usb0="00000287" w:usb1="00000000" w:usb2="00000000" w:usb3="00000000" w:csb0="0000009F" w:csb1="00000000"/>
    <w:embedRegular r:id="rId8" w:fontKey="{BC6AF986-E91D-45B7-86A0-A1F079911ACA}"/>
  </w:font>
  <w:font w:name="Georgia">
    <w:panose1 w:val="02040502050405020303"/>
    <w:charset w:val="00"/>
    <w:family w:val="roman"/>
    <w:pitch w:val="variable"/>
    <w:sig w:usb0="00000287" w:usb1="00000000" w:usb2="00000000" w:usb3="00000000" w:csb0="0000009F" w:csb1="00000000"/>
    <w:embedItalic r:id="rId9" w:fontKey="{D87BD4FA-D391-4389-ADFD-BD5BEAF273DA}"/>
  </w:font>
  <w:font w:name="Calibri Light">
    <w:panose1 w:val="020F0302020204030204"/>
    <w:charset w:val="00"/>
    <w:family w:val="swiss"/>
    <w:pitch w:val="variable"/>
    <w:sig w:usb0="E4002EFF" w:usb1="C200247B" w:usb2="00000009" w:usb3="00000000" w:csb0="000001FF" w:csb1="00000000"/>
    <w:embedRegular r:id="rId10" w:fontKey="{B210266D-7C3D-48F3-8CF4-BEED2D23FE7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7D0A9" w14:textId="123BCCFF" w:rsidR="008C41BA" w:rsidRDefault="000B1C06">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A858F1">
      <w:rPr>
        <w:b/>
        <w:bCs/>
        <w:noProof/>
        <w:color w:val="000000"/>
      </w:rPr>
      <w:t>15</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A858F1">
      <w:rPr>
        <w:b/>
        <w:bCs/>
        <w:noProof/>
        <w:color w:val="000000"/>
      </w:rPr>
      <w:t>48</w:t>
    </w:r>
    <w:r>
      <w:rPr>
        <w:b/>
        <w:bCs/>
        <w:color w:val="000000"/>
      </w:rPr>
      <w:fldChar w:fldCharType="end"/>
    </w:r>
  </w:p>
  <w:p w14:paraId="705CB164" w14:textId="77777777" w:rsidR="008C41BA" w:rsidRDefault="008C41B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7A744" w14:textId="3CC62143" w:rsidR="008C41BA" w:rsidRDefault="000B1C06">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A858F1">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A858F1">
      <w:rPr>
        <w:b/>
        <w:bCs/>
        <w:noProof/>
        <w:color w:val="000000"/>
      </w:rPr>
      <w:t>48</w:t>
    </w:r>
    <w:r>
      <w:rPr>
        <w:b/>
        <w:bCs/>
        <w:color w:val="000000"/>
      </w:rPr>
      <w:fldChar w:fldCharType="end"/>
    </w:r>
  </w:p>
  <w:p w14:paraId="3BB8A6DC" w14:textId="77777777" w:rsidR="008C41BA" w:rsidRDefault="008C41B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74FC1" w14:textId="77777777" w:rsidR="00690B2A" w:rsidRDefault="00690B2A">
      <w:r>
        <w:separator/>
      </w:r>
    </w:p>
  </w:footnote>
  <w:footnote w:type="continuationSeparator" w:id="0">
    <w:p w14:paraId="2516B0CD" w14:textId="77777777" w:rsidR="00690B2A" w:rsidRDefault="00690B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86169" w14:textId="77777777" w:rsidR="008C41BA" w:rsidRDefault="000B1C06">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2C31F402" wp14:editId="136ABC1C">
          <wp:simplePos x="0" y="0"/>
          <wp:positionH relativeFrom="column">
            <wp:posOffset>0</wp:posOffset>
          </wp:positionH>
          <wp:positionV relativeFrom="paragraph">
            <wp:posOffset>-401953</wp:posOffset>
          </wp:positionV>
          <wp:extent cx="7809876" cy="10165823"/>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03" w:type="dxa"/>
      <w:tblInd w:w="3611" w:type="dxa"/>
      <w:tblLayout w:type="fixed"/>
      <w:tblLook w:val="0400" w:firstRow="0" w:lastRow="0" w:firstColumn="0" w:lastColumn="0" w:noHBand="0" w:noVBand="1"/>
    </w:tblPr>
    <w:tblGrid>
      <w:gridCol w:w="2551"/>
      <w:gridCol w:w="3052"/>
    </w:tblGrid>
    <w:tr w:rsidR="008C41BA" w14:paraId="55EEB669" w14:textId="77777777">
      <w:tc>
        <w:tcPr>
          <w:tcW w:w="2551" w:type="dxa"/>
          <w:vAlign w:val="center"/>
        </w:tcPr>
        <w:p w14:paraId="0F5DBFBB" w14:textId="77777777" w:rsidR="008C41BA" w:rsidRDefault="000B1C0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1A912075" w14:textId="77777777" w:rsidR="008C41BA" w:rsidRDefault="008C41B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4C96F2D5" w14:textId="77777777" w:rsidR="008C41BA" w:rsidRDefault="000B1C0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08919/INFOEM/IP/RR/2025</w:t>
          </w:r>
        </w:p>
      </w:tc>
    </w:tr>
    <w:tr w:rsidR="008C41BA" w14:paraId="44807B29" w14:textId="77777777">
      <w:trPr>
        <w:trHeight w:val="217"/>
      </w:trPr>
      <w:tc>
        <w:tcPr>
          <w:tcW w:w="2551" w:type="dxa"/>
          <w:vAlign w:val="center"/>
        </w:tcPr>
        <w:p w14:paraId="41D8BC9A" w14:textId="77777777" w:rsidR="008C41BA" w:rsidRDefault="000B1C0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32C82D59" w14:textId="77777777" w:rsidR="008C41BA" w:rsidRDefault="000B1C06">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Atizapán de Zaragoza</w:t>
          </w:r>
        </w:p>
      </w:tc>
    </w:tr>
    <w:tr w:rsidR="008C41BA" w14:paraId="4E5FB38B" w14:textId="77777777">
      <w:tc>
        <w:tcPr>
          <w:tcW w:w="2551" w:type="dxa"/>
          <w:vAlign w:val="center"/>
        </w:tcPr>
        <w:p w14:paraId="1001A6D8" w14:textId="77777777" w:rsidR="008C41BA" w:rsidRDefault="000B1C0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2A6A62DE" w14:textId="77777777" w:rsidR="008C41BA" w:rsidRDefault="000B1C0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4877AD9E" w14:textId="77777777" w:rsidR="008C41BA" w:rsidRDefault="008C41B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91242" w14:textId="77777777" w:rsidR="008C41BA" w:rsidRDefault="000B1C06">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0BF2750" wp14:editId="4053D0D3">
          <wp:simplePos x="0" y="0"/>
          <wp:positionH relativeFrom="column">
            <wp:posOffset>-929004</wp:posOffset>
          </wp:positionH>
          <wp:positionV relativeFrom="paragraph">
            <wp:posOffset>-644524</wp:posOffset>
          </wp:positionV>
          <wp:extent cx="7809865" cy="10165715"/>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8C41BA" w14:paraId="27FFAAB4" w14:textId="77777777">
      <w:tc>
        <w:tcPr>
          <w:tcW w:w="2551" w:type="dxa"/>
          <w:vAlign w:val="center"/>
        </w:tcPr>
        <w:p w14:paraId="3B2E4DBC" w14:textId="77777777" w:rsidR="008C41BA" w:rsidRDefault="000B1C0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7A690461" w14:textId="77777777" w:rsidR="008C41BA" w:rsidRDefault="008C41B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052" w:type="dxa"/>
          <w:vAlign w:val="center"/>
        </w:tcPr>
        <w:p w14:paraId="29D9EA56" w14:textId="77777777" w:rsidR="008C41BA" w:rsidRDefault="000B1C0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08919/INFOEM/IP/RR/2025</w:t>
          </w:r>
        </w:p>
      </w:tc>
    </w:tr>
    <w:tr w:rsidR="008C41BA" w14:paraId="64AE27DB" w14:textId="77777777">
      <w:tc>
        <w:tcPr>
          <w:tcW w:w="2551" w:type="dxa"/>
          <w:vAlign w:val="center"/>
        </w:tcPr>
        <w:p w14:paraId="16447D7B" w14:textId="77777777" w:rsidR="008C41BA" w:rsidRDefault="000B1C0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052" w:type="dxa"/>
          <w:vAlign w:val="center"/>
        </w:tcPr>
        <w:p w14:paraId="5C8E931A" w14:textId="4FA018DC" w:rsidR="008C41BA" w:rsidRDefault="00A858F1" w:rsidP="00A858F1">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 xml:space="preserve">XXXXX XXXX XXXXXX </w:t>
          </w:r>
        </w:p>
      </w:tc>
    </w:tr>
    <w:tr w:rsidR="008C41BA" w14:paraId="34BA9A1F" w14:textId="77777777">
      <w:trPr>
        <w:trHeight w:val="152"/>
      </w:trPr>
      <w:tc>
        <w:tcPr>
          <w:tcW w:w="2551" w:type="dxa"/>
          <w:vAlign w:val="center"/>
        </w:tcPr>
        <w:p w14:paraId="083BED7B" w14:textId="77777777" w:rsidR="008C41BA" w:rsidRDefault="000B1C06">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7E1230E4" w14:textId="77777777" w:rsidR="008C41BA" w:rsidRDefault="008C41BA">
          <w:pPr>
            <w:tabs>
              <w:tab w:val="center" w:pos="4419"/>
              <w:tab w:val="right" w:pos="8838"/>
            </w:tabs>
            <w:rPr>
              <w:rFonts w:ascii="Palatino Linotype" w:eastAsia="Palatino Linotype" w:hAnsi="Palatino Linotype" w:cs="Palatino Linotype"/>
              <w:b/>
              <w:bCs/>
              <w:color w:val="000000"/>
              <w:sz w:val="20"/>
              <w:szCs w:val="20"/>
            </w:rPr>
          </w:pPr>
        </w:p>
      </w:tc>
      <w:tc>
        <w:tcPr>
          <w:tcW w:w="3052" w:type="dxa"/>
          <w:vAlign w:val="center"/>
        </w:tcPr>
        <w:p w14:paraId="1AEA9749" w14:textId="77777777" w:rsidR="008C41BA" w:rsidRDefault="000B1C06">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Ayuntamiento de Atizapán de Zaragoza</w:t>
          </w:r>
        </w:p>
      </w:tc>
    </w:tr>
    <w:tr w:rsidR="008C41BA" w14:paraId="5B1F580E" w14:textId="77777777">
      <w:tc>
        <w:tcPr>
          <w:tcW w:w="2551" w:type="dxa"/>
          <w:vAlign w:val="center"/>
        </w:tcPr>
        <w:p w14:paraId="75B75F7D" w14:textId="77777777" w:rsidR="008C41BA" w:rsidRDefault="000B1C0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052" w:type="dxa"/>
          <w:vAlign w:val="center"/>
        </w:tcPr>
        <w:p w14:paraId="16D74283" w14:textId="77777777" w:rsidR="008C41BA" w:rsidRDefault="000B1C06">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5C820154" w14:textId="77777777" w:rsidR="008C41BA" w:rsidRDefault="000B1C06">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000CE"/>
    <w:multiLevelType w:val="multilevel"/>
    <w:tmpl w:val="1382D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3D594C"/>
    <w:multiLevelType w:val="multilevel"/>
    <w:tmpl w:val="1D20D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7F57C6"/>
    <w:multiLevelType w:val="multilevel"/>
    <w:tmpl w:val="3AA06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CF2A1F"/>
    <w:multiLevelType w:val="multilevel"/>
    <w:tmpl w:val="5AB448A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5CAE4D7D"/>
    <w:multiLevelType w:val="multilevel"/>
    <w:tmpl w:val="E5EAD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5E13FE"/>
    <w:multiLevelType w:val="multilevel"/>
    <w:tmpl w:val="75969F84"/>
    <w:lvl w:ilvl="0">
      <w:start w:val="3"/>
      <w:numFmt w:val="bullet"/>
      <w:pStyle w:val="Listaconvietas3"/>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1"/>
  </w:num>
  <w:num w:numId="2">
    <w:abstractNumId w:val="4"/>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1BA"/>
    <w:rsid w:val="000B1C06"/>
    <w:rsid w:val="003145AF"/>
    <w:rsid w:val="00690B2A"/>
    <w:rsid w:val="006E26D3"/>
    <w:rsid w:val="007A63F1"/>
    <w:rsid w:val="008C41BA"/>
    <w:rsid w:val="00A858F1"/>
    <w:rsid w:val="00B32E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1B354"/>
  <w15:docId w15:val="{C10FA58F-4F7D-478E-95E4-4DED5410A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5"/>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customStyle="1" w:styleId="p1">
    <w:name w:val="p1"/>
    <w:basedOn w:val="Normal"/>
    <w:rsid w:val="00C84704"/>
    <w:rPr>
      <w:rFonts w:ascii="Bookman Old Style" w:hAnsi="Bookman Old Style"/>
      <w:color w:val="000000"/>
      <w:sz w:val="15"/>
      <w:szCs w:val="15"/>
      <w:lang w:val="es-ES" w:eastAsia="es-ES_tradnl"/>
    </w:rPr>
  </w:style>
  <w:style w:type="character" w:customStyle="1" w:styleId="Mencinsinresolver4">
    <w:name w:val="Mención sin resolver4"/>
    <w:basedOn w:val="Fuentedeprrafopredeter"/>
    <w:uiPriority w:val="99"/>
    <w:semiHidden/>
    <w:unhideWhenUsed/>
    <w:rsid w:val="00C565CC"/>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table" w:customStyle="1" w:styleId="af8">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cqxlZbi/IiP+ZhZBeGwmvn+jbw==">CgMxLjAyCWguM3pueXNoNzIOaC4xd3QybWFnbWF5eGQyDmguajNwcHl4d2xiMXMyMghoLnR5amN3dDINaC5qbDBkbGFzb3Q0ZjgAciExNkRTaWVWWjcyMGJnRDRuWDJnNEhXRzZTTTBpWVQ0bVc=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12328</Words>
  <Characters>67810</Characters>
  <Application>Microsoft Office Word</Application>
  <DocSecurity>0</DocSecurity>
  <Lines>565</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2025-12-05T17:33:00Z</cp:lastPrinted>
  <dcterms:created xsi:type="dcterms:W3CDTF">2026-01-14T17:26:00Z</dcterms:created>
  <dcterms:modified xsi:type="dcterms:W3CDTF">2026-01-14T17:26:00Z</dcterms:modified>
</cp:coreProperties>
</file>