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Palatino Linotype" w:eastAsia="Times New Roman" w:hAnsi="Palatino Linotype" w:cs="Times New Roman"/>
          <w:color w:val="auto"/>
          <w:sz w:val="20"/>
          <w:szCs w:val="20"/>
          <w:lang w:val="es-ES" w:eastAsia="es-ES"/>
        </w:rPr>
        <w:id w:val="-260844837"/>
        <w:docPartObj>
          <w:docPartGallery w:val="Table of Contents"/>
          <w:docPartUnique/>
        </w:docPartObj>
      </w:sdtPr>
      <w:sdtEndPr>
        <w:rPr>
          <w:rFonts w:eastAsiaTheme="minorHAnsi" w:cstheme="minorBidi"/>
          <w:color w:val="000000" w:themeColor="text1"/>
          <w:sz w:val="22"/>
          <w:szCs w:val="22"/>
          <w:lang w:eastAsia="en-US"/>
        </w:rPr>
      </w:sdtEndPr>
      <w:sdtContent>
        <w:p w14:paraId="54C5A517" w14:textId="791C74FC" w:rsidR="00076681" w:rsidRPr="00AC739B" w:rsidRDefault="00076681" w:rsidP="005032B4">
          <w:pPr>
            <w:pStyle w:val="TtuloTDC"/>
            <w:spacing w:before="0" w:line="360" w:lineRule="auto"/>
            <w:jc w:val="center"/>
            <w:rPr>
              <w:rFonts w:ascii="Palatino Linotype" w:hAnsi="Palatino Linotype"/>
              <w:color w:val="000000" w:themeColor="text1"/>
              <w:sz w:val="22"/>
              <w:szCs w:val="22"/>
            </w:rPr>
          </w:pPr>
          <w:r w:rsidRPr="00AC739B">
            <w:rPr>
              <w:rFonts w:ascii="Palatino Linotype" w:hAnsi="Palatino Linotype"/>
              <w:color w:val="000000" w:themeColor="text1"/>
              <w:sz w:val="22"/>
              <w:szCs w:val="22"/>
              <w:lang w:val="es-ES"/>
            </w:rPr>
            <w:t xml:space="preserve">RESOLUCIÓN DEL RECURSO DE REVISIÓN </w:t>
          </w:r>
          <w:r w:rsidR="007F316D" w:rsidRPr="00AC739B">
            <w:rPr>
              <w:rFonts w:ascii="Palatino Linotype" w:hAnsi="Palatino Linotype"/>
              <w:color w:val="000000" w:themeColor="text1"/>
              <w:sz w:val="22"/>
              <w:szCs w:val="22"/>
              <w:lang w:val="es-ES"/>
            </w:rPr>
            <w:t>00186/INFOEM/IP/RR/2025</w:t>
          </w:r>
        </w:p>
        <w:p w14:paraId="40205141" w14:textId="527750FB" w:rsidR="00305C77" w:rsidRPr="00AC739B" w:rsidRDefault="00076681" w:rsidP="00305C77">
          <w:pPr>
            <w:pStyle w:val="TDC1"/>
            <w:rPr>
              <w:rFonts w:ascii="Palatino Linotype" w:eastAsiaTheme="minorEastAsia" w:hAnsi="Palatino Linotype" w:cstheme="minorBidi"/>
              <w:noProof/>
              <w:sz w:val="22"/>
              <w:szCs w:val="22"/>
              <w:lang w:eastAsia="es-MX"/>
            </w:rPr>
          </w:pPr>
          <w:r w:rsidRPr="00AC739B">
            <w:rPr>
              <w:rFonts w:ascii="Palatino Linotype" w:hAnsi="Palatino Linotype"/>
              <w:sz w:val="22"/>
              <w:szCs w:val="22"/>
            </w:rPr>
            <w:fldChar w:fldCharType="begin"/>
          </w:r>
          <w:r w:rsidRPr="00AC739B">
            <w:rPr>
              <w:rFonts w:ascii="Palatino Linotype" w:hAnsi="Palatino Linotype"/>
              <w:sz w:val="22"/>
              <w:szCs w:val="22"/>
            </w:rPr>
            <w:instrText xml:space="preserve"> TOC \o "1-3" \h \z \u </w:instrText>
          </w:r>
          <w:r w:rsidRPr="00AC739B">
            <w:rPr>
              <w:rFonts w:ascii="Palatino Linotype" w:hAnsi="Palatino Linotype"/>
              <w:sz w:val="22"/>
              <w:szCs w:val="22"/>
            </w:rPr>
            <w:fldChar w:fldCharType="separate"/>
          </w:r>
          <w:hyperlink w:anchor="_Toc189757354" w:history="1">
            <w:r w:rsidR="00305C77" w:rsidRPr="00AC739B">
              <w:rPr>
                <w:rStyle w:val="Hipervnculo"/>
                <w:rFonts w:ascii="Palatino Linotype" w:hAnsi="Palatino Linotype"/>
                <w:noProof/>
                <w:sz w:val="22"/>
                <w:szCs w:val="22"/>
              </w:rPr>
              <w:t>A N T E C E D E N T E S</w:t>
            </w:r>
            <w:r w:rsidR="00305C77" w:rsidRPr="00AC739B">
              <w:rPr>
                <w:rFonts w:ascii="Palatino Linotype" w:hAnsi="Palatino Linotype"/>
                <w:noProof/>
                <w:webHidden/>
                <w:sz w:val="22"/>
                <w:szCs w:val="22"/>
              </w:rPr>
              <w:tab/>
            </w:r>
            <w:r w:rsidR="00305C77" w:rsidRPr="00AC739B">
              <w:rPr>
                <w:rFonts w:ascii="Palatino Linotype" w:hAnsi="Palatino Linotype"/>
                <w:noProof/>
                <w:webHidden/>
                <w:sz w:val="22"/>
                <w:szCs w:val="22"/>
              </w:rPr>
              <w:fldChar w:fldCharType="begin"/>
            </w:r>
            <w:r w:rsidR="00305C77" w:rsidRPr="00AC739B">
              <w:rPr>
                <w:rFonts w:ascii="Palatino Linotype" w:hAnsi="Palatino Linotype"/>
                <w:noProof/>
                <w:webHidden/>
                <w:sz w:val="22"/>
                <w:szCs w:val="22"/>
              </w:rPr>
              <w:instrText xml:space="preserve"> PAGEREF _Toc189757354 \h </w:instrText>
            </w:r>
            <w:r w:rsidR="00305C77" w:rsidRPr="00AC739B">
              <w:rPr>
                <w:rFonts w:ascii="Palatino Linotype" w:hAnsi="Palatino Linotype"/>
                <w:noProof/>
                <w:webHidden/>
                <w:sz w:val="22"/>
                <w:szCs w:val="22"/>
              </w:rPr>
            </w:r>
            <w:r w:rsidR="00305C77" w:rsidRPr="00AC739B">
              <w:rPr>
                <w:rFonts w:ascii="Palatino Linotype" w:hAnsi="Palatino Linotype"/>
                <w:noProof/>
                <w:webHidden/>
                <w:sz w:val="22"/>
                <w:szCs w:val="22"/>
              </w:rPr>
              <w:fldChar w:fldCharType="separate"/>
            </w:r>
            <w:r w:rsidR="00C67349">
              <w:rPr>
                <w:rFonts w:ascii="Palatino Linotype" w:hAnsi="Palatino Linotype"/>
                <w:noProof/>
                <w:webHidden/>
                <w:sz w:val="22"/>
                <w:szCs w:val="22"/>
              </w:rPr>
              <w:t>2</w:t>
            </w:r>
            <w:r w:rsidR="00305C77" w:rsidRPr="00AC739B">
              <w:rPr>
                <w:rFonts w:ascii="Palatino Linotype" w:hAnsi="Palatino Linotype"/>
                <w:noProof/>
                <w:webHidden/>
                <w:sz w:val="22"/>
                <w:szCs w:val="22"/>
              </w:rPr>
              <w:fldChar w:fldCharType="end"/>
            </w:r>
          </w:hyperlink>
        </w:p>
        <w:p w14:paraId="32D9F4DF" w14:textId="011553FC" w:rsidR="00305C77" w:rsidRPr="00AC739B" w:rsidRDefault="00305C77" w:rsidP="00305C77">
          <w:pPr>
            <w:pStyle w:val="TDC2"/>
            <w:tabs>
              <w:tab w:val="right" w:leader="dot" w:pos="8921"/>
            </w:tabs>
            <w:spacing w:line="360" w:lineRule="auto"/>
            <w:rPr>
              <w:rFonts w:ascii="Palatino Linotype" w:eastAsiaTheme="minorEastAsia" w:hAnsi="Palatino Linotype" w:cstheme="minorBidi"/>
              <w:noProof/>
              <w:sz w:val="22"/>
              <w:szCs w:val="22"/>
              <w:lang w:eastAsia="es-MX"/>
            </w:rPr>
          </w:pPr>
          <w:hyperlink w:anchor="_Toc189757355" w:history="1">
            <w:r w:rsidRPr="00AC739B">
              <w:rPr>
                <w:rStyle w:val="Hipervnculo"/>
                <w:rFonts w:ascii="Palatino Linotype" w:eastAsia="Calibri" w:hAnsi="Palatino Linotype"/>
                <w:noProof/>
                <w:sz w:val="22"/>
                <w:szCs w:val="22"/>
                <w:lang w:val="es-ES"/>
              </w:rPr>
              <w:t>I. Presentación de la solicitud de información</w:t>
            </w:r>
            <w:r w:rsidRPr="00AC739B">
              <w:rPr>
                <w:rFonts w:ascii="Palatino Linotype" w:hAnsi="Palatino Linotype"/>
                <w:noProof/>
                <w:webHidden/>
                <w:sz w:val="22"/>
                <w:szCs w:val="22"/>
              </w:rPr>
              <w:tab/>
            </w:r>
            <w:r w:rsidRPr="00AC739B">
              <w:rPr>
                <w:rFonts w:ascii="Palatino Linotype" w:hAnsi="Palatino Linotype"/>
                <w:noProof/>
                <w:webHidden/>
                <w:sz w:val="22"/>
                <w:szCs w:val="22"/>
              </w:rPr>
              <w:fldChar w:fldCharType="begin"/>
            </w:r>
            <w:r w:rsidRPr="00AC739B">
              <w:rPr>
                <w:rFonts w:ascii="Palatino Linotype" w:hAnsi="Palatino Linotype"/>
                <w:noProof/>
                <w:webHidden/>
                <w:sz w:val="22"/>
                <w:szCs w:val="22"/>
              </w:rPr>
              <w:instrText xml:space="preserve"> PAGEREF _Toc189757355 \h </w:instrText>
            </w:r>
            <w:r w:rsidRPr="00AC739B">
              <w:rPr>
                <w:rFonts w:ascii="Palatino Linotype" w:hAnsi="Palatino Linotype"/>
                <w:noProof/>
                <w:webHidden/>
                <w:sz w:val="22"/>
                <w:szCs w:val="22"/>
              </w:rPr>
            </w:r>
            <w:r w:rsidRPr="00AC739B">
              <w:rPr>
                <w:rFonts w:ascii="Palatino Linotype" w:hAnsi="Palatino Linotype"/>
                <w:noProof/>
                <w:webHidden/>
                <w:sz w:val="22"/>
                <w:szCs w:val="22"/>
              </w:rPr>
              <w:fldChar w:fldCharType="separate"/>
            </w:r>
            <w:r w:rsidR="00C67349">
              <w:rPr>
                <w:rFonts w:ascii="Palatino Linotype" w:hAnsi="Palatino Linotype"/>
                <w:noProof/>
                <w:webHidden/>
                <w:sz w:val="22"/>
                <w:szCs w:val="22"/>
              </w:rPr>
              <w:t>2</w:t>
            </w:r>
            <w:r w:rsidRPr="00AC739B">
              <w:rPr>
                <w:rFonts w:ascii="Palatino Linotype" w:hAnsi="Palatino Linotype"/>
                <w:noProof/>
                <w:webHidden/>
                <w:sz w:val="22"/>
                <w:szCs w:val="22"/>
              </w:rPr>
              <w:fldChar w:fldCharType="end"/>
            </w:r>
          </w:hyperlink>
        </w:p>
        <w:p w14:paraId="6E93D9B6" w14:textId="7CF89609" w:rsidR="00305C77" w:rsidRPr="00AC739B" w:rsidRDefault="00305C77" w:rsidP="00305C77">
          <w:pPr>
            <w:pStyle w:val="TDC2"/>
            <w:tabs>
              <w:tab w:val="right" w:leader="dot" w:pos="8921"/>
            </w:tabs>
            <w:spacing w:line="360" w:lineRule="auto"/>
            <w:rPr>
              <w:rFonts w:ascii="Palatino Linotype" w:eastAsiaTheme="minorEastAsia" w:hAnsi="Palatino Linotype" w:cstheme="minorBidi"/>
              <w:noProof/>
              <w:sz w:val="22"/>
              <w:szCs w:val="22"/>
              <w:lang w:eastAsia="es-MX"/>
            </w:rPr>
          </w:pPr>
          <w:hyperlink w:anchor="_Toc189757356" w:history="1">
            <w:r w:rsidRPr="00AC739B">
              <w:rPr>
                <w:rStyle w:val="Hipervnculo"/>
                <w:rFonts w:ascii="Palatino Linotype" w:eastAsia="Calibri" w:hAnsi="Palatino Linotype"/>
                <w:noProof/>
                <w:sz w:val="22"/>
                <w:szCs w:val="22"/>
              </w:rPr>
              <w:t>II. Respuesta del Sujeto Obligado</w:t>
            </w:r>
            <w:r w:rsidRPr="00AC739B">
              <w:rPr>
                <w:rFonts w:ascii="Palatino Linotype" w:hAnsi="Palatino Linotype"/>
                <w:noProof/>
                <w:webHidden/>
                <w:sz w:val="22"/>
                <w:szCs w:val="22"/>
              </w:rPr>
              <w:tab/>
            </w:r>
            <w:r w:rsidRPr="00AC739B">
              <w:rPr>
                <w:rFonts w:ascii="Palatino Linotype" w:hAnsi="Palatino Linotype"/>
                <w:noProof/>
                <w:webHidden/>
                <w:sz w:val="22"/>
                <w:szCs w:val="22"/>
              </w:rPr>
              <w:fldChar w:fldCharType="begin"/>
            </w:r>
            <w:r w:rsidRPr="00AC739B">
              <w:rPr>
                <w:rFonts w:ascii="Palatino Linotype" w:hAnsi="Palatino Linotype"/>
                <w:noProof/>
                <w:webHidden/>
                <w:sz w:val="22"/>
                <w:szCs w:val="22"/>
              </w:rPr>
              <w:instrText xml:space="preserve"> PAGEREF _Toc189757356 \h </w:instrText>
            </w:r>
            <w:r w:rsidRPr="00AC739B">
              <w:rPr>
                <w:rFonts w:ascii="Palatino Linotype" w:hAnsi="Palatino Linotype"/>
                <w:noProof/>
                <w:webHidden/>
                <w:sz w:val="22"/>
                <w:szCs w:val="22"/>
              </w:rPr>
            </w:r>
            <w:r w:rsidRPr="00AC739B">
              <w:rPr>
                <w:rFonts w:ascii="Palatino Linotype" w:hAnsi="Palatino Linotype"/>
                <w:noProof/>
                <w:webHidden/>
                <w:sz w:val="22"/>
                <w:szCs w:val="22"/>
              </w:rPr>
              <w:fldChar w:fldCharType="separate"/>
            </w:r>
            <w:r w:rsidR="00C67349">
              <w:rPr>
                <w:rFonts w:ascii="Palatino Linotype" w:hAnsi="Palatino Linotype"/>
                <w:noProof/>
                <w:webHidden/>
                <w:sz w:val="22"/>
                <w:szCs w:val="22"/>
              </w:rPr>
              <w:t>3</w:t>
            </w:r>
            <w:r w:rsidRPr="00AC739B">
              <w:rPr>
                <w:rFonts w:ascii="Palatino Linotype" w:hAnsi="Palatino Linotype"/>
                <w:noProof/>
                <w:webHidden/>
                <w:sz w:val="22"/>
                <w:szCs w:val="22"/>
              </w:rPr>
              <w:fldChar w:fldCharType="end"/>
            </w:r>
          </w:hyperlink>
        </w:p>
        <w:p w14:paraId="39141EFE" w14:textId="1CE0A7FD" w:rsidR="00305C77" w:rsidRPr="00AC739B" w:rsidRDefault="00305C77" w:rsidP="00305C77">
          <w:pPr>
            <w:pStyle w:val="TDC2"/>
            <w:tabs>
              <w:tab w:val="right" w:leader="dot" w:pos="8921"/>
            </w:tabs>
            <w:spacing w:line="360" w:lineRule="auto"/>
            <w:rPr>
              <w:rFonts w:ascii="Palatino Linotype" w:eastAsiaTheme="minorEastAsia" w:hAnsi="Palatino Linotype" w:cstheme="minorBidi"/>
              <w:noProof/>
              <w:sz w:val="22"/>
              <w:szCs w:val="22"/>
              <w:lang w:eastAsia="es-MX"/>
            </w:rPr>
          </w:pPr>
          <w:hyperlink w:anchor="_Toc189757357" w:history="1">
            <w:r w:rsidRPr="00AC739B">
              <w:rPr>
                <w:rStyle w:val="Hipervnculo"/>
                <w:rFonts w:ascii="Palatino Linotype" w:eastAsia="Calibri" w:hAnsi="Palatino Linotype"/>
                <w:noProof/>
                <w:sz w:val="22"/>
                <w:szCs w:val="22"/>
              </w:rPr>
              <w:t>III. Interposición del Recurso de Revisión</w:t>
            </w:r>
            <w:r w:rsidRPr="00AC739B">
              <w:rPr>
                <w:rFonts w:ascii="Palatino Linotype" w:hAnsi="Palatino Linotype"/>
                <w:noProof/>
                <w:webHidden/>
                <w:sz w:val="22"/>
                <w:szCs w:val="22"/>
              </w:rPr>
              <w:tab/>
            </w:r>
            <w:r w:rsidRPr="00AC739B">
              <w:rPr>
                <w:rFonts w:ascii="Palatino Linotype" w:hAnsi="Palatino Linotype"/>
                <w:noProof/>
                <w:webHidden/>
                <w:sz w:val="22"/>
                <w:szCs w:val="22"/>
              </w:rPr>
              <w:fldChar w:fldCharType="begin"/>
            </w:r>
            <w:r w:rsidRPr="00AC739B">
              <w:rPr>
                <w:rFonts w:ascii="Palatino Linotype" w:hAnsi="Palatino Linotype"/>
                <w:noProof/>
                <w:webHidden/>
                <w:sz w:val="22"/>
                <w:szCs w:val="22"/>
              </w:rPr>
              <w:instrText xml:space="preserve"> PAGEREF _Toc189757357 \h </w:instrText>
            </w:r>
            <w:r w:rsidRPr="00AC739B">
              <w:rPr>
                <w:rFonts w:ascii="Palatino Linotype" w:hAnsi="Palatino Linotype"/>
                <w:noProof/>
                <w:webHidden/>
                <w:sz w:val="22"/>
                <w:szCs w:val="22"/>
              </w:rPr>
            </w:r>
            <w:r w:rsidRPr="00AC739B">
              <w:rPr>
                <w:rFonts w:ascii="Palatino Linotype" w:hAnsi="Palatino Linotype"/>
                <w:noProof/>
                <w:webHidden/>
                <w:sz w:val="22"/>
                <w:szCs w:val="22"/>
              </w:rPr>
              <w:fldChar w:fldCharType="separate"/>
            </w:r>
            <w:r w:rsidR="00C67349">
              <w:rPr>
                <w:rFonts w:ascii="Palatino Linotype" w:hAnsi="Palatino Linotype"/>
                <w:noProof/>
                <w:webHidden/>
                <w:sz w:val="22"/>
                <w:szCs w:val="22"/>
              </w:rPr>
              <w:t>4</w:t>
            </w:r>
            <w:r w:rsidRPr="00AC739B">
              <w:rPr>
                <w:rFonts w:ascii="Palatino Linotype" w:hAnsi="Palatino Linotype"/>
                <w:noProof/>
                <w:webHidden/>
                <w:sz w:val="22"/>
                <w:szCs w:val="22"/>
              </w:rPr>
              <w:fldChar w:fldCharType="end"/>
            </w:r>
          </w:hyperlink>
        </w:p>
        <w:p w14:paraId="53F5C41F" w14:textId="22C81521" w:rsidR="00305C77" w:rsidRPr="00AC739B" w:rsidRDefault="00305C77" w:rsidP="00305C77">
          <w:pPr>
            <w:pStyle w:val="TDC2"/>
            <w:tabs>
              <w:tab w:val="right" w:leader="dot" w:pos="8921"/>
            </w:tabs>
            <w:spacing w:line="360" w:lineRule="auto"/>
            <w:rPr>
              <w:rFonts w:ascii="Palatino Linotype" w:eastAsiaTheme="minorEastAsia" w:hAnsi="Palatino Linotype" w:cstheme="minorBidi"/>
              <w:noProof/>
              <w:sz w:val="22"/>
              <w:szCs w:val="22"/>
              <w:lang w:eastAsia="es-MX"/>
            </w:rPr>
          </w:pPr>
          <w:hyperlink w:anchor="_Toc189757358" w:history="1">
            <w:r w:rsidRPr="00AC739B">
              <w:rPr>
                <w:rStyle w:val="Hipervnculo"/>
                <w:rFonts w:ascii="Palatino Linotype" w:eastAsia="Calibri" w:hAnsi="Palatino Linotype"/>
                <w:noProof/>
                <w:sz w:val="22"/>
                <w:szCs w:val="22"/>
              </w:rPr>
              <w:t xml:space="preserve">IV. </w:t>
            </w:r>
            <w:r w:rsidRPr="00AC739B">
              <w:rPr>
                <w:rStyle w:val="Hipervnculo"/>
                <w:rFonts w:ascii="Palatino Linotype" w:eastAsia="Batang" w:hAnsi="Palatino Linotype"/>
                <w:noProof/>
                <w:sz w:val="22"/>
                <w:szCs w:val="22"/>
              </w:rPr>
              <w:t>Trámite del Recurso de Revisión</w:t>
            </w:r>
            <w:r w:rsidRPr="00AC739B">
              <w:rPr>
                <w:rStyle w:val="Hipervnculo"/>
                <w:rFonts w:ascii="Palatino Linotype" w:eastAsia="Calibri" w:hAnsi="Palatino Linotype"/>
                <w:noProof/>
                <w:sz w:val="22"/>
                <w:szCs w:val="22"/>
              </w:rPr>
              <w:t xml:space="preserve"> </w:t>
            </w:r>
            <w:r w:rsidRPr="00AC739B">
              <w:rPr>
                <w:rStyle w:val="Hipervnculo"/>
                <w:rFonts w:ascii="Palatino Linotype" w:eastAsia="Batang" w:hAnsi="Palatino Linotype"/>
                <w:noProof/>
                <w:sz w:val="22"/>
                <w:szCs w:val="22"/>
              </w:rPr>
              <w:t>ante este Instituto</w:t>
            </w:r>
            <w:r w:rsidRPr="00AC739B">
              <w:rPr>
                <w:rFonts w:ascii="Palatino Linotype" w:hAnsi="Palatino Linotype"/>
                <w:noProof/>
                <w:webHidden/>
                <w:sz w:val="22"/>
                <w:szCs w:val="22"/>
              </w:rPr>
              <w:tab/>
            </w:r>
            <w:r w:rsidRPr="00AC739B">
              <w:rPr>
                <w:rFonts w:ascii="Palatino Linotype" w:hAnsi="Palatino Linotype"/>
                <w:noProof/>
                <w:webHidden/>
                <w:sz w:val="22"/>
                <w:szCs w:val="22"/>
              </w:rPr>
              <w:fldChar w:fldCharType="begin"/>
            </w:r>
            <w:r w:rsidRPr="00AC739B">
              <w:rPr>
                <w:rFonts w:ascii="Palatino Linotype" w:hAnsi="Palatino Linotype"/>
                <w:noProof/>
                <w:webHidden/>
                <w:sz w:val="22"/>
                <w:szCs w:val="22"/>
              </w:rPr>
              <w:instrText xml:space="preserve"> PAGEREF _Toc189757358 \h </w:instrText>
            </w:r>
            <w:r w:rsidRPr="00AC739B">
              <w:rPr>
                <w:rFonts w:ascii="Palatino Linotype" w:hAnsi="Palatino Linotype"/>
                <w:noProof/>
                <w:webHidden/>
                <w:sz w:val="22"/>
                <w:szCs w:val="22"/>
              </w:rPr>
            </w:r>
            <w:r w:rsidRPr="00AC739B">
              <w:rPr>
                <w:rFonts w:ascii="Palatino Linotype" w:hAnsi="Palatino Linotype"/>
                <w:noProof/>
                <w:webHidden/>
                <w:sz w:val="22"/>
                <w:szCs w:val="22"/>
              </w:rPr>
              <w:fldChar w:fldCharType="separate"/>
            </w:r>
            <w:r w:rsidR="00C67349">
              <w:rPr>
                <w:rFonts w:ascii="Palatino Linotype" w:hAnsi="Palatino Linotype"/>
                <w:noProof/>
                <w:webHidden/>
                <w:sz w:val="22"/>
                <w:szCs w:val="22"/>
              </w:rPr>
              <w:t>5</w:t>
            </w:r>
            <w:r w:rsidRPr="00AC739B">
              <w:rPr>
                <w:rFonts w:ascii="Palatino Linotype" w:hAnsi="Palatino Linotype"/>
                <w:noProof/>
                <w:webHidden/>
                <w:sz w:val="22"/>
                <w:szCs w:val="22"/>
              </w:rPr>
              <w:fldChar w:fldCharType="end"/>
            </w:r>
          </w:hyperlink>
        </w:p>
        <w:p w14:paraId="1671CEE7" w14:textId="407116F9" w:rsidR="00305C77" w:rsidRPr="00AC739B" w:rsidRDefault="00305C77" w:rsidP="00305C77">
          <w:pPr>
            <w:pStyle w:val="TDC2"/>
            <w:tabs>
              <w:tab w:val="right" w:leader="dot" w:pos="8921"/>
            </w:tabs>
            <w:spacing w:line="360" w:lineRule="auto"/>
            <w:rPr>
              <w:rFonts w:ascii="Palatino Linotype" w:eastAsiaTheme="minorEastAsia" w:hAnsi="Palatino Linotype" w:cstheme="minorBidi"/>
              <w:noProof/>
              <w:sz w:val="22"/>
              <w:szCs w:val="22"/>
              <w:lang w:eastAsia="es-MX"/>
            </w:rPr>
          </w:pPr>
          <w:hyperlink w:anchor="_Toc189757359" w:history="1">
            <w:r w:rsidRPr="00AC739B">
              <w:rPr>
                <w:rStyle w:val="Hipervnculo"/>
                <w:rFonts w:ascii="Palatino Linotype" w:hAnsi="Palatino Linotype"/>
                <w:noProof/>
                <w:sz w:val="22"/>
                <w:szCs w:val="22"/>
              </w:rPr>
              <w:t>a) Turno del Medio de Impugnación.</w:t>
            </w:r>
            <w:r w:rsidRPr="00AC739B">
              <w:rPr>
                <w:rFonts w:ascii="Palatino Linotype" w:hAnsi="Palatino Linotype"/>
                <w:noProof/>
                <w:webHidden/>
                <w:sz w:val="22"/>
                <w:szCs w:val="22"/>
              </w:rPr>
              <w:tab/>
            </w:r>
            <w:r w:rsidRPr="00AC739B">
              <w:rPr>
                <w:rFonts w:ascii="Palatino Linotype" w:hAnsi="Palatino Linotype"/>
                <w:noProof/>
                <w:webHidden/>
                <w:sz w:val="22"/>
                <w:szCs w:val="22"/>
              </w:rPr>
              <w:fldChar w:fldCharType="begin"/>
            </w:r>
            <w:r w:rsidRPr="00AC739B">
              <w:rPr>
                <w:rFonts w:ascii="Palatino Linotype" w:hAnsi="Palatino Linotype"/>
                <w:noProof/>
                <w:webHidden/>
                <w:sz w:val="22"/>
                <w:szCs w:val="22"/>
              </w:rPr>
              <w:instrText xml:space="preserve"> PAGEREF _Toc189757359 \h </w:instrText>
            </w:r>
            <w:r w:rsidRPr="00AC739B">
              <w:rPr>
                <w:rFonts w:ascii="Palatino Linotype" w:hAnsi="Palatino Linotype"/>
                <w:noProof/>
                <w:webHidden/>
                <w:sz w:val="22"/>
                <w:szCs w:val="22"/>
              </w:rPr>
            </w:r>
            <w:r w:rsidRPr="00AC739B">
              <w:rPr>
                <w:rFonts w:ascii="Palatino Linotype" w:hAnsi="Palatino Linotype"/>
                <w:noProof/>
                <w:webHidden/>
                <w:sz w:val="22"/>
                <w:szCs w:val="22"/>
              </w:rPr>
              <w:fldChar w:fldCharType="separate"/>
            </w:r>
            <w:r w:rsidR="00C67349">
              <w:rPr>
                <w:rFonts w:ascii="Palatino Linotype" w:hAnsi="Palatino Linotype"/>
                <w:noProof/>
                <w:webHidden/>
                <w:sz w:val="22"/>
                <w:szCs w:val="22"/>
              </w:rPr>
              <w:t>5</w:t>
            </w:r>
            <w:r w:rsidRPr="00AC739B">
              <w:rPr>
                <w:rFonts w:ascii="Palatino Linotype" w:hAnsi="Palatino Linotype"/>
                <w:noProof/>
                <w:webHidden/>
                <w:sz w:val="22"/>
                <w:szCs w:val="22"/>
              </w:rPr>
              <w:fldChar w:fldCharType="end"/>
            </w:r>
          </w:hyperlink>
        </w:p>
        <w:p w14:paraId="271B2E24" w14:textId="6CEC506B" w:rsidR="00305C77" w:rsidRPr="00AC739B" w:rsidRDefault="00305C77" w:rsidP="00305C77">
          <w:pPr>
            <w:pStyle w:val="TDC2"/>
            <w:tabs>
              <w:tab w:val="right" w:leader="dot" w:pos="8921"/>
            </w:tabs>
            <w:spacing w:line="360" w:lineRule="auto"/>
            <w:rPr>
              <w:rFonts w:ascii="Palatino Linotype" w:eastAsiaTheme="minorEastAsia" w:hAnsi="Palatino Linotype" w:cstheme="minorBidi"/>
              <w:noProof/>
              <w:sz w:val="22"/>
              <w:szCs w:val="22"/>
              <w:lang w:eastAsia="es-MX"/>
            </w:rPr>
          </w:pPr>
          <w:hyperlink w:anchor="_Toc189757360" w:history="1">
            <w:r w:rsidRPr="00AC739B">
              <w:rPr>
                <w:rStyle w:val="Hipervnculo"/>
                <w:rFonts w:ascii="Palatino Linotype" w:hAnsi="Palatino Linotype"/>
                <w:noProof/>
                <w:sz w:val="22"/>
                <w:szCs w:val="22"/>
              </w:rPr>
              <w:t>b) Admisión del Recurso de Revisión.</w:t>
            </w:r>
            <w:r w:rsidRPr="00AC739B">
              <w:rPr>
                <w:rFonts w:ascii="Palatino Linotype" w:hAnsi="Palatino Linotype"/>
                <w:noProof/>
                <w:webHidden/>
                <w:sz w:val="22"/>
                <w:szCs w:val="22"/>
              </w:rPr>
              <w:tab/>
            </w:r>
            <w:r w:rsidRPr="00AC739B">
              <w:rPr>
                <w:rFonts w:ascii="Palatino Linotype" w:hAnsi="Palatino Linotype"/>
                <w:noProof/>
                <w:webHidden/>
                <w:sz w:val="22"/>
                <w:szCs w:val="22"/>
              </w:rPr>
              <w:fldChar w:fldCharType="begin"/>
            </w:r>
            <w:r w:rsidRPr="00AC739B">
              <w:rPr>
                <w:rFonts w:ascii="Palatino Linotype" w:hAnsi="Palatino Linotype"/>
                <w:noProof/>
                <w:webHidden/>
                <w:sz w:val="22"/>
                <w:szCs w:val="22"/>
              </w:rPr>
              <w:instrText xml:space="preserve"> PAGEREF _Toc189757360 \h </w:instrText>
            </w:r>
            <w:r w:rsidRPr="00AC739B">
              <w:rPr>
                <w:rFonts w:ascii="Palatino Linotype" w:hAnsi="Palatino Linotype"/>
                <w:noProof/>
                <w:webHidden/>
                <w:sz w:val="22"/>
                <w:szCs w:val="22"/>
              </w:rPr>
            </w:r>
            <w:r w:rsidRPr="00AC739B">
              <w:rPr>
                <w:rFonts w:ascii="Palatino Linotype" w:hAnsi="Palatino Linotype"/>
                <w:noProof/>
                <w:webHidden/>
                <w:sz w:val="22"/>
                <w:szCs w:val="22"/>
              </w:rPr>
              <w:fldChar w:fldCharType="separate"/>
            </w:r>
            <w:r w:rsidR="00C67349">
              <w:rPr>
                <w:rFonts w:ascii="Palatino Linotype" w:hAnsi="Palatino Linotype"/>
                <w:noProof/>
                <w:webHidden/>
                <w:sz w:val="22"/>
                <w:szCs w:val="22"/>
              </w:rPr>
              <w:t>5</w:t>
            </w:r>
            <w:r w:rsidRPr="00AC739B">
              <w:rPr>
                <w:rFonts w:ascii="Palatino Linotype" w:hAnsi="Palatino Linotype"/>
                <w:noProof/>
                <w:webHidden/>
                <w:sz w:val="22"/>
                <w:szCs w:val="22"/>
              </w:rPr>
              <w:fldChar w:fldCharType="end"/>
            </w:r>
          </w:hyperlink>
        </w:p>
        <w:p w14:paraId="58C5D3B9" w14:textId="6FE60726" w:rsidR="00305C77" w:rsidRPr="00AC739B" w:rsidRDefault="00305C77" w:rsidP="00305C77">
          <w:pPr>
            <w:pStyle w:val="TDC2"/>
            <w:tabs>
              <w:tab w:val="right" w:leader="dot" w:pos="8921"/>
            </w:tabs>
            <w:spacing w:line="360" w:lineRule="auto"/>
            <w:rPr>
              <w:rFonts w:ascii="Palatino Linotype" w:eastAsiaTheme="minorEastAsia" w:hAnsi="Palatino Linotype" w:cstheme="minorBidi"/>
              <w:noProof/>
              <w:sz w:val="22"/>
              <w:szCs w:val="22"/>
              <w:lang w:eastAsia="es-MX"/>
            </w:rPr>
          </w:pPr>
          <w:hyperlink w:anchor="_Toc189757361" w:history="1">
            <w:r w:rsidRPr="00AC739B">
              <w:rPr>
                <w:rStyle w:val="Hipervnculo"/>
                <w:rFonts w:ascii="Palatino Linotype" w:hAnsi="Palatino Linotype"/>
                <w:noProof/>
                <w:sz w:val="22"/>
                <w:szCs w:val="22"/>
                <w:lang w:val="es-ES"/>
              </w:rPr>
              <w:t>c) Informe Justificado.</w:t>
            </w:r>
            <w:r w:rsidRPr="00AC739B">
              <w:rPr>
                <w:rFonts w:ascii="Palatino Linotype" w:hAnsi="Palatino Linotype"/>
                <w:noProof/>
                <w:webHidden/>
                <w:sz w:val="22"/>
                <w:szCs w:val="22"/>
              </w:rPr>
              <w:tab/>
            </w:r>
            <w:r w:rsidRPr="00AC739B">
              <w:rPr>
                <w:rFonts w:ascii="Palatino Linotype" w:hAnsi="Palatino Linotype"/>
                <w:noProof/>
                <w:webHidden/>
                <w:sz w:val="22"/>
                <w:szCs w:val="22"/>
              </w:rPr>
              <w:fldChar w:fldCharType="begin"/>
            </w:r>
            <w:r w:rsidRPr="00AC739B">
              <w:rPr>
                <w:rFonts w:ascii="Palatino Linotype" w:hAnsi="Palatino Linotype"/>
                <w:noProof/>
                <w:webHidden/>
                <w:sz w:val="22"/>
                <w:szCs w:val="22"/>
              </w:rPr>
              <w:instrText xml:space="preserve"> PAGEREF _Toc189757361 \h </w:instrText>
            </w:r>
            <w:r w:rsidRPr="00AC739B">
              <w:rPr>
                <w:rFonts w:ascii="Palatino Linotype" w:hAnsi="Palatino Linotype"/>
                <w:noProof/>
                <w:webHidden/>
                <w:sz w:val="22"/>
                <w:szCs w:val="22"/>
              </w:rPr>
            </w:r>
            <w:r w:rsidRPr="00AC739B">
              <w:rPr>
                <w:rFonts w:ascii="Palatino Linotype" w:hAnsi="Palatino Linotype"/>
                <w:noProof/>
                <w:webHidden/>
                <w:sz w:val="22"/>
                <w:szCs w:val="22"/>
              </w:rPr>
              <w:fldChar w:fldCharType="separate"/>
            </w:r>
            <w:r w:rsidR="00C67349">
              <w:rPr>
                <w:rFonts w:ascii="Palatino Linotype" w:hAnsi="Palatino Linotype"/>
                <w:noProof/>
                <w:webHidden/>
                <w:sz w:val="22"/>
                <w:szCs w:val="22"/>
              </w:rPr>
              <w:t>5</w:t>
            </w:r>
            <w:r w:rsidRPr="00AC739B">
              <w:rPr>
                <w:rFonts w:ascii="Palatino Linotype" w:hAnsi="Palatino Linotype"/>
                <w:noProof/>
                <w:webHidden/>
                <w:sz w:val="22"/>
                <w:szCs w:val="22"/>
              </w:rPr>
              <w:fldChar w:fldCharType="end"/>
            </w:r>
          </w:hyperlink>
        </w:p>
        <w:p w14:paraId="38584656" w14:textId="1B97CF1B" w:rsidR="00305C77" w:rsidRPr="00AC739B" w:rsidRDefault="00305C77" w:rsidP="00305C77">
          <w:pPr>
            <w:pStyle w:val="TDC2"/>
            <w:tabs>
              <w:tab w:val="right" w:leader="dot" w:pos="8921"/>
            </w:tabs>
            <w:spacing w:line="360" w:lineRule="auto"/>
            <w:rPr>
              <w:rFonts w:ascii="Palatino Linotype" w:eastAsiaTheme="minorEastAsia" w:hAnsi="Palatino Linotype" w:cstheme="minorBidi"/>
              <w:noProof/>
              <w:sz w:val="22"/>
              <w:szCs w:val="22"/>
              <w:lang w:eastAsia="es-MX"/>
            </w:rPr>
          </w:pPr>
          <w:hyperlink w:anchor="_Toc189757362" w:history="1">
            <w:r w:rsidRPr="00AC739B">
              <w:rPr>
                <w:rStyle w:val="Hipervnculo"/>
                <w:rFonts w:ascii="Palatino Linotype" w:hAnsi="Palatino Linotype"/>
                <w:noProof/>
                <w:sz w:val="22"/>
                <w:szCs w:val="22"/>
              </w:rPr>
              <w:t>d) Vista del informe Justificado:</w:t>
            </w:r>
            <w:r w:rsidRPr="00AC739B">
              <w:rPr>
                <w:rFonts w:ascii="Palatino Linotype" w:hAnsi="Palatino Linotype"/>
                <w:noProof/>
                <w:webHidden/>
                <w:sz w:val="22"/>
                <w:szCs w:val="22"/>
              </w:rPr>
              <w:tab/>
            </w:r>
            <w:r w:rsidRPr="00AC739B">
              <w:rPr>
                <w:rFonts w:ascii="Palatino Linotype" w:hAnsi="Palatino Linotype"/>
                <w:noProof/>
                <w:webHidden/>
                <w:sz w:val="22"/>
                <w:szCs w:val="22"/>
              </w:rPr>
              <w:fldChar w:fldCharType="begin"/>
            </w:r>
            <w:r w:rsidRPr="00AC739B">
              <w:rPr>
                <w:rFonts w:ascii="Palatino Linotype" w:hAnsi="Palatino Linotype"/>
                <w:noProof/>
                <w:webHidden/>
                <w:sz w:val="22"/>
                <w:szCs w:val="22"/>
              </w:rPr>
              <w:instrText xml:space="preserve"> PAGEREF _Toc189757362 \h </w:instrText>
            </w:r>
            <w:r w:rsidRPr="00AC739B">
              <w:rPr>
                <w:rFonts w:ascii="Palatino Linotype" w:hAnsi="Palatino Linotype"/>
                <w:noProof/>
                <w:webHidden/>
                <w:sz w:val="22"/>
                <w:szCs w:val="22"/>
              </w:rPr>
            </w:r>
            <w:r w:rsidRPr="00AC739B">
              <w:rPr>
                <w:rFonts w:ascii="Palatino Linotype" w:hAnsi="Palatino Linotype"/>
                <w:noProof/>
                <w:webHidden/>
                <w:sz w:val="22"/>
                <w:szCs w:val="22"/>
              </w:rPr>
              <w:fldChar w:fldCharType="separate"/>
            </w:r>
            <w:r w:rsidR="00C67349">
              <w:rPr>
                <w:rFonts w:ascii="Palatino Linotype" w:hAnsi="Palatino Linotype"/>
                <w:noProof/>
                <w:webHidden/>
                <w:sz w:val="22"/>
                <w:szCs w:val="22"/>
              </w:rPr>
              <w:t>6</w:t>
            </w:r>
            <w:r w:rsidRPr="00AC739B">
              <w:rPr>
                <w:rFonts w:ascii="Palatino Linotype" w:hAnsi="Palatino Linotype"/>
                <w:noProof/>
                <w:webHidden/>
                <w:sz w:val="22"/>
                <w:szCs w:val="22"/>
              </w:rPr>
              <w:fldChar w:fldCharType="end"/>
            </w:r>
          </w:hyperlink>
        </w:p>
        <w:p w14:paraId="2D8F1AD3" w14:textId="1B5ACE64" w:rsidR="00305C77" w:rsidRPr="00AC739B" w:rsidRDefault="00305C77" w:rsidP="00305C77">
          <w:pPr>
            <w:pStyle w:val="TDC2"/>
            <w:tabs>
              <w:tab w:val="right" w:leader="dot" w:pos="8921"/>
            </w:tabs>
            <w:spacing w:line="360" w:lineRule="auto"/>
            <w:rPr>
              <w:rFonts w:ascii="Palatino Linotype" w:eastAsiaTheme="minorEastAsia" w:hAnsi="Palatino Linotype" w:cstheme="minorBidi"/>
              <w:noProof/>
              <w:sz w:val="22"/>
              <w:szCs w:val="22"/>
              <w:lang w:eastAsia="es-MX"/>
            </w:rPr>
          </w:pPr>
          <w:hyperlink w:anchor="_Toc189757363" w:history="1">
            <w:r w:rsidRPr="00AC739B">
              <w:rPr>
                <w:rStyle w:val="Hipervnculo"/>
                <w:rFonts w:ascii="Palatino Linotype" w:hAnsi="Palatino Linotype"/>
                <w:noProof/>
                <w:sz w:val="22"/>
                <w:szCs w:val="22"/>
              </w:rPr>
              <w:t>e) Cierre de instrucción.</w:t>
            </w:r>
            <w:r w:rsidRPr="00AC739B">
              <w:rPr>
                <w:rFonts w:ascii="Palatino Linotype" w:hAnsi="Palatino Linotype"/>
                <w:noProof/>
                <w:webHidden/>
                <w:sz w:val="22"/>
                <w:szCs w:val="22"/>
              </w:rPr>
              <w:tab/>
            </w:r>
            <w:r w:rsidRPr="00AC739B">
              <w:rPr>
                <w:rFonts w:ascii="Palatino Linotype" w:hAnsi="Palatino Linotype"/>
                <w:noProof/>
                <w:webHidden/>
                <w:sz w:val="22"/>
                <w:szCs w:val="22"/>
              </w:rPr>
              <w:fldChar w:fldCharType="begin"/>
            </w:r>
            <w:r w:rsidRPr="00AC739B">
              <w:rPr>
                <w:rFonts w:ascii="Palatino Linotype" w:hAnsi="Palatino Linotype"/>
                <w:noProof/>
                <w:webHidden/>
                <w:sz w:val="22"/>
                <w:szCs w:val="22"/>
              </w:rPr>
              <w:instrText xml:space="preserve"> PAGEREF _Toc189757363 \h </w:instrText>
            </w:r>
            <w:r w:rsidRPr="00AC739B">
              <w:rPr>
                <w:rFonts w:ascii="Palatino Linotype" w:hAnsi="Palatino Linotype"/>
                <w:noProof/>
                <w:webHidden/>
                <w:sz w:val="22"/>
                <w:szCs w:val="22"/>
              </w:rPr>
            </w:r>
            <w:r w:rsidRPr="00AC739B">
              <w:rPr>
                <w:rFonts w:ascii="Palatino Linotype" w:hAnsi="Palatino Linotype"/>
                <w:noProof/>
                <w:webHidden/>
                <w:sz w:val="22"/>
                <w:szCs w:val="22"/>
              </w:rPr>
              <w:fldChar w:fldCharType="separate"/>
            </w:r>
            <w:r w:rsidR="00C67349">
              <w:rPr>
                <w:rFonts w:ascii="Palatino Linotype" w:hAnsi="Palatino Linotype"/>
                <w:noProof/>
                <w:webHidden/>
                <w:sz w:val="22"/>
                <w:szCs w:val="22"/>
              </w:rPr>
              <w:t>6</w:t>
            </w:r>
            <w:r w:rsidRPr="00AC739B">
              <w:rPr>
                <w:rFonts w:ascii="Palatino Linotype" w:hAnsi="Palatino Linotype"/>
                <w:noProof/>
                <w:webHidden/>
                <w:sz w:val="22"/>
                <w:szCs w:val="22"/>
              </w:rPr>
              <w:fldChar w:fldCharType="end"/>
            </w:r>
          </w:hyperlink>
        </w:p>
        <w:p w14:paraId="6604D25D" w14:textId="4B44AB94" w:rsidR="00305C77" w:rsidRPr="00AC739B" w:rsidRDefault="00305C77" w:rsidP="00305C77">
          <w:pPr>
            <w:pStyle w:val="TDC1"/>
            <w:rPr>
              <w:rFonts w:ascii="Palatino Linotype" w:eastAsiaTheme="minorEastAsia" w:hAnsi="Palatino Linotype" w:cstheme="minorBidi"/>
              <w:noProof/>
              <w:sz w:val="22"/>
              <w:szCs w:val="22"/>
              <w:lang w:eastAsia="es-MX"/>
            </w:rPr>
          </w:pPr>
          <w:hyperlink w:anchor="_Toc189757364" w:history="1">
            <w:r w:rsidRPr="00AC739B">
              <w:rPr>
                <w:rStyle w:val="Hipervnculo"/>
                <w:rFonts w:ascii="Palatino Linotype" w:hAnsi="Palatino Linotype"/>
                <w:noProof/>
                <w:sz w:val="22"/>
                <w:szCs w:val="22"/>
                <w:lang w:val="es-ES"/>
              </w:rPr>
              <w:t>C O N S I D E R A N D O S</w:t>
            </w:r>
            <w:r w:rsidRPr="00AC739B">
              <w:rPr>
                <w:rFonts w:ascii="Palatino Linotype" w:hAnsi="Palatino Linotype"/>
                <w:noProof/>
                <w:webHidden/>
                <w:sz w:val="22"/>
                <w:szCs w:val="22"/>
              </w:rPr>
              <w:tab/>
            </w:r>
            <w:r w:rsidRPr="00AC739B">
              <w:rPr>
                <w:rFonts w:ascii="Palatino Linotype" w:hAnsi="Palatino Linotype"/>
                <w:noProof/>
                <w:webHidden/>
                <w:sz w:val="22"/>
                <w:szCs w:val="22"/>
              </w:rPr>
              <w:fldChar w:fldCharType="begin"/>
            </w:r>
            <w:r w:rsidRPr="00AC739B">
              <w:rPr>
                <w:rFonts w:ascii="Palatino Linotype" w:hAnsi="Palatino Linotype"/>
                <w:noProof/>
                <w:webHidden/>
                <w:sz w:val="22"/>
                <w:szCs w:val="22"/>
              </w:rPr>
              <w:instrText xml:space="preserve"> PAGEREF _Toc189757364 \h </w:instrText>
            </w:r>
            <w:r w:rsidRPr="00AC739B">
              <w:rPr>
                <w:rFonts w:ascii="Palatino Linotype" w:hAnsi="Palatino Linotype"/>
                <w:noProof/>
                <w:webHidden/>
                <w:sz w:val="22"/>
                <w:szCs w:val="22"/>
              </w:rPr>
            </w:r>
            <w:r w:rsidRPr="00AC739B">
              <w:rPr>
                <w:rFonts w:ascii="Palatino Linotype" w:hAnsi="Palatino Linotype"/>
                <w:noProof/>
                <w:webHidden/>
                <w:sz w:val="22"/>
                <w:szCs w:val="22"/>
              </w:rPr>
              <w:fldChar w:fldCharType="separate"/>
            </w:r>
            <w:r w:rsidR="00C67349">
              <w:rPr>
                <w:rFonts w:ascii="Palatino Linotype" w:hAnsi="Palatino Linotype"/>
                <w:noProof/>
                <w:webHidden/>
                <w:sz w:val="22"/>
                <w:szCs w:val="22"/>
              </w:rPr>
              <w:t>7</w:t>
            </w:r>
            <w:r w:rsidRPr="00AC739B">
              <w:rPr>
                <w:rFonts w:ascii="Palatino Linotype" w:hAnsi="Palatino Linotype"/>
                <w:noProof/>
                <w:webHidden/>
                <w:sz w:val="22"/>
                <w:szCs w:val="22"/>
              </w:rPr>
              <w:fldChar w:fldCharType="end"/>
            </w:r>
          </w:hyperlink>
        </w:p>
        <w:p w14:paraId="62071F16" w14:textId="0B2D6D2E" w:rsidR="00305C77" w:rsidRPr="00AC739B" w:rsidRDefault="00305C77" w:rsidP="00305C77">
          <w:pPr>
            <w:pStyle w:val="TDC2"/>
            <w:tabs>
              <w:tab w:val="right" w:leader="dot" w:pos="8921"/>
            </w:tabs>
            <w:spacing w:line="360" w:lineRule="auto"/>
            <w:rPr>
              <w:rFonts w:ascii="Palatino Linotype" w:eastAsiaTheme="minorEastAsia" w:hAnsi="Palatino Linotype" w:cstheme="minorBidi"/>
              <w:noProof/>
              <w:sz w:val="22"/>
              <w:szCs w:val="22"/>
              <w:lang w:eastAsia="es-MX"/>
            </w:rPr>
          </w:pPr>
          <w:hyperlink w:anchor="_Toc189757365" w:history="1">
            <w:r w:rsidRPr="00AC739B">
              <w:rPr>
                <w:rStyle w:val="Hipervnculo"/>
                <w:rFonts w:ascii="Palatino Linotype" w:eastAsia="Calibri" w:hAnsi="Palatino Linotype"/>
                <w:noProof/>
                <w:sz w:val="22"/>
                <w:szCs w:val="22"/>
                <w:lang w:val="es-ES" w:eastAsia="es-MX"/>
              </w:rPr>
              <w:t xml:space="preserve">PRIMERO. </w:t>
            </w:r>
            <w:r w:rsidRPr="00AC739B">
              <w:rPr>
                <w:rStyle w:val="Hipervnculo"/>
                <w:rFonts w:ascii="Palatino Linotype" w:hAnsi="Palatino Linotype"/>
                <w:noProof/>
                <w:sz w:val="22"/>
                <w:szCs w:val="22"/>
                <w:lang w:val="es-ES"/>
              </w:rPr>
              <w:t>Competencia</w:t>
            </w:r>
            <w:r w:rsidRPr="00AC739B">
              <w:rPr>
                <w:rFonts w:ascii="Palatino Linotype" w:hAnsi="Palatino Linotype"/>
                <w:noProof/>
                <w:webHidden/>
                <w:sz w:val="22"/>
                <w:szCs w:val="22"/>
              </w:rPr>
              <w:tab/>
            </w:r>
            <w:r w:rsidRPr="00AC739B">
              <w:rPr>
                <w:rFonts w:ascii="Palatino Linotype" w:hAnsi="Palatino Linotype"/>
                <w:noProof/>
                <w:webHidden/>
                <w:sz w:val="22"/>
                <w:szCs w:val="22"/>
              </w:rPr>
              <w:fldChar w:fldCharType="begin"/>
            </w:r>
            <w:r w:rsidRPr="00AC739B">
              <w:rPr>
                <w:rFonts w:ascii="Palatino Linotype" w:hAnsi="Palatino Linotype"/>
                <w:noProof/>
                <w:webHidden/>
                <w:sz w:val="22"/>
                <w:szCs w:val="22"/>
              </w:rPr>
              <w:instrText xml:space="preserve"> PAGEREF _Toc189757365 \h </w:instrText>
            </w:r>
            <w:r w:rsidRPr="00AC739B">
              <w:rPr>
                <w:rFonts w:ascii="Palatino Linotype" w:hAnsi="Palatino Linotype"/>
                <w:noProof/>
                <w:webHidden/>
                <w:sz w:val="22"/>
                <w:szCs w:val="22"/>
              </w:rPr>
            </w:r>
            <w:r w:rsidRPr="00AC739B">
              <w:rPr>
                <w:rFonts w:ascii="Palatino Linotype" w:hAnsi="Palatino Linotype"/>
                <w:noProof/>
                <w:webHidden/>
                <w:sz w:val="22"/>
                <w:szCs w:val="22"/>
              </w:rPr>
              <w:fldChar w:fldCharType="separate"/>
            </w:r>
            <w:r w:rsidR="00C67349">
              <w:rPr>
                <w:rFonts w:ascii="Palatino Linotype" w:hAnsi="Palatino Linotype"/>
                <w:noProof/>
                <w:webHidden/>
                <w:sz w:val="22"/>
                <w:szCs w:val="22"/>
              </w:rPr>
              <w:t>7</w:t>
            </w:r>
            <w:r w:rsidRPr="00AC739B">
              <w:rPr>
                <w:rFonts w:ascii="Palatino Linotype" w:hAnsi="Palatino Linotype"/>
                <w:noProof/>
                <w:webHidden/>
                <w:sz w:val="22"/>
                <w:szCs w:val="22"/>
              </w:rPr>
              <w:fldChar w:fldCharType="end"/>
            </w:r>
          </w:hyperlink>
        </w:p>
        <w:p w14:paraId="46407F03" w14:textId="7EEE18B3" w:rsidR="00305C77" w:rsidRPr="00AC739B" w:rsidRDefault="00305C77" w:rsidP="00305C77">
          <w:pPr>
            <w:pStyle w:val="TDC2"/>
            <w:tabs>
              <w:tab w:val="right" w:leader="dot" w:pos="8921"/>
            </w:tabs>
            <w:spacing w:line="360" w:lineRule="auto"/>
            <w:rPr>
              <w:rFonts w:ascii="Palatino Linotype" w:eastAsiaTheme="minorEastAsia" w:hAnsi="Palatino Linotype" w:cstheme="minorBidi"/>
              <w:noProof/>
              <w:sz w:val="22"/>
              <w:szCs w:val="22"/>
              <w:lang w:eastAsia="es-MX"/>
            </w:rPr>
          </w:pPr>
          <w:hyperlink w:anchor="_Toc189757366" w:history="1">
            <w:r w:rsidRPr="00AC739B">
              <w:rPr>
                <w:rStyle w:val="Hipervnculo"/>
                <w:rFonts w:ascii="Palatino Linotype" w:eastAsia="Calibri" w:hAnsi="Palatino Linotype"/>
                <w:noProof/>
                <w:sz w:val="22"/>
                <w:szCs w:val="22"/>
                <w:lang w:val="es-ES" w:eastAsia="es-MX"/>
              </w:rPr>
              <w:t xml:space="preserve">SEGUNDO. </w:t>
            </w:r>
            <w:r w:rsidRPr="00AC739B">
              <w:rPr>
                <w:rStyle w:val="Hipervnculo"/>
                <w:rFonts w:ascii="Palatino Linotype" w:hAnsi="Palatino Linotype"/>
                <w:noProof/>
                <w:sz w:val="22"/>
                <w:szCs w:val="22"/>
                <w:lang w:val="es-ES"/>
              </w:rPr>
              <w:t>Causales de improcedencia y sobreseimiento</w:t>
            </w:r>
            <w:r w:rsidRPr="00AC739B">
              <w:rPr>
                <w:rFonts w:ascii="Palatino Linotype" w:hAnsi="Palatino Linotype"/>
                <w:noProof/>
                <w:webHidden/>
                <w:sz w:val="22"/>
                <w:szCs w:val="22"/>
              </w:rPr>
              <w:tab/>
            </w:r>
            <w:r w:rsidRPr="00AC739B">
              <w:rPr>
                <w:rFonts w:ascii="Palatino Linotype" w:hAnsi="Palatino Linotype"/>
                <w:noProof/>
                <w:webHidden/>
                <w:sz w:val="22"/>
                <w:szCs w:val="22"/>
              </w:rPr>
              <w:fldChar w:fldCharType="begin"/>
            </w:r>
            <w:r w:rsidRPr="00AC739B">
              <w:rPr>
                <w:rFonts w:ascii="Palatino Linotype" w:hAnsi="Palatino Linotype"/>
                <w:noProof/>
                <w:webHidden/>
                <w:sz w:val="22"/>
                <w:szCs w:val="22"/>
              </w:rPr>
              <w:instrText xml:space="preserve"> PAGEREF _Toc189757366 \h </w:instrText>
            </w:r>
            <w:r w:rsidRPr="00AC739B">
              <w:rPr>
                <w:rFonts w:ascii="Palatino Linotype" w:hAnsi="Palatino Linotype"/>
                <w:noProof/>
                <w:webHidden/>
                <w:sz w:val="22"/>
                <w:szCs w:val="22"/>
              </w:rPr>
            </w:r>
            <w:r w:rsidRPr="00AC739B">
              <w:rPr>
                <w:rFonts w:ascii="Palatino Linotype" w:hAnsi="Palatino Linotype"/>
                <w:noProof/>
                <w:webHidden/>
                <w:sz w:val="22"/>
                <w:szCs w:val="22"/>
              </w:rPr>
              <w:fldChar w:fldCharType="separate"/>
            </w:r>
            <w:r w:rsidR="00C67349">
              <w:rPr>
                <w:rFonts w:ascii="Palatino Linotype" w:hAnsi="Palatino Linotype"/>
                <w:noProof/>
                <w:webHidden/>
                <w:sz w:val="22"/>
                <w:szCs w:val="22"/>
              </w:rPr>
              <w:t>7</w:t>
            </w:r>
            <w:r w:rsidRPr="00AC739B">
              <w:rPr>
                <w:rFonts w:ascii="Palatino Linotype" w:hAnsi="Palatino Linotype"/>
                <w:noProof/>
                <w:webHidden/>
                <w:sz w:val="22"/>
                <w:szCs w:val="22"/>
              </w:rPr>
              <w:fldChar w:fldCharType="end"/>
            </w:r>
          </w:hyperlink>
        </w:p>
        <w:p w14:paraId="33555EC5" w14:textId="37EA6664" w:rsidR="00305C77" w:rsidRPr="00AC739B" w:rsidRDefault="00305C77" w:rsidP="00305C77">
          <w:pPr>
            <w:pStyle w:val="TDC2"/>
            <w:tabs>
              <w:tab w:val="right" w:leader="dot" w:pos="8921"/>
            </w:tabs>
            <w:spacing w:line="360" w:lineRule="auto"/>
            <w:rPr>
              <w:rFonts w:ascii="Palatino Linotype" w:eastAsiaTheme="minorEastAsia" w:hAnsi="Palatino Linotype" w:cstheme="minorBidi"/>
              <w:noProof/>
              <w:sz w:val="22"/>
              <w:szCs w:val="22"/>
              <w:lang w:eastAsia="es-MX"/>
            </w:rPr>
          </w:pPr>
          <w:hyperlink w:anchor="_Toc189757367" w:history="1">
            <w:r w:rsidRPr="00AC739B">
              <w:rPr>
                <w:rStyle w:val="Hipervnculo"/>
                <w:rFonts w:ascii="Palatino Linotype" w:hAnsi="Palatino Linotype"/>
                <w:noProof/>
                <w:sz w:val="22"/>
                <w:szCs w:val="22"/>
                <w:lang w:val="es-ES"/>
              </w:rPr>
              <w:t>TERCERO. Determinación de la Controversia</w:t>
            </w:r>
            <w:r w:rsidRPr="00AC739B">
              <w:rPr>
                <w:rFonts w:ascii="Palatino Linotype" w:hAnsi="Palatino Linotype"/>
                <w:noProof/>
                <w:webHidden/>
                <w:sz w:val="22"/>
                <w:szCs w:val="22"/>
              </w:rPr>
              <w:tab/>
            </w:r>
            <w:r w:rsidRPr="00AC739B">
              <w:rPr>
                <w:rFonts w:ascii="Palatino Linotype" w:hAnsi="Palatino Linotype"/>
                <w:noProof/>
                <w:webHidden/>
                <w:sz w:val="22"/>
                <w:szCs w:val="22"/>
              </w:rPr>
              <w:fldChar w:fldCharType="begin"/>
            </w:r>
            <w:r w:rsidRPr="00AC739B">
              <w:rPr>
                <w:rFonts w:ascii="Palatino Linotype" w:hAnsi="Palatino Linotype"/>
                <w:noProof/>
                <w:webHidden/>
                <w:sz w:val="22"/>
                <w:szCs w:val="22"/>
              </w:rPr>
              <w:instrText xml:space="preserve"> PAGEREF _Toc189757367 \h </w:instrText>
            </w:r>
            <w:r w:rsidRPr="00AC739B">
              <w:rPr>
                <w:rFonts w:ascii="Palatino Linotype" w:hAnsi="Palatino Linotype"/>
                <w:noProof/>
                <w:webHidden/>
                <w:sz w:val="22"/>
                <w:szCs w:val="22"/>
              </w:rPr>
            </w:r>
            <w:r w:rsidRPr="00AC739B">
              <w:rPr>
                <w:rFonts w:ascii="Palatino Linotype" w:hAnsi="Palatino Linotype"/>
                <w:noProof/>
                <w:webHidden/>
                <w:sz w:val="22"/>
                <w:szCs w:val="22"/>
              </w:rPr>
              <w:fldChar w:fldCharType="separate"/>
            </w:r>
            <w:r w:rsidR="00C67349">
              <w:rPr>
                <w:rFonts w:ascii="Palatino Linotype" w:hAnsi="Palatino Linotype"/>
                <w:noProof/>
                <w:webHidden/>
                <w:sz w:val="22"/>
                <w:szCs w:val="22"/>
              </w:rPr>
              <w:t>11</w:t>
            </w:r>
            <w:r w:rsidRPr="00AC739B">
              <w:rPr>
                <w:rFonts w:ascii="Palatino Linotype" w:hAnsi="Palatino Linotype"/>
                <w:noProof/>
                <w:webHidden/>
                <w:sz w:val="22"/>
                <w:szCs w:val="22"/>
              </w:rPr>
              <w:fldChar w:fldCharType="end"/>
            </w:r>
          </w:hyperlink>
        </w:p>
        <w:p w14:paraId="6D218CBF" w14:textId="20BCE04B" w:rsidR="00305C77" w:rsidRPr="00AC739B" w:rsidRDefault="00305C77" w:rsidP="00305C77">
          <w:pPr>
            <w:pStyle w:val="TDC2"/>
            <w:tabs>
              <w:tab w:val="right" w:leader="dot" w:pos="8921"/>
            </w:tabs>
            <w:spacing w:line="360" w:lineRule="auto"/>
            <w:rPr>
              <w:rFonts w:ascii="Palatino Linotype" w:eastAsiaTheme="minorEastAsia" w:hAnsi="Palatino Linotype" w:cstheme="minorBidi"/>
              <w:noProof/>
              <w:sz w:val="22"/>
              <w:szCs w:val="22"/>
              <w:lang w:eastAsia="es-MX"/>
            </w:rPr>
          </w:pPr>
          <w:hyperlink w:anchor="_Toc189757368" w:history="1">
            <w:r w:rsidRPr="00AC739B">
              <w:rPr>
                <w:rStyle w:val="Hipervnculo"/>
                <w:rFonts w:ascii="Palatino Linotype" w:hAnsi="Palatino Linotype"/>
                <w:noProof/>
                <w:sz w:val="22"/>
                <w:szCs w:val="22"/>
                <w:lang w:val="es-ES"/>
              </w:rPr>
              <w:t xml:space="preserve">CUARTO. </w:t>
            </w:r>
            <w:r w:rsidRPr="00AC739B">
              <w:rPr>
                <w:rStyle w:val="Hipervnculo"/>
                <w:rFonts w:ascii="Palatino Linotype" w:hAnsi="Palatino Linotype"/>
                <w:noProof/>
                <w:sz w:val="22"/>
                <w:szCs w:val="22"/>
              </w:rPr>
              <w:t>Marco normativo aplicable en materia de transparencia y acceso a la información pública</w:t>
            </w:r>
            <w:r w:rsidRPr="00AC739B">
              <w:rPr>
                <w:rFonts w:ascii="Palatino Linotype" w:hAnsi="Palatino Linotype"/>
                <w:noProof/>
                <w:webHidden/>
                <w:sz w:val="22"/>
                <w:szCs w:val="22"/>
              </w:rPr>
              <w:tab/>
            </w:r>
            <w:r w:rsidRPr="00AC739B">
              <w:rPr>
                <w:rFonts w:ascii="Palatino Linotype" w:hAnsi="Palatino Linotype"/>
                <w:noProof/>
                <w:webHidden/>
                <w:sz w:val="22"/>
                <w:szCs w:val="22"/>
              </w:rPr>
              <w:fldChar w:fldCharType="begin"/>
            </w:r>
            <w:r w:rsidRPr="00AC739B">
              <w:rPr>
                <w:rFonts w:ascii="Palatino Linotype" w:hAnsi="Palatino Linotype"/>
                <w:noProof/>
                <w:webHidden/>
                <w:sz w:val="22"/>
                <w:szCs w:val="22"/>
              </w:rPr>
              <w:instrText xml:space="preserve"> PAGEREF _Toc189757368 \h </w:instrText>
            </w:r>
            <w:r w:rsidRPr="00AC739B">
              <w:rPr>
                <w:rFonts w:ascii="Palatino Linotype" w:hAnsi="Palatino Linotype"/>
                <w:noProof/>
                <w:webHidden/>
                <w:sz w:val="22"/>
                <w:szCs w:val="22"/>
              </w:rPr>
            </w:r>
            <w:r w:rsidRPr="00AC739B">
              <w:rPr>
                <w:rFonts w:ascii="Palatino Linotype" w:hAnsi="Palatino Linotype"/>
                <w:noProof/>
                <w:webHidden/>
                <w:sz w:val="22"/>
                <w:szCs w:val="22"/>
              </w:rPr>
              <w:fldChar w:fldCharType="separate"/>
            </w:r>
            <w:r w:rsidR="00C67349">
              <w:rPr>
                <w:rFonts w:ascii="Palatino Linotype" w:hAnsi="Palatino Linotype"/>
                <w:noProof/>
                <w:webHidden/>
                <w:sz w:val="22"/>
                <w:szCs w:val="22"/>
              </w:rPr>
              <w:t>12</w:t>
            </w:r>
            <w:r w:rsidRPr="00AC739B">
              <w:rPr>
                <w:rFonts w:ascii="Palatino Linotype" w:hAnsi="Palatino Linotype"/>
                <w:noProof/>
                <w:webHidden/>
                <w:sz w:val="22"/>
                <w:szCs w:val="22"/>
              </w:rPr>
              <w:fldChar w:fldCharType="end"/>
            </w:r>
          </w:hyperlink>
        </w:p>
        <w:p w14:paraId="3B216BC8" w14:textId="4662F82A" w:rsidR="00305C77" w:rsidRPr="00AC739B" w:rsidRDefault="00305C77" w:rsidP="00305C77">
          <w:pPr>
            <w:pStyle w:val="TDC2"/>
            <w:tabs>
              <w:tab w:val="right" w:leader="dot" w:pos="8921"/>
            </w:tabs>
            <w:spacing w:line="360" w:lineRule="auto"/>
            <w:rPr>
              <w:rFonts w:ascii="Palatino Linotype" w:eastAsiaTheme="minorEastAsia" w:hAnsi="Palatino Linotype" w:cstheme="minorBidi"/>
              <w:noProof/>
              <w:sz w:val="22"/>
              <w:szCs w:val="22"/>
              <w:lang w:eastAsia="es-MX"/>
            </w:rPr>
          </w:pPr>
          <w:hyperlink w:anchor="_Toc189757369" w:history="1">
            <w:r w:rsidRPr="00AC739B">
              <w:rPr>
                <w:rStyle w:val="Hipervnculo"/>
                <w:rFonts w:ascii="Palatino Linotype" w:hAnsi="Palatino Linotype"/>
                <w:noProof/>
                <w:sz w:val="22"/>
                <w:szCs w:val="22"/>
                <w:lang w:val="es-ES"/>
              </w:rPr>
              <w:t>QUINTO. Estudio de Fondo</w:t>
            </w:r>
            <w:r w:rsidRPr="00AC739B">
              <w:rPr>
                <w:rFonts w:ascii="Palatino Linotype" w:hAnsi="Palatino Linotype"/>
                <w:noProof/>
                <w:webHidden/>
                <w:sz w:val="22"/>
                <w:szCs w:val="22"/>
              </w:rPr>
              <w:tab/>
            </w:r>
            <w:r w:rsidRPr="00AC739B">
              <w:rPr>
                <w:rFonts w:ascii="Palatino Linotype" w:hAnsi="Palatino Linotype"/>
                <w:noProof/>
                <w:webHidden/>
                <w:sz w:val="22"/>
                <w:szCs w:val="22"/>
              </w:rPr>
              <w:fldChar w:fldCharType="begin"/>
            </w:r>
            <w:r w:rsidRPr="00AC739B">
              <w:rPr>
                <w:rFonts w:ascii="Palatino Linotype" w:hAnsi="Palatino Linotype"/>
                <w:noProof/>
                <w:webHidden/>
                <w:sz w:val="22"/>
                <w:szCs w:val="22"/>
              </w:rPr>
              <w:instrText xml:space="preserve"> PAGEREF _Toc189757369 \h </w:instrText>
            </w:r>
            <w:r w:rsidRPr="00AC739B">
              <w:rPr>
                <w:rFonts w:ascii="Palatino Linotype" w:hAnsi="Palatino Linotype"/>
                <w:noProof/>
                <w:webHidden/>
                <w:sz w:val="22"/>
                <w:szCs w:val="22"/>
              </w:rPr>
            </w:r>
            <w:r w:rsidRPr="00AC739B">
              <w:rPr>
                <w:rFonts w:ascii="Palatino Linotype" w:hAnsi="Palatino Linotype"/>
                <w:noProof/>
                <w:webHidden/>
                <w:sz w:val="22"/>
                <w:szCs w:val="22"/>
              </w:rPr>
              <w:fldChar w:fldCharType="separate"/>
            </w:r>
            <w:r w:rsidR="00C67349">
              <w:rPr>
                <w:rFonts w:ascii="Palatino Linotype" w:hAnsi="Palatino Linotype"/>
                <w:noProof/>
                <w:webHidden/>
                <w:sz w:val="22"/>
                <w:szCs w:val="22"/>
              </w:rPr>
              <w:t>13</w:t>
            </w:r>
            <w:r w:rsidRPr="00AC739B">
              <w:rPr>
                <w:rFonts w:ascii="Palatino Linotype" w:hAnsi="Palatino Linotype"/>
                <w:noProof/>
                <w:webHidden/>
                <w:sz w:val="22"/>
                <w:szCs w:val="22"/>
              </w:rPr>
              <w:fldChar w:fldCharType="end"/>
            </w:r>
          </w:hyperlink>
        </w:p>
        <w:p w14:paraId="0C309CD2" w14:textId="23C5EB79" w:rsidR="00305C77" w:rsidRPr="00AC739B" w:rsidRDefault="00305C77" w:rsidP="00305C77">
          <w:pPr>
            <w:pStyle w:val="TDC2"/>
            <w:tabs>
              <w:tab w:val="right" w:leader="dot" w:pos="8921"/>
            </w:tabs>
            <w:spacing w:line="360" w:lineRule="auto"/>
            <w:rPr>
              <w:rFonts w:ascii="Palatino Linotype" w:eastAsiaTheme="minorEastAsia" w:hAnsi="Palatino Linotype" w:cstheme="minorBidi"/>
              <w:noProof/>
              <w:sz w:val="22"/>
              <w:szCs w:val="22"/>
              <w:lang w:eastAsia="es-MX"/>
            </w:rPr>
          </w:pPr>
          <w:hyperlink w:anchor="_Toc189757370" w:history="1">
            <w:r w:rsidRPr="00AC739B">
              <w:rPr>
                <w:rStyle w:val="Hipervnculo"/>
                <w:rFonts w:ascii="Palatino Linotype" w:eastAsia="Calibri" w:hAnsi="Palatino Linotype"/>
                <w:noProof/>
                <w:sz w:val="22"/>
                <w:szCs w:val="22"/>
              </w:rPr>
              <w:t>SEXTO. Decisión.</w:t>
            </w:r>
            <w:r w:rsidRPr="00AC739B">
              <w:rPr>
                <w:rFonts w:ascii="Palatino Linotype" w:hAnsi="Palatino Linotype"/>
                <w:noProof/>
                <w:webHidden/>
                <w:sz w:val="22"/>
                <w:szCs w:val="22"/>
              </w:rPr>
              <w:tab/>
            </w:r>
            <w:r w:rsidRPr="00AC739B">
              <w:rPr>
                <w:rFonts w:ascii="Palatino Linotype" w:hAnsi="Palatino Linotype"/>
                <w:noProof/>
                <w:webHidden/>
                <w:sz w:val="22"/>
                <w:szCs w:val="22"/>
              </w:rPr>
              <w:fldChar w:fldCharType="begin"/>
            </w:r>
            <w:r w:rsidRPr="00AC739B">
              <w:rPr>
                <w:rFonts w:ascii="Palatino Linotype" w:hAnsi="Palatino Linotype"/>
                <w:noProof/>
                <w:webHidden/>
                <w:sz w:val="22"/>
                <w:szCs w:val="22"/>
              </w:rPr>
              <w:instrText xml:space="preserve"> PAGEREF _Toc189757370 \h </w:instrText>
            </w:r>
            <w:r w:rsidRPr="00AC739B">
              <w:rPr>
                <w:rFonts w:ascii="Palatino Linotype" w:hAnsi="Palatino Linotype"/>
                <w:noProof/>
                <w:webHidden/>
                <w:sz w:val="22"/>
                <w:szCs w:val="22"/>
              </w:rPr>
            </w:r>
            <w:r w:rsidRPr="00AC739B">
              <w:rPr>
                <w:rFonts w:ascii="Palatino Linotype" w:hAnsi="Palatino Linotype"/>
                <w:noProof/>
                <w:webHidden/>
                <w:sz w:val="22"/>
                <w:szCs w:val="22"/>
              </w:rPr>
              <w:fldChar w:fldCharType="separate"/>
            </w:r>
            <w:r w:rsidR="00C67349">
              <w:rPr>
                <w:rFonts w:ascii="Palatino Linotype" w:hAnsi="Palatino Linotype"/>
                <w:noProof/>
                <w:webHidden/>
                <w:sz w:val="22"/>
                <w:szCs w:val="22"/>
              </w:rPr>
              <w:t>26</w:t>
            </w:r>
            <w:r w:rsidRPr="00AC739B">
              <w:rPr>
                <w:rFonts w:ascii="Palatino Linotype" w:hAnsi="Palatino Linotype"/>
                <w:noProof/>
                <w:webHidden/>
                <w:sz w:val="22"/>
                <w:szCs w:val="22"/>
              </w:rPr>
              <w:fldChar w:fldCharType="end"/>
            </w:r>
          </w:hyperlink>
        </w:p>
        <w:p w14:paraId="3FFCCA81" w14:textId="16E10950" w:rsidR="00305C77" w:rsidRPr="00AC739B" w:rsidRDefault="00305C77" w:rsidP="00305C77">
          <w:pPr>
            <w:pStyle w:val="TDC1"/>
            <w:rPr>
              <w:rFonts w:ascii="Palatino Linotype" w:eastAsiaTheme="minorEastAsia" w:hAnsi="Palatino Linotype" w:cstheme="minorBidi"/>
              <w:noProof/>
              <w:sz w:val="22"/>
              <w:szCs w:val="22"/>
              <w:lang w:eastAsia="es-MX"/>
            </w:rPr>
          </w:pPr>
          <w:hyperlink w:anchor="_Toc189757371" w:history="1">
            <w:r w:rsidRPr="00AC739B">
              <w:rPr>
                <w:rStyle w:val="Hipervnculo"/>
                <w:rFonts w:ascii="Palatino Linotype" w:eastAsia="Calibri" w:hAnsi="Palatino Linotype"/>
                <w:noProof/>
                <w:sz w:val="22"/>
                <w:szCs w:val="22"/>
              </w:rPr>
              <w:t>R E S U E L V E:</w:t>
            </w:r>
            <w:r w:rsidRPr="00AC739B">
              <w:rPr>
                <w:rFonts w:ascii="Palatino Linotype" w:hAnsi="Palatino Linotype"/>
                <w:noProof/>
                <w:webHidden/>
                <w:sz w:val="22"/>
                <w:szCs w:val="22"/>
              </w:rPr>
              <w:tab/>
            </w:r>
            <w:r w:rsidRPr="00AC739B">
              <w:rPr>
                <w:rFonts w:ascii="Palatino Linotype" w:hAnsi="Palatino Linotype"/>
                <w:noProof/>
                <w:webHidden/>
                <w:sz w:val="22"/>
                <w:szCs w:val="22"/>
              </w:rPr>
              <w:fldChar w:fldCharType="begin"/>
            </w:r>
            <w:r w:rsidRPr="00AC739B">
              <w:rPr>
                <w:rFonts w:ascii="Palatino Linotype" w:hAnsi="Palatino Linotype"/>
                <w:noProof/>
                <w:webHidden/>
                <w:sz w:val="22"/>
                <w:szCs w:val="22"/>
              </w:rPr>
              <w:instrText xml:space="preserve"> PAGEREF _Toc189757371 \h </w:instrText>
            </w:r>
            <w:r w:rsidRPr="00AC739B">
              <w:rPr>
                <w:rFonts w:ascii="Palatino Linotype" w:hAnsi="Palatino Linotype"/>
                <w:noProof/>
                <w:webHidden/>
                <w:sz w:val="22"/>
                <w:szCs w:val="22"/>
              </w:rPr>
            </w:r>
            <w:r w:rsidRPr="00AC739B">
              <w:rPr>
                <w:rFonts w:ascii="Palatino Linotype" w:hAnsi="Palatino Linotype"/>
                <w:noProof/>
                <w:webHidden/>
                <w:sz w:val="22"/>
                <w:szCs w:val="22"/>
              </w:rPr>
              <w:fldChar w:fldCharType="separate"/>
            </w:r>
            <w:r w:rsidR="00C67349">
              <w:rPr>
                <w:rFonts w:ascii="Palatino Linotype" w:hAnsi="Palatino Linotype"/>
                <w:noProof/>
                <w:webHidden/>
                <w:sz w:val="22"/>
                <w:szCs w:val="22"/>
              </w:rPr>
              <w:t>26</w:t>
            </w:r>
            <w:r w:rsidRPr="00AC739B">
              <w:rPr>
                <w:rFonts w:ascii="Palatino Linotype" w:hAnsi="Palatino Linotype"/>
                <w:noProof/>
                <w:webHidden/>
                <w:sz w:val="22"/>
                <w:szCs w:val="22"/>
              </w:rPr>
              <w:fldChar w:fldCharType="end"/>
            </w:r>
          </w:hyperlink>
        </w:p>
        <w:p w14:paraId="39113C74" w14:textId="5FF182C4" w:rsidR="00076681" w:rsidRPr="00AC739B" w:rsidRDefault="00076681" w:rsidP="005032B4">
          <w:pPr>
            <w:spacing w:after="0" w:line="360" w:lineRule="auto"/>
          </w:pPr>
          <w:r w:rsidRPr="00AC739B">
            <w:rPr>
              <w:lang w:val="es-ES"/>
            </w:rPr>
            <w:fldChar w:fldCharType="end"/>
          </w:r>
        </w:p>
      </w:sdtContent>
    </w:sdt>
    <w:p w14:paraId="075FABE6" w14:textId="77777777" w:rsidR="00F063F0" w:rsidRPr="00AC739B" w:rsidRDefault="00F063F0" w:rsidP="005032B4">
      <w:pPr>
        <w:tabs>
          <w:tab w:val="left" w:pos="8931"/>
        </w:tabs>
        <w:spacing w:after="0" w:line="360" w:lineRule="auto"/>
        <w:contextualSpacing/>
        <w:rPr>
          <w:rFonts w:cs="Tahoma"/>
          <w:bCs/>
          <w:color w:val="FF0000"/>
        </w:rPr>
      </w:pPr>
    </w:p>
    <w:p w14:paraId="15E4A7DB" w14:textId="77777777" w:rsidR="009A627C" w:rsidRPr="00AC739B" w:rsidRDefault="009A627C" w:rsidP="005032B4">
      <w:pPr>
        <w:tabs>
          <w:tab w:val="left" w:pos="8931"/>
        </w:tabs>
        <w:spacing w:after="0" w:line="360" w:lineRule="auto"/>
        <w:contextualSpacing/>
        <w:rPr>
          <w:rFonts w:cs="Tahoma"/>
          <w:bCs/>
          <w:color w:val="FF0000"/>
        </w:rPr>
      </w:pPr>
    </w:p>
    <w:p w14:paraId="3530C0FA" w14:textId="60C4C424" w:rsidR="00DB3DC5" w:rsidRPr="00AC739B" w:rsidRDefault="00DB3DC5" w:rsidP="005032B4">
      <w:pPr>
        <w:tabs>
          <w:tab w:val="left" w:pos="8931"/>
        </w:tabs>
        <w:spacing w:after="0" w:line="360" w:lineRule="auto"/>
        <w:contextualSpacing/>
        <w:rPr>
          <w:rFonts w:eastAsia="Calibri" w:cs="Tahoma"/>
          <w:color w:val="auto"/>
          <w:lang w:val="es-ES"/>
        </w:rPr>
      </w:pPr>
      <w:r w:rsidRPr="00AC739B">
        <w:rPr>
          <w:rFonts w:cs="Tahoma"/>
          <w:bCs/>
          <w:color w:val="auto"/>
        </w:rPr>
        <w:t xml:space="preserve">Resolución del Pleno del Instituto de Transparencia, Acceso a la Información Pública y Protección de Datos Personales del Estado de México y Municipios, con domicilio en Metepec, </w:t>
      </w:r>
      <w:r w:rsidRPr="00AC739B">
        <w:rPr>
          <w:rFonts w:eastAsia="Calibri" w:cs="Tahoma"/>
          <w:color w:val="auto"/>
          <w:lang w:val="es-ES"/>
        </w:rPr>
        <w:t xml:space="preserve">Estado de México, de fecha </w:t>
      </w:r>
      <w:r w:rsidR="007F316D" w:rsidRPr="00AC739B">
        <w:rPr>
          <w:rFonts w:eastAsia="Calibri" w:cs="Tahoma"/>
          <w:color w:val="auto"/>
          <w:lang w:val="es-ES"/>
        </w:rPr>
        <w:t>doce</w:t>
      </w:r>
      <w:r w:rsidR="00EA2599" w:rsidRPr="00AC739B">
        <w:rPr>
          <w:rFonts w:eastAsia="Calibri" w:cs="Tahoma"/>
          <w:color w:val="auto"/>
          <w:lang w:val="es-ES"/>
        </w:rPr>
        <w:t xml:space="preserve"> de febrero</w:t>
      </w:r>
      <w:r w:rsidR="008E279B" w:rsidRPr="00AC739B">
        <w:rPr>
          <w:rFonts w:eastAsia="Calibri" w:cs="Tahoma"/>
          <w:color w:val="auto"/>
          <w:lang w:val="es-ES"/>
        </w:rPr>
        <w:t xml:space="preserve"> de dos mil veinticinco.</w:t>
      </w:r>
      <w:r w:rsidRPr="00AC739B">
        <w:rPr>
          <w:rFonts w:eastAsia="Calibri" w:cs="Tahoma"/>
          <w:color w:val="auto"/>
          <w:lang w:val="es-ES"/>
        </w:rPr>
        <w:t xml:space="preserve"> </w:t>
      </w:r>
    </w:p>
    <w:p w14:paraId="2A681408" w14:textId="1CE12C44" w:rsidR="00DB3DC5" w:rsidRPr="00AC739B" w:rsidRDefault="00455DCB" w:rsidP="005032B4">
      <w:pPr>
        <w:tabs>
          <w:tab w:val="left" w:pos="2340"/>
        </w:tabs>
        <w:spacing w:after="0" w:line="360" w:lineRule="auto"/>
        <w:contextualSpacing/>
        <w:rPr>
          <w:rFonts w:eastAsia="Calibri" w:cs="Tahoma"/>
          <w:b/>
          <w:bCs/>
          <w:color w:val="FF0000"/>
          <w:lang w:val="es-ES"/>
        </w:rPr>
      </w:pPr>
      <w:r w:rsidRPr="00AC739B">
        <w:rPr>
          <w:rFonts w:eastAsia="Calibri" w:cs="Tahoma"/>
          <w:b/>
          <w:bCs/>
          <w:color w:val="FF0000"/>
          <w:lang w:val="es-ES"/>
        </w:rPr>
        <w:tab/>
      </w:r>
    </w:p>
    <w:p w14:paraId="75D54F3E" w14:textId="52C2278F" w:rsidR="00DB3DC5" w:rsidRPr="00AC739B" w:rsidRDefault="00DB3DC5" w:rsidP="005032B4">
      <w:pPr>
        <w:spacing w:after="0" w:line="360" w:lineRule="auto"/>
        <w:contextualSpacing/>
        <w:rPr>
          <w:rFonts w:cs="Tahoma"/>
          <w:color w:val="auto"/>
        </w:rPr>
      </w:pPr>
      <w:r w:rsidRPr="00AC739B">
        <w:rPr>
          <w:rFonts w:eastAsia="Calibri" w:cs="Tahoma"/>
          <w:b/>
          <w:bCs/>
          <w:color w:val="auto"/>
          <w:lang w:val="es-ES"/>
        </w:rPr>
        <w:t xml:space="preserve">VISTO </w:t>
      </w:r>
      <w:r w:rsidRPr="00AC739B">
        <w:rPr>
          <w:rFonts w:eastAsia="Calibri" w:cs="Tahoma"/>
          <w:color w:val="auto"/>
          <w:lang w:val="es-ES"/>
        </w:rPr>
        <w:t>el expediente electrónico conformado con motivo d</w:t>
      </w:r>
      <w:r w:rsidR="00087796" w:rsidRPr="00AC739B">
        <w:rPr>
          <w:rFonts w:eastAsia="Calibri" w:cs="Tahoma"/>
          <w:color w:val="auto"/>
          <w:lang w:val="es-ES"/>
        </w:rPr>
        <w:t>el</w:t>
      </w:r>
      <w:r w:rsidRPr="00AC739B">
        <w:rPr>
          <w:rFonts w:eastAsia="Calibri" w:cs="Tahoma"/>
          <w:color w:val="auto"/>
          <w:lang w:val="es-ES"/>
        </w:rPr>
        <w:t xml:space="preserve"> Recurso de Revisión </w:t>
      </w:r>
      <w:r w:rsidR="007F316D" w:rsidRPr="004A6560">
        <w:rPr>
          <w:rFonts w:eastAsia="Calibri" w:cs="Tahoma"/>
          <w:b/>
          <w:bCs/>
          <w:color w:val="auto"/>
        </w:rPr>
        <w:t>00186/INFOEM/IP/RR/2025</w:t>
      </w:r>
      <w:r w:rsidRPr="00AC739B">
        <w:rPr>
          <w:rFonts w:eastAsia="Calibri" w:cs="Tahoma"/>
          <w:color w:val="auto"/>
        </w:rPr>
        <w:t>, interpuesto</w:t>
      </w:r>
      <w:r w:rsidR="00A63EA5" w:rsidRPr="00AC739B">
        <w:rPr>
          <w:rFonts w:eastAsia="Calibri" w:cs="Tahoma"/>
          <w:color w:val="auto"/>
        </w:rPr>
        <w:t xml:space="preserve"> por</w:t>
      </w:r>
      <w:r w:rsidR="00EA276A" w:rsidRPr="00AC739B">
        <w:rPr>
          <w:rFonts w:eastAsia="Calibri" w:cs="Tahoma"/>
          <w:color w:val="auto"/>
        </w:rPr>
        <w:t xml:space="preserve"> </w:t>
      </w:r>
      <w:r w:rsidR="0046538F" w:rsidRPr="00AC739B">
        <w:rPr>
          <w:rFonts w:eastAsia="Calibri" w:cs="Tahoma"/>
          <w:color w:val="auto"/>
        </w:rPr>
        <w:t>la persona</w:t>
      </w:r>
      <w:r w:rsidR="007719F0" w:rsidRPr="00AC739B">
        <w:rPr>
          <w:rFonts w:eastAsia="Calibri" w:cs="Tahoma"/>
          <w:color w:val="auto"/>
        </w:rPr>
        <w:t xml:space="preserve"> Particular o R</w:t>
      </w:r>
      <w:r w:rsidR="00043CDA" w:rsidRPr="00AC739B">
        <w:rPr>
          <w:rFonts w:eastAsia="Calibri" w:cs="Tahoma"/>
          <w:color w:val="auto"/>
        </w:rPr>
        <w:t>ecurrente,</w:t>
      </w:r>
      <w:r w:rsidRPr="00AC739B">
        <w:rPr>
          <w:rFonts w:cs="Tahoma"/>
          <w:color w:val="auto"/>
        </w:rPr>
        <w:t xml:space="preserve"> en contra de la respuesta del Sujeto Obligado, </w:t>
      </w:r>
      <w:bookmarkStart w:id="0" w:name="_Hlk189676403"/>
      <w:r w:rsidR="007F316D" w:rsidRPr="004A6560">
        <w:rPr>
          <w:rFonts w:eastAsia="Calibri" w:cs="Tahoma"/>
          <w:b/>
          <w:bCs/>
          <w:color w:val="auto"/>
        </w:rPr>
        <w:t>Ayuntamiento de Toluca</w:t>
      </w:r>
      <w:bookmarkEnd w:id="0"/>
      <w:r w:rsidRPr="00AC739B">
        <w:rPr>
          <w:rFonts w:cs="Tahoma"/>
          <w:color w:val="auto"/>
        </w:rPr>
        <w:t xml:space="preserve">, a la solicitud de acceso a la información </w:t>
      </w:r>
      <w:r w:rsidR="002C3558" w:rsidRPr="00AC739B">
        <w:rPr>
          <w:rFonts w:cs="Tahoma"/>
          <w:color w:val="auto"/>
        </w:rPr>
        <w:t xml:space="preserve">pública </w:t>
      </w:r>
      <w:r w:rsidR="007F316D" w:rsidRPr="00AC739B">
        <w:rPr>
          <w:rFonts w:eastAsia="Calibri" w:cs="Tahoma"/>
          <w:color w:val="auto"/>
        </w:rPr>
        <w:t xml:space="preserve">03410/TOLUCA/IP/2024 </w:t>
      </w:r>
      <w:r w:rsidRPr="00AC739B">
        <w:rPr>
          <w:rFonts w:cs="Tahoma"/>
          <w:color w:val="auto"/>
        </w:rPr>
        <w:t>se emite</w:t>
      </w:r>
      <w:r w:rsidRPr="00AC739B">
        <w:rPr>
          <w:rFonts w:cs="Tahoma"/>
          <w:bCs/>
          <w:color w:val="auto"/>
        </w:rPr>
        <w:t xml:space="preserve"> la presente Resolución, con base en los Antecedentes y Considerandos que se exponen a continuación:</w:t>
      </w:r>
    </w:p>
    <w:p w14:paraId="134E03A6" w14:textId="5F6E8CA4" w:rsidR="00DB3DC5" w:rsidRPr="00AC739B" w:rsidRDefault="00455DCB" w:rsidP="005032B4">
      <w:pPr>
        <w:tabs>
          <w:tab w:val="left" w:pos="1965"/>
        </w:tabs>
        <w:spacing w:after="0" w:line="360" w:lineRule="auto"/>
        <w:contextualSpacing/>
        <w:rPr>
          <w:rFonts w:eastAsia="Calibri" w:cs="Tahoma"/>
          <w:b/>
          <w:bCs/>
          <w:color w:val="FF0000"/>
          <w:lang w:val="es-ES"/>
        </w:rPr>
      </w:pPr>
      <w:r w:rsidRPr="00AC739B">
        <w:rPr>
          <w:rFonts w:eastAsia="Calibri" w:cs="Tahoma"/>
          <w:b/>
          <w:bCs/>
          <w:color w:val="FF0000"/>
          <w:lang w:val="es-ES"/>
        </w:rPr>
        <w:tab/>
      </w:r>
    </w:p>
    <w:p w14:paraId="32EEB02D" w14:textId="734C012B" w:rsidR="00DB3DC5" w:rsidRPr="00AC739B" w:rsidRDefault="00737CF6" w:rsidP="005032B4">
      <w:pPr>
        <w:pStyle w:val="Ttulo1"/>
        <w:spacing w:before="0" w:line="360" w:lineRule="auto"/>
        <w:jc w:val="center"/>
        <w:rPr>
          <w:rFonts w:ascii="Palatino Linotype" w:hAnsi="Palatino Linotype"/>
          <w:b/>
          <w:color w:val="000000" w:themeColor="text1"/>
          <w:sz w:val="22"/>
          <w:szCs w:val="22"/>
        </w:rPr>
      </w:pPr>
      <w:bookmarkStart w:id="1" w:name="_Toc189757354"/>
      <w:r w:rsidRPr="00AC739B">
        <w:rPr>
          <w:rFonts w:ascii="Palatino Linotype" w:hAnsi="Palatino Linotype"/>
          <w:b/>
          <w:color w:val="000000" w:themeColor="text1"/>
          <w:sz w:val="22"/>
          <w:szCs w:val="22"/>
        </w:rPr>
        <w:t>A N T E C E D E N T E S</w:t>
      </w:r>
      <w:bookmarkEnd w:id="1"/>
    </w:p>
    <w:p w14:paraId="09E98305" w14:textId="77777777" w:rsidR="00DB3DC5" w:rsidRPr="00AC739B" w:rsidRDefault="00DB3DC5" w:rsidP="005032B4">
      <w:pPr>
        <w:spacing w:after="0" w:line="360" w:lineRule="auto"/>
        <w:contextualSpacing/>
        <w:jc w:val="center"/>
        <w:rPr>
          <w:rFonts w:eastAsia="Calibri" w:cs="Tahoma"/>
          <w:b/>
          <w:bCs/>
          <w:color w:val="auto"/>
          <w:lang w:val="es-ES"/>
        </w:rPr>
      </w:pPr>
    </w:p>
    <w:p w14:paraId="5E541408" w14:textId="7E0BBF99" w:rsidR="00DB3DC5" w:rsidRPr="00AC739B" w:rsidRDefault="00DB3DC5" w:rsidP="005032B4">
      <w:pPr>
        <w:pStyle w:val="Ttulo2"/>
        <w:spacing w:before="0" w:line="360" w:lineRule="auto"/>
        <w:rPr>
          <w:rFonts w:ascii="Palatino Linotype" w:eastAsia="Calibri" w:hAnsi="Palatino Linotype"/>
          <w:b/>
          <w:color w:val="000000" w:themeColor="text1"/>
          <w:sz w:val="22"/>
          <w:szCs w:val="22"/>
          <w:lang w:val="es-ES"/>
        </w:rPr>
      </w:pPr>
      <w:bookmarkStart w:id="2" w:name="_Toc189757355"/>
      <w:r w:rsidRPr="00AC739B">
        <w:rPr>
          <w:rFonts w:ascii="Palatino Linotype" w:eastAsia="Calibri" w:hAnsi="Palatino Linotype"/>
          <w:b/>
          <w:color w:val="000000" w:themeColor="text1"/>
          <w:sz w:val="22"/>
          <w:szCs w:val="22"/>
          <w:lang w:val="es-ES"/>
        </w:rPr>
        <w:t>I. Presentación</w:t>
      </w:r>
      <w:r w:rsidR="00737CF6" w:rsidRPr="00AC739B">
        <w:rPr>
          <w:rFonts w:ascii="Palatino Linotype" w:eastAsia="Calibri" w:hAnsi="Palatino Linotype"/>
          <w:b/>
          <w:color w:val="000000" w:themeColor="text1"/>
          <w:sz w:val="22"/>
          <w:szCs w:val="22"/>
          <w:lang w:val="es-ES"/>
        </w:rPr>
        <w:t xml:space="preserve"> de la solicitud de información</w:t>
      </w:r>
      <w:bookmarkEnd w:id="2"/>
    </w:p>
    <w:p w14:paraId="5A91601B" w14:textId="77777777" w:rsidR="00DB3DC5" w:rsidRPr="00AC739B" w:rsidRDefault="00DB3DC5" w:rsidP="005032B4">
      <w:pPr>
        <w:spacing w:after="0" w:line="360" w:lineRule="auto"/>
        <w:contextualSpacing/>
        <w:rPr>
          <w:rFonts w:eastAsia="Calibri" w:cs="Tahoma"/>
          <w:b/>
          <w:bCs/>
          <w:color w:val="auto"/>
          <w:lang w:val="es-ES"/>
        </w:rPr>
      </w:pPr>
    </w:p>
    <w:p w14:paraId="1620C68D" w14:textId="75ECF5D3" w:rsidR="00DB3DC5" w:rsidRPr="00AC739B" w:rsidRDefault="00DB3DC5" w:rsidP="005032B4">
      <w:pPr>
        <w:spacing w:after="0" w:line="360" w:lineRule="auto"/>
        <w:contextualSpacing/>
        <w:rPr>
          <w:rFonts w:cs="Tahoma"/>
          <w:color w:val="auto"/>
        </w:rPr>
      </w:pPr>
      <w:r w:rsidRPr="00AC739B">
        <w:rPr>
          <w:rFonts w:eastAsia="Calibri" w:cs="Tahoma"/>
          <w:color w:val="auto"/>
          <w:lang w:val="es-ES"/>
        </w:rPr>
        <w:t xml:space="preserve">Con fecha </w:t>
      </w:r>
      <w:r w:rsidR="007F316D" w:rsidRPr="00AC739B">
        <w:rPr>
          <w:rFonts w:eastAsia="Calibri" w:cs="Tahoma"/>
          <w:color w:val="auto"/>
          <w:lang w:val="es-ES"/>
        </w:rPr>
        <w:t xml:space="preserve">seis de diciembre </w:t>
      </w:r>
      <w:r w:rsidR="00EA276A" w:rsidRPr="00AC739B">
        <w:rPr>
          <w:rFonts w:eastAsia="Calibri" w:cs="Tahoma"/>
          <w:color w:val="auto"/>
          <w:lang w:val="es-ES"/>
        </w:rPr>
        <w:t>de dos mil veinticuatro</w:t>
      </w:r>
      <w:r w:rsidRPr="00AC739B">
        <w:rPr>
          <w:rFonts w:eastAsia="Calibri" w:cs="Tahoma"/>
          <w:color w:val="auto"/>
          <w:lang w:val="es-ES"/>
        </w:rPr>
        <w:t xml:space="preserve">, </w:t>
      </w:r>
      <w:r w:rsidR="0046538F" w:rsidRPr="00AC739B">
        <w:rPr>
          <w:rFonts w:eastAsia="Calibri" w:cs="Tahoma"/>
          <w:color w:val="auto"/>
          <w:lang w:val="es-ES"/>
        </w:rPr>
        <w:t>la persona Solicitante</w:t>
      </w:r>
      <w:r w:rsidRPr="00AC739B">
        <w:rPr>
          <w:rFonts w:eastAsia="Calibri" w:cs="Tahoma"/>
          <w:color w:val="auto"/>
          <w:lang w:val="es-ES"/>
        </w:rPr>
        <w:t xml:space="preserve"> presentó </w:t>
      </w:r>
      <w:r w:rsidR="0046538F" w:rsidRPr="00AC739B">
        <w:rPr>
          <w:rFonts w:eastAsia="Calibri" w:cs="Tahoma"/>
          <w:color w:val="auto"/>
          <w:lang w:val="es-ES"/>
        </w:rPr>
        <w:t>un requerimiento</w:t>
      </w:r>
      <w:r w:rsidR="00087796" w:rsidRPr="00AC739B">
        <w:rPr>
          <w:rFonts w:eastAsia="Calibri" w:cs="Tahoma"/>
          <w:color w:val="auto"/>
          <w:lang w:val="es-ES"/>
        </w:rPr>
        <w:t xml:space="preserve"> </w:t>
      </w:r>
      <w:r w:rsidRPr="00AC739B">
        <w:rPr>
          <w:rFonts w:eastAsia="Calibri" w:cs="Tahoma"/>
          <w:color w:val="auto"/>
          <w:lang w:val="es-ES"/>
        </w:rPr>
        <w:t xml:space="preserve">de acceso a la información, a través del Sistema de Acceso a la Información Mexiquense (SAIMEX), ante el </w:t>
      </w:r>
      <w:r w:rsidR="007F316D" w:rsidRPr="00AC739B">
        <w:rPr>
          <w:rFonts w:eastAsia="Calibri" w:cs="Tahoma"/>
          <w:color w:val="auto"/>
        </w:rPr>
        <w:t>Ayuntamiento de Toluca</w:t>
      </w:r>
      <w:r w:rsidRPr="00AC739B">
        <w:rPr>
          <w:rFonts w:eastAsia="Calibri" w:cs="Times New Roman"/>
          <w:color w:val="auto"/>
        </w:rPr>
        <w:t>,</w:t>
      </w:r>
      <w:r w:rsidRPr="00AC739B">
        <w:rPr>
          <w:rFonts w:eastAsia="Calibri" w:cs="Times New Roman"/>
          <w:b/>
          <w:color w:val="auto"/>
        </w:rPr>
        <w:t xml:space="preserve"> </w:t>
      </w:r>
      <w:r w:rsidRPr="00AC739B">
        <w:rPr>
          <w:rFonts w:cs="Tahoma"/>
          <w:color w:val="auto"/>
        </w:rPr>
        <w:t>en los siguientes términos:</w:t>
      </w:r>
    </w:p>
    <w:p w14:paraId="143ECF6C" w14:textId="0F6230CE" w:rsidR="00345BB5" w:rsidRPr="00AC739B" w:rsidRDefault="00345BB5" w:rsidP="005032B4">
      <w:pPr>
        <w:tabs>
          <w:tab w:val="left" w:pos="4667"/>
        </w:tabs>
        <w:spacing w:after="0" w:line="360" w:lineRule="auto"/>
        <w:ind w:right="567"/>
        <w:contextualSpacing/>
        <w:rPr>
          <w:rFonts w:cs="Tahoma"/>
          <w:b/>
          <w:bCs/>
          <w:i/>
          <w:color w:val="FF0000"/>
        </w:rPr>
      </w:pPr>
    </w:p>
    <w:p w14:paraId="24654BA5" w14:textId="77777777" w:rsidR="00087796" w:rsidRPr="00AC739B" w:rsidRDefault="00087796" w:rsidP="005032B4">
      <w:pPr>
        <w:spacing w:after="0" w:line="360" w:lineRule="auto"/>
        <w:ind w:left="567" w:right="567"/>
        <w:contextualSpacing/>
        <w:rPr>
          <w:rFonts w:eastAsia="Times New Roman" w:cs="Arial"/>
          <w:b/>
          <w:bCs/>
          <w:i/>
          <w:iCs/>
          <w:color w:val="auto"/>
          <w:sz w:val="20"/>
          <w:lang w:eastAsia="es-ES"/>
        </w:rPr>
      </w:pPr>
      <w:r w:rsidRPr="00AC739B">
        <w:rPr>
          <w:rFonts w:eastAsia="Times New Roman" w:cs="Arial"/>
          <w:b/>
          <w:bCs/>
          <w:i/>
          <w:iCs/>
          <w:color w:val="auto"/>
          <w:sz w:val="20"/>
          <w:lang w:eastAsia="es-ES"/>
        </w:rPr>
        <w:t>“DESCRIPCIÓN CLARA Y PRECISA DE LA INFORMACIÓN SOLICITADA.</w:t>
      </w:r>
    </w:p>
    <w:p w14:paraId="5D13BEEC" w14:textId="5256801E" w:rsidR="00087796" w:rsidRPr="00AC739B" w:rsidRDefault="007F316D" w:rsidP="005032B4">
      <w:pPr>
        <w:spacing w:after="0" w:line="360" w:lineRule="auto"/>
        <w:ind w:left="567" w:right="567"/>
        <w:contextualSpacing/>
        <w:rPr>
          <w:rFonts w:eastAsia="Times New Roman" w:cs="Arial"/>
          <w:bCs/>
          <w:i/>
          <w:iCs/>
          <w:color w:val="auto"/>
          <w:sz w:val="20"/>
          <w:lang w:eastAsia="es-ES"/>
        </w:rPr>
      </w:pPr>
      <w:r w:rsidRPr="00AC739B">
        <w:rPr>
          <w:rFonts w:eastAsia="Times New Roman" w:cs="Arial"/>
          <w:bCs/>
          <w:i/>
          <w:iCs/>
          <w:color w:val="auto"/>
          <w:sz w:val="20"/>
          <w:lang w:eastAsia="es-ES"/>
        </w:rPr>
        <w:t xml:space="preserve">Solicito se me remita el comprobante de pago del adeudo de 625,000 pesos, que se </w:t>
      </w:r>
      <w:proofErr w:type="spellStart"/>
      <w:r w:rsidRPr="00AC739B">
        <w:rPr>
          <w:rFonts w:eastAsia="Times New Roman" w:cs="Arial"/>
          <w:bCs/>
          <w:i/>
          <w:iCs/>
          <w:color w:val="auto"/>
          <w:sz w:val="20"/>
          <w:lang w:eastAsia="es-ES"/>
        </w:rPr>
        <w:t>tenia</w:t>
      </w:r>
      <w:proofErr w:type="spellEnd"/>
      <w:r w:rsidRPr="00AC739B">
        <w:rPr>
          <w:rFonts w:eastAsia="Times New Roman" w:cs="Arial"/>
          <w:bCs/>
          <w:i/>
          <w:iCs/>
          <w:color w:val="auto"/>
          <w:sz w:val="20"/>
          <w:lang w:eastAsia="es-ES"/>
        </w:rPr>
        <w:t xml:space="preserve"> con el SISTEMA DE RADIO Y TELEVISION MEXIQUENSE con la denominación de la deuda 2112-0001-0002-0000-0596, adeudo que se encuentra contemplado en el Estado Analítico de la Deuda y otros Pasivos del 1 de enero al 31 de diciembre de 2021, mismo que se anexa para mayor referencia. En caso de ser negativa la respuesta, solicito se me informe el estado que guarda el adeudo a que se hace referencia.</w:t>
      </w:r>
      <w:r w:rsidR="00087796" w:rsidRPr="00AC739B">
        <w:rPr>
          <w:rFonts w:eastAsia="Times New Roman" w:cs="Arial"/>
          <w:bCs/>
          <w:i/>
          <w:iCs/>
          <w:color w:val="auto"/>
          <w:sz w:val="20"/>
          <w:lang w:eastAsia="es-ES"/>
        </w:rPr>
        <w:t xml:space="preserve">” (Sic) </w:t>
      </w:r>
    </w:p>
    <w:p w14:paraId="03420A6D" w14:textId="77777777" w:rsidR="0046538F" w:rsidRPr="00AC739B" w:rsidRDefault="0046538F" w:rsidP="005032B4">
      <w:pPr>
        <w:spacing w:after="0" w:line="360" w:lineRule="auto"/>
        <w:ind w:right="567"/>
        <w:contextualSpacing/>
        <w:rPr>
          <w:rFonts w:eastAsia="Times New Roman" w:cs="Arial"/>
          <w:bCs/>
          <w:i/>
          <w:iCs/>
          <w:color w:val="auto"/>
          <w:sz w:val="20"/>
          <w:lang w:eastAsia="es-ES"/>
        </w:rPr>
      </w:pPr>
    </w:p>
    <w:p w14:paraId="115716E2" w14:textId="77777777" w:rsidR="00087796" w:rsidRPr="00AC739B" w:rsidRDefault="00087796" w:rsidP="005032B4">
      <w:pPr>
        <w:spacing w:after="0" w:line="360" w:lineRule="auto"/>
        <w:ind w:left="567" w:right="567"/>
        <w:contextualSpacing/>
        <w:rPr>
          <w:rFonts w:eastAsia="Times New Roman" w:cs="Arial"/>
          <w:b/>
          <w:bCs/>
          <w:i/>
          <w:iCs/>
          <w:color w:val="auto"/>
          <w:sz w:val="20"/>
          <w:lang w:eastAsia="es-ES"/>
        </w:rPr>
      </w:pPr>
      <w:r w:rsidRPr="00AC739B">
        <w:rPr>
          <w:rFonts w:eastAsia="Times New Roman" w:cs="Arial"/>
          <w:b/>
          <w:bCs/>
          <w:i/>
          <w:iCs/>
          <w:color w:val="auto"/>
          <w:sz w:val="20"/>
          <w:lang w:eastAsia="es-ES"/>
        </w:rPr>
        <w:t>“MODALIDAD DE ENTREGA</w:t>
      </w:r>
    </w:p>
    <w:p w14:paraId="05C0E60D" w14:textId="16048C8A" w:rsidR="00345BB5" w:rsidRPr="00AC739B" w:rsidRDefault="00087796" w:rsidP="005032B4">
      <w:pPr>
        <w:spacing w:after="0" w:line="360" w:lineRule="auto"/>
        <w:ind w:left="567" w:right="567"/>
        <w:contextualSpacing/>
        <w:rPr>
          <w:rFonts w:eastAsia="Times New Roman" w:cs="Arial"/>
          <w:bCs/>
          <w:i/>
          <w:iCs/>
          <w:color w:val="auto"/>
          <w:sz w:val="20"/>
          <w:lang w:eastAsia="es-ES"/>
        </w:rPr>
      </w:pPr>
      <w:r w:rsidRPr="00AC739B">
        <w:rPr>
          <w:rFonts w:eastAsia="Times New Roman" w:cs="Arial"/>
          <w:bCs/>
          <w:i/>
          <w:iCs/>
          <w:color w:val="auto"/>
          <w:sz w:val="20"/>
          <w:lang w:eastAsia="es-ES"/>
        </w:rPr>
        <w:lastRenderedPageBreak/>
        <w:t>A través del SAIMEX”</w:t>
      </w:r>
    </w:p>
    <w:p w14:paraId="479057D5" w14:textId="77777777" w:rsidR="00305C77" w:rsidRPr="00AC739B" w:rsidRDefault="00305C77" w:rsidP="005032B4">
      <w:pPr>
        <w:spacing w:after="0" w:line="360" w:lineRule="auto"/>
        <w:ind w:left="567" w:right="567"/>
        <w:contextualSpacing/>
        <w:rPr>
          <w:rFonts w:eastAsia="Times New Roman" w:cs="Arial"/>
          <w:bCs/>
          <w:i/>
          <w:iCs/>
          <w:color w:val="auto"/>
          <w:sz w:val="20"/>
          <w:lang w:eastAsia="es-ES"/>
        </w:rPr>
      </w:pPr>
    </w:p>
    <w:p w14:paraId="07B28629" w14:textId="4E5B805D" w:rsidR="0046538F" w:rsidRPr="00AC739B" w:rsidRDefault="001A0F43" w:rsidP="005032B4">
      <w:pPr>
        <w:spacing w:after="0" w:line="360" w:lineRule="auto"/>
        <w:contextualSpacing/>
        <w:rPr>
          <w:rFonts w:eastAsia="Calibri" w:cs="Tahoma"/>
          <w:color w:val="auto"/>
        </w:rPr>
      </w:pPr>
      <w:r w:rsidRPr="00AC739B">
        <w:rPr>
          <w:rFonts w:eastAsia="Calibri" w:cs="Tahoma"/>
          <w:color w:val="auto"/>
        </w:rPr>
        <w:t>El Particular adjuntó la digitalización de un</w:t>
      </w:r>
      <w:r w:rsidR="008B2C31" w:rsidRPr="00AC739B">
        <w:rPr>
          <w:rFonts w:eastAsia="Calibri" w:cs="Tahoma"/>
          <w:color w:val="auto"/>
        </w:rPr>
        <w:t xml:space="preserve"> extracto del Estado Analítico de la Deuda y otros pasivos, de la cuenta pública del dos </w:t>
      </w:r>
      <w:proofErr w:type="gramStart"/>
      <w:r w:rsidR="008B2C31" w:rsidRPr="00AC739B">
        <w:rPr>
          <w:rFonts w:eastAsia="Calibri" w:cs="Tahoma"/>
          <w:color w:val="auto"/>
        </w:rPr>
        <w:t>mil veintiuno</w:t>
      </w:r>
      <w:proofErr w:type="gramEnd"/>
      <w:r w:rsidR="008B2C31" w:rsidRPr="00AC739B">
        <w:rPr>
          <w:rFonts w:eastAsia="Calibri" w:cs="Tahoma"/>
          <w:color w:val="auto"/>
        </w:rPr>
        <w:t>.</w:t>
      </w:r>
    </w:p>
    <w:p w14:paraId="4387F950" w14:textId="77777777" w:rsidR="001A0F43" w:rsidRPr="00AC739B" w:rsidRDefault="001A0F43" w:rsidP="005032B4">
      <w:pPr>
        <w:spacing w:after="0" w:line="360" w:lineRule="auto"/>
        <w:contextualSpacing/>
        <w:rPr>
          <w:rFonts w:eastAsia="Calibri" w:cs="Tahoma"/>
          <w:b/>
          <w:bCs/>
          <w:color w:val="auto"/>
        </w:rPr>
      </w:pPr>
    </w:p>
    <w:p w14:paraId="675E2DC0" w14:textId="75639D5F" w:rsidR="00DB3DC5" w:rsidRPr="00AC739B" w:rsidRDefault="00DB3DC5" w:rsidP="005032B4">
      <w:pPr>
        <w:pStyle w:val="Ttulo2"/>
        <w:spacing w:before="0" w:line="360" w:lineRule="auto"/>
        <w:rPr>
          <w:rFonts w:ascii="Palatino Linotype" w:eastAsia="Calibri" w:hAnsi="Palatino Linotype"/>
          <w:b/>
          <w:color w:val="000000" w:themeColor="text1"/>
          <w:sz w:val="22"/>
          <w:szCs w:val="22"/>
        </w:rPr>
      </w:pPr>
      <w:bookmarkStart w:id="3" w:name="_Toc189757356"/>
      <w:r w:rsidRPr="00AC739B">
        <w:rPr>
          <w:rFonts w:ascii="Palatino Linotype" w:eastAsia="Calibri" w:hAnsi="Palatino Linotype"/>
          <w:b/>
          <w:color w:val="000000" w:themeColor="text1"/>
          <w:sz w:val="22"/>
          <w:szCs w:val="22"/>
        </w:rPr>
        <w:t>II. Respuesta</w:t>
      </w:r>
      <w:r w:rsidR="00076681" w:rsidRPr="00AC739B">
        <w:rPr>
          <w:rFonts w:ascii="Palatino Linotype" w:eastAsia="Calibri" w:hAnsi="Palatino Linotype"/>
          <w:b/>
          <w:color w:val="000000" w:themeColor="text1"/>
          <w:sz w:val="22"/>
          <w:szCs w:val="22"/>
        </w:rPr>
        <w:t xml:space="preserve"> del Sujeto Obligado</w:t>
      </w:r>
      <w:bookmarkEnd w:id="3"/>
    </w:p>
    <w:p w14:paraId="6BDD54F7" w14:textId="77777777" w:rsidR="00345BB5" w:rsidRPr="00AC739B" w:rsidRDefault="00345BB5" w:rsidP="005032B4">
      <w:pPr>
        <w:spacing w:after="0" w:line="360" w:lineRule="auto"/>
        <w:contextualSpacing/>
        <w:rPr>
          <w:rFonts w:eastAsia="Calibri" w:cs="Tahoma"/>
          <w:b/>
          <w:bCs/>
          <w:color w:val="FF0000"/>
        </w:rPr>
      </w:pPr>
    </w:p>
    <w:p w14:paraId="12EEC53D" w14:textId="62CB944A" w:rsidR="00345BB5" w:rsidRPr="00AC739B" w:rsidRDefault="00345BB5" w:rsidP="005032B4">
      <w:pPr>
        <w:autoSpaceDE w:val="0"/>
        <w:autoSpaceDN w:val="0"/>
        <w:adjustRightInd w:val="0"/>
        <w:spacing w:after="0" w:line="360" w:lineRule="auto"/>
        <w:rPr>
          <w:rFonts w:cs="Tahoma"/>
          <w:bCs/>
          <w:color w:val="auto"/>
          <w:lang w:val="es-ES_tradnl"/>
        </w:rPr>
      </w:pPr>
      <w:r w:rsidRPr="00AC739B">
        <w:rPr>
          <w:rFonts w:cs="Tahoma"/>
          <w:bCs/>
          <w:color w:val="auto"/>
          <w:lang w:val="es-ES_tradnl"/>
        </w:rPr>
        <w:t xml:space="preserve">Con fecha </w:t>
      </w:r>
      <w:r w:rsidR="00AA08E2" w:rsidRPr="00AC739B">
        <w:rPr>
          <w:rFonts w:cs="Tahoma"/>
          <w:bCs/>
          <w:color w:val="auto"/>
          <w:lang w:val="es-ES_tradnl"/>
        </w:rPr>
        <w:t>diecisiete de enero</w:t>
      </w:r>
      <w:r w:rsidR="00EA276A" w:rsidRPr="00AC739B">
        <w:rPr>
          <w:rFonts w:cs="Tahoma"/>
          <w:bCs/>
          <w:color w:val="auto"/>
          <w:lang w:val="es-ES_tradnl"/>
        </w:rPr>
        <w:t xml:space="preserve"> de dos mil</w:t>
      </w:r>
      <w:r w:rsidR="00CA0F13" w:rsidRPr="00AC739B">
        <w:rPr>
          <w:rFonts w:cs="Tahoma"/>
          <w:bCs/>
          <w:color w:val="auto"/>
          <w:lang w:val="es-ES_tradnl"/>
        </w:rPr>
        <w:t xml:space="preserve"> veinticinco</w:t>
      </w:r>
      <w:r w:rsidRPr="00AC739B">
        <w:rPr>
          <w:rFonts w:cs="Tahoma"/>
          <w:bCs/>
          <w:color w:val="auto"/>
          <w:lang w:val="es-ES_tradnl"/>
        </w:rPr>
        <w:t>, el</w:t>
      </w:r>
      <w:r w:rsidRPr="00AC739B">
        <w:rPr>
          <w:color w:val="auto"/>
          <w:lang w:val="es-ES_tradnl"/>
        </w:rPr>
        <w:t xml:space="preserve"> </w:t>
      </w:r>
      <w:r w:rsidR="0046538F" w:rsidRPr="00AC739B">
        <w:rPr>
          <w:rFonts w:eastAsia="Calibri" w:cs="Tahoma"/>
          <w:color w:val="auto"/>
        </w:rPr>
        <w:t xml:space="preserve">Ayuntamiento de </w:t>
      </w:r>
      <w:r w:rsidR="00CA0F13" w:rsidRPr="00AC739B">
        <w:rPr>
          <w:rFonts w:eastAsia="Calibri" w:cs="Tahoma"/>
          <w:color w:val="auto"/>
        </w:rPr>
        <w:t>Toluca</w:t>
      </w:r>
      <w:r w:rsidRPr="00AC739B">
        <w:rPr>
          <w:rFonts w:cs="Tahoma"/>
          <w:bCs/>
          <w:color w:val="auto"/>
          <w:lang w:val="es-ES_tradnl"/>
        </w:rPr>
        <w:t xml:space="preserve">, notificó la respuesta a la solicitud, a través del Sistema de Acceso a la Información Mexiquense (SAIMEX), mediante </w:t>
      </w:r>
      <w:bookmarkStart w:id="4" w:name="_Hlk101903429"/>
      <w:r w:rsidR="0046538F" w:rsidRPr="00AC739B">
        <w:rPr>
          <w:rFonts w:cs="Tahoma"/>
          <w:bCs/>
          <w:color w:val="auto"/>
          <w:lang w:val="es-ES_tradnl"/>
        </w:rPr>
        <w:t>la digitalización de</w:t>
      </w:r>
      <w:r w:rsidR="00CA0F13" w:rsidRPr="00AC739B">
        <w:rPr>
          <w:rFonts w:cs="Tahoma"/>
          <w:bCs/>
          <w:color w:val="auto"/>
          <w:lang w:val="es-ES_tradnl"/>
        </w:rPr>
        <w:t xml:space="preserve"> </w:t>
      </w:r>
      <w:r w:rsidR="00EA276A" w:rsidRPr="00AC739B">
        <w:rPr>
          <w:rFonts w:cs="Tahoma"/>
          <w:bCs/>
          <w:color w:val="auto"/>
          <w:lang w:val="es-ES_tradnl"/>
        </w:rPr>
        <w:t>l</w:t>
      </w:r>
      <w:r w:rsidR="00CA0F13" w:rsidRPr="00AC739B">
        <w:rPr>
          <w:rFonts w:cs="Tahoma"/>
          <w:bCs/>
          <w:color w:val="auto"/>
          <w:lang w:val="es-ES_tradnl"/>
        </w:rPr>
        <w:t>os</w:t>
      </w:r>
      <w:r w:rsidR="0046538F" w:rsidRPr="00AC739B">
        <w:rPr>
          <w:rFonts w:cs="Tahoma"/>
          <w:bCs/>
          <w:color w:val="auto"/>
          <w:lang w:val="es-ES_tradnl"/>
        </w:rPr>
        <w:t xml:space="preserve"> s</w:t>
      </w:r>
      <w:r w:rsidR="00EA276A" w:rsidRPr="00AC739B">
        <w:rPr>
          <w:rFonts w:cs="Tahoma"/>
          <w:bCs/>
          <w:color w:val="auto"/>
          <w:lang w:val="es-ES_tradnl"/>
        </w:rPr>
        <w:t>iguiente</w:t>
      </w:r>
      <w:r w:rsidR="00CA0F13" w:rsidRPr="00AC739B">
        <w:rPr>
          <w:rFonts w:cs="Tahoma"/>
          <w:bCs/>
          <w:color w:val="auto"/>
          <w:lang w:val="es-ES_tradnl"/>
        </w:rPr>
        <w:t>s</w:t>
      </w:r>
      <w:r w:rsidR="00EA276A" w:rsidRPr="00AC739B">
        <w:rPr>
          <w:rFonts w:cs="Tahoma"/>
          <w:bCs/>
          <w:color w:val="auto"/>
          <w:lang w:val="es-ES_tradnl"/>
        </w:rPr>
        <w:t xml:space="preserve"> documento</w:t>
      </w:r>
      <w:r w:rsidR="00CA0F13" w:rsidRPr="00AC739B">
        <w:rPr>
          <w:rFonts w:cs="Tahoma"/>
          <w:bCs/>
          <w:color w:val="auto"/>
          <w:lang w:val="es-ES_tradnl"/>
        </w:rPr>
        <w:t>s</w:t>
      </w:r>
      <w:r w:rsidR="0046538F" w:rsidRPr="00AC739B">
        <w:rPr>
          <w:rFonts w:cs="Tahoma"/>
          <w:bCs/>
          <w:color w:val="auto"/>
          <w:lang w:val="es-ES_tradnl"/>
        </w:rPr>
        <w:t>:</w:t>
      </w:r>
    </w:p>
    <w:bookmarkEnd w:id="4"/>
    <w:p w14:paraId="18CD5E2F" w14:textId="77777777" w:rsidR="005620CE" w:rsidRPr="00AC739B" w:rsidRDefault="005620CE" w:rsidP="005032B4">
      <w:pPr>
        <w:autoSpaceDE w:val="0"/>
        <w:autoSpaceDN w:val="0"/>
        <w:adjustRightInd w:val="0"/>
        <w:spacing w:after="0" w:line="360" w:lineRule="auto"/>
        <w:rPr>
          <w:rFonts w:cs="Tahoma"/>
          <w:color w:val="FF0000"/>
          <w:lang w:val="es-ES_tradnl"/>
        </w:rPr>
      </w:pPr>
    </w:p>
    <w:p w14:paraId="4D3DB6D3" w14:textId="0027B451" w:rsidR="00614F87" w:rsidRPr="00AC739B" w:rsidRDefault="00C57B5B" w:rsidP="005032B4">
      <w:pPr>
        <w:autoSpaceDE w:val="0"/>
        <w:autoSpaceDN w:val="0"/>
        <w:adjustRightInd w:val="0"/>
        <w:spacing w:after="0" w:line="360" w:lineRule="auto"/>
        <w:rPr>
          <w:rFonts w:cs="Tahoma"/>
          <w:color w:val="auto"/>
          <w:lang w:val="es-ES_tradnl"/>
        </w:rPr>
      </w:pPr>
      <w:r w:rsidRPr="00AC739B">
        <w:rPr>
          <w:rFonts w:cs="Tahoma"/>
          <w:color w:val="auto"/>
          <w:lang w:val="es-ES_tradnl"/>
        </w:rPr>
        <w:t>i)</w:t>
      </w:r>
      <w:r w:rsidR="00734447" w:rsidRPr="00AC739B">
        <w:rPr>
          <w:rFonts w:cs="Tahoma"/>
          <w:color w:val="auto"/>
          <w:lang w:val="es-ES_tradnl"/>
        </w:rPr>
        <w:t xml:space="preserve"> </w:t>
      </w:r>
      <w:r w:rsidR="00345BB5" w:rsidRPr="00AC739B">
        <w:rPr>
          <w:rFonts w:cs="Tahoma"/>
          <w:color w:val="auto"/>
          <w:lang w:val="es-ES_tradnl"/>
        </w:rPr>
        <w:t xml:space="preserve">Oficio </w:t>
      </w:r>
      <w:r w:rsidR="00CA0F13" w:rsidRPr="00AC739B">
        <w:rPr>
          <w:rFonts w:cs="Tahoma"/>
          <w:color w:val="auto"/>
          <w:lang w:val="es-ES_tradnl"/>
        </w:rPr>
        <w:t xml:space="preserve">sin número de la misma fecha de recepción, </w:t>
      </w:r>
      <w:r w:rsidR="008B092D" w:rsidRPr="00AC739B">
        <w:rPr>
          <w:rFonts w:cs="Tahoma"/>
          <w:color w:val="auto"/>
          <w:lang w:val="es-ES_tradnl"/>
        </w:rPr>
        <w:t xml:space="preserve">suscrito por el </w:t>
      </w:r>
      <w:r w:rsidR="00CA0F13" w:rsidRPr="00AC739B">
        <w:rPr>
          <w:rFonts w:cs="Tahoma"/>
          <w:color w:val="auto"/>
        </w:rPr>
        <w:t>Titular de la Unidad de Transparencia</w:t>
      </w:r>
      <w:r w:rsidR="008B092D" w:rsidRPr="00AC739B">
        <w:rPr>
          <w:rFonts w:cs="Tahoma"/>
          <w:color w:val="auto"/>
          <w:lang w:val="es-ES_tradnl"/>
        </w:rPr>
        <w:t xml:space="preserve"> y dirigido al </w:t>
      </w:r>
      <w:r w:rsidR="00CA0F13" w:rsidRPr="00AC739B">
        <w:rPr>
          <w:rFonts w:cs="Tahoma"/>
          <w:color w:val="auto"/>
          <w:lang w:val="es-ES_tradnl"/>
        </w:rPr>
        <w:t>Solicitante</w:t>
      </w:r>
      <w:r w:rsidR="008B092D" w:rsidRPr="00AC739B">
        <w:rPr>
          <w:rFonts w:cs="Tahoma"/>
          <w:color w:val="auto"/>
          <w:lang w:val="es-ES_tradnl"/>
        </w:rPr>
        <w:t xml:space="preserve">, por medio del cual </w:t>
      </w:r>
      <w:r w:rsidR="00CA0F13" w:rsidRPr="00AC739B">
        <w:rPr>
          <w:rFonts w:cs="Tahoma"/>
          <w:color w:val="auto"/>
          <w:lang w:val="es-ES_tradnl"/>
        </w:rPr>
        <w:t xml:space="preserve">precisó </w:t>
      </w:r>
      <w:r w:rsidR="009A3569" w:rsidRPr="00AC739B">
        <w:rPr>
          <w:rFonts w:cs="Tahoma"/>
          <w:color w:val="auto"/>
          <w:lang w:val="es-ES_tradnl"/>
        </w:rPr>
        <w:t xml:space="preserve">lo siguiente: </w:t>
      </w:r>
    </w:p>
    <w:p w14:paraId="54BB01FB" w14:textId="77777777" w:rsidR="009A3569" w:rsidRPr="00AC739B" w:rsidRDefault="009A3569" w:rsidP="005032B4">
      <w:pPr>
        <w:autoSpaceDE w:val="0"/>
        <w:autoSpaceDN w:val="0"/>
        <w:adjustRightInd w:val="0"/>
        <w:spacing w:after="0" w:line="360" w:lineRule="auto"/>
        <w:rPr>
          <w:rFonts w:cs="Tahoma"/>
          <w:color w:val="auto"/>
          <w:lang w:val="es-ES_tradnl"/>
        </w:rPr>
      </w:pPr>
    </w:p>
    <w:p w14:paraId="0654C6FD" w14:textId="682C217F" w:rsidR="00CA0F13" w:rsidRPr="00AC739B" w:rsidRDefault="00E40ED9" w:rsidP="005032B4">
      <w:pPr>
        <w:autoSpaceDE w:val="0"/>
        <w:autoSpaceDN w:val="0"/>
        <w:adjustRightInd w:val="0"/>
        <w:spacing w:after="0" w:line="360" w:lineRule="auto"/>
        <w:ind w:left="567" w:right="567"/>
        <w:rPr>
          <w:rFonts w:cs="Tahoma"/>
          <w:i/>
          <w:color w:val="auto"/>
          <w:sz w:val="20"/>
          <w:lang w:val="es-ES_tradnl"/>
        </w:rPr>
      </w:pPr>
      <w:r w:rsidRPr="00AC739B">
        <w:rPr>
          <w:rFonts w:cs="Tahoma"/>
          <w:i/>
          <w:color w:val="auto"/>
          <w:sz w:val="20"/>
          <w:lang w:val="es-ES_tradnl"/>
        </w:rPr>
        <w:t>“…</w:t>
      </w:r>
      <w:r w:rsidR="00CA0F13" w:rsidRPr="00AC739B">
        <w:rPr>
          <w:rFonts w:cs="Tahoma"/>
          <w:i/>
          <w:color w:val="auto"/>
          <w:sz w:val="20"/>
          <w:lang w:val="es-ES_tradnl"/>
        </w:rPr>
        <w:t xml:space="preserve"> hago de su conocimiento que la Tesorería Municipal y Servidora Pública Habilitada, informó que después de realizar una búsqueda exhaustiva en los archivos que obran en la Tesorería, no se encontró información relacionada con el comprobante de pago solicitado por el ciudadano.</w:t>
      </w:r>
    </w:p>
    <w:p w14:paraId="115849B5" w14:textId="77777777" w:rsidR="00CA0F13" w:rsidRPr="00AC739B" w:rsidRDefault="00CA0F13" w:rsidP="005032B4">
      <w:pPr>
        <w:autoSpaceDE w:val="0"/>
        <w:autoSpaceDN w:val="0"/>
        <w:adjustRightInd w:val="0"/>
        <w:spacing w:after="0" w:line="360" w:lineRule="auto"/>
        <w:ind w:left="567" w:right="567"/>
        <w:rPr>
          <w:rFonts w:cs="Tahoma"/>
          <w:i/>
          <w:color w:val="auto"/>
          <w:sz w:val="20"/>
          <w:lang w:val="es-ES_tradnl"/>
        </w:rPr>
      </w:pPr>
    </w:p>
    <w:p w14:paraId="7D6295CC" w14:textId="501BA8B0" w:rsidR="00CA0F13" w:rsidRPr="00AC739B" w:rsidRDefault="00CA0F13" w:rsidP="005032B4">
      <w:pPr>
        <w:autoSpaceDE w:val="0"/>
        <w:autoSpaceDN w:val="0"/>
        <w:adjustRightInd w:val="0"/>
        <w:spacing w:after="0" w:line="360" w:lineRule="auto"/>
        <w:ind w:left="567" w:right="567"/>
        <w:rPr>
          <w:rFonts w:cs="Tahoma"/>
          <w:i/>
          <w:color w:val="auto"/>
          <w:sz w:val="20"/>
          <w:lang w:val="es-ES_tradnl"/>
        </w:rPr>
      </w:pPr>
      <w:r w:rsidRPr="00AC739B">
        <w:rPr>
          <w:rFonts w:cs="Tahoma"/>
          <w:i/>
          <w:color w:val="auto"/>
          <w:sz w:val="20"/>
          <w:lang w:val="es-ES_tradnl"/>
        </w:rPr>
        <w:t xml:space="preserve">Por otra parte, con el fin de garantizar el principio de máxima publicidad, </w:t>
      </w:r>
      <w:proofErr w:type="gramStart"/>
      <w:r w:rsidRPr="00AC739B">
        <w:rPr>
          <w:rFonts w:cs="Tahoma"/>
          <w:i/>
          <w:color w:val="auto"/>
          <w:sz w:val="20"/>
          <w:lang w:val="es-ES_tradnl"/>
        </w:rPr>
        <w:t>en relación al</w:t>
      </w:r>
      <w:proofErr w:type="gramEnd"/>
      <w:r w:rsidRPr="00AC739B">
        <w:rPr>
          <w:rFonts w:cs="Tahoma"/>
          <w:i/>
          <w:color w:val="auto"/>
          <w:sz w:val="20"/>
          <w:lang w:val="es-ES_tradnl"/>
        </w:rPr>
        <w:t xml:space="preserve"> estado que guarda el adeudo, se remite el </w:t>
      </w:r>
      <w:bookmarkStart w:id="5" w:name="_Hlk189642787"/>
      <w:r w:rsidRPr="00AC739B">
        <w:rPr>
          <w:rFonts w:cs="Tahoma"/>
          <w:i/>
          <w:color w:val="auto"/>
          <w:sz w:val="20"/>
          <w:lang w:val="es-ES_tradnl"/>
        </w:rPr>
        <w:t>Estado Analítico de Deuda y Otros Pasivos, correspondiente al mes de septiembre del ejercicio fiscal 2024</w:t>
      </w:r>
      <w:bookmarkEnd w:id="5"/>
      <w:r w:rsidRPr="00AC739B">
        <w:rPr>
          <w:rFonts w:cs="Tahoma"/>
          <w:i/>
          <w:color w:val="auto"/>
          <w:sz w:val="20"/>
          <w:lang w:val="es-ES_tradnl"/>
        </w:rPr>
        <w:t>, mediante el cual podrá visualizar a deuda y otros pasivos, puntualizando que la Tesorería Municipal cuenta con la información de manera general y no así de manera específica.</w:t>
      </w:r>
    </w:p>
    <w:p w14:paraId="50234C6A" w14:textId="77777777" w:rsidR="00CA0F13" w:rsidRPr="00AC739B" w:rsidRDefault="00CA0F13" w:rsidP="005032B4">
      <w:pPr>
        <w:autoSpaceDE w:val="0"/>
        <w:autoSpaceDN w:val="0"/>
        <w:adjustRightInd w:val="0"/>
        <w:spacing w:after="0" w:line="360" w:lineRule="auto"/>
        <w:ind w:left="567" w:right="567"/>
        <w:rPr>
          <w:rFonts w:cs="Tahoma"/>
          <w:i/>
          <w:color w:val="auto"/>
          <w:sz w:val="20"/>
          <w:lang w:val="es-ES_tradnl"/>
        </w:rPr>
      </w:pPr>
    </w:p>
    <w:p w14:paraId="2DE80AD1" w14:textId="77777777" w:rsidR="00CA0F13" w:rsidRPr="00AC739B" w:rsidRDefault="00CA0F13" w:rsidP="005032B4">
      <w:pPr>
        <w:autoSpaceDE w:val="0"/>
        <w:autoSpaceDN w:val="0"/>
        <w:adjustRightInd w:val="0"/>
        <w:spacing w:after="0" w:line="360" w:lineRule="auto"/>
        <w:ind w:left="567" w:right="567"/>
        <w:rPr>
          <w:rFonts w:cs="Tahoma"/>
          <w:i/>
          <w:color w:val="auto"/>
          <w:sz w:val="20"/>
          <w:lang w:val="es-ES_tradnl"/>
        </w:rPr>
      </w:pPr>
      <w:r w:rsidRPr="00AC739B">
        <w:rPr>
          <w:rFonts w:cs="Tahoma"/>
          <w:i/>
          <w:color w:val="auto"/>
          <w:sz w:val="20"/>
          <w:lang w:val="es-ES_tradnl"/>
        </w:rPr>
        <w:t xml:space="preserve">Finalmente, no omito mencionar que la información correspondiente al cuarto trimestre aún se encuentra en proceso de cierre. </w:t>
      </w:r>
    </w:p>
    <w:p w14:paraId="5B12E735" w14:textId="5B4F06EB" w:rsidR="00E40ED9" w:rsidRPr="00AC739B" w:rsidRDefault="00CA0F13" w:rsidP="005032B4">
      <w:pPr>
        <w:autoSpaceDE w:val="0"/>
        <w:autoSpaceDN w:val="0"/>
        <w:adjustRightInd w:val="0"/>
        <w:spacing w:after="0" w:line="360" w:lineRule="auto"/>
        <w:ind w:left="567" w:right="567"/>
        <w:rPr>
          <w:rFonts w:cs="Tahoma"/>
          <w:i/>
          <w:color w:val="auto"/>
          <w:sz w:val="20"/>
          <w:lang w:val="es-ES_tradnl"/>
        </w:rPr>
      </w:pPr>
      <w:r w:rsidRPr="00AC739B">
        <w:rPr>
          <w:rFonts w:cs="Tahoma"/>
          <w:i/>
          <w:color w:val="auto"/>
          <w:sz w:val="20"/>
          <w:lang w:val="es-ES_tradnl"/>
        </w:rPr>
        <w:t>…</w:t>
      </w:r>
      <w:r w:rsidR="00E40ED9" w:rsidRPr="00AC739B">
        <w:rPr>
          <w:rFonts w:cs="Tahoma"/>
          <w:i/>
          <w:color w:val="auto"/>
          <w:sz w:val="20"/>
          <w:lang w:val="es-ES_tradnl"/>
        </w:rPr>
        <w:t>”</w:t>
      </w:r>
    </w:p>
    <w:p w14:paraId="33831821" w14:textId="77777777" w:rsidR="005400EE" w:rsidRPr="00AC739B" w:rsidRDefault="005400EE" w:rsidP="005032B4">
      <w:pPr>
        <w:autoSpaceDE w:val="0"/>
        <w:autoSpaceDN w:val="0"/>
        <w:adjustRightInd w:val="0"/>
        <w:spacing w:after="0" w:line="360" w:lineRule="auto"/>
        <w:ind w:right="567"/>
        <w:rPr>
          <w:rFonts w:cs="Tahoma"/>
          <w:i/>
          <w:color w:val="FF0000"/>
          <w:sz w:val="20"/>
          <w:lang w:val="es-ES_tradnl"/>
        </w:rPr>
      </w:pPr>
    </w:p>
    <w:p w14:paraId="26B32838" w14:textId="43BD88A2" w:rsidR="00CA0F13" w:rsidRPr="00AC739B" w:rsidRDefault="00CA0F13" w:rsidP="005032B4">
      <w:pPr>
        <w:autoSpaceDE w:val="0"/>
        <w:autoSpaceDN w:val="0"/>
        <w:adjustRightInd w:val="0"/>
        <w:spacing w:after="0" w:line="360" w:lineRule="auto"/>
        <w:rPr>
          <w:rFonts w:cs="Tahoma"/>
          <w:color w:val="auto"/>
          <w:lang w:val="es-ES_tradnl"/>
        </w:rPr>
      </w:pPr>
      <w:proofErr w:type="spellStart"/>
      <w:r w:rsidRPr="00AC739B">
        <w:rPr>
          <w:rFonts w:cs="Tahoma"/>
          <w:color w:val="auto"/>
          <w:lang w:val="es-ES_tradnl"/>
        </w:rPr>
        <w:lastRenderedPageBreak/>
        <w:t>ii</w:t>
      </w:r>
      <w:proofErr w:type="spellEnd"/>
      <w:r w:rsidRPr="00AC739B">
        <w:rPr>
          <w:rFonts w:cs="Tahoma"/>
          <w:color w:val="auto"/>
          <w:lang w:val="es-ES_tradnl"/>
        </w:rPr>
        <w:t xml:space="preserve">) Estado </w:t>
      </w:r>
      <w:r w:rsidR="007911D8" w:rsidRPr="00AC739B">
        <w:rPr>
          <w:rFonts w:cs="Tahoma"/>
          <w:color w:val="auto"/>
          <w:lang w:val="es-ES_tradnl"/>
        </w:rPr>
        <w:t xml:space="preserve">Analítico de la Deuda y Otros Pasivos del primero al treinta de septiembre de dos mil veinticuatro.  </w:t>
      </w:r>
    </w:p>
    <w:p w14:paraId="5E52D2A0" w14:textId="77777777" w:rsidR="007911D8" w:rsidRPr="00AC739B" w:rsidRDefault="007911D8" w:rsidP="005032B4">
      <w:pPr>
        <w:autoSpaceDE w:val="0"/>
        <w:autoSpaceDN w:val="0"/>
        <w:adjustRightInd w:val="0"/>
        <w:spacing w:after="0" w:line="360" w:lineRule="auto"/>
        <w:ind w:right="567"/>
        <w:rPr>
          <w:rFonts w:cs="Tahoma"/>
          <w:color w:val="FF0000"/>
          <w:lang w:val="es-ES_tradnl"/>
        </w:rPr>
      </w:pPr>
    </w:p>
    <w:p w14:paraId="6867D521" w14:textId="67290D74" w:rsidR="00DB3DC5" w:rsidRPr="00AC739B" w:rsidRDefault="00DB3DC5" w:rsidP="005032B4">
      <w:pPr>
        <w:pStyle w:val="Ttulo2"/>
        <w:spacing w:before="0" w:line="360" w:lineRule="auto"/>
        <w:rPr>
          <w:rFonts w:ascii="Palatino Linotype" w:eastAsia="Calibri" w:hAnsi="Palatino Linotype"/>
          <w:b/>
          <w:color w:val="000000" w:themeColor="text1"/>
          <w:sz w:val="22"/>
          <w:szCs w:val="22"/>
        </w:rPr>
      </w:pPr>
      <w:bookmarkStart w:id="6" w:name="_Toc189757357"/>
      <w:r w:rsidRPr="00AC739B">
        <w:rPr>
          <w:rFonts w:ascii="Palatino Linotype" w:eastAsia="Calibri" w:hAnsi="Palatino Linotype"/>
          <w:b/>
          <w:color w:val="000000" w:themeColor="text1"/>
          <w:sz w:val="22"/>
          <w:szCs w:val="22"/>
        </w:rPr>
        <w:t>III. Interpo</w:t>
      </w:r>
      <w:r w:rsidR="00076681" w:rsidRPr="00AC739B">
        <w:rPr>
          <w:rFonts w:ascii="Palatino Linotype" w:eastAsia="Calibri" w:hAnsi="Palatino Linotype"/>
          <w:b/>
          <w:color w:val="000000" w:themeColor="text1"/>
          <w:sz w:val="22"/>
          <w:szCs w:val="22"/>
        </w:rPr>
        <w:t>sición del Recurso de Revisión</w:t>
      </w:r>
      <w:bookmarkEnd w:id="6"/>
    </w:p>
    <w:p w14:paraId="462885A3" w14:textId="77777777" w:rsidR="009A627C" w:rsidRPr="00AC739B" w:rsidRDefault="009A627C" w:rsidP="005032B4">
      <w:pPr>
        <w:spacing w:after="0" w:line="360" w:lineRule="auto"/>
        <w:contextualSpacing/>
        <w:rPr>
          <w:rFonts w:eastAsia="Times New Roman" w:cs="Tahoma"/>
          <w:bCs/>
          <w:color w:val="FF0000"/>
          <w:lang w:eastAsia="es-ES"/>
        </w:rPr>
      </w:pPr>
    </w:p>
    <w:p w14:paraId="240D95DA" w14:textId="75E2FBCE" w:rsidR="00DB3DC5" w:rsidRPr="00AC739B" w:rsidRDefault="00DB3DC5" w:rsidP="005032B4">
      <w:pPr>
        <w:widowControl w:val="0"/>
        <w:spacing w:after="0" w:line="360" w:lineRule="auto"/>
        <w:contextualSpacing/>
        <w:rPr>
          <w:rFonts w:eastAsia="Calibri" w:cs="Times New Roman"/>
          <w:bCs/>
          <w:color w:val="auto"/>
        </w:rPr>
      </w:pPr>
      <w:r w:rsidRPr="00AC739B">
        <w:rPr>
          <w:rFonts w:eastAsia="Calibri" w:cs="Times New Roman"/>
          <w:bCs/>
          <w:color w:val="auto"/>
        </w:rPr>
        <w:t xml:space="preserve">Con fecha </w:t>
      </w:r>
      <w:r w:rsidR="00667107" w:rsidRPr="00AC739B">
        <w:rPr>
          <w:rFonts w:eastAsia="Calibri" w:cs="Times New Roman"/>
          <w:bCs/>
          <w:color w:val="auto"/>
        </w:rPr>
        <w:t>veintitrés</w:t>
      </w:r>
      <w:r w:rsidR="00E40ED9" w:rsidRPr="00AC739B">
        <w:rPr>
          <w:rFonts w:eastAsia="Calibri" w:cs="Times New Roman"/>
          <w:bCs/>
          <w:color w:val="auto"/>
        </w:rPr>
        <w:t xml:space="preserve"> de enero de dos mil veinticinco</w:t>
      </w:r>
      <w:r w:rsidRPr="00AC739B">
        <w:rPr>
          <w:rFonts w:eastAsia="Calibri" w:cs="Times New Roman"/>
          <w:bCs/>
          <w:color w:val="auto"/>
        </w:rPr>
        <w:t xml:space="preserve">, </w:t>
      </w:r>
      <w:r w:rsidRPr="00AC739B">
        <w:rPr>
          <w:rFonts w:eastAsia="Calibri" w:cs="Times New Roman"/>
          <w:bCs/>
          <w:color w:val="auto"/>
          <w:lang w:val="es-ES"/>
        </w:rPr>
        <w:t xml:space="preserve">se recibió en este Instituto, a través del Sistema de Acceso a la Información Mexiquense (SAIMEX), </w:t>
      </w:r>
      <w:r w:rsidR="00002991" w:rsidRPr="00AC739B">
        <w:rPr>
          <w:rFonts w:eastAsia="Calibri" w:cs="Times New Roman"/>
          <w:bCs/>
          <w:color w:val="auto"/>
          <w:lang w:val="es-ES"/>
        </w:rPr>
        <w:t>el</w:t>
      </w:r>
      <w:r w:rsidR="006A0867" w:rsidRPr="00AC739B">
        <w:rPr>
          <w:rFonts w:eastAsia="Calibri" w:cs="Times New Roman"/>
          <w:bCs/>
          <w:color w:val="auto"/>
          <w:lang w:val="es-ES"/>
        </w:rPr>
        <w:t xml:space="preserve"> </w:t>
      </w:r>
      <w:r w:rsidRPr="00AC739B">
        <w:rPr>
          <w:rFonts w:eastAsia="Calibri" w:cs="Times New Roman"/>
          <w:bCs/>
          <w:color w:val="auto"/>
          <w:lang w:val="es-ES"/>
        </w:rPr>
        <w:t>Recurso de Revisión interpuesto por la parte Recurrente, en contra de la respuesta del Sujeto Obligado</w:t>
      </w:r>
      <w:r w:rsidR="00667107" w:rsidRPr="00AC739B">
        <w:rPr>
          <w:rFonts w:eastAsia="Calibri" w:cs="Times New Roman"/>
          <w:color w:val="auto"/>
        </w:rPr>
        <w:t>,</w:t>
      </w:r>
      <w:r w:rsidR="005400EE" w:rsidRPr="00AC739B">
        <w:rPr>
          <w:rFonts w:eastAsia="Calibri" w:cs="Times New Roman"/>
          <w:color w:val="auto"/>
        </w:rPr>
        <w:t xml:space="preserve"> </w:t>
      </w:r>
      <w:r w:rsidRPr="00AC739B">
        <w:rPr>
          <w:rFonts w:eastAsia="Times New Roman" w:cs="Tahoma"/>
          <w:bCs/>
          <w:color w:val="auto"/>
          <w:lang w:val="es-ES" w:eastAsia="es-ES"/>
        </w:rPr>
        <w:t>en los siguientes términos:</w:t>
      </w:r>
    </w:p>
    <w:p w14:paraId="383A8105" w14:textId="77777777" w:rsidR="00DB3DC5" w:rsidRPr="00AC739B" w:rsidRDefault="00DB3DC5" w:rsidP="005032B4">
      <w:pPr>
        <w:tabs>
          <w:tab w:val="left" w:pos="4667"/>
        </w:tabs>
        <w:spacing w:after="0" w:line="360" w:lineRule="auto"/>
        <w:ind w:left="567" w:right="567"/>
        <w:contextualSpacing/>
        <w:rPr>
          <w:rFonts w:cs="Tahoma"/>
          <w:b/>
          <w:bCs/>
          <w:i/>
          <w:color w:val="FF0000"/>
          <w:sz w:val="20"/>
          <w:szCs w:val="20"/>
        </w:rPr>
      </w:pPr>
    </w:p>
    <w:p w14:paraId="0E422949" w14:textId="77777777" w:rsidR="006A0867" w:rsidRPr="00AC739B" w:rsidRDefault="006A0867" w:rsidP="005032B4">
      <w:pPr>
        <w:tabs>
          <w:tab w:val="left" w:pos="4667"/>
        </w:tabs>
        <w:spacing w:after="0" w:line="360" w:lineRule="auto"/>
        <w:ind w:left="567" w:right="567"/>
        <w:rPr>
          <w:b/>
          <w:i/>
          <w:iCs/>
          <w:color w:val="auto"/>
          <w:sz w:val="20"/>
          <w:szCs w:val="20"/>
        </w:rPr>
      </w:pPr>
      <w:r w:rsidRPr="00AC739B">
        <w:rPr>
          <w:b/>
          <w:i/>
          <w:iCs/>
          <w:color w:val="auto"/>
          <w:sz w:val="20"/>
          <w:szCs w:val="20"/>
        </w:rPr>
        <w:t>“ACTO IMPUGNADO</w:t>
      </w:r>
    </w:p>
    <w:p w14:paraId="199F28DE" w14:textId="46940D03" w:rsidR="006A0867" w:rsidRPr="00AC739B" w:rsidRDefault="00667107" w:rsidP="005032B4">
      <w:pPr>
        <w:tabs>
          <w:tab w:val="left" w:pos="4667"/>
        </w:tabs>
        <w:spacing w:after="0" w:line="360" w:lineRule="auto"/>
        <w:ind w:left="567" w:right="567"/>
        <w:rPr>
          <w:i/>
          <w:iCs/>
          <w:color w:val="auto"/>
          <w:sz w:val="20"/>
          <w:szCs w:val="20"/>
        </w:rPr>
      </w:pPr>
      <w:r w:rsidRPr="00AC739B">
        <w:rPr>
          <w:i/>
          <w:iCs/>
          <w:color w:val="auto"/>
          <w:sz w:val="20"/>
          <w:szCs w:val="20"/>
        </w:rPr>
        <w:t>03410/TOLUCA/IP/2024</w:t>
      </w:r>
      <w:r w:rsidR="006A0867" w:rsidRPr="00AC739B">
        <w:rPr>
          <w:i/>
          <w:iCs/>
          <w:color w:val="auto"/>
          <w:sz w:val="20"/>
          <w:szCs w:val="20"/>
        </w:rPr>
        <w:t>” (Sic.)</w:t>
      </w:r>
    </w:p>
    <w:p w14:paraId="349885DE" w14:textId="77777777" w:rsidR="006A0867" w:rsidRPr="00AC739B" w:rsidRDefault="006A0867" w:rsidP="005032B4">
      <w:pPr>
        <w:tabs>
          <w:tab w:val="left" w:pos="4667"/>
        </w:tabs>
        <w:spacing w:after="0" w:line="360" w:lineRule="auto"/>
        <w:ind w:left="567" w:right="567"/>
        <w:rPr>
          <w:rFonts w:cs="Tahoma"/>
          <w:bCs/>
          <w:i/>
          <w:color w:val="FF0000"/>
          <w:sz w:val="20"/>
          <w:szCs w:val="20"/>
        </w:rPr>
      </w:pPr>
    </w:p>
    <w:p w14:paraId="09EF88BF" w14:textId="77777777" w:rsidR="006A0867" w:rsidRPr="00AC739B" w:rsidRDefault="006A0867" w:rsidP="005032B4">
      <w:pPr>
        <w:tabs>
          <w:tab w:val="left" w:pos="4667"/>
        </w:tabs>
        <w:spacing w:after="0" w:line="360" w:lineRule="auto"/>
        <w:ind w:left="567" w:right="567"/>
        <w:rPr>
          <w:rFonts w:cs="Tahoma"/>
          <w:b/>
          <w:bCs/>
          <w:i/>
          <w:color w:val="auto"/>
          <w:sz w:val="20"/>
          <w:szCs w:val="20"/>
        </w:rPr>
      </w:pPr>
      <w:r w:rsidRPr="00AC739B">
        <w:rPr>
          <w:rFonts w:cs="Tahoma"/>
          <w:b/>
          <w:bCs/>
          <w:i/>
          <w:color w:val="auto"/>
          <w:sz w:val="20"/>
          <w:szCs w:val="20"/>
        </w:rPr>
        <w:t>“RAZONES O MOTIVOS DE LA INCONFORMIDAD</w:t>
      </w:r>
    </w:p>
    <w:p w14:paraId="702646C1" w14:textId="77777777" w:rsidR="00667107" w:rsidRPr="00AC739B" w:rsidRDefault="00667107" w:rsidP="005032B4">
      <w:pPr>
        <w:tabs>
          <w:tab w:val="left" w:pos="4667"/>
        </w:tabs>
        <w:spacing w:after="0" w:line="360" w:lineRule="auto"/>
        <w:ind w:left="567" w:right="567"/>
        <w:rPr>
          <w:i/>
          <w:iCs/>
          <w:color w:val="auto"/>
          <w:sz w:val="20"/>
          <w:szCs w:val="20"/>
        </w:rPr>
      </w:pPr>
      <w:r w:rsidRPr="00AC739B">
        <w:rPr>
          <w:i/>
          <w:iCs/>
          <w:color w:val="auto"/>
          <w:sz w:val="20"/>
          <w:szCs w:val="20"/>
        </w:rPr>
        <w:t xml:space="preserve">LA AUTORIDAD ES OMISA EN INFORMAR EL ESTADO QUE SE ENCUENTRA EL ADEUDO, EN RAZON DE QUE LA SOLICITUD CONSISTIO EN: Solicito se me remita el comprobante de pago del adeudo de 625,000 pesos, que se </w:t>
      </w:r>
      <w:proofErr w:type="spellStart"/>
      <w:r w:rsidRPr="00AC739B">
        <w:rPr>
          <w:i/>
          <w:iCs/>
          <w:color w:val="auto"/>
          <w:sz w:val="20"/>
          <w:szCs w:val="20"/>
        </w:rPr>
        <w:t>tenia</w:t>
      </w:r>
      <w:proofErr w:type="spellEnd"/>
      <w:r w:rsidRPr="00AC739B">
        <w:rPr>
          <w:i/>
          <w:iCs/>
          <w:color w:val="auto"/>
          <w:sz w:val="20"/>
          <w:szCs w:val="20"/>
        </w:rPr>
        <w:t xml:space="preserve"> con el SISTEMA DE RADIO Y TELEVISION MEXIQUENSE con la denominación de la deuda 2112-0001-0002-0000-0596, adeudo que se encuentra contemplado en el Estado Analítico de la Deuda y otros Pasivos del 1 de enero al 31 de diciembre de 2021, mismo que se anexa para mayor referencia. En caso de ser negativa la respuesta, solicito se me informe el estado que guarda el adeudo a que se hace referencia. POR TANTO, NO REMITEN EN UN PRIMER MOMENTO EL COMPROBANTE DE PAGO DEL ADEUDO QUE TIENEN, </w:t>
      </w:r>
      <w:proofErr w:type="gramStart"/>
      <w:r w:rsidRPr="00AC739B">
        <w:rPr>
          <w:i/>
          <w:iCs/>
          <w:color w:val="auto"/>
          <w:sz w:val="20"/>
          <w:szCs w:val="20"/>
        </w:rPr>
        <w:t>Y</w:t>
      </w:r>
      <w:proofErr w:type="gramEnd"/>
      <w:r w:rsidRPr="00AC739B">
        <w:rPr>
          <w:i/>
          <w:iCs/>
          <w:color w:val="auto"/>
          <w:sz w:val="20"/>
          <w:szCs w:val="20"/>
        </w:rPr>
        <w:t xml:space="preserve"> POR OTRO LADO, TAMBIEN SE SOLICITO QUE EN CASO DE NEGATIVA, SE INFORMARA EL ESTATUS QUE GUARDA EL PAGO CORRESPONDIENTE. EN TAL SENTIDO, LA RESPUESTA OTORGADA POR LA AUTORIDAD ES CONFUSA, Y NO CUMPLE CON LOS PARAMETROS DE ACCESO A LA INFORMACION. DERIVADO DE LO ANTERIOR, SE DEBE DE REVOCAR LA RESPUESTA EMITIDA Y ORDENAR QUE ATIENDA LO PETICIONADO; ESTO ES, SE </w:t>
      </w:r>
      <w:r w:rsidRPr="00AC739B">
        <w:rPr>
          <w:i/>
          <w:iCs/>
          <w:color w:val="auto"/>
          <w:sz w:val="20"/>
          <w:szCs w:val="20"/>
        </w:rPr>
        <w:lastRenderedPageBreak/>
        <w:t>EMITA EL COMPROBANTE DE PAGO CORRESPONDIENTE, O EN SU CASO REFIERA LA FECHA EN QUE REALIZARA EL PAGO</w:t>
      </w:r>
      <w:r w:rsidR="0064639F" w:rsidRPr="00AC739B">
        <w:rPr>
          <w:i/>
          <w:iCs/>
          <w:color w:val="auto"/>
          <w:sz w:val="20"/>
          <w:szCs w:val="20"/>
        </w:rPr>
        <w:t>” (Sic.)</w:t>
      </w:r>
    </w:p>
    <w:p w14:paraId="5E898838" w14:textId="77777777" w:rsidR="00667107" w:rsidRPr="00AC739B" w:rsidRDefault="00667107" w:rsidP="005032B4">
      <w:pPr>
        <w:tabs>
          <w:tab w:val="left" w:pos="4667"/>
        </w:tabs>
        <w:spacing w:after="0" w:line="360" w:lineRule="auto"/>
        <w:ind w:right="567"/>
        <w:rPr>
          <w:i/>
          <w:iCs/>
          <w:color w:val="auto"/>
          <w:sz w:val="20"/>
          <w:szCs w:val="20"/>
        </w:rPr>
      </w:pPr>
    </w:p>
    <w:p w14:paraId="45548784" w14:textId="49B3F8BF" w:rsidR="00667107" w:rsidRPr="00AC739B" w:rsidRDefault="00667107" w:rsidP="005032B4">
      <w:pPr>
        <w:tabs>
          <w:tab w:val="left" w:pos="4667"/>
        </w:tabs>
        <w:spacing w:after="0" w:line="360" w:lineRule="auto"/>
        <w:rPr>
          <w:rFonts w:eastAsia="Calibri"/>
        </w:rPr>
      </w:pPr>
      <w:r w:rsidRPr="00AC739B">
        <w:rPr>
          <w:rFonts w:eastAsia="Calibri"/>
        </w:rPr>
        <w:t xml:space="preserve">Así mismo adjuntó la digitalización del Oficio sin número, del diecisiete de enero de dos mil veinticinco, referido en el Antecedente II. </w:t>
      </w:r>
    </w:p>
    <w:p w14:paraId="5EF80AD3" w14:textId="77777777" w:rsidR="00667107" w:rsidRPr="00AC739B" w:rsidRDefault="00667107" w:rsidP="005032B4">
      <w:pPr>
        <w:tabs>
          <w:tab w:val="left" w:pos="4667"/>
        </w:tabs>
        <w:spacing w:after="0" w:line="360" w:lineRule="auto"/>
        <w:ind w:right="567"/>
        <w:rPr>
          <w:i/>
          <w:iCs/>
          <w:color w:val="auto"/>
          <w:sz w:val="20"/>
          <w:szCs w:val="20"/>
        </w:rPr>
      </w:pPr>
    </w:p>
    <w:p w14:paraId="2D3CE335" w14:textId="2BF858B6" w:rsidR="00DB3DC5" w:rsidRPr="00AC739B" w:rsidRDefault="00DB3DC5" w:rsidP="005032B4">
      <w:pPr>
        <w:pStyle w:val="Ttulo2"/>
        <w:spacing w:before="0" w:line="360" w:lineRule="auto"/>
        <w:rPr>
          <w:rFonts w:ascii="Palatino Linotype" w:eastAsia="Batang" w:hAnsi="Palatino Linotype"/>
          <w:b/>
          <w:color w:val="000000" w:themeColor="text1"/>
          <w:sz w:val="22"/>
          <w:szCs w:val="22"/>
        </w:rPr>
      </w:pPr>
      <w:bookmarkStart w:id="7" w:name="_Toc189757358"/>
      <w:r w:rsidRPr="00AC739B">
        <w:rPr>
          <w:rFonts w:ascii="Palatino Linotype" w:eastAsia="Calibri" w:hAnsi="Palatino Linotype"/>
          <w:b/>
          <w:color w:val="000000" w:themeColor="text1"/>
          <w:sz w:val="22"/>
          <w:szCs w:val="22"/>
        </w:rPr>
        <w:t xml:space="preserve">IV. </w:t>
      </w:r>
      <w:r w:rsidRPr="00AC739B">
        <w:rPr>
          <w:rFonts w:ascii="Palatino Linotype" w:eastAsia="Batang" w:hAnsi="Palatino Linotype"/>
          <w:b/>
          <w:color w:val="000000" w:themeColor="text1"/>
          <w:sz w:val="22"/>
          <w:szCs w:val="22"/>
        </w:rPr>
        <w:t>Trámite del Recurso de Revisión</w:t>
      </w:r>
      <w:r w:rsidRPr="00AC739B">
        <w:rPr>
          <w:rFonts w:ascii="Palatino Linotype" w:eastAsia="Calibri" w:hAnsi="Palatino Linotype"/>
          <w:b/>
          <w:color w:val="000000" w:themeColor="text1"/>
          <w:sz w:val="22"/>
          <w:szCs w:val="22"/>
        </w:rPr>
        <w:t xml:space="preserve"> </w:t>
      </w:r>
      <w:r w:rsidR="00076681" w:rsidRPr="00AC739B">
        <w:rPr>
          <w:rFonts w:ascii="Palatino Linotype" w:eastAsia="Batang" w:hAnsi="Palatino Linotype"/>
          <w:b/>
          <w:color w:val="000000" w:themeColor="text1"/>
          <w:sz w:val="22"/>
          <w:szCs w:val="22"/>
        </w:rPr>
        <w:t>ante este Instituto</w:t>
      </w:r>
      <w:bookmarkEnd w:id="7"/>
    </w:p>
    <w:p w14:paraId="13E537D5" w14:textId="77777777" w:rsidR="00DB3DC5" w:rsidRPr="00AC739B" w:rsidRDefault="00DB3DC5" w:rsidP="005032B4">
      <w:pPr>
        <w:spacing w:after="0" w:line="360" w:lineRule="auto"/>
        <w:contextualSpacing/>
        <w:rPr>
          <w:rFonts w:eastAsia="Batang" w:cs="Tahoma"/>
          <w:b/>
          <w:bCs/>
          <w:color w:val="FF0000"/>
        </w:rPr>
      </w:pPr>
    </w:p>
    <w:p w14:paraId="5B9B961B" w14:textId="4D28E705" w:rsidR="00DB3DC5" w:rsidRPr="00AC739B" w:rsidRDefault="00DB3DC5" w:rsidP="005032B4">
      <w:pPr>
        <w:spacing w:after="0" w:line="360" w:lineRule="auto"/>
        <w:contextualSpacing/>
        <w:rPr>
          <w:rFonts w:eastAsia="Batang" w:cs="Tahoma"/>
          <w:b/>
          <w:bCs/>
          <w:color w:val="auto"/>
        </w:rPr>
      </w:pPr>
      <w:bookmarkStart w:id="8" w:name="_Toc189757359"/>
      <w:r w:rsidRPr="00AC739B">
        <w:rPr>
          <w:rStyle w:val="Ttulo2Car"/>
          <w:rFonts w:ascii="Palatino Linotype" w:hAnsi="Palatino Linotype"/>
          <w:b/>
          <w:bCs/>
          <w:color w:val="auto"/>
          <w:sz w:val="22"/>
          <w:szCs w:val="22"/>
        </w:rPr>
        <w:t>a) Turno del Medio de Impugnación.</w:t>
      </w:r>
      <w:bookmarkEnd w:id="8"/>
      <w:r w:rsidRPr="00AC739B">
        <w:rPr>
          <w:rFonts w:eastAsia="Batang" w:cs="Tahoma"/>
          <w:b/>
          <w:bCs/>
          <w:color w:val="auto"/>
          <w:sz w:val="18"/>
          <w:szCs w:val="18"/>
        </w:rPr>
        <w:t xml:space="preserve"> </w:t>
      </w:r>
      <w:r w:rsidRPr="00AC739B">
        <w:rPr>
          <w:rFonts w:eastAsia="Batang" w:cs="Tahoma"/>
          <w:bCs/>
          <w:color w:val="auto"/>
        </w:rPr>
        <w:t xml:space="preserve">El </w:t>
      </w:r>
      <w:r w:rsidR="00B732D1" w:rsidRPr="00AC739B">
        <w:rPr>
          <w:rFonts w:eastAsia="Batang" w:cs="Tahoma"/>
          <w:bCs/>
          <w:color w:val="auto"/>
        </w:rPr>
        <w:t xml:space="preserve">veintitrés de </w:t>
      </w:r>
      <w:r w:rsidR="00667107" w:rsidRPr="00AC739B">
        <w:rPr>
          <w:rFonts w:eastAsia="Batang" w:cs="Tahoma"/>
          <w:bCs/>
          <w:color w:val="auto"/>
        </w:rPr>
        <w:t>enero</w:t>
      </w:r>
      <w:r w:rsidR="00E063FC" w:rsidRPr="00AC739B">
        <w:rPr>
          <w:rFonts w:eastAsia="Batang" w:cs="Tahoma"/>
          <w:bCs/>
          <w:color w:val="auto"/>
        </w:rPr>
        <w:t xml:space="preserve"> </w:t>
      </w:r>
      <w:r w:rsidR="00B732D1" w:rsidRPr="00AC739B">
        <w:rPr>
          <w:rFonts w:eastAsia="Times New Roman" w:cs="Tahoma"/>
          <w:bCs/>
          <w:color w:val="auto"/>
          <w:lang w:eastAsia="es-ES"/>
        </w:rPr>
        <w:t xml:space="preserve">de dos mil </w:t>
      </w:r>
      <w:r w:rsidR="00667107" w:rsidRPr="00AC739B">
        <w:rPr>
          <w:rFonts w:eastAsia="Times New Roman" w:cs="Tahoma"/>
          <w:bCs/>
          <w:color w:val="auto"/>
          <w:lang w:eastAsia="es-ES"/>
        </w:rPr>
        <w:t>veinticinco</w:t>
      </w:r>
      <w:r w:rsidRPr="00AC739B">
        <w:rPr>
          <w:rFonts w:eastAsia="Batang" w:cs="Tahoma"/>
          <w:bCs/>
          <w:color w:val="auto"/>
        </w:rPr>
        <w:t xml:space="preserve">, el </w:t>
      </w:r>
      <w:r w:rsidRPr="00AC739B">
        <w:rPr>
          <w:rFonts w:eastAsia="Calibri" w:cs="Tahoma"/>
          <w:color w:val="auto"/>
          <w:lang w:val="es-ES"/>
        </w:rPr>
        <w:t>Sistema de Acceso a la Información Mexiquense (SAIMEX),</w:t>
      </w:r>
      <w:r w:rsidRPr="00AC739B">
        <w:rPr>
          <w:rFonts w:eastAsia="Batang" w:cs="Tahoma"/>
          <w:bCs/>
          <w:color w:val="auto"/>
        </w:rPr>
        <w:t xml:space="preserve"> </w:t>
      </w:r>
      <w:r w:rsidR="0089704B" w:rsidRPr="00AC739B">
        <w:rPr>
          <w:rFonts w:eastAsia="Batang" w:cs="Tahoma"/>
          <w:bCs/>
          <w:color w:val="auto"/>
          <w:lang w:val="es-ES_tradnl"/>
        </w:rPr>
        <w:t xml:space="preserve">asignó </w:t>
      </w:r>
      <w:r w:rsidR="0003316E" w:rsidRPr="00AC739B">
        <w:rPr>
          <w:rFonts w:eastAsia="Batang" w:cs="Tahoma"/>
          <w:bCs/>
          <w:color w:val="auto"/>
          <w:lang w:val="es-ES_tradnl"/>
        </w:rPr>
        <w:t>el</w:t>
      </w:r>
      <w:r w:rsidR="0089704B" w:rsidRPr="00AC739B">
        <w:rPr>
          <w:rFonts w:eastAsia="Batang" w:cs="Tahoma"/>
          <w:bCs/>
          <w:color w:val="auto"/>
          <w:lang w:val="es-ES_tradnl"/>
        </w:rPr>
        <w:t xml:space="preserve"> número de expediente </w:t>
      </w:r>
      <w:r w:rsidR="00667107" w:rsidRPr="00AC739B">
        <w:rPr>
          <w:rFonts w:eastAsia="Batang" w:cs="Tahoma"/>
          <w:b/>
          <w:color w:val="auto"/>
          <w:lang w:val="es-ES_tradnl"/>
        </w:rPr>
        <w:t>00186/INFOEM/IP/RR/2025</w:t>
      </w:r>
      <w:r w:rsidRPr="00AC739B">
        <w:rPr>
          <w:rFonts w:eastAsia="Batang" w:cs="Tahoma"/>
          <w:bCs/>
          <w:color w:val="auto"/>
        </w:rPr>
        <w:t xml:space="preserve">, al Medio de Impugnación que nos ocupa, con base en el sistema aprobado por el Pleno de este Órgano Garante y lo turnó al </w:t>
      </w:r>
      <w:r w:rsidRPr="00AC739B">
        <w:rPr>
          <w:rFonts w:eastAsia="Batang" w:cs="Tahoma"/>
          <w:b/>
          <w:color w:val="auto"/>
        </w:rPr>
        <w:t>Comisionado Ponente Luis Gustavo Parra Noriega</w:t>
      </w:r>
      <w:r w:rsidRPr="00AC739B">
        <w:rPr>
          <w:rFonts w:eastAsia="Batang" w:cs="Tahoma"/>
          <w:bCs/>
          <w:color w:val="auto"/>
        </w:rPr>
        <w:t>, para los efectos del artículo 185, fracción I de la Ley de Transparencia y Acceso a la Información Pública del Estado de México y Municipios.</w:t>
      </w:r>
    </w:p>
    <w:p w14:paraId="7ADA7EB2" w14:textId="77777777" w:rsidR="00DB3DC5" w:rsidRPr="00AC739B" w:rsidRDefault="00DB3DC5" w:rsidP="005032B4">
      <w:pPr>
        <w:spacing w:after="0" w:line="360" w:lineRule="auto"/>
        <w:contextualSpacing/>
        <w:rPr>
          <w:rFonts w:eastAsia="Batang" w:cs="Tahoma"/>
          <w:bCs/>
          <w:color w:val="FF0000"/>
        </w:rPr>
      </w:pPr>
    </w:p>
    <w:p w14:paraId="2B3B5A4B" w14:textId="7DE62D11" w:rsidR="00DB3DC5" w:rsidRPr="00AC739B" w:rsidRDefault="00DB3DC5" w:rsidP="005032B4">
      <w:pPr>
        <w:spacing w:after="0" w:line="360" w:lineRule="auto"/>
        <w:contextualSpacing/>
        <w:rPr>
          <w:rFonts w:eastAsia="Times New Roman" w:cs="Tahoma"/>
          <w:bCs/>
          <w:color w:val="auto"/>
          <w:lang w:val="es-ES_tradnl" w:eastAsia="es-ES"/>
        </w:rPr>
      </w:pPr>
      <w:bookmarkStart w:id="9" w:name="_Toc189757360"/>
      <w:r w:rsidRPr="00AC739B">
        <w:rPr>
          <w:rStyle w:val="Ttulo2Car"/>
          <w:rFonts w:ascii="Palatino Linotype" w:hAnsi="Palatino Linotype"/>
          <w:b/>
          <w:bCs/>
          <w:color w:val="auto"/>
          <w:sz w:val="22"/>
          <w:szCs w:val="22"/>
        </w:rPr>
        <w:t>b) Admisión de</w:t>
      </w:r>
      <w:r w:rsidR="00EA3D68" w:rsidRPr="00AC739B">
        <w:rPr>
          <w:rStyle w:val="Ttulo2Car"/>
          <w:rFonts w:ascii="Palatino Linotype" w:hAnsi="Palatino Linotype"/>
          <w:b/>
          <w:bCs/>
          <w:color w:val="auto"/>
          <w:sz w:val="22"/>
          <w:szCs w:val="22"/>
        </w:rPr>
        <w:t>l</w:t>
      </w:r>
      <w:r w:rsidRPr="00AC739B">
        <w:rPr>
          <w:rStyle w:val="Ttulo2Car"/>
          <w:rFonts w:ascii="Palatino Linotype" w:hAnsi="Palatino Linotype"/>
          <w:b/>
          <w:bCs/>
          <w:color w:val="auto"/>
          <w:sz w:val="22"/>
          <w:szCs w:val="22"/>
        </w:rPr>
        <w:t xml:space="preserve"> Recurso de Revisión.</w:t>
      </w:r>
      <w:bookmarkEnd w:id="9"/>
      <w:r w:rsidRPr="00AC739B">
        <w:rPr>
          <w:rFonts w:eastAsia="Times New Roman" w:cs="Tahoma"/>
          <w:b/>
          <w:bCs/>
          <w:color w:val="auto"/>
          <w:sz w:val="18"/>
          <w:szCs w:val="18"/>
          <w:lang w:val="es-ES_tradnl" w:eastAsia="es-ES"/>
        </w:rPr>
        <w:t xml:space="preserve"> </w:t>
      </w:r>
      <w:r w:rsidRPr="00AC739B">
        <w:rPr>
          <w:rFonts w:eastAsia="Times New Roman" w:cs="Tahoma"/>
          <w:bCs/>
          <w:color w:val="auto"/>
          <w:lang w:val="es-ES_tradnl" w:eastAsia="es-ES"/>
        </w:rPr>
        <w:t xml:space="preserve">El </w:t>
      </w:r>
      <w:r w:rsidR="00667107" w:rsidRPr="00AC739B">
        <w:rPr>
          <w:rFonts w:eastAsia="Times New Roman" w:cs="Tahoma"/>
          <w:bCs/>
          <w:color w:val="auto"/>
          <w:lang w:val="es-ES_tradnl" w:eastAsia="es-ES"/>
        </w:rPr>
        <w:t>veintisiete</w:t>
      </w:r>
      <w:r w:rsidR="00B732D1" w:rsidRPr="00AC739B">
        <w:rPr>
          <w:rFonts w:eastAsia="Times New Roman" w:cs="Tahoma"/>
          <w:bCs/>
          <w:color w:val="auto"/>
          <w:lang w:val="es-ES_tradnl" w:eastAsia="es-ES"/>
        </w:rPr>
        <w:t xml:space="preserve"> de enero</w:t>
      </w:r>
      <w:r w:rsidR="006778B9" w:rsidRPr="00AC739B">
        <w:rPr>
          <w:rFonts w:eastAsia="Batang" w:cs="Tahoma"/>
          <w:bCs/>
          <w:color w:val="auto"/>
        </w:rPr>
        <w:t xml:space="preserve"> </w:t>
      </w:r>
      <w:r w:rsidR="00B732D1" w:rsidRPr="00AC739B">
        <w:rPr>
          <w:rFonts w:eastAsia="Batang" w:cs="Tahoma"/>
          <w:bCs/>
          <w:color w:val="auto"/>
        </w:rPr>
        <w:t>de dos mil veinticinco</w:t>
      </w:r>
      <w:r w:rsidRPr="00AC739B">
        <w:rPr>
          <w:rFonts w:eastAsia="Times New Roman" w:cs="Tahoma"/>
          <w:bCs/>
          <w:color w:val="auto"/>
          <w:lang w:val="es-ES_tradnl" w:eastAsia="es-ES"/>
        </w:rPr>
        <w:t>, se acordó la admisión de</w:t>
      </w:r>
      <w:r w:rsidR="0003316E" w:rsidRPr="00AC739B">
        <w:rPr>
          <w:rFonts w:eastAsia="Times New Roman" w:cs="Tahoma"/>
          <w:bCs/>
          <w:color w:val="auto"/>
          <w:lang w:val="es-ES_tradnl" w:eastAsia="es-ES"/>
        </w:rPr>
        <w:t>l</w:t>
      </w:r>
      <w:r w:rsidRPr="00AC739B">
        <w:rPr>
          <w:rFonts w:eastAsia="Times New Roman" w:cs="Tahoma"/>
          <w:bCs/>
          <w:color w:val="auto"/>
          <w:lang w:val="es-ES_tradnl" w:eastAsia="es-ES"/>
        </w:rPr>
        <w:t xml:space="preserve"> Recurso de Revisión interpuesto por </w:t>
      </w:r>
      <w:r w:rsidR="0003316E" w:rsidRPr="00AC739B">
        <w:rPr>
          <w:rFonts w:eastAsia="Times New Roman" w:cs="Tahoma"/>
          <w:bCs/>
          <w:color w:val="auto"/>
          <w:lang w:val="es-ES_tradnl" w:eastAsia="es-ES"/>
        </w:rPr>
        <w:t>el</w:t>
      </w:r>
      <w:r w:rsidRPr="00AC739B">
        <w:rPr>
          <w:rFonts w:eastAsia="Times New Roman" w:cs="Tahoma"/>
          <w:bCs/>
          <w:color w:val="auto"/>
          <w:lang w:val="es-ES_tradnl" w:eastAsia="es-ES"/>
        </w:rPr>
        <w:t xml:space="preserve"> Recurrente en contra del Sujeto Obligado, en términos del artículo 185, fracciones I y II de la Ley de Transparencia y Acceso a la Información Pública del Estado de México y Municipios, </w:t>
      </w:r>
      <w:r w:rsidR="0003316E" w:rsidRPr="00AC739B">
        <w:rPr>
          <w:rFonts w:eastAsia="Times New Roman" w:cs="Tahoma"/>
          <w:bCs/>
          <w:color w:val="auto"/>
          <w:lang w:val="es-ES_tradnl" w:eastAsia="es-ES"/>
        </w:rPr>
        <w:t>el</w:t>
      </w:r>
      <w:r w:rsidRPr="00AC739B">
        <w:rPr>
          <w:rFonts w:eastAsia="Times New Roman" w:cs="Tahoma"/>
          <w:bCs/>
          <w:color w:val="auto"/>
          <w:lang w:val="es-ES_tradnl" w:eastAsia="es-ES"/>
        </w:rPr>
        <w:t xml:space="preserve"> cual fue debidamente notificado a las parte</w:t>
      </w:r>
      <w:r w:rsidR="00A322C2" w:rsidRPr="00AC739B">
        <w:rPr>
          <w:rFonts w:eastAsia="Times New Roman" w:cs="Tahoma"/>
          <w:bCs/>
          <w:color w:val="auto"/>
          <w:lang w:val="es-ES_tradnl" w:eastAsia="es-ES"/>
        </w:rPr>
        <w:t xml:space="preserve">s, el </w:t>
      </w:r>
      <w:r w:rsidR="00B732D1" w:rsidRPr="00AC739B">
        <w:rPr>
          <w:rFonts w:eastAsia="Times New Roman" w:cs="Tahoma"/>
          <w:bCs/>
          <w:color w:val="auto"/>
          <w:lang w:val="es-ES_tradnl" w:eastAsia="es-ES"/>
        </w:rPr>
        <w:t>mismo día</w:t>
      </w:r>
      <w:r w:rsidRPr="00AC739B">
        <w:rPr>
          <w:rFonts w:eastAsia="Times New Roman" w:cs="Tahoma"/>
          <w:bCs/>
          <w:color w:val="auto"/>
          <w:lang w:val="es-ES_tradnl" w:eastAsia="es-ES"/>
        </w:rPr>
        <w:t xml:space="preserve">, a través del Sistema de Acceso a la Información Mexiquense (SAIMEX), en el que se les otorgó un plazo de siete días hábiles posteriores a la misma, para que manifestaran lo que a su derecho conviniera y formularan alegatos. </w:t>
      </w:r>
    </w:p>
    <w:p w14:paraId="7F8B0501" w14:textId="77777777" w:rsidR="00767EFB" w:rsidRPr="00AC739B" w:rsidRDefault="00767EFB" w:rsidP="005032B4">
      <w:pPr>
        <w:spacing w:after="0" w:line="360" w:lineRule="auto"/>
        <w:contextualSpacing/>
        <w:rPr>
          <w:rFonts w:eastAsia="Times New Roman" w:cs="Tahoma"/>
          <w:b/>
          <w:bCs/>
          <w:color w:val="auto"/>
          <w:lang w:eastAsia="es-ES"/>
        </w:rPr>
      </w:pPr>
    </w:p>
    <w:p w14:paraId="148AA6C7" w14:textId="0F7C224B" w:rsidR="00305C77" w:rsidRPr="00AC739B" w:rsidRDefault="00305C77" w:rsidP="00305C77">
      <w:pPr>
        <w:spacing w:after="0" w:line="360" w:lineRule="auto"/>
        <w:rPr>
          <w:rFonts w:eastAsia="Calibri" w:cs="Tahoma"/>
          <w:bCs/>
          <w:iCs/>
          <w:lang w:val="es-ES"/>
        </w:rPr>
      </w:pPr>
      <w:bookmarkStart w:id="10" w:name="_Toc189757361"/>
      <w:r w:rsidRPr="00AC739B">
        <w:rPr>
          <w:rStyle w:val="Ttulo2Car"/>
          <w:rFonts w:ascii="Palatino Linotype" w:hAnsi="Palatino Linotype"/>
          <w:b/>
          <w:bCs/>
          <w:color w:val="auto"/>
          <w:sz w:val="22"/>
          <w:szCs w:val="22"/>
          <w:lang w:val="es-ES"/>
        </w:rPr>
        <w:t>c) Informe Justificado.</w:t>
      </w:r>
      <w:bookmarkEnd w:id="10"/>
      <w:r w:rsidRPr="00AC739B">
        <w:rPr>
          <w:rFonts w:eastAsia="Calibri" w:cs="Tahoma"/>
          <w:bCs/>
          <w:iCs/>
          <w:color w:val="auto"/>
          <w:sz w:val="18"/>
          <w:szCs w:val="18"/>
          <w:lang w:val="es-ES"/>
        </w:rPr>
        <w:t xml:space="preserve"> </w:t>
      </w:r>
      <w:r w:rsidRPr="00AC739B">
        <w:rPr>
          <w:rFonts w:eastAsia="Calibri" w:cs="Tahoma"/>
          <w:bCs/>
          <w:iCs/>
          <w:lang w:val="es-ES"/>
        </w:rPr>
        <w:t>El seis de febrero de dos mil veinticinco, se recibió en este Instituto, a través del Sistema de Acceso a la Información Mexiquense (SAIMEX), el Informe Justificado del Sujeto Obligado, por medio de la digitalización del documento siguiente:</w:t>
      </w:r>
    </w:p>
    <w:p w14:paraId="49FBD4FA" w14:textId="77777777" w:rsidR="00305C77" w:rsidRPr="00AC739B" w:rsidRDefault="00305C77" w:rsidP="00305C77">
      <w:pPr>
        <w:spacing w:after="0" w:line="360" w:lineRule="auto"/>
        <w:rPr>
          <w:rFonts w:eastAsia="Calibri" w:cs="Tahoma"/>
          <w:bCs/>
          <w:iCs/>
          <w:lang w:val="es-ES"/>
        </w:rPr>
      </w:pPr>
    </w:p>
    <w:p w14:paraId="5D264DC4" w14:textId="3032A202" w:rsidR="00305C77" w:rsidRPr="00AC739B" w:rsidRDefault="00305C77" w:rsidP="00305C77">
      <w:pPr>
        <w:spacing w:after="0" w:line="360" w:lineRule="auto"/>
        <w:rPr>
          <w:rFonts w:eastAsia="Calibri" w:cs="Tahoma"/>
          <w:bCs/>
          <w:iCs/>
          <w:lang w:val="es-ES"/>
        </w:rPr>
      </w:pPr>
      <w:r w:rsidRPr="00AC739B">
        <w:rPr>
          <w:rFonts w:eastAsia="Calibri" w:cs="Tahoma"/>
          <w:bCs/>
          <w:iCs/>
          <w:lang w:val="es-ES"/>
        </w:rPr>
        <w:lastRenderedPageBreak/>
        <w:t>i) Oficio sin número de la misma fecha de recepción, suscrito por el titular de la Unidad de Transparencia y dirigido al Comisionado Ponente, por medio del cual ratificó su respuesta de conformidad con lo siguiente:</w:t>
      </w:r>
    </w:p>
    <w:p w14:paraId="218234F7" w14:textId="77777777" w:rsidR="00305C77" w:rsidRPr="00AC739B" w:rsidRDefault="00305C77" w:rsidP="00305C77">
      <w:pPr>
        <w:spacing w:after="0" w:line="360" w:lineRule="auto"/>
        <w:ind w:right="567"/>
        <w:rPr>
          <w:rFonts w:eastAsia="Calibri" w:cs="Tahoma"/>
          <w:bCs/>
          <w:i/>
          <w:sz w:val="20"/>
          <w:szCs w:val="20"/>
          <w:lang w:val="es-ES"/>
        </w:rPr>
      </w:pPr>
    </w:p>
    <w:p w14:paraId="1B36BCA0" w14:textId="5FC9310A" w:rsidR="00305C77" w:rsidRPr="00AC739B" w:rsidRDefault="00305C77" w:rsidP="00305C77">
      <w:pPr>
        <w:spacing w:after="0" w:line="360" w:lineRule="auto"/>
        <w:ind w:left="567" w:right="567"/>
        <w:rPr>
          <w:rFonts w:eastAsia="Calibri" w:cs="Tahoma"/>
          <w:bCs/>
          <w:i/>
          <w:color w:val="auto"/>
          <w:sz w:val="20"/>
          <w:szCs w:val="20"/>
          <w:lang w:val="es-ES"/>
        </w:rPr>
      </w:pPr>
      <w:r w:rsidRPr="00AC739B">
        <w:rPr>
          <w:rFonts w:eastAsia="Calibri" w:cs="Tahoma"/>
          <w:bCs/>
          <w:i/>
          <w:color w:val="auto"/>
          <w:sz w:val="20"/>
          <w:szCs w:val="20"/>
          <w:lang w:val="es-ES"/>
        </w:rPr>
        <w:t>“…</w:t>
      </w:r>
    </w:p>
    <w:p w14:paraId="0EFDD5F9" w14:textId="77777777" w:rsidR="00305C77" w:rsidRPr="00AC739B" w:rsidRDefault="00305C77" w:rsidP="00305C77">
      <w:pPr>
        <w:spacing w:after="0" w:line="360" w:lineRule="auto"/>
        <w:ind w:left="567" w:right="567"/>
        <w:jc w:val="center"/>
        <w:rPr>
          <w:rFonts w:eastAsia="Calibri" w:cs="Tahoma"/>
          <w:b/>
          <w:i/>
          <w:color w:val="auto"/>
          <w:sz w:val="20"/>
          <w:szCs w:val="20"/>
          <w:lang w:val="es-ES"/>
        </w:rPr>
      </w:pPr>
      <w:r w:rsidRPr="00AC739B">
        <w:rPr>
          <w:rFonts w:eastAsia="Calibri" w:cs="Tahoma"/>
          <w:b/>
          <w:i/>
          <w:color w:val="auto"/>
          <w:sz w:val="20"/>
          <w:szCs w:val="20"/>
          <w:lang w:val="es-ES"/>
        </w:rPr>
        <w:t>CONCLUSIÓN</w:t>
      </w:r>
    </w:p>
    <w:p w14:paraId="024654E0" w14:textId="5E4B9A30" w:rsidR="00305C77" w:rsidRPr="00AC739B" w:rsidRDefault="00305C77" w:rsidP="00305C77">
      <w:pPr>
        <w:spacing w:after="0" w:line="360" w:lineRule="auto"/>
        <w:ind w:left="567" w:right="567"/>
        <w:rPr>
          <w:rFonts w:eastAsia="Calibri" w:cs="Tahoma"/>
          <w:bCs/>
          <w:i/>
          <w:color w:val="auto"/>
          <w:sz w:val="20"/>
          <w:szCs w:val="20"/>
          <w:lang w:val="es-ES"/>
        </w:rPr>
      </w:pPr>
      <w:r w:rsidRPr="00AC739B">
        <w:rPr>
          <w:rFonts w:eastAsia="Calibri" w:cs="Tahoma"/>
          <w:bCs/>
          <w:i/>
          <w:color w:val="auto"/>
          <w:sz w:val="20"/>
          <w:szCs w:val="20"/>
          <w:lang w:val="es-ES"/>
        </w:rPr>
        <w:t xml:space="preserve">Por lo antes expuesto, </w:t>
      </w:r>
      <w:r w:rsidRPr="00AC739B">
        <w:rPr>
          <w:rFonts w:eastAsia="Calibri" w:cs="Tahoma"/>
          <w:b/>
          <w:i/>
          <w:color w:val="auto"/>
          <w:sz w:val="20"/>
          <w:szCs w:val="20"/>
          <w:lang w:val="es-ES"/>
        </w:rPr>
        <w:t>se ratifica en todas y cada una de sus partes la respuesta</w:t>
      </w:r>
      <w:r w:rsidRPr="00AC739B">
        <w:rPr>
          <w:rFonts w:eastAsia="Calibri" w:cs="Tahoma"/>
          <w:bCs/>
          <w:i/>
          <w:color w:val="auto"/>
          <w:sz w:val="20"/>
          <w:szCs w:val="20"/>
          <w:lang w:val="es-ES"/>
        </w:rPr>
        <w:t xml:space="preserve"> a la solicitud de información de mérito, toda vez que, se le entregó lo que obra </w:t>
      </w:r>
      <w:proofErr w:type="gramStart"/>
      <w:r w:rsidRPr="00AC739B">
        <w:rPr>
          <w:rFonts w:eastAsia="Calibri" w:cs="Tahoma"/>
          <w:bCs/>
          <w:i/>
          <w:color w:val="auto"/>
          <w:sz w:val="20"/>
          <w:szCs w:val="20"/>
          <w:lang w:val="es-ES"/>
        </w:rPr>
        <w:t>de acuerdo a</w:t>
      </w:r>
      <w:proofErr w:type="gramEnd"/>
      <w:r w:rsidRPr="00AC739B">
        <w:rPr>
          <w:rFonts w:eastAsia="Calibri" w:cs="Tahoma"/>
          <w:bCs/>
          <w:i/>
          <w:color w:val="auto"/>
          <w:sz w:val="20"/>
          <w:szCs w:val="20"/>
          <w:lang w:val="es-ES"/>
        </w:rPr>
        <w:t xml:space="preserve"> lo requerido en la solicitud de acceso a la información pública, en atención a lo manifestado por los Servidores Públicos Habilitados Competentes, cumpliendo con el principio de legalidad y el derecho de acceso a la información pública.</w:t>
      </w:r>
    </w:p>
    <w:p w14:paraId="156711CF" w14:textId="77777777" w:rsidR="00305C77" w:rsidRPr="00AC739B" w:rsidRDefault="00305C77" w:rsidP="00305C77">
      <w:pPr>
        <w:spacing w:after="0" w:line="360" w:lineRule="auto"/>
        <w:ind w:left="567" w:right="567"/>
        <w:rPr>
          <w:rFonts w:eastAsia="Calibri" w:cs="Tahoma"/>
          <w:bCs/>
          <w:i/>
          <w:color w:val="auto"/>
          <w:sz w:val="20"/>
          <w:szCs w:val="20"/>
          <w:lang w:val="es-ES"/>
        </w:rPr>
      </w:pPr>
    </w:p>
    <w:p w14:paraId="1BE3B1C3" w14:textId="7A6A3019" w:rsidR="00305C77" w:rsidRPr="00AC739B" w:rsidRDefault="00305C77" w:rsidP="00305C77">
      <w:pPr>
        <w:spacing w:after="0" w:line="360" w:lineRule="auto"/>
        <w:ind w:left="567" w:right="567"/>
        <w:rPr>
          <w:rFonts w:eastAsia="Calibri" w:cs="Tahoma"/>
          <w:bCs/>
          <w:i/>
          <w:color w:val="auto"/>
          <w:sz w:val="20"/>
          <w:szCs w:val="20"/>
          <w:lang w:val="es-ES"/>
        </w:rPr>
      </w:pPr>
      <w:r w:rsidRPr="00AC739B">
        <w:rPr>
          <w:rFonts w:eastAsia="Calibri" w:cs="Tahoma"/>
          <w:bCs/>
          <w:i/>
          <w:color w:val="auto"/>
          <w:sz w:val="20"/>
          <w:szCs w:val="20"/>
          <w:lang w:val="es-ES"/>
        </w:rPr>
        <w:t xml:space="preserve">De tal manera que, por consiguiente, puede confirmar que el </w:t>
      </w:r>
      <w:r w:rsidRPr="00AC739B">
        <w:rPr>
          <w:rFonts w:eastAsia="Calibri" w:cs="Tahoma"/>
          <w:b/>
          <w:i/>
          <w:color w:val="auto"/>
          <w:sz w:val="20"/>
          <w:szCs w:val="20"/>
          <w:lang w:val="es-ES"/>
        </w:rPr>
        <w:t>03410/TOLUCA/IP/2024</w:t>
      </w:r>
      <w:r w:rsidRPr="00AC739B">
        <w:rPr>
          <w:rFonts w:eastAsia="Calibri" w:cs="Tahoma"/>
          <w:bCs/>
          <w:i/>
          <w:color w:val="auto"/>
          <w:sz w:val="20"/>
          <w:szCs w:val="20"/>
          <w:lang w:val="es-ES"/>
        </w:rPr>
        <w:t>, se tiene por cumplido, bajo la prerrogativa del derecho de acceso a la información.</w:t>
      </w:r>
    </w:p>
    <w:p w14:paraId="56C41E80" w14:textId="77777777" w:rsidR="00305C77" w:rsidRPr="00AC739B" w:rsidRDefault="00305C77" w:rsidP="00305C77">
      <w:pPr>
        <w:spacing w:after="0" w:line="360" w:lineRule="auto"/>
        <w:ind w:left="567" w:right="567"/>
        <w:rPr>
          <w:rFonts w:eastAsia="Calibri" w:cs="Tahoma"/>
          <w:bCs/>
          <w:i/>
          <w:color w:val="auto"/>
          <w:sz w:val="20"/>
          <w:szCs w:val="20"/>
          <w:lang w:val="es-ES"/>
        </w:rPr>
      </w:pPr>
    </w:p>
    <w:p w14:paraId="03A3CA8E" w14:textId="443F8FE0" w:rsidR="00305C77" w:rsidRPr="00AC739B" w:rsidRDefault="00305C77" w:rsidP="00305C77">
      <w:pPr>
        <w:spacing w:after="0" w:line="360" w:lineRule="auto"/>
        <w:ind w:left="567" w:right="567"/>
        <w:rPr>
          <w:rFonts w:eastAsia="Calibri" w:cs="Tahoma"/>
          <w:bCs/>
          <w:i/>
          <w:color w:val="auto"/>
          <w:sz w:val="20"/>
          <w:szCs w:val="20"/>
          <w:lang w:val="es-ES"/>
        </w:rPr>
      </w:pPr>
      <w:r w:rsidRPr="00AC739B">
        <w:rPr>
          <w:rFonts w:eastAsia="Calibri" w:cs="Tahoma"/>
          <w:bCs/>
          <w:i/>
          <w:color w:val="auto"/>
          <w:sz w:val="20"/>
          <w:szCs w:val="20"/>
          <w:lang w:val="es-ES"/>
        </w:rPr>
        <w:t>Toda vez, que este Sujeto Obligado, atendió el derecho de acceso a la información pública, y le informó sobre lo requerido en su solicitud, por lo que no se pueda cuestionar o dudar de la veracidad de esta.</w:t>
      </w:r>
    </w:p>
    <w:p w14:paraId="1DEF1840" w14:textId="77777777" w:rsidR="00305C77" w:rsidRPr="00AC739B" w:rsidRDefault="00305C77" w:rsidP="00305C77">
      <w:pPr>
        <w:spacing w:after="0" w:line="360" w:lineRule="auto"/>
        <w:ind w:left="567" w:right="567"/>
        <w:rPr>
          <w:rFonts w:eastAsia="Calibri" w:cs="Tahoma"/>
          <w:bCs/>
          <w:i/>
          <w:color w:val="auto"/>
          <w:sz w:val="20"/>
          <w:szCs w:val="20"/>
          <w:lang w:val="es-ES"/>
        </w:rPr>
      </w:pPr>
      <w:r w:rsidRPr="00AC739B">
        <w:rPr>
          <w:rFonts w:eastAsia="Calibri" w:cs="Tahoma"/>
          <w:bCs/>
          <w:i/>
          <w:color w:val="auto"/>
          <w:sz w:val="20"/>
          <w:szCs w:val="20"/>
          <w:lang w:val="es-ES"/>
        </w:rPr>
        <w:t>…”</w:t>
      </w:r>
    </w:p>
    <w:p w14:paraId="788205B8" w14:textId="77777777" w:rsidR="00305C77" w:rsidRPr="00AC739B" w:rsidRDefault="00305C77" w:rsidP="00305C77">
      <w:pPr>
        <w:spacing w:after="0" w:line="360" w:lineRule="auto"/>
        <w:ind w:left="567" w:right="567"/>
        <w:rPr>
          <w:rFonts w:eastAsia="Calibri" w:cs="Tahoma"/>
          <w:b/>
          <w:bCs/>
          <w:i/>
          <w:color w:val="auto"/>
          <w:lang w:val="es-ES"/>
        </w:rPr>
      </w:pPr>
    </w:p>
    <w:p w14:paraId="2F226612" w14:textId="54AB1135" w:rsidR="00305C77" w:rsidRPr="00AC739B" w:rsidRDefault="00305C77" w:rsidP="00305C77">
      <w:pPr>
        <w:spacing w:line="360" w:lineRule="auto"/>
        <w:contextualSpacing/>
        <w:rPr>
          <w:rFonts w:eastAsia="Times New Roman" w:cs="Tahoma"/>
          <w:b/>
          <w:color w:val="auto"/>
          <w:lang w:eastAsia="es-ES"/>
        </w:rPr>
      </w:pPr>
      <w:bookmarkStart w:id="11" w:name="_Toc189757362"/>
      <w:r w:rsidRPr="00AC739B">
        <w:rPr>
          <w:rStyle w:val="Ttulo2Car"/>
          <w:rFonts w:ascii="Palatino Linotype" w:hAnsi="Palatino Linotype"/>
          <w:b/>
          <w:bCs/>
          <w:color w:val="auto"/>
          <w:sz w:val="22"/>
          <w:szCs w:val="22"/>
          <w:lang w:eastAsia="es-ES"/>
        </w:rPr>
        <w:t xml:space="preserve">d) </w:t>
      </w:r>
      <w:r w:rsidRPr="00AC739B">
        <w:rPr>
          <w:rStyle w:val="Ttulo2Car"/>
          <w:rFonts w:ascii="Palatino Linotype" w:hAnsi="Palatino Linotype"/>
          <w:b/>
          <w:bCs/>
          <w:color w:val="auto"/>
          <w:sz w:val="22"/>
          <w:szCs w:val="22"/>
        </w:rPr>
        <w:t>Vista del informe Justificado:</w:t>
      </w:r>
      <w:bookmarkEnd w:id="11"/>
      <w:r w:rsidRPr="00AC739B">
        <w:rPr>
          <w:rFonts w:eastAsia="Calibri" w:cs="Times New Roman"/>
          <w:color w:val="auto"/>
        </w:rPr>
        <w:t xml:space="preserve"> </w:t>
      </w:r>
      <w:r w:rsidRPr="00AC739B">
        <w:rPr>
          <w:rFonts w:eastAsia="Calibri" w:cs="Times New Roman"/>
        </w:rPr>
        <w:t>El seis de febrero de dos mil veinticinco, se dictó acuerdo por medio del cual se puso a la vista del Recurrente el Informe Justificado entregado por el Sujeto Obligado, el cual fue debidamente notificado a las partes, a través del Sistema de Acceso a la Información Mexiquense (SAIMEX).</w:t>
      </w:r>
    </w:p>
    <w:p w14:paraId="2950AAC1" w14:textId="77777777" w:rsidR="00B456E9" w:rsidRPr="00AC739B" w:rsidRDefault="00B456E9" w:rsidP="005032B4">
      <w:pPr>
        <w:spacing w:after="0" w:line="360" w:lineRule="auto"/>
        <w:contextualSpacing/>
        <w:rPr>
          <w:rFonts w:cs="Tahoma"/>
          <w:b/>
          <w:color w:val="FF0000"/>
        </w:rPr>
      </w:pPr>
    </w:p>
    <w:p w14:paraId="403F7296" w14:textId="3220D548" w:rsidR="00DB3DC5" w:rsidRPr="00AC739B" w:rsidRDefault="00305C77" w:rsidP="005032B4">
      <w:pPr>
        <w:autoSpaceDE w:val="0"/>
        <w:autoSpaceDN w:val="0"/>
        <w:adjustRightInd w:val="0"/>
        <w:spacing w:after="0" w:line="360" w:lineRule="auto"/>
        <w:ind w:right="-28"/>
        <w:contextualSpacing/>
        <w:rPr>
          <w:rFonts w:eastAsia="Calibri" w:cs="Tahoma"/>
          <w:bCs/>
          <w:color w:val="auto"/>
        </w:rPr>
      </w:pPr>
      <w:bookmarkStart w:id="12" w:name="_Toc189757363"/>
      <w:r w:rsidRPr="00AC739B">
        <w:rPr>
          <w:rStyle w:val="Ttulo2Car"/>
          <w:rFonts w:ascii="Palatino Linotype" w:hAnsi="Palatino Linotype"/>
          <w:b/>
          <w:bCs/>
          <w:color w:val="auto"/>
          <w:sz w:val="22"/>
          <w:szCs w:val="22"/>
        </w:rPr>
        <w:t>e</w:t>
      </w:r>
      <w:r w:rsidR="0014339D" w:rsidRPr="00AC739B">
        <w:rPr>
          <w:rStyle w:val="Ttulo2Car"/>
          <w:rFonts w:ascii="Palatino Linotype" w:hAnsi="Palatino Linotype"/>
          <w:b/>
          <w:bCs/>
          <w:color w:val="auto"/>
          <w:sz w:val="22"/>
          <w:szCs w:val="22"/>
        </w:rPr>
        <w:t xml:space="preserve">) </w:t>
      </w:r>
      <w:r w:rsidR="00DB3DC5" w:rsidRPr="00AC739B">
        <w:rPr>
          <w:rStyle w:val="Ttulo2Car"/>
          <w:rFonts w:ascii="Palatino Linotype" w:hAnsi="Palatino Linotype"/>
          <w:b/>
          <w:bCs/>
          <w:color w:val="auto"/>
          <w:sz w:val="22"/>
          <w:szCs w:val="22"/>
        </w:rPr>
        <w:t>Cierre de instrucción.</w:t>
      </w:r>
      <w:bookmarkEnd w:id="12"/>
      <w:r w:rsidR="00DB3DC5" w:rsidRPr="00AC739B">
        <w:rPr>
          <w:rFonts w:eastAsia="Times New Roman" w:cs="Tahoma"/>
          <w:color w:val="auto"/>
          <w:szCs w:val="24"/>
          <w:lang w:eastAsia="es-ES"/>
        </w:rPr>
        <w:t xml:space="preserve"> El </w:t>
      </w:r>
      <w:r w:rsidR="00E568BB" w:rsidRPr="00AC739B">
        <w:rPr>
          <w:rFonts w:eastAsia="Times New Roman" w:cs="Tahoma"/>
          <w:color w:val="auto"/>
          <w:szCs w:val="24"/>
          <w:lang w:eastAsia="es-ES"/>
        </w:rPr>
        <w:t>doce</w:t>
      </w:r>
      <w:r w:rsidR="00667107" w:rsidRPr="00AC739B">
        <w:rPr>
          <w:rFonts w:eastAsia="Times New Roman" w:cs="Tahoma"/>
          <w:color w:val="auto"/>
          <w:szCs w:val="24"/>
          <w:lang w:eastAsia="es-ES"/>
        </w:rPr>
        <w:t xml:space="preserve"> de </w:t>
      </w:r>
      <w:proofErr w:type="gramStart"/>
      <w:r w:rsidR="00667107" w:rsidRPr="00AC739B">
        <w:rPr>
          <w:rFonts w:eastAsia="Times New Roman" w:cs="Tahoma"/>
          <w:color w:val="auto"/>
          <w:szCs w:val="24"/>
          <w:lang w:eastAsia="es-ES"/>
        </w:rPr>
        <w:t xml:space="preserve">febrero </w:t>
      </w:r>
      <w:r w:rsidR="00B732D1" w:rsidRPr="00AC739B">
        <w:rPr>
          <w:rFonts w:eastAsia="Times New Roman" w:cs="Tahoma"/>
          <w:color w:val="auto"/>
          <w:szCs w:val="24"/>
          <w:lang w:eastAsia="es-ES"/>
        </w:rPr>
        <w:t xml:space="preserve"> de</w:t>
      </w:r>
      <w:proofErr w:type="gramEnd"/>
      <w:r w:rsidR="00B732D1" w:rsidRPr="00AC739B">
        <w:rPr>
          <w:rFonts w:eastAsia="Times New Roman" w:cs="Tahoma"/>
          <w:color w:val="auto"/>
          <w:szCs w:val="24"/>
          <w:lang w:eastAsia="es-ES"/>
        </w:rPr>
        <w:t xml:space="preserve"> dos mil veinticinco</w:t>
      </w:r>
      <w:r w:rsidR="00DB3DC5" w:rsidRPr="00AC739B">
        <w:rPr>
          <w:rFonts w:eastAsia="Times New Roman" w:cs="Tahoma"/>
          <w:color w:val="auto"/>
          <w:szCs w:val="24"/>
          <w:lang w:eastAsia="es-ES"/>
        </w:rPr>
        <w:t xml:space="preserve">, al no existir diligencias pendientes por desahogar, se emitió el acuerdo por medio del cual se declaró cerrada la instrucción y se determinó pasar los expedientes a resolución, en términos de lo dispuesto en </w:t>
      </w:r>
      <w:r w:rsidR="00DB3DC5" w:rsidRPr="00AC739B">
        <w:rPr>
          <w:rFonts w:eastAsia="Times New Roman" w:cs="Tahoma"/>
          <w:color w:val="auto"/>
          <w:szCs w:val="24"/>
          <w:lang w:eastAsia="es-ES"/>
        </w:rPr>
        <w:lastRenderedPageBreak/>
        <w:t xml:space="preserve">los artículos 185, fracciones VI y VIII, de la Ley de Transparencia y Acceso a la Información Pública del Estado de México y Municipios, mismo que fue notificado a las partes, a través del </w:t>
      </w:r>
      <w:r w:rsidR="00DB3DC5" w:rsidRPr="00AC739B">
        <w:rPr>
          <w:rFonts w:eastAsia="Times New Roman" w:cs="Tahoma"/>
          <w:color w:val="auto"/>
          <w:szCs w:val="20"/>
          <w:lang w:val="es-ES" w:eastAsia="es-ES"/>
        </w:rPr>
        <w:t>Sistema de Acceso a la Información Mexiquense (SAIMEX)</w:t>
      </w:r>
      <w:r w:rsidR="00DB3DC5" w:rsidRPr="00AC739B">
        <w:rPr>
          <w:rFonts w:eastAsia="Times New Roman" w:cs="Tahoma"/>
          <w:color w:val="auto"/>
          <w:szCs w:val="24"/>
          <w:lang w:eastAsia="es-ES"/>
        </w:rPr>
        <w:t xml:space="preserve">. </w:t>
      </w:r>
    </w:p>
    <w:p w14:paraId="44D053F7" w14:textId="77777777" w:rsidR="0014339D" w:rsidRPr="00AC739B" w:rsidRDefault="0014339D" w:rsidP="005032B4">
      <w:pPr>
        <w:autoSpaceDE w:val="0"/>
        <w:autoSpaceDN w:val="0"/>
        <w:adjustRightInd w:val="0"/>
        <w:spacing w:after="0" w:line="360" w:lineRule="auto"/>
        <w:ind w:right="-28"/>
        <w:contextualSpacing/>
        <w:rPr>
          <w:rFonts w:eastAsia="Calibri" w:cs="Tahoma"/>
          <w:bCs/>
          <w:color w:val="auto"/>
        </w:rPr>
      </w:pPr>
    </w:p>
    <w:p w14:paraId="5D1BB03E" w14:textId="77777777" w:rsidR="00DB3DC5" w:rsidRPr="00AC739B" w:rsidRDefault="00DB3DC5" w:rsidP="005032B4">
      <w:pPr>
        <w:spacing w:after="0" w:line="360" w:lineRule="auto"/>
        <w:contextualSpacing/>
        <w:rPr>
          <w:rFonts w:eastAsia="Times New Roman" w:cs="Tahoma"/>
          <w:color w:val="auto"/>
          <w:szCs w:val="24"/>
          <w:lang w:eastAsia="es-ES"/>
        </w:rPr>
      </w:pPr>
      <w:proofErr w:type="gramStart"/>
      <w:r w:rsidRPr="00AC739B">
        <w:rPr>
          <w:rFonts w:eastAsia="Times New Roman" w:cs="Tahoma"/>
          <w:color w:val="auto"/>
          <w:szCs w:val="24"/>
          <w:lang w:eastAsia="es-ES"/>
        </w:rPr>
        <w:t>En razón de</w:t>
      </w:r>
      <w:proofErr w:type="gramEnd"/>
      <w:r w:rsidRPr="00AC739B">
        <w:rPr>
          <w:rFonts w:eastAsia="Times New Roman" w:cs="Tahoma"/>
          <w:color w:val="auto"/>
          <w:szCs w:val="24"/>
          <w:lang w:eastAsia="es-ES"/>
        </w:rPr>
        <w:t xml:space="preserve"> que fue debidamente sustanciado e integrado el expediente electrónico y no existe diligencia pendiente de desahogo, se emite la resolución que conforme a Derecho proceda, de acuerdo a los siguientes:</w:t>
      </w:r>
    </w:p>
    <w:p w14:paraId="0A452CDE" w14:textId="536DF52D" w:rsidR="00DB3DC5" w:rsidRPr="00AC739B" w:rsidRDefault="00076681" w:rsidP="005032B4">
      <w:pPr>
        <w:tabs>
          <w:tab w:val="left" w:pos="2985"/>
        </w:tabs>
        <w:spacing w:after="0" w:line="360" w:lineRule="auto"/>
        <w:contextualSpacing/>
        <w:rPr>
          <w:rFonts w:eastAsia="Times New Roman" w:cs="Tahoma"/>
          <w:b/>
          <w:color w:val="auto"/>
          <w:lang w:val="es-ES" w:eastAsia="es-ES"/>
        </w:rPr>
      </w:pPr>
      <w:r w:rsidRPr="00AC739B">
        <w:rPr>
          <w:rFonts w:eastAsia="Times New Roman" w:cs="Tahoma"/>
          <w:b/>
          <w:color w:val="auto"/>
          <w:lang w:val="es-ES" w:eastAsia="es-ES"/>
        </w:rPr>
        <w:tab/>
      </w:r>
    </w:p>
    <w:p w14:paraId="1AD6FB2C" w14:textId="338C6782" w:rsidR="00DB3DC5" w:rsidRPr="00AC739B" w:rsidRDefault="00076681" w:rsidP="005032B4">
      <w:pPr>
        <w:pStyle w:val="Ttulo1"/>
        <w:spacing w:before="0" w:line="360" w:lineRule="auto"/>
        <w:jc w:val="center"/>
        <w:rPr>
          <w:rFonts w:ascii="Palatino Linotype" w:eastAsia="Times New Roman" w:hAnsi="Palatino Linotype"/>
          <w:b/>
          <w:color w:val="000000" w:themeColor="text1"/>
          <w:sz w:val="22"/>
          <w:szCs w:val="22"/>
          <w:lang w:val="es-ES" w:eastAsia="es-ES"/>
        </w:rPr>
      </w:pPr>
      <w:bookmarkStart w:id="13" w:name="_Toc189757364"/>
      <w:r w:rsidRPr="00AC739B">
        <w:rPr>
          <w:rFonts w:ascii="Palatino Linotype" w:eastAsia="Times New Roman" w:hAnsi="Palatino Linotype"/>
          <w:b/>
          <w:color w:val="000000" w:themeColor="text1"/>
          <w:sz w:val="22"/>
          <w:szCs w:val="22"/>
          <w:lang w:val="es-ES" w:eastAsia="es-ES"/>
        </w:rPr>
        <w:t>C O N S I D E R A N D O S</w:t>
      </w:r>
      <w:bookmarkEnd w:id="13"/>
    </w:p>
    <w:p w14:paraId="446E7524" w14:textId="77777777" w:rsidR="00DB3DC5" w:rsidRPr="00AC739B" w:rsidRDefault="00DB3DC5" w:rsidP="005032B4">
      <w:pPr>
        <w:spacing w:after="0" w:line="360" w:lineRule="auto"/>
        <w:contextualSpacing/>
        <w:jc w:val="center"/>
        <w:rPr>
          <w:rFonts w:eastAsia="Times New Roman" w:cs="Tahoma"/>
          <w:b/>
          <w:color w:val="auto"/>
          <w:lang w:val="es-ES" w:eastAsia="es-ES"/>
        </w:rPr>
      </w:pPr>
    </w:p>
    <w:p w14:paraId="5C90BBB8" w14:textId="2F93BE5A" w:rsidR="00DB3DC5" w:rsidRPr="00AC739B" w:rsidRDefault="00DB3DC5" w:rsidP="005032B4">
      <w:pPr>
        <w:pStyle w:val="Ttulo2"/>
        <w:spacing w:before="0" w:line="360" w:lineRule="auto"/>
        <w:rPr>
          <w:rFonts w:ascii="Palatino Linotype" w:eastAsia="Times New Roman" w:hAnsi="Palatino Linotype"/>
          <w:b/>
          <w:color w:val="000000" w:themeColor="text1"/>
          <w:sz w:val="22"/>
          <w:szCs w:val="22"/>
          <w:lang w:val="es-ES" w:eastAsia="es-ES"/>
        </w:rPr>
      </w:pPr>
      <w:bookmarkStart w:id="14" w:name="_Toc189757365"/>
      <w:r w:rsidRPr="00AC739B">
        <w:rPr>
          <w:rFonts w:ascii="Palatino Linotype" w:eastAsia="Calibri" w:hAnsi="Palatino Linotype"/>
          <w:b/>
          <w:color w:val="000000" w:themeColor="text1"/>
          <w:sz w:val="22"/>
          <w:szCs w:val="22"/>
          <w:lang w:val="es-ES" w:eastAsia="es-MX"/>
        </w:rPr>
        <w:t xml:space="preserve">PRIMERO. </w:t>
      </w:r>
      <w:r w:rsidR="00076681" w:rsidRPr="00AC739B">
        <w:rPr>
          <w:rFonts w:ascii="Palatino Linotype" w:eastAsia="Times New Roman" w:hAnsi="Palatino Linotype"/>
          <w:b/>
          <w:color w:val="000000" w:themeColor="text1"/>
          <w:sz w:val="22"/>
          <w:szCs w:val="22"/>
          <w:lang w:val="es-ES" w:eastAsia="es-ES"/>
        </w:rPr>
        <w:t>Competencia</w:t>
      </w:r>
      <w:bookmarkEnd w:id="14"/>
    </w:p>
    <w:p w14:paraId="377E7349" w14:textId="77777777" w:rsidR="00DB3DC5" w:rsidRPr="00AC739B" w:rsidRDefault="00DB3DC5" w:rsidP="005032B4">
      <w:pPr>
        <w:autoSpaceDE w:val="0"/>
        <w:autoSpaceDN w:val="0"/>
        <w:adjustRightInd w:val="0"/>
        <w:spacing w:after="0" w:line="360" w:lineRule="auto"/>
        <w:contextualSpacing/>
        <w:rPr>
          <w:rFonts w:eastAsia="Times New Roman" w:cs="Tahoma"/>
          <w:b/>
          <w:color w:val="FF0000"/>
          <w:szCs w:val="24"/>
          <w:lang w:val="es-ES" w:eastAsia="es-ES"/>
        </w:rPr>
      </w:pPr>
    </w:p>
    <w:p w14:paraId="09199183" w14:textId="7C667863" w:rsidR="00DB3DC5" w:rsidRPr="00AC739B" w:rsidRDefault="00DB3DC5" w:rsidP="005032B4">
      <w:pPr>
        <w:spacing w:after="0" w:line="360" w:lineRule="auto"/>
        <w:contextualSpacing/>
        <w:rPr>
          <w:rFonts w:eastAsia="Times New Roman" w:cs="Tahoma"/>
          <w:bCs/>
          <w:color w:val="auto"/>
          <w:lang w:eastAsia="es-ES"/>
        </w:rPr>
      </w:pPr>
      <w:bookmarkStart w:id="15" w:name="_Hlk63334754"/>
      <w:r w:rsidRPr="00AC739B">
        <w:rPr>
          <w:rFonts w:eastAsia="Times New Roman" w:cs="Tahoma"/>
          <w:bCs/>
          <w:color w:val="auto"/>
          <w:lang w:eastAsia="es-E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w:t>
      </w:r>
      <w:r w:rsidR="003905B1" w:rsidRPr="00AC739B">
        <w:rPr>
          <w:rFonts w:eastAsia="Times New Roman" w:cs="Tahoma"/>
          <w:bCs/>
          <w:color w:val="auto"/>
          <w:lang w:eastAsia="es-ES"/>
        </w:rPr>
        <w:t xml:space="preserve"> segundo</w:t>
      </w:r>
      <w:r w:rsidRPr="00AC739B">
        <w:rPr>
          <w:rFonts w:eastAsia="Times New Roman" w:cs="Tahoma"/>
          <w:bCs/>
          <w:color w:val="auto"/>
          <w:lang w:eastAsia="es-ES"/>
        </w:rPr>
        <w:t xml:space="preserve">, trigésimo </w:t>
      </w:r>
      <w:r w:rsidR="003905B1" w:rsidRPr="00AC739B">
        <w:rPr>
          <w:rFonts w:eastAsia="Times New Roman" w:cs="Tahoma"/>
          <w:bCs/>
          <w:color w:val="auto"/>
          <w:lang w:eastAsia="es-ES"/>
        </w:rPr>
        <w:t>tercero</w:t>
      </w:r>
      <w:r w:rsidRPr="00AC739B">
        <w:rPr>
          <w:rFonts w:eastAsia="Times New Roman" w:cs="Tahoma"/>
          <w:bCs/>
          <w:color w:val="auto"/>
          <w:lang w:eastAsia="es-ES"/>
        </w:rPr>
        <w:t xml:space="preserve"> y trigésimo </w:t>
      </w:r>
      <w:r w:rsidR="003905B1" w:rsidRPr="00AC739B">
        <w:rPr>
          <w:rFonts w:eastAsia="Times New Roman" w:cs="Tahoma"/>
          <w:bCs/>
          <w:color w:val="auto"/>
          <w:lang w:eastAsia="es-ES"/>
        </w:rPr>
        <w:t>cuarto</w:t>
      </w:r>
      <w:r w:rsidRPr="00AC739B">
        <w:rPr>
          <w:rFonts w:eastAsia="Times New Roman" w:cs="Tahoma"/>
          <w:bCs/>
          <w:color w:val="auto"/>
          <w:lang w:eastAsia="es-ES"/>
        </w:rPr>
        <w:t>,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AC739B">
        <w:rPr>
          <w:rFonts w:eastAsia="Times New Roman" w:cs="Times New Roman"/>
          <w:bCs/>
          <w:color w:val="auto"/>
          <w:lang w:eastAsia="es-ES"/>
        </w:rPr>
        <w:t xml:space="preserve"> 7°, </w:t>
      </w:r>
      <w:r w:rsidRPr="00AC739B">
        <w:rPr>
          <w:rFonts w:eastAsia="Times New Roman" w:cs="Tahoma"/>
          <w:bCs/>
          <w:color w:val="auto"/>
          <w:lang w:eastAsia="es-ES"/>
        </w:rPr>
        <w:t>9°, fracciones I y XXIII y 11 del Reglamento Interior del Instituto de Transparencia, Acceso a la Información Pública y Protección de Datos Personales del Estado de México y Municipios.</w:t>
      </w:r>
      <w:bookmarkEnd w:id="15"/>
    </w:p>
    <w:p w14:paraId="34F007D6" w14:textId="77777777" w:rsidR="00DB3DC5" w:rsidRPr="00AC739B" w:rsidRDefault="00DB3DC5" w:rsidP="005032B4">
      <w:pPr>
        <w:autoSpaceDE w:val="0"/>
        <w:autoSpaceDN w:val="0"/>
        <w:adjustRightInd w:val="0"/>
        <w:spacing w:after="0" w:line="360" w:lineRule="auto"/>
        <w:contextualSpacing/>
        <w:rPr>
          <w:rFonts w:eastAsia="Calibri" w:cs="Tahoma"/>
          <w:b/>
          <w:color w:val="auto"/>
          <w:szCs w:val="24"/>
          <w:lang w:val="es-ES" w:eastAsia="es-MX"/>
        </w:rPr>
      </w:pPr>
    </w:p>
    <w:p w14:paraId="77696DE3" w14:textId="33801258" w:rsidR="00DB3DC5" w:rsidRPr="00AC739B" w:rsidRDefault="00DB3DC5" w:rsidP="005032B4">
      <w:pPr>
        <w:pStyle w:val="Ttulo2"/>
        <w:spacing w:before="0" w:line="360" w:lineRule="auto"/>
        <w:rPr>
          <w:rFonts w:ascii="Palatino Linotype" w:eastAsia="Times New Roman" w:hAnsi="Palatino Linotype"/>
          <w:b/>
          <w:color w:val="000000" w:themeColor="text1"/>
          <w:sz w:val="22"/>
          <w:szCs w:val="22"/>
          <w:lang w:val="es-ES" w:eastAsia="es-ES"/>
        </w:rPr>
      </w:pPr>
      <w:bookmarkStart w:id="16" w:name="_Toc189757366"/>
      <w:r w:rsidRPr="00AC739B">
        <w:rPr>
          <w:rFonts w:ascii="Palatino Linotype" w:eastAsia="Calibri" w:hAnsi="Palatino Linotype"/>
          <w:b/>
          <w:color w:val="000000" w:themeColor="text1"/>
          <w:sz w:val="22"/>
          <w:szCs w:val="22"/>
          <w:lang w:val="es-ES" w:eastAsia="es-MX"/>
        </w:rPr>
        <w:t xml:space="preserve">SEGUNDO. </w:t>
      </w:r>
      <w:r w:rsidRPr="00AC739B">
        <w:rPr>
          <w:rFonts w:ascii="Palatino Linotype" w:eastAsia="Times New Roman" w:hAnsi="Palatino Linotype"/>
          <w:b/>
          <w:color w:val="000000" w:themeColor="text1"/>
          <w:sz w:val="22"/>
          <w:szCs w:val="22"/>
          <w:lang w:val="es-ES" w:eastAsia="es-ES"/>
        </w:rPr>
        <w:t>Causales de</w:t>
      </w:r>
      <w:r w:rsidR="00076681" w:rsidRPr="00AC739B">
        <w:rPr>
          <w:rFonts w:ascii="Palatino Linotype" w:eastAsia="Times New Roman" w:hAnsi="Palatino Linotype"/>
          <w:b/>
          <w:color w:val="000000" w:themeColor="text1"/>
          <w:sz w:val="22"/>
          <w:szCs w:val="22"/>
          <w:lang w:val="es-ES" w:eastAsia="es-ES"/>
        </w:rPr>
        <w:t xml:space="preserve"> improcedencia y sobreseimiento</w:t>
      </w:r>
      <w:bookmarkEnd w:id="16"/>
      <w:r w:rsidRPr="00AC739B">
        <w:rPr>
          <w:rFonts w:ascii="Palatino Linotype" w:eastAsia="Times New Roman" w:hAnsi="Palatino Linotype"/>
          <w:b/>
          <w:color w:val="000000" w:themeColor="text1"/>
          <w:sz w:val="22"/>
          <w:szCs w:val="22"/>
          <w:lang w:val="es-ES" w:eastAsia="es-ES"/>
        </w:rPr>
        <w:t xml:space="preserve"> </w:t>
      </w:r>
    </w:p>
    <w:p w14:paraId="22A992CE" w14:textId="77777777" w:rsidR="00DB3DC5" w:rsidRPr="00AC739B" w:rsidRDefault="00DB3DC5" w:rsidP="005032B4">
      <w:pPr>
        <w:autoSpaceDE w:val="0"/>
        <w:autoSpaceDN w:val="0"/>
        <w:adjustRightInd w:val="0"/>
        <w:spacing w:after="0" w:line="360" w:lineRule="auto"/>
        <w:contextualSpacing/>
        <w:rPr>
          <w:rFonts w:eastAsia="Times New Roman" w:cs="Tahoma"/>
          <w:color w:val="auto"/>
          <w:szCs w:val="24"/>
          <w:lang w:val="es-ES" w:eastAsia="es-ES"/>
        </w:rPr>
      </w:pPr>
    </w:p>
    <w:p w14:paraId="5E71ADB2" w14:textId="77777777" w:rsidR="00DB3DC5" w:rsidRPr="00AC739B" w:rsidRDefault="00DB3DC5" w:rsidP="005032B4">
      <w:pPr>
        <w:autoSpaceDE w:val="0"/>
        <w:autoSpaceDN w:val="0"/>
        <w:adjustRightInd w:val="0"/>
        <w:spacing w:after="0" w:line="360" w:lineRule="auto"/>
        <w:contextualSpacing/>
        <w:rPr>
          <w:rFonts w:eastAsia="Times New Roman" w:cs="Tahoma"/>
          <w:color w:val="auto"/>
          <w:szCs w:val="24"/>
          <w:lang w:val="es-ES" w:eastAsia="es-ES"/>
        </w:rPr>
      </w:pPr>
      <w:r w:rsidRPr="00AC739B">
        <w:rPr>
          <w:rFonts w:eastAsia="Times New Roman" w:cs="Tahoma"/>
          <w:color w:val="auto"/>
          <w:szCs w:val="24"/>
          <w:lang w:val="es-ES" w:eastAsia="es-ES"/>
        </w:rPr>
        <w:lastRenderedPageBreak/>
        <w:t xml:space="preserve">De las constancias que forma parte del Recurso de Revisión que se analiza, se advierte que previo al estudio del fondo de la </w:t>
      </w:r>
      <w:r w:rsidRPr="00AC739B">
        <w:rPr>
          <w:rFonts w:eastAsia="Times New Roman" w:cs="Tahoma"/>
          <w:i/>
          <w:color w:val="auto"/>
          <w:szCs w:val="24"/>
          <w:lang w:val="es-ES" w:eastAsia="es-ES"/>
        </w:rPr>
        <w:t>litis</w:t>
      </w:r>
      <w:r w:rsidRPr="00AC739B">
        <w:rPr>
          <w:rFonts w:eastAsia="Times New Roman" w:cs="Tahoma"/>
          <w:color w:val="auto"/>
          <w:szCs w:val="24"/>
          <w:lang w:val="es-ES" w:eastAsia="es-ES"/>
        </w:rPr>
        <w:t>, es necesario estudiar las causales de improcedencia y sobreseimiento que se adviertan, para determinar lo que en Derecho proceda.</w:t>
      </w:r>
    </w:p>
    <w:p w14:paraId="4A215CBB" w14:textId="77777777" w:rsidR="00DB3DC5" w:rsidRPr="00AC739B" w:rsidRDefault="00DB3DC5" w:rsidP="005032B4">
      <w:pPr>
        <w:spacing w:after="0" w:line="360" w:lineRule="auto"/>
        <w:contextualSpacing/>
        <w:rPr>
          <w:b/>
          <w:color w:val="auto"/>
          <w:lang w:val="es-ES"/>
        </w:rPr>
      </w:pPr>
    </w:p>
    <w:p w14:paraId="7CEF4E51" w14:textId="77777777" w:rsidR="00DB3DC5" w:rsidRPr="00AC739B" w:rsidRDefault="00DB3DC5" w:rsidP="005032B4">
      <w:pPr>
        <w:spacing w:after="0" w:line="360" w:lineRule="auto"/>
        <w:contextualSpacing/>
        <w:rPr>
          <w:b/>
          <w:color w:val="auto"/>
          <w:lang w:val="es-ES"/>
        </w:rPr>
      </w:pPr>
      <w:r w:rsidRPr="00AC739B">
        <w:rPr>
          <w:b/>
          <w:color w:val="auto"/>
          <w:lang w:val="es-ES"/>
        </w:rPr>
        <w:t>Causales de improcedencia</w:t>
      </w:r>
    </w:p>
    <w:p w14:paraId="039C7835" w14:textId="77777777" w:rsidR="00DB3DC5" w:rsidRPr="00AC739B" w:rsidRDefault="00DB3DC5" w:rsidP="005032B4">
      <w:pPr>
        <w:spacing w:after="0" w:line="360" w:lineRule="auto"/>
        <w:contextualSpacing/>
        <w:rPr>
          <w:color w:val="auto"/>
        </w:rPr>
      </w:pPr>
    </w:p>
    <w:p w14:paraId="24BC499F" w14:textId="77777777" w:rsidR="00DB3DC5" w:rsidRPr="00AC739B" w:rsidRDefault="00DB3DC5" w:rsidP="005032B4">
      <w:pPr>
        <w:spacing w:after="0" w:line="360" w:lineRule="auto"/>
        <w:contextualSpacing/>
        <w:rPr>
          <w:rFonts w:eastAsia="Times New Roman" w:cs="Tahoma"/>
          <w:color w:val="auto"/>
          <w:lang w:eastAsia="es-ES"/>
        </w:rPr>
      </w:pPr>
      <w:r w:rsidRPr="00AC739B">
        <w:rPr>
          <w:rFonts w:eastAsia="Times New Roman" w:cs="Tahoma"/>
          <w:color w:val="auto"/>
          <w:lang w:eastAsia="es-ES"/>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6610D5C" w14:textId="77777777" w:rsidR="00DB3DC5" w:rsidRPr="00AC739B" w:rsidRDefault="00DB3DC5" w:rsidP="005032B4">
      <w:pPr>
        <w:spacing w:after="0" w:line="360" w:lineRule="auto"/>
        <w:contextualSpacing/>
        <w:rPr>
          <w:rFonts w:eastAsia="Times New Roman" w:cs="Tahoma"/>
          <w:color w:val="auto"/>
          <w:lang w:eastAsia="es-ES"/>
        </w:rPr>
      </w:pPr>
    </w:p>
    <w:p w14:paraId="344A6FE5" w14:textId="77777777" w:rsidR="00DB3DC5" w:rsidRPr="00AC739B" w:rsidRDefault="00DB3DC5" w:rsidP="005032B4">
      <w:pPr>
        <w:spacing w:after="0" w:line="360" w:lineRule="auto"/>
        <w:contextualSpacing/>
        <w:rPr>
          <w:rFonts w:eastAsia="Times New Roman" w:cs="Tahoma"/>
          <w:color w:val="auto"/>
          <w:lang w:eastAsia="es-ES"/>
        </w:rPr>
      </w:pPr>
      <w:r w:rsidRPr="00AC739B">
        <w:rPr>
          <w:rFonts w:eastAsia="Times New Roman" w:cs="Tahoma"/>
          <w:color w:val="auto"/>
          <w:lang w:eastAsia="es-ES"/>
        </w:rPr>
        <w:t>En el presente caso, </w:t>
      </w:r>
      <w:r w:rsidRPr="00AC739B">
        <w:rPr>
          <w:rFonts w:eastAsia="Times New Roman" w:cs="Tahoma"/>
          <w:b/>
          <w:bCs/>
          <w:color w:val="auto"/>
          <w:lang w:eastAsia="es-ES"/>
        </w:rPr>
        <w:t>no se actualiza ninguna de las causales de improcedencia</w:t>
      </w:r>
      <w:r w:rsidRPr="00AC739B">
        <w:rPr>
          <w:rFonts w:eastAsia="Times New Roman" w:cs="Tahoma"/>
          <w:color w:val="auto"/>
          <w:lang w:eastAsia="es-ES"/>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0308760A" w14:textId="77777777" w:rsidR="00DB3DC5" w:rsidRPr="00AC739B" w:rsidRDefault="00DB3DC5" w:rsidP="005032B4">
      <w:pPr>
        <w:spacing w:after="0" w:line="360" w:lineRule="auto"/>
        <w:contextualSpacing/>
        <w:rPr>
          <w:rFonts w:eastAsia="Times New Roman" w:cs="Tahoma"/>
          <w:color w:val="auto"/>
          <w:lang w:val="es-ES" w:eastAsia="es-ES"/>
        </w:rPr>
      </w:pPr>
    </w:p>
    <w:p w14:paraId="76A50112" w14:textId="63B85C05" w:rsidR="00DB3DC5" w:rsidRPr="00AC739B" w:rsidRDefault="00DB3DC5" w:rsidP="005032B4">
      <w:pPr>
        <w:spacing w:after="0" w:line="360" w:lineRule="auto"/>
        <w:contextualSpacing/>
        <w:rPr>
          <w:rFonts w:eastAsia="Times New Roman" w:cs="Tahoma"/>
          <w:bCs/>
          <w:color w:val="auto"/>
          <w:lang w:val="es-ES" w:eastAsia="es-ES"/>
        </w:rPr>
      </w:pPr>
      <w:r w:rsidRPr="00AC739B">
        <w:rPr>
          <w:rFonts w:eastAsia="Times New Roman" w:cs="Tahoma"/>
          <w:color w:val="auto"/>
          <w:lang w:val="es-ES" w:eastAsia="es-ES"/>
        </w:rPr>
        <w:t>Conforme a lo anterior, se actualiza</w:t>
      </w:r>
      <w:r w:rsidR="006945D2" w:rsidRPr="00AC739B">
        <w:rPr>
          <w:rFonts w:eastAsia="Times New Roman" w:cs="Tahoma"/>
          <w:color w:val="auto"/>
          <w:lang w:val="es-ES" w:eastAsia="es-ES"/>
        </w:rPr>
        <w:t>n</w:t>
      </w:r>
      <w:r w:rsidRPr="00AC739B">
        <w:rPr>
          <w:rFonts w:eastAsia="Times New Roman" w:cs="Tahoma"/>
          <w:color w:val="auto"/>
          <w:lang w:val="es-ES" w:eastAsia="es-ES"/>
        </w:rPr>
        <w:t xml:space="preserve"> la</w:t>
      </w:r>
      <w:r w:rsidR="006945D2" w:rsidRPr="00AC739B">
        <w:rPr>
          <w:rFonts w:eastAsia="Times New Roman" w:cs="Tahoma"/>
          <w:color w:val="auto"/>
          <w:lang w:val="es-ES" w:eastAsia="es-ES"/>
        </w:rPr>
        <w:t>s</w:t>
      </w:r>
      <w:r w:rsidRPr="00AC739B">
        <w:rPr>
          <w:rFonts w:eastAsia="Times New Roman" w:cs="Tahoma"/>
          <w:color w:val="auto"/>
          <w:lang w:val="es-ES" w:eastAsia="es-ES"/>
        </w:rPr>
        <w:t xml:space="preserve"> causal</w:t>
      </w:r>
      <w:r w:rsidR="006945D2" w:rsidRPr="00AC739B">
        <w:rPr>
          <w:rFonts w:eastAsia="Times New Roman" w:cs="Tahoma"/>
          <w:color w:val="auto"/>
          <w:lang w:val="es-ES" w:eastAsia="es-ES"/>
        </w:rPr>
        <w:t>es</w:t>
      </w:r>
      <w:r w:rsidRPr="00AC739B">
        <w:rPr>
          <w:rFonts w:eastAsia="Times New Roman" w:cs="Tahoma"/>
          <w:color w:val="auto"/>
          <w:lang w:val="es-ES" w:eastAsia="es-ES"/>
        </w:rPr>
        <w:t xml:space="preserve"> de procedencia señalad</w:t>
      </w:r>
      <w:r w:rsidR="00BB36D2" w:rsidRPr="00AC739B">
        <w:rPr>
          <w:rFonts w:eastAsia="Times New Roman" w:cs="Tahoma"/>
          <w:color w:val="auto"/>
          <w:lang w:val="es-ES" w:eastAsia="es-ES"/>
        </w:rPr>
        <w:t>a</w:t>
      </w:r>
      <w:r w:rsidR="006945D2" w:rsidRPr="00AC739B">
        <w:rPr>
          <w:rFonts w:eastAsia="Times New Roman" w:cs="Tahoma"/>
          <w:color w:val="auto"/>
          <w:lang w:val="es-ES" w:eastAsia="es-ES"/>
        </w:rPr>
        <w:t>s</w:t>
      </w:r>
      <w:r w:rsidR="00BB36D2" w:rsidRPr="00AC739B">
        <w:rPr>
          <w:rFonts w:eastAsia="Times New Roman" w:cs="Tahoma"/>
          <w:color w:val="auto"/>
          <w:lang w:val="es-ES" w:eastAsia="es-ES"/>
        </w:rPr>
        <w:t xml:space="preserve"> en el artículo 179, </w:t>
      </w:r>
      <w:r w:rsidR="006945D2" w:rsidRPr="00AC739B">
        <w:rPr>
          <w:rFonts w:eastAsia="Times New Roman" w:cs="Tahoma"/>
          <w:color w:val="auto"/>
          <w:lang w:val="es-ES" w:eastAsia="es-ES"/>
        </w:rPr>
        <w:t>fracciones III y</w:t>
      </w:r>
      <w:r w:rsidR="00BB36D2" w:rsidRPr="00AC739B">
        <w:rPr>
          <w:rFonts w:eastAsia="Times New Roman" w:cs="Tahoma"/>
          <w:color w:val="auto"/>
          <w:lang w:val="es-ES" w:eastAsia="es-ES"/>
        </w:rPr>
        <w:t xml:space="preserve"> </w:t>
      </w:r>
      <w:r w:rsidR="00A322C2" w:rsidRPr="00AC739B">
        <w:rPr>
          <w:rFonts w:eastAsia="Times New Roman" w:cs="Tahoma"/>
          <w:color w:val="auto"/>
          <w:lang w:val="es-ES" w:eastAsia="es-ES"/>
        </w:rPr>
        <w:t>V</w:t>
      </w:r>
      <w:r w:rsidR="00F87269" w:rsidRPr="00AC739B">
        <w:rPr>
          <w:rFonts w:eastAsia="Times New Roman" w:cs="Tahoma"/>
          <w:color w:val="auto"/>
          <w:lang w:val="es-ES" w:eastAsia="es-ES"/>
        </w:rPr>
        <w:t>I</w:t>
      </w:r>
      <w:r w:rsidRPr="00AC739B">
        <w:rPr>
          <w:rFonts w:eastAsia="Times New Roman" w:cs="Tahoma"/>
          <w:color w:val="auto"/>
          <w:lang w:val="es-ES" w:eastAsia="es-ES"/>
        </w:rPr>
        <w:t>, de la Ley de la materia</w:t>
      </w:r>
      <w:r w:rsidRPr="00AC739B">
        <w:rPr>
          <w:rFonts w:eastAsia="Times New Roman" w:cs="Tahoma"/>
          <w:bCs/>
          <w:color w:val="auto"/>
          <w:lang w:val="es-ES" w:eastAsia="es-ES"/>
        </w:rPr>
        <w:t xml:space="preserve">, toda vez que el Solicitante se inconformó con la </w:t>
      </w:r>
      <w:r w:rsidR="006945D2" w:rsidRPr="00AC739B">
        <w:rPr>
          <w:rFonts w:eastAsia="Times New Roman" w:cs="Tahoma"/>
          <w:bCs/>
          <w:color w:val="auto"/>
          <w:lang w:val="es-ES" w:eastAsia="es-ES"/>
        </w:rPr>
        <w:t xml:space="preserve">declaración de inexistencia y la </w:t>
      </w:r>
      <w:r w:rsidR="00771B61" w:rsidRPr="00AC739B">
        <w:rPr>
          <w:rFonts w:eastAsia="Times New Roman" w:cs="Tahoma"/>
          <w:bCs/>
          <w:color w:val="auto"/>
          <w:lang w:val="es-ES" w:eastAsia="es-ES"/>
        </w:rPr>
        <w:t xml:space="preserve">entrega de información </w:t>
      </w:r>
      <w:r w:rsidR="002F1D02" w:rsidRPr="00AC739B">
        <w:rPr>
          <w:rFonts w:eastAsia="Times New Roman" w:cs="Tahoma"/>
          <w:bCs/>
          <w:color w:val="auto"/>
          <w:lang w:val="es-ES" w:eastAsia="es-ES"/>
        </w:rPr>
        <w:t xml:space="preserve">que no corresponde con lo solicitado. </w:t>
      </w:r>
    </w:p>
    <w:p w14:paraId="33270C86" w14:textId="77777777" w:rsidR="00DB3DC5" w:rsidRPr="00AC739B" w:rsidRDefault="00DB3DC5" w:rsidP="005032B4">
      <w:pPr>
        <w:spacing w:after="0" w:line="360" w:lineRule="auto"/>
        <w:contextualSpacing/>
        <w:rPr>
          <w:rFonts w:cs="Tahoma"/>
          <w:color w:val="auto"/>
          <w:lang w:val="es-ES"/>
        </w:rPr>
      </w:pPr>
    </w:p>
    <w:p w14:paraId="7C183A55" w14:textId="09722CDA" w:rsidR="00DB3DC5" w:rsidRPr="00AC739B" w:rsidRDefault="00455DCB" w:rsidP="005032B4">
      <w:pPr>
        <w:spacing w:after="0" w:line="360" w:lineRule="auto"/>
        <w:contextualSpacing/>
        <w:rPr>
          <w:rFonts w:eastAsia="Times New Roman" w:cs="Tahoma"/>
          <w:bCs/>
          <w:color w:val="auto"/>
          <w:lang w:eastAsia="es-ES"/>
        </w:rPr>
      </w:pPr>
      <w:r w:rsidRPr="00AC739B">
        <w:rPr>
          <w:rFonts w:eastAsia="Times New Roman" w:cs="Tahoma"/>
          <w:b/>
          <w:bCs/>
          <w:color w:val="auto"/>
          <w:lang w:eastAsia="es-ES"/>
        </w:rPr>
        <w:t>Causales de sobreseimiento</w:t>
      </w:r>
    </w:p>
    <w:p w14:paraId="4882BDEC" w14:textId="77777777" w:rsidR="00DB3DC5" w:rsidRPr="00AC739B" w:rsidRDefault="00DB3DC5" w:rsidP="005032B4">
      <w:pPr>
        <w:spacing w:after="0" w:line="360" w:lineRule="auto"/>
        <w:contextualSpacing/>
        <w:rPr>
          <w:rFonts w:eastAsia="Times New Roman" w:cs="Tahoma"/>
          <w:bCs/>
          <w:color w:val="auto"/>
          <w:lang w:eastAsia="es-ES"/>
        </w:rPr>
      </w:pPr>
    </w:p>
    <w:p w14:paraId="0571881F" w14:textId="77777777" w:rsidR="002F1D02" w:rsidRPr="00AC739B" w:rsidRDefault="002F1D02" w:rsidP="005032B4">
      <w:pPr>
        <w:spacing w:after="0" w:line="360" w:lineRule="auto"/>
        <w:rPr>
          <w:rFonts w:eastAsia="Palatino Linotype" w:cs="Palatino Linotype"/>
          <w:color w:val="auto"/>
          <w:lang w:eastAsia="es-MX"/>
        </w:rPr>
      </w:pPr>
      <w:r w:rsidRPr="00AC739B">
        <w:rPr>
          <w:rFonts w:eastAsia="Palatino Linotype" w:cs="Palatino Linotype"/>
          <w:color w:val="auto"/>
          <w:lang w:eastAsia="es-MX"/>
        </w:rPr>
        <w:t>Por ser de previo y especial pronunciamiento, este Instituto analiza si se actualiza alguna causal de sobreseimiento.</w:t>
      </w:r>
    </w:p>
    <w:p w14:paraId="6F7FC348" w14:textId="77777777" w:rsidR="002F1D02" w:rsidRPr="00AC739B" w:rsidRDefault="002F1D02" w:rsidP="005032B4">
      <w:pPr>
        <w:spacing w:after="0" w:line="360" w:lineRule="auto"/>
        <w:rPr>
          <w:rFonts w:eastAsia="Palatino Linotype" w:cs="Palatino Linotype"/>
          <w:color w:val="auto"/>
          <w:lang w:eastAsia="es-MX"/>
        </w:rPr>
      </w:pPr>
    </w:p>
    <w:p w14:paraId="13739FF0" w14:textId="77777777" w:rsidR="002F1D02" w:rsidRPr="00AC739B" w:rsidRDefault="002F1D02" w:rsidP="005032B4">
      <w:pPr>
        <w:spacing w:after="0" w:line="360" w:lineRule="auto"/>
        <w:rPr>
          <w:rFonts w:eastAsia="Palatino Linotype" w:cs="Palatino Linotype"/>
          <w:color w:val="0D0D0D"/>
          <w:lang w:eastAsia="es-MX"/>
        </w:rPr>
      </w:pPr>
      <w:r w:rsidRPr="00AC739B">
        <w:rPr>
          <w:rFonts w:eastAsia="Palatino Linotype" w:cs="Palatino Linotype"/>
          <w:color w:val="0D0D0D"/>
          <w:lang w:eastAsia="es-MX"/>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w:t>
      </w:r>
      <w:r w:rsidRPr="00AC739B">
        <w:rPr>
          <w:rFonts w:eastAsia="Palatino Linotype" w:cs="Palatino Linotype"/>
          <w:b/>
          <w:color w:val="0D0D0D"/>
          <w:lang w:eastAsia="es-MX"/>
        </w:rPr>
        <w:t xml:space="preserve"> no se configuran las causales establecidas en las fracciones I, II, III, y V, </w:t>
      </w:r>
      <w:r w:rsidRPr="00AC739B">
        <w:rPr>
          <w:rFonts w:eastAsia="Palatino Linotype" w:cs="Palatino Linotype"/>
          <w:color w:val="0D0D0D"/>
          <w:lang w:eastAsia="es-MX"/>
        </w:rPr>
        <w:t xml:space="preserve">toda vez que no hay constancias en el expediente en que se actúa, de que </w:t>
      </w:r>
      <w:r w:rsidRPr="00AC739B">
        <w:rPr>
          <w:rFonts w:eastAsia="Palatino Linotype" w:cs="Palatino Linotype"/>
          <w:color w:val="000000"/>
          <w:lang w:eastAsia="es-MX"/>
        </w:rPr>
        <w:t xml:space="preserve">la persona </w:t>
      </w:r>
      <w:r w:rsidRPr="00AC739B">
        <w:rPr>
          <w:rFonts w:eastAsia="Palatino Linotype" w:cs="Palatino Linotype"/>
          <w:color w:val="0D0D0D"/>
          <w:lang w:eastAsia="es-MX"/>
        </w:rPr>
        <w:t>Recurrente se haya desistido, fallecido, que el Sujeto Obligado hubiese modificado o revocado el acto impugnado o bien, haya quedado sin materia.</w:t>
      </w:r>
    </w:p>
    <w:p w14:paraId="55CB7A8D" w14:textId="77777777" w:rsidR="002F1D02" w:rsidRPr="00AC739B" w:rsidRDefault="002F1D02" w:rsidP="005032B4">
      <w:pPr>
        <w:spacing w:after="0" w:line="360" w:lineRule="auto"/>
        <w:rPr>
          <w:rFonts w:eastAsia="Palatino Linotype" w:cs="Palatino Linotype"/>
          <w:color w:val="0D0D0D"/>
          <w:lang w:eastAsia="es-MX"/>
        </w:rPr>
      </w:pPr>
    </w:p>
    <w:p w14:paraId="7A294E2F" w14:textId="77777777" w:rsidR="002F1D02" w:rsidRPr="00AC739B" w:rsidRDefault="002F1D02" w:rsidP="005032B4">
      <w:pPr>
        <w:spacing w:after="0" w:line="360" w:lineRule="auto"/>
        <w:rPr>
          <w:rFonts w:eastAsia="Palatino Linotype" w:cs="Palatino Linotype"/>
          <w:color w:val="0D0D0D"/>
          <w:lang w:eastAsia="es-MX"/>
        </w:rPr>
      </w:pPr>
      <w:r w:rsidRPr="00AC739B">
        <w:rPr>
          <w:rFonts w:eastAsia="Palatino Linotype" w:cs="Palatino Linotype"/>
          <w:color w:val="0D0D0D"/>
          <w:lang w:eastAsia="es-MX"/>
        </w:rPr>
        <w:t>No obstante, por lo que hace a la hipótesis prevista en la fracción IV, a saber, que, una vez admitido el Recurso de Revisión, aparezca alguna causal de improcedencia en términos de la presente Ley, resulta necesario traer a colación el artículo 191, fracción VII, de dicho ordenamiento jurídico, que establece que el Recurso de Revisión será desechado por improcedente, cuando la persona Recurrente amplíe su solicitud en el Medio de Impugnación.</w:t>
      </w:r>
    </w:p>
    <w:p w14:paraId="1DA94E8C" w14:textId="77777777" w:rsidR="002F1D02" w:rsidRPr="00AC739B" w:rsidRDefault="002F1D02" w:rsidP="005032B4">
      <w:pPr>
        <w:spacing w:after="0" w:line="360" w:lineRule="auto"/>
        <w:rPr>
          <w:rFonts w:eastAsia="Palatino Linotype" w:cs="Palatino Linotype"/>
          <w:color w:val="auto"/>
          <w:lang w:eastAsia="es-MX"/>
        </w:rPr>
      </w:pPr>
    </w:p>
    <w:p w14:paraId="033712E0" w14:textId="7587BCE5" w:rsidR="002F1D02" w:rsidRPr="00AC739B" w:rsidRDefault="002F1D02" w:rsidP="005032B4">
      <w:pPr>
        <w:spacing w:after="0" w:line="360" w:lineRule="auto"/>
        <w:rPr>
          <w:rFonts w:eastAsia="Palatino Linotype" w:cs="Palatino Linotype"/>
          <w:color w:val="0D0D0D"/>
          <w:lang w:eastAsia="es-MX"/>
        </w:rPr>
      </w:pPr>
      <w:r w:rsidRPr="00AC739B">
        <w:rPr>
          <w:rFonts w:eastAsia="Palatino Linotype" w:cs="Palatino Linotype"/>
          <w:color w:val="0D0D0D"/>
          <w:lang w:eastAsia="es-MX"/>
        </w:rPr>
        <w:t>En ese orden de ideas, de las constancias que obran en el expediente, se colige que el Particular requirió</w:t>
      </w:r>
      <w:r w:rsidRPr="00AC739B">
        <w:rPr>
          <w:rFonts w:eastAsia="Palatino Linotype" w:cs="Palatino Linotype"/>
          <w:color w:val="auto"/>
          <w:lang w:eastAsia="es-MX"/>
        </w:rPr>
        <w:t xml:space="preserve"> el comprobante de pago del adeudo por la cantidad de seiscientos veinticinco mil pesos con el Sistema de Radio y Televisión Mexiquense contemplado en el Estado </w:t>
      </w:r>
      <w:r w:rsidR="00537251" w:rsidRPr="00AC739B">
        <w:rPr>
          <w:rFonts w:eastAsia="Palatino Linotype" w:cs="Palatino Linotype"/>
          <w:color w:val="auto"/>
          <w:lang w:eastAsia="es-MX"/>
        </w:rPr>
        <w:t>A</w:t>
      </w:r>
      <w:r w:rsidRPr="00AC739B">
        <w:rPr>
          <w:rFonts w:eastAsia="Palatino Linotype" w:cs="Palatino Linotype"/>
          <w:color w:val="auto"/>
          <w:lang w:eastAsia="es-MX"/>
        </w:rPr>
        <w:t xml:space="preserve">nalítico </w:t>
      </w:r>
      <w:r w:rsidR="00537251" w:rsidRPr="00AC739B">
        <w:rPr>
          <w:rFonts w:eastAsia="Palatino Linotype" w:cs="Palatino Linotype"/>
          <w:color w:val="auto"/>
          <w:lang w:eastAsia="es-MX"/>
        </w:rPr>
        <w:t>de la Deuda y otros Pasivos del primero de enero al treinta y uno de diciembre de dos mil veintiuno y el estado que guarda el adeudo al seis de diciembre de dos mil veinticuatro</w:t>
      </w:r>
      <w:r w:rsidR="008B2C31" w:rsidRPr="00AC739B">
        <w:rPr>
          <w:rFonts w:eastAsia="Palatino Linotype" w:cs="Palatino Linotype"/>
          <w:color w:val="0D0D0D"/>
          <w:lang w:eastAsia="es-MX"/>
        </w:rPr>
        <w:t>; no obstante,</w:t>
      </w:r>
      <w:r w:rsidRPr="00AC739B">
        <w:rPr>
          <w:rFonts w:eastAsia="Palatino Linotype" w:cs="Palatino Linotype"/>
          <w:color w:val="0D0D0D"/>
          <w:lang w:eastAsia="es-MX"/>
        </w:rPr>
        <w:t xml:space="preserve"> </w:t>
      </w:r>
      <w:r w:rsidR="008B2C31" w:rsidRPr="00AC739B">
        <w:rPr>
          <w:rFonts w:eastAsia="Palatino Linotype" w:cs="Palatino Linotype"/>
          <w:color w:val="0D0D0D"/>
          <w:lang w:eastAsia="es-MX"/>
        </w:rPr>
        <w:t xml:space="preserve">al presentar el </w:t>
      </w:r>
      <w:r w:rsidRPr="00AC739B">
        <w:rPr>
          <w:rFonts w:eastAsia="Palatino Linotype" w:cs="Palatino Linotype"/>
          <w:color w:val="0D0D0D"/>
          <w:lang w:eastAsia="es-MX"/>
        </w:rPr>
        <w:t xml:space="preserve">Recurso de Revisión, </w:t>
      </w:r>
      <w:r w:rsidR="008B2C31" w:rsidRPr="00AC739B">
        <w:rPr>
          <w:rFonts w:eastAsia="Palatino Linotype" w:cs="Palatino Linotype"/>
          <w:color w:val="0D0D0D"/>
          <w:lang w:eastAsia="es-MX"/>
        </w:rPr>
        <w:t>además,</w:t>
      </w:r>
      <w:r w:rsidR="008E4ACC" w:rsidRPr="00AC739B">
        <w:rPr>
          <w:rFonts w:eastAsia="Palatino Linotype" w:cs="Palatino Linotype"/>
          <w:color w:val="0D0D0D"/>
          <w:lang w:eastAsia="es-MX"/>
        </w:rPr>
        <w:t xml:space="preserve"> pidió que se ejecutara el pago, o en su caso,</w:t>
      </w:r>
      <w:r w:rsidRPr="00AC739B">
        <w:rPr>
          <w:rFonts w:eastAsia="Palatino Linotype" w:cs="Palatino Linotype"/>
          <w:color w:val="0D0D0D"/>
          <w:lang w:eastAsia="es-MX"/>
        </w:rPr>
        <w:t xml:space="preserve"> </w:t>
      </w:r>
      <w:r w:rsidR="00537251" w:rsidRPr="00AC739B">
        <w:rPr>
          <w:rFonts w:eastAsia="Palatino Linotype" w:cs="Palatino Linotype"/>
          <w:color w:val="0D0D0D"/>
          <w:lang w:eastAsia="es-MX"/>
        </w:rPr>
        <w:t>la fecha en que se realiza</w:t>
      </w:r>
      <w:r w:rsidR="008E4ACC" w:rsidRPr="00AC739B">
        <w:rPr>
          <w:rFonts w:eastAsia="Palatino Linotype" w:cs="Palatino Linotype"/>
          <w:color w:val="0D0D0D"/>
          <w:lang w:eastAsia="es-MX"/>
        </w:rPr>
        <w:t>ría el mismo</w:t>
      </w:r>
      <w:r w:rsidR="00537251" w:rsidRPr="00AC739B">
        <w:rPr>
          <w:rFonts w:eastAsia="Palatino Linotype" w:cs="Palatino Linotype"/>
          <w:color w:val="0D0D0D"/>
          <w:lang w:eastAsia="es-MX"/>
        </w:rPr>
        <w:t xml:space="preserve">. </w:t>
      </w:r>
    </w:p>
    <w:p w14:paraId="72DBCFD2" w14:textId="77777777" w:rsidR="002F1D02" w:rsidRPr="00AC739B" w:rsidRDefault="002F1D02" w:rsidP="005032B4">
      <w:pPr>
        <w:spacing w:after="0" w:line="360" w:lineRule="auto"/>
        <w:rPr>
          <w:rFonts w:eastAsia="Palatino Linotype" w:cs="Palatino Linotype"/>
          <w:color w:val="0D0D0D"/>
          <w:lang w:eastAsia="es-MX"/>
        </w:rPr>
      </w:pPr>
    </w:p>
    <w:p w14:paraId="75C0B12F" w14:textId="5DC31E22" w:rsidR="002F1D02" w:rsidRPr="00AC739B" w:rsidRDefault="002F1D02" w:rsidP="005032B4">
      <w:pPr>
        <w:spacing w:after="0" w:line="360" w:lineRule="auto"/>
        <w:rPr>
          <w:rFonts w:eastAsia="Palatino Linotype" w:cs="Palatino Linotype"/>
          <w:color w:val="0D0D0D"/>
          <w:lang w:eastAsia="es-MX"/>
        </w:rPr>
      </w:pPr>
      <w:r w:rsidRPr="00AC739B">
        <w:rPr>
          <w:rFonts w:eastAsia="Palatino Linotype" w:cs="Palatino Linotype"/>
          <w:color w:val="0D0D0D"/>
          <w:lang w:eastAsia="es-MX"/>
        </w:rPr>
        <w:lastRenderedPageBreak/>
        <w:t xml:space="preserve">En ese sentido, del contraste entre el planteamiento formulado en la solicitud de información y las manifestaciones vertidas por </w:t>
      </w:r>
      <w:r w:rsidRPr="00AC739B">
        <w:rPr>
          <w:rFonts w:eastAsia="Palatino Linotype" w:cs="Palatino Linotype"/>
          <w:color w:val="000000"/>
          <w:lang w:eastAsia="es-MX"/>
        </w:rPr>
        <w:t>la persona</w:t>
      </w:r>
      <w:r w:rsidRPr="00AC739B">
        <w:rPr>
          <w:rFonts w:eastAsia="Palatino Linotype" w:cs="Palatino Linotype"/>
          <w:color w:val="0D0D0D"/>
          <w:lang w:eastAsia="es-MX"/>
        </w:rPr>
        <w:t xml:space="preserve"> Recurrente, a través de su escrito </w:t>
      </w:r>
      <w:proofErr w:type="spellStart"/>
      <w:r w:rsidRPr="00AC739B">
        <w:rPr>
          <w:rFonts w:eastAsia="Palatino Linotype" w:cs="Palatino Linotype"/>
          <w:color w:val="0D0D0D"/>
          <w:lang w:eastAsia="es-MX"/>
        </w:rPr>
        <w:t>recursal</w:t>
      </w:r>
      <w:proofErr w:type="spellEnd"/>
      <w:r w:rsidRPr="00AC739B">
        <w:rPr>
          <w:rFonts w:eastAsia="Palatino Linotype" w:cs="Palatino Linotype"/>
          <w:color w:val="0D0D0D"/>
          <w:lang w:eastAsia="es-MX"/>
        </w:rPr>
        <w:t xml:space="preserve">, se colige que a través de estos pretende obtener información diversa a la inicialmente requerida, pues en primera instancia requirió </w:t>
      </w:r>
      <w:r w:rsidR="000558EC" w:rsidRPr="00AC739B">
        <w:rPr>
          <w:rFonts w:eastAsia="Palatino Linotype" w:cs="Palatino Linotype"/>
          <w:color w:val="0D0D0D"/>
          <w:lang w:eastAsia="es-MX"/>
        </w:rPr>
        <w:t>el comprobante de pago y el estado que guarda la deuda</w:t>
      </w:r>
      <w:r w:rsidRPr="00AC739B">
        <w:rPr>
          <w:rFonts w:eastAsia="Palatino Linotype" w:cs="Palatino Linotype"/>
          <w:color w:val="0D0D0D"/>
          <w:lang w:eastAsia="es-MX"/>
        </w:rPr>
        <w:t xml:space="preserve">, y posteriormente </w:t>
      </w:r>
      <w:r w:rsidR="000558EC" w:rsidRPr="00AC739B">
        <w:rPr>
          <w:rFonts w:eastAsia="Palatino Linotype" w:cs="Palatino Linotype"/>
          <w:color w:val="0D0D0D"/>
          <w:lang w:eastAsia="es-MX"/>
        </w:rPr>
        <w:t>la fecha en que se realizará el pago de la deuda</w:t>
      </w:r>
      <w:r w:rsidRPr="00AC739B">
        <w:rPr>
          <w:rFonts w:eastAsia="Palatino Linotype" w:cs="Palatino Linotype"/>
          <w:color w:val="0D0D0D"/>
          <w:lang w:eastAsia="es-MX"/>
        </w:rPr>
        <w:t>.</w:t>
      </w:r>
    </w:p>
    <w:p w14:paraId="7C5A5F9E" w14:textId="77777777" w:rsidR="002F1D02" w:rsidRPr="00AC739B" w:rsidRDefault="002F1D02" w:rsidP="005032B4">
      <w:pPr>
        <w:spacing w:after="0" w:line="360" w:lineRule="auto"/>
        <w:rPr>
          <w:rFonts w:eastAsia="Palatino Linotype" w:cs="Palatino Linotype"/>
          <w:color w:val="0D0D0D"/>
          <w:lang w:eastAsia="es-MX"/>
        </w:rPr>
      </w:pPr>
    </w:p>
    <w:p w14:paraId="321320DE" w14:textId="77777777" w:rsidR="002F1D02" w:rsidRPr="00AC739B" w:rsidRDefault="002F1D02" w:rsidP="005032B4">
      <w:pPr>
        <w:spacing w:after="0" w:line="360" w:lineRule="auto"/>
        <w:rPr>
          <w:rFonts w:eastAsia="Palatino Linotype" w:cs="Palatino Linotype"/>
          <w:b/>
          <w:color w:val="0D0D0D"/>
          <w:lang w:eastAsia="es-MX"/>
        </w:rPr>
      </w:pPr>
      <w:r w:rsidRPr="00AC739B">
        <w:rPr>
          <w:rFonts w:eastAsia="Palatino Linotype" w:cs="Palatino Linotype"/>
          <w:color w:val="0D0D0D"/>
          <w:lang w:eastAsia="es-MX"/>
        </w:rPr>
        <w:t>En ese orden de ideas, dicha situación no puede constituir materia de estudio del presente Recurso de Revisión, debido a que las solicitudes de información deben ser apreciadas en los términos en que fueron planteadas originalmente ante el Sujeto Obligado,</w:t>
      </w:r>
      <w:r w:rsidRPr="00AC739B">
        <w:rPr>
          <w:rFonts w:eastAsia="Palatino Linotype" w:cs="Palatino Linotype"/>
          <w:b/>
          <w:color w:val="0D0D0D"/>
          <w:lang w:eastAsia="es-MX"/>
        </w:rPr>
        <w:t xml:space="preserve"> sin variar en el fondo la controversia, ni constituir un nuevo requerimiento informativo.</w:t>
      </w:r>
    </w:p>
    <w:p w14:paraId="22E0B0DA" w14:textId="77777777" w:rsidR="002F1D02" w:rsidRPr="00AC739B" w:rsidRDefault="002F1D02" w:rsidP="005032B4">
      <w:pPr>
        <w:spacing w:after="0" w:line="360" w:lineRule="auto"/>
        <w:rPr>
          <w:rFonts w:eastAsia="Palatino Linotype" w:cs="Palatino Linotype"/>
          <w:b/>
          <w:color w:val="0D0D0D"/>
          <w:lang w:eastAsia="es-MX"/>
        </w:rPr>
      </w:pPr>
    </w:p>
    <w:p w14:paraId="20ED6A9F" w14:textId="77777777" w:rsidR="002F1D02" w:rsidRPr="00AC739B" w:rsidRDefault="002F1D02" w:rsidP="005032B4">
      <w:pPr>
        <w:spacing w:after="0" w:line="360" w:lineRule="auto"/>
        <w:rPr>
          <w:rFonts w:eastAsia="Palatino Linotype" w:cs="Palatino Linotype"/>
          <w:color w:val="0D0D0D"/>
          <w:lang w:eastAsia="es-MX"/>
        </w:rPr>
      </w:pPr>
      <w:r w:rsidRPr="00AC739B">
        <w:rPr>
          <w:rFonts w:eastAsia="Palatino Linotype" w:cs="Palatino Linotype"/>
          <w:color w:val="0D0D0D"/>
          <w:lang w:eastAsia="es-MX"/>
        </w:rPr>
        <w:t>Al respecto, resulta pertinente citar, el Criterio de Interpretación, con clave de control, número SO/001/2017, de la Segunda Época, emitido por el Instituto Nacional de Transparencia, Acceso a la Información y Protección de Datos Personales, el cual indica que no resulta procedente ampliar vía recurso de revisión, las solicitudes de información:</w:t>
      </w:r>
    </w:p>
    <w:p w14:paraId="4F201DEB" w14:textId="77777777" w:rsidR="002F1D02" w:rsidRPr="00AC739B" w:rsidRDefault="002F1D02" w:rsidP="005032B4">
      <w:pPr>
        <w:spacing w:after="0" w:line="360" w:lineRule="auto"/>
        <w:rPr>
          <w:rFonts w:eastAsia="Palatino Linotype" w:cs="Palatino Linotype"/>
          <w:color w:val="0D0D0D"/>
          <w:lang w:eastAsia="es-MX"/>
        </w:rPr>
      </w:pPr>
    </w:p>
    <w:p w14:paraId="1E289724" w14:textId="77777777" w:rsidR="002F1D02" w:rsidRPr="00AC739B" w:rsidRDefault="002F1D02" w:rsidP="005032B4">
      <w:pPr>
        <w:spacing w:after="0" w:line="360" w:lineRule="auto"/>
        <w:ind w:left="567" w:right="567"/>
        <w:rPr>
          <w:rFonts w:eastAsia="Palatino Linotype" w:cs="Palatino Linotype"/>
          <w:i/>
          <w:color w:val="0D0D0D"/>
          <w:sz w:val="20"/>
          <w:szCs w:val="20"/>
          <w:lang w:eastAsia="es-MX"/>
        </w:rPr>
      </w:pPr>
      <w:r w:rsidRPr="00AC739B">
        <w:rPr>
          <w:rFonts w:eastAsia="Palatino Linotype" w:cs="Palatino Linotype"/>
          <w:b/>
          <w:i/>
          <w:color w:val="0D0D0D"/>
          <w:sz w:val="20"/>
          <w:szCs w:val="20"/>
          <w:lang w:eastAsia="es-MX"/>
        </w:rPr>
        <w:t xml:space="preserve">“Es improcedente ampliar las solicitudes de acceso a información, a través de la interposición del recurso de revisión. </w:t>
      </w:r>
      <w:r w:rsidRPr="00AC739B">
        <w:rPr>
          <w:rFonts w:eastAsia="Palatino Linotype" w:cs="Palatino Linotype"/>
          <w:i/>
          <w:color w:val="0D0D0D"/>
          <w:sz w:val="20"/>
          <w:szCs w:val="20"/>
          <w:lang w:eastAsia="es-MX"/>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163B0098" w14:textId="77777777" w:rsidR="002F1D02" w:rsidRPr="00AC739B" w:rsidRDefault="002F1D02" w:rsidP="005032B4">
      <w:pPr>
        <w:spacing w:after="0" w:line="360" w:lineRule="auto"/>
        <w:rPr>
          <w:rFonts w:eastAsia="Palatino Linotype" w:cs="Palatino Linotype"/>
          <w:color w:val="0D0D0D"/>
          <w:sz w:val="20"/>
          <w:szCs w:val="20"/>
          <w:lang w:eastAsia="es-MX"/>
        </w:rPr>
      </w:pPr>
    </w:p>
    <w:p w14:paraId="709289C1" w14:textId="77777777" w:rsidR="002F1D02" w:rsidRPr="00AC739B" w:rsidRDefault="002F1D02" w:rsidP="005032B4">
      <w:pPr>
        <w:spacing w:after="0" w:line="360" w:lineRule="auto"/>
        <w:rPr>
          <w:rFonts w:eastAsia="Palatino Linotype" w:cs="Palatino Linotype"/>
          <w:color w:val="0D0D0D"/>
          <w:lang w:eastAsia="es-MX"/>
        </w:rPr>
      </w:pPr>
      <w:r w:rsidRPr="00AC739B">
        <w:rPr>
          <w:rFonts w:eastAsia="Palatino Linotype" w:cs="Palatino Linotype"/>
          <w:color w:val="0D0D0D"/>
          <w:lang w:eastAsia="es-MX"/>
        </w:rPr>
        <w:t xml:space="preserve">Además, es importante señalar que el Recurso de Revisión no fue diseñado para impugnar cuestiones que no fueron objeto de la solicitud de información presentada inicialmente, pues de lo contrario tendría que analizarse dicho recurso a la luz de argumentos que no fueron del </w:t>
      </w:r>
      <w:r w:rsidRPr="00AC739B">
        <w:rPr>
          <w:rFonts w:eastAsia="Palatino Linotype" w:cs="Palatino Linotype"/>
          <w:color w:val="0D0D0D"/>
          <w:lang w:eastAsia="es-MX"/>
        </w:rPr>
        <w:lastRenderedPageBreak/>
        <w:t xml:space="preserve">conocimiento del Sujeto Obligado y, en consecuencia, no fueron comprendidos en la respuesta que se impugna. </w:t>
      </w:r>
    </w:p>
    <w:p w14:paraId="40BB9657" w14:textId="77777777" w:rsidR="002F1D02" w:rsidRPr="00AC739B" w:rsidRDefault="002F1D02" w:rsidP="005032B4">
      <w:pPr>
        <w:spacing w:after="0" w:line="360" w:lineRule="auto"/>
        <w:rPr>
          <w:rFonts w:eastAsia="Palatino Linotype" w:cs="Palatino Linotype"/>
          <w:color w:val="0D0D0D"/>
          <w:lang w:eastAsia="es-MX"/>
        </w:rPr>
      </w:pPr>
    </w:p>
    <w:p w14:paraId="778370BA" w14:textId="77777777" w:rsidR="002F1D02" w:rsidRPr="00AC739B" w:rsidRDefault="002F1D02" w:rsidP="005032B4">
      <w:pPr>
        <w:spacing w:after="0" w:line="360" w:lineRule="auto"/>
        <w:rPr>
          <w:rFonts w:eastAsia="Palatino Linotype" w:cs="Palatino Linotype"/>
          <w:color w:val="0D0D0D"/>
          <w:lang w:eastAsia="es-MX"/>
        </w:rPr>
      </w:pPr>
      <w:r w:rsidRPr="00AC739B">
        <w:rPr>
          <w:rFonts w:eastAsia="Palatino Linotype" w:cs="Palatino Linotype"/>
          <w:color w:val="0D0D0D"/>
          <w:lang w:eastAsia="es-MX"/>
        </w:rPr>
        <w:t xml:space="preserve">Por lo tanto, dado que en el Medio de Impugnación, la parte Recurrente al plantear su inconformidad, amplió parte de su solicitud, al requerir información diversa a la peticionada inicialmente, el Recurso de Revisión </w:t>
      </w:r>
      <w:r w:rsidRPr="00AC739B">
        <w:rPr>
          <w:rFonts w:eastAsia="Palatino Linotype" w:cs="Palatino Linotype"/>
          <w:b/>
          <w:color w:val="0D0D0D"/>
          <w:lang w:eastAsia="es-MX"/>
        </w:rPr>
        <w:t xml:space="preserve">actualiza la causal de </w:t>
      </w:r>
      <w:proofErr w:type="spellStart"/>
      <w:r w:rsidRPr="00AC739B">
        <w:rPr>
          <w:rFonts w:eastAsia="Palatino Linotype" w:cs="Palatino Linotype"/>
          <w:b/>
          <w:color w:val="0D0D0D"/>
          <w:lang w:eastAsia="es-MX"/>
        </w:rPr>
        <w:t>desechamiento</w:t>
      </w:r>
      <w:proofErr w:type="spellEnd"/>
      <w:r w:rsidRPr="00AC739B">
        <w:rPr>
          <w:rFonts w:eastAsia="Palatino Linotype" w:cs="Palatino Linotype"/>
          <w:b/>
          <w:color w:val="0D0D0D"/>
          <w:lang w:eastAsia="es-MX"/>
        </w:rPr>
        <w:t xml:space="preserve"> establecida en el artículo 191, fracción VII, de la Ley de Transparencia y Acceso a la Información Pública del Estado de México y Municipios, únicamente por lo que, hace a los nuevos requerimientos; </w:t>
      </w:r>
      <w:r w:rsidRPr="00AC739B">
        <w:rPr>
          <w:rFonts w:eastAsia="Palatino Linotype" w:cs="Palatino Linotype"/>
          <w:color w:val="0D0D0D"/>
          <w:lang w:eastAsia="es-MX"/>
        </w:rPr>
        <w:t xml:space="preserve"> no obstante toda vez que, fue necesario admitir el Recurso, en virtud de que </w:t>
      </w:r>
      <w:r w:rsidRPr="00AC739B">
        <w:rPr>
          <w:rFonts w:eastAsia="Palatino Linotype" w:cs="Palatino Linotype"/>
          <w:color w:val="000000"/>
          <w:lang w:eastAsia="es-MX"/>
        </w:rPr>
        <w:t>la persona</w:t>
      </w:r>
      <w:r w:rsidRPr="00AC739B">
        <w:rPr>
          <w:rFonts w:eastAsia="Palatino Linotype" w:cs="Palatino Linotype"/>
          <w:color w:val="0D0D0D"/>
          <w:lang w:eastAsia="es-MX"/>
        </w:rPr>
        <w:t xml:space="preserve"> Recurrente se inconformó de la inexistencia, lo procedente es </w:t>
      </w:r>
      <w:r w:rsidRPr="00AC739B">
        <w:rPr>
          <w:rFonts w:eastAsia="Palatino Linotype" w:cs="Palatino Linotype"/>
          <w:b/>
          <w:color w:val="0D0D0D"/>
          <w:lang w:eastAsia="es-MX"/>
        </w:rPr>
        <w:t xml:space="preserve">SOBRESEER PARCIALMENTE </w:t>
      </w:r>
      <w:r w:rsidRPr="00AC739B">
        <w:rPr>
          <w:rFonts w:eastAsia="Palatino Linotype" w:cs="Palatino Linotype"/>
          <w:color w:val="0D0D0D"/>
          <w:lang w:eastAsia="es-MX"/>
        </w:rPr>
        <w:t>el Recurso de Revisión, al actualizarse el supuesto previsto en el artículo 192, fracción IV, en relación con el diverso 186, fracción I, de ese ordenamiento legal.</w:t>
      </w:r>
    </w:p>
    <w:p w14:paraId="088889B5" w14:textId="77777777" w:rsidR="002F1D02" w:rsidRPr="00AC739B" w:rsidRDefault="002F1D02" w:rsidP="005032B4">
      <w:pPr>
        <w:spacing w:after="0" w:line="360" w:lineRule="auto"/>
        <w:rPr>
          <w:rFonts w:eastAsia="Palatino Linotype" w:cs="Palatino Linotype"/>
          <w:color w:val="0D0D0D"/>
          <w:lang w:eastAsia="es-MX"/>
        </w:rPr>
      </w:pPr>
    </w:p>
    <w:p w14:paraId="79179B39" w14:textId="77777777" w:rsidR="002F1D02" w:rsidRPr="00AC739B" w:rsidRDefault="002F1D02" w:rsidP="005032B4">
      <w:pPr>
        <w:spacing w:after="0" w:line="360" w:lineRule="auto"/>
        <w:rPr>
          <w:rFonts w:eastAsia="Palatino Linotype" w:cs="Palatino Linotype"/>
          <w:b/>
          <w:color w:val="auto"/>
          <w:lang w:eastAsia="es-MX"/>
        </w:rPr>
      </w:pPr>
      <w:r w:rsidRPr="00AC739B">
        <w:rPr>
          <w:rFonts w:eastAsia="Palatino Linotype" w:cs="Palatino Linotype"/>
          <w:color w:val="0D0D0D"/>
          <w:lang w:eastAsia="es-MX"/>
        </w:rPr>
        <w:t>En ese orden de ideas, toda vez que no ha quedado por completo sin materia el Recurso de Revisión, se considera procedente entrar al fondo del presente asunto, al no quedar sin materia.</w:t>
      </w:r>
    </w:p>
    <w:p w14:paraId="51FFF3D0" w14:textId="77777777" w:rsidR="00DB3DC5" w:rsidRPr="00AC739B" w:rsidRDefault="00DB3DC5" w:rsidP="005032B4">
      <w:pPr>
        <w:spacing w:after="0" w:line="360" w:lineRule="auto"/>
        <w:contextualSpacing/>
        <w:rPr>
          <w:rFonts w:eastAsia="Times New Roman" w:cs="Tahoma"/>
          <w:b/>
          <w:bCs/>
          <w:iCs/>
          <w:color w:val="auto"/>
          <w:lang w:val="es-ES" w:eastAsia="es-ES"/>
        </w:rPr>
      </w:pPr>
    </w:p>
    <w:p w14:paraId="633955FE" w14:textId="54B7B231" w:rsidR="00DB3DC5" w:rsidRPr="00AC739B" w:rsidRDefault="00DB3DC5" w:rsidP="005032B4">
      <w:pPr>
        <w:pStyle w:val="Ttulo2"/>
        <w:spacing w:before="0" w:line="360" w:lineRule="auto"/>
        <w:rPr>
          <w:rFonts w:ascii="Palatino Linotype" w:eastAsia="Times New Roman" w:hAnsi="Palatino Linotype"/>
          <w:b/>
          <w:color w:val="000000" w:themeColor="text1"/>
          <w:sz w:val="22"/>
          <w:szCs w:val="22"/>
          <w:lang w:val="es-ES" w:eastAsia="es-ES"/>
        </w:rPr>
      </w:pPr>
      <w:bookmarkStart w:id="17" w:name="_Toc189757367"/>
      <w:r w:rsidRPr="00AC739B">
        <w:rPr>
          <w:rFonts w:ascii="Palatino Linotype" w:eastAsia="Times New Roman" w:hAnsi="Palatino Linotype"/>
          <w:b/>
          <w:color w:val="000000" w:themeColor="text1"/>
          <w:sz w:val="22"/>
          <w:szCs w:val="22"/>
          <w:lang w:val="es-ES" w:eastAsia="es-ES"/>
        </w:rPr>
        <w:t>TERCERO. De</w:t>
      </w:r>
      <w:r w:rsidR="00076681" w:rsidRPr="00AC739B">
        <w:rPr>
          <w:rFonts w:ascii="Palatino Linotype" w:eastAsia="Times New Roman" w:hAnsi="Palatino Linotype"/>
          <w:b/>
          <w:color w:val="000000" w:themeColor="text1"/>
          <w:sz w:val="22"/>
          <w:szCs w:val="22"/>
          <w:lang w:val="es-ES" w:eastAsia="es-ES"/>
        </w:rPr>
        <w:t>terminación de la Controversia</w:t>
      </w:r>
      <w:bookmarkEnd w:id="17"/>
    </w:p>
    <w:p w14:paraId="29A4CC8A" w14:textId="77777777" w:rsidR="00DB3DC5" w:rsidRPr="00AC739B" w:rsidRDefault="00DB3DC5" w:rsidP="005032B4">
      <w:pPr>
        <w:autoSpaceDE w:val="0"/>
        <w:autoSpaceDN w:val="0"/>
        <w:adjustRightInd w:val="0"/>
        <w:spacing w:after="0" w:line="360" w:lineRule="auto"/>
        <w:contextualSpacing/>
        <w:rPr>
          <w:rFonts w:eastAsia="Calibri" w:cs="Tahoma"/>
          <w:color w:val="FF0000"/>
          <w:lang w:val="es-ES" w:eastAsia="es-MX"/>
        </w:rPr>
      </w:pPr>
    </w:p>
    <w:p w14:paraId="0C864300" w14:textId="122ABC18" w:rsidR="00FD19DD" w:rsidRPr="00AC739B" w:rsidRDefault="00D0244F" w:rsidP="005032B4">
      <w:pPr>
        <w:spacing w:after="0" w:line="360" w:lineRule="auto"/>
        <w:rPr>
          <w:rFonts w:cs="Tahoma"/>
          <w:color w:val="auto"/>
        </w:rPr>
      </w:pPr>
      <w:r w:rsidRPr="00AC739B">
        <w:rPr>
          <w:rFonts w:eastAsia="Calibri" w:cs="Tahoma"/>
          <w:iCs/>
          <w:color w:val="auto"/>
          <w:lang w:val="es-ES" w:eastAsia="es-ES_tradnl"/>
        </w:rPr>
        <w:t xml:space="preserve">Una vez realizado el estudio de las constancias que integran el expediente en que se actúa, se desprende </w:t>
      </w:r>
      <w:r w:rsidRPr="00AC739B">
        <w:rPr>
          <w:rFonts w:cs="Tahoma"/>
          <w:color w:val="auto"/>
        </w:rPr>
        <w:t xml:space="preserve">que el Recurrente </w:t>
      </w:r>
      <w:r w:rsidR="001E59AF" w:rsidRPr="00AC739B">
        <w:rPr>
          <w:rFonts w:cs="Tahoma"/>
          <w:color w:val="auto"/>
        </w:rPr>
        <w:t xml:space="preserve">requirió </w:t>
      </w:r>
      <w:r w:rsidR="00BC29F2" w:rsidRPr="00AC739B">
        <w:rPr>
          <w:rFonts w:cs="Tahoma"/>
          <w:color w:val="auto"/>
        </w:rPr>
        <w:t xml:space="preserve">el comprobante de pago del adeudo con el Sistema de Radio y Televisión Mexiquense por la cantidad de seiscientos veinticinco </w:t>
      </w:r>
      <w:r w:rsidR="008E4ACC" w:rsidRPr="00AC739B">
        <w:rPr>
          <w:rFonts w:cs="Tahoma"/>
          <w:color w:val="auto"/>
        </w:rPr>
        <w:t>mil pesos</w:t>
      </w:r>
      <w:r w:rsidR="00BC29F2" w:rsidRPr="00AC739B">
        <w:rPr>
          <w:rFonts w:cs="Tahoma"/>
          <w:color w:val="auto"/>
        </w:rPr>
        <w:t xml:space="preserve"> establecido en el Estado Analítico de la Deuda y Otros </w:t>
      </w:r>
      <w:r w:rsidR="008E4ACC" w:rsidRPr="00AC739B">
        <w:rPr>
          <w:rFonts w:cs="Tahoma"/>
          <w:color w:val="auto"/>
        </w:rPr>
        <w:t>Pasivos, del primero</w:t>
      </w:r>
      <w:r w:rsidR="00BC29F2" w:rsidRPr="00AC739B">
        <w:rPr>
          <w:rFonts w:cs="Tahoma"/>
          <w:color w:val="auto"/>
        </w:rPr>
        <w:t xml:space="preserve"> de enero al treinta y uno de diciembre de dos mil veintiuno y el estado que guarda el adeudo al seis de diciembre de dos mil veinticuatro. </w:t>
      </w:r>
    </w:p>
    <w:p w14:paraId="6ACC4ED2" w14:textId="77777777" w:rsidR="00F87269" w:rsidRPr="00AC739B" w:rsidRDefault="00F87269" w:rsidP="005032B4">
      <w:pPr>
        <w:spacing w:after="0" w:line="360" w:lineRule="auto"/>
        <w:rPr>
          <w:rFonts w:cs="Tahoma"/>
          <w:color w:val="auto"/>
        </w:rPr>
      </w:pPr>
    </w:p>
    <w:p w14:paraId="71EA3622" w14:textId="42D83E40" w:rsidR="00B456E9" w:rsidRPr="00AC739B" w:rsidRDefault="00D0244F" w:rsidP="005032B4">
      <w:pPr>
        <w:spacing w:after="0" w:line="360" w:lineRule="auto"/>
        <w:ind w:right="-28"/>
        <w:rPr>
          <w:rFonts w:eastAsia="Calibri" w:cs="Tahoma"/>
          <w:color w:val="auto"/>
        </w:rPr>
      </w:pPr>
      <w:r w:rsidRPr="00AC739B">
        <w:rPr>
          <w:rFonts w:cs="Tahoma"/>
          <w:bCs/>
          <w:iCs/>
          <w:color w:val="auto"/>
          <w:lang w:val="es-ES"/>
        </w:rPr>
        <w:lastRenderedPageBreak/>
        <w:t xml:space="preserve">En respuesta, el Sujeto Obligado, por medio de </w:t>
      </w:r>
      <w:r w:rsidR="001E59AF" w:rsidRPr="00AC739B">
        <w:rPr>
          <w:rFonts w:cs="Tahoma"/>
          <w:bCs/>
          <w:iCs/>
          <w:color w:val="auto"/>
          <w:lang w:val="es-ES"/>
        </w:rPr>
        <w:t xml:space="preserve">la </w:t>
      </w:r>
      <w:r w:rsidR="00BC29F2" w:rsidRPr="00AC739B">
        <w:rPr>
          <w:rFonts w:cs="Tahoma"/>
          <w:bCs/>
          <w:iCs/>
          <w:color w:val="auto"/>
          <w:lang w:val="es-ES"/>
        </w:rPr>
        <w:t>Tesorería Municipal</w:t>
      </w:r>
      <w:r w:rsidR="00F532E9" w:rsidRPr="00AC739B">
        <w:rPr>
          <w:rFonts w:cs="Tahoma"/>
          <w:bCs/>
          <w:iCs/>
          <w:color w:val="auto"/>
          <w:lang w:val="es-ES"/>
        </w:rPr>
        <w:t xml:space="preserve"> </w:t>
      </w:r>
      <w:r w:rsidR="00BC29F2" w:rsidRPr="00AC739B">
        <w:rPr>
          <w:rFonts w:cs="Tahoma"/>
          <w:bCs/>
          <w:iCs/>
          <w:color w:val="auto"/>
          <w:lang w:val="es-ES"/>
        </w:rPr>
        <w:t xml:space="preserve">precisó que  no se encontró información relacionada con el comprobante de pago solicitado y que en relación al estado que guarda el adeudo </w:t>
      </w:r>
      <w:r w:rsidR="007F30B4" w:rsidRPr="00AC739B">
        <w:rPr>
          <w:rFonts w:cs="Tahoma"/>
          <w:bCs/>
          <w:iCs/>
          <w:color w:val="auto"/>
          <w:lang w:val="es-ES"/>
        </w:rPr>
        <w:t>remitió el Estado Analítico de Deuda y Otros Pasivos, correspondiente al mes de septiembre de dos mil veinticuatro y precisó que cuenta con la información de manera general y no manera específica</w:t>
      </w:r>
      <w:r w:rsidR="00914B0A" w:rsidRPr="00AC739B">
        <w:rPr>
          <w:rFonts w:cs="Tahoma"/>
          <w:color w:val="auto"/>
          <w:lang w:val="es-ES"/>
        </w:rPr>
        <w:t xml:space="preserve">; ante dicha circunstancia, </w:t>
      </w:r>
      <w:r w:rsidRPr="00AC739B">
        <w:rPr>
          <w:rFonts w:cs="Tahoma"/>
          <w:color w:val="auto"/>
          <w:lang w:val="es-ES"/>
        </w:rPr>
        <w:t xml:space="preserve">el Particular se inconformó de </w:t>
      </w:r>
      <w:r w:rsidR="003E5ADD" w:rsidRPr="00AC739B">
        <w:rPr>
          <w:rFonts w:cs="Tahoma"/>
          <w:color w:val="auto"/>
          <w:lang w:val="es-ES"/>
        </w:rPr>
        <w:t>la</w:t>
      </w:r>
      <w:r w:rsidR="00394286" w:rsidRPr="00AC739B">
        <w:rPr>
          <w:rFonts w:cs="Tahoma"/>
          <w:color w:val="auto"/>
          <w:lang w:val="es-ES"/>
        </w:rPr>
        <w:t xml:space="preserve"> declaración de inexistencia de la información y </w:t>
      </w:r>
      <w:r w:rsidR="007F30B4" w:rsidRPr="00AC739B">
        <w:rPr>
          <w:rFonts w:cs="Tahoma"/>
          <w:color w:val="auto"/>
          <w:lang w:val="es-ES"/>
        </w:rPr>
        <w:t>que no corresponde con lo solicitado</w:t>
      </w:r>
      <w:r w:rsidR="00FD19DD" w:rsidRPr="00AC739B">
        <w:rPr>
          <w:rFonts w:cs="Tahoma"/>
          <w:color w:val="auto"/>
          <w:lang w:val="es-ES"/>
        </w:rPr>
        <w:t xml:space="preserve">, al señalar </w:t>
      </w:r>
      <w:r w:rsidR="00394286" w:rsidRPr="00AC739B">
        <w:rPr>
          <w:rFonts w:cs="Tahoma"/>
          <w:color w:val="auto"/>
          <w:lang w:val="es-ES"/>
        </w:rPr>
        <w:t xml:space="preserve">la negativa de información y </w:t>
      </w:r>
      <w:r w:rsidR="00251B33" w:rsidRPr="00AC739B">
        <w:rPr>
          <w:rFonts w:cs="Tahoma"/>
          <w:color w:val="auto"/>
          <w:lang w:val="es-ES"/>
        </w:rPr>
        <w:t>que la respuesta no cumplía con lo solicitado</w:t>
      </w:r>
      <w:r w:rsidR="003E5ADD" w:rsidRPr="00AC739B">
        <w:rPr>
          <w:rFonts w:cs="Tahoma"/>
          <w:color w:val="auto"/>
          <w:lang w:val="es-ES"/>
        </w:rPr>
        <w:t xml:space="preserve">, </w:t>
      </w:r>
      <w:r w:rsidRPr="00AC739B">
        <w:rPr>
          <w:rFonts w:cs="Tahoma"/>
          <w:color w:val="auto"/>
          <w:lang w:val="es-ES"/>
        </w:rPr>
        <w:t>lo cual,</w:t>
      </w:r>
      <w:r w:rsidRPr="00AC739B">
        <w:rPr>
          <w:rFonts w:eastAsia="Calibri" w:cs="Tahoma"/>
          <w:color w:val="auto"/>
        </w:rPr>
        <w:t xml:space="preserve"> actualiza la</w:t>
      </w:r>
      <w:r w:rsidR="00394286" w:rsidRPr="00AC739B">
        <w:rPr>
          <w:rFonts w:eastAsia="Calibri" w:cs="Tahoma"/>
          <w:color w:val="auto"/>
        </w:rPr>
        <w:t>s</w:t>
      </w:r>
      <w:r w:rsidRPr="00AC739B">
        <w:rPr>
          <w:rFonts w:eastAsia="Calibri" w:cs="Tahoma"/>
          <w:color w:val="auto"/>
        </w:rPr>
        <w:t xml:space="preserve"> causal</w:t>
      </w:r>
      <w:r w:rsidR="00394286" w:rsidRPr="00AC739B">
        <w:rPr>
          <w:rFonts w:eastAsia="Calibri" w:cs="Tahoma"/>
          <w:color w:val="auto"/>
        </w:rPr>
        <w:t>es</w:t>
      </w:r>
      <w:r w:rsidRPr="00AC739B">
        <w:rPr>
          <w:rFonts w:eastAsia="Calibri" w:cs="Tahoma"/>
          <w:color w:val="auto"/>
        </w:rPr>
        <w:t xml:space="preserve"> de procedencia prevista</w:t>
      </w:r>
      <w:r w:rsidR="00394286" w:rsidRPr="00AC739B">
        <w:rPr>
          <w:rFonts w:eastAsia="Calibri" w:cs="Tahoma"/>
          <w:color w:val="auto"/>
        </w:rPr>
        <w:t>s</w:t>
      </w:r>
      <w:r w:rsidRPr="00AC739B">
        <w:rPr>
          <w:rFonts w:eastAsia="Calibri" w:cs="Tahoma"/>
          <w:color w:val="auto"/>
        </w:rPr>
        <w:t xml:space="preserve"> en la</w:t>
      </w:r>
      <w:r w:rsidR="00394286" w:rsidRPr="00AC739B">
        <w:rPr>
          <w:rFonts w:eastAsia="Calibri" w:cs="Tahoma"/>
          <w:color w:val="auto"/>
        </w:rPr>
        <w:t>s</w:t>
      </w:r>
      <w:r w:rsidRPr="00AC739B">
        <w:rPr>
          <w:rFonts w:eastAsia="Calibri" w:cs="Tahoma"/>
          <w:color w:val="auto"/>
        </w:rPr>
        <w:t xml:space="preserve"> fracc</w:t>
      </w:r>
      <w:r w:rsidR="00394286" w:rsidRPr="00AC739B">
        <w:rPr>
          <w:rFonts w:eastAsia="Calibri" w:cs="Tahoma"/>
          <w:color w:val="auto"/>
        </w:rPr>
        <w:t>iones III y</w:t>
      </w:r>
      <w:r w:rsidRPr="00AC739B">
        <w:rPr>
          <w:rFonts w:eastAsia="Calibri" w:cs="Tahoma"/>
          <w:color w:val="auto"/>
        </w:rPr>
        <w:t xml:space="preserve"> </w:t>
      </w:r>
      <w:r w:rsidR="003E5ADD" w:rsidRPr="00AC739B">
        <w:rPr>
          <w:rFonts w:eastAsia="Calibri" w:cs="Tahoma"/>
          <w:color w:val="auto"/>
        </w:rPr>
        <w:t>V</w:t>
      </w:r>
      <w:r w:rsidR="00914B0A" w:rsidRPr="00AC739B">
        <w:rPr>
          <w:rFonts w:eastAsia="Calibri" w:cs="Tahoma"/>
          <w:color w:val="auto"/>
        </w:rPr>
        <w:t>I</w:t>
      </w:r>
      <w:r w:rsidR="003E5ADD" w:rsidRPr="00AC739B">
        <w:rPr>
          <w:rFonts w:eastAsia="Calibri" w:cs="Tahoma"/>
          <w:color w:val="auto"/>
        </w:rPr>
        <w:t xml:space="preserve">, </w:t>
      </w:r>
      <w:r w:rsidRPr="00AC739B">
        <w:rPr>
          <w:rFonts w:eastAsia="Calibri" w:cs="Tahoma"/>
          <w:color w:val="auto"/>
        </w:rPr>
        <w:t>del artículo 179 de la Ley de Transparencia y Acceso a la Información Pública del Estado de México y Municipios.</w:t>
      </w:r>
      <w:r w:rsidR="00914B0A" w:rsidRPr="00AC739B">
        <w:rPr>
          <w:rFonts w:eastAsia="Calibri" w:cs="Tahoma"/>
          <w:color w:val="auto"/>
        </w:rPr>
        <w:t xml:space="preserve"> Así las cosas, una vez admitido y notificado el Recurso de Revisión a las partes, </w:t>
      </w:r>
      <w:r w:rsidR="001C73BA" w:rsidRPr="00AC739B">
        <w:rPr>
          <w:rFonts w:eastAsia="Calibri" w:cs="Tahoma"/>
          <w:color w:val="auto"/>
        </w:rPr>
        <w:t>el Sujeto Obligado ratificó su respuesta</w:t>
      </w:r>
      <w:r w:rsidR="008E4ACC" w:rsidRPr="00AC739B">
        <w:rPr>
          <w:rFonts w:eastAsia="Calibri" w:cs="Tahoma"/>
          <w:color w:val="auto"/>
        </w:rPr>
        <w:t xml:space="preserve"> primigenia.</w:t>
      </w:r>
      <w:r w:rsidR="001C73BA" w:rsidRPr="00AC739B">
        <w:rPr>
          <w:rFonts w:eastAsia="Calibri" w:cs="Tahoma"/>
          <w:color w:val="auto"/>
        </w:rPr>
        <w:t xml:space="preserve"> </w:t>
      </w:r>
      <w:r w:rsidR="00251B33" w:rsidRPr="00AC739B">
        <w:rPr>
          <w:rFonts w:eastAsia="Calibri" w:cs="Tahoma"/>
          <w:color w:val="auto"/>
        </w:rPr>
        <w:t xml:space="preserve"> </w:t>
      </w:r>
    </w:p>
    <w:p w14:paraId="6CBAEA4E" w14:textId="1D61BEF2" w:rsidR="00E73B06" w:rsidRPr="00AC739B" w:rsidRDefault="00E73B06" w:rsidP="005032B4">
      <w:pPr>
        <w:spacing w:after="0" w:line="360" w:lineRule="auto"/>
        <w:ind w:right="-28"/>
        <w:rPr>
          <w:rFonts w:cs="Tahoma"/>
          <w:bCs/>
          <w:iCs/>
          <w:color w:val="auto"/>
          <w:lang w:val="es-ES"/>
        </w:rPr>
      </w:pPr>
    </w:p>
    <w:p w14:paraId="3A6521F2" w14:textId="523B39A8" w:rsidR="00DB3DC5" w:rsidRPr="00AC739B" w:rsidRDefault="00DB3DC5" w:rsidP="005032B4">
      <w:pPr>
        <w:tabs>
          <w:tab w:val="left" w:pos="4962"/>
        </w:tabs>
        <w:spacing w:after="0" w:line="360" w:lineRule="auto"/>
        <w:contextualSpacing/>
        <w:rPr>
          <w:rFonts w:eastAsia="Calibri" w:cs="Tahoma"/>
          <w:bCs/>
          <w:color w:val="auto"/>
          <w:szCs w:val="24"/>
        </w:rPr>
      </w:pPr>
      <w:r w:rsidRPr="00AC739B">
        <w:rPr>
          <w:rFonts w:eastAsia="Calibri" w:cs="Tahoma"/>
          <w:iCs/>
          <w:color w:val="auto"/>
          <w:lang w:val="es-ES" w:eastAsia="es-ES_tradnl"/>
        </w:rPr>
        <w:t>Lo anterior, se desprende de las documentales que obran en el expediente de referencia, materia de la presente resolución, consistente en: la solicitud de acceso a la información</w:t>
      </w:r>
      <w:r w:rsidR="00914B0A" w:rsidRPr="00AC739B">
        <w:rPr>
          <w:rFonts w:eastAsia="Calibri" w:cs="Tahoma"/>
          <w:iCs/>
          <w:color w:val="auto"/>
          <w:lang w:val="es-ES" w:eastAsia="es-ES_tradnl"/>
        </w:rPr>
        <w:t>, la respuesta</w:t>
      </w:r>
      <w:r w:rsidR="001C73BA" w:rsidRPr="00AC739B">
        <w:rPr>
          <w:rFonts w:eastAsia="Calibri" w:cs="Tahoma"/>
          <w:iCs/>
          <w:color w:val="auto"/>
          <w:lang w:val="es-ES" w:eastAsia="es-ES_tradnl"/>
        </w:rPr>
        <w:t xml:space="preserve">, </w:t>
      </w:r>
      <w:r w:rsidRPr="00AC739B">
        <w:rPr>
          <w:rFonts w:eastAsia="Calibri" w:cs="Tahoma"/>
          <w:iCs/>
          <w:color w:val="auto"/>
          <w:lang w:eastAsia="es-ES_tradnl"/>
        </w:rPr>
        <w:t xml:space="preserve">el escrito </w:t>
      </w:r>
      <w:proofErr w:type="spellStart"/>
      <w:r w:rsidRPr="00AC739B">
        <w:rPr>
          <w:rFonts w:eastAsia="Calibri" w:cs="Tahoma"/>
          <w:iCs/>
          <w:color w:val="auto"/>
          <w:lang w:eastAsia="es-ES_tradnl"/>
        </w:rPr>
        <w:t>recursal</w:t>
      </w:r>
      <w:proofErr w:type="spellEnd"/>
      <w:r w:rsidR="001C73BA" w:rsidRPr="00AC739B">
        <w:rPr>
          <w:rFonts w:eastAsia="Calibri" w:cs="Tahoma"/>
          <w:iCs/>
          <w:color w:val="auto"/>
          <w:lang w:eastAsia="es-ES_tradnl"/>
        </w:rPr>
        <w:t xml:space="preserve"> y el Informe con Justificación</w:t>
      </w:r>
      <w:r w:rsidRPr="00AC739B">
        <w:rPr>
          <w:rFonts w:eastAsia="Calibri" w:cs="Tahoma"/>
          <w:iCs/>
          <w:color w:val="auto"/>
          <w:lang w:eastAsia="es-ES_tradnl"/>
        </w:rPr>
        <w:t xml:space="preserve">; </w:t>
      </w:r>
      <w:r w:rsidRPr="00AC739B">
        <w:rPr>
          <w:rFonts w:eastAsia="Calibri" w:cs="Tahoma"/>
          <w:bCs/>
          <w:color w:val="auto"/>
          <w:szCs w:val="24"/>
        </w:rPr>
        <w:t>instrumentales que se toman en cuenta a efecto de resolver el presente medio de impugnación, conforme a lo dispuesto por el artículo 185, fracción IV, de la Ley de Transparencia y Acceso a la Información Pública del Estado de México y Municipios.</w:t>
      </w:r>
    </w:p>
    <w:p w14:paraId="54D41AE7" w14:textId="77777777" w:rsidR="00DB3DC5" w:rsidRPr="00AC739B" w:rsidRDefault="00DB3DC5" w:rsidP="005032B4">
      <w:pPr>
        <w:autoSpaceDE w:val="0"/>
        <w:autoSpaceDN w:val="0"/>
        <w:adjustRightInd w:val="0"/>
        <w:spacing w:after="0" w:line="360" w:lineRule="auto"/>
        <w:contextualSpacing/>
        <w:rPr>
          <w:rFonts w:eastAsia="Times New Roman" w:cs="Tahoma"/>
          <w:b/>
          <w:bCs/>
          <w:iCs/>
          <w:color w:val="auto"/>
          <w:lang w:val="es-ES" w:eastAsia="es-ES"/>
        </w:rPr>
      </w:pPr>
    </w:p>
    <w:p w14:paraId="6818EF86" w14:textId="7240494C" w:rsidR="00DB3DC5" w:rsidRPr="00AC739B" w:rsidRDefault="00DB3DC5" w:rsidP="005032B4">
      <w:pPr>
        <w:pStyle w:val="Ttulo2"/>
        <w:spacing w:before="0" w:line="360" w:lineRule="auto"/>
        <w:rPr>
          <w:rFonts w:ascii="Palatino Linotype" w:eastAsia="Times New Roman" w:hAnsi="Palatino Linotype"/>
          <w:b/>
          <w:color w:val="000000" w:themeColor="text1"/>
          <w:sz w:val="22"/>
          <w:szCs w:val="22"/>
          <w:lang w:eastAsia="es-ES"/>
        </w:rPr>
      </w:pPr>
      <w:bookmarkStart w:id="18" w:name="_Toc189757368"/>
      <w:r w:rsidRPr="00AC739B">
        <w:rPr>
          <w:rFonts w:ascii="Palatino Linotype" w:eastAsia="Times New Roman" w:hAnsi="Palatino Linotype"/>
          <w:b/>
          <w:color w:val="000000" w:themeColor="text1"/>
          <w:sz w:val="22"/>
          <w:szCs w:val="22"/>
          <w:lang w:val="es-ES" w:eastAsia="es-ES"/>
        </w:rPr>
        <w:t xml:space="preserve">CUARTO. </w:t>
      </w:r>
      <w:r w:rsidRPr="00AC739B">
        <w:rPr>
          <w:rFonts w:ascii="Palatino Linotype" w:eastAsia="Times New Roman" w:hAnsi="Palatino Linotype"/>
          <w:b/>
          <w:color w:val="000000" w:themeColor="text1"/>
          <w:sz w:val="22"/>
          <w:szCs w:val="22"/>
          <w:lang w:eastAsia="es-ES"/>
        </w:rPr>
        <w:t xml:space="preserve">Marco normativo aplicable en materia de transparencia y </w:t>
      </w:r>
      <w:r w:rsidR="00076681" w:rsidRPr="00AC739B">
        <w:rPr>
          <w:rFonts w:ascii="Palatino Linotype" w:eastAsia="Times New Roman" w:hAnsi="Palatino Linotype"/>
          <w:b/>
          <w:color w:val="000000" w:themeColor="text1"/>
          <w:sz w:val="22"/>
          <w:szCs w:val="22"/>
          <w:lang w:eastAsia="es-ES"/>
        </w:rPr>
        <w:t>acceso a la información pública</w:t>
      </w:r>
      <w:bookmarkEnd w:id="18"/>
    </w:p>
    <w:p w14:paraId="1FA9DF31" w14:textId="77777777" w:rsidR="00DB3DC5" w:rsidRPr="00AC739B" w:rsidRDefault="00DB3DC5" w:rsidP="005032B4">
      <w:pPr>
        <w:autoSpaceDE w:val="0"/>
        <w:autoSpaceDN w:val="0"/>
        <w:adjustRightInd w:val="0"/>
        <w:spacing w:after="0" w:line="360" w:lineRule="auto"/>
        <w:contextualSpacing/>
        <w:rPr>
          <w:rFonts w:eastAsia="Times New Roman" w:cs="Tahoma"/>
          <w:bCs/>
          <w:iCs/>
          <w:color w:val="FF0000"/>
          <w:lang w:val="es-ES" w:eastAsia="es-ES"/>
        </w:rPr>
      </w:pPr>
    </w:p>
    <w:p w14:paraId="52E429C6" w14:textId="77777777" w:rsidR="00DB3DC5" w:rsidRPr="00AC739B" w:rsidRDefault="00DB3DC5" w:rsidP="005032B4">
      <w:pPr>
        <w:spacing w:after="0" w:line="360" w:lineRule="auto"/>
        <w:contextualSpacing/>
        <w:rPr>
          <w:rFonts w:eastAsia="Times New Roman" w:cs="Tahoma"/>
          <w:bCs/>
          <w:iCs/>
          <w:color w:val="auto"/>
          <w:lang w:eastAsia="es-ES"/>
        </w:rPr>
      </w:pPr>
      <w:r w:rsidRPr="00AC739B">
        <w:rPr>
          <w:rFonts w:eastAsia="Times New Roman" w:cs="Tahoma"/>
          <w:bCs/>
          <w:iCs/>
          <w:color w:val="auto"/>
          <w:lang w:eastAsia="es-ES"/>
        </w:rPr>
        <w:t xml:space="preserve">El artículo 6°, Apartado A), fracción I de la Constitución Política de los Estados Unidos Mexicanos, establece que toda la información en posesión de cualquier </w:t>
      </w:r>
      <w:proofErr w:type="gramStart"/>
      <w:r w:rsidRPr="00AC739B">
        <w:rPr>
          <w:rFonts w:eastAsia="Times New Roman" w:cs="Tahoma"/>
          <w:bCs/>
          <w:iCs/>
          <w:color w:val="auto"/>
          <w:lang w:eastAsia="es-ES"/>
        </w:rPr>
        <w:t>autoridad,</w:t>
      </w:r>
      <w:proofErr w:type="gramEnd"/>
      <w:r w:rsidRPr="00AC739B">
        <w:rPr>
          <w:rFonts w:eastAsia="Times New Roman" w:cs="Tahoma"/>
          <w:bCs/>
          <w:iCs/>
          <w:color w:val="auto"/>
          <w:lang w:eastAsia="es-ES"/>
        </w:rPr>
        <w:t xml:space="preserve"> es pública y sólo podrá ser reservada temporalmente por razones de interés público.</w:t>
      </w:r>
    </w:p>
    <w:p w14:paraId="16237C01" w14:textId="77777777" w:rsidR="00DB3DC5" w:rsidRPr="00AC739B" w:rsidRDefault="00DB3DC5" w:rsidP="005032B4">
      <w:pPr>
        <w:spacing w:after="0" w:line="360" w:lineRule="auto"/>
        <w:contextualSpacing/>
        <w:rPr>
          <w:rFonts w:eastAsia="Times New Roman" w:cs="Tahoma"/>
          <w:bCs/>
          <w:iCs/>
          <w:color w:val="auto"/>
          <w:lang w:eastAsia="es-ES"/>
        </w:rPr>
      </w:pPr>
    </w:p>
    <w:p w14:paraId="6A58FB7E" w14:textId="77777777" w:rsidR="00DB3DC5" w:rsidRPr="00AC739B" w:rsidRDefault="00DB3DC5" w:rsidP="005032B4">
      <w:pPr>
        <w:spacing w:after="0" w:line="360" w:lineRule="auto"/>
        <w:contextualSpacing/>
        <w:rPr>
          <w:rFonts w:eastAsia="Times New Roman" w:cs="Tahoma"/>
          <w:bCs/>
          <w:iCs/>
          <w:color w:val="auto"/>
          <w:lang w:eastAsia="es-ES"/>
        </w:rPr>
      </w:pPr>
      <w:r w:rsidRPr="00AC739B">
        <w:rPr>
          <w:rFonts w:eastAsia="Times New Roman" w:cs="Tahoma"/>
          <w:bCs/>
          <w:iCs/>
          <w:color w:val="auto"/>
          <w:lang w:eastAsia="es-ES"/>
        </w:rPr>
        <w:lastRenderedPageBreak/>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72B4F566" w14:textId="77777777" w:rsidR="00DB3DC5" w:rsidRPr="00AC739B" w:rsidRDefault="00DB3DC5" w:rsidP="005032B4">
      <w:pPr>
        <w:spacing w:after="0" w:line="360" w:lineRule="auto"/>
        <w:contextualSpacing/>
        <w:rPr>
          <w:rFonts w:eastAsia="Times New Roman" w:cs="Tahoma"/>
          <w:bCs/>
          <w:iCs/>
          <w:color w:val="auto"/>
          <w:lang w:eastAsia="es-ES"/>
        </w:rPr>
      </w:pPr>
    </w:p>
    <w:p w14:paraId="23374816" w14:textId="77777777" w:rsidR="00DB3DC5" w:rsidRPr="00AC739B" w:rsidRDefault="00DB3DC5" w:rsidP="005032B4">
      <w:pPr>
        <w:spacing w:after="0" w:line="360" w:lineRule="auto"/>
        <w:contextualSpacing/>
        <w:rPr>
          <w:rFonts w:eastAsia="Times New Roman" w:cs="Tahoma"/>
          <w:bCs/>
          <w:iCs/>
          <w:color w:val="auto"/>
          <w:lang w:eastAsia="es-ES"/>
        </w:rPr>
      </w:pPr>
      <w:r w:rsidRPr="00AC739B">
        <w:rPr>
          <w:rFonts w:eastAsia="Times New Roman" w:cs="Tahoma"/>
          <w:bCs/>
          <w:iCs/>
          <w:color w:val="auto"/>
          <w:lang w:eastAsia="es-ES"/>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AD53B8D" w14:textId="77777777" w:rsidR="00DB3DC5" w:rsidRPr="00AC739B" w:rsidRDefault="00DB3DC5" w:rsidP="005032B4">
      <w:pPr>
        <w:spacing w:after="0" w:line="360" w:lineRule="auto"/>
        <w:contextualSpacing/>
        <w:rPr>
          <w:rFonts w:eastAsia="Times New Roman" w:cs="Tahoma"/>
          <w:bCs/>
          <w:iCs/>
          <w:color w:val="auto"/>
          <w:lang w:eastAsia="es-ES"/>
        </w:rPr>
      </w:pPr>
    </w:p>
    <w:p w14:paraId="015A559C" w14:textId="77777777" w:rsidR="00DB3DC5" w:rsidRPr="00AC739B" w:rsidRDefault="00DB3DC5" w:rsidP="005032B4">
      <w:pPr>
        <w:spacing w:after="0" w:line="360" w:lineRule="auto"/>
        <w:contextualSpacing/>
        <w:rPr>
          <w:rFonts w:eastAsia="Times New Roman" w:cs="Tahoma"/>
          <w:bCs/>
          <w:iCs/>
          <w:color w:val="auto"/>
          <w:lang w:eastAsia="es-ES"/>
        </w:rPr>
      </w:pPr>
      <w:r w:rsidRPr="00AC739B">
        <w:rPr>
          <w:rFonts w:eastAsia="Times New Roman" w:cs="Tahoma"/>
          <w:bCs/>
          <w:iCs/>
          <w:color w:val="auto"/>
          <w:lang w:eastAsia="es-ES"/>
        </w:rPr>
        <w:t>Por su parte, la Ley de Transparencia y Acceso a la Información Pública del Estado de México y Municipios (Reglamentaria del artículo 5° de la Constitución Local), establece lo siguiente:</w:t>
      </w:r>
    </w:p>
    <w:p w14:paraId="0192FCCB" w14:textId="77777777" w:rsidR="00DB3DC5" w:rsidRPr="00AC739B" w:rsidRDefault="00DB3DC5" w:rsidP="005032B4">
      <w:pPr>
        <w:spacing w:after="0" w:line="360" w:lineRule="auto"/>
        <w:contextualSpacing/>
        <w:rPr>
          <w:rFonts w:eastAsia="Times New Roman" w:cs="Tahoma"/>
          <w:bCs/>
          <w:iCs/>
          <w:color w:val="auto"/>
          <w:lang w:eastAsia="es-ES"/>
        </w:rPr>
      </w:pPr>
    </w:p>
    <w:p w14:paraId="7EF8B748" w14:textId="77777777" w:rsidR="00DB3DC5" w:rsidRPr="00AC739B" w:rsidRDefault="00DB3DC5" w:rsidP="005032B4">
      <w:pPr>
        <w:spacing w:after="0" w:line="360" w:lineRule="auto"/>
        <w:contextualSpacing/>
        <w:rPr>
          <w:rFonts w:eastAsia="Times New Roman" w:cs="Tahoma"/>
          <w:bCs/>
          <w:iCs/>
          <w:color w:val="auto"/>
          <w:lang w:eastAsia="es-ES"/>
        </w:rPr>
      </w:pPr>
      <w:r w:rsidRPr="00AC739B">
        <w:rPr>
          <w:rFonts w:eastAsia="Times New Roman" w:cs="Tahoma"/>
          <w:bCs/>
          <w:iCs/>
          <w:color w:val="auto"/>
          <w:lang w:eastAsia="es-ES"/>
        </w:rPr>
        <w:t>El artículo 12, que, quienes generen, recopilen, administren, manejen, procesen, archiven o conserven información pública serán responsables de la misma.</w:t>
      </w:r>
    </w:p>
    <w:p w14:paraId="536D2FE5" w14:textId="77777777" w:rsidR="00BB36D2" w:rsidRPr="00AC739B" w:rsidRDefault="00BB36D2" w:rsidP="005032B4">
      <w:pPr>
        <w:spacing w:after="0" w:line="360" w:lineRule="auto"/>
        <w:contextualSpacing/>
        <w:rPr>
          <w:rFonts w:eastAsia="Times New Roman" w:cs="Tahoma"/>
          <w:bCs/>
          <w:iCs/>
          <w:color w:val="auto"/>
          <w:lang w:eastAsia="es-ES"/>
        </w:rPr>
      </w:pPr>
    </w:p>
    <w:p w14:paraId="5604CF35" w14:textId="77777777" w:rsidR="00DB3DC5" w:rsidRPr="00AC739B" w:rsidRDefault="00DB3DC5" w:rsidP="005032B4">
      <w:pPr>
        <w:widowControl w:val="0"/>
        <w:spacing w:after="0" w:line="360" w:lineRule="auto"/>
        <w:contextualSpacing/>
        <w:rPr>
          <w:rFonts w:eastAsia="Times New Roman" w:cs="Tahoma"/>
          <w:bCs/>
          <w:iCs/>
          <w:color w:val="auto"/>
          <w:lang w:eastAsia="es-ES"/>
        </w:rPr>
      </w:pPr>
      <w:r w:rsidRPr="00AC739B">
        <w:rPr>
          <w:rFonts w:eastAsia="Times New Roman" w:cs="Tahoma"/>
          <w:bCs/>
          <w:iCs/>
          <w:color w:val="auto"/>
          <w:lang w:eastAsia="es-ES"/>
        </w:rPr>
        <w:t>El artículo 18, que, los Sujetos Obligados deberán documentar todo acto que derive del ejercicio de sus facultades, competencias o funciones, considerando desde su origen la eventual publicidad y reutilización de la información que generen.</w:t>
      </w:r>
    </w:p>
    <w:p w14:paraId="118E0238" w14:textId="77777777" w:rsidR="00DB3DC5" w:rsidRPr="00AC739B" w:rsidRDefault="00DB3DC5" w:rsidP="005032B4">
      <w:pPr>
        <w:spacing w:after="0" w:line="360" w:lineRule="auto"/>
        <w:contextualSpacing/>
        <w:rPr>
          <w:rFonts w:eastAsia="Times New Roman" w:cs="Tahoma"/>
          <w:bCs/>
          <w:iCs/>
          <w:color w:val="auto"/>
          <w:lang w:eastAsia="es-ES"/>
        </w:rPr>
      </w:pPr>
    </w:p>
    <w:p w14:paraId="0FF7C948" w14:textId="77777777" w:rsidR="00DB3DC5" w:rsidRPr="00AC739B" w:rsidRDefault="00DB3DC5" w:rsidP="005032B4">
      <w:pPr>
        <w:spacing w:after="0" w:line="360" w:lineRule="auto"/>
        <w:contextualSpacing/>
        <w:rPr>
          <w:rFonts w:eastAsia="Times New Roman" w:cs="Tahoma"/>
          <w:bCs/>
          <w:iCs/>
          <w:color w:val="auto"/>
          <w:lang w:eastAsia="es-ES"/>
        </w:rPr>
      </w:pPr>
      <w:r w:rsidRPr="00AC739B">
        <w:rPr>
          <w:rFonts w:eastAsia="Times New Roman" w:cs="Tahoma"/>
          <w:bCs/>
          <w:iCs/>
          <w:color w:val="auto"/>
          <w:lang w:eastAsia="es-E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20AAD97" w14:textId="77777777" w:rsidR="00DB3DC5" w:rsidRPr="00AC739B" w:rsidRDefault="00DB3DC5" w:rsidP="005032B4">
      <w:pPr>
        <w:spacing w:after="0" w:line="360" w:lineRule="auto"/>
        <w:contextualSpacing/>
        <w:rPr>
          <w:rFonts w:cs="Tahoma"/>
          <w:bCs/>
          <w:iCs/>
          <w:color w:val="FF0000"/>
          <w:lang w:val="es-ES"/>
        </w:rPr>
      </w:pPr>
    </w:p>
    <w:p w14:paraId="3EB23114" w14:textId="33FEEC26" w:rsidR="00DB3DC5" w:rsidRPr="00AC739B" w:rsidRDefault="00076681" w:rsidP="005032B4">
      <w:pPr>
        <w:pStyle w:val="Ttulo2"/>
        <w:spacing w:before="0" w:line="360" w:lineRule="auto"/>
        <w:rPr>
          <w:rFonts w:ascii="Palatino Linotype" w:eastAsia="Times New Roman" w:hAnsi="Palatino Linotype"/>
          <w:b/>
          <w:color w:val="000000" w:themeColor="text1"/>
          <w:sz w:val="22"/>
          <w:szCs w:val="22"/>
          <w:lang w:val="es-ES" w:eastAsia="es-ES"/>
        </w:rPr>
      </w:pPr>
      <w:bookmarkStart w:id="19" w:name="_Toc189757369"/>
      <w:r w:rsidRPr="00AC739B">
        <w:rPr>
          <w:rFonts w:ascii="Palatino Linotype" w:eastAsia="Times New Roman" w:hAnsi="Palatino Linotype"/>
          <w:b/>
          <w:color w:val="000000" w:themeColor="text1"/>
          <w:sz w:val="22"/>
          <w:szCs w:val="22"/>
          <w:lang w:val="es-ES" w:eastAsia="es-ES"/>
        </w:rPr>
        <w:t xml:space="preserve">QUINTO. </w:t>
      </w:r>
      <w:r w:rsidR="00DB3DC5" w:rsidRPr="00AC739B">
        <w:rPr>
          <w:rFonts w:ascii="Palatino Linotype" w:eastAsia="Times New Roman" w:hAnsi="Palatino Linotype"/>
          <w:b/>
          <w:color w:val="000000" w:themeColor="text1"/>
          <w:sz w:val="22"/>
          <w:szCs w:val="22"/>
          <w:lang w:val="es-ES" w:eastAsia="es-ES"/>
        </w:rPr>
        <w:t>E</w:t>
      </w:r>
      <w:r w:rsidRPr="00AC739B">
        <w:rPr>
          <w:rFonts w:ascii="Palatino Linotype" w:eastAsia="Times New Roman" w:hAnsi="Palatino Linotype"/>
          <w:b/>
          <w:color w:val="000000" w:themeColor="text1"/>
          <w:sz w:val="22"/>
          <w:szCs w:val="22"/>
          <w:lang w:val="es-ES" w:eastAsia="es-ES"/>
        </w:rPr>
        <w:t>studio de Fondo</w:t>
      </w:r>
      <w:bookmarkEnd w:id="19"/>
    </w:p>
    <w:p w14:paraId="5511A115" w14:textId="238AA78D" w:rsidR="00DB3DC5" w:rsidRPr="00AC739B" w:rsidRDefault="00DB3DC5" w:rsidP="005032B4">
      <w:pPr>
        <w:spacing w:after="0" w:line="360" w:lineRule="auto"/>
        <w:contextualSpacing/>
        <w:rPr>
          <w:rFonts w:eastAsia="Times New Roman" w:cs="Tahoma"/>
          <w:b/>
          <w:bCs/>
          <w:iCs/>
          <w:color w:val="auto"/>
          <w:lang w:val="es-ES" w:eastAsia="es-ES"/>
        </w:rPr>
      </w:pPr>
    </w:p>
    <w:p w14:paraId="194A9F65" w14:textId="48C57198" w:rsidR="006E26AA" w:rsidRPr="00AC739B" w:rsidRDefault="006E26AA" w:rsidP="005032B4">
      <w:pPr>
        <w:spacing w:after="0" w:line="360" w:lineRule="auto"/>
        <w:contextualSpacing/>
        <w:rPr>
          <w:rFonts w:eastAsia="Times New Roman" w:cs="Tahoma"/>
          <w:iCs/>
          <w:color w:val="auto"/>
          <w:lang w:val="es-ES" w:eastAsia="es-ES"/>
        </w:rPr>
      </w:pPr>
      <w:r w:rsidRPr="00AC739B">
        <w:rPr>
          <w:rFonts w:eastAsia="Times New Roman" w:cs="Tahoma"/>
          <w:iCs/>
          <w:color w:val="auto"/>
          <w:lang w:val="es-ES" w:eastAsia="es-ES"/>
        </w:rPr>
        <w:lastRenderedPageBreak/>
        <w:t xml:space="preserve">Expuestas las posturas de las partes, se procede al análisis del agravio hecho valer por el Recurrente, concerniente a la </w:t>
      </w:r>
      <w:r w:rsidR="00394286" w:rsidRPr="00AC739B">
        <w:rPr>
          <w:rFonts w:eastAsia="Times New Roman" w:cs="Tahoma"/>
          <w:iCs/>
          <w:color w:val="auto"/>
          <w:lang w:val="es-ES" w:eastAsia="es-ES"/>
        </w:rPr>
        <w:t xml:space="preserve">inexistencia de la información y </w:t>
      </w:r>
      <w:r w:rsidRPr="00AC739B">
        <w:rPr>
          <w:rFonts w:eastAsia="Times New Roman" w:cs="Tahoma"/>
          <w:iCs/>
          <w:color w:val="auto"/>
          <w:lang w:val="es-ES" w:eastAsia="es-ES"/>
        </w:rPr>
        <w:t xml:space="preserve">que no corresponde con lo solicitado, para lo cual en principio resulta necesario contextualizar la solicitud de información. </w:t>
      </w:r>
    </w:p>
    <w:p w14:paraId="7D51D78F" w14:textId="47C78973" w:rsidR="006E26AA" w:rsidRPr="00AC739B" w:rsidRDefault="006E26AA" w:rsidP="005032B4">
      <w:pPr>
        <w:spacing w:after="0" w:line="360" w:lineRule="auto"/>
        <w:contextualSpacing/>
        <w:rPr>
          <w:rFonts w:eastAsia="Times New Roman" w:cs="Tahoma"/>
          <w:iCs/>
          <w:color w:val="auto"/>
          <w:lang w:val="es-ES" w:eastAsia="es-ES"/>
        </w:rPr>
      </w:pPr>
    </w:p>
    <w:p w14:paraId="3DA8F176" w14:textId="77777777" w:rsidR="006E26AA" w:rsidRPr="00AC739B" w:rsidRDefault="006E26AA" w:rsidP="005032B4">
      <w:pPr>
        <w:spacing w:after="0" w:line="360" w:lineRule="auto"/>
        <w:contextualSpacing/>
        <w:rPr>
          <w:rFonts w:eastAsia="Times New Roman" w:cs="Tahoma"/>
          <w:iCs/>
          <w:color w:val="auto"/>
          <w:lang w:eastAsia="es-ES"/>
        </w:rPr>
      </w:pPr>
      <w:r w:rsidRPr="00AC739B">
        <w:rPr>
          <w:rFonts w:eastAsia="Times New Roman" w:cs="Tahoma"/>
          <w:iCs/>
          <w:color w:val="auto"/>
          <w:lang w:eastAsia="es-ES"/>
        </w:rPr>
        <w:t xml:space="preserve">Sobre el tema, López Olvera, Miguel Alejandro </w:t>
      </w:r>
      <w:proofErr w:type="spellStart"/>
      <w:r w:rsidRPr="00AC739B">
        <w:rPr>
          <w:rFonts w:eastAsia="Times New Roman" w:cs="Tahoma"/>
          <w:iCs/>
          <w:color w:val="auto"/>
          <w:lang w:eastAsia="es-ES"/>
        </w:rPr>
        <w:t>Cancino</w:t>
      </w:r>
      <w:proofErr w:type="spellEnd"/>
      <w:r w:rsidRPr="00AC739B">
        <w:rPr>
          <w:rFonts w:eastAsia="Times New Roman" w:cs="Tahoma"/>
          <w:iCs/>
          <w:color w:val="auto"/>
          <w:lang w:eastAsia="es-ES"/>
        </w:rPr>
        <w:t xml:space="preserve"> Gómez, Rodolfo. (2020). “La Contratación Pública y el Sistema Nacional Anticorrupción”. (p. 4) la </w:t>
      </w:r>
      <w:r w:rsidRPr="00AC739B">
        <w:rPr>
          <w:rFonts w:eastAsia="Times New Roman" w:cs="Tahoma"/>
          <w:b/>
          <w:iCs/>
          <w:color w:val="auto"/>
          <w:lang w:eastAsia="es-ES"/>
        </w:rPr>
        <w:t>contratación pública</w:t>
      </w:r>
      <w:r w:rsidRPr="00AC739B">
        <w:rPr>
          <w:rFonts w:eastAsia="Times New Roman" w:cs="Tahoma"/>
          <w:iCs/>
          <w:color w:val="auto"/>
          <w:lang w:eastAsia="es-ES"/>
        </w:rPr>
        <w:t>, es el procedimiento de carácter administrativo, por medio del cual, un ente público selecciona y posteriormente, celebra un acuerdo de voluntades, con una persona física o jurídica colectiva, para que ésta, entregue o arrende un bien, preste algún servicio público o lleve a cabo la ejecución de una obra pública, con recursos públicos del Estado y en beneficio de la colectividad.</w:t>
      </w:r>
    </w:p>
    <w:p w14:paraId="15441675" w14:textId="77777777" w:rsidR="006E26AA" w:rsidRPr="00AC739B" w:rsidRDefault="006E26AA" w:rsidP="005032B4">
      <w:pPr>
        <w:spacing w:after="0" w:line="360" w:lineRule="auto"/>
        <w:contextualSpacing/>
        <w:rPr>
          <w:rFonts w:eastAsia="Times New Roman" w:cs="Tahoma"/>
          <w:iCs/>
          <w:color w:val="auto"/>
          <w:lang w:eastAsia="es-ES"/>
        </w:rPr>
      </w:pPr>
    </w:p>
    <w:p w14:paraId="701E5121" w14:textId="77777777" w:rsidR="006E26AA" w:rsidRPr="00AC739B" w:rsidRDefault="006E26AA" w:rsidP="005032B4">
      <w:pPr>
        <w:spacing w:after="0" w:line="360" w:lineRule="auto"/>
        <w:contextualSpacing/>
        <w:rPr>
          <w:rFonts w:eastAsia="Times New Roman" w:cs="Tahoma"/>
          <w:iCs/>
          <w:color w:val="auto"/>
          <w:lang w:eastAsia="es-ES"/>
        </w:rPr>
      </w:pPr>
      <w:r w:rsidRPr="00AC739B">
        <w:rPr>
          <w:rFonts w:eastAsia="Times New Roman" w:cs="Tahoma"/>
          <w:iCs/>
          <w:color w:val="auto"/>
          <w:lang w:eastAsia="es-ES"/>
        </w:rPr>
        <w:t xml:space="preserve">Por otra parte, los artículos 1°, fracción III, y 4°de la Ley de la de Contratación Pública del Estado de México y Municipios, especifica que los Ayuntamientos serán los encargados de realizar los actos relativos a la planeación, programación, presupuestación, ejecución y control de la adquisición (bienes muebles e inmuebles), arrendamiento (bienes muebles e inmuebles), y la </w:t>
      </w:r>
      <w:r w:rsidRPr="00AC739B">
        <w:rPr>
          <w:rFonts w:eastAsia="Times New Roman" w:cs="Tahoma"/>
          <w:b/>
          <w:iCs/>
          <w:color w:val="auto"/>
          <w:lang w:eastAsia="es-ES"/>
        </w:rPr>
        <w:t>contratación de servicios</w:t>
      </w:r>
      <w:r w:rsidRPr="00AC739B">
        <w:rPr>
          <w:rFonts w:eastAsia="Times New Roman" w:cs="Tahoma"/>
          <w:iCs/>
          <w:color w:val="auto"/>
          <w:lang w:eastAsia="es-ES"/>
        </w:rPr>
        <w:t xml:space="preserve"> de cualquier naturaleza. </w:t>
      </w:r>
    </w:p>
    <w:p w14:paraId="561B5BE5" w14:textId="77777777" w:rsidR="006E26AA" w:rsidRPr="00AC739B" w:rsidRDefault="006E26AA" w:rsidP="005032B4">
      <w:pPr>
        <w:spacing w:after="0" w:line="360" w:lineRule="auto"/>
        <w:contextualSpacing/>
        <w:rPr>
          <w:rFonts w:eastAsia="Times New Roman" w:cs="Tahoma"/>
          <w:iCs/>
          <w:color w:val="auto"/>
          <w:lang w:eastAsia="es-ES"/>
        </w:rPr>
      </w:pPr>
    </w:p>
    <w:p w14:paraId="72A1323C" w14:textId="77777777" w:rsidR="006E26AA" w:rsidRPr="00AC739B" w:rsidRDefault="006E26AA" w:rsidP="005032B4">
      <w:pPr>
        <w:spacing w:after="0" w:line="360" w:lineRule="auto"/>
        <w:contextualSpacing/>
        <w:rPr>
          <w:rFonts w:eastAsia="Times New Roman" w:cs="Tahoma"/>
          <w:iCs/>
          <w:color w:val="auto"/>
          <w:lang w:eastAsia="es-ES"/>
        </w:rPr>
      </w:pPr>
      <w:r w:rsidRPr="00AC739B">
        <w:rPr>
          <w:rFonts w:eastAsia="Times New Roman" w:cs="Tahoma"/>
          <w:iCs/>
          <w:color w:val="auto"/>
          <w:lang w:eastAsia="es-ES"/>
        </w:rPr>
        <w:t xml:space="preserve">En ese contexto, conforme a los artículos 26 y 27 de dicho ordenamiento jurídico, las adquisiciones, arrendamientos y </w:t>
      </w:r>
      <w:r w:rsidRPr="00AC739B">
        <w:rPr>
          <w:rFonts w:eastAsia="Times New Roman" w:cs="Tahoma"/>
          <w:b/>
          <w:iCs/>
          <w:color w:val="auto"/>
          <w:lang w:eastAsia="es-ES"/>
        </w:rPr>
        <w:t>servicios</w:t>
      </w:r>
      <w:r w:rsidRPr="00AC739B">
        <w:rPr>
          <w:rFonts w:eastAsia="Times New Roman" w:cs="Tahoma"/>
          <w:iCs/>
          <w:color w:val="auto"/>
          <w:lang w:eastAsia="es-ES"/>
        </w:rPr>
        <w:t>, se adjudicarán a través de procedimientos de licitación pública, invitación restringida y adjudicación directa.</w:t>
      </w:r>
    </w:p>
    <w:p w14:paraId="2D112408" w14:textId="77777777" w:rsidR="006E26AA" w:rsidRPr="00AC739B" w:rsidRDefault="006E26AA" w:rsidP="005032B4">
      <w:pPr>
        <w:spacing w:after="0" w:line="360" w:lineRule="auto"/>
        <w:contextualSpacing/>
        <w:rPr>
          <w:rFonts w:eastAsia="Times New Roman" w:cs="Tahoma"/>
          <w:iCs/>
          <w:color w:val="auto"/>
          <w:lang w:eastAsia="es-ES"/>
        </w:rPr>
      </w:pPr>
    </w:p>
    <w:p w14:paraId="05A000AE" w14:textId="77777777" w:rsidR="006E26AA" w:rsidRPr="00AC739B" w:rsidRDefault="006E26AA" w:rsidP="005032B4">
      <w:pPr>
        <w:spacing w:after="0" w:line="360" w:lineRule="auto"/>
        <w:contextualSpacing/>
        <w:rPr>
          <w:rFonts w:eastAsia="Times New Roman" w:cs="Tahoma"/>
          <w:iCs/>
          <w:color w:val="auto"/>
          <w:lang w:eastAsia="es-ES"/>
        </w:rPr>
      </w:pPr>
      <w:r w:rsidRPr="00AC739B">
        <w:rPr>
          <w:rFonts w:eastAsia="Times New Roman" w:cs="Tahoma"/>
          <w:iCs/>
          <w:color w:val="auto"/>
          <w:lang w:eastAsia="es-ES"/>
        </w:rPr>
        <w:t xml:space="preserve">En ese orden de ideas, conforme al artículo 65 de la Ley de Contratación Pública del Estado de México y Municipios, la adjudicación de un procedimiento de adquisición y arrendamiento de bienes y </w:t>
      </w:r>
      <w:r w:rsidRPr="00AC739B">
        <w:rPr>
          <w:rFonts w:eastAsia="Times New Roman" w:cs="Tahoma"/>
          <w:b/>
          <w:iCs/>
          <w:color w:val="auto"/>
          <w:lang w:eastAsia="es-ES"/>
        </w:rPr>
        <w:t>contratación de servicios</w:t>
      </w:r>
      <w:r w:rsidRPr="00AC739B">
        <w:rPr>
          <w:rFonts w:eastAsia="Times New Roman" w:cs="Tahoma"/>
          <w:iCs/>
          <w:color w:val="auto"/>
          <w:lang w:eastAsia="es-ES"/>
        </w:rPr>
        <w:t xml:space="preserve"> se realizará mediante la suscripción de </w:t>
      </w:r>
      <w:r w:rsidRPr="00AC739B">
        <w:rPr>
          <w:rFonts w:eastAsia="Times New Roman" w:cs="Tahoma"/>
          <w:iCs/>
          <w:color w:val="auto"/>
          <w:lang w:eastAsia="es-ES"/>
        </w:rPr>
        <w:lastRenderedPageBreak/>
        <w:t xml:space="preserve">un </w:t>
      </w:r>
      <w:r w:rsidRPr="00AC739B">
        <w:rPr>
          <w:rFonts w:eastAsia="Times New Roman" w:cs="Tahoma"/>
          <w:b/>
          <w:bCs/>
          <w:iCs/>
          <w:color w:val="auto"/>
          <w:lang w:eastAsia="es-ES"/>
        </w:rPr>
        <w:t>contrato,</w:t>
      </w:r>
      <w:r w:rsidRPr="00AC739B">
        <w:rPr>
          <w:rFonts w:eastAsia="Times New Roman" w:cs="Tahoma"/>
          <w:iCs/>
          <w:color w:val="auto"/>
          <w:lang w:eastAsia="es-ES"/>
        </w:rPr>
        <w:t xml:space="preserve"> entre el Ayuntamiento y la persona a la cual haya ganado el procedimiento respectivo, dentro de los diez días hábiles siguientes a la notificación del fallo.</w:t>
      </w:r>
    </w:p>
    <w:p w14:paraId="6646C868" w14:textId="77777777" w:rsidR="006E26AA" w:rsidRPr="00AC739B" w:rsidRDefault="006E26AA" w:rsidP="005032B4">
      <w:pPr>
        <w:spacing w:after="0" w:line="360" w:lineRule="auto"/>
        <w:contextualSpacing/>
        <w:rPr>
          <w:rFonts w:eastAsia="Times New Roman" w:cs="Tahoma"/>
          <w:iCs/>
          <w:color w:val="auto"/>
          <w:lang w:eastAsia="es-ES"/>
        </w:rPr>
      </w:pPr>
    </w:p>
    <w:p w14:paraId="44833CA3" w14:textId="77777777" w:rsidR="006E26AA" w:rsidRPr="00AC739B" w:rsidRDefault="006E26AA" w:rsidP="005032B4">
      <w:pPr>
        <w:spacing w:after="0" w:line="360" w:lineRule="auto"/>
        <w:contextualSpacing/>
        <w:rPr>
          <w:rFonts w:eastAsia="Times New Roman" w:cs="Tahoma"/>
          <w:b/>
          <w:iCs/>
          <w:color w:val="auto"/>
          <w:lang w:eastAsia="es-ES"/>
        </w:rPr>
      </w:pPr>
      <w:r w:rsidRPr="00AC739B">
        <w:rPr>
          <w:rFonts w:eastAsia="Times New Roman" w:cs="Tahoma"/>
          <w:iCs/>
          <w:color w:val="auto"/>
          <w:lang w:eastAsia="es-ES"/>
        </w:rPr>
        <w:t xml:space="preserve">Ahora bien, conforme al artículo 120 del Reglamento de la Ley de Contratación Pública del Estado de México y Municipios, dichos actos jurídicos se conforman por diversos datos, entre los cuales, se encuentran los datos de identificación de las partes y del contrato, </w:t>
      </w:r>
      <w:r w:rsidRPr="00AC739B">
        <w:rPr>
          <w:rFonts w:eastAsia="Times New Roman" w:cs="Tahoma"/>
          <w:b/>
          <w:iCs/>
          <w:color w:val="auto"/>
          <w:lang w:eastAsia="es-ES"/>
        </w:rPr>
        <w:t>así como el importe total.</w:t>
      </w:r>
    </w:p>
    <w:p w14:paraId="79BA008B" w14:textId="77777777" w:rsidR="006E26AA" w:rsidRPr="00AC739B" w:rsidRDefault="006E26AA" w:rsidP="005032B4">
      <w:pPr>
        <w:spacing w:after="0" w:line="360" w:lineRule="auto"/>
        <w:contextualSpacing/>
        <w:rPr>
          <w:rFonts w:eastAsia="Times New Roman" w:cs="Tahoma"/>
          <w:b/>
          <w:iCs/>
          <w:color w:val="auto"/>
          <w:lang w:eastAsia="es-ES"/>
        </w:rPr>
      </w:pPr>
    </w:p>
    <w:p w14:paraId="6FB3D1B3" w14:textId="77777777" w:rsidR="006E26AA" w:rsidRPr="00AC739B" w:rsidRDefault="006E26AA" w:rsidP="005032B4">
      <w:pPr>
        <w:spacing w:after="0" w:line="360" w:lineRule="auto"/>
        <w:contextualSpacing/>
        <w:rPr>
          <w:rFonts w:eastAsia="Times New Roman" w:cs="Tahoma"/>
          <w:iCs/>
          <w:color w:val="auto"/>
          <w:lang w:eastAsia="es-ES"/>
        </w:rPr>
      </w:pPr>
      <w:r w:rsidRPr="00AC739B">
        <w:rPr>
          <w:rFonts w:eastAsia="Times New Roman" w:cs="Tahoma"/>
          <w:iCs/>
          <w:color w:val="auto"/>
          <w:lang w:eastAsia="es-ES"/>
        </w:rPr>
        <w:t xml:space="preserve">Así mismo, el artículo 70 fracción XXVIII, de la Ley General  de Transparencia y Acceso a la Información Pública y 92 fracción XXIX, de la Ley de Transparencia y Acceso a la Información Pública del Estado de México y Municipios, precisa que es información que es pública de oficio, la información sobre los procesos y resultados sobre procedimientos de adjudicación directa, invitación restringida y licitación de cualquier naturaleza, </w:t>
      </w:r>
      <w:r w:rsidRPr="00AC739B">
        <w:rPr>
          <w:rFonts w:eastAsia="Times New Roman" w:cs="Tahoma"/>
          <w:b/>
          <w:iCs/>
          <w:color w:val="auto"/>
          <w:lang w:eastAsia="es-ES"/>
        </w:rPr>
        <w:t>que incluye la versión pública del expediente respectivo y de los contratos celebrados.</w:t>
      </w:r>
      <w:r w:rsidRPr="00AC739B">
        <w:rPr>
          <w:rFonts w:eastAsia="Times New Roman" w:cs="Tahoma"/>
          <w:iCs/>
          <w:color w:val="auto"/>
          <w:lang w:eastAsia="es-ES"/>
        </w:rPr>
        <w:t xml:space="preserve"> </w:t>
      </w:r>
    </w:p>
    <w:p w14:paraId="6080ADF2" w14:textId="77777777" w:rsidR="006E26AA" w:rsidRPr="00AC739B" w:rsidRDefault="006E26AA" w:rsidP="005032B4">
      <w:pPr>
        <w:spacing w:after="0" w:line="360" w:lineRule="auto"/>
        <w:contextualSpacing/>
        <w:rPr>
          <w:rFonts w:eastAsia="Times New Roman" w:cs="Tahoma"/>
          <w:iCs/>
          <w:color w:val="auto"/>
          <w:lang w:eastAsia="es-ES"/>
        </w:rPr>
      </w:pPr>
    </w:p>
    <w:p w14:paraId="439E08BC" w14:textId="05AE34CF" w:rsidR="006E26AA" w:rsidRPr="00AC739B" w:rsidRDefault="006E26AA" w:rsidP="005032B4">
      <w:pPr>
        <w:spacing w:after="0" w:line="360" w:lineRule="auto"/>
        <w:contextualSpacing/>
        <w:rPr>
          <w:rFonts w:eastAsia="Times New Roman" w:cs="Tahoma"/>
          <w:iCs/>
          <w:color w:val="auto"/>
          <w:lang w:eastAsia="es-ES"/>
        </w:rPr>
      </w:pPr>
      <w:r w:rsidRPr="00AC739B">
        <w:rPr>
          <w:rFonts w:eastAsia="Times New Roman" w:cs="Tahoma"/>
          <w:iCs/>
          <w:color w:val="auto"/>
          <w:lang w:eastAsia="es-ES"/>
        </w:rPr>
        <w:t xml:space="preserve">En ese orden de ideas, por lo que hace al comprobante del pago, el artículo 4°, fracción XVIII, de la Ley General de Contabilidad Gubernamental, establece que la información financiera consiste en información presupuestaria y contable que se expresa en unidades monetarias las </w:t>
      </w:r>
      <w:r w:rsidRPr="00AC739B">
        <w:rPr>
          <w:rFonts w:eastAsia="Times New Roman" w:cs="Tahoma"/>
          <w:b/>
          <w:iCs/>
          <w:color w:val="auto"/>
          <w:lang w:eastAsia="es-ES"/>
        </w:rPr>
        <w:t>transacciones que realiza un ente público y los eventos económicos identificables y cuantificable</w:t>
      </w:r>
      <w:r w:rsidRPr="00AC739B">
        <w:rPr>
          <w:rFonts w:eastAsia="Times New Roman" w:cs="Tahoma"/>
          <w:iCs/>
          <w:color w:val="auto"/>
          <w:lang w:eastAsia="es-ES"/>
        </w:rPr>
        <w:t xml:space="preserve"> la cual puede representarse por reportes, informes, estados y notas que expresan su situación financiera, los resultados de su operación y los cambios en su patrimonio. </w:t>
      </w:r>
    </w:p>
    <w:p w14:paraId="20C1FCC0" w14:textId="77777777" w:rsidR="006E26AA" w:rsidRPr="00AC739B" w:rsidRDefault="006E26AA" w:rsidP="005032B4">
      <w:pPr>
        <w:spacing w:after="0" w:line="360" w:lineRule="auto"/>
        <w:contextualSpacing/>
        <w:rPr>
          <w:rFonts w:eastAsia="Times New Roman" w:cs="Tahoma"/>
          <w:iCs/>
          <w:color w:val="auto"/>
          <w:lang w:eastAsia="es-ES"/>
        </w:rPr>
      </w:pPr>
    </w:p>
    <w:p w14:paraId="4D0A0D2B" w14:textId="77777777" w:rsidR="006E26AA" w:rsidRPr="00AC739B" w:rsidRDefault="006E26AA" w:rsidP="005032B4">
      <w:pPr>
        <w:spacing w:after="0" w:line="360" w:lineRule="auto"/>
        <w:contextualSpacing/>
        <w:rPr>
          <w:rFonts w:eastAsia="Times New Roman" w:cs="Tahoma"/>
          <w:iCs/>
          <w:color w:val="auto"/>
          <w:lang w:eastAsia="es-ES"/>
        </w:rPr>
      </w:pPr>
      <w:r w:rsidRPr="00AC739B">
        <w:rPr>
          <w:rFonts w:eastAsia="Times New Roman" w:cs="Tahoma"/>
          <w:iCs/>
          <w:color w:val="auto"/>
          <w:lang w:eastAsia="es-ES"/>
        </w:rPr>
        <w:t xml:space="preserve">En esa misma tesitura, los artículos 16, 18, 19, fracción V, y 34 de la Ley General en comento, estableen que los entes públicos deben contar con un sistema de contabilidad gubernamental en el cual se registrarán operaciones presupuestarias y contables derivadas de la gestión pública, así como otros flujos económicos, los cuales serán expresados en términos </w:t>
      </w:r>
      <w:r w:rsidRPr="00AC739B">
        <w:rPr>
          <w:rFonts w:eastAsia="Times New Roman" w:cs="Tahoma"/>
          <w:iCs/>
          <w:color w:val="auto"/>
          <w:lang w:eastAsia="es-ES"/>
        </w:rPr>
        <w:lastRenderedPageBreak/>
        <w:t>monetarios. Dichos registros contables se llevarán con base acumulativa, por lo que contabilización de las transacciones de gasto se hará conforme a la fecha de su realización, independientemente de la de su pago, y la del ingreso se registrará cuando exista jurídicamente el derecho de cobro.</w:t>
      </w:r>
    </w:p>
    <w:p w14:paraId="15A80609" w14:textId="77777777" w:rsidR="006E26AA" w:rsidRPr="00AC739B" w:rsidRDefault="006E26AA" w:rsidP="005032B4">
      <w:pPr>
        <w:spacing w:after="0" w:line="360" w:lineRule="auto"/>
        <w:contextualSpacing/>
        <w:rPr>
          <w:rFonts w:eastAsia="Times New Roman" w:cs="Tahoma"/>
          <w:iCs/>
          <w:color w:val="auto"/>
          <w:lang w:eastAsia="es-ES"/>
        </w:rPr>
      </w:pPr>
    </w:p>
    <w:p w14:paraId="69FC51D2" w14:textId="77777777" w:rsidR="006E26AA" w:rsidRPr="00AC739B" w:rsidRDefault="006E26AA" w:rsidP="005032B4">
      <w:pPr>
        <w:spacing w:after="0" w:line="360" w:lineRule="auto"/>
        <w:contextualSpacing/>
        <w:rPr>
          <w:rFonts w:eastAsia="Times New Roman" w:cs="Tahoma"/>
          <w:iCs/>
          <w:color w:val="auto"/>
          <w:lang w:eastAsia="es-ES"/>
        </w:rPr>
      </w:pPr>
      <w:r w:rsidRPr="00AC739B">
        <w:rPr>
          <w:rFonts w:eastAsia="Times New Roman" w:cs="Tahoma"/>
          <w:iCs/>
          <w:color w:val="auto"/>
          <w:lang w:eastAsia="es-ES"/>
        </w:rPr>
        <w:t>En ese contexto, la Guía técnica 05 “La contabilidad y la cuenta pública municipal”, emitida por el Instituto Nacional de Administración Pública, establece que la contabilidad municipal es la técnica que permite registrar en forma ordenada, completa y detallada de los ingresos y gastos, con el fin de poder determinar en cualquier momento la situación financiera de la hacienda pública municipal.</w:t>
      </w:r>
    </w:p>
    <w:p w14:paraId="0FDBDB3B" w14:textId="77777777" w:rsidR="006E26AA" w:rsidRPr="00AC739B" w:rsidRDefault="006E26AA" w:rsidP="005032B4">
      <w:pPr>
        <w:spacing w:after="0" w:line="360" w:lineRule="auto"/>
        <w:contextualSpacing/>
        <w:rPr>
          <w:rFonts w:eastAsia="Times New Roman" w:cs="Tahoma"/>
          <w:iCs/>
          <w:color w:val="auto"/>
          <w:lang w:eastAsia="es-ES"/>
        </w:rPr>
      </w:pPr>
    </w:p>
    <w:p w14:paraId="0076162B" w14:textId="77777777" w:rsidR="006E26AA" w:rsidRPr="00AC739B" w:rsidRDefault="006E26AA" w:rsidP="005032B4">
      <w:pPr>
        <w:spacing w:after="0" w:line="360" w:lineRule="auto"/>
        <w:contextualSpacing/>
        <w:rPr>
          <w:rFonts w:eastAsia="Times New Roman" w:cs="Tahoma"/>
          <w:iCs/>
          <w:color w:val="auto"/>
          <w:lang w:eastAsia="es-ES"/>
        </w:rPr>
      </w:pPr>
      <w:r w:rsidRPr="00AC739B">
        <w:rPr>
          <w:rFonts w:eastAsia="Times New Roman" w:cs="Tahoma"/>
          <w:iCs/>
          <w:color w:val="auto"/>
          <w:lang w:eastAsia="es-ES"/>
        </w:rPr>
        <w:t xml:space="preserve">De este modo, de acuerdo a la naturaleza de información solicitada, resulta necesario traer a colación, la Resolución Miscelánea Fiscal para el 2024, establece que la </w:t>
      </w:r>
      <w:r w:rsidRPr="00AC739B">
        <w:rPr>
          <w:rFonts w:eastAsia="Times New Roman" w:cs="Tahoma"/>
          <w:b/>
          <w:iCs/>
          <w:color w:val="auto"/>
          <w:lang w:eastAsia="es-ES"/>
        </w:rPr>
        <w:t>factura</w:t>
      </w:r>
      <w:r w:rsidRPr="00AC739B">
        <w:rPr>
          <w:rFonts w:eastAsia="Times New Roman" w:cs="Tahoma"/>
          <w:iCs/>
          <w:color w:val="auto"/>
          <w:lang w:eastAsia="es-ES"/>
        </w:rPr>
        <w:t xml:space="preserve"> es lo mismo, que un Comprobante Fiscal Digital por Internet, por lo que, se puede considerar como el documento que comprueba la realización de una </w:t>
      </w:r>
      <w:r w:rsidRPr="00AC739B">
        <w:rPr>
          <w:rFonts w:eastAsia="Times New Roman" w:cs="Tahoma"/>
          <w:b/>
          <w:iCs/>
          <w:color w:val="auto"/>
          <w:lang w:eastAsia="es-ES"/>
        </w:rPr>
        <w:t>transacción comercial</w:t>
      </w:r>
      <w:r w:rsidRPr="00AC739B">
        <w:rPr>
          <w:rFonts w:eastAsia="Times New Roman" w:cs="Tahoma"/>
          <w:iCs/>
          <w:color w:val="auto"/>
          <w:lang w:eastAsia="es-ES"/>
        </w:rPr>
        <w:t xml:space="preserve">, entre un comprador y un vendedor, mediante el cual, </w:t>
      </w:r>
      <w:r w:rsidRPr="00AC739B">
        <w:rPr>
          <w:rFonts w:eastAsia="Times New Roman" w:cs="Tahoma"/>
          <w:b/>
          <w:bCs/>
          <w:iCs/>
          <w:color w:val="auto"/>
          <w:lang w:eastAsia="es-ES"/>
        </w:rPr>
        <w:t>el primero queda obligado a realizar un pago</w:t>
      </w:r>
      <w:r w:rsidRPr="00AC739B">
        <w:rPr>
          <w:rFonts w:eastAsia="Times New Roman" w:cs="Tahoma"/>
          <w:iCs/>
          <w:color w:val="auto"/>
          <w:lang w:eastAsia="es-ES"/>
        </w:rPr>
        <w:t xml:space="preserve">, mientras que el segundo, a entregar o brindar un producto o </w:t>
      </w:r>
      <w:r w:rsidRPr="00AC739B">
        <w:rPr>
          <w:rFonts w:eastAsia="Times New Roman" w:cs="Tahoma"/>
          <w:b/>
          <w:iCs/>
          <w:color w:val="auto"/>
          <w:lang w:eastAsia="es-ES"/>
        </w:rPr>
        <w:t>servicio</w:t>
      </w:r>
      <w:r w:rsidRPr="00AC739B">
        <w:rPr>
          <w:rFonts w:eastAsia="Times New Roman" w:cs="Tahoma"/>
          <w:iCs/>
          <w:color w:val="auto"/>
          <w:lang w:eastAsia="es-ES"/>
        </w:rPr>
        <w:t>.</w:t>
      </w:r>
    </w:p>
    <w:p w14:paraId="4D3D17C8" w14:textId="77777777" w:rsidR="006E26AA" w:rsidRPr="00AC739B" w:rsidRDefault="006E26AA" w:rsidP="005032B4">
      <w:pPr>
        <w:spacing w:after="0" w:line="360" w:lineRule="auto"/>
        <w:contextualSpacing/>
        <w:rPr>
          <w:rFonts w:eastAsia="Times New Roman" w:cs="Tahoma"/>
          <w:iCs/>
          <w:color w:val="auto"/>
          <w:lang w:eastAsia="es-ES"/>
        </w:rPr>
      </w:pPr>
    </w:p>
    <w:p w14:paraId="3BC63B49" w14:textId="072C8D18" w:rsidR="006E26AA" w:rsidRPr="00AC739B" w:rsidRDefault="006E26AA" w:rsidP="005032B4">
      <w:pPr>
        <w:spacing w:after="0" w:line="360" w:lineRule="auto"/>
        <w:contextualSpacing/>
        <w:rPr>
          <w:rFonts w:eastAsia="Times New Roman" w:cs="Tahoma"/>
          <w:iCs/>
          <w:color w:val="auto"/>
          <w:lang w:eastAsia="es-ES"/>
        </w:rPr>
      </w:pPr>
      <w:r w:rsidRPr="00AC739B">
        <w:rPr>
          <w:rFonts w:eastAsia="Times New Roman" w:cs="Tahoma"/>
          <w:iCs/>
          <w:color w:val="auto"/>
          <w:lang w:eastAsia="es-ES"/>
        </w:rPr>
        <w:t xml:space="preserve">En ese orden de ideas, los Lineamientos para la Integración y Entrega del Informe Trimestral Municipal, dos mil veintitrés y dos mil veinticuatro, entre los formatos que maneja en el </w:t>
      </w:r>
      <w:r w:rsidRPr="00AC739B">
        <w:rPr>
          <w:rFonts w:eastAsia="Times New Roman" w:cs="Tahoma"/>
          <w:b/>
          <w:iCs/>
          <w:color w:val="auto"/>
          <w:lang w:eastAsia="es-ES"/>
        </w:rPr>
        <w:t>Módulo 1</w:t>
      </w:r>
      <w:r w:rsidRPr="00AC739B">
        <w:rPr>
          <w:rFonts w:eastAsia="Times New Roman" w:cs="Tahoma"/>
          <w:iCs/>
          <w:color w:val="auto"/>
          <w:lang w:eastAsia="es-ES"/>
        </w:rPr>
        <w:t xml:space="preserve">, se advierte que se encuentran Póliza de Egresos y </w:t>
      </w:r>
      <w:r w:rsidRPr="00AC739B">
        <w:rPr>
          <w:rFonts w:eastAsia="Times New Roman" w:cs="Tahoma"/>
          <w:b/>
          <w:bCs/>
          <w:iCs/>
          <w:color w:val="auto"/>
          <w:lang w:eastAsia="es-ES"/>
        </w:rPr>
        <w:t>Póliza Cheque</w:t>
      </w:r>
      <w:r w:rsidRPr="00AC739B">
        <w:rPr>
          <w:rFonts w:eastAsia="Times New Roman" w:cs="Tahoma"/>
          <w:iCs/>
          <w:color w:val="auto"/>
          <w:lang w:eastAsia="es-ES"/>
        </w:rPr>
        <w:t>, con los documentos comprobatorios, mismos que serán entregados al Órgano Superior de Fiscalización del Estado de México. Además</w:t>
      </w:r>
      <w:r w:rsidRPr="00AC739B">
        <w:rPr>
          <w:rFonts w:eastAsia="Times New Roman" w:cs="Tahoma"/>
          <w:b/>
          <w:iCs/>
          <w:color w:val="auto"/>
          <w:lang w:eastAsia="es-ES"/>
        </w:rPr>
        <w:t xml:space="preserve">, </w:t>
      </w:r>
      <w:r w:rsidRPr="00AC739B">
        <w:rPr>
          <w:rFonts w:eastAsia="Times New Roman" w:cs="Tahoma"/>
          <w:iCs/>
          <w:color w:val="auto"/>
          <w:lang w:eastAsia="es-ES"/>
        </w:rPr>
        <w:t xml:space="preserve">se precisa que dichos documentos deberán contener las </w:t>
      </w:r>
      <w:r w:rsidRPr="00AC739B">
        <w:rPr>
          <w:rFonts w:eastAsia="Times New Roman" w:cs="Tahoma"/>
          <w:b/>
          <w:bCs/>
          <w:iCs/>
          <w:color w:val="auto"/>
          <w:lang w:eastAsia="es-ES"/>
        </w:rPr>
        <w:t>imágenes de la documentación comprobatoria y justificativa de los egresos y de las respectivas pólizas</w:t>
      </w:r>
      <w:r w:rsidRPr="00AC739B">
        <w:rPr>
          <w:rFonts w:eastAsia="Times New Roman" w:cs="Tahoma"/>
          <w:iCs/>
          <w:color w:val="auto"/>
          <w:lang w:eastAsia="es-ES"/>
        </w:rPr>
        <w:t xml:space="preserve">, los cuales incluyen los Comprobantes Fiscales Digitales por Internet, facturas o recibos. </w:t>
      </w:r>
    </w:p>
    <w:p w14:paraId="532D856B" w14:textId="77777777" w:rsidR="006E26AA" w:rsidRPr="00AC739B" w:rsidRDefault="006E26AA" w:rsidP="005032B4">
      <w:pPr>
        <w:spacing w:after="0" w:line="360" w:lineRule="auto"/>
        <w:contextualSpacing/>
        <w:rPr>
          <w:rFonts w:eastAsia="Times New Roman" w:cs="Tahoma"/>
          <w:iCs/>
          <w:color w:val="auto"/>
          <w:lang w:eastAsia="es-ES"/>
        </w:rPr>
      </w:pPr>
    </w:p>
    <w:p w14:paraId="3EDD267A" w14:textId="77777777" w:rsidR="006E26AA" w:rsidRPr="00AC739B" w:rsidRDefault="006E26AA" w:rsidP="005032B4">
      <w:pPr>
        <w:spacing w:after="0" w:line="360" w:lineRule="auto"/>
        <w:contextualSpacing/>
        <w:rPr>
          <w:rFonts w:eastAsia="Times New Roman" w:cs="Tahoma"/>
          <w:iCs/>
          <w:color w:val="auto"/>
          <w:lang w:eastAsia="es-ES"/>
        </w:rPr>
      </w:pPr>
      <w:r w:rsidRPr="00AC739B">
        <w:rPr>
          <w:rFonts w:eastAsia="Times New Roman" w:cs="Tahoma"/>
          <w:iCs/>
          <w:color w:val="auto"/>
          <w:lang w:eastAsia="es-ES"/>
        </w:rPr>
        <w:lastRenderedPageBreak/>
        <w:t>En ese contexto, los Sujetos Obligados deben generar pólizas contables que corresponden a un documento en el que se asientan las operaciones desarrolladas, por el municipio y toda la información necesaria para su identificación, de conformidad con la Guía Técnica 8 “La Contabilidad y la Cuenta Pública Municipal”; además, dichas pólizas se dividen en las siguientes:</w:t>
      </w:r>
      <w:r w:rsidRPr="00AC739B">
        <w:rPr>
          <w:rFonts w:eastAsia="Times New Roman" w:cs="Tahoma"/>
          <w:iCs/>
          <w:color w:val="auto"/>
          <w:lang w:eastAsia="es-ES"/>
        </w:rPr>
        <w:cr/>
      </w:r>
    </w:p>
    <w:p w14:paraId="4519F0AF" w14:textId="77777777" w:rsidR="006E26AA" w:rsidRPr="00AC739B" w:rsidRDefault="006E26AA" w:rsidP="005032B4">
      <w:pPr>
        <w:numPr>
          <w:ilvl w:val="0"/>
          <w:numId w:val="25"/>
        </w:numPr>
        <w:spacing w:after="0" w:line="360" w:lineRule="auto"/>
        <w:contextualSpacing/>
        <w:rPr>
          <w:rFonts w:eastAsia="Times New Roman" w:cs="Tahoma"/>
          <w:bCs/>
          <w:iCs/>
          <w:color w:val="auto"/>
          <w:lang w:eastAsia="es-ES"/>
        </w:rPr>
      </w:pPr>
      <w:r w:rsidRPr="00AC739B">
        <w:rPr>
          <w:rFonts w:eastAsia="Times New Roman" w:cs="Tahoma"/>
          <w:b/>
          <w:iCs/>
          <w:color w:val="auto"/>
          <w:lang w:eastAsia="es-ES"/>
        </w:rPr>
        <w:t>Póliza de Egresos:</w:t>
      </w:r>
      <w:r w:rsidRPr="00AC739B">
        <w:rPr>
          <w:rFonts w:eastAsia="Times New Roman" w:cs="Tahoma"/>
          <w:bCs/>
          <w:iCs/>
          <w:color w:val="auto"/>
          <w:lang w:eastAsia="es-ES"/>
        </w:rPr>
        <w:t xml:space="preserve"> Corresponde a aquella donde se anotan las operaciones que implique egresos, es decir, la salida de dinero, en efectivo o transferencia, para el municipio.</w:t>
      </w:r>
    </w:p>
    <w:p w14:paraId="0F3345AA" w14:textId="77777777" w:rsidR="006E26AA" w:rsidRPr="00AC739B" w:rsidRDefault="006E26AA" w:rsidP="005032B4">
      <w:pPr>
        <w:spacing w:after="0" w:line="360" w:lineRule="auto"/>
        <w:contextualSpacing/>
        <w:rPr>
          <w:rFonts w:eastAsia="Times New Roman" w:cs="Tahoma"/>
          <w:bCs/>
          <w:iCs/>
          <w:color w:val="auto"/>
          <w:lang w:eastAsia="es-ES"/>
        </w:rPr>
      </w:pPr>
    </w:p>
    <w:p w14:paraId="3D04474D" w14:textId="77777777" w:rsidR="006E26AA" w:rsidRPr="00AC739B" w:rsidRDefault="006E26AA" w:rsidP="005032B4">
      <w:pPr>
        <w:numPr>
          <w:ilvl w:val="0"/>
          <w:numId w:val="25"/>
        </w:numPr>
        <w:spacing w:after="0" w:line="360" w:lineRule="auto"/>
        <w:contextualSpacing/>
        <w:rPr>
          <w:rFonts w:eastAsia="Times New Roman" w:cs="Tahoma"/>
          <w:bCs/>
          <w:iCs/>
          <w:color w:val="auto"/>
          <w:lang w:eastAsia="es-ES"/>
        </w:rPr>
      </w:pPr>
      <w:r w:rsidRPr="00AC739B">
        <w:rPr>
          <w:rFonts w:eastAsia="Times New Roman" w:cs="Tahoma"/>
          <w:b/>
          <w:iCs/>
          <w:color w:val="auto"/>
          <w:lang w:eastAsia="es-ES"/>
        </w:rPr>
        <w:t>Póliza Cheque:</w:t>
      </w:r>
      <w:r w:rsidRPr="00AC739B">
        <w:rPr>
          <w:rFonts w:eastAsia="Times New Roman" w:cs="Tahoma"/>
          <w:bCs/>
          <w:iCs/>
          <w:color w:val="auto"/>
          <w:lang w:eastAsia="es-ES"/>
        </w:rPr>
        <w:t xml:space="preserve"> Es la que se elabora cuando la operación implique una salida de dinero del municipio, a través de un cheque.</w:t>
      </w:r>
    </w:p>
    <w:p w14:paraId="683025D1" w14:textId="77777777" w:rsidR="006E26AA" w:rsidRPr="00AC739B" w:rsidRDefault="006E26AA" w:rsidP="005032B4">
      <w:pPr>
        <w:spacing w:after="0" w:line="360" w:lineRule="auto"/>
        <w:contextualSpacing/>
        <w:rPr>
          <w:rFonts w:eastAsia="Times New Roman" w:cs="Tahoma"/>
          <w:bCs/>
          <w:iCs/>
          <w:color w:val="auto"/>
          <w:lang w:eastAsia="es-ES"/>
        </w:rPr>
      </w:pPr>
    </w:p>
    <w:p w14:paraId="1A27C2C2" w14:textId="77777777" w:rsidR="006E26AA" w:rsidRPr="00AC739B" w:rsidRDefault="006E26AA" w:rsidP="005032B4">
      <w:pPr>
        <w:spacing w:after="0" w:line="360" w:lineRule="auto"/>
        <w:contextualSpacing/>
        <w:rPr>
          <w:rFonts w:eastAsia="Times New Roman" w:cs="Tahoma"/>
          <w:bCs/>
          <w:iCs/>
          <w:color w:val="auto"/>
          <w:lang w:eastAsia="es-ES"/>
        </w:rPr>
      </w:pPr>
      <w:r w:rsidRPr="00AC739B">
        <w:rPr>
          <w:rFonts w:eastAsia="Times New Roman" w:cs="Tahoma"/>
          <w:bCs/>
          <w:iCs/>
          <w:color w:val="auto"/>
          <w:lang w:eastAsia="es-ES"/>
        </w:rPr>
        <w:t xml:space="preserve">Además, en el apartado de </w:t>
      </w:r>
      <w:r w:rsidRPr="00AC739B">
        <w:rPr>
          <w:rFonts w:eastAsia="Times New Roman" w:cs="Tahoma"/>
          <w:b/>
          <w:iCs/>
          <w:color w:val="auto"/>
          <w:lang w:eastAsia="es-ES"/>
        </w:rPr>
        <w:t>“Aspectos a tomar en cuenta para la integración de las Pólizas contables y documentación comprobatoria”</w:t>
      </w:r>
      <w:r w:rsidRPr="00AC739B">
        <w:rPr>
          <w:rFonts w:eastAsia="Times New Roman" w:cs="Tahoma"/>
          <w:bCs/>
          <w:iCs/>
          <w:color w:val="auto"/>
          <w:lang w:eastAsia="es-ES"/>
        </w:rPr>
        <w:t>, se precisa que dichos documentos deberán contener las imágenes de la documentación comprobatoria y justificativa de los egresos y de las respectivas pólizas, de la entidad.</w:t>
      </w:r>
    </w:p>
    <w:p w14:paraId="02673B50" w14:textId="77777777" w:rsidR="006E26AA" w:rsidRPr="00AC739B" w:rsidRDefault="006E26AA" w:rsidP="005032B4">
      <w:pPr>
        <w:spacing w:after="0" w:line="360" w:lineRule="auto"/>
        <w:contextualSpacing/>
        <w:rPr>
          <w:rFonts w:eastAsia="Times New Roman" w:cs="Tahoma"/>
          <w:iCs/>
          <w:color w:val="auto"/>
          <w:lang w:eastAsia="es-ES"/>
        </w:rPr>
      </w:pPr>
    </w:p>
    <w:p w14:paraId="4CF0EE66" w14:textId="104A6929" w:rsidR="006E26AA" w:rsidRPr="00AC739B" w:rsidRDefault="006E26AA" w:rsidP="005032B4">
      <w:pPr>
        <w:spacing w:after="0" w:line="360" w:lineRule="auto"/>
        <w:contextualSpacing/>
        <w:rPr>
          <w:rFonts w:eastAsia="Times New Roman" w:cs="Tahoma"/>
          <w:iCs/>
          <w:color w:val="auto"/>
          <w:lang w:val="es-ES_tradnl" w:eastAsia="es-ES"/>
        </w:rPr>
      </w:pPr>
      <w:r w:rsidRPr="00AC739B">
        <w:rPr>
          <w:rFonts w:eastAsia="Times New Roman" w:cs="Tahoma"/>
          <w:iCs/>
          <w:color w:val="auto"/>
          <w:lang w:val="es-ES_tradnl" w:eastAsia="es-ES"/>
        </w:rPr>
        <w:t>En relación con</w:t>
      </w:r>
      <w:r w:rsidR="000362D0" w:rsidRPr="00AC739B">
        <w:rPr>
          <w:rFonts w:eastAsia="Times New Roman" w:cs="Tahoma"/>
          <w:iCs/>
          <w:color w:val="auto"/>
          <w:lang w:val="es-ES_tradnl" w:eastAsia="es-ES"/>
        </w:rPr>
        <w:t xml:space="preserve"> el Sistema de Radio y Televisión Mexiquense</w:t>
      </w:r>
      <w:r w:rsidRPr="00AC739B">
        <w:rPr>
          <w:rFonts w:eastAsia="Times New Roman" w:cs="Tahoma"/>
          <w:iCs/>
          <w:color w:val="auto"/>
          <w:lang w:val="es-ES_tradnl" w:eastAsia="es-ES"/>
        </w:rPr>
        <w:t xml:space="preserve">, </w:t>
      </w:r>
      <w:r w:rsidR="000362D0" w:rsidRPr="00AC739B">
        <w:rPr>
          <w:rFonts w:eastAsia="Times New Roman" w:cs="Tahoma"/>
          <w:iCs/>
          <w:color w:val="auto"/>
          <w:lang w:val="es-ES_tradnl" w:eastAsia="es-ES"/>
        </w:rPr>
        <w:t xml:space="preserve">cabe precisar que mediante decreto del Ejecutivo del Estado publicado en el Periódico Oficial “Gaceta de Gobierno” del Estado de México del once de diciembre de dos mil veinte, se crea el Sistema Mexiquense de Medios Públicos, y en su Transitorio Tercero establece que se abroga la Ley que crea al </w:t>
      </w:r>
      <w:r w:rsidR="008B2C31" w:rsidRPr="00AC739B">
        <w:rPr>
          <w:rFonts w:eastAsia="Times New Roman" w:cs="Tahoma"/>
          <w:iCs/>
          <w:color w:val="auto"/>
          <w:lang w:val="es-ES_tradnl" w:eastAsia="es-ES"/>
        </w:rPr>
        <w:t>S</w:t>
      </w:r>
      <w:r w:rsidR="000362D0" w:rsidRPr="00AC739B">
        <w:rPr>
          <w:rFonts w:eastAsia="Times New Roman" w:cs="Tahoma"/>
          <w:iCs/>
          <w:color w:val="auto"/>
          <w:lang w:val="es-ES_tradnl" w:eastAsia="es-ES"/>
        </w:rPr>
        <w:t xml:space="preserve">istema de Radio y Televisión Mexiquense.  </w:t>
      </w:r>
    </w:p>
    <w:p w14:paraId="24956DC2" w14:textId="13A06A58" w:rsidR="000362D0" w:rsidRPr="00AC739B" w:rsidRDefault="000362D0" w:rsidP="005032B4">
      <w:pPr>
        <w:spacing w:after="0" w:line="360" w:lineRule="auto"/>
        <w:contextualSpacing/>
        <w:rPr>
          <w:rFonts w:eastAsia="Times New Roman" w:cs="Tahoma"/>
          <w:iCs/>
          <w:color w:val="auto"/>
          <w:lang w:val="es-ES_tradnl" w:eastAsia="es-ES"/>
        </w:rPr>
      </w:pPr>
    </w:p>
    <w:p w14:paraId="0C1C74A9" w14:textId="4966799E" w:rsidR="000362D0" w:rsidRPr="00AC739B" w:rsidRDefault="000362D0" w:rsidP="005032B4">
      <w:pPr>
        <w:spacing w:after="0" w:line="360" w:lineRule="auto"/>
        <w:contextualSpacing/>
        <w:rPr>
          <w:rFonts w:eastAsia="Times New Roman" w:cs="Tahoma"/>
          <w:iCs/>
          <w:color w:val="auto"/>
          <w:lang w:eastAsia="es-ES"/>
        </w:rPr>
      </w:pPr>
      <w:r w:rsidRPr="00AC739B">
        <w:rPr>
          <w:rFonts w:eastAsia="Times New Roman" w:cs="Tahoma"/>
          <w:iCs/>
          <w:color w:val="auto"/>
          <w:lang w:val="es-ES_tradnl" w:eastAsia="es-ES"/>
        </w:rPr>
        <w:t>Sobre lo anterior, el Manual General de Organización del Sistema de Medios Públicos precisa</w:t>
      </w:r>
      <w:r w:rsidR="0088315D" w:rsidRPr="00AC739B">
        <w:rPr>
          <w:rFonts w:eastAsia="Times New Roman" w:cs="Tahoma"/>
          <w:iCs/>
          <w:color w:val="auto"/>
          <w:lang w:val="es-ES_tradnl" w:eastAsia="es-ES"/>
        </w:rPr>
        <w:t xml:space="preserve"> que el objetivo general del entonces Sistema de Radio y Televisión Mexiquense es operar, </w:t>
      </w:r>
      <w:r w:rsidR="0088315D" w:rsidRPr="00AC739B">
        <w:rPr>
          <w:rFonts w:eastAsia="Times New Roman" w:cs="Tahoma"/>
          <w:iCs/>
          <w:color w:val="auto"/>
          <w:lang w:eastAsia="es-ES"/>
        </w:rPr>
        <w:t xml:space="preserve">diversificar y ampliar los canales de comunicación radiofónica, televisiva y digital para dar </w:t>
      </w:r>
      <w:r w:rsidR="0088315D" w:rsidRPr="00AC739B">
        <w:rPr>
          <w:rFonts w:eastAsia="Times New Roman" w:cs="Tahoma"/>
          <w:iCs/>
          <w:color w:val="auto"/>
          <w:lang w:eastAsia="es-ES"/>
        </w:rPr>
        <w:lastRenderedPageBreak/>
        <w:t>a conocer a la opinión pública las manifestaciones políticas, culturales, artísticas, educativas y deportivas que se suscitan tanto en territorio mexiquense como en los ámbitos emprendidos por el Gobierno del Estado de México, para ofrecer una comunicación de servicios públicos, fortalecer la identidad mexiquense, propiciar la solidaridad de las y los habitantes de la entidad y fomentar la cultura democrática y de equidad de género.</w:t>
      </w:r>
    </w:p>
    <w:p w14:paraId="7B5476C4" w14:textId="725D2B45" w:rsidR="0088315D" w:rsidRPr="00AC739B" w:rsidRDefault="0088315D" w:rsidP="005032B4">
      <w:pPr>
        <w:spacing w:after="0" w:line="360" w:lineRule="auto"/>
        <w:contextualSpacing/>
        <w:rPr>
          <w:rFonts w:eastAsia="Times New Roman" w:cs="Tahoma"/>
          <w:iCs/>
          <w:color w:val="auto"/>
          <w:lang w:eastAsia="es-ES"/>
        </w:rPr>
      </w:pPr>
    </w:p>
    <w:p w14:paraId="7B51EFD2" w14:textId="704A0CBF" w:rsidR="0088315D" w:rsidRPr="00AC739B" w:rsidRDefault="0088315D" w:rsidP="005032B4">
      <w:pPr>
        <w:spacing w:after="0" w:line="360" w:lineRule="auto"/>
        <w:contextualSpacing/>
      </w:pPr>
      <w:r w:rsidRPr="00AC739B">
        <w:rPr>
          <w:rFonts w:eastAsia="Times New Roman" w:cs="Tahoma"/>
          <w:iCs/>
          <w:color w:val="auto"/>
          <w:lang w:eastAsia="es-ES"/>
        </w:rPr>
        <w:t xml:space="preserve">Asimismo, se localizó en la página oficial del Ayuntamiento de Toluca, el Estado Analítico de la Deuda y Otros Pasivos correspondiente al ejercicio fiscal dos mil veintiuno (consultado en la liga electrónica </w:t>
      </w:r>
      <w:hyperlink r:id="rId8" w:history="1">
        <w:r w:rsidRPr="00AC739B">
          <w:rPr>
            <w:rStyle w:val="Hipervnculo"/>
          </w:rPr>
          <w:t>tol-pdf-Estado_Analitico_de_la_Deuda_y_Otros_Pasivos-2021.pdf</w:t>
        </w:r>
      </w:hyperlink>
      <w:r w:rsidRPr="00AC739B">
        <w:t xml:space="preserve">) del cual se logró vislumbrar lo siguiente: </w:t>
      </w:r>
    </w:p>
    <w:p w14:paraId="63D7E58F" w14:textId="6C8E879F" w:rsidR="0088315D" w:rsidRPr="00AC739B" w:rsidRDefault="0088315D" w:rsidP="005032B4">
      <w:pPr>
        <w:spacing w:after="0" w:line="360" w:lineRule="auto"/>
        <w:contextualSpacing/>
      </w:pPr>
    </w:p>
    <w:p w14:paraId="32F5D573" w14:textId="6B5BBC15" w:rsidR="0088315D" w:rsidRPr="00AC739B" w:rsidRDefault="0088315D" w:rsidP="005032B4">
      <w:pPr>
        <w:spacing w:after="0" w:line="360" w:lineRule="auto"/>
        <w:contextualSpacing/>
        <w:rPr>
          <w:rFonts w:eastAsia="Times New Roman" w:cs="Tahoma"/>
          <w:iCs/>
          <w:color w:val="auto"/>
          <w:lang w:val="es-ES" w:eastAsia="es-ES"/>
        </w:rPr>
      </w:pPr>
      <w:r w:rsidRPr="00AC739B">
        <w:rPr>
          <w:rFonts w:eastAsia="Times New Roman" w:cs="Tahoma"/>
          <w:iCs/>
          <w:noProof/>
          <w:color w:val="auto"/>
          <w:lang w:eastAsia="es-MX"/>
        </w:rPr>
        <w:drawing>
          <wp:inline distT="0" distB="0" distL="0" distR="0" wp14:anchorId="2DE7ABC6" wp14:editId="772AB2F5">
            <wp:extent cx="5671185" cy="125730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6420"/>
                    <a:stretch/>
                  </pic:blipFill>
                  <pic:spPr bwMode="auto">
                    <a:xfrm>
                      <a:off x="0" y="0"/>
                      <a:ext cx="5671185" cy="1257300"/>
                    </a:xfrm>
                    <a:prstGeom prst="rect">
                      <a:avLst/>
                    </a:prstGeom>
                    <a:ln>
                      <a:noFill/>
                    </a:ln>
                    <a:extLst>
                      <a:ext uri="{53640926-AAD7-44D8-BBD7-CCE9431645EC}">
                        <a14:shadowObscured xmlns:a14="http://schemas.microsoft.com/office/drawing/2010/main"/>
                      </a:ext>
                    </a:extLst>
                  </pic:spPr>
                </pic:pic>
              </a:graphicData>
            </a:graphic>
          </wp:inline>
        </w:drawing>
      </w:r>
    </w:p>
    <w:p w14:paraId="279D83D3" w14:textId="60D6F81D" w:rsidR="0088315D" w:rsidRPr="00AC739B" w:rsidRDefault="0088315D" w:rsidP="005032B4">
      <w:pPr>
        <w:spacing w:after="0" w:line="360" w:lineRule="auto"/>
        <w:contextualSpacing/>
        <w:jc w:val="center"/>
        <w:rPr>
          <w:rFonts w:eastAsia="Times New Roman" w:cs="Tahoma"/>
          <w:iCs/>
          <w:color w:val="auto"/>
          <w:lang w:val="es-ES" w:eastAsia="es-ES"/>
        </w:rPr>
      </w:pPr>
      <w:r w:rsidRPr="00AC739B">
        <w:rPr>
          <w:rFonts w:eastAsia="Times New Roman" w:cs="Tahoma"/>
          <w:iCs/>
          <w:color w:val="auto"/>
          <w:lang w:val="es-ES" w:eastAsia="es-ES"/>
        </w:rPr>
        <w:t>…</w:t>
      </w:r>
    </w:p>
    <w:p w14:paraId="0D918B35" w14:textId="69ACE9D2" w:rsidR="0088315D" w:rsidRPr="00AC739B" w:rsidRDefault="0088315D" w:rsidP="005032B4">
      <w:pPr>
        <w:spacing w:after="0" w:line="360" w:lineRule="auto"/>
        <w:contextualSpacing/>
        <w:jc w:val="center"/>
        <w:rPr>
          <w:rFonts w:eastAsia="Times New Roman" w:cs="Tahoma"/>
          <w:iCs/>
          <w:color w:val="auto"/>
          <w:lang w:val="es-ES" w:eastAsia="es-ES"/>
        </w:rPr>
      </w:pPr>
      <w:r w:rsidRPr="00AC739B">
        <w:rPr>
          <w:rFonts w:eastAsia="Times New Roman" w:cs="Tahoma"/>
          <w:iCs/>
          <w:noProof/>
          <w:color w:val="auto"/>
          <w:lang w:eastAsia="es-MX"/>
        </w:rPr>
        <w:drawing>
          <wp:inline distT="0" distB="0" distL="0" distR="0" wp14:anchorId="7B8704C8" wp14:editId="57E16DE1">
            <wp:extent cx="5669463" cy="676733"/>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56003"/>
                    <a:stretch/>
                  </pic:blipFill>
                  <pic:spPr bwMode="auto">
                    <a:xfrm>
                      <a:off x="0" y="0"/>
                      <a:ext cx="5671185" cy="676939"/>
                    </a:xfrm>
                    <a:prstGeom prst="rect">
                      <a:avLst/>
                    </a:prstGeom>
                    <a:ln>
                      <a:noFill/>
                    </a:ln>
                    <a:extLst>
                      <a:ext uri="{53640926-AAD7-44D8-BBD7-CCE9431645EC}">
                        <a14:shadowObscured xmlns:a14="http://schemas.microsoft.com/office/drawing/2010/main"/>
                      </a:ext>
                    </a:extLst>
                  </pic:spPr>
                </pic:pic>
              </a:graphicData>
            </a:graphic>
          </wp:inline>
        </w:drawing>
      </w:r>
    </w:p>
    <w:p w14:paraId="47F31102" w14:textId="52E050CB" w:rsidR="007B5D0A" w:rsidRPr="00AC739B" w:rsidRDefault="007B5D0A" w:rsidP="005032B4">
      <w:pPr>
        <w:spacing w:after="0" w:line="360" w:lineRule="auto"/>
        <w:contextualSpacing/>
        <w:rPr>
          <w:rFonts w:eastAsia="Times New Roman" w:cs="Tahoma"/>
          <w:iCs/>
          <w:color w:val="auto"/>
          <w:lang w:val="es-ES" w:eastAsia="es-ES"/>
        </w:rPr>
      </w:pPr>
    </w:p>
    <w:p w14:paraId="68538DEE" w14:textId="2F1164A9" w:rsidR="007B5D0A" w:rsidRPr="00AC739B" w:rsidRDefault="007B5D0A" w:rsidP="005032B4">
      <w:pPr>
        <w:spacing w:after="0" w:line="360" w:lineRule="auto"/>
        <w:contextualSpacing/>
        <w:rPr>
          <w:rFonts w:eastAsia="Times New Roman" w:cs="Tahoma"/>
          <w:iCs/>
          <w:color w:val="auto"/>
          <w:lang w:eastAsia="es-ES"/>
        </w:rPr>
      </w:pPr>
      <w:r w:rsidRPr="00AC739B">
        <w:rPr>
          <w:rFonts w:eastAsia="Times New Roman" w:cs="Tahoma"/>
          <w:iCs/>
          <w:color w:val="auto"/>
          <w:lang w:eastAsia="es-ES"/>
        </w:rPr>
        <w:t xml:space="preserve">Conforme a lo anterior, se logra vislumbrar que la pretensión del ahora </w:t>
      </w:r>
      <w:proofErr w:type="gramStart"/>
      <w:r w:rsidRPr="00AC739B">
        <w:rPr>
          <w:rFonts w:eastAsia="Times New Roman" w:cs="Tahoma"/>
          <w:iCs/>
          <w:color w:val="auto"/>
          <w:lang w:eastAsia="es-ES"/>
        </w:rPr>
        <w:t>Recurrente,</w:t>
      </w:r>
      <w:proofErr w:type="gramEnd"/>
      <w:r w:rsidRPr="00AC739B">
        <w:rPr>
          <w:rFonts w:eastAsia="Times New Roman" w:cs="Tahoma"/>
          <w:iCs/>
          <w:color w:val="auto"/>
          <w:lang w:eastAsia="es-ES"/>
        </w:rPr>
        <w:t xml:space="preserve"> es obtener los documentos que </w:t>
      </w:r>
      <w:r w:rsidR="00063884" w:rsidRPr="00AC739B">
        <w:rPr>
          <w:rFonts w:eastAsia="Times New Roman" w:cs="Tahoma"/>
          <w:iCs/>
          <w:color w:val="auto"/>
          <w:lang w:eastAsia="es-ES"/>
        </w:rPr>
        <w:t xml:space="preserve">den cuenta del comprobante de pago del adeudo con el Sistema de Radio y Televisión Mexiquense por la cantidad de seiscientos veinticinco </w:t>
      </w:r>
      <w:r w:rsidR="008E4ACC" w:rsidRPr="00AC739B">
        <w:rPr>
          <w:rFonts w:eastAsia="Times New Roman" w:cs="Tahoma"/>
          <w:iCs/>
          <w:color w:val="auto"/>
          <w:lang w:eastAsia="es-ES"/>
        </w:rPr>
        <w:t>mil pesos</w:t>
      </w:r>
      <w:r w:rsidR="00063884" w:rsidRPr="00AC739B">
        <w:rPr>
          <w:rFonts w:eastAsia="Times New Roman" w:cs="Tahoma"/>
          <w:iCs/>
          <w:color w:val="auto"/>
          <w:lang w:eastAsia="es-ES"/>
        </w:rPr>
        <w:t xml:space="preserve"> establecido en el Estado Analítico de la Deuda y Otros Pasivos </w:t>
      </w:r>
      <w:r w:rsidR="008E4ACC" w:rsidRPr="00AC739B">
        <w:rPr>
          <w:rFonts w:eastAsia="Times New Roman" w:cs="Tahoma"/>
          <w:iCs/>
          <w:color w:val="auto"/>
          <w:lang w:eastAsia="es-ES"/>
        </w:rPr>
        <w:t>del primero</w:t>
      </w:r>
      <w:r w:rsidR="00063884" w:rsidRPr="00AC739B">
        <w:rPr>
          <w:rFonts w:eastAsia="Times New Roman" w:cs="Tahoma"/>
          <w:iCs/>
          <w:color w:val="auto"/>
          <w:lang w:eastAsia="es-ES"/>
        </w:rPr>
        <w:t xml:space="preserve"> de enero al treinta y uno de diciembre de dos mil veintiuno</w:t>
      </w:r>
      <w:r w:rsidR="00B17F6D" w:rsidRPr="00AC739B">
        <w:rPr>
          <w:rFonts w:eastAsia="Times New Roman" w:cs="Tahoma"/>
          <w:iCs/>
          <w:color w:val="auto"/>
          <w:lang w:eastAsia="es-ES"/>
        </w:rPr>
        <w:t>, en su caso,</w:t>
      </w:r>
      <w:r w:rsidR="00063884" w:rsidRPr="00AC739B">
        <w:rPr>
          <w:rFonts w:eastAsia="Times New Roman" w:cs="Tahoma"/>
          <w:iCs/>
          <w:color w:val="auto"/>
          <w:lang w:eastAsia="es-ES"/>
        </w:rPr>
        <w:t xml:space="preserve"> el estado que guarda el adeudo al seis de diciembre de dos mil veinticuatro. </w:t>
      </w:r>
    </w:p>
    <w:p w14:paraId="6878D56D" w14:textId="6AF3BC5C" w:rsidR="007B5D0A" w:rsidRPr="00AC739B" w:rsidRDefault="007B5D0A" w:rsidP="005032B4">
      <w:pPr>
        <w:spacing w:after="0" w:line="360" w:lineRule="auto"/>
        <w:contextualSpacing/>
        <w:rPr>
          <w:rFonts w:eastAsia="Times New Roman" w:cs="Tahoma"/>
          <w:iCs/>
          <w:color w:val="auto"/>
          <w:lang w:eastAsia="es-ES"/>
        </w:rPr>
      </w:pPr>
      <w:r w:rsidRPr="00AC739B">
        <w:rPr>
          <w:rFonts w:eastAsia="Times New Roman" w:cs="Tahoma"/>
          <w:iCs/>
          <w:color w:val="auto"/>
          <w:lang w:eastAsia="es-ES"/>
        </w:rPr>
        <w:lastRenderedPageBreak/>
        <w:t xml:space="preserve">Establecida dicha circunstancia, se procede analizar la respuesta entregada, para lo cual, es de señalar que de las constancias que de las constancias que obran en el expediente, se logra vislumbrar que el Sujeto Obligado turno la solicitud de información a la </w:t>
      </w:r>
      <w:r w:rsidR="00DD2E0C" w:rsidRPr="00AC739B">
        <w:rPr>
          <w:rFonts w:eastAsia="Times New Roman" w:cs="Tahoma"/>
          <w:iCs/>
          <w:color w:val="auto"/>
          <w:lang w:eastAsia="es-ES"/>
        </w:rPr>
        <w:t>Tesorería Municipal</w:t>
      </w:r>
      <w:r w:rsidRPr="00AC739B">
        <w:rPr>
          <w:rFonts w:eastAsia="Times New Roman" w:cs="Tahoma"/>
          <w:iCs/>
          <w:color w:val="auto"/>
          <w:lang w:eastAsia="es-ES"/>
        </w:rPr>
        <w:t>;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7EA09B00" w14:textId="77777777" w:rsidR="007B5D0A" w:rsidRPr="00AC739B" w:rsidRDefault="007B5D0A" w:rsidP="005032B4">
      <w:pPr>
        <w:spacing w:after="0" w:line="360" w:lineRule="auto"/>
        <w:contextualSpacing/>
        <w:rPr>
          <w:rFonts w:eastAsia="Times New Roman" w:cs="Tahoma"/>
          <w:iCs/>
          <w:color w:val="auto"/>
          <w:lang w:eastAsia="es-ES"/>
        </w:rPr>
      </w:pPr>
    </w:p>
    <w:p w14:paraId="7267381F" w14:textId="170A5FE1" w:rsidR="007B5D0A" w:rsidRPr="00AC739B" w:rsidRDefault="007B5D0A" w:rsidP="005032B4">
      <w:pPr>
        <w:spacing w:after="0" w:line="360" w:lineRule="auto"/>
        <w:contextualSpacing/>
        <w:rPr>
          <w:rFonts w:eastAsia="Times New Roman" w:cs="Tahoma"/>
          <w:iCs/>
          <w:color w:val="auto"/>
          <w:lang w:eastAsia="es-ES"/>
        </w:rPr>
      </w:pPr>
      <w:r w:rsidRPr="00AC739B">
        <w:rPr>
          <w:rFonts w:eastAsia="Times New Roman" w:cs="Tahoma"/>
          <w:iCs/>
          <w:color w:val="auto"/>
          <w:lang w:eastAsia="es-ES"/>
        </w:rPr>
        <w:t xml:space="preserve">Así, a efecto de determinar si el Sujeto Obligado cumplió con el procedimiento de búsqueda, resulta necesario citar los artículos 3.1, 3.2, fracción I, </w:t>
      </w:r>
      <w:r w:rsidR="00DD2E0C" w:rsidRPr="00AC739B">
        <w:rPr>
          <w:rFonts w:eastAsia="Times New Roman" w:cs="Tahoma"/>
          <w:iCs/>
          <w:color w:val="auto"/>
          <w:lang w:eastAsia="es-ES"/>
        </w:rPr>
        <w:t>numeral 1</w:t>
      </w:r>
      <w:r w:rsidRPr="00AC739B">
        <w:rPr>
          <w:rFonts w:eastAsia="Times New Roman" w:cs="Tahoma"/>
          <w:iCs/>
          <w:color w:val="auto"/>
          <w:lang w:eastAsia="es-ES"/>
        </w:rPr>
        <w:t xml:space="preserve"> y 3.</w:t>
      </w:r>
      <w:r w:rsidR="00DD2E0C" w:rsidRPr="00AC739B">
        <w:rPr>
          <w:rFonts w:eastAsia="Times New Roman" w:cs="Tahoma"/>
          <w:iCs/>
          <w:color w:val="auto"/>
          <w:lang w:eastAsia="es-ES"/>
        </w:rPr>
        <w:t xml:space="preserve">19, </w:t>
      </w:r>
      <w:r w:rsidRPr="00AC739B">
        <w:rPr>
          <w:rFonts w:eastAsia="Times New Roman" w:cs="Tahoma"/>
          <w:iCs/>
          <w:color w:val="auto"/>
          <w:lang w:eastAsia="es-ES"/>
        </w:rPr>
        <w:t xml:space="preserve">del Código Reglamentario Municipal de Toluca, que establece que el Ayuntamiento cuenta con diversas unidades administrativas para el ejercicio de sus funciones, entre las cuales se encuentra la </w:t>
      </w:r>
      <w:r w:rsidR="007C5098" w:rsidRPr="00AC739B">
        <w:rPr>
          <w:rFonts w:eastAsia="Times New Roman" w:cs="Tahoma"/>
          <w:iCs/>
          <w:color w:val="auto"/>
          <w:lang w:eastAsia="es-ES"/>
        </w:rPr>
        <w:t xml:space="preserve">Tesorería Municipal, encargada de supervisar el registro y control de las operaciones financieras presupuestales y contables , revisar y autorizar la integración de los informes mensuales y la cuenta pública anual del Municipio y para tal efecto se auxiliará de la Dirección de  Egresos, encargada de realizar la programación de los pagos que se deben de efectuar con cargo al presupuesto de egresos del Ayuntamiento, y la Dirección de Contaduría, responsable de registrar y controlar las operaciones financieras, presupuestales y contables </w:t>
      </w:r>
      <w:r w:rsidR="00D96AF9" w:rsidRPr="00AC739B">
        <w:rPr>
          <w:rFonts w:eastAsia="Times New Roman" w:cs="Tahoma"/>
          <w:iCs/>
          <w:color w:val="auto"/>
          <w:lang w:eastAsia="es-ES"/>
        </w:rPr>
        <w:t xml:space="preserve">que emanen de las dependencias de la Administración Pública Municipal, el registro contable de los ingresos y egresos públicos y las operaciones financieras del Municipio. </w:t>
      </w:r>
    </w:p>
    <w:p w14:paraId="7CE0F777" w14:textId="77777777" w:rsidR="007B5D0A" w:rsidRPr="00AC739B" w:rsidRDefault="007B5D0A" w:rsidP="005032B4">
      <w:pPr>
        <w:spacing w:after="0" w:line="360" w:lineRule="auto"/>
        <w:contextualSpacing/>
        <w:rPr>
          <w:rFonts w:eastAsia="Times New Roman" w:cs="Tahoma"/>
          <w:iCs/>
          <w:color w:val="auto"/>
          <w:lang w:eastAsia="es-ES"/>
        </w:rPr>
      </w:pPr>
    </w:p>
    <w:p w14:paraId="5D829A52" w14:textId="1BE89A35" w:rsidR="007B5D0A" w:rsidRPr="00AC739B" w:rsidRDefault="007B5D0A" w:rsidP="005032B4">
      <w:pPr>
        <w:spacing w:after="0" w:line="360" w:lineRule="auto"/>
        <w:contextualSpacing/>
        <w:rPr>
          <w:rFonts w:eastAsia="Times New Roman" w:cs="Tahoma"/>
          <w:iCs/>
          <w:color w:val="auto"/>
          <w:lang w:eastAsia="es-ES"/>
        </w:rPr>
      </w:pPr>
      <w:r w:rsidRPr="00AC739B">
        <w:rPr>
          <w:rFonts w:eastAsia="Times New Roman" w:cs="Tahoma"/>
          <w:iCs/>
          <w:color w:val="auto"/>
          <w:lang w:eastAsia="es-ES"/>
        </w:rPr>
        <w:lastRenderedPageBreak/>
        <w:t xml:space="preserve">Conforme a lo anterior, se logra vislumbrar que </w:t>
      </w:r>
      <w:r w:rsidR="001C137C" w:rsidRPr="00AC739B">
        <w:rPr>
          <w:rFonts w:eastAsia="Times New Roman" w:cs="Tahoma"/>
          <w:iCs/>
          <w:color w:val="auto"/>
          <w:lang w:eastAsia="es-ES"/>
        </w:rPr>
        <w:t xml:space="preserve">el Sujeto Obligado cumplió con el procedimiento de búsqueda establecido en el artículo 162 de la Ley de Transparencia y Acceso a la Información Pública del Estado de México y Municipios, pues gestionó el requerimiento de información al área competente para conocer de lo peticionado.  </w:t>
      </w:r>
    </w:p>
    <w:p w14:paraId="766732FF" w14:textId="77777777" w:rsidR="007B5D0A" w:rsidRPr="00AC739B" w:rsidRDefault="007B5D0A" w:rsidP="005032B4">
      <w:pPr>
        <w:spacing w:after="0" w:line="360" w:lineRule="auto"/>
        <w:contextualSpacing/>
        <w:rPr>
          <w:rFonts w:eastAsia="Times New Roman" w:cs="Tahoma"/>
          <w:iCs/>
          <w:color w:val="auto"/>
          <w:lang w:eastAsia="es-ES"/>
        </w:rPr>
      </w:pPr>
    </w:p>
    <w:p w14:paraId="701C6076" w14:textId="577FDA50" w:rsidR="007B5D0A" w:rsidRPr="00AC739B" w:rsidRDefault="007B5D0A" w:rsidP="005032B4">
      <w:pPr>
        <w:spacing w:after="0" w:line="360" w:lineRule="auto"/>
        <w:contextualSpacing/>
        <w:rPr>
          <w:rFonts w:eastAsia="Times New Roman" w:cs="Tahoma"/>
          <w:iCs/>
          <w:color w:val="auto"/>
          <w:lang w:eastAsia="es-ES"/>
        </w:rPr>
      </w:pPr>
      <w:r w:rsidRPr="00AC739B">
        <w:rPr>
          <w:rFonts w:eastAsia="Times New Roman" w:cs="Tahoma"/>
          <w:iCs/>
          <w:color w:val="auto"/>
          <w:lang w:eastAsia="es-ES"/>
        </w:rPr>
        <w:t>Ahora bie</w:t>
      </w:r>
      <w:r w:rsidR="003613E3" w:rsidRPr="00AC739B">
        <w:rPr>
          <w:rFonts w:eastAsia="Times New Roman" w:cs="Tahoma"/>
          <w:iCs/>
          <w:color w:val="auto"/>
          <w:lang w:eastAsia="es-ES"/>
        </w:rPr>
        <w:t xml:space="preserve">n, tanto </w:t>
      </w:r>
      <w:r w:rsidRPr="00AC739B">
        <w:rPr>
          <w:rFonts w:eastAsia="Times New Roman" w:cs="Tahoma"/>
          <w:iCs/>
          <w:color w:val="auto"/>
          <w:lang w:eastAsia="es-ES"/>
        </w:rPr>
        <w:t>en respuesta</w:t>
      </w:r>
      <w:r w:rsidR="003613E3" w:rsidRPr="00AC739B">
        <w:rPr>
          <w:rFonts w:eastAsia="Times New Roman" w:cs="Tahoma"/>
          <w:iCs/>
          <w:color w:val="auto"/>
          <w:lang w:eastAsia="es-ES"/>
        </w:rPr>
        <w:t xml:space="preserve"> como en informe justificado</w:t>
      </w:r>
      <w:r w:rsidRPr="00AC739B">
        <w:rPr>
          <w:rFonts w:eastAsia="Times New Roman" w:cs="Tahoma"/>
          <w:iCs/>
          <w:color w:val="auto"/>
          <w:lang w:eastAsia="es-ES"/>
        </w:rPr>
        <w:t xml:space="preserve">, la </w:t>
      </w:r>
      <w:r w:rsidR="001C137C" w:rsidRPr="00AC739B">
        <w:rPr>
          <w:rFonts w:eastAsia="Times New Roman" w:cs="Tahoma"/>
          <w:iCs/>
          <w:color w:val="auto"/>
          <w:lang w:eastAsia="es-ES"/>
        </w:rPr>
        <w:t>Tesorería Municipal</w:t>
      </w:r>
      <w:r w:rsidRPr="00AC739B">
        <w:rPr>
          <w:rFonts w:eastAsia="Times New Roman" w:cs="Tahoma"/>
          <w:iCs/>
          <w:color w:val="auto"/>
          <w:lang w:eastAsia="es-ES"/>
        </w:rPr>
        <w:t xml:space="preserve"> indicó </w:t>
      </w:r>
      <w:r w:rsidR="001C137C" w:rsidRPr="00AC739B">
        <w:rPr>
          <w:rFonts w:eastAsia="Times New Roman" w:cs="Tahoma"/>
          <w:iCs/>
          <w:color w:val="auto"/>
          <w:lang w:eastAsia="es-ES"/>
        </w:rPr>
        <w:t xml:space="preserve">que no encontró información relacionada con el comprobante de pago solicitado y en relación al estado que guarda el adeudo precisó que contaba con la información de manera general y no de manera específica por lo que proporcionó el </w:t>
      </w:r>
      <w:r w:rsidR="001C137C" w:rsidRPr="00AC739B">
        <w:rPr>
          <w:rFonts w:eastAsia="Times New Roman" w:cs="Tahoma"/>
          <w:color w:val="auto"/>
          <w:lang w:val="es-ES_tradnl" w:eastAsia="es-ES"/>
        </w:rPr>
        <w:t>Estado Analítico de Deuda y Otros Pasivos, correspondiente al mes de septiembre de dos mil veinticuatro</w:t>
      </w:r>
      <w:r w:rsidRPr="00AC739B">
        <w:rPr>
          <w:rFonts w:eastAsia="Times New Roman" w:cs="Tahoma"/>
          <w:iCs/>
          <w:color w:val="auto"/>
          <w:lang w:eastAsia="es-ES"/>
        </w:rPr>
        <w:t xml:space="preserve">, sin embargo, este no contiene </w:t>
      </w:r>
      <w:r w:rsidR="00B17F6D" w:rsidRPr="00AC739B">
        <w:rPr>
          <w:rFonts w:eastAsia="Times New Roman" w:cs="Tahoma"/>
          <w:iCs/>
          <w:color w:val="auto"/>
          <w:lang w:eastAsia="es-ES"/>
        </w:rPr>
        <w:t>información sobre la deuda solicitada</w:t>
      </w:r>
      <w:r w:rsidRPr="00AC739B">
        <w:rPr>
          <w:rFonts w:eastAsia="Times New Roman" w:cs="Tahoma"/>
          <w:iCs/>
          <w:color w:val="auto"/>
          <w:lang w:eastAsia="es-ES"/>
        </w:rPr>
        <w:t>, por lo que, no contiene la información requerida</w:t>
      </w:r>
      <w:r w:rsidR="006F52E8" w:rsidRPr="00AC739B">
        <w:rPr>
          <w:rFonts w:eastAsia="Times New Roman" w:cs="Tahoma"/>
          <w:iCs/>
          <w:color w:val="auto"/>
          <w:lang w:eastAsia="es-ES"/>
        </w:rPr>
        <w:t xml:space="preserve">, tal como se muestra a continuación: </w:t>
      </w:r>
    </w:p>
    <w:p w14:paraId="61EED160" w14:textId="21E33FD2" w:rsidR="006F52E8" w:rsidRPr="00AC739B" w:rsidRDefault="006F52E8" w:rsidP="005032B4">
      <w:pPr>
        <w:spacing w:after="0" w:line="360" w:lineRule="auto"/>
        <w:contextualSpacing/>
        <w:rPr>
          <w:rFonts w:eastAsia="Times New Roman" w:cs="Tahoma"/>
          <w:iCs/>
          <w:color w:val="auto"/>
          <w:lang w:eastAsia="es-ES"/>
        </w:rPr>
      </w:pPr>
    </w:p>
    <w:p w14:paraId="26141D01" w14:textId="7C3E65A7" w:rsidR="006F52E8" w:rsidRPr="00AC739B" w:rsidRDefault="00B17F6D" w:rsidP="005032B4">
      <w:pPr>
        <w:spacing w:after="0" w:line="360" w:lineRule="auto"/>
        <w:contextualSpacing/>
        <w:rPr>
          <w:rFonts w:eastAsia="Times New Roman" w:cs="Tahoma"/>
          <w:iCs/>
          <w:color w:val="auto"/>
          <w:lang w:eastAsia="es-ES"/>
        </w:rPr>
      </w:pPr>
      <w:r w:rsidRPr="00AC739B">
        <w:rPr>
          <w:rFonts w:eastAsia="Times New Roman" w:cs="Tahoma"/>
          <w:iCs/>
          <w:color w:val="auto"/>
          <w:lang w:eastAsia="es-ES"/>
        </w:rPr>
        <w:t xml:space="preserve">Además, este Instituto considera que la respuesta resulta </w:t>
      </w:r>
      <w:r w:rsidRPr="00AC739B">
        <w:rPr>
          <w:rFonts w:eastAsia="Times New Roman" w:cs="Tahoma"/>
          <w:b/>
          <w:bCs/>
          <w:iCs/>
          <w:color w:val="auto"/>
          <w:lang w:eastAsia="es-ES"/>
        </w:rPr>
        <w:t xml:space="preserve">incongruente </w:t>
      </w:r>
      <w:r w:rsidR="008E4ACC" w:rsidRPr="00AC739B">
        <w:rPr>
          <w:rFonts w:eastAsia="Times New Roman" w:cs="Tahoma"/>
          <w:iCs/>
          <w:color w:val="auto"/>
          <w:lang w:eastAsia="es-ES"/>
        </w:rPr>
        <w:t>pues,</w:t>
      </w:r>
      <w:r w:rsidRPr="00AC739B">
        <w:rPr>
          <w:rFonts w:eastAsia="Times New Roman" w:cs="Tahoma"/>
          <w:iCs/>
          <w:color w:val="auto"/>
          <w:lang w:eastAsia="es-ES"/>
        </w:rPr>
        <w:t xml:space="preserve"> por una parte, refiere que no tiene información sobre el pago de dicho </w:t>
      </w:r>
      <w:proofErr w:type="gramStart"/>
      <w:r w:rsidRPr="00AC739B">
        <w:rPr>
          <w:rFonts w:eastAsia="Times New Roman" w:cs="Tahoma"/>
          <w:iCs/>
          <w:color w:val="auto"/>
          <w:lang w:eastAsia="es-ES"/>
        </w:rPr>
        <w:t>monto</w:t>
      </w:r>
      <w:proofErr w:type="gramEnd"/>
      <w:r w:rsidRPr="00AC739B">
        <w:rPr>
          <w:rFonts w:eastAsia="Times New Roman" w:cs="Tahoma"/>
          <w:iCs/>
          <w:color w:val="auto"/>
          <w:lang w:eastAsia="es-ES"/>
        </w:rPr>
        <w:t xml:space="preserve"> </w:t>
      </w:r>
      <w:r w:rsidR="008E4ACC" w:rsidRPr="00AC739B">
        <w:rPr>
          <w:rFonts w:eastAsia="Times New Roman" w:cs="Tahoma"/>
          <w:iCs/>
          <w:color w:val="auto"/>
          <w:lang w:eastAsia="es-ES"/>
        </w:rPr>
        <w:t>pero,</w:t>
      </w:r>
      <w:r w:rsidRPr="00AC739B">
        <w:rPr>
          <w:rFonts w:eastAsia="Times New Roman" w:cs="Tahoma"/>
          <w:iCs/>
          <w:color w:val="auto"/>
          <w:lang w:eastAsia="es-ES"/>
        </w:rPr>
        <w:t xml:space="preserve"> por otra parte, señala que no tiene información desglosada y únicamente la elabora de manera general; lo cual no deja claro si se emitió un pago o a la fecha de la solicitud seguía la deuda; por lo que, tampoco se tiene certeza del procedimiento de búsqueda realizado.</w:t>
      </w:r>
    </w:p>
    <w:p w14:paraId="508AB9C8" w14:textId="77777777" w:rsidR="00B17F6D" w:rsidRPr="00AC739B" w:rsidRDefault="00B17F6D" w:rsidP="005032B4">
      <w:pPr>
        <w:spacing w:after="0" w:line="360" w:lineRule="auto"/>
        <w:rPr>
          <w:rFonts w:eastAsia="Times New Roman" w:cs="Tahoma"/>
          <w:color w:val="auto"/>
          <w:lang w:eastAsia="es-ES"/>
        </w:rPr>
      </w:pPr>
    </w:p>
    <w:p w14:paraId="0DEA34B5" w14:textId="77777777" w:rsidR="006F52E8" w:rsidRPr="00AC739B" w:rsidRDefault="006F52E8" w:rsidP="005032B4">
      <w:pPr>
        <w:spacing w:after="0" w:line="360" w:lineRule="auto"/>
        <w:rPr>
          <w:rFonts w:eastAsia="Times New Roman" w:cs="Arial"/>
          <w:b/>
          <w:bCs/>
          <w:color w:val="auto"/>
          <w:lang w:eastAsia="es-ES"/>
        </w:rPr>
      </w:pPr>
      <w:r w:rsidRPr="00AC739B">
        <w:rPr>
          <w:rFonts w:eastAsia="Times New Roman" w:cs="Arial"/>
          <w:bCs/>
          <w:color w:val="auto"/>
          <w:lang w:eastAsia="es-ES"/>
        </w:rPr>
        <w:t xml:space="preserve">En ese sentido, según Jarquín, Soledad (2019), en el “Diccionario de Transparencia y Acceso a la Información Pública” (p. 68), </w:t>
      </w:r>
      <w:r w:rsidRPr="00AC739B">
        <w:rPr>
          <w:rFonts w:eastAsia="Times New Roman" w:cs="Arial"/>
          <w:b/>
          <w:bCs/>
          <w:color w:val="auto"/>
          <w:lang w:eastAsia="es-ES"/>
        </w:rPr>
        <w:t>la búsqueda exhaustiva</w:t>
      </w:r>
      <w:r w:rsidRPr="00AC739B">
        <w:rPr>
          <w:rFonts w:eastAsia="Times New Roman" w:cs="Arial"/>
          <w:bCs/>
          <w:color w:val="auto"/>
          <w:lang w:eastAsia="es-ES"/>
        </w:rPr>
        <w:t xml:space="preserve"> es la obligación del área administrativa del Sujeto Obligado que cuenta o puede contar con la información requerida, la cual consiste en localizar toda aquella que atienda la solicitud, </w:t>
      </w:r>
      <w:r w:rsidRPr="00AC739B">
        <w:rPr>
          <w:rFonts w:eastAsia="Times New Roman" w:cs="Arial"/>
          <w:b/>
          <w:bCs/>
          <w:color w:val="auto"/>
          <w:lang w:eastAsia="es-ES"/>
        </w:rPr>
        <w:t>hasta agotar por completo las posibilidades de indagación.</w:t>
      </w:r>
    </w:p>
    <w:p w14:paraId="6CF4AF23" w14:textId="77777777" w:rsidR="006F52E8" w:rsidRPr="00AC739B" w:rsidRDefault="006F52E8" w:rsidP="005032B4">
      <w:pPr>
        <w:spacing w:after="0" w:line="360" w:lineRule="auto"/>
        <w:rPr>
          <w:rFonts w:eastAsia="Times New Roman" w:cs="Arial"/>
          <w:b/>
          <w:bCs/>
          <w:color w:val="auto"/>
          <w:lang w:eastAsia="es-ES"/>
        </w:rPr>
      </w:pPr>
    </w:p>
    <w:p w14:paraId="01EFB214" w14:textId="77777777" w:rsidR="006F52E8" w:rsidRPr="00AC739B" w:rsidRDefault="006F52E8" w:rsidP="005032B4">
      <w:pPr>
        <w:spacing w:after="0" w:line="360" w:lineRule="auto"/>
        <w:rPr>
          <w:rFonts w:eastAsia="Times New Roman" w:cs="Arial"/>
          <w:b/>
          <w:bCs/>
          <w:color w:val="auto"/>
          <w:lang w:eastAsia="es-ES"/>
        </w:rPr>
      </w:pPr>
      <w:r w:rsidRPr="00AC739B">
        <w:rPr>
          <w:rFonts w:eastAsia="Times New Roman" w:cs="Arial"/>
          <w:bCs/>
          <w:color w:val="auto"/>
          <w:lang w:eastAsia="es-ES"/>
        </w:rPr>
        <w:t xml:space="preserve">Además, según Calero, Natalia (2016), en la “Ley General de Transparencia y Acceso a la Información Pública Comentada” (p. 408), para que exista una búsqueda exhaustiva y </w:t>
      </w:r>
      <w:r w:rsidRPr="00AC739B">
        <w:rPr>
          <w:rFonts w:eastAsia="Times New Roman" w:cs="Arial"/>
          <w:bCs/>
          <w:color w:val="auto"/>
          <w:lang w:eastAsia="es-ES"/>
        </w:rPr>
        <w:lastRenderedPageBreak/>
        <w:t xml:space="preserve">razonable, se debe hacer una </w:t>
      </w:r>
      <w:r w:rsidRPr="00AC739B">
        <w:rPr>
          <w:rFonts w:eastAsia="Times New Roman" w:cs="Arial"/>
          <w:b/>
          <w:bCs/>
          <w:color w:val="auto"/>
          <w:lang w:eastAsia="es-ES"/>
        </w:rPr>
        <w:t xml:space="preserve">indagación consiente y minuciosa en sus archivos físicos y electrónicos. </w:t>
      </w:r>
    </w:p>
    <w:p w14:paraId="638F4D28" w14:textId="77777777" w:rsidR="006F52E8" w:rsidRPr="00AC739B" w:rsidRDefault="006F52E8" w:rsidP="005032B4">
      <w:pPr>
        <w:spacing w:after="0" w:line="360" w:lineRule="auto"/>
        <w:rPr>
          <w:rFonts w:eastAsia="Times New Roman" w:cs="Tahoma"/>
          <w:color w:val="auto"/>
          <w:lang w:eastAsia="es-ES"/>
        </w:rPr>
      </w:pPr>
    </w:p>
    <w:p w14:paraId="0B8FD19A" w14:textId="77777777" w:rsidR="006F52E8" w:rsidRPr="00AC739B" w:rsidRDefault="006F52E8" w:rsidP="005032B4">
      <w:pPr>
        <w:spacing w:after="0" w:line="360" w:lineRule="auto"/>
        <w:rPr>
          <w:rFonts w:eastAsia="Times New Roman" w:cs="Tahoma"/>
          <w:b/>
          <w:color w:val="auto"/>
          <w:lang w:eastAsia="es-ES"/>
        </w:rPr>
      </w:pPr>
      <w:r w:rsidRPr="00AC739B">
        <w:rPr>
          <w:rFonts w:eastAsia="Times New Roman" w:cs="Tahoma"/>
          <w:color w:val="auto"/>
          <w:lang w:eastAsia="es-ES"/>
        </w:rPr>
        <w:t xml:space="preserve">Conforme a lo anterior, para poder acreditar el carácter exhaustivo de la búsqueda realizada por los Sujetos Obligados, se deben motivar las razones por las que se buscó la información en determinadas áreas, </w:t>
      </w:r>
      <w:r w:rsidRPr="00AC739B">
        <w:rPr>
          <w:rFonts w:eastAsia="Times New Roman" w:cs="Tahoma"/>
          <w:b/>
          <w:color w:val="auto"/>
          <w:lang w:eastAsia="es-ES"/>
        </w:rPr>
        <w:t>los criterios de búsqueda utilizados y demás circunstancias que fueron tomadas en cuenta.</w:t>
      </w:r>
    </w:p>
    <w:p w14:paraId="2768B1CD" w14:textId="77777777" w:rsidR="006F52E8" w:rsidRPr="00AC739B" w:rsidRDefault="006F52E8" w:rsidP="005032B4">
      <w:pPr>
        <w:spacing w:after="0" w:line="360" w:lineRule="auto"/>
        <w:rPr>
          <w:rFonts w:eastAsia="Times New Roman" w:cs="Tahoma"/>
          <w:color w:val="auto"/>
          <w:lang w:eastAsia="es-ES"/>
        </w:rPr>
      </w:pPr>
    </w:p>
    <w:p w14:paraId="7679C96E" w14:textId="77777777" w:rsidR="006F52E8" w:rsidRPr="00AC739B" w:rsidRDefault="006F52E8" w:rsidP="005032B4">
      <w:pPr>
        <w:spacing w:after="0" w:line="360" w:lineRule="auto"/>
        <w:rPr>
          <w:rFonts w:eastAsia="Times New Roman" w:cs="Tahoma"/>
          <w:color w:val="auto"/>
          <w:lang w:eastAsia="es-ES"/>
        </w:rPr>
      </w:pPr>
      <w:r w:rsidRPr="00AC739B">
        <w:rPr>
          <w:rFonts w:eastAsia="Times New Roman" w:cs="Tahoma"/>
          <w:color w:val="auto"/>
          <w:lang w:eastAsia="es-ES"/>
        </w:rPr>
        <w:t>En ese contexto, de conformidad con los criterios 12/10 y 04/19,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39317780" w14:textId="77777777" w:rsidR="006F52E8" w:rsidRPr="00AC739B" w:rsidRDefault="006F52E8" w:rsidP="005032B4">
      <w:pPr>
        <w:spacing w:after="0" w:line="360" w:lineRule="auto"/>
        <w:rPr>
          <w:rFonts w:eastAsia="Times New Roman" w:cs="Tahoma"/>
          <w:color w:val="auto"/>
          <w:lang w:eastAsia="es-ES"/>
        </w:rPr>
      </w:pPr>
    </w:p>
    <w:p w14:paraId="39C22AC3" w14:textId="77777777" w:rsidR="006F52E8" w:rsidRPr="00AC739B" w:rsidRDefault="006F52E8" w:rsidP="005032B4">
      <w:pPr>
        <w:numPr>
          <w:ilvl w:val="0"/>
          <w:numId w:val="26"/>
        </w:numPr>
        <w:spacing w:after="0" w:line="360" w:lineRule="auto"/>
        <w:jc w:val="left"/>
        <w:rPr>
          <w:rFonts w:eastAsia="Times New Roman" w:cs="Tahoma"/>
          <w:color w:val="auto"/>
          <w:lang w:eastAsia="es-ES"/>
        </w:rPr>
      </w:pPr>
      <w:r w:rsidRPr="00AC739B">
        <w:rPr>
          <w:rFonts w:eastAsia="Times New Roman" w:cs="Tahoma"/>
          <w:color w:val="auto"/>
          <w:lang w:eastAsia="es-ES"/>
        </w:rPr>
        <w:t>Motivación por las que se buscó la información, en determinadas unidades administrativas;</w:t>
      </w:r>
    </w:p>
    <w:p w14:paraId="68EF5CB2" w14:textId="77777777" w:rsidR="006F52E8" w:rsidRPr="00AC739B" w:rsidRDefault="006F52E8" w:rsidP="005032B4">
      <w:pPr>
        <w:numPr>
          <w:ilvl w:val="0"/>
          <w:numId w:val="26"/>
        </w:numPr>
        <w:spacing w:after="0" w:line="360" w:lineRule="auto"/>
        <w:jc w:val="left"/>
        <w:rPr>
          <w:rFonts w:eastAsia="Times New Roman" w:cs="Tahoma"/>
          <w:color w:val="auto"/>
          <w:lang w:eastAsia="es-ES"/>
        </w:rPr>
      </w:pPr>
      <w:r w:rsidRPr="00AC739B">
        <w:rPr>
          <w:rFonts w:eastAsia="Times New Roman" w:cs="Tahoma"/>
          <w:color w:val="auto"/>
          <w:lang w:eastAsia="es-ES"/>
        </w:rPr>
        <w:t>Los criterios de búsqueda utilizados, y</w:t>
      </w:r>
    </w:p>
    <w:p w14:paraId="41C3FB0C" w14:textId="77777777" w:rsidR="006F52E8" w:rsidRPr="00AC739B" w:rsidRDefault="006F52E8" w:rsidP="005032B4">
      <w:pPr>
        <w:numPr>
          <w:ilvl w:val="0"/>
          <w:numId w:val="26"/>
        </w:numPr>
        <w:spacing w:after="0" w:line="360" w:lineRule="auto"/>
        <w:jc w:val="left"/>
        <w:rPr>
          <w:rFonts w:eastAsia="Times New Roman" w:cs="Tahoma"/>
          <w:color w:val="auto"/>
          <w:lang w:eastAsia="es-ES"/>
        </w:rPr>
      </w:pPr>
      <w:r w:rsidRPr="00AC739B">
        <w:rPr>
          <w:rFonts w:eastAsia="Times New Roman" w:cs="Tahoma"/>
          <w:color w:val="auto"/>
          <w:lang w:eastAsia="es-ES"/>
        </w:rPr>
        <w:t>Las circunstancias que fueron tomadas en cuenta.</w:t>
      </w:r>
    </w:p>
    <w:p w14:paraId="1682C1CB" w14:textId="77777777" w:rsidR="006F52E8" w:rsidRPr="00AC739B" w:rsidRDefault="006F52E8" w:rsidP="005032B4">
      <w:pPr>
        <w:spacing w:after="0" w:line="360" w:lineRule="auto"/>
        <w:rPr>
          <w:rFonts w:eastAsia="Times New Roman" w:cs="Tahoma"/>
          <w:color w:val="auto"/>
          <w:lang w:eastAsia="es-ES"/>
        </w:rPr>
      </w:pPr>
    </w:p>
    <w:p w14:paraId="315158B2" w14:textId="77777777" w:rsidR="006F52E8" w:rsidRPr="00AC739B" w:rsidRDefault="006F52E8" w:rsidP="005032B4">
      <w:pPr>
        <w:spacing w:after="0" w:line="360" w:lineRule="auto"/>
        <w:rPr>
          <w:rFonts w:eastAsia="Times New Roman" w:cs="Tahoma"/>
          <w:color w:val="auto"/>
          <w:lang w:eastAsia="es-ES"/>
        </w:rPr>
      </w:pPr>
      <w:r w:rsidRPr="00AC739B">
        <w:rPr>
          <w:rFonts w:eastAsia="Times New Roman" w:cs="Tahoma"/>
          <w:color w:val="auto"/>
          <w:lang w:eastAsia="es-ES"/>
        </w:rPr>
        <w:t>De tales circunstancias, se considera que para que los Sujetos Obligado justifiquen que realizaron una búsqueda exhaustiva y razonable, deben indicar de manera clara, lo siguiente:</w:t>
      </w:r>
    </w:p>
    <w:p w14:paraId="18C4773D" w14:textId="77777777" w:rsidR="006F52E8" w:rsidRPr="00AC739B" w:rsidRDefault="006F52E8" w:rsidP="005032B4">
      <w:pPr>
        <w:spacing w:after="0" w:line="360" w:lineRule="auto"/>
        <w:rPr>
          <w:rFonts w:eastAsia="Times New Roman" w:cs="Tahoma"/>
          <w:color w:val="auto"/>
          <w:lang w:eastAsia="es-ES"/>
        </w:rPr>
      </w:pPr>
    </w:p>
    <w:p w14:paraId="441F1914" w14:textId="77777777" w:rsidR="006F52E8" w:rsidRPr="00AC739B" w:rsidRDefault="006F52E8" w:rsidP="005032B4">
      <w:pPr>
        <w:numPr>
          <w:ilvl w:val="0"/>
          <w:numId w:val="27"/>
        </w:numPr>
        <w:spacing w:after="0" w:line="360" w:lineRule="auto"/>
        <w:contextualSpacing/>
        <w:jc w:val="left"/>
        <w:rPr>
          <w:rFonts w:eastAsia="Times New Roman" w:cs="Tahoma"/>
          <w:color w:val="auto"/>
          <w:lang w:eastAsia="es-ES"/>
        </w:rPr>
      </w:pPr>
      <w:r w:rsidRPr="00AC739B">
        <w:rPr>
          <w:rFonts w:eastAsia="Times New Roman" w:cs="Tahoma"/>
          <w:color w:val="auto"/>
          <w:lang w:eastAsia="es-ES"/>
        </w:rPr>
        <w:t>Las áreas donde se buscó la información;</w:t>
      </w:r>
    </w:p>
    <w:p w14:paraId="7811FDC3" w14:textId="77777777" w:rsidR="006F52E8" w:rsidRPr="00AC739B" w:rsidRDefault="006F52E8" w:rsidP="005032B4">
      <w:pPr>
        <w:numPr>
          <w:ilvl w:val="0"/>
          <w:numId w:val="27"/>
        </w:numPr>
        <w:spacing w:after="0" w:line="360" w:lineRule="auto"/>
        <w:contextualSpacing/>
        <w:jc w:val="left"/>
        <w:rPr>
          <w:rFonts w:eastAsia="Times New Roman" w:cs="Tahoma"/>
          <w:color w:val="auto"/>
          <w:lang w:eastAsia="es-ES"/>
        </w:rPr>
      </w:pPr>
      <w:r w:rsidRPr="00AC739B">
        <w:rPr>
          <w:rFonts w:eastAsia="Times New Roman" w:cs="Tahoma"/>
          <w:color w:val="auto"/>
          <w:lang w:eastAsia="es-ES"/>
        </w:rPr>
        <w:t>Tipo de archivos buscados (físicos o electrónicos);</w:t>
      </w:r>
    </w:p>
    <w:p w14:paraId="65411873" w14:textId="77777777" w:rsidR="006F52E8" w:rsidRPr="00AC739B" w:rsidRDefault="006F52E8" w:rsidP="005032B4">
      <w:pPr>
        <w:numPr>
          <w:ilvl w:val="0"/>
          <w:numId w:val="27"/>
        </w:numPr>
        <w:spacing w:after="0" w:line="360" w:lineRule="auto"/>
        <w:contextualSpacing/>
        <w:jc w:val="left"/>
        <w:rPr>
          <w:rFonts w:eastAsia="Times New Roman" w:cs="Tahoma"/>
          <w:color w:val="auto"/>
          <w:lang w:eastAsia="es-ES"/>
        </w:rPr>
      </w:pPr>
      <w:r w:rsidRPr="00AC739B">
        <w:rPr>
          <w:rFonts w:eastAsia="Times New Roman" w:cs="Tahoma"/>
          <w:color w:val="auto"/>
          <w:lang w:eastAsia="es-ES"/>
        </w:rPr>
        <w:t xml:space="preserve">Los criterios de búsqueda utilizados, y </w:t>
      </w:r>
    </w:p>
    <w:p w14:paraId="0D53E24D" w14:textId="77777777" w:rsidR="006F52E8" w:rsidRPr="00AC739B" w:rsidRDefault="006F52E8" w:rsidP="005032B4">
      <w:pPr>
        <w:numPr>
          <w:ilvl w:val="0"/>
          <w:numId w:val="27"/>
        </w:numPr>
        <w:spacing w:after="0" w:line="360" w:lineRule="auto"/>
        <w:contextualSpacing/>
        <w:jc w:val="left"/>
        <w:rPr>
          <w:rFonts w:eastAsia="Times New Roman" w:cs="Tahoma"/>
          <w:color w:val="auto"/>
          <w:lang w:eastAsia="es-ES"/>
        </w:rPr>
      </w:pPr>
      <w:r w:rsidRPr="00AC739B">
        <w:rPr>
          <w:rFonts w:eastAsia="Times New Roman" w:cs="Tahoma"/>
          <w:color w:val="auto"/>
          <w:lang w:eastAsia="es-ES"/>
        </w:rPr>
        <w:t>Las circunstancias que fueron tomadas en cuenta.</w:t>
      </w:r>
      <w:r w:rsidRPr="00AC739B">
        <w:rPr>
          <w:rFonts w:eastAsia="Times New Roman" w:cs="Tahoma"/>
          <w:color w:val="auto"/>
          <w:lang w:eastAsia="es-ES"/>
        </w:rPr>
        <w:tab/>
      </w:r>
    </w:p>
    <w:p w14:paraId="0FA5851A" w14:textId="77777777" w:rsidR="006F52E8" w:rsidRPr="00AC739B" w:rsidRDefault="006F52E8" w:rsidP="005032B4">
      <w:pPr>
        <w:spacing w:after="0" w:line="360" w:lineRule="auto"/>
        <w:rPr>
          <w:rFonts w:eastAsia="Times New Roman" w:cs="Tahoma"/>
          <w:color w:val="auto"/>
          <w:lang w:eastAsia="es-ES"/>
        </w:rPr>
      </w:pPr>
    </w:p>
    <w:p w14:paraId="5BEFE86C" w14:textId="1CDC5332" w:rsidR="006F52E8" w:rsidRPr="00AC739B" w:rsidRDefault="006F52E8" w:rsidP="005032B4">
      <w:pPr>
        <w:spacing w:after="0" w:line="360" w:lineRule="auto"/>
        <w:rPr>
          <w:rFonts w:eastAsia="Times New Roman" w:cs="Tahoma"/>
          <w:color w:val="auto"/>
          <w:lang w:eastAsia="es-ES"/>
        </w:rPr>
      </w:pPr>
      <w:r w:rsidRPr="00AC739B">
        <w:rPr>
          <w:rFonts w:eastAsia="Times New Roman" w:cs="Tahoma"/>
          <w:color w:val="auto"/>
          <w:lang w:eastAsia="es-ES"/>
        </w:rPr>
        <w:lastRenderedPageBreak/>
        <w:t xml:space="preserve">Conforme a lo anterior, este Instituto considera que el Ayuntamiento de </w:t>
      </w:r>
      <w:r w:rsidR="00D3439C" w:rsidRPr="00AC739B">
        <w:rPr>
          <w:rFonts w:eastAsia="Times New Roman" w:cs="Tahoma"/>
          <w:color w:val="auto"/>
          <w:lang w:eastAsia="es-ES"/>
        </w:rPr>
        <w:t>Toluca</w:t>
      </w:r>
      <w:r w:rsidRPr="00AC739B">
        <w:rPr>
          <w:rFonts w:eastAsia="Times New Roman" w:cs="Tahoma"/>
          <w:color w:val="auto"/>
          <w:lang w:eastAsia="es-ES"/>
        </w:rPr>
        <w:t xml:space="preserve">, no cumplió </w:t>
      </w:r>
      <w:r w:rsidR="00B17F6D" w:rsidRPr="00AC739B">
        <w:rPr>
          <w:rFonts w:eastAsia="Times New Roman" w:cs="Tahoma"/>
          <w:color w:val="auto"/>
          <w:lang w:eastAsia="es-ES"/>
        </w:rPr>
        <w:t xml:space="preserve">con los requisitos del b al c, </w:t>
      </w:r>
      <w:r w:rsidRPr="00AC739B">
        <w:rPr>
          <w:rFonts w:eastAsia="Times New Roman" w:cs="Tahoma"/>
          <w:color w:val="auto"/>
          <w:lang w:eastAsia="es-ES"/>
        </w:rPr>
        <w:t xml:space="preserve">para acreditar que realizó una búsqueda exhaustiva y razonable en sus archivos, toda vez que, si bien turno la solicitud a la </w:t>
      </w:r>
      <w:r w:rsidR="00D3439C" w:rsidRPr="00AC739B">
        <w:rPr>
          <w:rFonts w:eastAsia="Times New Roman" w:cs="Tahoma"/>
          <w:color w:val="auto"/>
          <w:lang w:eastAsia="es-ES"/>
        </w:rPr>
        <w:t>Tesorería Municipal</w:t>
      </w:r>
      <w:r w:rsidRPr="00AC739B">
        <w:rPr>
          <w:rFonts w:eastAsia="Times New Roman" w:cs="Tahoma"/>
          <w:color w:val="auto"/>
          <w:lang w:eastAsia="es-ES"/>
        </w:rPr>
        <w:t>, omitió precisar lo siguiente:</w:t>
      </w:r>
    </w:p>
    <w:p w14:paraId="1DB456FF" w14:textId="77777777" w:rsidR="006F52E8" w:rsidRPr="00AC739B" w:rsidRDefault="006F52E8" w:rsidP="005032B4">
      <w:pPr>
        <w:spacing w:after="0" w:line="360" w:lineRule="auto"/>
        <w:rPr>
          <w:rFonts w:eastAsia="Times New Roman" w:cs="Tahoma"/>
          <w:color w:val="auto"/>
          <w:lang w:eastAsia="es-ES"/>
        </w:rPr>
      </w:pPr>
    </w:p>
    <w:p w14:paraId="2A7A2D5C" w14:textId="200C7CB5" w:rsidR="006F52E8" w:rsidRPr="00AC739B" w:rsidRDefault="006F52E8" w:rsidP="005032B4">
      <w:pPr>
        <w:numPr>
          <w:ilvl w:val="0"/>
          <w:numId w:val="28"/>
        </w:numPr>
        <w:spacing w:after="0" w:line="360" w:lineRule="auto"/>
        <w:jc w:val="left"/>
        <w:rPr>
          <w:rFonts w:eastAsia="Times New Roman" w:cs="Tahoma"/>
          <w:color w:val="auto"/>
          <w:lang w:eastAsia="es-ES"/>
        </w:rPr>
      </w:pPr>
      <w:r w:rsidRPr="00AC739B">
        <w:rPr>
          <w:rFonts w:eastAsia="Times New Roman" w:cs="Tahoma"/>
          <w:color w:val="auto"/>
          <w:lang w:eastAsia="es-ES"/>
        </w:rPr>
        <w:t xml:space="preserve">Los lugares y archivos en donde realizó la indagación, pues únicamente señaló que no localizó </w:t>
      </w:r>
      <w:r w:rsidR="00D3439C" w:rsidRPr="00AC739B">
        <w:rPr>
          <w:rFonts w:eastAsia="Times New Roman" w:cs="Tahoma"/>
          <w:color w:val="auto"/>
          <w:lang w:eastAsia="es-ES"/>
        </w:rPr>
        <w:t>el comprobante de pago solicitado</w:t>
      </w:r>
      <w:r w:rsidRPr="00AC739B">
        <w:rPr>
          <w:rFonts w:eastAsia="Times New Roman" w:cs="Tahoma"/>
          <w:color w:val="auto"/>
          <w:lang w:eastAsia="es-ES"/>
        </w:rPr>
        <w:t xml:space="preserve">, sin acreditar que realizó la búsqueda </w:t>
      </w:r>
      <w:r w:rsidR="00D3439C" w:rsidRPr="00AC739B">
        <w:rPr>
          <w:rFonts w:eastAsia="Times New Roman" w:cs="Tahoma"/>
          <w:color w:val="auto"/>
          <w:lang w:eastAsia="es-ES"/>
        </w:rPr>
        <w:t xml:space="preserve">exhaustiva y razonable dentro de sus archivos. </w:t>
      </w:r>
    </w:p>
    <w:p w14:paraId="3066A5E7" w14:textId="11723111" w:rsidR="003727BC" w:rsidRPr="00AC739B" w:rsidRDefault="006F52E8" w:rsidP="005032B4">
      <w:pPr>
        <w:numPr>
          <w:ilvl w:val="0"/>
          <w:numId w:val="28"/>
        </w:numPr>
        <w:spacing w:after="0" w:line="360" w:lineRule="auto"/>
        <w:rPr>
          <w:rFonts w:eastAsia="Times New Roman" w:cs="Tahoma"/>
          <w:b/>
          <w:color w:val="auto"/>
          <w:lang w:eastAsia="es-ES"/>
        </w:rPr>
      </w:pPr>
      <w:r w:rsidRPr="00AC739B">
        <w:rPr>
          <w:rFonts w:eastAsia="Times New Roman" w:cs="Tahoma"/>
          <w:color w:val="auto"/>
          <w:lang w:eastAsia="es-ES"/>
        </w:rPr>
        <w:t xml:space="preserve">Los criterios de indagación utilizados y las circunstancias que fueron tomadas en cuenta, pues únicamente señaló que no contaba con documentos que tuvieran lo peticionado; pues se advierte que la </w:t>
      </w:r>
      <w:r w:rsidR="003727BC" w:rsidRPr="00AC739B">
        <w:rPr>
          <w:rFonts w:eastAsia="Times New Roman" w:cs="Tahoma"/>
          <w:color w:val="auto"/>
          <w:lang w:eastAsia="es-ES"/>
        </w:rPr>
        <w:t>Tesorería Municipal</w:t>
      </w:r>
      <w:r w:rsidRPr="00AC739B">
        <w:rPr>
          <w:rFonts w:eastAsia="Times New Roman" w:cs="Tahoma"/>
          <w:color w:val="auto"/>
          <w:lang w:eastAsia="es-ES"/>
        </w:rPr>
        <w:t xml:space="preserve"> realizó la búsqueda a la literalidad de lo peticionado, sin acreditar que haya buscado documentos donde constará la información </w:t>
      </w:r>
      <w:r w:rsidR="003727BC" w:rsidRPr="00AC739B">
        <w:rPr>
          <w:rFonts w:eastAsia="Times New Roman" w:cs="Tahoma"/>
          <w:color w:val="auto"/>
          <w:lang w:eastAsia="es-ES"/>
        </w:rPr>
        <w:t xml:space="preserve">sobre la deuda con el Sistema de Radio y Televisión Mexiquense, tan es así que se localizó el Estado Analítico de la Deuda y Otros Pasivos del primero de enero al treinta y uno de diciembre de dos mil veintiuno, donde se logró vislumbrar la deuda referida por el Particular. </w:t>
      </w:r>
    </w:p>
    <w:p w14:paraId="64D10100" w14:textId="77777777" w:rsidR="003727BC" w:rsidRPr="00AC739B" w:rsidRDefault="003727BC" w:rsidP="005032B4">
      <w:pPr>
        <w:spacing w:after="0" w:line="360" w:lineRule="auto"/>
        <w:rPr>
          <w:rFonts w:eastAsia="Times New Roman" w:cs="Tahoma"/>
          <w:b/>
          <w:color w:val="auto"/>
          <w:lang w:eastAsia="es-ES"/>
        </w:rPr>
      </w:pPr>
    </w:p>
    <w:p w14:paraId="4BD9B677" w14:textId="630217F7" w:rsidR="003727BC" w:rsidRPr="00AC739B" w:rsidRDefault="003727BC" w:rsidP="005032B4">
      <w:pPr>
        <w:spacing w:after="0" w:line="360" w:lineRule="auto"/>
        <w:rPr>
          <w:rFonts w:eastAsia="Times New Roman" w:cs="Tahoma"/>
          <w:bCs/>
          <w:color w:val="auto"/>
          <w:szCs w:val="24"/>
          <w:lang w:eastAsia="es-ES"/>
        </w:rPr>
      </w:pPr>
      <w:r w:rsidRPr="00AC739B">
        <w:rPr>
          <w:rFonts w:eastAsia="Times New Roman" w:cs="Tahoma"/>
          <w:bCs/>
          <w:color w:val="auto"/>
          <w:szCs w:val="24"/>
          <w:lang w:eastAsia="es-ES"/>
        </w:rPr>
        <w:t xml:space="preserve">Lo anterior toma relevancia, pues este Instituto localizó </w:t>
      </w:r>
      <w:r w:rsidR="00B17F6D" w:rsidRPr="00AC739B">
        <w:rPr>
          <w:rFonts w:eastAsia="Times New Roman" w:cs="Tahoma"/>
          <w:bCs/>
          <w:color w:val="auto"/>
          <w:szCs w:val="24"/>
          <w:lang w:eastAsia="es-ES"/>
        </w:rPr>
        <w:t>los informes de la Cuenta Pública</w:t>
      </w:r>
      <w:r w:rsidRPr="00AC739B">
        <w:rPr>
          <w:rFonts w:eastAsia="Times New Roman" w:cs="Tahoma"/>
          <w:bCs/>
          <w:color w:val="auto"/>
          <w:szCs w:val="24"/>
          <w:lang w:eastAsia="es-ES"/>
        </w:rPr>
        <w:t xml:space="preserve"> del Sistema de Radio y Televisión Mexiquense</w:t>
      </w:r>
      <w:r w:rsidR="00B17F6D" w:rsidRPr="00AC739B">
        <w:rPr>
          <w:rFonts w:eastAsia="Times New Roman" w:cs="Tahoma"/>
          <w:bCs/>
          <w:color w:val="auto"/>
          <w:szCs w:val="24"/>
          <w:lang w:eastAsia="es-ES"/>
        </w:rPr>
        <w:t xml:space="preserve"> (ahora Sistema Mexiquense de Medios Públicos)</w:t>
      </w:r>
      <w:r w:rsidRPr="00AC739B">
        <w:rPr>
          <w:rFonts w:eastAsia="Times New Roman" w:cs="Tahoma"/>
          <w:bCs/>
          <w:color w:val="auto"/>
          <w:szCs w:val="24"/>
          <w:lang w:eastAsia="es-ES"/>
        </w:rPr>
        <w:t>, correspondientes a los ejercicios fiscales</w:t>
      </w:r>
      <w:r w:rsidR="00655864" w:rsidRPr="00AC739B">
        <w:rPr>
          <w:rFonts w:eastAsia="Times New Roman" w:cs="Tahoma"/>
          <w:bCs/>
          <w:color w:val="auto"/>
          <w:szCs w:val="24"/>
          <w:lang w:eastAsia="es-ES"/>
        </w:rPr>
        <w:t xml:space="preserve"> dos mil veintiuno, dos mil veintidós, dos mil veintitrés y</w:t>
      </w:r>
      <w:r w:rsidR="00B17F6D" w:rsidRPr="00AC739B">
        <w:rPr>
          <w:rFonts w:eastAsia="Times New Roman" w:cs="Tahoma"/>
          <w:bCs/>
          <w:color w:val="auto"/>
          <w:szCs w:val="24"/>
          <w:lang w:eastAsia="es-ES"/>
        </w:rPr>
        <w:t xml:space="preserve"> las Notas de los Estados Financieros</w:t>
      </w:r>
      <w:r w:rsidR="00655864" w:rsidRPr="00AC739B">
        <w:rPr>
          <w:rFonts w:eastAsia="Times New Roman" w:cs="Tahoma"/>
          <w:bCs/>
          <w:color w:val="auto"/>
          <w:szCs w:val="24"/>
          <w:lang w:eastAsia="es-ES"/>
        </w:rPr>
        <w:t xml:space="preserve"> del primero de enero al treinta de septiembre de dos mil veinticuatro (consultados en las ligas electrónicas </w:t>
      </w:r>
      <w:hyperlink r:id="rId11" w:history="1">
        <w:r w:rsidR="00655864" w:rsidRPr="00AC739B">
          <w:rPr>
            <w:rStyle w:val="Hipervnculo"/>
            <w:rFonts w:eastAsia="Times New Roman" w:cs="Tahoma"/>
            <w:bCs/>
            <w:szCs w:val="24"/>
            <w:lang w:eastAsia="es-ES"/>
          </w:rPr>
          <w:t>https://transparenciafiscal.edomex.gob.mx/sites/transparenciafiscal.edomex.gob.mx/files/files/pdf/rendicion-cuentas/cuenta-publica-2021/TomoIX/SRyTVM.pdf</w:t>
        </w:r>
      </w:hyperlink>
      <w:r w:rsidR="00655864" w:rsidRPr="00AC739B">
        <w:rPr>
          <w:rFonts w:eastAsia="Times New Roman" w:cs="Tahoma"/>
          <w:bCs/>
          <w:color w:val="auto"/>
          <w:szCs w:val="24"/>
          <w:lang w:eastAsia="es-ES"/>
        </w:rPr>
        <w:t xml:space="preserve">, </w:t>
      </w:r>
      <w:hyperlink r:id="rId12" w:history="1">
        <w:r w:rsidR="00655864" w:rsidRPr="00AC739B">
          <w:rPr>
            <w:rStyle w:val="Hipervnculo"/>
            <w:rFonts w:eastAsia="Times New Roman" w:cs="Tahoma"/>
            <w:bCs/>
            <w:szCs w:val="24"/>
            <w:lang w:eastAsia="es-ES"/>
          </w:rPr>
          <w:t>https://transparenciafiscal.edomex.gob.mx/sites/transparenciafiscal.edomex.gob.mx/files/files/pdf/rendicion-cuentas/cuenta-publica-2023/TomoIX/SMMP.pdf</w:t>
        </w:r>
      </w:hyperlink>
      <w:r w:rsidR="00655864" w:rsidRPr="00AC739B">
        <w:rPr>
          <w:rFonts w:eastAsia="Times New Roman" w:cs="Tahoma"/>
          <w:bCs/>
          <w:color w:val="auto"/>
          <w:szCs w:val="24"/>
          <w:lang w:eastAsia="es-ES"/>
        </w:rPr>
        <w:t xml:space="preserve"> y </w:t>
      </w:r>
      <w:hyperlink r:id="rId13" w:history="1">
        <w:r w:rsidR="00655864" w:rsidRPr="00AC739B">
          <w:rPr>
            <w:rStyle w:val="Hipervnculo"/>
            <w:rFonts w:eastAsia="Times New Roman" w:cs="Tahoma"/>
            <w:bCs/>
            <w:szCs w:val="24"/>
            <w:lang w:eastAsia="es-ES"/>
          </w:rPr>
          <w:t>https://sistemamexiquense.mx/sites/sistemamexiquense.mx/files/files/Contabilidad/Tit_IV/</w:t>
        </w:r>
        <w:r w:rsidR="00655864" w:rsidRPr="00AC739B">
          <w:rPr>
            <w:rStyle w:val="Hipervnculo"/>
            <w:rFonts w:eastAsia="Times New Roman" w:cs="Tahoma"/>
            <w:bCs/>
            <w:szCs w:val="24"/>
            <w:lang w:eastAsia="es-ES"/>
          </w:rPr>
          <w:lastRenderedPageBreak/>
          <w:t>Ano2024/3erTri/NOTAS_LOS_ESTADOS_FINANCIEROS_SEPTIEMBRE_2024.pdf</w:t>
        </w:r>
      </w:hyperlink>
      <w:r w:rsidR="00655864" w:rsidRPr="00AC739B">
        <w:rPr>
          <w:rFonts w:eastAsia="Times New Roman" w:cs="Tahoma"/>
          <w:bCs/>
          <w:color w:val="auto"/>
          <w:szCs w:val="24"/>
          <w:lang w:eastAsia="es-ES"/>
        </w:rPr>
        <w:t xml:space="preserve">), de los cuales se logró vislumbrar </w:t>
      </w:r>
      <w:r w:rsidR="003145F9" w:rsidRPr="00AC739B">
        <w:rPr>
          <w:rFonts w:eastAsia="Times New Roman" w:cs="Tahoma"/>
          <w:bCs/>
          <w:color w:val="auto"/>
          <w:szCs w:val="24"/>
          <w:lang w:eastAsia="es-ES"/>
        </w:rPr>
        <w:t xml:space="preserve">la cuenta por cobrar </w:t>
      </w:r>
      <w:r w:rsidR="00B17F6D" w:rsidRPr="00AC739B">
        <w:rPr>
          <w:rFonts w:eastAsia="Times New Roman" w:cs="Tahoma"/>
          <w:bCs/>
          <w:color w:val="auto"/>
          <w:szCs w:val="24"/>
          <w:lang w:eastAsia="es-ES"/>
        </w:rPr>
        <w:t>a corto plazo del</w:t>
      </w:r>
      <w:r w:rsidR="003145F9" w:rsidRPr="00AC739B">
        <w:rPr>
          <w:rFonts w:eastAsia="Times New Roman" w:cs="Tahoma"/>
          <w:bCs/>
          <w:color w:val="auto"/>
          <w:szCs w:val="24"/>
          <w:lang w:eastAsia="es-ES"/>
        </w:rPr>
        <w:t xml:space="preserve"> Ayuntamiento de Toluca por la cantidad de</w:t>
      </w:r>
      <w:r w:rsidR="00655864" w:rsidRPr="00AC739B">
        <w:rPr>
          <w:rFonts w:eastAsia="Times New Roman" w:cs="Tahoma"/>
          <w:bCs/>
          <w:color w:val="auto"/>
          <w:szCs w:val="24"/>
          <w:lang w:eastAsia="es-ES"/>
        </w:rPr>
        <w:t xml:space="preserve"> </w:t>
      </w:r>
      <w:r w:rsidR="003145F9" w:rsidRPr="00AC739B">
        <w:rPr>
          <w:rFonts w:eastAsia="Times New Roman" w:cs="Tahoma"/>
          <w:bCs/>
          <w:color w:val="auto"/>
          <w:szCs w:val="24"/>
          <w:lang w:eastAsia="es-ES"/>
        </w:rPr>
        <w:t>seiscientos veinticinco mil pesos</w:t>
      </w:r>
      <w:r w:rsidR="00B17F6D" w:rsidRPr="00AC739B">
        <w:rPr>
          <w:rFonts w:eastAsia="Times New Roman" w:cs="Tahoma"/>
          <w:bCs/>
          <w:color w:val="auto"/>
          <w:szCs w:val="24"/>
          <w:lang w:eastAsia="es-ES"/>
        </w:rPr>
        <w:t xml:space="preserve">, </w:t>
      </w:r>
      <w:r w:rsidR="00655864" w:rsidRPr="00AC739B">
        <w:rPr>
          <w:rFonts w:eastAsia="Times New Roman" w:cs="Tahoma"/>
          <w:bCs/>
          <w:color w:val="auto"/>
          <w:szCs w:val="24"/>
          <w:lang w:eastAsia="es-ES"/>
        </w:rPr>
        <w:t xml:space="preserve">tal como se muestra a continuación: </w:t>
      </w:r>
    </w:p>
    <w:p w14:paraId="194DE2A3" w14:textId="5BFC5703" w:rsidR="00655864" w:rsidRPr="00AC739B" w:rsidRDefault="00655864" w:rsidP="005032B4">
      <w:pPr>
        <w:spacing w:after="0" w:line="360" w:lineRule="auto"/>
        <w:rPr>
          <w:rFonts w:eastAsia="Times New Roman" w:cs="Tahoma"/>
          <w:bCs/>
          <w:color w:val="auto"/>
          <w:szCs w:val="24"/>
          <w:lang w:eastAsia="es-ES"/>
        </w:rPr>
      </w:pPr>
    </w:p>
    <w:p w14:paraId="7AA2F916" w14:textId="314B983A" w:rsidR="00655864" w:rsidRPr="00AC739B" w:rsidRDefault="00655864" w:rsidP="005032B4">
      <w:pPr>
        <w:spacing w:after="0" w:line="360" w:lineRule="auto"/>
        <w:jc w:val="center"/>
        <w:rPr>
          <w:rFonts w:eastAsia="Times New Roman" w:cs="Tahoma"/>
          <w:bCs/>
          <w:color w:val="auto"/>
          <w:szCs w:val="24"/>
          <w:lang w:eastAsia="es-ES"/>
        </w:rPr>
      </w:pPr>
      <w:r w:rsidRPr="00AC739B">
        <w:rPr>
          <w:rFonts w:eastAsia="Times New Roman" w:cs="Tahoma"/>
          <w:bCs/>
          <w:noProof/>
          <w:color w:val="auto"/>
          <w:szCs w:val="24"/>
          <w:lang w:eastAsia="es-MX"/>
        </w:rPr>
        <w:drawing>
          <wp:inline distT="0" distB="0" distL="0" distR="0" wp14:anchorId="3C1BC0F6" wp14:editId="5D4F8C35">
            <wp:extent cx="3960000" cy="2195493"/>
            <wp:effectExtent l="0" t="0" r="254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40813"/>
                    <a:stretch/>
                  </pic:blipFill>
                  <pic:spPr bwMode="auto">
                    <a:xfrm>
                      <a:off x="0" y="0"/>
                      <a:ext cx="3960000" cy="2195493"/>
                    </a:xfrm>
                    <a:prstGeom prst="rect">
                      <a:avLst/>
                    </a:prstGeom>
                    <a:ln>
                      <a:noFill/>
                    </a:ln>
                    <a:extLst>
                      <a:ext uri="{53640926-AAD7-44D8-BBD7-CCE9431645EC}">
                        <a14:shadowObscured xmlns:a14="http://schemas.microsoft.com/office/drawing/2010/main"/>
                      </a:ext>
                    </a:extLst>
                  </pic:spPr>
                </pic:pic>
              </a:graphicData>
            </a:graphic>
          </wp:inline>
        </w:drawing>
      </w:r>
    </w:p>
    <w:p w14:paraId="11D8DCA0" w14:textId="77777777" w:rsidR="00B17F6D" w:rsidRPr="00AC739B" w:rsidRDefault="00B17F6D" w:rsidP="005032B4">
      <w:pPr>
        <w:spacing w:after="0" w:line="360" w:lineRule="auto"/>
        <w:jc w:val="center"/>
        <w:rPr>
          <w:rFonts w:eastAsia="Times New Roman" w:cs="Tahoma"/>
          <w:bCs/>
          <w:color w:val="auto"/>
          <w:szCs w:val="24"/>
          <w:lang w:eastAsia="es-ES"/>
        </w:rPr>
      </w:pPr>
    </w:p>
    <w:p w14:paraId="20F0AB45" w14:textId="65A1B5E2" w:rsidR="003727BC" w:rsidRPr="00AC739B" w:rsidRDefault="00655864" w:rsidP="005032B4">
      <w:pPr>
        <w:spacing w:after="0" w:line="360" w:lineRule="auto"/>
        <w:jc w:val="center"/>
        <w:rPr>
          <w:rFonts w:eastAsia="Times New Roman" w:cs="Tahoma"/>
          <w:b/>
          <w:color w:val="auto"/>
          <w:sz w:val="20"/>
          <w:lang w:eastAsia="es-ES"/>
        </w:rPr>
      </w:pPr>
      <w:r w:rsidRPr="00AC739B">
        <w:rPr>
          <w:rFonts w:eastAsia="Times New Roman" w:cs="Tahoma"/>
          <w:b/>
          <w:noProof/>
          <w:color w:val="auto"/>
          <w:sz w:val="20"/>
          <w:lang w:eastAsia="es-MX"/>
        </w:rPr>
        <w:drawing>
          <wp:inline distT="0" distB="0" distL="0" distR="0" wp14:anchorId="74965FE3" wp14:editId="7B7355D1">
            <wp:extent cx="3960000" cy="2214545"/>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 b="28959"/>
                    <a:stretch/>
                  </pic:blipFill>
                  <pic:spPr bwMode="auto">
                    <a:xfrm>
                      <a:off x="0" y="0"/>
                      <a:ext cx="3960000" cy="2214545"/>
                    </a:xfrm>
                    <a:prstGeom prst="rect">
                      <a:avLst/>
                    </a:prstGeom>
                    <a:ln>
                      <a:noFill/>
                    </a:ln>
                    <a:extLst>
                      <a:ext uri="{53640926-AAD7-44D8-BBD7-CCE9431645EC}">
                        <a14:shadowObscured xmlns:a14="http://schemas.microsoft.com/office/drawing/2010/main"/>
                      </a:ext>
                    </a:extLst>
                  </pic:spPr>
                </pic:pic>
              </a:graphicData>
            </a:graphic>
          </wp:inline>
        </w:drawing>
      </w:r>
    </w:p>
    <w:p w14:paraId="3B7DDE15" w14:textId="77777777" w:rsidR="005032B4" w:rsidRPr="00AC739B" w:rsidRDefault="005032B4" w:rsidP="005032B4">
      <w:pPr>
        <w:spacing w:after="0" w:line="360" w:lineRule="auto"/>
        <w:jc w:val="center"/>
        <w:rPr>
          <w:rFonts w:eastAsia="Times New Roman" w:cs="Tahoma"/>
          <w:b/>
          <w:color w:val="auto"/>
          <w:sz w:val="20"/>
          <w:lang w:eastAsia="es-ES"/>
        </w:rPr>
      </w:pPr>
    </w:p>
    <w:p w14:paraId="07CB871B" w14:textId="4B61EC6C" w:rsidR="00655864" w:rsidRPr="00AC739B" w:rsidRDefault="00655864" w:rsidP="005032B4">
      <w:pPr>
        <w:spacing w:after="0" w:line="360" w:lineRule="auto"/>
        <w:jc w:val="center"/>
        <w:rPr>
          <w:rFonts w:eastAsia="Times New Roman" w:cs="Tahoma"/>
          <w:b/>
          <w:color w:val="auto"/>
          <w:sz w:val="20"/>
          <w:lang w:eastAsia="es-ES"/>
        </w:rPr>
      </w:pPr>
      <w:r w:rsidRPr="00AC739B">
        <w:rPr>
          <w:rFonts w:eastAsia="Times New Roman" w:cs="Tahoma"/>
          <w:b/>
          <w:noProof/>
          <w:color w:val="auto"/>
          <w:sz w:val="20"/>
          <w:lang w:eastAsia="es-MX"/>
        </w:rPr>
        <w:drawing>
          <wp:inline distT="0" distB="0" distL="0" distR="0" wp14:anchorId="5BA5D780" wp14:editId="30D3A69A">
            <wp:extent cx="3960000" cy="1281725"/>
            <wp:effectExtent l="0" t="0" r="254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5254"/>
                    <a:stretch/>
                  </pic:blipFill>
                  <pic:spPr bwMode="auto">
                    <a:xfrm>
                      <a:off x="0" y="0"/>
                      <a:ext cx="3960000" cy="1281725"/>
                    </a:xfrm>
                    <a:prstGeom prst="rect">
                      <a:avLst/>
                    </a:prstGeom>
                    <a:ln>
                      <a:noFill/>
                    </a:ln>
                    <a:extLst>
                      <a:ext uri="{53640926-AAD7-44D8-BBD7-CCE9431645EC}">
                        <a14:shadowObscured xmlns:a14="http://schemas.microsoft.com/office/drawing/2010/main"/>
                      </a:ext>
                    </a:extLst>
                  </pic:spPr>
                </pic:pic>
              </a:graphicData>
            </a:graphic>
          </wp:inline>
        </w:drawing>
      </w:r>
    </w:p>
    <w:p w14:paraId="06B7CB99" w14:textId="77777777" w:rsidR="00394286" w:rsidRPr="00AC739B" w:rsidRDefault="00394286" w:rsidP="005032B4">
      <w:pPr>
        <w:spacing w:after="0" w:line="360" w:lineRule="auto"/>
        <w:jc w:val="center"/>
        <w:rPr>
          <w:rFonts w:eastAsia="Times New Roman" w:cs="Tahoma"/>
          <w:b/>
          <w:color w:val="auto"/>
          <w:sz w:val="20"/>
          <w:lang w:eastAsia="es-ES"/>
        </w:rPr>
      </w:pPr>
    </w:p>
    <w:p w14:paraId="0E4D9D35" w14:textId="7CF2CFF0" w:rsidR="006F52E8" w:rsidRPr="00AC739B" w:rsidRDefault="006F52E8" w:rsidP="005032B4">
      <w:pPr>
        <w:spacing w:after="0" w:line="360" w:lineRule="auto"/>
        <w:rPr>
          <w:rFonts w:eastAsia="Times New Roman" w:cs="Tahoma"/>
          <w:iCs/>
          <w:color w:val="auto"/>
          <w:lang w:val="es-ES" w:eastAsia="es-ES"/>
        </w:rPr>
      </w:pPr>
      <w:r w:rsidRPr="00AC739B">
        <w:rPr>
          <w:rFonts w:eastAsia="Times New Roman" w:cs="Tahoma"/>
          <w:color w:val="auto"/>
          <w:lang w:eastAsia="es-ES"/>
        </w:rPr>
        <w:t>Por tales consideraciones, se considera que el Sujeto Obligado no cumplió el procedimiento de búsqueda, establecido en la Ley de la materia</w:t>
      </w:r>
      <w:r w:rsidRPr="00AC739B">
        <w:rPr>
          <w:rFonts w:eastAsia="Times New Roman" w:cs="Tahoma"/>
          <w:iCs/>
          <w:color w:val="auto"/>
          <w:lang w:val="es-ES" w:eastAsia="es-ES"/>
        </w:rPr>
        <w:t>, pues no realizó la misma de manera exhaustiva y razonable, al no señalar los criterios utilizados para realizar la indagación, el tipo de archivos investigados o bien las circunstancias que fueron tomadas en cuenta y, por lo tanto, no puede ser validada la respuesta; situación que se robustece con el hecho de que</w:t>
      </w:r>
      <w:r w:rsidR="00394286" w:rsidRPr="00AC739B">
        <w:rPr>
          <w:rFonts w:eastAsia="Times New Roman" w:cs="Tahoma"/>
          <w:iCs/>
          <w:color w:val="auto"/>
          <w:lang w:val="es-ES" w:eastAsia="es-ES"/>
        </w:rPr>
        <w:t xml:space="preserve"> el Departamento de Contaduría adscrita a la Tesorería Municipal, es la encargada de todos los registros contables y financieros de la Administración Pública Municipal. </w:t>
      </w:r>
    </w:p>
    <w:p w14:paraId="5294AF61" w14:textId="77777777" w:rsidR="006F52E8" w:rsidRPr="00AC739B" w:rsidRDefault="006F52E8" w:rsidP="005032B4">
      <w:pPr>
        <w:autoSpaceDE w:val="0"/>
        <w:autoSpaceDN w:val="0"/>
        <w:adjustRightInd w:val="0"/>
        <w:spacing w:after="0" w:line="360" w:lineRule="auto"/>
        <w:rPr>
          <w:rFonts w:eastAsia="Times New Roman" w:cs="Tahoma"/>
          <w:bCs/>
          <w:iCs/>
          <w:color w:val="auto"/>
          <w:lang w:val="es-ES" w:eastAsia="es-ES"/>
        </w:rPr>
      </w:pPr>
    </w:p>
    <w:p w14:paraId="0C4EE37D" w14:textId="1A376B69" w:rsidR="006F52E8" w:rsidRPr="00AC739B" w:rsidRDefault="006F52E8" w:rsidP="005032B4">
      <w:pPr>
        <w:spacing w:after="0" w:line="360" w:lineRule="auto"/>
        <w:rPr>
          <w:rFonts w:eastAsia="Times New Roman" w:cs="Tahoma"/>
          <w:color w:val="auto"/>
          <w:lang w:eastAsia="es-ES"/>
        </w:rPr>
      </w:pPr>
      <w:r w:rsidRPr="00AC739B">
        <w:rPr>
          <w:rFonts w:eastAsia="Times New Roman" w:cs="Tahoma"/>
          <w:bCs/>
          <w:iCs/>
          <w:color w:val="auto"/>
          <w:lang w:val="es-ES" w:eastAsia="es-ES"/>
        </w:rPr>
        <w:t xml:space="preserve">Conforme a lo anterior, se logra vislumbrar que el </w:t>
      </w:r>
      <w:r w:rsidRPr="00AC739B">
        <w:rPr>
          <w:rFonts w:eastAsia="Times New Roman" w:cs="Times New Roman"/>
          <w:color w:val="auto"/>
          <w:lang w:val="es-ES" w:eastAsia="es-ES"/>
        </w:rPr>
        <w:t xml:space="preserve">agravio realizado por el Particular, resulta </w:t>
      </w:r>
      <w:r w:rsidRPr="00AC739B">
        <w:rPr>
          <w:rFonts w:eastAsia="Times New Roman" w:cs="Times New Roman"/>
          <w:b/>
          <w:color w:val="auto"/>
          <w:lang w:val="es-ES" w:eastAsia="es-ES"/>
        </w:rPr>
        <w:t xml:space="preserve">FUNDADO, </w:t>
      </w:r>
      <w:r w:rsidRPr="00AC739B">
        <w:rPr>
          <w:rFonts w:eastAsia="Times New Roman" w:cs="Times New Roman"/>
          <w:color w:val="auto"/>
          <w:lang w:val="es-ES" w:eastAsia="es-ES"/>
        </w:rPr>
        <w:t xml:space="preserve">toda vez que no se cumplió con lo establecido en el artículo 162 de la Ley de la materia, por lo que, en el presente caso, el Ayuntamiento de </w:t>
      </w:r>
      <w:r w:rsidR="00394286" w:rsidRPr="00AC739B">
        <w:rPr>
          <w:rFonts w:eastAsia="Times New Roman" w:cs="Times New Roman"/>
          <w:color w:val="auto"/>
          <w:lang w:val="es-ES" w:eastAsia="es-ES"/>
        </w:rPr>
        <w:t>Toluca</w:t>
      </w:r>
      <w:r w:rsidRPr="00AC739B">
        <w:rPr>
          <w:rFonts w:eastAsia="Times New Roman" w:cs="Times New Roman"/>
          <w:color w:val="auto"/>
          <w:lang w:val="es-ES" w:eastAsia="es-ES"/>
        </w:rPr>
        <w:t>, deberá realizar una búsqueda exhaustiva y razonable, en todos los archivos</w:t>
      </w:r>
      <w:r w:rsidR="00394286" w:rsidRPr="00AC739B">
        <w:rPr>
          <w:rFonts w:eastAsia="Times New Roman" w:cs="Times New Roman"/>
          <w:color w:val="auto"/>
          <w:lang w:val="es-ES" w:eastAsia="es-ES"/>
        </w:rPr>
        <w:t xml:space="preserve"> físicos y electrónicos</w:t>
      </w:r>
      <w:r w:rsidRPr="00AC739B">
        <w:rPr>
          <w:rFonts w:eastAsia="Times New Roman" w:cs="Times New Roman"/>
          <w:color w:val="auto"/>
          <w:lang w:val="es-ES" w:eastAsia="es-ES"/>
        </w:rPr>
        <w:t xml:space="preserve">, a efecto de que proporcione </w:t>
      </w:r>
      <w:r w:rsidR="005032B4" w:rsidRPr="00AC739B">
        <w:rPr>
          <w:rFonts w:eastAsia="Times New Roman" w:cs="Times New Roman"/>
          <w:color w:val="auto"/>
          <w:lang w:val="es-ES" w:eastAsia="es-ES"/>
        </w:rPr>
        <w:t>los</w:t>
      </w:r>
      <w:r w:rsidRPr="00AC739B">
        <w:rPr>
          <w:rFonts w:eastAsia="Times New Roman" w:cs="Times New Roman"/>
          <w:color w:val="auto"/>
          <w:lang w:val="es-ES" w:eastAsia="es-ES"/>
        </w:rPr>
        <w:t xml:space="preserve"> </w:t>
      </w:r>
      <w:r w:rsidR="003145F9" w:rsidRPr="00AC739B">
        <w:rPr>
          <w:rFonts w:eastAsia="Times New Roman" w:cs="Times New Roman"/>
          <w:iCs/>
          <w:color w:val="auto"/>
          <w:lang w:eastAsia="es-ES"/>
        </w:rPr>
        <w:t>comprobante</w:t>
      </w:r>
      <w:r w:rsidR="005032B4" w:rsidRPr="00AC739B">
        <w:rPr>
          <w:rFonts w:eastAsia="Times New Roman" w:cs="Times New Roman"/>
          <w:iCs/>
          <w:color w:val="auto"/>
          <w:lang w:eastAsia="es-ES"/>
        </w:rPr>
        <w:t>s</w:t>
      </w:r>
      <w:r w:rsidR="003145F9" w:rsidRPr="00AC739B">
        <w:rPr>
          <w:rFonts w:eastAsia="Times New Roman" w:cs="Times New Roman"/>
          <w:iCs/>
          <w:color w:val="auto"/>
          <w:lang w:eastAsia="es-ES"/>
        </w:rPr>
        <w:t xml:space="preserve"> de pago</w:t>
      </w:r>
      <w:r w:rsidR="005032B4" w:rsidRPr="00AC739B">
        <w:rPr>
          <w:rFonts w:eastAsia="Times New Roman" w:cs="Times New Roman"/>
          <w:iCs/>
          <w:color w:val="auto"/>
          <w:lang w:eastAsia="es-ES"/>
        </w:rPr>
        <w:t>, relacionados con</w:t>
      </w:r>
      <w:r w:rsidR="003145F9" w:rsidRPr="00AC739B">
        <w:rPr>
          <w:rFonts w:eastAsia="Times New Roman" w:cs="Times New Roman"/>
          <w:iCs/>
          <w:color w:val="auto"/>
          <w:lang w:eastAsia="es-ES"/>
        </w:rPr>
        <w:t xml:space="preserve"> el adeudo con el Sistema de Radio y Televisión Mexiquense por la cantidad de seiscientos veinticinco mil pesos</w:t>
      </w:r>
      <w:r w:rsidR="005032B4" w:rsidRPr="00AC739B">
        <w:rPr>
          <w:rFonts w:eastAsia="Times New Roman" w:cs="Times New Roman"/>
          <w:iCs/>
          <w:color w:val="auto"/>
          <w:lang w:eastAsia="es-ES"/>
        </w:rPr>
        <w:t>,</w:t>
      </w:r>
      <w:r w:rsidR="003145F9" w:rsidRPr="00AC739B">
        <w:rPr>
          <w:rFonts w:eastAsia="Times New Roman" w:cs="Times New Roman"/>
          <w:iCs/>
          <w:color w:val="auto"/>
          <w:lang w:eastAsia="es-ES"/>
        </w:rPr>
        <w:t xml:space="preserve"> establecido en el Estado Analítico de la Deuda y Otros Pasivos del  primero de enero al treinta y uno de diciembre de dos mil veintiuno</w:t>
      </w:r>
      <w:r w:rsidR="005032B4" w:rsidRPr="00AC739B">
        <w:rPr>
          <w:rFonts w:eastAsia="Times New Roman" w:cs="Times New Roman"/>
          <w:iCs/>
          <w:color w:val="auto"/>
          <w:lang w:eastAsia="es-ES"/>
        </w:rPr>
        <w:t>; d</w:t>
      </w:r>
      <w:r w:rsidRPr="00AC739B">
        <w:rPr>
          <w:rFonts w:eastAsia="Calibri" w:cs="Tahoma"/>
          <w:bCs/>
          <w:iCs/>
          <w:color w:val="auto"/>
        </w:rPr>
        <w:t>icha situación, toma sustento en</w:t>
      </w:r>
      <w:r w:rsidRPr="00AC739B">
        <w:rPr>
          <w:rFonts w:eastAsia="Calibri" w:cs="Tahoma"/>
          <w:bCs/>
          <w:color w:val="auto"/>
        </w:rPr>
        <w:t xml:space="preserve"> el</w:t>
      </w:r>
      <w:r w:rsidRPr="00AC739B">
        <w:rPr>
          <w:rFonts w:eastAsia="Times New Roman" w:cs="Tahoma"/>
          <w:color w:val="auto"/>
          <w:lang w:eastAsia="es-ES"/>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15D7CEE1" w14:textId="77777777" w:rsidR="005032B4" w:rsidRPr="00AC739B" w:rsidRDefault="005032B4" w:rsidP="005032B4">
      <w:pPr>
        <w:spacing w:after="0" w:line="360" w:lineRule="auto"/>
        <w:rPr>
          <w:rFonts w:eastAsia="Times New Roman" w:cs="Times New Roman"/>
          <w:iCs/>
          <w:color w:val="auto"/>
          <w:lang w:eastAsia="es-ES"/>
        </w:rPr>
      </w:pPr>
    </w:p>
    <w:p w14:paraId="4979DF11" w14:textId="7744A86C" w:rsidR="006F52E8" w:rsidRPr="00AC739B" w:rsidRDefault="006F52E8" w:rsidP="005032B4">
      <w:pPr>
        <w:tabs>
          <w:tab w:val="left" w:pos="4962"/>
        </w:tabs>
        <w:spacing w:after="0" w:line="360" w:lineRule="auto"/>
        <w:rPr>
          <w:rFonts w:eastAsia="Times New Roman" w:cs="Tahoma"/>
          <w:color w:val="auto"/>
          <w:lang w:eastAsia="es-ES"/>
        </w:rPr>
      </w:pPr>
      <w:r w:rsidRPr="00AC739B">
        <w:rPr>
          <w:rFonts w:eastAsia="Times New Roman" w:cs="Tahoma"/>
          <w:color w:val="auto"/>
          <w:lang w:eastAsia="es-ES"/>
        </w:rPr>
        <w:t xml:space="preserve">De esta manera, </w:t>
      </w:r>
      <w:r w:rsidRPr="00AC739B">
        <w:rPr>
          <w:rFonts w:eastAsia="Times New Roman" w:cs="Tahoma"/>
          <w:color w:val="auto"/>
          <w:szCs w:val="24"/>
          <w:lang w:val="es-ES" w:eastAsia="es-ES"/>
        </w:rPr>
        <w:t xml:space="preserve">el derecho de acceso a la información pública se satisface en aquellos casos en que se entregue el soporte documental en el que conste la información solicitada, sin necesidad de elaborar documentos </w:t>
      </w:r>
      <w:r w:rsidRPr="00AC739B">
        <w:rPr>
          <w:rFonts w:eastAsia="Times New Roman" w:cs="Tahoma"/>
          <w:i/>
          <w:color w:val="auto"/>
          <w:lang w:eastAsia="es-ES"/>
        </w:rPr>
        <w:t>ad hoc</w:t>
      </w:r>
      <w:r w:rsidRPr="00AC739B">
        <w:rPr>
          <w:rFonts w:eastAsia="Times New Roman" w:cs="Tahoma"/>
          <w:color w:val="auto"/>
          <w:lang w:eastAsia="es-ES"/>
        </w:rPr>
        <w:t xml:space="preserve">; lo cual, de conformidad con en el artículo 160 de la Ley de Transparencia y Acceso a la Información Pública del Estado de México y </w:t>
      </w:r>
      <w:r w:rsidRPr="00AC739B">
        <w:rPr>
          <w:rFonts w:eastAsia="Times New Roman" w:cs="Tahoma"/>
          <w:color w:val="auto"/>
          <w:lang w:eastAsia="es-ES"/>
        </w:rPr>
        <w:lastRenderedPageBreak/>
        <w:t xml:space="preserve">Municipios, el cual refiere que los sujetos obligados deberán entregar la información que obre en sus archivos. </w:t>
      </w:r>
    </w:p>
    <w:p w14:paraId="1FFE30B2" w14:textId="77777777" w:rsidR="00780EC7" w:rsidRPr="00AC739B" w:rsidRDefault="00780EC7" w:rsidP="005032B4">
      <w:pPr>
        <w:tabs>
          <w:tab w:val="left" w:pos="4962"/>
        </w:tabs>
        <w:spacing w:after="0" w:line="360" w:lineRule="auto"/>
        <w:rPr>
          <w:rFonts w:eastAsia="Arial" w:cs="Arial"/>
          <w:i/>
          <w:color w:val="auto"/>
          <w:sz w:val="20"/>
          <w:szCs w:val="20"/>
          <w:lang w:eastAsia="es-ES"/>
        </w:rPr>
      </w:pPr>
    </w:p>
    <w:p w14:paraId="76A556B2" w14:textId="10DDF45E" w:rsidR="00780EC7" w:rsidRPr="00AC739B" w:rsidRDefault="00780EC7" w:rsidP="005032B4">
      <w:pPr>
        <w:spacing w:after="0" w:line="360" w:lineRule="auto"/>
        <w:rPr>
          <w:rFonts w:eastAsia="Palatino Linotype" w:cs="Palatino Linotype"/>
          <w:color w:val="auto"/>
          <w:lang w:eastAsia="es-MX"/>
        </w:rPr>
      </w:pPr>
      <w:r w:rsidRPr="00AC739B">
        <w:rPr>
          <w:rFonts w:eastAsia="Palatino Linotype" w:cs="Palatino Linotype"/>
          <w:color w:val="auto"/>
          <w:lang w:eastAsia="es-MX"/>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los documentos que den cuenta de lo requerido</w:t>
      </w:r>
      <w:r w:rsidR="005032B4" w:rsidRPr="00AC739B">
        <w:rPr>
          <w:rFonts w:eastAsia="Palatino Linotype" w:cs="Palatino Linotype"/>
          <w:color w:val="auto"/>
          <w:lang w:eastAsia="es-MX"/>
        </w:rPr>
        <w:t>.</w:t>
      </w:r>
    </w:p>
    <w:p w14:paraId="6EB1EF93" w14:textId="3AC6528D" w:rsidR="002A0B3A" w:rsidRPr="00AC739B" w:rsidRDefault="002A0B3A" w:rsidP="005032B4">
      <w:pPr>
        <w:spacing w:after="0" w:line="360" w:lineRule="auto"/>
        <w:rPr>
          <w:rFonts w:eastAsia="Times New Roman" w:cs="Tahoma"/>
          <w:iCs/>
          <w:lang w:eastAsia="es-ES"/>
        </w:rPr>
      </w:pPr>
    </w:p>
    <w:p w14:paraId="3E9527D9" w14:textId="577FE0C0" w:rsidR="00780EC7" w:rsidRPr="00AC739B" w:rsidRDefault="00780EC7" w:rsidP="005032B4">
      <w:pPr>
        <w:spacing w:after="0" w:line="360" w:lineRule="auto"/>
        <w:contextualSpacing/>
        <w:rPr>
          <w:rFonts w:eastAsia="Times New Roman" w:cs="Tahoma"/>
          <w:iCs/>
          <w:color w:val="auto"/>
          <w:lang w:eastAsia="es-ES"/>
        </w:rPr>
      </w:pPr>
      <w:r w:rsidRPr="00AC739B">
        <w:rPr>
          <w:rFonts w:eastAsia="Times New Roman" w:cs="Tahoma"/>
          <w:iCs/>
          <w:color w:val="auto"/>
          <w:lang w:eastAsia="es-ES"/>
        </w:rPr>
        <w:t xml:space="preserve">Ahora bien, es de señalar que de los documentos previamente referidos este Instituto advirtió que del primero de enero de dos mil veintiuno al  treinta de septiembre de dos mil veinticuatro, el Ayuntamiento de Toluca  no había liquidado la deuda contraída con el Sistema de Radio y Televisión Mexiquense; por lo que, en el caso de que no se haya </w:t>
      </w:r>
      <w:r w:rsidR="005032B4" w:rsidRPr="00AC739B">
        <w:rPr>
          <w:rFonts w:eastAsia="Times New Roman" w:cs="Tahoma"/>
          <w:iCs/>
          <w:color w:val="auto"/>
          <w:lang w:eastAsia="es-ES"/>
        </w:rPr>
        <w:t>realizado algún</w:t>
      </w:r>
      <w:r w:rsidRPr="00AC739B">
        <w:rPr>
          <w:rFonts w:eastAsia="Times New Roman" w:cs="Tahoma"/>
          <w:iCs/>
          <w:color w:val="auto"/>
          <w:lang w:eastAsia="es-ES"/>
        </w:rPr>
        <w:t xml:space="preserve"> pago al seis de diciembre de dos mil veinticuatro, deberá hacerlo del conocimiento de la parte Recurrente, de manera clara y precisa, en términos del artículo 19, párrafo segundo, de la Ley de Transparencia y Acceso a la Información Pública del Estado de México y Municipios</w:t>
      </w:r>
      <w:r w:rsidR="008E4ACC" w:rsidRPr="00AC739B">
        <w:rPr>
          <w:rFonts w:eastAsia="Times New Roman" w:cs="Tahoma"/>
          <w:iCs/>
          <w:color w:val="auto"/>
          <w:lang w:eastAsia="es-ES"/>
        </w:rPr>
        <w:t>, pues dicha circunstancia daría a conocer el estatus a la fecha de la solicitud.</w:t>
      </w:r>
    </w:p>
    <w:p w14:paraId="6559BC2E" w14:textId="77777777" w:rsidR="00780EC7" w:rsidRPr="00AC739B" w:rsidRDefault="00780EC7" w:rsidP="005032B4">
      <w:pPr>
        <w:spacing w:after="0" w:line="360" w:lineRule="auto"/>
        <w:rPr>
          <w:rFonts w:eastAsia="Times New Roman" w:cs="Tahoma"/>
          <w:iCs/>
          <w:lang w:eastAsia="es-ES"/>
        </w:rPr>
      </w:pPr>
    </w:p>
    <w:p w14:paraId="32BDC2F8" w14:textId="00C375FB" w:rsidR="002A0B3A" w:rsidRPr="00AC739B" w:rsidRDefault="002A0B3A" w:rsidP="005032B4">
      <w:pPr>
        <w:spacing w:after="0" w:line="360" w:lineRule="auto"/>
        <w:rPr>
          <w:rFonts w:eastAsia="Calibri" w:cs="Times New Roman"/>
          <w:bCs/>
          <w:iCs/>
          <w:color w:val="auto"/>
          <w:lang w:val="es-ES"/>
        </w:rPr>
      </w:pPr>
      <w:r w:rsidRPr="00AC739B">
        <w:rPr>
          <w:rFonts w:eastAsia="Calibri" w:cs="Times New Roman"/>
          <w:bCs/>
          <w:iCs/>
          <w:color w:val="auto"/>
        </w:rPr>
        <w:t>Ahora bien, no pasa desapercibido para este Instituto que los documentos, pudieran contener datos confidenciales</w:t>
      </w:r>
      <w:r w:rsidR="001E3C40" w:rsidRPr="00AC739B">
        <w:rPr>
          <w:rFonts w:eastAsia="Calibri" w:cs="Times New Roman"/>
          <w:bCs/>
          <w:iCs/>
          <w:color w:val="auto"/>
        </w:rPr>
        <w:t>, tales como los datos bancarios del contratista, o bien, el número de credencial de elector de este o del representante legal</w:t>
      </w:r>
      <w:r w:rsidRPr="00AC739B">
        <w:rPr>
          <w:rFonts w:eastAsia="Calibri" w:cs="Times New Roman"/>
          <w:bCs/>
          <w:iCs/>
          <w:color w:val="auto"/>
        </w:rPr>
        <w:t>; por lo que, en el supuesto, deberá elaborar la versión pública respectiva; a</w:t>
      </w:r>
      <w:r w:rsidRPr="00AC739B">
        <w:rPr>
          <w:rFonts w:eastAsia="Calibri" w:cs="Times New Roman"/>
          <w:bCs/>
          <w:iCs/>
          <w:color w:val="auto"/>
          <w:lang w:val="es-ES"/>
        </w:rPr>
        <w:t xml:space="preserve">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w:t>
      </w:r>
      <w:r w:rsidRPr="00AC739B">
        <w:rPr>
          <w:rFonts w:eastAsia="Calibri" w:cs="Times New Roman"/>
          <w:bCs/>
          <w:iCs/>
          <w:color w:val="auto"/>
          <w:lang w:val="es-ES"/>
        </w:rPr>
        <w:lastRenderedPageBreak/>
        <w:t>clasificación. 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r w:rsidR="00780EC7" w:rsidRPr="00AC739B">
        <w:rPr>
          <w:rFonts w:eastAsia="Calibri" w:cs="Times New Roman"/>
          <w:bCs/>
          <w:iCs/>
          <w:color w:val="auto"/>
          <w:lang w:val="es-ES"/>
        </w:rPr>
        <w:t>.</w:t>
      </w:r>
    </w:p>
    <w:p w14:paraId="34ED85BA" w14:textId="77777777" w:rsidR="002A0B3A" w:rsidRPr="00AC739B" w:rsidRDefault="002A0B3A" w:rsidP="005032B4">
      <w:pPr>
        <w:spacing w:after="0" w:line="360" w:lineRule="auto"/>
        <w:rPr>
          <w:rFonts w:eastAsia="Times New Roman" w:cs="Tahoma"/>
          <w:iCs/>
          <w:lang w:eastAsia="es-ES"/>
        </w:rPr>
      </w:pPr>
    </w:p>
    <w:p w14:paraId="172FFE0D" w14:textId="77777777" w:rsidR="002A0B3A" w:rsidRPr="00AC739B" w:rsidRDefault="002A0B3A" w:rsidP="005032B4">
      <w:pPr>
        <w:pStyle w:val="Ttulo2"/>
        <w:spacing w:before="0" w:line="360" w:lineRule="auto"/>
        <w:rPr>
          <w:rFonts w:ascii="Palatino Linotype" w:eastAsia="Calibri" w:hAnsi="Palatino Linotype"/>
          <w:b/>
          <w:color w:val="000000" w:themeColor="text1"/>
          <w:sz w:val="22"/>
          <w:szCs w:val="22"/>
        </w:rPr>
      </w:pPr>
      <w:bookmarkStart w:id="20" w:name="_Toc189757370"/>
      <w:r w:rsidRPr="00AC739B">
        <w:rPr>
          <w:rFonts w:ascii="Palatino Linotype" w:eastAsia="Calibri" w:hAnsi="Palatino Linotype"/>
          <w:b/>
          <w:color w:val="000000" w:themeColor="text1"/>
          <w:sz w:val="22"/>
          <w:szCs w:val="22"/>
        </w:rPr>
        <w:t>SEXTO. Decisión.</w:t>
      </w:r>
      <w:bookmarkEnd w:id="20"/>
      <w:r w:rsidRPr="00AC739B">
        <w:rPr>
          <w:rFonts w:ascii="Palatino Linotype" w:eastAsia="Calibri" w:hAnsi="Palatino Linotype"/>
          <w:b/>
          <w:color w:val="000000" w:themeColor="text1"/>
          <w:sz w:val="22"/>
          <w:szCs w:val="22"/>
        </w:rPr>
        <w:t xml:space="preserve"> </w:t>
      </w:r>
    </w:p>
    <w:p w14:paraId="2731E528" w14:textId="77777777" w:rsidR="002A0B3A" w:rsidRPr="00AC739B" w:rsidRDefault="002A0B3A" w:rsidP="005032B4">
      <w:pPr>
        <w:spacing w:after="0" w:line="360" w:lineRule="auto"/>
        <w:contextualSpacing/>
        <w:rPr>
          <w:rFonts w:eastAsia="Calibri" w:cs="Tahoma"/>
          <w:b/>
          <w:color w:val="auto"/>
        </w:rPr>
      </w:pPr>
    </w:p>
    <w:p w14:paraId="4030FE5B" w14:textId="694F2690" w:rsidR="002A0B3A" w:rsidRPr="00AC739B" w:rsidRDefault="002A0B3A" w:rsidP="005032B4">
      <w:pPr>
        <w:spacing w:after="0" w:line="360" w:lineRule="auto"/>
        <w:contextualSpacing/>
        <w:rPr>
          <w:rFonts w:cs="Tahoma"/>
        </w:rPr>
      </w:pPr>
      <w:r w:rsidRPr="00AC739B">
        <w:rPr>
          <w:rFonts w:cs="Tahoma"/>
        </w:rPr>
        <w:t xml:space="preserve">Con fundamento en el artículo 186, fracción III, de la Ley de Transparencia y Acceso a la Información Pública del Estado de México y Municipios, este Instituto considera procedente </w:t>
      </w:r>
      <w:r w:rsidRPr="00AC739B">
        <w:rPr>
          <w:rFonts w:cs="Tahoma"/>
          <w:b/>
        </w:rPr>
        <w:t xml:space="preserve">REVOCAR </w:t>
      </w:r>
      <w:r w:rsidRPr="00AC739B">
        <w:rPr>
          <w:rFonts w:cs="Tahoma"/>
          <w:bCs/>
        </w:rPr>
        <w:t>la</w:t>
      </w:r>
      <w:r w:rsidRPr="00AC739B">
        <w:rPr>
          <w:rFonts w:cs="Tahoma"/>
        </w:rPr>
        <w:t xml:space="preserve"> respuesta otorgada por el </w:t>
      </w:r>
      <w:r w:rsidR="00D57224" w:rsidRPr="00AC739B">
        <w:rPr>
          <w:rFonts w:cs="Tahoma"/>
        </w:rPr>
        <w:t xml:space="preserve">Ayuntamiento de </w:t>
      </w:r>
      <w:r w:rsidR="00780EC7" w:rsidRPr="00AC739B">
        <w:rPr>
          <w:rFonts w:cs="Tahoma"/>
        </w:rPr>
        <w:t>Toluca</w:t>
      </w:r>
      <w:r w:rsidRPr="00AC739B">
        <w:rPr>
          <w:rFonts w:eastAsia="Calibri" w:cs="Tahoma"/>
        </w:rPr>
        <w:t xml:space="preserve">, </w:t>
      </w:r>
      <w:r w:rsidRPr="00AC739B">
        <w:rPr>
          <w:rFonts w:cs="Tahoma"/>
        </w:rPr>
        <w:t>a efecto de que proporcione vía SAIMEX, la información solicitada.</w:t>
      </w:r>
    </w:p>
    <w:p w14:paraId="329AC632" w14:textId="77777777" w:rsidR="002A0B3A" w:rsidRPr="00AC739B" w:rsidRDefault="002A0B3A" w:rsidP="005032B4">
      <w:pPr>
        <w:spacing w:after="0" w:line="360" w:lineRule="auto"/>
        <w:contextualSpacing/>
        <w:rPr>
          <w:rFonts w:eastAsia="Times New Roman" w:cs="Tahoma"/>
          <w:color w:val="auto"/>
          <w:szCs w:val="24"/>
          <w:lang w:val="es-ES" w:eastAsia="es-ES"/>
        </w:rPr>
      </w:pPr>
    </w:p>
    <w:p w14:paraId="76B23D88" w14:textId="77777777" w:rsidR="002A0B3A" w:rsidRPr="00AC739B" w:rsidRDefault="002A0B3A" w:rsidP="005032B4">
      <w:pPr>
        <w:spacing w:after="0" w:line="360" w:lineRule="auto"/>
        <w:contextualSpacing/>
        <w:rPr>
          <w:rFonts w:eastAsia="Calibri" w:cs="Tahoma"/>
          <w:b/>
          <w:bCs/>
          <w:color w:val="auto"/>
        </w:rPr>
      </w:pPr>
      <w:r w:rsidRPr="00AC739B">
        <w:rPr>
          <w:rFonts w:eastAsia="Calibri" w:cs="Tahoma"/>
          <w:b/>
          <w:bCs/>
          <w:color w:val="auto"/>
        </w:rPr>
        <w:t>Términos de la Resolución para conocimiento del Particular.</w:t>
      </w:r>
    </w:p>
    <w:p w14:paraId="2EEF94A6" w14:textId="77777777" w:rsidR="002A0B3A" w:rsidRPr="00AC739B" w:rsidRDefault="002A0B3A" w:rsidP="005032B4">
      <w:pPr>
        <w:spacing w:after="0" w:line="360" w:lineRule="auto"/>
        <w:contextualSpacing/>
        <w:rPr>
          <w:rFonts w:eastAsia="Calibri" w:cs="Tahoma"/>
          <w:b/>
          <w:bCs/>
          <w:color w:val="auto"/>
        </w:rPr>
      </w:pPr>
    </w:p>
    <w:p w14:paraId="14B0205A" w14:textId="77777777" w:rsidR="008E4ACC" w:rsidRPr="00AC739B" w:rsidRDefault="002A0B3A" w:rsidP="005032B4">
      <w:pPr>
        <w:spacing w:after="0" w:line="360" w:lineRule="auto"/>
      </w:pPr>
      <w:r w:rsidRPr="00AC739B">
        <w:t xml:space="preserve">Se le hace del conocimiento a la persona Recurrente que, en el presente asunto, se le da la razón, pues </w:t>
      </w:r>
      <w:r w:rsidR="00780EC7" w:rsidRPr="00AC739B">
        <w:t>el Ayuntamiento de Toluca no acreditó la búsqueda exhaustiva y razonable de la información</w:t>
      </w:r>
      <w:r w:rsidRPr="00AC739B">
        <w:t xml:space="preserve">. Por ello, usted debe recibir a través del Sistema de Acceso a la Información Mexiquense (SAIMEX) la información solicitada. </w:t>
      </w:r>
    </w:p>
    <w:p w14:paraId="7DB118DE" w14:textId="77777777" w:rsidR="008E4ACC" w:rsidRPr="00AC739B" w:rsidRDefault="008E4ACC" w:rsidP="005032B4">
      <w:pPr>
        <w:spacing w:after="0" w:line="360" w:lineRule="auto"/>
      </w:pPr>
    </w:p>
    <w:p w14:paraId="387FDA94" w14:textId="43D5D74A" w:rsidR="002A0B3A" w:rsidRPr="00AC739B" w:rsidRDefault="002A0B3A" w:rsidP="005032B4">
      <w:pPr>
        <w:spacing w:after="0" w:line="360" w:lineRule="auto"/>
        <w:rPr>
          <w:color w:val="000000"/>
        </w:rPr>
      </w:pPr>
      <w:r w:rsidRPr="00AC739B">
        <w:rPr>
          <w:color w:val="000000"/>
        </w:rPr>
        <w:t xml:space="preserve">La labor del </w:t>
      </w:r>
      <w:proofErr w:type="gramStart"/>
      <w:r w:rsidRPr="00AC739B">
        <w:rPr>
          <w:color w:val="000000"/>
        </w:rPr>
        <w:t>Instituto,</w:t>
      </w:r>
      <w:proofErr w:type="gramEnd"/>
      <w:r w:rsidRPr="00AC739B">
        <w:rPr>
          <w:color w:val="000000"/>
        </w:rPr>
        <w:t xml:space="preserve"> es apoyar a la población a acceder a la información pública y garantizar la protección de sus datos personales.</w:t>
      </w:r>
    </w:p>
    <w:p w14:paraId="0B887F14" w14:textId="77777777" w:rsidR="005032B4" w:rsidRPr="00AC739B" w:rsidRDefault="005032B4" w:rsidP="005032B4">
      <w:pPr>
        <w:spacing w:after="0" w:line="360" w:lineRule="auto"/>
      </w:pPr>
    </w:p>
    <w:p w14:paraId="1BF135B6" w14:textId="77777777" w:rsidR="002A0B3A" w:rsidRPr="00AC739B" w:rsidRDefault="002A0B3A" w:rsidP="005032B4">
      <w:pPr>
        <w:spacing w:after="0" w:line="360" w:lineRule="auto"/>
        <w:contextualSpacing/>
        <w:rPr>
          <w:rFonts w:eastAsia="Calibri" w:cs="Tahoma"/>
          <w:bCs/>
          <w:color w:val="auto"/>
        </w:rPr>
      </w:pPr>
      <w:r w:rsidRPr="00AC739B">
        <w:rPr>
          <w:rFonts w:eastAsia="Calibri" w:cs="Tahoma"/>
          <w:bCs/>
          <w:color w:val="auto"/>
        </w:rPr>
        <w:t>Por lo expuesto y fundado, este Pleno:</w:t>
      </w:r>
    </w:p>
    <w:p w14:paraId="0FA647B5" w14:textId="77777777" w:rsidR="002A0B3A" w:rsidRPr="00AC739B" w:rsidRDefault="002A0B3A" w:rsidP="005032B4">
      <w:pPr>
        <w:spacing w:after="0" w:line="360" w:lineRule="auto"/>
        <w:contextualSpacing/>
        <w:rPr>
          <w:rFonts w:eastAsia="Calibri" w:cs="Tahoma"/>
          <w:bCs/>
          <w:color w:val="auto"/>
        </w:rPr>
      </w:pPr>
    </w:p>
    <w:p w14:paraId="7919B441" w14:textId="77777777" w:rsidR="002A0B3A" w:rsidRPr="00AC739B" w:rsidRDefault="002A0B3A" w:rsidP="005032B4">
      <w:pPr>
        <w:pStyle w:val="Ttulo1"/>
        <w:spacing w:before="0" w:line="360" w:lineRule="auto"/>
        <w:jc w:val="center"/>
        <w:rPr>
          <w:rFonts w:ascii="Palatino Linotype" w:eastAsia="Calibri" w:hAnsi="Palatino Linotype"/>
          <w:b/>
          <w:color w:val="000000" w:themeColor="text1"/>
          <w:sz w:val="22"/>
          <w:szCs w:val="22"/>
        </w:rPr>
      </w:pPr>
      <w:bookmarkStart w:id="21" w:name="_Toc189757371"/>
      <w:r w:rsidRPr="00AC739B">
        <w:rPr>
          <w:rFonts w:ascii="Palatino Linotype" w:eastAsia="Calibri" w:hAnsi="Palatino Linotype"/>
          <w:b/>
          <w:color w:val="000000" w:themeColor="text1"/>
          <w:sz w:val="22"/>
          <w:szCs w:val="22"/>
        </w:rPr>
        <w:t>R E S U E L V E:</w:t>
      </w:r>
      <w:bookmarkEnd w:id="21"/>
    </w:p>
    <w:p w14:paraId="6A252915" w14:textId="77777777" w:rsidR="002A0B3A" w:rsidRPr="00AC739B" w:rsidRDefault="002A0B3A" w:rsidP="005032B4">
      <w:pPr>
        <w:spacing w:after="0" w:line="360" w:lineRule="auto"/>
        <w:ind w:right="-91"/>
        <w:contextualSpacing/>
        <w:jc w:val="center"/>
        <w:rPr>
          <w:rFonts w:eastAsia="Calibri" w:cs="Tahoma"/>
          <w:b/>
          <w:bCs/>
          <w:color w:val="auto"/>
        </w:rPr>
      </w:pPr>
    </w:p>
    <w:p w14:paraId="2EA5F40E" w14:textId="26F5A203" w:rsidR="002A0B3A" w:rsidRPr="00AC739B" w:rsidRDefault="002A0B3A" w:rsidP="005032B4">
      <w:pPr>
        <w:spacing w:after="0" w:line="360" w:lineRule="auto"/>
        <w:contextualSpacing/>
        <w:rPr>
          <w:rFonts w:eastAsia="Calibri" w:cs="Tahoma"/>
          <w:bCs/>
        </w:rPr>
      </w:pPr>
      <w:r w:rsidRPr="00AC739B">
        <w:rPr>
          <w:rFonts w:eastAsia="Calibri" w:cs="Tahoma"/>
          <w:b/>
          <w:bCs/>
          <w:iCs/>
          <w:color w:val="auto"/>
        </w:rPr>
        <w:lastRenderedPageBreak/>
        <w:t xml:space="preserve">PRIMERO. </w:t>
      </w:r>
      <w:r w:rsidRPr="00AC739B">
        <w:rPr>
          <w:rFonts w:cs="Tahoma"/>
          <w:bCs/>
        </w:rPr>
        <w:t xml:space="preserve">Se </w:t>
      </w:r>
      <w:r w:rsidRPr="00AC739B">
        <w:rPr>
          <w:rFonts w:cs="Tahoma"/>
          <w:b/>
          <w:bCs/>
        </w:rPr>
        <w:t>REVOCA</w:t>
      </w:r>
      <w:r w:rsidRPr="00AC739B">
        <w:rPr>
          <w:rFonts w:cs="Tahoma"/>
          <w:bCs/>
        </w:rPr>
        <w:t xml:space="preserve"> la respuesta entregada por el </w:t>
      </w:r>
      <w:r w:rsidR="00780EC7" w:rsidRPr="00AC739B">
        <w:rPr>
          <w:rFonts w:cs="Tahoma"/>
          <w:bCs/>
        </w:rPr>
        <w:t>Ayuntamiento de Toluca</w:t>
      </w:r>
      <w:r w:rsidRPr="00AC739B">
        <w:rPr>
          <w:rFonts w:cs="Tahoma"/>
          <w:bCs/>
        </w:rPr>
        <w:t xml:space="preserve">, a la solicitud de </w:t>
      </w:r>
      <w:r w:rsidRPr="00AC739B">
        <w:rPr>
          <w:rFonts w:eastAsia="Calibri" w:cs="Tahoma"/>
        </w:rPr>
        <w:t xml:space="preserve">información </w:t>
      </w:r>
      <w:r w:rsidR="00780EC7" w:rsidRPr="00AC739B">
        <w:rPr>
          <w:rFonts w:eastAsia="Calibri" w:cs="Tahoma"/>
        </w:rPr>
        <w:t>03410/TOLUCA/IP/2024</w:t>
      </w:r>
      <w:r w:rsidRPr="00AC739B">
        <w:rPr>
          <w:rFonts w:eastAsia="Calibri" w:cs="Tahoma"/>
          <w:bCs/>
        </w:rPr>
        <w:t xml:space="preserve">, </w:t>
      </w:r>
      <w:r w:rsidRPr="00AC739B">
        <w:rPr>
          <w:bCs/>
        </w:rPr>
        <w:t>por</w:t>
      </w:r>
      <w:r w:rsidRPr="00AC739B">
        <w:t xml:space="preserve"> resultar </w:t>
      </w:r>
      <w:r w:rsidRPr="00AC739B">
        <w:rPr>
          <w:b/>
        </w:rPr>
        <w:t>FUNDADAS</w:t>
      </w:r>
      <w:r w:rsidRPr="00AC739B">
        <w:rPr>
          <w:rFonts w:cs="Tahoma"/>
        </w:rPr>
        <w:t xml:space="preserve"> </w:t>
      </w:r>
      <w:r w:rsidRPr="00AC739B">
        <w:rPr>
          <w:rFonts w:eastAsia="Calibri" w:cs="Tahoma"/>
        </w:rPr>
        <w:t>las razones o motivos de inconformidad hechos valer por el Particular, en</w:t>
      </w:r>
      <w:r w:rsidRPr="00AC739B">
        <w:rPr>
          <w:rFonts w:eastAsia="Calibri" w:cs="Tahoma"/>
          <w:bCs/>
        </w:rPr>
        <w:t xml:space="preserve"> términos de los considerandos </w:t>
      </w:r>
      <w:r w:rsidRPr="00AC739B">
        <w:rPr>
          <w:rFonts w:eastAsia="Calibri" w:cs="Tahoma"/>
        </w:rPr>
        <w:t>QUINTO y SEXTO</w:t>
      </w:r>
      <w:r w:rsidRPr="00AC739B">
        <w:rPr>
          <w:rFonts w:eastAsia="Calibri" w:cs="Tahoma"/>
          <w:bCs/>
        </w:rPr>
        <w:t xml:space="preserve"> de la presente Resolución.</w:t>
      </w:r>
    </w:p>
    <w:p w14:paraId="2F90865E" w14:textId="77777777" w:rsidR="002A0B3A" w:rsidRPr="00AC739B" w:rsidRDefault="002A0B3A" w:rsidP="005032B4">
      <w:pPr>
        <w:spacing w:after="0" w:line="360" w:lineRule="auto"/>
        <w:contextualSpacing/>
        <w:rPr>
          <w:rFonts w:eastAsia="Calibri" w:cs="Tahoma"/>
          <w:b/>
          <w:bCs/>
          <w:iCs/>
          <w:color w:val="auto"/>
        </w:rPr>
      </w:pPr>
    </w:p>
    <w:p w14:paraId="567F9059" w14:textId="0D34C39D" w:rsidR="002A0B3A" w:rsidRPr="00AC739B" w:rsidRDefault="002A0B3A" w:rsidP="005032B4">
      <w:pPr>
        <w:spacing w:after="0" w:line="360" w:lineRule="auto"/>
        <w:contextualSpacing/>
        <w:rPr>
          <w:rFonts w:cs="Tahoma"/>
          <w:bCs/>
          <w:iCs/>
        </w:rPr>
      </w:pPr>
      <w:r w:rsidRPr="00AC739B">
        <w:rPr>
          <w:rFonts w:eastAsia="Calibri" w:cs="Tahoma"/>
          <w:b/>
          <w:bCs/>
          <w:iCs/>
          <w:color w:val="auto"/>
        </w:rPr>
        <w:t xml:space="preserve">SEGUNDO. </w:t>
      </w:r>
      <w:r w:rsidRPr="00AC739B">
        <w:rPr>
          <w:rFonts w:eastAsia="Calibri" w:cs="Tahoma"/>
          <w:bCs/>
          <w:iCs/>
          <w:color w:val="auto"/>
        </w:rPr>
        <w:t xml:space="preserve">Se </w:t>
      </w:r>
      <w:r w:rsidRPr="00AC739B">
        <w:rPr>
          <w:rFonts w:eastAsia="Calibri" w:cs="Tahoma"/>
          <w:b/>
          <w:bCs/>
          <w:iCs/>
          <w:color w:val="auto"/>
        </w:rPr>
        <w:t xml:space="preserve">ORDENA </w:t>
      </w:r>
      <w:r w:rsidRPr="00AC739B">
        <w:rPr>
          <w:rFonts w:eastAsia="Calibri" w:cs="Tahoma"/>
          <w:bCs/>
          <w:iCs/>
          <w:color w:val="auto"/>
        </w:rPr>
        <w:t xml:space="preserve">al Ente Recurrido, a efecto de que previa búsqueda exhaustiva y razonable en las unidades administrativas competentes, entregue, a través del Sistema de Acceso a la Información Mexiquense (SAIMEX), en su caso, en versión pública, </w:t>
      </w:r>
      <w:r w:rsidR="005032B4" w:rsidRPr="00AC739B">
        <w:rPr>
          <w:rFonts w:cs="Tahoma"/>
          <w:bCs/>
          <w:iCs/>
        </w:rPr>
        <w:t>los documentos con los que contara al seis de diciembre de dos mil veinticuatro, que den cuenta de lo siguiente:</w:t>
      </w:r>
    </w:p>
    <w:p w14:paraId="0C3DAB14" w14:textId="77777777" w:rsidR="002A0B3A" w:rsidRPr="00AC739B" w:rsidRDefault="002A0B3A" w:rsidP="005032B4">
      <w:pPr>
        <w:spacing w:after="0" w:line="360" w:lineRule="auto"/>
        <w:contextualSpacing/>
        <w:rPr>
          <w:rFonts w:cs="Tahoma"/>
          <w:bCs/>
          <w:iCs/>
        </w:rPr>
      </w:pPr>
    </w:p>
    <w:p w14:paraId="11303D21" w14:textId="5D5C90ED" w:rsidR="002A0B3A" w:rsidRPr="00AC739B" w:rsidRDefault="005032B4" w:rsidP="005032B4">
      <w:pPr>
        <w:numPr>
          <w:ilvl w:val="0"/>
          <w:numId w:val="23"/>
        </w:numPr>
        <w:spacing w:after="0" w:line="360" w:lineRule="auto"/>
        <w:contextualSpacing/>
        <w:jc w:val="left"/>
        <w:rPr>
          <w:rFonts w:eastAsia="Times New Roman" w:cs="Times New Roman"/>
          <w:color w:val="000000"/>
          <w:szCs w:val="24"/>
          <w:lang w:eastAsia="es-ES"/>
        </w:rPr>
      </w:pPr>
      <w:r w:rsidRPr="00AC739B">
        <w:rPr>
          <w:rFonts w:eastAsia="Times New Roman" w:cs="Tahoma"/>
          <w:bCs/>
          <w:iCs/>
          <w:color w:val="000000"/>
          <w:szCs w:val="24"/>
          <w:lang w:val="es-ES_tradnl" w:eastAsia="es-ES"/>
        </w:rPr>
        <w:t>L</w:t>
      </w:r>
      <w:r w:rsidR="00780EC7" w:rsidRPr="00AC739B">
        <w:rPr>
          <w:rFonts w:eastAsia="Times New Roman" w:cs="Tahoma"/>
          <w:bCs/>
          <w:iCs/>
          <w:color w:val="000000"/>
          <w:szCs w:val="24"/>
          <w:lang w:val="es-ES_tradnl" w:eastAsia="es-ES"/>
        </w:rPr>
        <w:t>os</w:t>
      </w:r>
      <w:r w:rsidR="002A0B3A" w:rsidRPr="00AC739B">
        <w:rPr>
          <w:rFonts w:eastAsia="Times New Roman" w:cs="Tahoma"/>
          <w:bCs/>
          <w:iCs/>
          <w:color w:val="000000"/>
          <w:szCs w:val="24"/>
          <w:lang w:val="es-ES_tradnl" w:eastAsia="es-ES"/>
        </w:rPr>
        <w:t xml:space="preserve"> </w:t>
      </w:r>
      <w:r w:rsidR="00780EC7" w:rsidRPr="00AC739B">
        <w:rPr>
          <w:rFonts w:eastAsia="Times New Roman" w:cs="Tahoma"/>
          <w:bCs/>
          <w:iCs/>
          <w:color w:val="000000"/>
          <w:szCs w:val="24"/>
          <w:lang w:eastAsia="es-ES"/>
        </w:rPr>
        <w:t>comprobantes de pago</w:t>
      </w:r>
      <w:r w:rsidRPr="00AC739B">
        <w:rPr>
          <w:rFonts w:eastAsia="Times New Roman" w:cs="Tahoma"/>
          <w:bCs/>
          <w:iCs/>
          <w:color w:val="000000"/>
          <w:szCs w:val="24"/>
          <w:lang w:eastAsia="es-ES"/>
        </w:rPr>
        <w:t>, relacionados con</w:t>
      </w:r>
      <w:r w:rsidR="00780EC7" w:rsidRPr="00AC739B">
        <w:rPr>
          <w:rFonts w:eastAsia="Times New Roman" w:cs="Tahoma"/>
          <w:bCs/>
          <w:iCs/>
          <w:color w:val="000000"/>
          <w:szCs w:val="24"/>
          <w:lang w:eastAsia="es-ES"/>
        </w:rPr>
        <w:t xml:space="preserve"> el adeudo con el </w:t>
      </w:r>
      <w:r w:rsidRPr="00AC739B">
        <w:rPr>
          <w:rFonts w:eastAsia="Times New Roman" w:cs="Tahoma"/>
          <w:bCs/>
          <w:color w:val="auto"/>
          <w:szCs w:val="24"/>
          <w:lang w:eastAsia="es-ES"/>
        </w:rPr>
        <w:t>Sistema de Radio y Televisión Mexiquense (ahora Sistema Mexiquense de Medios Públicos)</w:t>
      </w:r>
      <w:r w:rsidRPr="00AC739B">
        <w:rPr>
          <w:rFonts w:eastAsia="Times New Roman" w:cs="Tahoma"/>
          <w:bCs/>
          <w:iCs/>
          <w:color w:val="000000"/>
          <w:szCs w:val="24"/>
          <w:lang w:eastAsia="es-ES"/>
        </w:rPr>
        <w:t xml:space="preserve">, </w:t>
      </w:r>
      <w:r w:rsidR="00780EC7" w:rsidRPr="00AC739B">
        <w:rPr>
          <w:rFonts w:eastAsia="Times New Roman" w:cs="Tahoma"/>
          <w:bCs/>
          <w:iCs/>
          <w:color w:val="000000"/>
          <w:szCs w:val="24"/>
          <w:lang w:eastAsia="es-ES"/>
        </w:rPr>
        <w:t>establecido en el Estado Analítico de la Deuda y Otros Pasivos del primero de enero al treinta y uno de diciembre de dos mil veintiuno</w:t>
      </w:r>
      <w:r w:rsidRPr="00AC739B">
        <w:rPr>
          <w:rFonts w:eastAsia="Times New Roman" w:cs="Tahoma"/>
          <w:bCs/>
          <w:iCs/>
          <w:color w:val="000000"/>
          <w:szCs w:val="24"/>
          <w:lang w:eastAsia="es-ES"/>
        </w:rPr>
        <w:t>.</w:t>
      </w:r>
    </w:p>
    <w:p w14:paraId="3E6AF7E7" w14:textId="77777777" w:rsidR="005032B4" w:rsidRPr="00AC739B" w:rsidRDefault="005032B4" w:rsidP="005032B4">
      <w:pPr>
        <w:spacing w:after="0" w:line="360" w:lineRule="auto"/>
        <w:ind w:left="720"/>
        <w:contextualSpacing/>
        <w:jc w:val="left"/>
        <w:rPr>
          <w:rFonts w:eastAsia="Times New Roman" w:cs="Times New Roman"/>
          <w:color w:val="000000"/>
          <w:szCs w:val="24"/>
          <w:lang w:eastAsia="es-ES"/>
        </w:rPr>
      </w:pPr>
    </w:p>
    <w:p w14:paraId="02A5DC41" w14:textId="57769D15" w:rsidR="002A0B3A" w:rsidRPr="00AC739B" w:rsidRDefault="002A0B3A" w:rsidP="005032B4">
      <w:pPr>
        <w:spacing w:after="0" w:line="360" w:lineRule="auto"/>
        <w:rPr>
          <w:rFonts w:eastAsia="Palatino Linotype" w:cs="Palatino Linotype"/>
          <w:bCs/>
          <w:iCs/>
          <w:color w:val="000000"/>
        </w:rPr>
      </w:pPr>
      <w:r w:rsidRPr="00AC739B">
        <w:rPr>
          <w:rFonts w:eastAsia="Palatino Linotype" w:cs="Palatino Linotype"/>
          <w:bCs/>
          <w:iCs/>
          <w:color w:val="000000"/>
        </w:rPr>
        <w:t>Además, de ser necesario, deberá proporcionar el Acuerdo de Clasificación donde el Comité de Transparencia, confirme la eliminación de los datos o información, en la versión pública, de conformidad con los artículos 49, fracciones II y VIII y 132, fracción II, de la Ley de Transparencia y Acceso a la Información Pública del Estado de México y Municipios.</w:t>
      </w:r>
    </w:p>
    <w:p w14:paraId="7C750ACA" w14:textId="312BD142" w:rsidR="00780EC7" w:rsidRPr="00AC739B" w:rsidRDefault="00780EC7" w:rsidP="005032B4">
      <w:pPr>
        <w:spacing w:after="0" w:line="360" w:lineRule="auto"/>
        <w:rPr>
          <w:rFonts w:eastAsia="Palatino Linotype" w:cs="Palatino Linotype"/>
          <w:bCs/>
          <w:iCs/>
          <w:color w:val="000000"/>
        </w:rPr>
      </w:pPr>
    </w:p>
    <w:p w14:paraId="79079DC6" w14:textId="4E579089" w:rsidR="00780EC7" w:rsidRPr="00AC739B" w:rsidRDefault="00827355" w:rsidP="005032B4">
      <w:pPr>
        <w:spacing w:after="0" w:line="360" w:lineRule="auto"/>
        <w:rPr>
          <w:rFonts w:cs="Tahoma"/>
          <w:bCs/>
          <w:iCs/>
          <w:color w:val="auto"/>
        </w:rPr>
      </w:pPr>
      <w:r w:rsidRPr="00AC739B">
        <w:rPr>
          <w:rFonts w:cs="Tahoma"/>
          <w:bCs/>
          <w:iCs/>
        </w:rPr>
        <w:t xml:space="preserve">Para el caso, de que al seis de diciembre de dos mil veinticuatro no se haya </w:t>
      </w:r>
      <w:r w:rsidR="005032B4" w:rsidRPr="00AC739B">
        <w:rPr>
          <w:rFonts w:cs="Tahoma"/>
          <w:bCs/>
          <w:iCs/>
        </w:rPr>
        <w:t>realizado algún pago al adeudo referido</w:t>
      </w:r>
      <w:r w:rsidRPr="00AC739B">
        <w:rPr>
          <w:rFonts w:cs="Tahoma"/>
          <w:bCs/>
          <w:iCs/>
        </w:rPr>
        <w:t>, deberá hacerlo del conocimiento del Recurrente, de manera clara y precisa.</w:t>
      </w:r>
    </w:p>
    <w:p w14:paraId="0BA5F83D" w14:textId="77777777" w:rsidR="002A0B3A" w:rsidRPr="00AC739B" w:rsidRDefault="002A0B3A" w:rsidP="005032B4">
      <w:pPr>
        <w:spacing w:after="0" w:line="360" w:lineRule="auto"/>
        <w:ind w:right="-28"/>
        <w:rPr>
          <w:rFonts w:eastAsia="Palatino Linotype" w:cs="Palatino Linotype"/>
          <w:color w:val="auto"/>
        </w:rPr>
      </w:pPr>
    </w:p>
    <w:p w14:paraId="7931031D" w14:textId="77777777" w:rsidR="002A0B3A" w:rsidRPr="00AC739B" w:rsidRDefault="002A0B3A" w:rsidP="005032B4">
      <w:pPr>
        <w:spacing w:after="0" w:line="360" w:lineRule="auto"/>
        <w:ind w:right="-28"/>
        <w:rPr>
          <w:rFonts w:eastAsia="Palatino Linotype" w:cs="Palatino Linotype"/>
          <w:b/>
          <w:color w:val="auto"/>
        </w:rPr>
      </w:pPr>
      <w:r w:rsidRPr="00AC739B">
        <w:rPr>
          <w:rFonts w:eastAsia="Palatino Linotype" w:cs="Palatino Linotype"/>
          <w:b/>
          <w:color w:val="auto"/>
        </w:rPr>
        <w:t xml:space="preserve">TERCERO. NOTIFÍQUESE POR SAIMEX </w:t>
      </w:r>
      <w:r w:rsidRPr="00AC739B">
        <w:rPr>
          <w:rFonts w:eastAsia="Palatino Linotype" w:cs="Palatino Linotype"/>
          <w:color w:val="auto"/>
        </w:rPr>
        <w:t xml:space="preserve">la presente resolución al Titular de la Unidad de Transparencia del Sujeto Obligado, para que conforme al artículo 186, último párrafo, 189, </w:t>
      </w:r>
      <w:r w:rsidRPr="00AC739B">
        <w:rPr>
          <w:rFonts w:eastAsia="Palatino Linotype" w:cs="Palatino Linotype"/>
          <w:color w:val="auto"/>
        </w:rPr>
        <w:lastRenderedPageBreak/>
        <w:t>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68517043" w14:textId="77777777" w:rsidR="002A0B3A" w:rsidRPr="00AC739B" w:rsidRDefault="002A0B3A" w:rsidP="005032B4">
      <w:pPr>
        <w:spacing w:after="0" w:line="360" w:lineRule="auto"/>
        <w:ind w:right="-28"/>
        <w:rPr>
          <w:rFonts w:eastAsia="Palatino Linotype" w:cs="Palatino Linotype"/>
          <w:color w:val="000000"/>
        </w:rPr>
      </w:pPr>
    </w:p>
    <w:p w14:paraId="174C9694" w14:textId="77777777" w:rsidR="002A0B3A" w:rsidRPr="00AC739B" w:rsidRDefault="002A0B3A" w:rsidP="005032B4">
      <w:pPr>
        <w:spacing w:after="0" w:line="360" w:lineRule="auto"/>
        <w:rPr>
          <w:rFonts w:eastAsia="Palatino Linotype" w:cs="Palatino Linotype"/>
          <w:color w:val="000000"/>
        </w:rPr>
      </w:pPr>
      <w:r w:rsidRPr="00AC739B">
        <w:rPr>
          <w:rFonts w:eastAsia="Palatino Linotype" w:cs="Palatino Linotype"/>
          <w:color w:val="000000"/>
        </w:rPr>
        <w:t>De conformidad con el artículo 198 de la Ley de la materia, de considerarlo procedente, el Sujeto Obligado de manera fundada y motivada, podrá solicitar una ampliación de plazo para el cumplimiento de la presente resolución.</w:t>
      </w:r>
    </w:p>
    <w:p w14:paraId="7039763E" w14:textId="77777777" w:rsidR="002A0B3A" w:rsidRPr="00AC739B" w:rsidRDefault="002A0B3A" w:rsidP="005032B4">
      <w:pPr>
        <w:spacing w:after="0" w:line="360" w:lineRule="auto"/>
        <w:rPr>
          <w:rFonts w:eastAsia="Palatino Linotype" w:cs="Palatino Linotype"/>
          <w:color w:val="000000"/>
        </w:rPr>
      </w:pPr>
    </w:p>
    <w:p w14:paraId="677A177D" w14:textId="77777777" w:rsidR="002A0B3A" w:rsidRPr="00AC739B" w:rsidRDefault="002A0B3A" w:rsidP="005032B4">
      <w:pPr>
        <w:spacing w:after="0" w:line="360" w:lineRule="auto"/>
        <w:rPr>
          <w:rFonts w:eastAsia="Palatino Linotype" w:cs="Palatino Linotype"/>
          <w:color w:val="auto"/>
        </w:rPr>
      </w:pPr>
      <w:r w:rsidRPr="00AC739B">
        <w:rPr>
          <w:rFonts w:eastAsia="Palatino Linotype" w:cs="Palatino Linotype"/>
          <w:b/>
          <w:color w:val="auto"/>
        </w:rPr>
        <w:t>CUARTO. NOTIFÍQUESE POR SAIMEX</w:t>
      </w:r>
      <w:r w:rsidRPr="00AC739B">
        <w:rPr>
          <w:rFonts w:eastAsia="Palatino Linotype" w:cs="Palatino Linotype"/>
          <w:color w:val="auto"/>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ECE8135" w14:textId="77777777" w:rsidR="00EF5567" w:rsidRPr="00AC739B" w:rsidRDefault="00EF5567" w:rsidP="005032B4">
      <w:pPr>
        <w:spacing w:after="0" w:line="360" w:lineRule="auto"/>
        <w:ind w:right="-93"/>
        <w:rPr>
          <w:rFonts w:eastAsia="Calibri" w:cs="Tahoma"/>
          <w:bCs/>
          <w:color w:val="0D0D0D" w:themeColor="text1" w:themeTint="F2"/>
          <w:szCs w:val="20"/>
          <w:lang w:eastAsia="es-ES"/>
        </w:rPr>
      </w:pPr>
    </w:p>
    <w:p w14:paraId="133F997C" w14:textId="0D322308" w:rsidR="00EF5567" w:rsidRPr="00EF5567" w:rsidRDefault="00EF5567" w:rsidP="005032B4">
      <w:pPr>
        <w:spacing w:after="0" w:line="360" w:lineRule="auto"/>
        <w:rPr>
          <w:rFonts w:eastAsia="Calibri" w:cs="Tahoma"/>
          <w:color w:val="auto"/>
          <w:lang w:val="es-ES" w:eastAsia="es-ES_tradnl"/>
        </w:rPr>
      </w:pPr>
      <w:r w:rsidRPr="00AC739B">
        <w:rPr>
          <w:rFonts w:eastAsia="Calibri" w:cs="Tahoma"/>
          <w:color w:val="auto"/>
          <w:lang w:val="es-ES" w:eastAsia="es-ES_tradnl"/>
        </w:rPr>
        <w:t xml:space="preserve">ASÍ LO RESUELVE, POR </w:t>
      </w:r>
      <w:r w:rsidRPr="00AC739B">
        <w:rPr>
          <w:rFonts w:eastAsia="Calibri" w:cs="Tahoma"/>
          <w:b/>
          <w:bCs/>
          <w:color w:val="auto"/>
          <w:lang w:val="es-ES" w:eastAsia="es-ES_tradnl"/>
        </w:rPr>
        <w:t>UNANIMIDAD</w:t>
      </w:r>
      <w:r w:rsidRPr="00AC739B">
        <w:rPr>
          <w:rFonts w:eastAsia="Calibri" w:cs="Tahoma"/>
          <w:color w:val="auto"/>
          <w:lang w:val="es-ES" w:eastAsia="es-ES_tradnl"/>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EA2599" w:rsidRPr="00AC739B">
        <w:rPr>
          <w:rFonts w:eastAsia="Calibri" w:cs="Tahoma"/>
          <w:color w:val="auto"/>
          <w:lang w:val="es-ES" w:eastAsia="es-ES_tradnl"/>
        </w:rPr>
        <w:t xml:space="preserve">Y GUADALUPE RAMÍREZ PEÑA, EN LA </w:t>
      </w:r>
      <w:r w:rsidR="00780EC7" w:rsidRPr="00AC739B">
        <w:rPr>
          <w:rFonts w:eastAsia="Calibri" w:cs="Tahoma"/>
          <w:color w:val="auto"/>
          <w:lang w:val="es-ES" w:eastAsia="es-ES_tradnl"/>
        </w:rPr>
        <w:t xml:space="preserve">QUINTA </w:t>
      </w:r>
      <w:r w:rsidR="0020547F" w:rsidRPr="00AC739B">
        <w:rPr>
          <w:rFonts w:eastAsia="Calibri" w:cs="Tahoma"/>
          <w:color w:val="auto"/>
          <w:lang w:val="es-ES" w:eastAsia="es-ES_tradnl"/>
        </w:rPr>
        <w:t xml:space="preserve">SESIÓN ORDINARIA, CELEBRADA EL </w:t>
      </w:r>
      <w:r w:rsidR="00780EC7" w:rsidRPr="00AC739B">
        <w:rPr>
          <w:rFonts w:eastAsia="Calibri" w:cs="Tahoma"/>
          <w:color w:val="auto"/>
          <w:lang w:val="es-ES" w:eastAsia="es-ES_tradnl"/>
        </w:rPr>
        <w:t>DOCE</w:t>
      </w:r>
      <w:r w:rsidR="00EA2599" w:rsidRPr="00AC739B">
        <w:rPr>
          <w:rFonts w:eastAsia="Calibri" w:cs="Tahoma"/>
          <w:color w:val="auto"/>
          <w:lang w:val="es-ES" w:eastAsia="es-ES_tradnl"/>
        </w:rPr>
        <w:t xml:space="preserve"> DE </w:t>
      </w:r>
      <w:r w:rsidR="001E3C40" w:rsidRPr="00AC739B">
        <w:rPr>
          <w:rFonts w:eastAsia="Calibri" w:cs="Tahoma"/>
          <w:color w:val="auto"/>
          <w:lang w:val="es-ES" w:eastAsia="es-ES_tradnl"/>
        </w:rPr>
        <w:t>FEBERO DE</w:t>
      </w:r>
      <w:r w:rsidR="00EA2599" w:rsidRPr="00AC739B">
        <w:rPr>
          <w:rFonts w:eastAsia="Calibri" w:cs="Tahoma"/>
          <w:color w:val="auto"/>
          <w:lang w:val="es-ES" w:eastAsia="es-ES_tradnl"/>
        </w:rPr>
        <w:t xml:space="preserve"> DOS MIL VEINTICINCO</w:t>
      </w:r>
      <w:r w:rsidRPr="00AC739B">
        <w:rPr>
          <w:rFonts w:eastAsia="Calibri" w:cs="Tahoma"/>
          <w:color w:val="auto"/>
          <w:lang w:val="es-ES" w:eastAsia="es-ES_tradnl"/>
        </w:rPr>
        <w:t>, ANTE EL SECRETARIO TÉCNICO DEL PLENO, ALEXIS TAPIA RAMÍREZ.</w:t>
      </w:r>
    </w:p>
    <w:p w14:paraId="258403CC" w14:textId="77777777" w:rsidR="00B65D21" w:rsidRPr="00C821DD" w:rsidRDefault="00B65D21" w:rsidP="005032B4">
      <w:pPr>
        <w:spacing w:after="0" w:line="360" w:lineRule="auto"/>
        <w:contextualSpacing/>
        <w:rPr>
          <w:rFonts w:eastAsia="Calibri"/>
          <w:color w:val="FF0000"/>
        </w:rPr>
      </w:pPr>
    </w:p>
    <w:p w14:paraId="3EC3E9BD" w14:textId="77777777" w:rsidR="00CE7148" w:rsidRDefault="00CE7148" w:rsidP="005032B4">
      <w:pPr>
        <w:spacing w:after="0" w:line="360" w:lineRule="auto"/>
        <w:rPr>
          <w:color w:val="FF0000"/>
        </w:rPr>
      </w:pPr>
    </w:p>
    <w:p w14:paraId="4F4CCF40" w14:textId="77777777" w:rsidR="00A9056D" w:rsidRDefault="00A9056D" w:rsidP="005032B4">
      <w:pPr>
        <w:spacing w:after="0" w:line="360" w:lineRule="auto"/>
        <w:rPr>
          <w:color w:val="FF0000"/>
        </w:rPr>
      </w:pPr>
    </w:p>
    <w:p w14:paraId="30C2B0A8" w14:textId="77777777" w:rsidR="00A9056D" w:rsidRDefault="00A9056D" w:rsidP="005032B4">
      <w:pPr>
        <w:spacing w:after="0" w:line="360" w:lineRule="auto"/>
        <w:rPr>
          <w:color w:val="FF0000"/>
        </w:rPr>
      </w:pPr>
    </w:p>
    <w:p w14:paraId="70E8439B" w14:textId="77777777" w:rsidR="00A9056D" w:rsidRDefault="00A9056D" w:rsidP="005032B4">
      <w:pPr>
        <w:spacing w:after="0" w:line="360" w:lineRule="auto"/>
        <w:rPr>
          <w:color w:val="FF0000"/>
        </w:rPr>
      </w:pPr>
    </w:p>
    <w:p w14:paraId="7146A7F6" w14:textId="77777777" w:rsidR="00A9056D" w:rsidRDefault="00A9056D" w:rsidP="005032B4">
      <w:pPr>
        <w:spacing w:after="0" w:line="360" w:lineRule="auto"/>
        <w:rPr>
          <w:color w:val="FF0000"/>
        </w:rPr>
      </w:pPr>
    </w:p>
    <w:p w14:paraId="15A13D10" w14:textId="77777777" w:rsidR="00A9056D" w:rsidRDefault="00A9056D" w:rsidP="005032B4">
      <w:pPr>
        <w:spacing w:after="0" w:line="360" w:lineRule="auto"/>
        <w:rPr>
          <w:color w:val="FF0000"/>
        </w:rPr>
      </w:pPr>
    </w:p>
    <w:p w14:paraId="36F176C9" w14:textId="77777777" w:rsidR="00A9056D" w:rsidRDefault="00A9056D" w:rsidP="005032B4">
      <w:pPr>
        <w:spacing w:after="0" w:line="360" w:lineRule="auto"/>
        <w:rPr>
          <w:color w:val="FF0000"/>
        </w:rPr>
      </w:pPr>
    </w:p>
    <w:p w14:paraId="4D86D97F" w14:textId="77777777" w:rsidR="00A9056D" w:rsidRDefault="00A9056D" w:rsidP="005032B4">
      <w:pPr>
        <w:spacing w:after="0" w:line="360" w:lineRule="auto"/>
        <w:rPr>
          <w:color w:val="FF0000"/>
        </w:rPr>
      </w:pPr>
    </w:p>
    <w:p w14:paraId="06DD7401" w14:textId="77777777" w:rsidR="00A9056D" w:rsidRDefault="00A9056D" w:rsidP="005032B4">
      <w:pPr>
        <w:spacing w:after="0" w:line="360" w:lineRule="auto"/>
        <w:rPr>
          <w:color w:val="FF0000"/>
        </w:rPr>
      </w:pPr>
    </w:p>
    <w:p w14:paraId="436CEB7B" w14:textId="77777777" w:rsidR="00A9056D" w:rsidRDefault="00A9056D" w:rsidP="005032B4">
      <w:pPr>
        <w:spacing w:after="0" w:line="360" w:lineRule="auto"/>
        <w:rPr>
          <w:color w:val="FF0000"/>
        </w:rPr>
      </w:pPr>
    </w:p>
    <w:p w14:paraId="465D31F1" w14:textId="77777777" w:rsidR="00A9056D" w:rsidRPr="00C821DD" w:rsidRDefault="00A9056D" w:rsidP="005032B4">
      <w:pPr>
        <w:spacing w:after="0" w:line="360" w:lineRule="auto"/>
        <w:rPr>
          <w:color w:val="FF0000"/>
        </w:rPr>
      </w:pPr>
    </w:p>
    <w:sectPr w:rsidR="00A9056D" w:rsidRPr="00C821DD" w:rsidSect="007F271C">
      <w:headerReference w:type="even" r:id="rId17"/>
      <w:headerReference w:type="default" r:id="rId18"/>
      <w:footerReference w:type="even" r:id="rId19"/>
      <w:footerReference w:type="default" r:id="rId20"/>
      <w:headerReference w:type="first" r:id="rId21"/>
      <w:footerReference w:type="first" r:id="rId22"/>
      <w:pgSz w:w="12240" w:h="15840"/>
      <w:pgMar w:top="1418" w:right="1608" w:bottom="1560" w:left="1701" w:header="99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4FE43" w14:textId="77777777" w:rsidR="00FE6E11" w:rsidRDefault="00FE6E11" w:rsidP="00DB3DC5">
      <w:pPr>
        <w:spacing w:after="0" w:line="240" w:lineRule="auto"/>
      </w:pPr>
      <w:r>
        <w:separator/>
      </w:r>
    </w:p>
  </w:endnote>
  <w:endnote w:type="continuationSeparator" w:id="0">
    <w:p w14:paraId="3903B820" w14:textId="77777777" w:rsidR="00FE6E11" w:rsidRDefault="00FE6E11" w:rsidP="00DB3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3399054"/>
      <w:docPartObj>
        <w:docPartGallery w:val="Page Numbers (Bottom of Page)"/>
        <w:docPartUnique/>
      </w:docPartObj>
    </w:sdtPr>
    <w:sdtEndPr/>
    <w:sdtContent>
      <w:sdt>
        <w:sdtPr>
          <w:id w:val="1261569716"/>
          <w:docPartObj>
            <w:docPartGallery w:val="Page Numbers (Top of Page)"/>
            <w:docPartUnique/>
          </w:docPartObj>
        </w:sdtPr>
        <w:sdtEndPr/>
        <w:sdtContent>
          <w:p w14:paraId="271EF021" w14:textId="77777777" w:rsidR="00667107" w:rsidRDefault="0066710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14:paraId="68EED6E3" w14:textId="77777777" w:rsidR="00667107" w:rsidRDefault="0066710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9454459"/>
      <w:docPartObj>
        <w:docPartGallery w:val="Page Numbers (Bottom of Page)"/>
        <w:docPartUnique/>
      </w:docPartObj>
    </w:sdtPr>
    <w:sdtEndPr/>
    <w:sdtContent>
      <w:sdt>
        <w:sdtPr>
          <w:id w:val="1805889955"/>
          <w:docPartObj>
            <w:docPartGallery w:val="Page Numbers (Top of Page)"/>
            <w:docPartUnique/>
          </w:docPartObj>
        </w:sdtPr>
        <w:sdtEndPr/>
        <w:sdtContent>
          <w:p w14:paraId="54AF1A6A" w14:textId="77777777" w:rsidR="00667107" w:rsidRDefault="0066710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C739B">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C739B">
              <w:rPr>
                <w:b/>
                <w:bCs/>
                <w:noProof/>
              </w:rPr>
              <w:t>29</w:t>
            </w:r>
            <w:r>
              <w:rPr>
                <w:b/>
                <w:bCs/>
                <w:sz w:val="24"/>
                <w:szCs w:val="24"/>
              </w:rPr>
              <w:fldChar w:fldCharType="end"/>
            </w:r>
          </w:p>
        </w:sdtContent>
      </w:sdt>
    </w:sdtContent>
  </w:sdt>
  <w:p w14:paraId="5C9540ED" w14:textId="77777777" w:rsidR="00667107" w:rsidRDefault="0066710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0841749"/>
      <w:docPartObj>
        <w:docPartGallery w:val="Page Numbers (Bottom of Page)"/>
        <w:docPartUnique/>
      </w:docPartObj>
    </w:sdtPr>
    <w:sdtEndPr/>
    <w:sdtContent>
      <w:sdt>
        <w:sdtPr>
          <w:id w:val="2049646426"/>
          <w:docPartObj>
            <w:docPartGallery w:val="Page Numbers (Top of Page)"/>
            <w:docPartUnique/>
          </w:docPartObj>
        </w:sdtPr>
        <w:sdtEndPr/>
        <w:sdtContent>
          <w:p w14:paraId="4208A12E" w14:textId="77777777" w:rsidR="00667107" w:rsidRDefault="0066710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C739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C739B">
              <w:rPr>
                <w:b/>
                <w:bCs/>
                <w:noProof/>
              </w:rPr>
              <w:t>29</w:t>
            </w:r>
            <w:r>
              <w:rPr>
                <w:b/>
                <w:bCs/>
                <w:sz w:val="24"/>
                <w:szCs w:val="24"/>
              </w:rPr>
              <w:fldChar w:fldCharType="end"/>
            </w:r>
          </w:p>
        </w:sdtContent>
      </w:sdt>
    </w:sdtContent>
  </w:sdt>
  <w:p w14:paraId="601C40B8" w14:textId="77777777" w:rsidR="00667107" w:rsidRDefault="0066710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CE0B7" w14:textId="77777777" w:rsidR="00FE6E11" w:rsidRDefault="00FE6E11" w:rsidP="00DB3DC5">
      <w:pPr>
        <w:spacing w:after="0" w:line="240" w:lineRule="auto"/>
      </w:pPr>
      <w:r>
        <w:separator/>
      </w:r>
    </w:p>
  </w:footnote>
  <w:footnote w:type="continuationSeparator" w:id="0">
    <w:p w14:paraId="21D89D4E" w14:textId="77777777" w:rsidR="00FE6E11" w:rsidRDefault="00FE6E11" w:rsidP="00DB3D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6096"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1"/>
      <w:gridCol w:w="3405"/>
    </w:tblGrid>
    <w:tr w:rsidR="00667107" w:rsidRPr="00E152D8" w14:paraId="04B090CA" w14:textId="77777777" w:rsidTr="00347876">
      <w:trPr>
        <w:trHeight w:val="132"/>
      </w:trPr>
      <w:tc>
        <w:tcPr>
          <w:tcW w:w="2691" w:type="dxa"/>
        </w:tcPr>
        <w:p w14:paraId="476D4D83" w14:textId="77777777" w:rsidR="00667107" w:rsidRPr="00E152D8" w:rsidRDefault="00667107" w:rsidP="00347876">
          <w:pPr>
            <w:tabs>
              <w:tab w:val="right" w:pos="8838"/>
            </w:tabs>
            <w:ind w:right="-105"/>
            <w:rPr>
              <w:rFonts w:eastAsia="Calibri" w:cs="Tahoma"/>
              <w:b/>
              <w:lang w:val="es-MX"/>
            </w:rPr>
          </w:pPr>
          <w:r w:rsidRPr="00E152D8">
            <w:rPr>
              <w:rFonts w:eastAsia="Calibri" w:cs="Tahoma"/>
              <w:b/>
              <w:lang w:val="es-MX"/>
            </w:rPr>
            <w:t>Recurso de Revisión:</w:t>
          </w:r>
        </w:p>
      </w:tc>
      <w:tc>
        <w:tcPr>
          <w:tcW w:w="3405" w:type="dxa"/>
        </w:tcPr>
        <w:p w14:paraId="47438776" w14:textId="77777777" w:rsidR="00667107" w:rsidRPr="00EE1572" w:rsidRDefault="00667107" w:rsidP="00347876">
          <w:pPr>
            <w:tabs>
              <w:tab w:val="right" w:pos="8838"/>
            </w:tabs>
            <w:ind w:left="-28" w:right="-32"/>
            <w:rPr>
              <w:rFonts w:eastAsia="Calibri" w:cs="Tahoma"/>
            </w:rPr>
          </w:pPr>
          <w:r w:rsidRPr="00EE1572">
            <w:rPr>
              <w:rFonts w:eastAsia="Calibri" w:cs="Tahoma"/>
            </w:rPr>
            <w:t>03846/INFOEM/IP/RR/2020</w:t>
          </w:r>
        </w:p>
      </w:tc>
    </w:tr>
    <w:tr w:rsidR="00667107" w:rsidRPr="00E152D8" w14:paraId="1A944E3B" w14:textId="77777777" w:rsidTr="00347876">
      <w:trPr>
        <w:trHeight w:val="261"/>
      </w:trPr>
      <w:tc>
        <w:tcPr>
          <w:tcW w:w="2691" w:type="dxa"/>
        </w:tcPr>
        <w:p w14:paraId="04AF3D79" w14:textId="77777777" w:rsidR="00667107" w:rsidRPr="00E152D8" w:rsidRDefault="00667107" w:rsidP="00347876">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405" w:type="dxa"/>
        </w:tcPr>
        <w:p w14:paraId="51D60540" w14:textId="77777777" w:rsidR="00667107" w:rsidRPr="00EE1572" w:rsidRDefault="00667107" w:rsidP="00347876">
          <w:pPr>
            <w:tabs>
              <w:tab w:val="right" w:pos="8838"/>
            </w:tabs>
            <w:ind w:right="-32"/>
            <w:rPr>
              <w:rFonts w:eastAsia="Calibri" w:cs="Tahoma"/>
              <w:lang w:val="es-MX"/>
            </w:rPr>
          </w:pPr>
          <w:r w:rsidRPr="00EE1572">
            <w:rPr>
              <w:rFonts w:eastAsia="Calibri" w:cs="Tahoma"/>
              <w:lang w:val="es-MX"/>
            </w:rPr>
            <w:t>Ayuntamiento de Temascalcingo</w:t>
          </w:r>
        </w:p>
      </w:tc>
    </w:tr>
    <w:tr w:rsidR="00667107" w:rsidRPr="00E152D8" w14:paraId="51F43EE6" w14:textId="77777777" w:rsidTr="00347876">
      <w:trPr>
        <w:trHeight w:val="261"/>
      </w:trPr>
      <w:tc>
        <w:tcPr>
          <w:tcW w:w="2691" w:type="dxa"/>
        </w:tcPr>
        <w:p w14:paraId="4689E914" w14:textId="77777777" w:rsidR="00667107" w:rsidRPr="00E152D8" w:rsidRDefault="00667107" w:rsidP="00347876">
          <w:pPr>
            <w:tabs>
              <w:tab w:val="right" w:pos="8838"/>
            </w:tabs>
            <w:ind w:right="-105"/>
            <w:rPr>
              <w:rFonts w:eastAsia="Calibri" w:cs="Tahoma"/>
              <w:b/>
              <w:lang w:val="es-MX"/>
            </w:rPr>
          </w:pPr>
          <w:r w:rsidRPr="00E152D8">
            <w:rPr>
              <w:rFonts w:eastAsia="Calibri" w:cs="Tahoma"/>
              <w:b/>
              <w:lang w:val="es-MX"/>
            </w:rPr>
            <w:t>Comisionado Ponente:</w:t>
          </w:r>
        </w:p>
      </w:tc>
      <w:tc>
        <w:tcPr>
          <w:tcW w:w="3405" w:type="dxa"/>
        </w:tcPr>
        <w:p w14:paraId="33BF6E39" w14:textId="77777777" w:rsidR="00667107" w:rsidRPr="00E152D8" w:rsidRDefault="00667107" w:rsidP="00347876">
          <w:pPr>
            <w:tabs>
              <w:tab w:val="right" w:pos="8838"/>
            </w:tabs>
            <w:ind w:right="-32"/>
            <w:rPr>
              <w:rFonts w:eastAsia="Calibri" w:cs="Tahoma"/>
              <w:b/>
              <w:lang w:val="es-MX"/>
            </w:rPr>
          </w:pPr>
          <w:r w:rsidRPr="00E152D8">
            <w:rPr>
              <w:rFonts w:eastAsia="Calibri" w:cs="Tahoma"/>
              <w:lang w:val="es-MX"/>
            </w:rPr>
            <w:t>Luis Gustavo Parra Noriega</w:t>
          </w:r>
        </w:p>
      </w:tc>
    </w:tr>
  </w:tbl>
  <w:p w14:paraId="221DCE41" w14:textId="77777777" w:rsidR="00667107" w:rsidRDefault="00C67349">
    <w:pPr>
      <w:pStyle w:val="Encabezado"/>
    </w:pPr>
    <w:r>
      <w:rPr>
        <w:noProof/>
      </w:rPr>
      <w:pict w14:anchorId="73528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0" o:spid="_x0000_s2051" type="#_x0000_t75" alt="MARCA DE AGUA - HOJA RESOLUCIÓN"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6803"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2"/>
    </w:tblGrid>
    <w:tr w:rsidR="00667107" w:rsidRPr="00E152D8" w14:paraId="6AD70801" w14:textId="77777777" w:rsidTr="00FD19DD">
      <w:trPr>
        <w:trHeight w:val="138"/>
      </w:trPr>
      <w:tc>
        <w:tcPr>
          <w:tcW w:w="2551" w:type="dxa"/>
          <w:vAlign w:val="center"/>
        </w:tcPr>
        <w:p w14:paraId="4714C583" w14:textId="77777777" w:rsidR="00667107" w:rsidRPr="00E152D8" w:rsidRDefault="00667107" w:rsidP="00347876">
          <w:pPr>
            <w:tabs>
              <w:tab w:val="right" w:pos="8838"/>
            </w:tabs>
            <w:ind w:right="-105"/>
            <w:jc w:val="left"/>
            <w:rPr>
              <w:rFonts w:eastAsia="Calibri" w:cs="Tahoma"/>
              <w:b/>
              <w:lang w:val="es-MX"/>
            </w:rPr>
          </w:pPr>
          <w:r w:rsidRPr="00E152D8">
            <w:rPr>
              <w:rFonts w:eastAsia="Calibri" w:cs="Tahoma"/>
              <w:b/>
              <w:lang w:val="es-MX"/>
            </w:rPr>
            <w:t>Recurso de Revisión:</w:t>
          </w:r>
        </w:p>
      </w:tc>
      <w:tc>
        <w:tcPr>
          <w:tcW w:w="4252" w:type="dxa"/>
        </w:tcPr>
        <w:p w14:paraId="02EA1FEA" w14:textId="59376F4B" w:rsidR="00667107" w:rsidRPr="00051642" w:rsidRDefault="00667107" w:rsidP="00347876">
          <w:pPr>
            <w:tabs>
              <w:tab w:val="right" w:pos="8838"/>
            </w:tabs>
            <w:ind w:left="-113" w:right="57"/>
            <w:rPr>
              <w:rFonts w:eastAsia="Calibri" w:cs="Tahoma"/>
            </w:rPr>
          </w:pPr>
          <w:r w:rsidRPr="007F316D">
            <w:rPr>
              <w:rFonts w:eastAsia="Calibri" w:cs="Tahoma"/>
              <w:lang w:val="es-MX"/>
            </w:rPr>
            <w:t>00186/INFOEM/IP/RR/2025</w:t>
          </w:r>
        </w:p>
      </w:tc>
    </w:tr>
    <w:tr w:rsidR="00667107" w:rsidRPr="00E152D8" w14:paraId="7FF5EABC" w14:textId="77777777" w:rsidTr="00FD19DD">
      <w:trPr>
        <w:trHeight w:val="273"/>
      </w:trPr>
      <w:tc>
        <w:tcPr>
          <w:tcW w:w="2551" w:type="dxa"/>
        </w:tcPr>
        <w:p w14:paraId="565B10D1" w14:textId="77777777" w:rsidR="00667107" w:rsidRPr="00E152D8" w:rsidRDefault="00667107" w:rsidP="00347876">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4252" w:type="dxa"/>
        </w:tcPr>
        <w:p w14:paraId="7EA0F578" w14:textId="395BAE2E" w:rsidR="00667107" w:rsidRPr="00051642" w:rsidRDefault="00667107" w:rsidP="00AD6680">
          <w:pPr>
            <w:tabs>
              <w:tab w:val="left" w:pos="2728"/>
              <w:tab w:val="right" w:pos="8838"/>
            </w:tabs>
            <w:ind w:left="-113" w:right="-170"/>
            <w:rPr>
              <w:rFonts w:eastAsia="Calibri" w:cs="Tahoma"/>
              <w:lang w:val="es-MX"/>
            </w:rPr>
          </w:pPr>
          <w:r w:rsidRPr="007F316D">
            <w:rPr>
              <w:rFonts w:eastAsia="Calibri" w:cs="Tahoma"/>
              <w:lang w:val="es-MX"/>
            </w:rPr>
            <w:t>Ayuntamiento de Toluca</w:t>
          </w:r>
        </w:p>
      </w:tc>
    </w:tr>
    <w:tr w:rsidR="00667107" w:rsidRPr="00E152D8" w14:paraId="3156BE5F" w14:textId="77777777" w:rsidTr="00FD19DD">
      <w:trPr>
        <w:trHeight w:val="273"/>
      </w:trPr>
      <w:tc>
        <w:tcPr>
          <w:tcW w:w="2551" w:type="dxa"/>
        </w:tcPr>
        <w:p w14:paraId="183B2F1A" w14:textId="77777777" w:rsidR="00667107" w:rsidRPr="00E152D8" w:rsidRDefault="00667107" w:rsidP="00347876">
          <w:pPr>
            <w:tabs>
              <w:tab w:val="right" w:pos="8838"/>
            </w:tabs>
            <w:ind w:right="-105"/>
            <w:rPr>
              <w:rFonts w:eastAsia="Calibri" w:cs="Tahoma"/>
              <w:b/>
              <w:lang w:val="es-MX"/>
            </w:rPr>
          </w:pPr>
          <w:r w:rsidRPr="00E152D8">
            <w:rPr>
              <w:rFonts w:eastAsia="Calibri" w:cs="Tahoma"/>
              <w:b/>
              <w:lang w:val="es-MX"/>
            </w:rPr>
            <w:t>Comisionado Ponente:</w:t>
          </w:r>
        </w:p>
      </w:tc>
      <w:tc>
        <w:tcPr>
          <w:tcW w:w="4252" w:type="dxa"/>
        </w:tcPr>
        <w:p w14:paraId="318AB537" w14:textId="77777777" w:rsidR="00667107" w:rsidRPr="00E152D8" w:rsidRDefault="00667107" w:rsidP="00347876">
          <w:pPr>
            <w:tabs>
              <w:tab w:val="right" w:pos="8838"/>
            </w:tabs>
            <w:ind w:left="-113" w:right="-170"/>
            <w:rPr>
              <w:rFonts w:eastAsia="Calibri" w:cs="Tahoma"/>
              <w:b/>
              <w:lang w:val="es-MX"/>
            </w:rPr>
          </w:pPr>
          <w:r w:rsidRPr="00E152D8">
            <w:rPr>
              <w:rFonts w:eastAsia="Calibri" w:cs="Tahoma"/>
              <w:lang w:val="es-MX"/>
            </w:rPr>
            <w:t>Luis Gustavo Parra Noriega</w:t>
          </w:r>
        </w:p>
      </w:tc>
    </w:tr>
  </w:tbl>
  <w:p w14:paraId="67D20F9C" w14:textId="77777777" w:rsidR="00667107" w:rsidRDefault="00C67349" w:rsidP="00347876">
    <w:pPr>
      <w:pStyle w:val="Encabezado"/>
    </w:pPr>
    <w:r>
      <w:rPr>
        <w:noProof/>
      </w:rPr>
      <w:pict w14:anchorId="3F6452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1" o:spid="_x0000_s2050" type="#_x0000_t75" alt="MARCA DE AGUA - HOJA RESOLUCIÓN" style="position:absolute;left:0;text-align:left;margin-left:-90.6pt;margin-top:-122.05pt;width:663.5pt;height:12in;z-index:-251656192;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528"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2977"/>
    </w:tblGrid>
    <w:tr w:rsidR="00667107" w:rsidRPr="00E152D8" w14:paraId="773597DE" w14:textId="77777777" w:rsidTr="00AD6680">
      <w:trPr>
        <w:trHeight w:val="132"/>
      </w:trPr>
      <w:tc>
        <w:tcPr>
          <w:tcW w:w="2551" w:type="dxa"/>
        </w:tcPr>
        <w:p w14:paraId="4FCB3AA3" w14:textId="77777777" w:rsidR="00667107" w:rsidRPr="00E152D8" w:rsidRDefault="00667107" w:rsidP="00347876">
          <w:pPr>
            <w:tabs>
              <w:tab w:val="right" w:pos="8838"/>
            </w:tabs>
            <w:ind w:right="-105"/>
            <w:rPr>
              <w:rFonts w:eastAsia="Calibri" w:cs="Tahoma"/>
              <w:b/>
              <w:lang w:val="es-MX"/>
            </w:rPr>
          </w:pPr>
          <w:r w:rsidRPr="00E152D8">
            <w:rPr>
              <w:rFonts w:eastAsia="Calibri" w:cs="Tahoma"/>
              <w:b/>
              <w:lang w:val="es-MX"/>
            </w:rPr>
            <w:t>Recurso de Revisión:</w:t>
          </w:r>
        </w:p>
      </w:tc>
      <w:tc>
        <w:tcPr>
          <w:tcW w:w="2977" w:type="dxa"/>
        </w:tcPr>
        <w:p w14:paraId="42955DA0" w14:textId="32B1B2BB" w:rsidR="00667107" w:rsidRPr="00051642" w:rsidRDefault="00667107" w:rsidP="001A3A3E">
          <w:pPr>
            <w:tabs>
              <w:tab w:val="right" w:pos="8838"/>
            </w:tabs>
            <w:ind w:left="-113" w:right="-32"/>
            <w:rPr>
              <w:rFonts w:eastAsia="Calibri" w:cs="Tahoma"/>
            </w:rPr>
          </w:pPr>
          <w:r w:rsidRPr="007F316D">
            <w:rPr>
              <w:rFonts w:eastAsia="Calibri" w:cs="Tahoma"/>
              <w:lang w:val="es-MX"/>
            </w:rPr>
            <w:t>00186/INFOEM/IP/RR/2025</w:t>
          </w:r>
        </w:p>
      </w:tc>
    </w:tr>
    <w:tr w:rsidR="00667107" w:rsidRPr="00E152D8" w14:paraId="202FB661" w14:textId="77777777" w:rsidTr="00AD6680">
      <w:trPr>
        <w:trHeight w:val="132"/>
      </w:trPr>
      <w:tc>
        <w:tcPr>
          <w:tcW w:w="2551" w:type="dxa"/>
          <w:shd w:val="clear" w:color="auto" w:fill="auto"/>
        </w:tcPr>
        <w:p w14:paraId="5E100A32" w14:textId="77777777" w:rsidR="00667107" w:rsidRPr="00E152D8" w:rsidRDefault="00667107" w:rsidP="00347876">
          <w:pPr>
            <w:tabs>
              <w:tab w:val="left" w:pos="1875"/>
            </w:tabs>
            <w:ind w:right="-105"/>
            <w:rPr>
              <w:rFonts w:eastAsia="Calibri" w:cs="Tahoma"/>
              <w:b/>
              <w:lang w:val="es-MX"/>
            </w:rPr>
          </w:pPr>
          <w:r w:rsidRPr="00E152D8">
            <w:rPr>
              <w:rFonts w:eastAsia="Calibri" w:cs="Tahoma"/>
              <w:b/>
              <w:lang w:val="es-MX"/>
            </w:rPr>
            <w:t>Recurrente:</w:t>
          </w:r>
          <w:r>
            <w:rPr>
              <w:rFonts w:eastAsia="Calibri" w:cs="Tahoma"/>
              <w:b/>
              <w:lang w:val="es-MX"/>
            </w:rPr>
            <w:tab/>
          </w:r>
        </w:p>
      </w:tc>
      <w:tc>
        <w:tcPr>
          <w:tcW w:w="2977" w:type="dxa"/>
          <w:shd w:val="clear" w:color="auto" w:fill="auto"/>
        </w:tcPr>
        <w:p w14:paraId="28640565" w14:textId="6622776A" w:rsidR="00667107" w:rsidRPr="00E21446" w:rsidRDefault="00667107" w:rsidP="001A3A3E">
          <w:pPr>
            <w:tabs>
              <w:tab w:val="right" w:pos="8838"/>
            </w:tabs>
            <w:ind w:left="-113"/>
            <w:rPr>
              <w:rFonts w:eastAsia="Calibri" w:cs="Tahoma"/>
              <w:lang w:val="es-MX"/>
            </w:rPr>
          </w:pPr>
        </w:p>
      </w:tc>
    </w:tr>
    <w:tr w:rsidR="00667107" w:rsidRPr="00E152D8" w14:paraId="1BA9B09B" w14:textId="77777777" w:rsidTr="00AD6680">
      <w:trPr>
        <w:trHeight w:val="261"/>
      </w:trPr>
      <w:tc>
        <w:tcPr>
          <w:tcW w:w="2551" w:type="dxa"/>
        </w:tcPr>
        <w:p w14:paraId="6174740A" w14:textId="77777777" w:rsidR="00667107" w:rsidRPr="00E152D8" w:rsidRDefault="00667107" w:rsidP="00347876">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2977" w:type="dxa"/>
        </w:tcPr>
        <w:p w14:paraId="4B948471" w14:textId="6DCD2D5B" w:rsidR="00667107" w:rsidRPr="00051642" w:rsidRDefault="00667107" w:rsidP="001A3A3E">
          <w:pPr>
            <w:tabs>
              <w:tab w:val="right" w:pos="8838"/>
            </w:tabs>
            <w:ind w:left="-113" w:right="-32"/>
            <w:rPr>
              <w:rFonts w:eastAsia="Calibri" w:cs="Tahoma"/>
              <w:lang w:val="es-MX"/>
            </w:rPr>
          </w:pPr>
          <w:r w:rsidRPr="007F316D">
            <w:rPr>
              <w:rFonts w:eastAsia="Calibri" w:cs="Tahoma"/>
              <w:lang w:val="es-MX"/>
            </w:rPr>
            <w:t>Ayuntamiento de Toluca</w:t>
          </w:r>
        </w:p>
      </w:tc>
    </w:tr>
    <w:tr w:rsidR="00667107" w:rsidRPr="00E152D8" w14:paraId="3F18AACD" w14:textId="77777777" w:rsidTr="00AD6680">
      <w:trPr>
        <w:trHeight w:val="261"/>
      </w:trPr>
      <w:tc>
        <w:tcPr>
          <w:tcW w:w="2551" w:type="dxa"/>
        </w:tcPr>
        <w:p w14:paraId="57E8DDB5" w14:textId="77777777" w:rsidR="00667107" w:rsidRPr="00E152D8" w:rsidRDefault="00667107" w:rsidP="00347876">
          <w:pPr>
            <w:tabs>
              <w:tab w:val="right" w:pos="8838"/>
            </w:tabs>
            <w:ind w:right="-105"/>
            <w:rPr>
              <w:rFonts w:eastAsia="Calibri" w:cs="Tahoma"/>
              <w:b/>
              <w:lang w:val="es-MX"/>
            </w:rPr>
          </w:pPr>
          <w:r w:rsidRPr="00E152D8">
            <w:rPr>
              <w:rFonts w:eastAsia="Calibri" w:cs="Tahoma"/>
              <w:b/>
              <w:lang w:val="es-MX"/>
            </w:rPr>
            <w:t>Comisionado Ponente:</w:t>
          </w:r>
        </w:p>
      </w:tc>
      <w:tc>
        <w:tcPr>
          <w:tcW w:w="2977" w:type="dxa"/>
        </w:tcPr>
        <w:p w14:paraId="1B8E59D3" w14:textId="77777777" w:rsidR="00667107" w:rsidRPr="00E152D8" w:rsidRDefault="00667107" w:rsidP="001A3A3E">
          <w:pPr>
            <w:tabs>
              <w:tab w:val="right" w:pos="8838"/>
            </w:tabs>
            <w:ind w:left="-113" w:right="-32"/>
            <w:rPr>
              <w:rFonts w:eastAsia="Calibri" w:cs="Tahoma"/>
              <w:b/>
              <w:lang w:val="es-MX"/>
            </w:rPr>
          </w:pPr>
          <w:r w:rsidRPr="00E152D8">
            <w:rPr>
              <w:rFonts w:eastAsia="Calibri" w:cs="Tahoma"/>
              <w:lang w:val="es-MX"/>
            </w:rPr>
            <w:t>Luis Gustavo Parra Noriega</w:t>
          </w:r>
        </w:p>
      </w:tc>
    </w:tr>
  </w:tbl>
  <w:p w14:paraId="305D4853" w14:textId="77777777" w:rsidR="00667107" w:rsidRDefault="00C67349" w:rsidP="00347876">
    <w:pPr>
      <w:pStyle w:val="Encabezado"/>
      <w:tabs>
        <w:tab w:val="left" w:pos="5812"/>
      </w:tabs>
    </w:pPr>
    <w:r>
      <w:rPr>
        <w:noProof/>
      </w:rPr>
      <w:pict w14:anchorId="06CED2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59" o:spid="_x0000_s2049" type="#_x0000_t75" alt="MARCA DE AGUA - HOJA RESOLUCIÓN" style="position:absolute;left:0;text-align:left;margin-left:-89.1pt;margin-top:-123.5pt;width:663.5pt;height:12in;z-index:-25165516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4EC"/>
    <w:multiLevelType w:val="hybridMultilevel"/>
    <w:tmpl w:val="940AC8B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A227498"/>
    <w:multiLevelType w:val="hybridMultilevel"/>
    <w:tmpl w:val="5C7A2C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C852DEF"/>
    <w:multiLevelType w:val="hybridMultilevel"/>
    <w:tmpl w:val="A5C4FB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F2B52D5"/>
    <w:multiLevelType w:val="hybridMultilevel"/>
    <w:tmpl w:val="9AB0BA9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2FC84ABF"/>
    <w:multiLevelType w:val="hybridMultilevel"/>
    <w:tmpl w:val="940AC8B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3101247C"/>
    <w:multiLevelType w:val="hybridMultilevel"/>
    <w:tmpl w:val="BB621E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1857DAF"/>
    <w:multiLevelType w:val="hybridMultilevel"/>
    <w:tmpl w:val="EC62F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786C5F"/>
    <w:multiLevelType w:val="hybridMultilevel"/>
    <w:tmpl w:val="B198A6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2F31AE"/>
    <w:multiLevelType w:val="hybridMultilevel"/>
    <w:tmpl w:val="27C072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43486277"/>
    <w:multiLevelType w:val="hybridMultilevel"/>
    <w:tmpl w:val="8D6AA7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7C4640A"/>
    <w:multiLevelType w:val="hybridMultilevel"/>
    <w:tmpl w:val="36AE0536"/>
    <w:lvl w:ilvl="0" w:tplc="20E07EE4">
      <w:start w:val="1"/>
      <w:numFmt w:val="decimal"/>
      <w:lvlText w:val="%1."/>
      <w:lvlJc w:val="left"/>
      <w:pPr>
        <w:ind w:left="720" w:hanging="360"/>
      </w:pPr>
      <w:rPr>
        <w:rFonts w:hint="default"/>
        <w:b/>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9C25EDD"/>
    <w:multiLevelType w:val="hybridMultilevel"/>
    <w:tmpl w:val="22D806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4A4D2B40"/>
    <w:multiLevelType w:val="hybridMultilevel"/>
    <w:tmpl w:val="0E4A87C2"/>
    <w:lvl w:ilvl="0" w:tplc="080A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5B1328BC"/>
    <w:multiLevelType w:val="hybridMultilevel"/>
    <w:tmpl w:val="D4F2C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C80521D"/>
    <w:multiLevelType w:val="hybridMultilevel"/>
    <w:tmpl w:val="D862A1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34522D9"/>
    <w:multiLevelType w:val="hybridMultilevel"/>
    <w:tmpl w:val="418291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67B55E95"/>
    <w:multiLevelType w:val="hybridMultilevel"/>
    <w:tmpl w:val="966E7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946604E"/>
    <w:multiLevelType w:val="hybridMultilevel"/>
    <w:tmpl w:val="BC4E8E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B0163E7"/>
    <w:multiLevelType w:val="multilevel"/>
    <w:tmpl w:val="C7047C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15:restartNumberingAfterBreak="0">
    <w:nsid w:val="75AD42B6"/>
    <w:multiLevelType w:val="hybridMultilevel"/>
    <w:tmpl w:val="4406027C"/>
    <w:lvl w:ilvl="0" w:tplc="C21A1B78">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C830C95"/>
    <w:multiLevelType w:val="hybridMultilevel"/>
    <w:tmpl w:val="D04436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1108117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3739547">
    <w:abstractNumId w:val="3"/>
  </w:num>
  <w:num w:numId="3" w16cid:durableId="671689939">
    <w:abstractNumId w:val="27"/>
  </w:num>
  <w:num w:numId="4" w16cid:durableId="116263694">
    <w:abstractNumId w:val="4"/>
  </w:num>
  <w:num w:numId="5" w16cid:durableId="2029257012">
    <w:abstractNumId w:val="10"/>
  </w:num>
  <w:num w:numId="6" w16cid:durableId="1285768867">
    <w:abstractNumId w:val="6"/>
  </w:num>
  <w:num w:numId="7" w16cid:durableId="459959120">
    <w:abstractNumId w:val="13"/>
  </w:num>
  <w:num w:numId="8" w16cid:durableId="1063454020">
    <w:abstractNumId w:val="15"/>
  </w:num>
  <w:num w:numId="9" w16cid:durableId="1542547193">
    <w:abstractNumId w:val="12"/>
  </w:num>
  <w:num w:numId="10" w16cid:durableId="1308516725">
    <w:abstractNumId w:val="16"/>
  </w:num>
  <w:num w:numId="11" w16cid:durableId="11975030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69187433">
    <w:abstractNumId w:val="22"/>
  </w:num>
  <w:num w:numId="13" w16cid:durableId="496768308">
    <w:abstractNumId w:val="25"/>
  </w:num>
  <w:num w:numId="14" w16cid:durableId="1270117469">
    <w:abstractNumId w:val="26"/>
  </w:num>
  <w:num w:numId="15" w16cid:durableId="1296836174">
    <w:abstractNumId w:val="11"/>
  </w:num>
  <w:num w:numId="16" w16cid:durableId="1782844107">
    <w:abstractNumId w:val="9"/>
  </w:num>
  <w:num w:numId="17" w16cid:durableId="102500672">
    <w:abstractNumId w:val="14"/>
  </w:num>
  <w:num w:numId="18" w16cid:durableId="649603317">
    <w:abstractNumId w:val="0"/>
  </w:num>
  <w:num w:numId="19" w16cid:durableId="1511487062">
    <w:abstractNumId w:val="19"/>
  </w:num>
  <w:num w:numId="20" w16cid:durableId="1372415644">
    <w:abstractNumId w:val="23"/>
  </w:num>
  <w:num w:numId="21" w16cid:durableId="721178646">
    <w:abstractNumId w:val="18"/>
  </w:num>
  <w:num w:numId="22" w16cid:durableId="1747412055">
    <w:abstractNumId w:val="21"/>
  </w:num>
  <w:num w:numId="23" w16cid:durableId="547688402">
    <w:abstractNumId w:val="20"/>
  </w:num>
  <w:num w:numId="24" w16cid:durableId="1542740584">
    <w:abstractNumId w:val="17"/>
  </w:num>
  <w:num w:numId="25" w16cid:durableId="2056466375">
    <w:abstractNumId w:val="7"/>
  </w:num>
  <w:num w:numId="26" w16cid:durableId="1078482286">
    <w:abstractNumId w:val="2"/>
  </w:num>
  <w:num w:numId="27" w16cid:durableId="6862487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7220233">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DC5"/>
    <w:rsid w:val="00002991"/>
    <w:rsid w:val="00003D94"/>
    <w:rsid w:val="000045A6"/>
    <w:rsid w:val="00006636"/>
    <w:rsid w:val="0003316E"/>
    <w:rsid w:val="000362D0"/>
    <w:rsid w:val="0004061C"/>
    <w:rsid w:val="0004161E"/>
    <w:rsid w:val="00041844"/>
    <w:rsid w:val="00042509"/>
    <w:rsid w:val="00043CDA"/>
    <w:rsid w:val="000539BD"/>
    <w:rsid w:val="00053BC6"/>
    <w:rsid w:val="000558EC"/>
    <w:rsid w:val="00060685"/>
    <w:rsid w:val="00060723"/>
    <w:rsid w:val="00063884"/>
    <w:rsid w:val="000716E3"/>
    <w:rsid w:val="00076681"/>
    <w:rsid w:val="00080393"/>
    <w:rsid w:val="00081ABD"/>
    <w:rsid w:val="000821F8"/>
    <w:rsid w:val="00087796"/>
    <w:rsid w:val="00094584"/>
    <w:rsid w:val="000A0A70"/>
    <w:rsid w:val="000A2D13"/>
    <w:rsid w:val="000B2239"/>
    <w:rsid w:val="000B70D0"/>
    <w:rsid w:val="000C1FDB"/>
    <w:rsid w:val="000D4873"/>
    <w:rsid w:val="000D49DD"/>
    <w:rsid w:val="000F5268"/>
    <w:rsid w:val="000F74C0"/>
    <w:rsid w:val="00110D4D"/>
    <w:rsid w:val="001140A5"/>
    <w:rsid w:val="0013015C"/>
    <w:rsid w:val="001334D1"/>
    <w:rsid w:val="0014339D"/>
    <w:rsid w:val="00147F38"/>
    <w:rsid w:val="00153932"/>
    <w:rsid w:val="00155A01"/>
    <w:rsid w:val="0015730E"/>
    <w:rsid w:val="001609BD"/>
    <w:rsid w:val="00166789"/>
    <w:rsid w:val="0018355D"/>
    <w:rsid w:val="00183736"/>
    <w:rsid w:val="00191491"/>
    <w:rsid w:val="00195CF5"/>
    <w:rsid w:val="001A0F43"/>
    <w:rsid w:val="001A2B03"/>
    <w:rsid w:val="001A3275"/>
    <w:rsid w:val="001A3A3E"/>
    <w:rsid w:val="001B6F42"/>
    <w:rsid w:val="001C137C"/>
    <w:rsid w:val="001C73BA"/>
    <w:rsid w:val="001C7AC2"/>
    <w:rsid w:val="001E3C40"/>
    <w:rsid w:val="001E59AF"/>
    <w:rsid w:val="001E7C66"/>
    <w:rsid w:val="001F22AA"/>
    <w:rsid w:val="001F3934"/>
    <w:rsid w:val="001F5C0B"/>
    <w:rsid w:val="00202D93"/>
    <w:rsid w:val="00203961"/>
    <w:rsid w:val="0020547F"/>
    <w:rsid w:val="00207046"/>
    <w:rsid w:val="00213634"/>
    <w:rsid w:val="00222A22"/>
    <w:rsid w:val="00223665"/>
    <w:rsid w:val="00230BC7"/>
    <w:rsid w:val="002353CB"/>
    <w:rsid w:val="002415DE"/>
    <w:rsid w:val="00243A71"/>
    <w:rsid w:val="002470F9"/>
    <w:rsid w:val="00250655"/>
    <w:rsid w:val="0025077A"/>
    <w:rsid w:val="00251B33"/>
    <w:rsid w:val="00254457"/>
    <w:rsid w:val="00254F36"/>
    <w:rsid w:val="00264675"/>
    <w:rsid w:val="00267FB5"/>
    <w:rsid w:val="002705C2"/>
    <w:rsid w:val="00271E47"/>
    <w:rsid w:val="00275938"/>
    <w:rsid w:val="00282FD4"/>
    <w:rsid w:val="00293277"/>
    <w:rsid w:val="00293C56"/>
    <w:rsid w:val="00297A5A"/>
    <w:rsid w:val="002A0B3A"/>
    <w:rsid w:val="002A3F0C"/>
    <w:rsid w:val="002A40A0"/>
    <w:rsid w:val="002C19D9"/>
    <w:rsid w:val="002C3558"/>
    <w:rsid w:val="002D117D"/>
    <w:rsid w:val="002F1D02"/>
    <w:rsid w:val="002F4410"/>
    <w:rsid w:val="002F6AF8"/>
    <w:rsid w:val="0030377D"/>
    <w:rsid w:val="00305C77"/>
    <w:rsid w:val="00306FB6"/>
    <w:rsid w:val="00313596"/>
    <w:rsid w:val="003145F9"/>
    <w:rsid w:val="0032289C"/>
    <w:rsid w:val="00331F46"/>
    <w:rsid w:val="0033782D"/>
    <w:rsid w:val="00344846"/>
    <w:rsid w:val="00345BB5"/>
    <w:rsid w:val="00347876"/>
    <w:rsid w:val="003556D5"/>
    <w:rsid w:val="0036051C"/>
    <w:rsid w:val="003613E3"/>
    <w:rsid w:val="00363DED"/>
    <w:rsid w:val="00365137"/>
    <w:rsid w:val="003727BC"/>
    <w:rsid w:val="00382B56"/>
    <w:rsid w:val="003837EE"/>
    <w:rsid w:val="00387E7C"/>
    <w:rsid w:val="003905B1"/>
    <w:rsid w:val="00390BA0"/>
    <w:rsid w:val="00394286"/>
    <w:rsid w:val="00394344"/>
    <w:rsid w:val="00397810"/>
    <w:rsid w:val="003A123A"/>
    <w:rsid w:val="003B04E1"/>
    <w:rsid w:val="003B3103"/>
    <w:rsid w:val="003B3DC8"/>
    <w:rsid w:val="003C74A7"/>
    <w:rsid w:val="003E5ADD"/>
    <w:rsid w:val="003E6429"/>
    <w:rsid w:val="003E678B"/>
    <w:rsid w:val="003F5EB5"/>
    <w:rsid w:val="003F63DA"/>
    <w:rsid w:val="00411430"/>
    <w:rsid w:val="00415F0B"/>
    <w:rsid w:val="004327D0"/>
    <w:rsid w:val="00444157"/>
    <w:rsid w:val="004500E2"/>
    <w:rsid w:val="004552D8"/>
    <w:rsid w:val="00455DCB"/>
    <w:rsid w:val="00456B51"/>
    <w:rsid w:val="00460FFC"/>
    <w:rsid w:val="004610AE"/>
    <w:rsid w:val="0046538F"/>
    <w:rsid w:val="004714D3"/>
    <w:rsid w:val="004724CB"/>
    <w:rsid w:val="004908D0"/>
    <w:rsid w:val="0049737D"/>
    <w:rsid w:val="004A5AD5"/>
    <w:rsid w:val="004A6560"/>
    <w:rsid w:val="004B4B36"/>
    <w:rsid w:val="004B52B2"/>
    <w:rsid w:val="004E5AB1"/>
    <w:rsid w:val="004F74F5"/>
    <w:rsid w:val="005032B4"/>
    <w:rsid w:val="00505C1F"/>
    <w:rsid w:val="0050623A"/>
    <w:rsid w:val="005225BB"/>
    <w:rsid w:val="00530E22"/>
    <w:rsid w:val="00537251"/>
    <w:rsid w:val="005400EE"/>
    <w:rsid w:val="00540E22"/>
    <w:rsid w:val="00561B10"/>
    <w:rsid w:val="005620CE"/>
    <w:rsid w:val="005634C6"/>
    <w:rsid w:val="0057282C"/>
    <w:rsid w:val="0057545A"/>
    <w:rsid w:val="005811D2"/>
    <w:rsid w:val="00581D38"/>
    <w:rsid w:val="0058439E"/>
    <w:rsid w:val="00587799"/>
    <w:rsid w:val="005902EF"/>
    <w:rsid w:val="00596D1D"/>
    <w:rsid w:val="00597282"/>
    <w:rsid w:val="005A2FFB"/>
    <w:rsid w:val="005A538C"/>
    <w:rsid w:val="005A6BEC"/>
    <w:rsid w:val="005A7DC1"/>
    <w:rsid w:val="005C2558"/>
    <w:rsid w:val="005C32FF"/>
    <w:rsid w:val="005C459D"/>
    <w:rsid w:val="005C53C7"/>
    <w:rsid w:val="005C6124"/>
    <w:rsid w:val="005C6199"/>
    <w:rsid w:val="005D04FC"/>
    <w:rsid w:val="005D2E38"/>
    <w:rsid w:val="005D3D54"/>
    <w:rsid w:val="005E6D9C"/>
    <w:rsid w:val="00606D94"/>
    <w:rsid w:val="00614F87"/>
    <w:rsid w:val="00623947"/>
    <w:rsid w:val="006343FA"/>
    <w:rsid w:val="006400F1"/>
    <w:rsid w:val="0064639F"/>
    <w:rsid w:val="006513E1"/>
    <w:rsid w:val="00653139"/>
    <w:rsid w:val="00655864"/>
    <w:rsid w:val="00662953"/>
    <w:rsid w:val="006651F1"/>
    <w:rsid w:val="00667107"/>
    <w:rsid w:val="00672292"/>
    <w:rsid w:val="00673579"/>
    <w:rsid w:val="006760A0"/>
    <w:rsid w:val="006778B9"/>
    <w:rsid w:val="0068386C"/>
    <w:rsid w:val="006945D2"/>
    <w:rsid w:val="006A0867"/>
    <w:rsid w:val="006A12A6"/>
    <w:rsid w:val="006B1CAC"/>
    <w:rsid w:val="006B6340"/>
    <w:rsid w:val="006C3439"/>
    <w:rsid w:val="006D6FB5"/>
    <w:rsid w:val="006E26AA"/>
    <w:rsid w:val="006E5BE2"/>
    <w:rsid w:val="006E6293"/>
    <w:rsid w:val="006F52E8"/>
    <w:rsid w:val="00711A43"/>
    <w:rsid w:val="007146FE"/>
    <w:rsid w:val="007309C0"/>
    <w:rsid w:val="00734447"/>
    <w:rsid w:val="0073758B"/>
    <w:rsid w:val="00737CF6"/>
    <w:rsid w:val="00742C37"/>
    <w:rsid w:val="007547EC"/>
    <w:rsid w:val="00760E91"/>
    <w:rsid w:val="00761C2B"/>
    <w:rsid w:val="00763706"/>
    <w:rsid w:val="00767EFB"/>
    <w:rsid w:val="007719F0"/>
    <w:rsid w:val="00771B61"/>
    <w:rsid w:val="00780EC7"/>
    <w:rsid w:val="00784C5C"/>
    <w:rsid w:val="007850C7"/>
    <w:rsid w:val="007911D8"/>
    <w:rsid w:val="00795C9D"/>
    <w:rsid w:val="007A0FD6"/>
    <w:rsid w:val="007B5D0A"/>
    <w:rsid w:val="007C11CD"/>
    <w:rsid w:val="007C35E6"/>
    <w:rsid w:val="007C5098"/>
    <w:rsid w:val="007D1412"/>
    <w:rsid w:val="007E364C"/>
    <w:rsid w:val="007F08B3"/>
    <w:rsid w:val="007F179C"/>
    <w:rsid w:val="007F271C"/>
    <w:rsid w:val="007F30B4"/>
    <w:rsid w:val="007F313E"/>
    <w:rsid w:val="007F316D"/>
    <w:rsid w:val="00810125"/>
    <w:rsid w:val="00811A30"/>
    <w:rsid w:val="00812FC7"/>
    <w:rsid w:val="00814335"/>
    <w:rsid w:val="00826E2F"/>
    <w:rsid w:val="00827355"/>
    <w:rsid w:val="00837B92"/>
    <w:rsid w:val="00842679"/>
    <w:rsid w:val="00852BB1"/>
    <w:rsid w:val="0085311A"/>
    <w:rsid w:val="00854F21"/>
    <w:rsid w:val="00871B37"/>
    <w:rsid w:val="00876B0D"/>
    <w:rsid w:val="0088315D"/>
    <w:rsid w:val="0088326C"/>
    <w:rsid w:val="00885D3F"/>
    <w:rsid w:val="0089704B"/>
    <w:rsid w:val="008A119D"/>
    <w:rsid w:val="008A310A"/>
    <w:rsid w:val="008B092D"/>
    <w:rsid w:val="008B2C31"/>
    <w:rsid w:val="008C3E58"/>
    <w:rsid w:val="008D1B96"/>
    <w:rsid w:val="008E279B"/>
    <w:rsid w:val="008E4ACC"/>
    <w:rsid w:val="008E777E"/>
    <w:rsid w:val="008F42E3"/>
    <w:rsid w:val="0090575C"/>
    <w:rsid w:val="00906BD3"/>
    <w:rsid w:val="00914B0A"/>
    <w:rsid w:val="00920C0F"/>
    <w:rsid w:val="00937303"/>
    <w:rsid w:val="00940303"/>
    <w:rsid w:val="00950B98"/>
    <w:rsid w:val="00963FF5"/>
    <w:rsid w:val="0097330C"/>
    <w:rsid w:val="00974A6B"/>
    <w:rsid w:val="00986D27"/>
    <w:rsid w:val="009923AC"/>
    <w:rsid w:val="00992875"/>
    <w:rsid w:val="00992B43"/>
    <w:rsid w:val="00993137"/>
    <w:rsid w:val="00994337"/>
    <w:rsid w:val="009966A3"/>
    <w:rsid w:val="00997B21"/>
    <w:rsid w:val="009A3161"/>
    <w:rsid w:val="009A3569"/>
    <w:rsid w:val="009A627C"/>
    <w:rsid w:val="009B365B"/>
    <w:rsid w:val="009B51EF"/>
    <w:rsid w:val="009B6275"/>
    <w:rsid w:val="009C0D40"/>
    <w:rsid w:val="009C1C46"/>
    <w:rsid w:val="009C3492"/>
    <w:rsid w:val="009C7586"/>
    <w:rsid w:val="009F13CF"/>
    <w:rsid w:val="009F4EA5"/>
    <w:rsid w:val="00A1763C"/>
    <w:rsid w:val="00A234A1"/>
    <w:rsid w:val="00A305C7"/>
    <w:rsid w:val="00A322C2"/>
    <w:rsid w:val="00A4013F"/>
    <w:rsid w:val="00A447FF"/>
    <w:rsid w:val="00A5086A"/>
    <w:rsid w:val="00A555FF"/>
    <w:rsid w:val="00A63EA5"/>
    <w:rsid w:val="00A87DB7"/>
    <w:rsid w:val="00A9056D"/>
    <w:rsid w:val="00A9339B"/>
    <w:rsid w:val="00A94AFB"/>
    <w:rsid w:val="00A94CDA"/>
    <w:rsid w:val="00AA08E2"/>
    <w:rsid w:val="00AA2962"/>
    <w:rsid w:val="00AA53B5"/>
    <w:rsid w:val="00AA7588"/>
    <w:rsid w:val="00AC0DB0"/>
    <w:rsid w:val="00AC739B"/>
    <w:rsid w:val="00AD3CF8"/>
    <w:rsid w:val="00AD6680"/>
    <w:rsid w:val="00AE1F48"/>
    <w:rsid w:val="00AE2855"/>
    <w:rsid w:val="00AE490F"/>
    <w:rsid w:val="00AE6AB4"/>
    <w:rsid w:val="00B000C5"/>
    <w:rsid w:val="00B06616"/>
    <w:rsid w:val="00B12570"/>
    <w:rsid w:val="00B17F6D"/>
    <w:rsid w:val="00B26046"/>
    <w:rsid w:val="00B34338"/>
    <w:rsid w:val="00B417C3"/>
    <w:rsid w:val="00B456E9"/>
    <w:rsid w:val="00B557DF"/>
    <w:rsid w:val="00B60C67"/>
    <w:rsid w:val="00B60D25"/>
    <w:rsid w:val="00B6148C"/>
    <w:rsid w:val="00B65D21"/>
    <w:rsid w:val="00B67328"/>
    <w:rsid w:val="00B7094E"/>
    <w:rsid w:val="00B732D1"/>
    <w:rsid w:val="00B7798E"/>
    <w:rsid w:val="00B83462"/>
    <w:rsid w:val="00B83636"/>
    <w:rsid w:val="00B841F8"/>
    <w:rsid w:val="00B86C3D"/>
    <w:rsid w:val="00BA7F47"/>
    <w:rsid w:val="00BB36D2"/>
    <w:rsid w:val="00BB54A2"/>
    <w:rsid w:val="00BC29F2"/>
    <w:rsid w:val="00BD7749"/>
    <w:rsid w:val="00BE3A60"/>
    <w:rsid w:val="00BE4762"/>
    <w:rsid w:val="00BF53E4"/>
    <w:rsid w:val="00BF77B7"/>
    <w:rsid w:val="00C14171"/>
    <w:rsid w:val="00C14C5B"/>
    <w:rsid w:val="00C17EBF"/>
    <w:rsid w:val="00C2129B"/>
    <w:rsid w:val="00C213A5"/>
    <w:rsid w:val="00C31A4F"/>
    <w:rsid w:val="00C337E5"/>
    <w:rsid w:val="00C53CDF"/>
    <w:rsid w:val="00C54015"/>
    <w:rsid w:val="00C57B5B"/>
    <w:rsid w:val="00C66273"/>
    <w:rsid w:val="00C67349"/>
    <w:rsid w:val="00C764ED"/>
    <w:rsid w:val="00C821DD"/>
    <w:rsid w:val="00C8279F"/>
    <w:rsid w:val="00C8608C"/>
    <w:rsid w:val="00C92204"/>
    <w:rsid w:val="00C977DC"/>
    <w:rsid w:val="00CA0F13"/>
    <w:rsid w:val="00CA13E3"/>
    <w:rsid w:val="00CB0D27"/>
    <w:rsid w:val="00CB16D3"/>
    <w:rsid w:val="00CB2FA4"/>
    <w:rsid w:val="00CC450F"/>
    <w:rsid w:val="00CD1E3A"/>
    <w:rsid w:val="00CD369E"/>
    <w:rsid w:val="00CE67CA"/>
    <w:rsid w:val="00CE7148"/>
    <w:rsid w:val="00CF039D"/>
    <w:rsid w:val="00D0244F"/>
    <w:rsid w:val="00D03F17"/>
    <w:rsid w:val="00D07290"/>
    <w:rsid w:val="00D10B74"/>
    <w:rsid w:val="00D3439C"/>
    <w:rsid w:val="00D42759"/>
    <w:rsid w:val="00D46D56"/>
    <w:rsid w:val="00D526D5"/>
    <w:rsid w:val="00D57224"/>
    <w:rsid w:val="00D60E83"/>
    <w:rsid w:val="00D74C1C"/>
    <w:rsid w:val="00D77576"/>
    <w:rsid w:val="00D9398F"/>
    <w:rsid w:val="00D95C1D"/>
    <w:rsid w:val="00D96AF9"/>
    <w:rsid w:val="00DB3DC5"/>
    <w:rsid w:val="00DC3EDC"/>
    <w:rsid w:val="00DC42DF"/>
    <w:rsid w:val="00DD2397"/>
    <w:rsid w:val="00DD2E0C"/>
    <w:rsid w:val="00DD6EB5"/>
    <w:rsid w:val="00DF083F"/>
    <w:rsid w:val="00DF096A"/>
    <w:rsid w:val="00DF1B85"/>
    <w:rsid w:val="00DF4490"/>
    <w:rsid w:val="00DF5EAA"/>
    <w:rsid w:val="00E00696"/>
    <w:rsid w:val="00E063FC"/>
    <w:rsid w:val="00E118B0"/>
    <w:rsid w:val="00E128CD"/>
    <w:rsid w:val="00E306BC"/>
    <w:rsid w:val="00E406AF"/>
    <w:rsid w:val="00E40ED9"/>
    <w:rsid w:val="00E4792C"/>
    <w:rsid w:val="00E5000A"/>
    <w:rsid w:val="00E50298"/>
    <w:rsid w:val="00E50564"/>
    <w:rsid w:val="00E558A0"/>
    <w:rsid w:val="00E568BB"/>
    <w:rsid w:val="00E73B06"/>
    <w:rsid w:val="00E75F0E"/>
    <w:rsid w:val="00E808E0"/>
    <w:rsid w:val="00E9083F"/>
    <w:rsid w:val="00E91037"/>
    <w:rsid w:val="00EA2599"/>
    <w:rsid w:val="00EA276A"/>
    <w:rsid w:val="00EA3D68"/>
    <w:rsid w:val="00EA6588"/>
    <w:rsid w:val="00EB4479"/>
    <w:rsid w:val="00EB5363"/>
    <w:rsid w:val="00EC7BE9"/>
    <w:rsid w:val="00EE0DB6"/>
    <w:rsid w:val="00EF404F"/>
    <w:rsid w:val="00EF5567"/>
    <w:rsid w:val="00F063F0"/>
    <w:rsid w:val="00F11FC0"/>
    <w:rsid w:val="00F263CA"/>
    <w:rsid w:val="00F26F2D"/>
    <w:rsid w:val="00F3234B"/>
    <w:rsid w:val="00F444A2"/>
    <w:rsid w:val="00F467D3"/>
    <w:rsid w:val="00F532E9"/>
    <w:rsid w:val="00F6023B"/>
    <w:rsid w:val="00F61205"/>
    <w:rsid w:val="00F653FF"/>
    <w:rsid w:val="00F67939"/>
    <w:rsid w:val="00F75544"/>
    <w:rsid w:val="00F760F9"/>
    <w:rsid w:val="00F8681C"/>
    <w:rsid w:val="00F87269"/>
    <w:rsid w:val="00F87FF3"/>
    <w:rsid w:val="00F92554"/>
    <w:rsid w:val="00F938F7"/>
    <w:rsid w:val="00FA48AE"/>
    <w:rsid w:val="00FB3AE3"/>
    <w:rsid w:val="00FB6AB3"/>
    <w:rsid w:val="00FB750B"/>
    <w:rsid w:val="00FC3D54"/>
    <w:rsid w:val="00FD19DD"/>
    <w:rsid w:val="00FE2A49"/>
    <w:rsid w:val="00FE6E11"/>
    <w:rsid w:val="00FF6A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B5B32D"/>
  <w15:chartTrackingRefBased/>
  <w15:docId w15:val="{D2164A78-A938-43DE-8DC2-873F205E7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DC5"/>
    <w:pPr>
      <w:jc w:val="both"/>
    </w:pPr>
    <w:rPr>
      <w:rFonts w:ascii="Palatino Linotype" w:hAnsi="Palatino Linotype"/>
      <w:color w:val="000000" w:themeColor="text1"/>
      <w:kern w:val="0"/>
      <w14:ligatures w14:val="none"/>
    </w:rPr>
  </w:style>
  <w:style w:type="paragraph" w:styleId="Ttulo1">
    <w:name w:val="heading 1"/>
    <w:basedOn w:val="Normal"/>
    <w:next w:val="Normal"/>
    <w:link w:val="Ttulo1Car"/>
    <w:uiPriority w:val="9"/>
    <w:qFormat/>
    <w:rsid w:val="000766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766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14:ligatures w14:val="none"/>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14:ligatures w14:val="none"/>
    </w:rPr>
  </w:style>
  <w:style w:type="table" w:styleId="Tablaconcuadrcula">
    <w:name w:val="Table Grid"/>
    <w:basedOn w:val="Tablanormal"/>
    <w:uiPriority w:val="59"/>
    <w:qFormat/>
    <w:rsid w:val="00DB3DC5"/>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14:ligatures w14:val="none"/>
    </w:rPr>
  </w:style>
  <w:style w:type="character" w:styleId="Hipervnculo">
    <w:name w:val="Hyperlink"/>
    <w:aliases w:val="Hipervínculo1,Hipervínculo11,Hipervínculo12,Hipervínculo13,Hipervínculo14,Hipervínculo15"/>
    <w:basedOn w:val="Fuentedeprrafopredeter"/>
    <w:uiPriority w:val="99"/>
    <w:unhideWhenUsed/>
    <w:qFormat/>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styleId="Hipervnculovisitado">
    <w:name w:val="FollowedHyperlink"/>
    <w:basedOn w:val="Fuentedeprrafopredeter"/>
    <w:uiPriority w:val="99"/>
    <w:semiHidden/>
    <w:unhideWhenUsed/>
    <w:rsid w:val="00254F36"/>
    <w:rPr>
      <w:color w:val="954F72" w:themeColor="followedHyperlink"/>
      <w:u w:val="single"/>
    </w:rPr>
  </w:style>
  <w:style w:type="table" w:customStyle="1" w:styleId="Tablaconcuadrcula3">
    <w:name w:val="Tabla con cuadrícula3"/>
    <w:basedOn w:val="Tablanormal"/>
    <w:next w:val="Tablaconcuadrcula"/>
    <w:uiPriority w:val="59"/>
    <w:rsid w:val="00837B92"/>
    <w:pPr>
      <w:spacing w:after="0" w:line="240" w:lineRule="auto"/>
    </w:pPr>
    <w:rPr>
      <w:rFonts w:ascii="Calibri" w:eastAsia="Calibri" w:hAnsi="Calibri" w:cs="Times New Roman"/>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76681"/>
    <w:rPr>
      <w:rFonts w:asciiTheme="majorHAnsi" w:eastAsiaTheme="majorEastAsia" w:hAnsiTheme="majorHAnsi" w:cstheme="majorBidi"/>
      <w:color w:val="2F5496" w:themeColor="accent1" w:themeShade="BF"/>
      <w:kern w:val="0"/>
      <w:sz w:val="32"/>
      <w:szCs w:val="32"/>
      <w14:ligatures w14:val="none"/>
    </w:rPr>
  </w:style>
  <w:style w:type="paragraph" w:styleId="TtuloTDC">
    <w:name w:val="TOC Heading"/>
    <w:basedOn w:val="Ttulo1"/>
    <w:next w:val="Normal"/>
    <w:uiPriority w:val="39"/>
    <w:unhideWhenUsed/>
    <w:qFormat/>
    <w:rsid w:val="00076681"/>
    <w:pPr>
      <w:jc w:val="left"/>
      <w:outlineLvl w:val="9"/>
    </w:pPr>
    <w:rPr>
      <w:lang w:eastAsia="es-MX"/>
    </w:rPr>
  </w:style>
  <w:style w:type="paragraph" w:styleId="TDC1">
    <w:name w:val="toc 1"/>
    <w:basedOn w:val="Normal"/>
    <w:next w:val="Normal"/>
    <w:autoRedefine/>
    <w:uiPriority w:val="39"/>
    <w:unhideWhenUsed/>
    <w:rsid w:val="00076681"/>
    <w:pPr>
      <w:tabs>
        <w:tab w:val="right" w:leader="dot" w:pos="9072"/>
      </w:tabs>
      <w:spacing w:after="100" w:line="360" w:lineRule="auto"/>
    </w:pPr>
    <w:rPr>
      <w:rFonts w:ascii="Times New Roman" w:eastAsia="Times New Roman" w:hAnsi="Times New Roman" w:cs="Times New Roman"/>
      <w:color w:val="auto"/>
      <w:sz w:val="20"/>
      <w:szCs w:val="20"/>
      <w:lang w:eastAsia="es-ES"/>
    </w:rPr>
  </w:style>
  <w:style w:type="paragraph" w:styleId="TDC2">
    <w:name w:val="toc 2"/>
    <w:basedOn w:val="Normal"/>
    <w:next w:val="Normal"/>
    <w:autoRedefine/>
    <w:uiPriority w:val="39"/>
    <w:unhideWhenUsed/>
    <w:rsid w:val="00076681"/>
    <w:pPr>
      <w:spacing w:after="100" w:line="240" w:lineRule="auto"/>
      <w:ind w:left="200"/>
      <w:jc w:val="left"/>
    </w:pPr>
    <w:rPr>
      <w:rFonts w:ascii="Times New Roman" w:eastAsia="Times New Roman" w:hAnsi="Times New Roman" w:cs="Times New Roman"/>
      <w:color w:val="auto"/>
      <w:sz w:val="20"/>
      <w:szCs w:val="20"/>
      <w:lang w:eastAsia="es-ES"/>
    </w:rPr>
  </w:style>
  <w:style w:type="character" w:customStyle="1" w:styleId="Ttulo2Car">
    <w:name w:val="Título 2 Car"/>
    <w:basedOn w:val="Fuentedeprrafopredeter"/>
    <w:link w:val="Ttulo2"/>
    <w:uiPriority w:val="9"/>
    <w:rsid w:val="00076681"/>
    <w:rPr>
      <w:rFonts w:asciiTheme="majorHAnsi" w:eastAsiaTheme="majorEastAsia" w:hAnsiTheme="majorHAnsi" w:cstheme="majorBidi"/>
      <w:color w:val="2F5496" w:themeColor="accent1" w:themeShade="BF"/>
      <w:kern w:val="0"/>
      <w:sz w:val="26"/>
      <w:szCs w:val="26"/>
      <w14:ligatures w14:val="none"/>
    </w:rPr>
  </w:style>
  <w:style w:type="character" w:customStyle="1" w:styleId="Mencinsinresolver2">
    <w:name w:val="Mención sin resolver2"/>
    <w:basedOn w:val="Fuentedeprrafopredeter"/>
    <w:uiPriority w:val="99"/>
    <w:semiHidden/>
    <w:unhideWhenUsed/>
    <w:rsid w:val="00B417C3"/>
    <w:rPr>
      <w:color w:val="605E5C"/>
      <w:shd w:val="clear" w:color="auto" w:fill="E1DFDD"/>
    </w:rPr>
  </w:style>
  <w:style w:type="character" w:customStyle="1" w:styleId="Mencinsinresolver3">
    <w:name w:val="Mención sin resolver3"/>
    <w:basedOn w:val="Fuentedeprrafopredeter"/>
    <w:uiPriority w:val="99"/>
    <w:semiHidden/>
    <w:unhideWhenUsed/>
    <w:rsid w:val="009A627C"/>
    <w:rPr>
      <w:color w:val="605E5C"/>
      <w:shd w:val="clear" w:color="auto" w:fill="E1DFDD"/>
    </w:rPr>
  </w:style>
  <w:style w:type="character" w:customStyle="1" w:styleId="Mencinsinresolver4">
    <w:name w:val="Mención sin resolver4"/>
    <w:basedOn w:val="Fuentedeprrafopredeter"/>
    <w:uiPriority w:val="99"/>
    <w:semiHidden/>
    <w:unhideWhenUsed/>
    <w:rsid w:val="006558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59895">
      <w:bodyDiv w:val="1"/>
      <w:marLeft w:val="0"/>
      <w:marRight w:val="0"/>
      <w:marTop w:val="0"/>
      <w:marBottom w:val="0"/>
      <w:divBdr>
        <w:top w:val="none" w:sz="0" w:space="0" w:color="auto"/>
        <w:left w:val="none" w:sz="0" w:space="0" w:color="auto"/>
        <w:bottom w:val="none" w:sz="0" w:space="0" w:color="auto"/>
        <w:right w:val="none" w:sz="0" w:space="0" w:color="auto"/>
      </w:divBdr>
    </w:div>
    <w:div w:id="129829999">
      <w:bodyDiv w:val="1"/>
      <w:marLeft w:val="0"/>
      <w:marRight w:val="0"/>
      <w:marTop w:val="0"/>
      <w:marBottom w:val="0"/>
      <w:divBdr>
        <w:top w:val="none" w:sz="0" w:space="0" w:color="auto"/>
        <w:left w:val="none" w:sz="0" w:space="0" w:color="auto"/>
        <w:bottom w:val="none" w:sz="0" w:space="0" w:color="auto"/>
        <w:right w:val="none" w:sz="0" w:space="0" w:color="auto"/>
      </w:divBdr>
    </w:div>
    <w:div w:id="216432301">
      <w:bodyDiv w:val="1"/>
      <w:marLeft w:val="0"/>
      <w:marRight w:val="0"/>
      <w:marTop w:val="0"/>
      <w:marBottom w:val="0"/>
      <w:divBdr>
        <w:top w:val="none" w:sz="0" w:space="0" w:color="auto"/>
        <w:left w:val="none" w:sz="0" w:space="0" w:color="auto"/>
        <w:bottom w:val="none" w:sz="0" w:space="0" w:color="auto"/>
        <w:right w:val="none" w:sz="0" w:space="0" w:color="auto"/>
      </w:divBdr>
    </w:div>
    <w:div w:id="223416816">
      <w:bodyDiv w:val="1"/>
      <w:marLeft w:val="0"/>
      <w:marRight w:val="0"/>
      <w:marTop w:val="0"/>
      <w:marBottom w:val="0"/>
      <w:divBdr>
        <w:top w:val="none" w:sz="0" w:space="0" w:color="auto"/>
        <w:left w:val="none" w:sz="0" w:space="0" w:color="auto"/>
        <w:bottom w:val="none" w:sz="0" w:space="0" w:color="auto"/>
        <w:right w:val="none" w:sz="0" w:space="0" w:color="auto"/>
      </w:divBdr>
    </w:div>
    <w:div w:id="242833462">
      <w:bodyDiv w:val="1"/>
      <w:marLeft w:val="0"/>
      <w:marRight w:val="0"/>
      <w:marTop w:val="0"/>
      <w:marBottom w:val="0"/>
      <w:divBdr>
        <w:top w:val="none" w:sz="0" w:space="0" w:color="auto"/>
        <w:left w:val="none" w:sz="0" w:space="0" w:color="auto"/>
        <w:bottom w:val="none" w:sz="0" w:space="0" w:color="auto"/>
        <w:right w:val="none" w:sz="0" w:space="0" w:color="auto"/>
      </w:divBdr>
    </w:div>
    <w:div w:id="411198982">
      <w:bodyDiv w:val="1"/>
      <w:marLeft w:val="0"/>
      <w:marRight w:val="0"/>
      <w:marTop w:val="0"/>
      <w:marBottom w:val="0"/>
      <w:divBdr>
        <w:top w:val="none" w:sz="0" w:space="0" w:color="auto"/>
        <w:left w:val="none" w:sz="0" w:space="0" w:color="auto"/>
        <w:bottom w:val="none" w:sz="0" w:space="0" w:color="auto"/>
        <w:right w:val="none" w:sz="0" w:space="0" w:color="auto"/>
      </w:divBdr>
    </w:div>
    <w:div w:id="430515845">
      <w:bodyDiv w:val="1"/>
      <w:marLeft w:val="0"/>
      <w:marRight w:val="0"/>
      <w:marTop w:val="0"/>
      <w:marBottom w:val="0"/>
      <w:divBdr>
        <w:top w:val="none" w:sz="0" w:space="0" w:color="auto"/>
        <w:left w:val="none" w:sz="0" w:space="0" w:color="auto"/>
        <w:bottom w:val="none" w:sz="0" w:space="0" w:color="auto"/>
        <w:right w:val="none" w:sz="0" w:space="0" w:color="auto"/>
      </w:divBdr>
    </w:div>
    <w:div w:id="472060664">
      <w:bodyDiv w:val="1"/>
      <w:marLeft w:val="0"/>
      <w:marRight w:val="0"/>
      <w:marTop w:val="0"/>
      <w:marBottom w:val="0"/>
      <w:divBdr>
        <w:top w:val="none" w:sz="0" w:space="0" w:color="auto"/>
        <w:left w:val="none" w:sz="0" w:space="0" w:color="auto"/>
        <w:bottom w:val="none" w:sz="0" w:space="0" w:color="auto"/>
        <w:right w:val="none" w:sz="0" w:space="0" w:color="auto"/>
      </w:divBdr>
    </w:div>
    <w:div w:id="507139357">
      <w:bodyDiv w:val="1"/>
      <w:marLeft w:val="0"/>
      <w:marRight w:val="0"/>
      <w:marTop w:val="0"/>
      <w:marBottom w:val="0"/>
      <w:divBdr>
        <w:top w:val="none" w:sz="0" w:space="0" w:color="auto"/>
        <w:left w:val="none" w:sz="0" w:space="0" w:color="auto"/>
        <w:bottom w:val="none" w:sz="0" w:space="0" w:color="auto"/>
        <w:right w:val="none" w:sz="0" w:space="0" w:color="auto"/>
      </w:divBdr>
    </w:div>
    <w:div w:id="673267521">
      <w:bodyDiv w:val="1"/>
      <w:marLeft w:val="0"/>
      <w:marRight w:val="0"/>
      <w:marTop w:val="0"/>
      <w:marBottom w:val="0"/>
      <w:divBdr>
        <w:top w:val="none" w:sz="0" w:space="0" w:color="auto"/>
        <w:left w:val="none" w:sz="0" w:space="0" w:color="auto"/>
        <w:bottom w:val="none" w:sz="0" w:space="0" w:color="auto"/>
        <w:right w:val="none" w:sz="0" w:space="0" w:color="auto"/>
      </w:divBdr>
    </w:div>
    <w:div w:id="748187265">
      <w:bodyDiv w:val="1"/>
      <w:marLeft w:val="0"/>
      <w:marRight w:val="0"/>
      <w:marTop w:val="0"/>
      <w:marBottom w:val="0"/>
      <w:divBdr>
        <w:top w:val="none" w:sz="0" w:space="0" w:color="auto"/>
        <w:left w:val="none" w:sz="0" w:space="0" w:color="auto"/>
        <w:bottom w:val="none" w:sz="0" w:space="0" w:color="auto"/>
        <w:right w:val="none" w:sz="0" w:space="0" w:color="auto"/>
      </w:divBdr>
    </w:div>
    <w:div w:id="794102167">
      <w:bodyDiv w:val="1"/>
      <w:marLeft w:val="0"/>
      <w:marRight w:val="0"/>
      <w:marTop w:val="0"/>
      <w:marBottom w:val="0"/>
      <w:divBdr>
        <w:top w:val="none" w:sz="0" w:space="0" w:color="auto"/>
        <w:left w:val="none" w:sz="0" w:space="0" w:color="auto"/>
        <w:bottom w:val="none" w:sz="0" w:space="0" w:color="auto"/>
        <w:right w:val="none" w:sz="0" w:space="0" w:color="auto"/>
      </w:divBdr>
    </w:div>
    <w:div w:id="932544005">
      <w:bodyDiv w:val="1"/>
      <w:marLeft w:val="0"/>
      <w:marRight w:val="0"/>
      <w:marTop w:val="0"/>
      <w:marBottom w:val="0"/>
      <w:divBdr>
        <w:top w:val="none" w:sz="0" w:space="0" w:color="auto"/>
        <w:left w:val="none" w:sz="0" w:space="0" w:color="auto"/>
        <w:bottom w:val="none" w:sz="0" w:space="0" w:color="auto"/>
        <w:right w:val="none" w:sz="0" w:space="0" w:color="auto"/>
      </w:divBdr>
    </w:div>
    <w:div w:id="942881200">
      <w:bodyDiv w:val="1"/>
      <w:marLeft w:val="0"/>
      <w:marRight w:val="0"/>
      <w:marTop w:val="0"/>
      <w:marBottom w:val="0"/>
      <w:divBdr>
        <w:top w:val="none" w:sz="0" w:space="0" w:color="auto"/>
        <w:left w:val="none" w:sz="0" w:space="0" w:color="auto"/>
        <w:bottom w:val="none" w:sz="0" w:space="0" w:color="auto"/>
        <w:right w:val="none" w:sz="0" w:space="0" w:color="auto"/>
      </w:divBdr>
    </w:div>
    <w:div w:id="960845015">
      <w:bodyDiv w:val="1"/>
      <w:marLeft w:val="0"/>
      <w:marRight w:val="0"/>
      <w:marTop w:val="0"/>
      <w:marBottom w:val="0"/>
      <w:divBdr>
        <w:top w:val="none" w:sz="0" w:space="0" w:color="auto"/>
        <w:left w:val="none" w:sz="0" w:space="0" w:color="auto"/>
        <w:bottom w:val="none" w:sz="0" w:space="0" w:color="auto"/>
        <w:right w:val="none" w:sz="0" w:space="0" w:color="auto"/>
      </w:divBdr>
    </w:div>
    <w:div w:id="1025329334">
      <w:bodyDiv w:val="1"/>
      <w:marLeft w:val="0"/>
      <w:marRight w:val="0"/>
      <w:marTop w:val="0"/>
      <w:marBottom w:val="0"/>
      <w:divBdr>
        <w:top w:val="none" w:sz="0" w:space="0" w:color="auto"/>
        <w:left w:val="none" w:sz="0" w:space="0" w:color="auto"/>
        <w:bottom w:val="none" w:sz="0" w:space="0" w:color="auto"/>
        <w:right w:val="none" w:sz="0" w:space="0" w:color="auto"/>
      </w:divBdr>
    </w:div>
    <w:div w:id="1069495065">
      <w:bodyDiv w:val="1"/>
      <w:marLeft w:val="0"/>
      <w:marRight w:val="0"/>
      <w:marTop w:val="0"/>
      <w:marBottom w:val="0"/>
      <w:divBdr>
        <w:top w:val="none" w:sz="0" w:space="0" w:color="auto"/>
        <w:left w:val="none" w:sz="0" w:space="0" w:color="auto"/>
        <w:bottom w:val="none" w:sz="0" w:space="0" w:color="auto"/>
        <w:right w:val="none" w:sz="0" w:space="0" w:color="auto"/>
      </w:divBdr>
    </w:div>
    <w:div w:id="1245804131">
      <w:bodyDiv w:val="1"/>
      <w:marLeft w:val="0"/>
      <w:marRight w:val="0"/>
      <w:marTop w:val="0"/>
      <w:marBottom w:val="0"/>
      <w:divBdr>
        <w:top w:val="none" w:sz="0" w:space="0" w:color="auto"/>
        <w:left w:val="none" w:sz="0" w:space="0" w:color="auto"/>
        <w:bottom w:val="none" w:sz="0" w:space="0" w:color="auto"/>
        <w:right w:val="none" w:sz="0" w:space="0" w:color="auto"/>
      </w:divBdr>
    </w:div>
    <w:div w:id="1355113802">
      <w:bodyDiv w:val="1"/>
      <w:marLeft w:val="0"/>
      <w:marRight w:val="0"/>
      <w:marTop w:val="0"/>
      <w:marBottom w:val="0"/>
      <w:divBdr>
        <w:top w:val="none" w:sz="0" w:space="0" w:color="auto"/>
        <w:left w:val="none" w:sz="0" w:space="0" w:color="auto"/>
        <w:bottom w:val="none" w:sz="0" w:space="0" w:color="auto"/>
        <w:right w:val="none" w:sz="0" w:space="0" w:color="auto"/>
      </w:divBdr>
    </w:div>
    <w:div w:id="1376466373">
      <w:bodyDiv w:val="1"/>
      <w:marLeft w:val="0"/>
      <w:marRight w:val="0"/>
      <w:marTop w:val="0"/>
      <w:marBottom w:val="0"/>
      <w:divBdr>
        <w:top w:val="none" w:sz="0" w:space="0" w:color="auto"/>
        <w:left w:val="none" w:sz="0" w:space="0" w:color="auto"/>
        <w:bottom w:val="none" w:sz="0" w:space="0" w:color="auto"/>
        <w:right w:val="none" w:sz="0" w:space="0" w:color="auto"/>
      </w:divBdr>
    </w:div>
    <w:div w:id="1474711402">
      <w:bodyDiv w:val="1"/>
      <w:marLeft w:val="0"/>
      <w:marRight w:val="0"/>
      <w:marTop w:val="0"/>
      <w:marBottom w:val="0"/>
      <w:divBdr>
        <w:top w:val="none" w:sz="0" w:space="0" w:color="auto"/>
        <w:left w:val="none" w:sz="0" w:space="0" w:color="auto"/>
        <w:bottom w:val="none" w:sz="0" w:space="0" w:color="auto"/>
        <w:right w:val="none" w:sz="0" w:space="0" w:color="auto"/>
      </w:divBdr>
    </w:div>
    <w:div w:id="1573545276">
      <w:bodyDiv w:val="1"/>
      <w:marLeft w:val="0"/>
      <w:marRight w:val="0"/>
      <w:marTop w:val="0"/>
      <w:marBottom w:val="0"/>
      <w:divBdr>
        <w:top w:val="none" w:sz="0" w:space="0" w:color="auto"/>
        <w:left w:val="none" w:sz="0" w:space="0" w:color="auto"/>
        <w:bottom w:val="none" w:sz="0" w:space="0" w:color="auto"/>
        <w:right w:val="none" w:sz="0" w:space="0" w:color="auto"/>
      </w:divBdr>
    </w:div>
    <w:div w:id="1592470095">
      <w:bodyDiv w:val="1"/>
      <w:marLeft w:val="0"/>
      <w:marRight w:val="0"/>
      <w:marTop w:val="0"/>
      <w:marBottom w:val="0"/>
      <w:divBdr>
        <w:top w:val="none" w:sz="0" w:space="0" w:color="auto"/>
        <w:left w:val="none" w:sz="0" w:space="0" w:color="auto"/>
        <w:bottom w:val="none" w:sz="0" w:space="0" w:color="auto"/>
        <w:right w:val="none" w:sz="0" w:space="0" w:color="auto"/>
      </w:divBdr>
    </w:div>
    <w:div w:id="1693720376">
      <w:bodyDiv w:val="1"/>
      <w:marLeft w:val="0"/>
      <w:marRight w:val="0"/>
      <w:marTop w:val="0"/>
      <w:marBottom w:val="0"/>
      <w:divBdr>
        <w:top w:val="none" w:sz="0" w:space="0" w:color="auto"/>
        <w:left w:val="none" w:sz="0" w:space="0" w:color="auto"/>
        <w:bottom w:val="none" w:sz="0" w:space="0" w:color="auto"/>
        <w:right w:val="none" w:sz="0" w:space="0" w:color="auto"/>
      </w:divBdr>
    </w:div>
    <w:div w:id="1707288755">
      <w:bodyDiv w:val="1"/>
      <w:marLeft w:val="0"/>
      <w:marRight w:val="0"/>
      <w:marTop w:val="0"/>
      <w:marBottom w:val="0"/>
      <w:divBdr>
        <w:top w:val="none" w:sz="0" w:space="0" w:color="auto"/>
        <w:left w:val="none" w:sz="0" w:space="0" w:color="auto"/>
        <w:bottom w:val="none" w:sz="0" w:space="0" w:color="auto"/>
        <w:right w:val="none" w:sz="0" w:space="0" w:color="auto"/>
      </w:divBdr>
    </w:div>
    <w:div w:id="1892380304">
      <w:bodyDiv w:val="1"/>
      <w:marLeft w:val="0"/>
      <w:marRight w:val="0"/>
      <w:marTop w:val="0"/>
      <w:marBottom w:val="0"/>
      <w:divBdr>
        <w:top w:val="none" w:sz="0" w:space="0" w:color="auto"/>
        <w:left w:val="none" w:sz="0" w:space="0" w:color="auto"/>
        <w:bottom w:val="none" w:sz="0" w:space="0" w:color="auto"/>
        <w:right w:val="none" w:sz="0" w:space="0" w:color="auto"/>
      </w:divBdr>
    </w:div>
    <w:div w:id="2128237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toluca.gob.mx/wp-content/uploads/2022/03/tol-pdf-Estado_Analitico_de_la_Deuda_y_Otros_Pasivos-2021.pdf" TargetMode="External"/><Relationship Id="rId13" Type="http://schemas.openxmlformats.org/officeDocument/2006/relationships/hyperlink" Target="https://sistemamexiquense.mx/sites/sistemamexiquense.mx/files/files/Contabilidad/Tit_IV/Ano2024/3erTri/NOTAS_LOS_ESTADOS_FINANCIEROS_SEPTIEMBRE_2024.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transparenciafiscal.edomex.gob.mx/sites/transparenciafiscal.edomex.gob.mx/files/files/pdf/rendicion-cuentas/cuenta-publica-2023/TomoIX/SMMP.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nsparenciafiscal.edomex.gob.mx/sites/transparenciafiscal.edomex.gob.mx/files/files/pdf/rendicion-cuentas/cuenta-publica-2021/TomoIX/SRyTVM.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DACA6-FA4D-44A1-9B5D-087325A24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7282</Words>
  <Characters>40051</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Office</cp:lastModifiedBy>
  <cp:revision>3</cp:revision>
  <cp:lastPrinted>2025-02-14T02:19:00Z</cp:lastPrinted>
  <dcterms:created xsi:type="dcterms:W3CDTF">2025-02-14T02:18:00Z</dcterms:created>
  <dcterms:modified xsi:type="dcterms:W3CDTF">2025-02-14T02:19:00Z</dcterms:modified>
</cp:coreProperties>
</file>