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dieciséis de julio de dos mil veinticinco.</w:t>
      </w:r>
    </w:p>
    <w:p w:rsidR="00000000" w:rsidDel="00000000" w:rsidP="00000000" w:rsidRDefault="00000000" w:rsidRPr="00000000" w14:paraId="0000000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 </w:t>
      </w:r>
      <w:r w:rsidDel="00000000" w:rsidR="00000000" w:rsidRPr="00000000">
        <w:rPr>
          <w:rFonts w:ascii="Palatino Linotype" w:cs="Palatino Linotype" w:eastAsia="Palatino Linotype" w:hAnsi="Palatino Linotype"/>
          <w:rtl w:val="0"/>
        </w:rPr>
        <w:t xml:space="preserve">el expediente relativo al recurso de revisión número </w:t>
      </w:r>
      <w:r w:rsidDel="00000000" w:rsidR="00000000" w:rsidRPr="00000000">
        <w:rPr>
          <w:rFonts w:ascii="Palatino Linotype" w:cs="Palatino Linotype" w:eastAsia="Palatino Linotype" w:hAnsi="Palatino Linotype"/>
          <w:b w:val="1"/>
          <w:rtl w:val="0"/>
        </w:rPr>
        <w:t xml:space="preserve">04124/INFOEM/IP/RR/2025, </w:t>
      </w:r>
      <w:r w:rsidDel="00000000" w:rsidR="00000000" w:rsidRPr="00000000">
        <w:rPr>
          <w:rFonts w:ascii="Palatino Linotype" w:cs="Palatino Linotype" w:eastAsia="Palatino Linotype" w:hAnsi="Palatino Linotype"/>
          <w:rtl w:val="0"/>
        </w:rPr>
        <w:t xml:space="preserve">interpuestos por</w:t>
      </w:r>
      <w:r w:rsidDel="00000000" w:rsidR="00000000" w:rsidRPr="00000000">
        <w:rPr>
          <w:rFonts w:ascii="Palatino Linotype" w:cs="Palatino Linotype" w:eastAsia="Palatino Linotype" w:hAnsi="Palatino Linotype"/>
          <w:b w:val="1"/>
          <w:rtl w:val="0"/>
        </w:rPr>
        <w:t xml:space="preserve"> XXXXX XXXXXX XXXXXXXX</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la solicitud de información con número de folio </w:t>
      </w:r>
      <w:r w:rsidDel="00000000" w:rsidR="00000000" w:rsidRPr="00000000">
        <w:rPr>
          <w:rFonts w:ascii="Palatino Linotype" w:cs="Palatino Linotype" w:eastAsia="Palatino Linotype" w:hAnsi="Palatino Linotype"/>
          <w:b w:val="1"/>
          <w:rtl w:val="0"/>
        </w:rPr>
        <w:t xml:space="preserve">00070/CHIMALHU/IP/2025,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Ayuntamiento de Chimalhuacán,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w:t>
      </w:r>
    </w:p>
    <w:p w:rsidR="00000000" w:rsidDel="00000000" w:rsidP="00000000" w:rsidRDefault="00000000" w:rsidRPr="00000000" w14:paraId="0000000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Solicitud de Información.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veintisiete de marzo de dos mil veinticinco, </w:t>
      </w:r>
      <w:r w:rsidDel="00000000" w:rsidR="00000000" w:rsidRPr="00000000">
        <w:rPr>
          <w:rFonts w:ascii="Palatino Linotype" w:cs="Palatino Linotype" w:eastAsia="Palatino Linotype" w:hAnsi="Palatino Linotype"/>
          <w:rtl w:val="0"/>
        </w:rPr>
        <w:t xml:space="preserve">la persona solicitante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presentó,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mediante la cual requirió la información siguiente:</w:t>
      </w:r>
    </w:p>
    <w:p w:rsidR="00000000" w:rsidDel="00000000" w:rsidP="00000000" w:rsidRDefault="00000000" w:rsidRPr="00000000" w14:paraId="00000008">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9">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“solicito copia simple digitalizada a través del sistema electrónico saimex de los </w:t>
      </w:r>
      <w:r w:rsidDel="00000000" w:rsidR="00000000" w:rsidRPr="00000000">
        <w:rPr>
          <w:rFonts w:ascii="Palatino Linotype" w:cs="Palatino Linotype" w:eastAsia="Palatino Linotype" w:hAnsi="Palatino Linotype"/>
          <w:b w:val="1"/>
          <w:i w:val="1"/>
          <w:rtl w:val="0"/>
        </w:rPr>
        <w:t xml:space="preserve">comprobantes en version pública de todos los pagos realizados por la tesoreria municipal a particulares a traves de cheque o transferencia electrónica</w:t>
      </w:r>
      <w:r w:rsidDel="00000000" w:rsidR="00000000" w:rsidRPr="00000000">
        <w:rPr>
          <w:rFonts w:ascii="Palatino Linotype" w:cs="Palatino Linotype" w:eastAsia="Palatino Linotype" w:hAnsi="Palatino Linotype"/>
          <w:i w:val="1"/>
          <w:rtl w:val="0"/>
        </w:rPr>
        <w:t xml:space="preserve"> correspondientes a las partidas presupuestales 3611 y 3612 del presupuesto de egresos 2023 y 2024.”</w:t>
      </w:r>
    </w:p>
    <w:p w:rsidR="00000000" w:rsidDel="00000000" w:rsidP="00000000" w:rsidRDefault="00000000" w:rsidRPr="00000000" w14:paraId="0000000A">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jc w:val="both"/>
        <w:rPr>
          <w:rFonts w:ascii="Palatino Linotype" w:cs="Palatino Linotype" w:eastAsia="Palatino Linotype" w:hAnsi="Palatino Linotype"/>
        </w:rPr>
      </w:pPr>
      <w:bookmarkStart w:colFirst="0" w:colLast="0" w:name="_heading=h.1fob9te" w:id="0"/>
      <w:bookmarkEnd w:id="0"/>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del SAIMEX.</w:t>
      </w:r>
    </w:p>
    <w:p w:rsidR="00000000" w:rsidDel="00000000" w:rsidP="00000000" w:rsidRDefault="00000000" w:rsidRPr="00000000" w14:paraId="0000000C">
      <w:pPr>
        <w:widowControl w:val="0"/>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D">
      <w:pPr>
        <w:widowControl w:val="0"/>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Respuesta.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tres de abril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p>
    <w:p w:rsidR="00000000" w:rsidDel="00000000" w:rsidP="00000000" w:rsidRDefault="00000000" w:rsidRPr="00000000" w14:paraId="0000000E">
      <w:pPr>
        <w:widowControl w:val="0"/>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F">
      <w:pPr>
        <w:widowControl w:val="0"/>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 Sin más por el momento y garantizando su derecho de acceso a la información hago saber a usted que la información proporcionada se encuentra bajo los principios del articulo 11 y 12 de la Ley de Transparencia y Acceso a la Información Pública del Estado de México y Municipios. 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Asi miso </w:t>
      </w:r>
      <w:r w:rsidDel="00000000" w:rsidR="00000000" w:rsidRPr="00000000">
        <w:rPr>
          <w:rFonts w:ascii="Palatino Linotype" w:cs="Palatino Linotype" w:eastAsia="Palatino Linotype" w:hAnsi="Palatino Linotype"/>
          <w:b w:val="1"/>
          <w:i w:val="1"/>
          <w:rtl w:val="0"/>
        </w:rPr>
        <w:t xml:space="preserve">hago entrega de respuesta emitida por laTesoreria Municipal de Chimalhuacan</w:t>
      </w:r>
      <w:r w:rsidDel="00000000" w:rsidR="00000000" w:rsidRPr="00000000">
        <w:rPr>
          <w:rFonts w:ascii="Palatino Linotype" w:cs="Palatino Linotype" w:eastAsia="Palatino Linotype" w:hAnsi="Palatino Linotype"/>
          <w:i w:val="1"/>
          <w:rtl w:val="0"/>
        </w:rPr>
        <w:t xml:space="preserve"> en atención a su solicitud.</w:t>
      </w:r>
    </w:p>
    <w:p w:rsidR="00000000" w:rsidDel="00000000" w:rsidP="00000000" w:rsidRDefault="00000000" w:rsidRPr="00000000" w14:paraId="00000010">
      <w:pPr>
        <w:widowControl w:val="0"/>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11">
      <w:pPr>
        <w:widowControl w:val="0"/>
        <w:spacing w:after="0" w:line="240" w:lineRule="auto"/>
        <w:ind w:left="851"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C. DIANA KAREN GRACIA HERNANDEZ” (sic)</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2">
      <w:pPr>
        <w:widowControl w:val="0"/>
        <w:spacing w:after="0" w:line="240" w:lineRule="auto"/>
        <w:ind w:left="851"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widowControl w:val="0"/>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adjuntó lo siguiente:</w:t>
      </w:r>
    </w:p>
    <w:p w:rsidR="00000000" w:rsidDel="00000000" w:rsidP="00000000" w:rsidRDefault="00000000" w:rsidRPr="00000000" w14:paraId="00000014">
      <w:pPr>
        <w:widowControl w:val="0"/>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851"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RESPUESTA SOLICITUD 70.pdf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número PM/TM/0344/2025 de fecha tres de abril de dos mil veinticinco, signado por la Tesorera Municipal de Chimalhuacán, en el que informó la entrega del Estado comparativo Presupuestal de Egresos del año 2023 y del 2024, en donde se puede visualizar las cuentas contables 3611 y 3612. Asimismo, señaló los links en donde se puede visualizar las caratulas de los estados comparativos de egresos 2023 y 2024, como capturas de pantalla con sus pasos a seguir para su visualización, siendo los siguientes:</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51" w:right="616"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4778043" cy="774716"/>
            <wp:effectExtent b="0" l="0" r="0" t="0"/>
            <wp:docPr id="1935668401"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4778043" cy="774716"/>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51" w:right="616"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widowControl w:val="0"/>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la respuesta del</w:t>
      </w:r>
      <w:r w:rsidDel="00000000" w:rsidR="00000000" w:rsidRPr="00000000">
        <w:rPr>
          <w:rFonts w:ascii="Palatino Linotype" w:cs="Palatino Linotype" w:eastAsia="Palatino Linotype" w:hAnsi="Palatino Linotype"/>
          <w:b w:val="1"/>
          <w:rtl w:val="0"/>
        </w:rPr>
        <w:t xml:space="preserve"> Sujeto Obligado,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ocho de abril de dos mil veinticinco, </w:t>
      </w:r>
      <w:r w:rsidDel="00000000" w:rsidR="00000000" w:rsidRPr="00000000">
        <w:rPr>
          <w:rFonts w:ascii="Palatino Linotype" w:cs="Palatino Linotype" w:eastAsia="Palatino Linotype" w:hAnsi="Palatino Linotype"/>
          <w:rtl w:val="0"/>
        </w:rPr>
        <w:t xml:space="preserve">la parte</w:t>
      </w:r>
      <w:r w:rsidDel="00000000" w:rsidR="00000000" w:rsidRPr="00000000">
        <w:rPr>
          <w:rFonts w:ascii="Palatino Linotype" w:cs="Palatino Linotype" w:eastAsia="Palatino Linotype" w:hAnsi="Palatino Linotype"/>
          <w:b w:val="1"/>
          <w:rtl w:val="0"/>
        </w:rPr>
        <w:t xml:space="preserve"> Recurrente </w:t>
      </w:r>
      <w:r w:rsidDel="00000000" w:rsidR="00000000" w:rsidRPr="00000000">
        <w:rPr>
          <w:rFonts w:ascii="Palatino Linotype" w:cs="Palatino Linotype" w:eastAsia="Palatino Linotype" w:hAnsi="Palatino Linotype"/>
          <w:rtl w:val="0"/>
        </w:rPr>
        <w:t xml:space="preserve">interpuso los recursos de revisión, en los cuales manifestó lo siguiente:</w:t>
      </w:r>
    </w:p>
    <w:p w:rsidR="00000000" w:rsidDel="00000000" w:rsidP="00000000" w:rsidRDefault="00000000" w:rsidRPr="00000000" w14:paraId="0000001A">
      <w:pPr>
        <w:tabs>
          <w:tab w:val="left" w:leader="none" w:pos="2745"/>
        </w:tabs>
        <w:spacing w:after="0" w:line="360" w:lineRule="auto"/>
        <w:ind w:left="851" w:right="616"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B">
      <w:pPr>
        <w:tabs>
          <w:tab w:val="left" w:leader="none" w:pos="2745"/>
        </w:tabs>
        <w:spacing w:after="0" w:line="360" w:lineRule="auto"/>
        <w:ind w:left="851" w:right="61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1C">
      <w:pPr>
        <w:tabs>
          <w:tab w:val="left" w:leader="none" w:pos="2745"/>
        </w:tabs>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“Respuesta del sujeto obligado a la solicitud de información 00070/CHIMALHU/IP/2025” (sic)</w:t>
      </w:r>
    </w:p>
    <w:p w:rsidR="00000000" w:rsidDel="00000000" w:rsidP="00000000" w:rsidRDefault="00000000" w:rsidRPr="00000000" w14:paraId="0000001D">
      <w:pPr>
        <w:spacing w:after="0" w:line="360" w:lineRule="auto"/>
        <w:ind w:left="851" w:right="616" w:firstLine="0"/>
        <w:jc w:val="both"/>
        <w:rPr>
          <w:rFonts w:ascii="Palatino Linotype" w:cs="Palatino Linotype" w:eastAsia="Palatino Linotype" w:hAnsi="Palatino Linotype"/>
          <w:b w:val="1"/>
        </w:rPr>
      </w:pPr>
      <w:bookmarkStart w:colFirst="0" w:colLast="0" w:name="_heading=h.30j0zll" w:id="1"/>
      <w:bookmarkEnd w:id="1"/>
      <w:r w:rsidDel="00000000" w:rsidR="00000000" w:rsidRPr="00000000">
        <w:rPr>
          <w:rtl w:val="0"/>
        </w:rPr>
      </w:r>
    </w:p>
    <w:p w:rsidR="00000000" w:rsidDel="00000000" w:rsidP="00000000" w:rsidRDefault="00000000" w:rsidRPr="00000000" w14:paraId="0000001E">
      <w:pPr>
        <w:spacing w:after="0" w:line="360" w:lineRule="auto"/>
        <w:ind w:left="851"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F">
      <w:pPr>
        <w:tabs>
          <w:tab w:val="left" w:leader="none" w:pos="2745"/>
        </w:tabs>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respuesta entregada no corresponde a la información solicitada, la cual señala puntualmente las especificaciones de la documentación solicitada que obra en poder del sujeto obligado.” (sic)</w:t>
      </w:r>
    </w:p>
    <w:p w:rsidR="00000000" w:rsidDel="00000000" w:rsidP="00000000" w:rsidRDefault="00000000" w:rsidRPr="00000000" w14:paraId="00000020">
      <w:pPr>
        <w:tabs>
          <w:tab w:val="left" w:leader="none" w:pos="2745"/>
        </w:tabs>
        <w:spacing w:after="0"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04124/INFOEM/IP/RR/2025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 </w:t>
      </w:r>
    </w:p>
    <w:p w:rsidR="00000000" w:rsidDel="00000000" w:rsidP="00000000" w:rsidRDefault="00000000" w:rsidRPr="00000000" w14:paraId="0000002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El</w:t>
      </w:r>
      <w:r w:rsidDel="00000000" w:rsidR="00000000" w:rsidRPr="00000000">
        <w:rPr>
          <w:rFonts w:ascii="Palatino Linotype" w:cs="Palatino Linotype" w:eastAsia="Palatino Linotype" w:hAnsi="Palatino Linotype"/>
          <w:b w:val="1"/>
          <w:rtl w:val="0"/>
        </w:rPr>
        <w:t xml:space="preserve"> once de abril de dos mil veinticinco</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admitieron a trámite los recursos de revisión</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24">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5">
      <w:pPr>
        <w:widowControl w:val="0"/>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 </w:t>
      </w:r>
      <w:r w:rsidDel="00000000" w:rsidR="00000000" w:rsidRPr="00000000">
        <w:rPr>
          <w:rFonts w:ascii="Palatino Linotype" w:cs="Palatino Linotype" w:eastAsia="Palatino Linotype" w:hAnsi="Palatino Linotype"/>
          <w:rtl w:val="0"/>
        </w:rPr>
        <w:t xml:space="preserve">De constancias del expediente electrónico del SAIMEX, se observa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rendir su informe justificado; así como,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fue omisa en hacer valer manifestaciones o rendir alegatos que conforme a derecho resultaran procedentes, como se muestra:</w:t>
      </w:r>
    </w:p>
    <w:p w:rsidR="00000000" w:rsidDel="00000000" w:rsidP="00000000" w:rsidRDefault="00000000" w:rsidRPr="00000000" w14:paraId="00000026">
      <w:pPr>
        <w:widowControl w:val="0"/>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widowControl w:val="0"/>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278255"/>
            <wp:effectExtent b="0" l="0" r="0" t="0"/>
            <wp:docPr id="193566840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12130" cy="127825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widowControl w:val="0"/>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plazo.</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siete de julio de dos mil veinticinco</w:t>
      </w:r>
      <w:r w:rsidDel="00000000" w:rsidR="00000000" w:rsidRPr="00000000">
        <w:rPr>
          <w:rFonts w:ascii="Palatino Linotype" w:cs="Palatino Linotype" w:eastAsia="Palatino Linotype" w:hAnsi="Palatino Linotype"/>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A">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after="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33">
      <w:pPr>
        <w:numPr>
          <w:ilvl w:val="0"/>
          <w:numId w:val="2"/>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 </w:t>
      </w:r>
    </w:p>
    <w:p w:rsidR="00000000" w:rsidDel="00000000" w:rsidP="00000000" w:rsidRDefault="00000000" w:rsidRPr="00000000" w14:paraId="00000034">
      <w:pPr>
        <w:numPr>
          <w:ilvl w:val="0"/>
          <w:numId w:val="2"/>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35">
      <w:pPr>
        <w:numPr>
          <w:ilvl w:val="0"/>
          <w:numId w:val="2"/>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Conducta de la Autoridad: </w:t>
      </w:r>
      <w:r w:rsidDel="00000000" w:rsidR="00000000" w:rsidRPr="00000000">
        <w:rPr>
          <w:rFonts w:ascii="Palatino Linotype" w:cs="Palatino Linotype" w:eastAsia="Palatino Linotype" w:hAnsi="Palatino Linotype"/>
          <w:rtl w:val="0"/>
        </w:rPr>
        <w:t xml:space="preserve">Las Acciones u omisiones realizadas en el procedimiento. Así como si la autoridad actuó con la debida diligencia.</w:t>
      </w:r>
    </w:p>
    <w:p w:rsidR="00000000" w:rsidDel="00000000" w:rsidP="00000000" w:rsidRDefault="00000000" w:rsidRPr="00000000" w14:paraId="00000036">
      <w:pPr>
        <w:numPr>
          <w:ilvl w:val="0"/>
          <w:numId w:val="2"/>
        </w:numPr>
        <w:spacing w:after="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3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3A">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E">
      <w:pPr>
        <w:spacing w:after="0" w:line="360" w:lineRule="auto"/>
        <w:ind w:left="851"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3F">
      <w:pPr>
        <w:spacing w:after="0" w:line="360" w:lineRule="auto"/>
        <w:ind w:left="851" w:right="61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after="0" w:line="360" w:lineRule="auto"/>
        <w:ind w:left="851"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4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siete de julio de dos mil veinticinco</w:t>
      </w:r>
      <w:r w:rsidDel="00000000" w:rsidR="00000000" w:rsidRPr="00000000">
        <w:rPr>
          <w:rFonts w:ascii="Palatino Linotype" w:cs="Palatino Linotype" w:eastAsia="Palatino Linotype" w:hAnsi="Palatino Linotype"/>
          <w:rtl w:val="0"/>
        </w:rPr>
        <w:t xml:space="preserve">, 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rsidR="00000000" w:rsidDel="00000000" w:rsidP="00000000" w:rsidRDefault="00000000" w:rsidRPr="00000000" w14:paraId="0000004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4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de revisión fueron interpuestos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w:t>
      </w:r>
      <w:r w:rsidDel="00000000" w:rsidR="00000000" w:rsidRPr="00000000">
        <w:rPr>
          <w:rFonts w:ascii="Palatino Linotype" w:cs="Palatino Linotype" w:eastAsia="Palatino Linotype" w:hAnsi="Palatino Linotype"/>
          <w:b w:val="1"/>
          <w:rtl w:val="0"/>
        </w:rPr>
        <w:t xml:space="preserve">tres de abril de dos mil veinticinco,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w:t>
      </w:r>
      <w:r w:rsidDel="00000000" w:rsidR="00000000" w:rsidRPr="00000000">
        <w:rPr>
          <w:rFonts w:ascii="Palatino Linotype" w:cs="Palatino Linotype" w:eastAsia="Palatino Linotype" w:hAnsi="Palatino Linotype"/>
          <w:b w:val="1"/>
          <w:rtl w:val="0"/>
        </w:rPr>
        <w:t xml:space="preserve">ocho de abril de dos mil veinticinco,</w:t>
      </w:r>
      <w:r w:rsidDel="00000000" w:rsidR="00000000" w:rsidRPr="00000000">
        <w:rPr>
          <w:rFonts w:ascii="Palatino Linotype" w:cs="Palatino Linotype" w:eastAsia="Palatino Linotype" w:hAnsi="Palatino Linotype"/>
          <w:rtl w:val="0"/>
        </w:rPr>
        <w:t xml:space="preserve"> esto es al tercer día hábil posterior a aquel en el que tuvo conocimiento de las respuestas impugnadas. En este sentido, se concluye que el presente recurso de revisión se encuentra dentro de los márgenes temporales previstos en las disposiciones legales referidas.</w:t>
      </w:r>
    </w:p>
    <w:p w:rsidR="00000000" w:rsidDel="00000000" w:rsidP="00000000" w:rsidRDefault="00000000" w:rsidRPr="00000000" w14:paraId="0000004F">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Del="00000000" w:rsidR="00000000" w:rsidRPr="00000000">
        <w:rPr>
          <w:rFonts w:ascii="Palatino Linotype" w:cs="Palatino Linotype" w:eastAsia="Palatino Linotype" w:hAnsi="Palatino Linotype"/>
          <w:b w:val="1"/>
          <w:rtl w:val="0"/>
        </w:rPr>
        <w:t xml:space="preserve"> SAIMEX.</w:t>
      </w:r>
    </w:p>
    <w:p w:rsidR="00000000" w:rsidDel="00000000" w:rsidP="00000000" w:rsidRDefault="00000000" w:rsidRPr="00000000" w14:paraId="00000050">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VI del ordenamiento legal citado, que a la letra dice: </w:t>
      </w:r>
    </w:p>
    <w:p w:rsidR="00000000" w:rsidDel="00000000" w:rsidP="00000000" w:rsidRDefault="00000000" w:rsidRPr="00000000" w14:paraId="00000052">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3">
      <w:pPr>
        <w:spacing w:after="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4">
      <w:pPr>
        <w:spacing w:after="0" w:line="276" w:lineRule="auto"/>
        <w:ind w:left="851" w:right="616" w:firstLine="0"/>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55">
      <w:pPr>
        <w:spacing w:after="0" w:line="276" w:lineRule="auto"/>
        <w:ind w:left="851" w:right="616"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La entrega de información que no corresponda con lo solicitado;”</w:t>
      </w:r>
    </w:p>
    <w:p w:rsidR="00000000" w:rsidDel="00000000" w:rsidP="00000000" w:rsidRDefault="00000000" w:rsidRPr="00000000" w14:paraId="00000056">
      <w:pPr>
        <w:spacing w:after="0" w:line="276" w:lineRule="auto"/>
        <w:ind w:left="851" w:right="616" w:firstLine="0"/>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los expedientes electrónicos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información proporcionada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5A">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B">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C">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D">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1">
      <w:pP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62">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after="0"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64">
      <w:pPr>
        <w:spacing w:after="0"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orientador 03/17, emitido por el entonces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66">
      <w:pPr>
        <w:spacing w:after="0"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7">
      <w:pP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68">
      <w:pPr>
        <w:spacing w:after="0" w:lineRule="auto"/>
        <w:ind w:left="1134"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C">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D">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6E">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F">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7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72">
      <w:pPr>
        <w:spacing w:after="0" w:line="240" w:lineRule="auto"/>
        <w:ind w:left="851" w:right="902"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73">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4">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75">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6">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7">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8">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7A">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7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las solicitudes de información, motivo de los recursos de revisión que ahora se resuelven,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lo siguiente:</w:t>
      </w:r>
    </w:p>
    <w:p w:rsidR="00000000" w:rsidDel="00000000" w:rsidP="00000000" w:rsidRDefault="00000000" w:rsidRPr="00000000" w14:paraId="0000007E">
      <w:pPr>
        <w:spacing w:after="0" w:line="360" w:lineRule="auto"/>
        <w:ind w:left="42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Los comprobantes de todos los pagos realizados por la tesorería municipal a particulares a través de cheque o transferencia electrónica correspondientes a las partidas presupuestales 3611 y 3612 del presupuesto de egresos 2023 y 2024, en versión pública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por conducto de la Tesorera Municipal, informó la entrega del Estado comparativo Presupuestal de Egresos del año 2023 y del 2024, en donde se puede visualizar las cuentas contables 3611 y 3612. Asimismo, señaló los links en donde se puede visualizar las caratulas de los estados comparativos de egresos 2023 y 2024 y los pasos a seguir para su visualización, siendo los siguientes:</w:t>
      </w:r>
    </w:p>
    <w:p w:rsidR="00000000" w:rsidDel="00000000" w:rsidP="00000000" w:rsidRDefault="00000000" w:rsidRPr="00000000" w14:paraId="0000008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127419" cy="959924"/>
            <wp:effectExtent b="0" l="0" r="0" t="0"/>
            <wp:docPr id="1935668402"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127419" cy="959924"/>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820781" cy="3834588"/>
            <wp:effectExtent b="0" l="0" r="0" t="0"/>
            <wp:docPr id="193566840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820781" cy="383458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widowControl w:val="0"/>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608481" cy="2911196"/>
            <wp:effectExtent b="0" l="0" r="0" t="0"/>
            <wp:docPr id="193566840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608481" cy="2911196"/>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no estar conforme con los términos de la respuesta emitida,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interpuso el recurso de revisión que ahora se resuelve, donde señaló como motivos de inconformidad, en lo medular que la respuesta entregada no corresponde a la información solicitada.</w:t>
      </w:r>
    </w:p>
    <w:p w:rsidR="00000000" w:rsidDel="00000000" w:rsidP="00000000" w:rsidRDefault="00000000" w:rsidRPr="00000000" w14:paraId="0000008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Durante el periodo de manifestaciones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fue omiso en rendir su informe justificado, y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fue omisa en hacer valer manifestaciones o rendir alegatos que conforme a derecho resultaran procedentes, por lo tanto se tiene por precluido su derecho.</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establecidas las posturas de las partes, se procede al análisis del requerimiento de información, así como la información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contraposición con el motivo de inconformidad alegado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con la finalidad de determinar si el Derecho de acceso de esta se satisfizo, o, en su defecto, ordenar el soporte documental correspondiente, en caso de ser procedente.</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se debe resaltar, en primer lugar,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desea conocer únicamente los comprobantes de pago de las partidas presupuestales 3611 y 3612, para tal efecto, conviene traer a colación el contenido del Manual para la Planeación, Programación y Presupuesto de Egresos Municipal para los Ejercicios Fiscales 2023 y 2024, el cual integra como anexo el “Clasificador por objeto del gasto”, mismo que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905375" cy="685800"/>
            <wp:effectExtent b="0" l="0" r="0" t="0"/>
            <wp:docPr id="193566840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490537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Debiendo definir cada una de las partes que lo integran como sigue:</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tab/>
      </w:r>
      <w:r w:rsidDel="00000000" w:rsidR="00000000" w:rsidRPr="00000000">
        <w:rPr>
          <w:rFonts w:ascii="Palatino Linotype" w:cs="Palatino Linotype" w:eastAsia="Palatino Linotype" w:hAnsi="Palatino Linotype"/>
          <w:b w:val="1"/>
          <w:rtl w:val="0"/>
        </w:rPr>
        <w:t xml:space="preserve">Capítulo:</w:t>
      </w:r>
      <w:r w:rsidDel="00000000" w:rsidR="00000000" w:rsidRPr="00000000">
        <w:rPr>
          <w:rFonts w:ascii="Palatino Linotype" w:cs="Palatino Linotype" w:eastAsia="Palatino Linotype" w:hAnsi="Palatino Linotype"/>
          <w:rtl w:val="0"/>
        </w:rPr>
        <w:t xml:space="preserve"> Es el mayor nivel de agregación que identifica el conjunto homogéneo y ordenado de los bienes y servicios requeridos por los entes públicos.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tab/>
      </w:r>
      <w:r w:rsidDel="00000000" w:rsidR="00000000" w:rsidRPr="00000000">
        <w:rPr>
          <w:rFonts w:ascii="Palatino Linotype" w:cs="Palatino Linotype" w:eastAsia="Palatino Linotype" w:hAnsi="Palatino Linotype"/>
          <w:b w:val="1"/>
          <w:rtl w:val="0"/>
        </w:rPr>
        <w:t xml:space="preserve">Concepto:</w:t>
      </w:r>
      <w:r w:rsidDel="00000000" w:rsidR="00000000" w:rsidRPr="00000000">
        <w:rPr>
          <w:rFonts w:ascii="Palatino Linotype" w:cs="Palatino Linotype" w:eastAsia="Palatino Linotype" w:hAnsi="Palatino Linotype"/>
          <w:rtl w:val="0"/>
        </w:rPr>
        <w:t xml:space="preserve"> Son subconjuntos homogéneos y ordenados en forma específica, producto de la desagregación de los bienes y servicios, incluidos en cada capítulo.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tab/>
      </w:r>
      <w:r w:rsidDel="00000000" w:rsidR="00000000" w:rsidRPr="00000000">
        <w:rPr>
          <w:rFonts w:ascii="Palatino Linotype" w:cs="Palatino Linotype" w:eastAsia="Palatino Linotype" w:hAnsi="Palatino Linotype"/>
          <w:b w:val="1"/>
          <w:rtl w:val="0"/>
        </w:rPr>
        <w:t xml:space="preserve">Partida:</w:t>
      </w:r>
      <w:r w:rsidDel="00000000" w:rsidR="00000000" w:rsidRPr="00000000">
        <w:rPr>
          <w:rFonts w:ascii="Palatino Linotype" w:cs="Palatino Linotype" w:eastAsia="Palatino Linotype" w:hAnsi="Palatino Linotype"/>
          <w:rtl w:val="0"/>
        </w:rPr>
        <w:t xml:space="preserve"> Es el nivel de agregación más específico en el cual se describen las expresiones concretas y detalladas de los bienes y servicios que se adquieren y se compone de: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360" w:lineRule="auto"/>
        <w:ind w:firstLine="7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w:t>
        <w:tab/>
      </w:r>
      <w:r w:rsidDel="00000000" w:rsidR="00000000" w:rsidRPr="00000000">
        <w:rPr>
          <w:rFonts w:ascii="Palatino Linotype" w:cs="Palatino Linotype" w:eastAsia="Palatino Linotype" w:hAnsi="Palatino Linotype"/>
          <w:b w:val="1"/>
          <w:rtl w:val="0"/>
        </w:rPr>
        <w:t xml:space="preserve">La Partida Genérica</w:t>
      </w:r>
      <w:r w:rsidDel="00000000" w:rsidR="00000000" w:rsidRPr="00000000">
        <w:rPr>
          <w:rFonts w:ascii="Palatino Linotype" w:cs="Palatino Linotype" w:eastAsia="Palatino Linotype" w:hAnsi="Palatino Linotype"/>
          <w:rtl w:val="0"/>
        </w:rPr>
        <w:t xml:space="preserve"> se refiere al tercer dígito, el cual logrará la armonización a todos los niveles de gobierno.</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360" w:lineRule="auto"/>
        <w:ind w:left="72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w:t>
        <w:tab/>
      </w:r>
      <w:r w:rsidDel="00000000" w:rsidR="00000000" w:rsidRPr="00000000">
        <w:rPr>
          <w:rFonts w:ascii="Palatino Linotype" w:cs="Palatino Linotype" w:eastAsia="Palatino Linotype" w:hAnsi="Palatino Linotype"/>
          <w:b w:val="1"/>
          <w:rtl w:val="0"/>
        </w:rPr>
        <w:t xml:space="preserve">La Partida Específica</w:t>
      </w:r>
      <w:r w:rsidDel="00000000" w:rsidR="00000000" w:rsidRPr="00000000">
        <w:rPr>
          <w:rFonts w:ascii="Palatino Linotype" w:cs="Palatino Linotype" w:eastAsia="Palatino Linotype" w:hAnsi="Palatino Linotype"/>
          <w:rtl w:val="0"/>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con este nivel de desagregación del Clasificador por Objeto del Gasto Estatal y Municipal, la definición al Capítulo de gasto que corresponde al presente caso, es el </w:t>
      </w:r>
      <w:r w:rsidDel="00000000" w:rsidR="00000000" w:rsidRPr="00000000">
        <w:rPr>
          <w:rFonts w:ascii="Palatino Linotype" w:cs="Palatino Linotype" w:eastAsia="Palatino Linotype" w:hAnsi="Palatino Linotype"/>
          <w:b w:val="1"/>
          <w:i w:val="1"/>
          <w:rtl w:val="0"/>
        </w:rPr>
        <w:t xml:space="preserve">3000 SERVICIOS GENERALES </w:t>
      </w:r>
      <w:r w:rsidDel="00000000" w:rsidR="00000000" w:rsidRPr="00000000">
        <w:rPr>
          <w:rFonts w:ascii="Palatino Linotype" w:cs="Palatino Linotype" w:eastAsia="Palatino Linotype" w:hAnsi="Palatino Linotype"/>
          <w:rtl w:val="0"/>
        </w:rPr>
        <w:t xml:space="preserve">que son las asignaciones destinadas a cubrir el costo de todo tipo de servicios que se contraten con particulares o instituciones del propio sector público; así como los servicios oficiales requeridos para el desempeño de actividades vinculadas con la función pública.</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 la estructura de dicha codificación se deriva el </w:t>
      </w:r>
      <w:r w:rsidDel="00000000" w:rsidR="00000000" w:rsidRPr="00000000">
        <w:rPr>
          <w:rFonts w:ascii="Palatino Linotype" w:cs="Palatino Linotype" w:eastAsia="Palatino Linotype" w:hAnsi="Palatino Linotype"/>
          <w:b w:val="1"/>
          <w:rtl w:val="0"/>
        </w:rPr>
        <w:t xml:space="preserve">Subcapítulo 3600 Servicios de Comunicación Social y Publicidad, </w:t>
      </w:r>
      <w:r w:rsidDel="00000000" w:rsidR="00000000" w:rsidRPr="00000000">
        <w:rPr>
          <w:rFonts w:ascii="Palatino Linotype" w:cs="Palatino Linotype" w:eastAsia="Palatino Linotype" w:hAnsi="Palatino Linotype"/>
          <w:rtl w:val="0"/>
        </w:rPr>
        <w:t xml:space="preserve">correspondiente a las asignaciones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entes públicos; incluyendo la contratación de servicios de impresión y publicación de información; así como al montaje de espectáculos culturales y celebraciones que demanden los entes públicos, cuyas partidas específicas son las siguientes: </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566267" cy="3510724"/>
            <wp:effectExtent b="0" l="0" r="0" t="0"/>
            <wp:docPr id="193566840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566267" cy="351072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825500</wp:posOffset>
                </wp:positionV>
                <wp:extent cx="4524375" cy="1343025"/>
                <wp:effectExtent b="0" l="0" r="0" t="0"/>
                <wp:wrapNone/>
                <wp:docPr id="1935668391" name=""/>
                <a:graphic>
                  <a:graphicData uri="http://schemas.microsoft.com/office/word/2010/wordprocessingShape">
                    <wps:wsp>
                      <wps:cNvSpPr/>
                      <wps:cNvPr id="2" name="Shape 2"/>
                      <wps:spPr>
                        <a:xfrm>
                          <a:off x="3098100" y="3122775"/>
                          <a:ext cx="4495800" cy="1314450"/>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825500</wp:posOffset>
                </wp:positionV>
                <wp:extent cx="4524375" cy="1343025"/>
                <wp:effectExtent b="0" l="0" r="0" t="0"/>
                <wp:wrapNone/>
                <wp:docPr id="1935668391"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4524375" cy="1343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990600</wp:posOffset>
                </wp:positionV>
                <wp:extent cx="1228725" cy="38100"/>
                <wp:effectExtent b="0" l="0" r="0" t="0"/>
                <wp:wrapNone/>
                <wp:docPr id="1935668392" name=""/>
                <a:graphic>
                  <a:graphicData uri="http://schemas.microsoft.com/office/word/2010/wordprocessingShape">
                    <wps:wsp>
                      <wps:cNvCnPr/>
                      <wps:spPr>
                        <a:xfrm flipH="1" rot="10800000">
                          <a:off x="4741163" y="3770475"/>
                          <a:ext cx="1209675" cy="19050"/>
                        </a:xfrm>
                        <a:prstGeom prst="straightConnector1">
                          <a:avLst/>
                        </a:prstGeom>
                        <a:noFill/>
                        <a:ln cap="flat" cmpd="sng" w="19050">
                          <a:solidFill>
                            <a:srgbClr val="FF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990600</wp:posOffset>
                </wp:positionV>
                <wp:extent cx="1228725" cy="38100"/>
                <wp:effectExtent b="0" l="0" r="0" t="0"/>
                <wp:wrapNone/>
                <wp:docPr id="1935668392"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1228725" cy="38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927100</wp:posOffset>
                </wp:positionH>
                <wp:positionV relativeFrom="paragraph">
                  <wp:posOffset>1689100</wp:posOffset>
                </wp:positionV>
                <wp:extent cx="0" cy="19050"/>
                <wp:effectExtent b="0" l="0" r="0" t="0"/>
                <wp:wrapNone/>
                <wp:docPr id="1935668398" name=""/>
                <a:graphic>
                  <a:graphicData uri="http://schemas.microsoft.com/office/word/2010/wordprocessingShape">
                    <wps:wsp>
                      <wps:cNvCnPr/>
                      <wps:spPr>
                        <a:xfrm>
                          <a:off x="4264913" y="3780000"/>
                          <a:ext cx="2162175" cy="0"/>
                        </a:xfrm>
                        <a:prstGeom prst="straightConnector1">
                          <a:avLst/>
                        </a:prstGeom>
                        <a:noFill/>
                        <a:ln cap="flat" cmpd="sng" w="19050">
                          <a:solidFill>
                            <a:srgbClr val="FF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1689100</wp:posOffset>
                </wp:positionV>
                <wp:extent cx="0" cy="19050"/>
                <wp:effectExtent b="0" l="0" r="0" t="0"/>
                <wp:wrapNone/>
                <wp:docPr id="1935668398" name="image21.png"/>
                <a:graphic>
                  <a:graphicData uri="http://schemas.openxmlformats.org/drawingml/2006/picture">
                    <pic:pic>
                      <pic:nvPicPr>
                        <pic:cNvPr id="0" name="image21.png"/>
                        <pic:cNvPicPr preferRelativeResize="0"/>
                      </pic:nvPicPr>
                      <pic:blipFill>
                        <a:blip r:embed="rId14"/>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26685" cy="3224859"/>
            <wp:effectExtent b="0" l="0" r="0" t="0"/>
            <wp:docPr id="193566840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026685" cy="3224859"/>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advierte que las partidas presupuestales 3611 y 3612 señaladas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corresponden a los Gastos de publicidad y propaganda; así como, a las publicaciones oficiales y de información en general para difusión.</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se procede al análisis de los requerimientos del particular, los cuales versarán sobre los comprobantes de pago (cheques, recibos, transferencias, etc.) de las partidas presupuestales 3611 </w:t>
      </w:r>
      <w:r w:rsidDel="00000000" w:rsidR="00000000" w:rsidRPr="00000000">
        <w:rPr>
          <w:rFonts w:ascii="Palatino Linotype" w:cs="Palatino Linotype" w:eastAsia="Palatino Linotype" w:hAnsi="Palatino Linotype"/>
          <w:i w:val="1"/>
          <w:rtl w:val="0"/>
        </w:rPr>
        <w:t xml:space="preserve">“Gastos de publicidad y propaganda”</w:t>
      </w:r>
      <w:r w:rsidDel="00000000" w:rsidR="00000000" w:rsidRPr="00000000">
        <w:rPr>
          <w:rFonts w:ascii="Palatino Linotype" w:cs="Palatino Linotype" w:eastAsia="Palatino Linotype" w:hAnsi="Palatino Linotype"/>
          <w:rtl w:val="0"/>
        </w:rPr>
        <w:t xml:space="preserve"> y 3612 </w:t>
      </w:r>
      <w:r w:rsidDel="00000000" w:rsidR="00000000" w:rsidRPr="00000000">
        <w:rPr>
          <w:rFonts w:ascii="Palatino Linotype" w:cs="Palatino Linotype" w:eastAsia="Palatino Linotype" w:hAnsi="Palatino Linotype"/>
          <w:i w:val="1"/>
          <w:rtl w:val="0"/>
        </w:rPr>
        <w:t xml:space="preserve">“Publicaciones oficiales y de información en general para difusión“</w:t>
      </w:r>
      <w:r w:rsidDel="00000000" w:rsidR="00000000" w:rsidRPr="00000000">
        <w:rPr>
          <w:rFonts w:ascii="Palatino Linotype" w:cs="Palatino Linotype" w:eastAsia="Palatino Linotype" w:hAnsi="Palatino Linotype"/>
          <w:rtl w:val="0"/>
        </w:rPr>
        <w:t xml:space="preserve">, de los ejercicios fiscales 2023 y 2024. En primera instancia, tiene que en la presente solicitud se pronunció el Tesorero Municipal, en virtud de que es el órgano encargado de la obtención y aplicación del recurso financiero de acuerdo con la Ley de Ingresos, Código Financiero del Estado de México y Municipios y demás disposiciones aplicables vigentes, ello en términos del artículo 72 del Bando Municipal vigente.</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anteriormente expuesto, de conformidad con el Reglamento Orgánico de la Administración Pública Municipal de Chimalhuacán, Estado de México, a la Tesorería le corresponde el desempeño de las siguientes atribuciones: </w:t>
      </w:r>
    </w:p>
    <w:p w:rsidR="00000000" w:rsidDel="00000000" w:rsidP="00000000" w:rsidRDefault="00000000" w:rsidRPr="00000000" w14:paraId="000000A1">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2">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32.-</w:t>
      </w:r>
      <w:r w:rsidDel="00000000" w:rsidR="00000000" w:rsidRPr="00000000">
        <w:rPr>
          <w:rFonts w:ascii="Palatino Linotype" w:cs="Palatino Linotype" w:eastAsia="Palatino Linotype" w:hAnsi="Palatino Linotype"/>
          <w:i w:val="1"/>
          <w:rtl w:val="0"/>
        </w:rPr>
        <w:t xml:space="preserve"> La </w:t>
      </w:r>
      <w:r w:rsidDel="00000000" w:rsidR="00000000" w:rsidRPr="00000000">
        <w:rPr>
          <w:rFonts w:ascii="Palatino Linotype" w:cs="Palatino Linotype" w:eastAsia="Palatino Linotype" w:hAnsi="Palatino Linotype"/>
          <w:b w:val="1"/>
          <w:i w:val="1"/>
          <w:rtl w:val="0"/>
        </w:rPr>
        <w:t xml:space="preserve">Tesorería Municipal</w:t>
      </w:r>
      <w:r w:rsidDel="00000000" w:rsidR="00000000" w:rsidRPr="00000000">
        <w:rPr>
          <w:rFonts w:ascii="Palatino Linotype" w:cs="Palatino Linotype" w:eastAsia="Palatino Linotype" w:hAnsi="Palatino Linotype"/>
          <w:i w:val="1"/>
          <w:rtl w:val="0"/>
        </w:rPr>
        <w:t xml:space="preserve">, por conducto de su Titular y mediante delegación de funciones, a través de los Titulares de las Unidades Administrativas que tiene adscritas, tendrá las atribuciones siguientes:</w:t>
      </w:r>
    </w:p>
    <w:p w:rsidR="00000000" w:rsidDel="00000000" w:rsidP="00000000" w:rsidRDefault="00000000" w:rsidRPr="00000000" w14:paraId="000000A3">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w:t>
      </w:r>
      <w:r w:rsidDel="00000000" w:rsidR="00000000" w:rsidRPr="00000000">
        <w:rPr>
          <w:rFonts w:ascii="Palatino Linotype" w:cs="Palatino Linotype" w:eastAsia="Palatino Linotype" w:hAnsi="Palatino Linotype"/>
          <w:b w:val="1"/>
          <w:i w:val="1"/>
          <w:rtl w:val="0"/>
        </w:rPr>
        <w:t xml:space="preserve">Administrar la Hacienda Pública Municipal,</w:t>
      </w:r>
      <w:r w:rsidDel="00000000" w:rsidR="00000000" w:rsidRPr="00000000">
        <w:rPr>
          <w:rFonts w:ascii="Palatino Linotype" w:cs="Palatino Linotype" w:eastAsia="Palatino Linotype" w:hAnsi="Palatino Linotype"/>
          <w:i w:val="1"/>
          <w:rtl w:val="0"/>
        </w:rPr>
        <w:t xml:space="preserve"> de conformidad con las disposiciones legales aplicables;</w:t>
      </w:r>
    </w:p>
    <w:p w:rsidR="00000000" w:rsidDel="00000000" w:rsidP="00000000" w:rsidRDefault="00000000" w:rsidRPr="00000000" w14:paraId="000000A4">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5">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 Llevar los registros contables, financieros y administrativos de </w:t>
      </w:r>
      <w:r w:rsidDel="00000000" w:rsidR="00000000" w:rsidRPr="00000000">
        <w:rPr>
          <w:rFonts w:ascii="Palatino Linotype" w:cs="Palatino Linotype" w:eastAsia="Palatino Linotype" w:hAnsi="Palatino Linotype"/>
          <w:i w:val="1"/>
          <w:rtl w:val="0"/>
        </w:rPr>
        <w:t xml:space="preserve">los ingresos</w:t>
      </w:r>
      <w:r w:rsidDel="00000000" w:rsidR="00000000" w:rsidRPr="00000000">
        <w:rPr>
          <w:rFonts w:ascii="Palatino Linotype" w:cs="Palatino Linotype" w:eastAsia="Palatino Linotype" w:hAnsi="Palatino Linotype"/>
          <w:b w:val="1"/>
          <w:i w:val="1"/>
          <w:rtl w:val="0"/>
        </w:rPr>
        <w:t xml:space="preserve">, egresos</w:t>
      </w:r>
      <w:r w:rsidDel="00000000" w:rsidR="00000000" w:rsidRPr="00000000">
        <w:rPr>
          <w:rFonts w:ascii="Palatino Linotype" w:cs="Palatino Linotype" w:eastAsia="Palatino Linotype" w:hAnsi="Palatino Linotype"/>
          <w:i w:val="1"/>
          <w:rtl w:val="0"/>
        </w:rPr>
        <w:t xml:space="preserve"> e inventarios;</w:t>
      </w:r>
    </w:p>
    <w:p w:rsidR="00000000" w:rsidDel="00000000" w:rsidP="00000000" w:rsidRDefault="00000000" w:rsidRPr="00000000" w14:paraId="000000A6">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7">
      <w:pPr>
        <w:spacing w:after="0" w:line="240" w:lineRule="auto"/>
        <w:ind w:left="851"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Del Contador General.</w:t>
      </w:r>
    </w:p>
    <w:p w:rsidR="00000000" w:rsidDel="00000000" w:rsidP="00000000" w:rsidRDefault="00000000" w:rsidRPr="00000000" w14:paraId="000000A8">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Llevar los registros contables de los ingresos proporcionados por las diferentes Unidades Administrativas;</w:t>
      </w:r>
    </w:p>
    <w:p w:rsidR="00000000" w:rsidDel="00000000" w:rsidP="00000000" w:rsidRDefault="00000000" w:rsidRPr="00000000" w14:paraId="000000A9">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Llevar los registros contables de los egresos de las diversas Unidades Administrativas;</w:t>
      </w:r>
    </w:p>
    <w:p w:rsidR="00000000" w:rsidDel="00000000" w:rsidP="00000000" w:rsidRDefault="00000000" w:rsidRPr="00000000" w14:paraId="000000AA">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Llevar los registros contables de las adquisiciones de los bienes</w:t>
      </w:r>
      <w:r w:rsidDel="00000000" w:rsidR="00000000" w:rsidRPr="00000000">
        <w:rPr>
          <w:rFonts w:ascii="Palatino Linotype" w:cs="Palatino Linotype" w:eastAsia="Palatino Linotype" w:hAnsi="Palatino Linotype"/>
          <w:i w:val="1"/>
          <w:rtl w:val="0"/>
        </w:rPr>
        <w:t xml:space="preserve"> muebles e inmuebles, de las diferentes Unidades Administrativas;</w:t>
      </w:r>
    </w:p>
    <w:p w:rsidR="00000000" w:rsidDel="00000000" w:rsidP="00000000" w:rsidRDefault="00000000" w:rsidRPr="00000000" w14:paraId="000000AB">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Integrar los informes mensuales, trimestrales y semestrales solicitados por las dependencias de fiscalización correspondientes;</w:t>
      </w:r>
    </w:p>
    <w:p w:rsidR="00000000" w:rsidDel="00000000" w:rsidP="00000000" w:rsidRDefault="00000000" w:rsidRPr="00000000" w14:paraId="000000AC">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AD">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XIII.- Diseñar, instrumentar, implementar y proponer al titular de la Tesorería Municipal políticas de gasto público, pagos de obligaciones y egresos en general para el cumplimiento de las obligaciones fiscales de entes públicos; …” (Sic) (Énfasis añadido)</w:t>
      </w:r>
    </w:p>
    <w:p w:rsidR="00000000" w:rsidDel="00000000" w:rsidP="00000000" w:rsidRDefault="00000000" w:rsidRPr="00000000" w14:paraId="000000AE">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anteriormente citado, se advierte que la Tesorería Municipal es la unidad administrativa competente para atender el requerimiento de información concerniente a los comprobantes de pago de las partidas presupuestales solicitadas, pues es la encargada de la recaudación de los ingresos municipales, y responsable de realizar las erogaciones que haga el Ayuntamiento y la Administración Pública. </w:t>
      </w:r>
    </w:p>
    <w:p w:rsidR="00000000" w:rsidDel="00000000" w:rsidP="00000000" w:rsidRDefault="00000000" w:rsidRPr="00000000" w14:paraId="000000B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circunstancia, se logra colegir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cumplió con el procedimiento de búsqueda establecido en el artículo 162 de la Ley de Transparencia y Acceso a la Información Pública del Estado de México y Municipios. </w:t>
      </w:r>
    </w:p>
    <w:p w:rsidR="00000000" w:rsidDel="00000000" w:rsidP="00000000" w:rsidRDefault="00000000" w:rsidRPr="00000000" w14:paraId="000000B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se procede al análisis la naturaleza de la información, por ello se debe partir de lo dispuesto en los artículos 342, 343, 344 y 345 del Código Financiero del Estado de México y Municipios, los cuales disponen el sistema y las políticas que deben seguirse para llevar el registro contable y presupuestal de las operaciones financieras, en los siguientes términos:</w:t>
      </w:r>
    </w:p>
    <w:p w:rsidR="00000000" w:rsidDel="00000000" w:rsidP="00000000" w:rsidRDefault="00000000" w:rsidRPr="00000000" w14:paraId="000000B4">
      <w:pPr>
        <w:tabs>
          <w:tab w:val="left" w:leader="none" w:pos="7655"/>
        </w:tabs>
        <w:spacing w:after="0" w:line="240" w:lineRule="auto"/>
        <w:ind w:left="862"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342.-</w:t>
      </w:r>
      <w:r w:rsidDel="00000000" w:rsidR="00000000" w:rsidRPr="00000000">
        <w:rPr>
          <w:rFonts w:ascii="Palatino Linotype" w:cs="Palatino Linotype" w:eastAsia="Palatino Linotype" w:hAnsi="Palatino Linotype"/>
          <w:i w:val="1"/>
          <w:rtl w:val="0"/>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000000" w:rsidDel="00000000" w:rsidP="00000000" w:rsidRDefault="00000000" w:rsidRPr="00000000" w14:paraId="000000B5">
      <w:pPr>
        <w:tabs>
          <w:tab w:val="left" w:leader="none" w:pos="7655"/>
        </w:tabs>
        <w:spacing w:after="0" w:line="240" w:lineRule="auto"/>
        <w:ind w:left="862"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En el caso de los municipios,</w:t>
      </w:r>
      <w:r w:rsidDel="00000000" w:rsidR="00000000" w:rsidRPr="00000000">
        <w:rPr>
          <w:rFonts w:ascii="Palatino Linotype" w:cs="Palatino Linotype" w:eastAsia="Palatino Linotype" w:hAnsi="Palatino Linotype"/>
          <w:i w:val="1"/>
          <w:rtl w:val="0"/>
        </w:rPr>
        <w:t xml:space="preserve"> el registro a que se refiere el párrafo anterior, se realizará conforme al sistema y a las disposiciones en materia de </w:t>
      </w:r>
      <w:r w:rsidDel="00000000" w:rsidR="00000000" w:rsidRPr="00000000">
        <w:rPr>
          <w:rFonts w:ascii="Palatino Linotype" w:cs="Palatino Linotype" w:eastAsia="Palatino Linotype" w:hAnsi="Palatino Linotype"/>
          <w:b w:val="1"/>
          <w:i w:val="1"/>
          <w:rtl w:val="0"/>
        </w:rPr>
        <w:t xml:space="preserve">planeación, programación, presupuestación, evaluación y contabilidad gubernamental</w:t>
      </w:r>
      <w:r w:rsidDel="00000000" w:rsidR="00000000" w:rsidRPr="00000000">
        <w:rPr>
          <w:rFonts w:ascii="Palatino Linotype" w:cs="Palatino Linotype" w:eastAsia="Palatino Linotype" w:hAnsi="Palatino Linotype"/>
          <w:i w:val="1"/>
          <w:rtl w:val="0"/>
        </w:rPr>
        <w:t xml:space="preserve">, que se aprueben en el marco del Sistema de Coordinación Hacendaria del Estado de México.</w:t>
      </w:r>
    </w:p>
    <w:p w:rsidR="00000000" w:rsidDel="00000000" w:rsidP="00000000" w:rsidRDefault="00000000" w:rsidRPr="00000000" w14:paraId="000000B6">
      <w:pPr>
        <w:tabs>
          <w:tab w:val="left" w:leader="none" w:pos="7655"/>
        </w:tabs>
        <w:spacing w:after="0" w:line="240" w:lineRule="auto"/>
        <w:ind w:left="862"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343.-</w:t>
      </w:r>
      <w:r w:rsidDel="00000000" w:rsidR="00000000" w:rsidRPr="00000000">
        <w:rPr>
          <w:rFonts w:ascii="Palatino Linotype" w:cs="Palatino Linotype" w:eastAsia="Palatino Linotype" w:hAnsi="Palatino Linotype"/>
          <w:i w:val="1"/>
          <w:rtl w:val="0"/>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000000" w:rsidDel="00000000" w:rsidP="00000000" w:rsidRDefault="00000000" w:rsidRPr="00000000" w14:paraId="000000B7">
      <w:pPr>
        <w:tabs>
          <w:tab w:val="left" w:leader="none" w:pos="7655"/>
        </w:tabs>
        <w:spacing w:after="0" w:line="240" w:lineRule="auto"/>
        <w:ind w:left="862"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sistema de contabilidad sobre base acumulativa total, se sustentará en las normas emitidas por el Consejo Nacional de Armonización Contable.</w:t>
      </w:r>
    </w:p>
    <w:p w:rsidR="00000000" w:rsidDel="00000000" w:rsidP="00000000" w:rsidRDefault="00000000" w:rsidRPr="00000000" w14:paraId="000000B8">
      <w:pPr>
        <w:tabs>
          <w:tab w:val="left" w:leader="none" w:pos="7655"/>
        </w:tabs>
        <w:spacing w:after="0" w:line="240" w:lineRule="auto"/>
        <w:ind w:left="862"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344.- Los Entes Públicos, a través de cualquiera de sus unidades administrativas, de acuerdo con su naturaleza jurídica y según corresponda, </w:t>
      </w:r>
      <w:r w:rsidDel="00000000" w:rsidR="00000000" w:rsidRPr="00000000">
        <w:rPr>
          <w:rFonts w:ascii="Palatino Linotype" w:cs="Palatino Linotype" w:eastAsia="Palatino Linotype" w:hAnsi="Palatino Linotype"/>
          <w:b w:val="1"/>
          <w:i w:val="1"/>
          <w:u w:val="single"/>
          <w:rtl w:val="0"/>
        </w:rPr>
        <w:t xml:space="preserve">registrarán contablemente el efecto patrimonial y presupuestal de las operaciones financieras que realicen, en el momento en que ocurran, con base en el sistema y políticas de registro establecidas, en el caso de los Municipios, se hará por la Tesorería</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B9">
      <w:pPr>
        <w:tabs>
          <w:tab w:val="left" w:leader="none" w:pos="7655"/>
        </w:tabs>
        <w:spacing w:after="0" w:line="240" w:lineRule="auto"/>
        <w:ind w:left="862"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Todo registro contable y presupuestal deberá estar </w:t>
      </w:r>
      <w:r w:rsidDel="00000000" w:rsidR="00000000" w:rsidRPr="00000000">
        <w:rPr>
          <w:rFonts w:ascii="Palatino Linotype" w:cs="Palatino Linotype" w:eastAsia="Palatino Linotype" w:hAnsi="Palatino Linotype"/>
          <w:b w:val="1"/>
          <w:i w:val="1"/>
          <w:u w:val="single"/>
          <w:rtl w:val="0"/>
        </w:rPr>
        <w:t xml:space="preserve">soportado con los documentos comprobatorios originales o en medios electrónicos</w:t>
      </w:r>
      <w:r w:rsidDel="00000000" w:rsidR="00000000" w:rsidRPr="00000000">
        <w:rPr>
          <w:rFonts w:ascii="Palatino Linotype" w:cs="Palatino Linotype" w:eastAsia="Palatino Linotype" w:hAnsi="Palatino Linotype"/>
          <w:b w:val="1"/>
          <w:i w:val="1"/>
          <w:rtl w:val="0"/>
        </w:rPr>
        <w:t xml:space="preserve">, los que deberán permanecer en custodia y conservación de los Entes Públicos a través de las unidades administrativas que ejercieron el gasto y a disposición de los Órganos de Fiscalización locales y federales, </w:t>
      </w:r>
      <w:r w:rsidDel="00000000" w:rsidR="00000000" w:rsidRPr="00000000">
        <w:rPr>
          <w:rFonts w:ascii="Palatino Linotype" w:cs="Palatino Linotype" w:eastAsia="Palatino Linotype" w:hAnsi="Palatino Linotype"/>
          <w:i w:val="1"/>
          <w:rtl w:val="0"/>
        </w:rPr>
        <w:t xml:space="preserve">según corresponda, así como de los órganos internos de control, por un término de cinco años, contados a partir del ejercicio presupuestal siguiente al que corresponda,</w:t>
      </w:r>
      <w:r w:rsidDel="00000000" w:rsidR="00000000" w:rsidRPr="00000000">
        <w:rPr>
          <w:rFonts w:ascii="Palatino Linotype" w:cs="Palatino Linotype" w:eastAsia="Palatino Linotype" w:hAnsi="Palatino Linotype"/>
          <w:b w:val="1"/>
          <w:i w:val="1"/>
          <w:rtl w:val="0"/>
        </w:rPr>
        <w:t xml:space="preserve"> en el caso de los Municipios, dicha obligación corresponderá a la Tesorería.</w:t>
      </w:r>
    </w:p>
    <w:p w:rsidR="00000000" w:rsidDel="00000000" w:rsidP="00000000" w:rsidRDefault="00000000" w:rsidRPr="00000000" w14:paraId="000000BA">
      <w:pPr>
        <w:tabs>
          <w:tab w:val="left" w:leader="none" w:pos="7655"/>
        </w:tabs>
        <w:spacing w:after="0" w:line="240" w:lineRule="auto"/>
        <w:ind w:left="862"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Tratándose de documentos de carácter histórico, se estará a lo dispuesto por la legislación de la materia.</w:t>
      </w:r>
    </w:p>
    <w:p w:rsidR="00000000" w:rsidDel="00000000" w:rsidP="00000000" w:rsidRDefault="00000000" w:rsidRPr="00000000" w14:paraId="000000BB">
      <w:pPr>
        <w:tabs>
          <w:tab w:val="left" w:leader="none" w:pos="7655"/>
        </w:tabs>
        <w:spacing w:after="0" w:line="240" w:lineRule="auto"/>
        <w:ind w:left="862"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C">
      <w:pPr>
        <w:tabs>
          <w:tab w:val="left" w:leader="none" w:pos="7655"/>
        </w:tabs>
        <w:spacing w:after="0" w:line="240" w:lineRule="auto"/>
        <w:ind w:left="862"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345.-</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Del="00000000" w:rsidR="00000000" w:rsidRPr="00000000">
        <w:rPr>
          <w:rFonts w:ascii="Palatino Linotype" w:cs="Palatino Linotype" w:eastAsia="Palatino Linotype" w:hAnsi="Palatino Linotype"/>
          <w:b w:val="1"/>
          <w:i w:val="1"/>
          <w:u w:val="single"/>
          <w:rtl w:val="0"/>
        </w:rPr>
        <w:t xml:space="preserve">Tratándose de los comprobantes fiscales digitales, estos deberán estar agregados en forma electrónica a cada póliza de registro contable</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BD">
      <w:pPr>
        <w:tabs>
          <w:tab w:val="left" w:leader="none" w:pos="7655"/>
        </w:tabs>
        <w:spacing w:after="0" w:line="240" w:lineRule="auto"/>
        <w:ind w:left="862"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Del="00000000" w:rsidR="00000000" w:rsidRPr="00000000">
        <w:rPr>
          <w:rFonts w:ascii="Palatino Linotype" w:cs="Palatino Linotype" w:eastAsia="Palatino Linotype" w:hAnsi="Palatino Linotype"/>
          <w:b w:val="1"/>
          <w:i w:val="1"/>
          <w:rtl w:val="0"/>
        </w:rPr>
        <w:t xml:space="preserve">deberán estar agregados en forma electrónica a cada póliza de registro contable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E">
      <w:pPr>
        <w:tabs>
          <w:tab w:val="left" w:leader="none" w:pos="7655"/>
        </w:tabs>
        <w:spacing w:after="0" w:line="240" w:lineRule="auto"/>
        <w:ind w:left="862"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El plazo señalado en este artículo empezará a contar a partir de la publicación en el Periódico Oficial, del decreto correspondiente.</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B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000000" w:rsidDel="00000000" w:rsidP="00000000" w:rsidRDefault="00000000" w:rsidRPr="00000000" w14:paraId="000000C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spacing w:after="0" w:line="360" w:lineRule="auto"/>
        <w:ind w:right="-23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debe decirse que las facturas emitidas en favor de los proveedores, contratistas o prestadores de servicios, se encuentra definida en el Glosario de Términos Hacendarios que emite el Instituto Hacendario del Estado de México, como:</w:t>
      </w:r>
    </w:p>
    <w:p w:rsidR="00000000" w:rsidDel="00000000" w:rsidP="00000000" w:rsidRDefault="00000000" w:rsidRPr="00000000" w14:paraId="000000C3">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4">
      <w:pPr>
        <w:spacing w:after="0" w:line="240" w:lineRule="auto"/>
        <w:ind w:left="851"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FACTURA</w:t>
      </w:r>
    </w:p>
    <w:p w:rsidR="00000000" w:rsidDel="00000000" w:rsidP="00000000" w:rsidRDefault="00000000" w:rsidRPr="00000000" w14:paraId="000000C5">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Es el documento fiscal que emite la persona física o moral para comprobar la venta o adquisición de un bien y/o servicio.” (Sic)</w:t>
      </w:r>
    </w:p>
    <w:p w:rsidR="00000000" w:rsidDel="00000000" w:rsidP="00000000" w:rsidRDefault="00000000" w:rsidRPr="00000000" w14:paraId="000000C6">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000000" w:rsidDel="00000000" w:rsidP="00000000" w:rsidRDefault="00000000" w:rsidRPr="00000000" w14:paraId="000000C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Presupuestación y Evaluación en la Administración Pública”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000000" w:rsidDel="00000000" w:rsidP="00000000" w:rsidRDefault="00000000" w:rsidRPr="00000000" w14:paraId="000000CA">
      <w:pPr>
        <w:spacing w:after="0" w:line="240" w:lineRule="auto"/>
        <w:ind w:left="850" w:right="902" w:hanging="10.999999999999943"/>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CB">
      <w:pPr>
        <w:spacing w:after="0" w:line="240" w:lineRule="auto"/>
        <w:ind w:left="850" w:right="902" w:hanging="10.999999999999943"/>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“REGISTRO CONTABLE</w:t>
      </w:r>
    </w:p>
    <w:p w:rsidR="00000000" w:rsidDel="00000000" w:rsidP="00000000" w:rsidRDefault="00000000" w:rsidRPr="00000000" w14:paraId="000000CC">
      <w:pPr>
        <w:spacing w:after="0" w:line="240" w:lineRule="auto"/>
        <w:ind w:left="850" w:right="902" w:hanging="10.99999999999994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Asiento que se realiza en los libros de contabilidad de las actividades relacionadas con el ingreso y egresos de un ente económico.”</w:t>
      </w:r>
    </w:p>
    <w:p w:rsidR="00000000" w:rsidDel="00000000" w:rsidP="00000000" w:rsidRDefault="00000000" w:rsidRPr="00000000" w14:paraId="000000CD">
      <w:pPr>
        <w:spacing w:after="0" w:line="240" w:lineRule="auto"/>
        <w:ind w:left="850" w:right="902" w:hanging="10.999999999999943"/>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“REGISTRO PRESUPUESTARIO</w:t>
      </w:r>
    </w:p>
    <w:p w:rsidR="00000000" w:rsidDel="00000000" w:rsidP="00000000" w:rsidRDefault="00000000" w:rsidRPr="00000000" w14:paraId="000000CE">
      <w:pPr>
        <w:spacing w:after="0" w:line="240" w:lineRule="auto"/>
        <w:ind w:left="850" w:right="902" w:hanging="10.999999999999943"/>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Asiento contable de las erogaciones realizadas por las dependencias y entidades con relación a la asignación, modificación y ejercicio de los recursos presupuestarios que se les hayan autorizado.”</w:t>
      </w:r>
    </w:p>
    <w:p w:rsidR="00000000" w:rsidDel="00000000" w:rsidP="00000000" w:rsidRDefault="00000000" w:rsidRPr="00000000" w14:paraId="000000CF">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rsidR="00000000" w:rsidDel="00000000" w:rsidP="00000000" w:rsidRDefault="00000000" w:rsidRPr="00000000" w14:paraId="000000D1">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se establece que el sistema de contabilidad sobre base acumulativa total se sustentará en los principios de contabilidad gubernamental.</w:t>
      </w:r>
    </w:p>
    <w:p w:rsidR="00000000" w:rsidDel="00000000" w:rsidP="00000000" w:rsidRDefault="00000000" w:rsidRPr="00000000" w14:paraId="000000D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000000" w:rsidDel="00000000" w:rsidP="00000000" w:rsidRDefault="00000000" w:rsidRPr="00000000" w14:paraId="000000D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 lo anterior, es preciso referir una definición de </w:t>
      </w:r>
      <w:r w:rsidDel="00000000" w:rsidR="00000000" w:rsidRPr="00000000">
        <w:rPr>
          <w:rFonts w:ascii="Palatino Linotype" w:cs="Palatino Linotype" w:eastAsia="Palatino Linotype" w:hAnsi="Palatino Linotype"/>
          <w:i w:val="1"/>
          <w:rtl w:val="0"/>
        </w:rPr>
        <w:t xml:space="preserve">póliza contable</w:t>
      </w:r>
      <w:r w:rsidDel="00000000" w:rsidR="00000000" w:rsidRPr="00000000">
        <w:rPr>
          <w:rFonts w:ascii="Palatino Linotype" w:cs="Palatino Linotype" w:eastAsia="Palatino Linotype" w:hAnsi="Palatino Linotype"/>
          <w:rtl w:val="0"/>
        </w:rPr>
        <w:t xml:space="preserve">, la cual, primeramente, no está definida en el Código Financiero del Estado de México y Municipios; no obstante, el ya mencionado Glosario la define como:</w:t>
      </w:r>
    </w:p>
    <w:p w:rsidR="00000000" w:rsidDel="00000000" w:rsidP="00000000" w:rsidRDefault="00000000" w:rsidRPr="00000000" w14:paraId="000000D7">
      <w:pPr>
        <w:spacing w:after="0" w:line="240" w:lineRule="auto"/>
        <w:ind w:left="862"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8">
      <w:pPr>
        <w:spacing w:after="0" w:line="240" w:lineRule="auto"/>
        <w:ind w:left="862"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PÓLIZA CONTABLE</w:t>
      </w:r>
    </w:p>
    <w:p w:rsidR="00000000" w:rsidDel="00000000" w:rsidP="00000000" w:rsidRDefault="00000000" w:rsidRPr="00000000" w14:paraId="000000D9">
      <w:pPr>
        <w:spacing w:after="0" w:line="240" w:lineRule="auto"/>
        <w:ind w:left="862"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Documento en el cual se asientan en forma individual todas y cada una de las operaciones desarrolladas por una institución, así como la información necesaria para la identificación de dichas operaciones.” </w:t>
      </w:r>
    </w:p>
    <w:p w:rsidR="00000000" w:rsidDel="00000000" w:rsidP="00000000" w:rsidRDefault="00000000" w:rsidRPr="00000000" w14:paraId="000000DA">
      <w:pPr>
        <w:spacing w:after="0" w:line="240" w:lineRule="auto"/>
        <w:ind w:left="862"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B">
      <w:pPr>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Así, se advierte que la </w:t>
      </w:r>
      <w:r w:rsidDel="00000000" w:rsidR="00000000" w:rsidRPr="00000000">
        <w:rPr>
          <w:rFonts w:ascii="Palatino Linotype" w:cs="Palatino Linotype" w:eastAsia="Palatino Linotype" w:hAnsi="Palatino Linotype"/>
          <w:i w:val="1"/>
          <w:rtl w:val="0"/>
        </w:rPr>
        <w:t xml:space="preserve">póliza contable</w:t>
      </w:r>
      <w:r w:rsidDel="00000000" w:rsidR="00000000" w:rsidRPr="00000000">
        <w:rPr>
          <w:rFonts w:ascii="Palatino Linotype" w:cs="Palatino Linotype" w:eastAsia="Palatino Linotype" w:hAnsi="Palatino Linotype"/>
          <w:rtl w:val="0"/>
        </w:rPr>
        <w:t xml:space="preserve"> constituye un registro contable y presupuestal con el que cuentan los Municipios para el registro de operaciones relacionadas con </w:t>
      </w:r>
      <w:r w:rsidDel="00000000" w:rsidR="00000000" w:rsidRPr="00000000">
        <w:rPr>
          <w:rFonts w:ascii="Palatino Linotype" w:cs="Palatino Linotype" w:eastAsia="Palatino Linotype" w:hAnsi="Palatino Linotype"/>
          <w:u w:val="single"/>
          <w:rtl w:val="0"/>
        </w:rPr>
        <w:t xml:space="preserve">ingresos y egresos</w:t>
      </w:r>
      <w:r w:rsidDel="00000000" w:rsidR="00000000" w:rsidRPr="00000000">
        <w:rPr>
          <w:rFonts w:ascii="Palatino Linotype" w:cs="Palatino Linotype" w:eastAsia="Palatino Linotype" w:hAnsi="Palatino Linotype"/>
          <w:rtl w:val="0"/>
        </w:rPr>
        <w:t xml:space="preserve"> y se anexan los documentos o comprobantes que justifiquen las anotaciones y cantidades en ellas registradas, lo que permite la identificación plena de dichas operaciones.</w:t>
      </w:r>
      <w:r w:rsidDel="00000000" w:rsidR="00000000" w:rsidRPr="00000000">
        <w:rPr>
          <w:rtl w:val="0"/>
        </w:rPr>
      </w:r>
    </w:p>
    <w:p w:rsidR="00000000" w:rsidDel="00000000" w:rsidP="00000000" w:rsidRDefault="00000000" w:rsidRPr="00000000" w14:paraId="000000D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existen diversos tipos de pólizas contables de acuerdo a las operaciones realizadas, dentro de las cuales, encontramos las </w:t>
      </w:r>
      <w:r w:rsidDel="00000000" w:rsidR="00000000" w:rsidRPr="00000000">
        <w:rPr>
          <w:rFonts w:ascii="Palatino Linotype" w:cs="Palatino Linotype" w:eastAsia="Palatino Linotype" w:hAnsi="Palatino Linotype"/>
          <w:i w:val="1"/>
          <w:rtl w:val="0"/>
        </w:rPr>
        <w:t xml:space="preserve">pólizas de egresos e ingresos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las primeras son aquellas en las cuales </w:t>
      </w:r>
      <w:r w:rsidDel="00000000" w:rsidR="00000000" w:rsidRPr="00000000">
        <w:rPr>
          <w:rFonts w:ascii="Palatino Linotype" w:cs="Palatino Linotype" w:eastAsia="Palatino Linotype" w:hAnsi="Palatino Linotype"/>
          <w:b w:val="1"/>
          <w:u w:val="single"/>
          <w:rtl w:val="0"/>
        </w:rPr>
        <w:t xml:space="preserve">se anotan diariamente las operaciones que representan gastos, es decir, salidas de dinero</w:t>
      </w:r>
      <w:r w:rsidDel="00000000" w:rsidR="00000000" w:rsidRPr="00000000">
        <w:rPr>
          <w:rFonts w:ascii="Palatino Linotype" w:cs="Palatino Linotype" w:eastAsia="Palatino Linotype" w:hAnsi="Palatino Linotype"/>
          <w:rtl w:val="0"/>
        </w:rPr>
        <w:t xml:space="preserve"> para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las que además, </w:t>
      </w:r>
      <w:r w:rsidDel="00000000" w:rsidR="00000000" w:rsidRPr="00000000">
        <w:rPr>
          <w:rFonts w:ascii="Palatino Linotype" w:cs="Palatino Linotype" w:eastAsia="Palatino Linotype" w:hAnsi="Palatino Linotype"/>
          <w:b w:val="1"/>
          <w:rtl w:val="0"/>
        </w:rPr>
        <w:t xml:space="preserve">deben encontrarse </w:t>
      </w:r>
      <w:r w:rsidDel="00000000" w:rsidR="00000000" w:rsidRPr="00000000">
        <w:rPr>
          <w:rFonts w:ascii="Palatino Linotype" w:cs="Palatino Linotype" w:eastAsia="Palatino Linotype" w:hAnsi="Palatino Linotype"/>
          <w:b w:val="1"/>
          <w:u w:val="single"/>
          <w:rtl w:val="0"/>
        </w:rPr>
        <w:t xml:space="preserve">acompañadas de las documentales que sirven de soporte de dicho movimiento</w:t>
      </w:r>
      <w:r w:rsidDel="00000000" w:rsidR="00000000" w:rsidRPr="00000000">
        <w:rPr>
          <w:rFonts w:ascii="Palatino Linotype" w:cs="Palatino Linotype" w:eastAsia="Palatino Linotype" w:hAnsi="Palatino Linotype"/>
          <w:b w:val="1"/>
          <w:rtl w:val="0"/>
        </w:rPr>
        <w:t xml:space="preserve"> como lo es la suficiencia y la requisición</w:t>
      </w:r>
      <w:r w:rsidDel="00000000" w:rsidR="00000000" w:rsidRPr="00000000">
        <w:rPr>
          <w:rFonts w:ascii="Palatino Linotype" w:cs="Palatino Linotype" w:eastAsia="Palatino Linotype" w:hAnsi="Palatino Linotype"/>
          <w:rtl w:val="0"/>
        </w:rPr>
        <w:t xml:space="preserve">, en atención a las segundas, registran todas la entradas de dinero independientemente de la modalidad, ya sea en efectivo, transferencia, cheque o pagaré, mediante la expedición de facturas.</w:t>
      </w:r>
    </w:p>
    <w:p w:rsidR="00000000" w:rsidDel="00000000" w:rsidP="00000000" w:rsidRDefault="00000000" w:rsidRPr="00000000" w14:paraId="000000D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rsidR="00000000" w:rsidDel="00000000" w:rsidP="00000000" w:rsidRDefault="00000000" w:rsidRPr="00000000" w14:paraId="000000E0">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los Lineamientos para la integración y entrega del Informe Trimestral Municipal 2023 y 2024, 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sidDel="00000000" w:rsidR="00000000" w:rsidRPr="00000000">
        <w:rPr>
          <w:rFonts w:ascii="Palatino Linotype" w:cs="Palatino Linotype" w:eastAsia="Palatino Linotype" w:hAnsi="Palatino Linotype"/>
          <w:b w:val="1"/>
          <w:i w:val="1"/>
          <w:rtl w:val="0"/>
        </w:rPr>
        <w:t xml:space="preserve">pólizas de egresos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de tal manera que, dichos formatos constituyen un soporte documental con el cual de manera enunciativa más no limitativa,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pudiera atender los requerimientos de información, para una mayor referencia se inserta la captura de pantalla del formato correspondiente al año 2024: </w:t>
      </w:r>
    </w:p>
    <w:p w:rsidR="00000000" w:rsidDel="00000000" w:rsidP="00000000" w:rsidRDefault="00000000" w:rsidRPr="00000000" w14:paraId="000000E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799477" cy="803171"/>
            <wp:effectExtent b="0" l="0" r="0" t="0"/>
            <wp:docPr id="1935668408"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4799477" cy="803171"/>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E5">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354580"/>
            <wp:effectExtent b="0" l="0" r="0" t="0"/>
            <wp:docPr id="1935668412"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5612130" cy="23545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609600</wp:posOffset>
                </wp:positionV>
                <wp:extent cx="4917054" cy="376859"/>
                <wp:effectExtent b="0" l="0" r="0" t="0"/>
                <wp:wrapNone/>
                <wp:docPr id="1935668395" name=""/>
                <a:graphic>
                  <a:graphicData uri="http://schemas.microsoft.com/office/word/2010/wordprocessingShape">
                    <wps:wsp>
                      <wps:cNvSpPr/>
                      <wps:cNvPr id="6" name="Shape 6"/>
                      <wps:spPr>
                        <a:xfrm>
                          <a:off x="2896998" y="3601096"/>
                          <a:ext cx="4898004" cy="357809"/>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609600</wp:posOffset>
                </wp:positionV>
                <wp:extent cx="4917054" cy="376859"/>
                <wp:effectExtent b="0" l="0" r="0" t="0"/>
                <wp:wrapNone/>
                <wp:docPr id="1935668395"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4917054" cy="376859"/>
                        </a:xfrm>
                        <a:prstGeom prst="rect"/>
                        <a:ln/>
                      </pic:spPr>
                    </pic:pic>
                  </a:graphicData>
                </a:graphic>
              </wp:anchor>
            </w:drawing>
          </mc:Fallback>
        </mc:AlternateContent>
      </w:r>
    </w:p>
    <w:p w:rsidR="00000000" w:rsidDel="00000000" w:rsidP="00000000" w:rsidRDefault="00000000" w:rsidRPr="00000000" w14:paraId="000000E6">
      <w:pPr>
        <w:spacing w:after="0"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303723" cy="3906853"/>
            <wp:effectExtent b="0" l="0" r="0" t="0"/>
            <wp:docPr id="193566841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4303723" cy="3906853"/>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after="0"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769519" cy="3486314"/>
            <wp:effectExtent b="0" l="0" r="0" t="0"/>
            <wp:docPr id="1935668411"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3769519" cy="3486314"/>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after="0"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540977" cy="985622"/>
            <wp:effectExtent b="0" l="0" r="0" t="0"/>
            <wp:docPr id="1935668413"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3540977" cy="985622"/>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0" w:line="360" w:lineRule="auto"/>
        <w:ind w:right="51"/>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565506" cy="2792910"/>
            <wp:effectExtent b="0" l="0" r="0" t="0"/>
            <wp:docPr id="1935668414"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3565506" cy="279291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los citados Lineamientos especifican que las imágenes contenidas deben ser indexadas de manera que se permita su vinculación con la información financiera, de tal forma que al consultar la citada información financiera se pueda visualizar el soporte documental que justifique los registros contables. </w:t>
      </w:r>
    </w:p>
    <w:p w:rsidR="00000000" w:rsidDel="00000000" w:rsidP="00000000" w:rsidRDefault="00000000" w:rsidRPr="00000000" w14:paraId="000000E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C">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conviene recordar que 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Tesorero Municipal asume que cuenta con la información, tan es así que hace entrega del Estado Comparativo Presupuestal de Egresos de los ejercicios fiscales dos mil veintitrés y dos mil veinticuatro, tal y como se advierte a continuación: </w:t>
      </w:r>
    </w:p>
    <w:p w:rsidR="00000000" w:rsidDel="00000000" w:rsidP="00000000" w:rsidRDefault="00000000" w:rsidRPr="00000000" w14:paraId="000000ED">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E">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859280"/>
            <wp:effectExtent b="0" l="0" r="0" t="0"/>
            <wp:docPr id="1935668415"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5612130" cy="18592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685800</wp:posOffset>
                </wp:positionV>
                <wp:extent cx="1805320" cy="199803"/>
                <wp:effectExtent b="0" l="0" r="0" t="0"/>
                <wp:wrapNone/>
                <wp:docPr id="1935668397" name=""/>
                <a:graphic>
                  <a:graphicData uri="http://schemas.microsoft.com/office/word/2010/wordprocessingShape">
                    <wps:wsp>
                      <wps:cNvSpPr/>
                      <wps:cNvPr id="8" name="Shape 8"/>
                      <wps:spPr>
                        <a:xfrm>
                          <a:off x="4452865" y="3689624"/>
                          <a:ext cx="1786270" cy="180753"/>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685800</wp:posOffset>
                </wp:positionV>
                <wp:extent cx="1805320" cy="199803"/>
                <wp:effectExtent b="0" l="0" r="0" t="0"/>
                <wp:wrapNone/>
                <wp:docPr id="1935668397"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1805320" cy="19980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1549400</wp:posOffset>
                </wp:positionV>
                <wp:extent cx="5610225" cy="316761"/>
                <wp:effectExtent b="0" l="0" r="0" t="0"/>
                <wp:wrapNone/>
                <wp:docPr id="1935668394" name=""/>
                <a:graphic>
                  <a:graphicData uri="http://schemas.microsoft.com/office/word/2010/wordprocessingShape">
                    <wps:wsp>
                      <wps:cNvSpPr/>
                      <wps:cNvPr id="5" name="Shape 5"/>
                      <wps:spPr>
                        <a:xfrm>
                          <a:off x="2550413" y="3631145"/>
                          <a:ext cx="5591175" cy="297711"/>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1549400</wp:posOffset>
                </wp:positionV>
                <wp:extent cx="5610225" cy="316761"/>
                <wp:effectExtent b="0" l="0" r="0" t="0"/>
                <wp:wrapNone/>
                <wp:docPr id="1935668394"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5610225" cy="316761"/>
                        </a:xfrm>
                        <a:prstGeom prst="rect"/>
                        <a:ln/>
                      </pic:spPr>
                    </pic:pic>
                  </a:graphicData>
                </a:graphic>
              </wp:anchor>
            </w:drawing>
          </mc:Fallback>
        </mc:AlternateContent>
      </w:r>
    </w:p>
    <w:p w:rsidR="00000000" w:rsidDel="00000000" w:rsidP="00000000" w:rsidRDefault="00000000" w:rsidRPr="00000000" w14:paraId="000000EF">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066925"/>
            <wp:effectExtent b="0" l="0" r="0" t="0"/>
            <wp:docPr id="1935668416"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5612130" cy="20669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685800</wp:posOffset>
                </wp:positionV>
                <wp:extent cx="1805320" cy="151765"/>
                <wp:effectExtent b="0" l="0" r="0" t="0"/>
                <wp:wrapNone/>
                <wp:docPr id="1935668393" name=""/>
                <a:graphic>
                  <a:graphicData uri="http://schemas.microsoft.com/office/word/2010/wordprocessingShape">
                    <wps:wsp>
                      <wps:cNvSpPr/>
                      <wps:cNvPr id="4" name="Shape 4"/>
                      <wps:spPr>
                        <a:xfrm>
                          <a:off x="4452865" y="3713643"/>
                          <a:ext cx="1786270" cy="132715"/>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685800</wp:posOffset>
                </wp:positionV>
                <wp:extent cx="1805320" cy="151765"/>
                <wp:effectExtent b="0" l="0" r="0" t="0"/>
                <wp:wrapNone/>
                <wp:docPr id="1935668393"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1805320" cy="1517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1739900</wp:posOffset>
                </wp:positionV>
                <wp:extent cx="5553075" cy="316761"/>
                <wp:effectExtent b="0" l="0" r="0" t="0"/>
                <wp:wrapNone/>
                <wp:docPr id="1935668396" name=""/>
                <a:graphic>
                  <a:graphicData uri="http://schemas.microsoft.com/office/word/2010/wordprocessingShape">
                    <wps:wsp>
                      <wps:cNvSpPr/>
                      <wps:cNvPr id="7" name="Shape 7"/>
                      <wps:spPr>
                        <a:xfrm>
                          <a:off x="2578988" y="3631145"/>
                          <a:ext cx="5534025" cy="297711"/>
                        </a:xfrm>
                        <a:prstGeom prst="rect">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1739900</wp:posOffset>
                </wp:positionV>
                <wp:extent cx="5553075" cy="316761"/>
                <wp:effectExtent b="0" l="0" r="0" t="0"/>
                <wp:wrapNone/>
                <wp:docPr id="1935668396"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5553075" cy="316761"/>
                        </a:xfrm>
                        <a:prstGeom prst="rect"/>
                        <a:ln/>
                      </pic:spPr>
                    </pic:pic>
                  </a:graphicData>
                </a:graphic>
              </wp:anchor>
            </w:drawing>
          </mc:Fallback>
        </mc:AlternateContent>
      </w:r>
    </w:p>
    <w:p w:rsidR="00000000" w:rsidDel="00000000" w:rsidP="00000000" w:rsidRDefault="00000000" w:rsidRPr="00000000" w14:paraId="000000F0">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de las imágenes insertadas con anterioridad únicamente se advierte el monto ejercido para dichas partidas presupuestales, no así los comprobantes de pago (cheques, recibos, transferencias, etc.) por los conceptos de Gastos de Publicidad y Propaganda; así como, las Publicaciones Oficiales y de Información en General para Difusión. </w:t>
      </w:r>
    </w:p>
    <w:p w:rsidR="00000000" w:rsidDel="00000000" w:rsidP="00000000" w:rsidRDefault="00000000" w:rsidRPr="00000000" w14:paraId="000000F2">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3">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no pasa desapercibido para este Organismo Garante de la respuesta también se advierte que proporcionó unas ligas electrónicas en formato cerrado, en donde a su decir se puede visualizar las caratulas de los Estados Comparativos de Egresos 2023 y 2024, insertando los siguientes pasos a seguir para poder visualizar dicha información:</w:t>
      </w:r>
    </w:p>
    <w:p w:rsidR="00000000" w:rsidDel="00000000" w:rsidP="00000000" w:rsidRDefault="00000000" w:rsidRPr="00000000" w14:paraId="000000F4">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5">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4218305"/>
            <wp:effectExtent b="0" l="0" r="0" t="0"/>
            <wp:docPr id="1935668417"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5612130" cy="421830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4479290"/>
            <wp:effectExtent b="0" l="0" r="0" t="0"/>
            <wp:docPr id="1935668418"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5612130" cy="447929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es preciso establecer que al proporcionar información pública es necesario que sea en un formato que no tenga ninguna restricción en el acceso o reutilización, por lo que, es necesario que los datos digitales (como ligas electrónicas), se proporcionen en un formato abierto.</w:t>
      </w:r>
    </w:p>
    <w:p w:rsidR="00000000" w:rsidDel="00000000" w:rsidP="00000000" w:rsidRDefault="00000000" w:rsidRPr="00000000" w14:paraId="000000F9">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rsidR="00000000" w:rsidDel="00000000" w:rsidP="00000000" w:rsidRDefault="00000000" w:rsidRPr="00000000" w14:paraId="000000FB">
      <w:pPr>
        <w:spacing w:after="0"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FC">
      <w:pPr>
        <w:numPr>
          <w:ilvl w:val="0"/>
          <w:numId w:val="3"/>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Dato abierto:</w:t>
      </w:r>
      <w:r w:rsidDel="00000000" w:rsidR="00000000" w:rsidRPr="00000000">
        <w:rPr>
          <w:rFonts w:ascii="Palatino Linotype" w:cs="Palatino Linotype" w:eastAsia="Palatino Linotype" w:hAnsi="Palatino Linotype"/>
          <w:rtl w:val="0"/>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000000" w:rsidDel="00000000" w:rsidP="00000000" w:rsidRDefault="00000000" w:rsidRPr="00000000" w14:paraId="000000FD">
      <w:pPr>
        <w:spacing w:after="0"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FE">
      <w:pPr>
        <w:numPr>
          <w:ilvl w:val="0"/>
          <w:numId w:val="3"/>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Formato accesible:</w:t>
      </w:r>
      <w:r w:rsidDel="00000000" w:rsidR="00000000" w:rsidRPr="00000000">
        <w:rPr>
          <w:rFonts w:ascii="Palatino Linotype" w:cs="Palatino Linotype" w:eastAsia="Palatino Linotype" w:hAnsi="Palatino Linotype"/>
          <w:rtl w:val="0"/>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000000" w:rsidDel="00000000" w:rsidP="00000000" w:rsidRDefault="00000000" w:rsidRPr="00000000" w14:paraId="000000FF">
      <w:pPr>
        <w:spacing w:after="0"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0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considera que en el caso de que la información peticionada obre en ligas electrónicas,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privilegiar la entrega de estas, en datos abiertos, es decir, en un formato que permita la accesibilidad y facilidad a las personas Particulares, para obtener la información contenida estas.</w:t>
      </w:r>
    </w:p>
    <w:p w:rsidR="00000000" w:rsidDel="00000000" w:rsidP="00000000" w:rsidRDefault="00000000" w:rsidRPr="00000000" w14:paraId="00000101">
      <w:pPr>
        <w:spacing w:after="0"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0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rsidR="00000000" w:rsidDel="00000000" w:rsidP="00000000" w:rsidRDefault="00000000" w:rsidRPr="00000000" w14:paraId="00000103">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Cómo se logra observar,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si bien señaló ligas electrónicas, omitió proporcionarle en formato abierto, lo cual implica la dificultad de acceder a la misma, pues se traduce al hecho de que la parte Recurrente tendría que colocar cada dígito alfanumérico, y cuya equivocación implicaría no acceder a la información contenida en las mismas; </w:t>
      </w:r>
      <w:r w:rsidDel="00000000" w:rsidR="00000000" w:rsidRPr="00000000">
        <w:rPr>
          <w:rFonts w:ascii="Palatino Linotype" w:cs="Palatino Linotype" w:eastAsia="Palatino Linotype" w:hAnsi="Palatino Linotype"/>
          <w:b w:val="1"/>
          <w:rtl w:val="0"/>
        </w:rPr>
        <w:t xml:space="preserve">por tanto, se advierte que las ligas no satisfacen los requerimientos de información. </w:t>
      </w:r>
      <w:r w:rsidDel="00000000" w:rsidR="00000000" w:rsidRPr="00000000">
        <w:rPr>
          <w:rFonts w:ascii="Palatino Linotype" w:cs="Palatino Linotype" w:eastAsia="Palatino Linotype" w:hAnsi="Palatino Linotype"/>
          <w:rtl w:val="0"/>
        </w:rPr>
        <w:t xml:space="preserve">Sin embargo, aunque estuvieran en dato abierto, las caratulas como ya se analizó, no colman el derecho de acceso a la información de la parte Recurrente. </w:t>
      </w:r>
    </w:p>
    <w:p w:rsidR="00000000" w:rsidDel="00000000" w:rsidP="00000000" w:rsidRDefault="00000000" w:rsidRPr="00000000" w14:paraId="0000010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fundados, siendo procedente </w:t>
      </w:r>
      <w:r w:rsidDel="00000000" w:rsidR="00000000" w:rsidRPr="00000000">
        <w:rPr>
          <w:rFonts w:ascii="Palatino Linotype" w:cs="Palatino Linotype" w:eastAsia="Palatino Linotype" w:hAnsi="Palatino Linotype"/>
          <w:i w:val="1"/>
          <w:rtl w:val="0"/>
        </w:rPr>
        <w:t xml:space="preserve">Revocar </w:t>
      </w:r>
      <w:r w:rsidDel="00000000" w:rsidR="00000000" w:rsidRPr="00000000">
        <w:rPr>
          <w:rFonts w:ascii="Palatino Linotype" w:cs="Palatino Linotype" w:eastAsia="Palatino Linotype" w:hAnsi="Palatino Linotype"/>
          <w:rtl w:val="0"/>
        </w:rPr>
        <w:t xml:space="preserve">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 y ordenar la entrega de los comprobantes de pago de las partidas presupuestales 3611 “Gastos de publicidad y propaganda” y 3612 “Publicaciones oficiales y de información en general para difusión“, generados del primero de enero de dos mil veintitrés al treinta y uno de diciembre de dos mil veinticuatro, de ser procedente en versión pública. </w:t>
      </w:r>
    </w:p>
    <w:p w:rsidR="00000000" w:rsidDel="00000000" w:rsidP="00000000" w:rsidRDefault="00000000" w:rsidRPr="00000000" w14:paraId="0000010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8">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Como fue debidamente apuntado,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000000" w:rsidDel="00000000" w:rsidP="00000000" w:rsidRDefault="00000000" w:rsidRPr="00000000" w14:paraId="00000109">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000000" w:rsidDel="00000000" w:rsidP="00000000" w:rsidRDefault="00000000" w:rsidRPr="00000000" w14:paraId="0000010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000000" w:rsidDel="00000000" w:rsidP="00000000" w:rsidRDefault="00000000" w:rsidRPr="00000000" w14:paraId="0000010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los artículos 3, fracciones IX, XX, XXI, XXXII, XLV; 6, 91, 132, 137, 143, fracción I, de la Ley de Transparencia y Acceso a la Información Pública del Estado de México y Municipios establecen:</w:t>
      </w:r>
    </w:p>
    <w:p w:rsidR="00000000" w:rsidDel="00000000" w:rsidP="00000000" w:rsidRDefault="00000000" w:rsidRPr="00000000" w14:paraId="0000010F">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10">
      <w:pPr>
        <w:tabs>
          <w:tab w:val="left" w:leader="none" w:pos="1276"/>
        </w:tabs>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1">
      <w:pPr>
        <w:tabs>
          <w:tab w:val="left" w:leader="none" w:pos="1276"/>
        </w:tabs>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 Datos personales</w:t>
      </w:r>
      <w:r w:rsidDel="00000000" w:rsidR="00000000" w:rsidRPr="00000000">
        <w:rPr>
          <w:rFonts w:ascii="Palatino Linotype" w:cs="Palatino Linotype" w:eastAsia="Palatino Linotype" w:hAnsi="Palatino Linotype"/>
          <w:i w:val="1"/>
          <w:rtl w:val="0"/>
        </w:rPr>
        <w:t xml:space="preserve">: La información concerniente a una persona, identificada o identificable según lo dispuesto por la Ley de Protección de Datos Personales del Estado de México;</w:t>
      </w:r>
    </w:p>
    <w:p w:rsidR="00000000" w:rsidDel="00000000" w:rsidP="00000000" w:rsidRDefault="00000000" w:rsidRPr="00000000" w14:paraId="00000112">
      <w:pPr>
        <w:tabs>
          <w:tab w:val="left" w:leader="none" w:pos="1276"/>
        </w:tabs>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3">
      <w:pPr>
        <w:tabs>
          <w:tab w:val="left" w:leader="none" w:pos="1276"/>
        </w:tabs>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 Información clasificada</w:t>
      </w:r>
      <w:r w:rsidDel="00000000" w:rsidR="00000000" w:rsidRPr="00000000">
        <w:rPr>
          <w:rFonts w:ascii="Palatino Linotype" w:cs="Palatino Linotype" w:eastAsia="Palatino Linotype" w:hAnsi="Palatino Linotype"/>
          <w:i w:val="1"/>
          <w:rtl w:val="0"/>
        </w:rPr>
        <w:t xml:space="preserve">: Aquella considerada por la presente Ley como reservada o confidencial;</w:t>
      </w:r>
    </w:p>
    <w:p w:rsidR="00000000" w:rsidDel="00000000" w:rsidP="00000000" w:rsidRDefault="00000000" w:rsidRPr="00000000" w14:paraId="00000114">
      <w:pPr>
        <w:tabs>
          <w:tab w:val="left" w:leader="none" w:pos="1276"/>
        </w:tabs>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XXI. Información confidencial</w:t>
      </w:r>
      <w:r w:rsidDel="00000000" w:rsidR="00000000" w:rsidRPr="00000000">
        <w:rPr>
          <w:rFonts w:ascii="Palatino Linotype" w:cs="Palatino Linotype" w:eastAsia="Palatino Linotype" w:hAnsi="Palatino Linotype"/>
          <w:i w:val="1"/>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15">
      <w:pPr>
        <w:tabs>
          <w:tab w:val="left" w:leader="none" w:pos="1276"/>
        </w:tabs>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6">
      <w:pPr>
        <w:tabs>
          <w:tab w:val="left" w:leader="none" w:pos="1276"/>
        </w:tabs>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XXXII. Protección de Datos Personales</w:t>
      </w:r>
      <w:r w:rsidDel="00000000" w:rsidR="00000000" w:rsidRPr="00000000">
        <w:rPr>
          <w:rFonts w:ascii="Palatino Linotype" w:cs="Palatino Linotype" w:eastAsia="Palatino Linotype" w:hAnsi="Palatino Linotype"/>
          <w:i w:val="1"/>
          <w:rtl w:val="0"/>
        </w:rPr>
        <w:t xml:space="preserve">: Derecho humano que tutela la privacidad de datos personales en poder de los sujetos obligados y sujetos particulares;</w:t>
      </w:r>
    </w:p>
    <w:p w:rsidR="00000000" w:rsidDel="00000000" w:rsidP="00000000" w:rsidRDefault="00000000" w:rsidRPr="00000000" w14:paraId="00000117">
      <w:pPr>
        <w:tabs>
          <w:tab w:val="left" w:leader="none" w:pos="1276"/>
        </w:tabs>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8">
      <w:pPr>
        <w:tabs>
          <w:tab w:val="left" w:leader="none" w:pos="1276"/>
        </w:tabs>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XLV. Versión pública</w:t>
      </w:r>
      <w:r w:rsidDel="00000000" w:rsidR="00000000" w:rsidRPr="00000000">
        <w:rPr>
          <w:rFonts w:ascii="Palatino Linotype" w:cs="Palatino Linotype" w:eastAsia="Palatino Linotype" w:hAnsi="Palatino Linotype"/>
          <w:i w:val="1"/>
          <w:rtl w:val="0"/>
        </w:rPr>
        <w:t xml:space="preserve">: Documento en el que se elimine, suprime o borra la información clasificada como reservada o confidencial para permitir su acceso.</w:t>
      </w:r>
    </w:p>
    <w:p w:rsidR="00000000" w:rsidDel="00000000" w:rsidP="00000000" w:rsidRDefault="00000000" w:rsidRPr="00000000" w14:paraId="00000119">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 Artículo 6</w:t>
      </w:r>
      <w:r w:rsidDel="00000000" w:rsidR="00000000" w:rsidRPr="00000000">
        <w:rPr>
          <w:rFonts w:ascii="Palatino Linotype" w:cs="Palatino Linotype" w:eastAsia="Palatino Linotype" w:hAnsi="Palatino Linotype"/>
          <w:i w:val="1"/>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1A">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B">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br w:type="textWrapping"/>
        <w:t xml:space="preserve">…</w:t>
      </w:r>
    </w:p>
    <w:p w:rsidR="00000000" w:rsidDel="00000000" w:rsidP="00000000" w:rsidRDefault="00000000" w:rsidRPr="00000000" w14:paraId="0000011C">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1D">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reciba una solicitud de acceso a la información;</w:t>
      </w:r>
    </w:p>
    <w:p w:rsidR="00000000" w:rsidDel="00000000" w:rsidP="00000000" w:rsidRDefault="00000000" w:rsidRPr="00000000" w14:paraId="0000011E">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Se determine mediante resolución de autoridad competente; o</w:t>
      </w:r>
    </w:p>
    <w:p w:rsidR="00000000" w:rsidDel="00000000" w:rsidP="00000000" w:rsidRDefault="00000000" w:rsidRPr="00000000" w14:paraId="0000011F">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Se generen versiones públicas para dar cumplimiento a las obligaciones de transparencia previstas en esta Ley.</w:t>
      </w:r>
    </w:p>
    <w:p w:rsidR="00000000" w:rsidDel="00000000" w:rsidP="00000000" w:rsidRDefault="00000000" w:rsidRPr="00000000" w14:paraId="00000120">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121">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137.</w:t>
      </w:r>
      <w:r w:rsidDel="00000000" w:rsidR="00000000" w:rsidRPr="00000000">
        <w:rPr>
          <w:rFonts w:ascii="Palatino Linotype" w:cs="Palatino Linotype" w:eastAsia="Palatino Linotype" w:hAnsi="Palatino Linotype"/>
          <w:i w:val="1"/>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22">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 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23">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124">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5">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000000" w:rsidDel="00000000" w:rsidP="00000000" w:rsidRDefault="00000000" w:rsidRPr="00000000" w14:paraId="00000126">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7">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28">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rsidR="00000000" w:rsidDel="00000000" w:rsidP="00000000" w:rsidRDefault="00000000" w:rsidRPr="00000000" w14:paraId="0000012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w:t>
      </w:r>
      <w:r w:rsidDel="00000000" w:rsidR="00000000" w:rsidRPr="00000000">
        <w:rPr>
          <w:rFonts w:ascii="Palatino Linotype" w:cs="Palatino Linotype" w:eastAsia="Palatino Linotype" w:hAnsi="Palatino Linotype"/>
          <w:b w:val="1"/>
          <w:rtl w:val="0"/>
        </w:rPr>
        <w:t xml:space="preserve">clave de elector</w:t>
      </w:r>
      <w:r w:rsidDel="00000000" w:rsidR="00000000" w:rsidRPr="00000000">
        <w:rPr>
          <w:rFonts w:ascii="Palatino Linotype" w:cs="Palatino Linotype" w:eastAsia="Palatino Linotype" w:hAnsi="Palatino Linotype"/>
          <w:rtl w:val="0"/>
        </w:rPr>
        <w:t xml:space="preserve">,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rsidR="00000000" w:rsidDel="00000000" w:rsidP="00000000" w:rsidRDefault="00000000" w:rsidRPr="00000000" w14:paraId="0000012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número de OCR,</w:t>
      </w:r>
      <w:r w:rsidDel="00000000" w:rsidR="00000000" w:rsidRPr="00000000">
        <w:rPr>
          <w:rFonts w:ascii="Palatino Linotype" w:cs="Palatino Linotype" w:eastAsia="Palatino Linotype" w:hAnsi="Palatino Linotype"/>
          <w:rtl w:val="0"/>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rsidR="00000000" w:rsidDel="00000000" w:rsidP="00000000" w:rsidRDefault="00000000" w:rsidRPr="00000000" w14:paraId="0000012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w:t>
      </w:r>
      <w:r w:rsidDel="00000000" w:rsidR="00000000" w:rsidRPr="00000000">
        <w:rPr>
          <w:rFonts w:ascii="Palatino Linotype" w:cs="Palatino Linotype" w:eastAsia="Palatino Linotype" w:hAnsi="Palatino Linotype"/>
          <w:b w:val="1"/>
          <w:rtl w:val="0"/>
        </w:rPr>
        <w:t xml:space="preserve">clave única del registro de población,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rsidR="00000000" w:rsidDel="00000000" w:rsidP="00000000" w:rsidRDefault="00000000" w:rsidRPr="00000000" w14:paraId="0000013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resulta importante destacar que el </w:t>
      </w:r>
      <w:r w:rsidDel="00000000" w:rsidR="00000000" w:rsidRPr="00000000">
        <w:rPr>
          <w:rFonts w:ascii="Palatino Linotype" w:cs="Palatino Linotype" w:eastAsia="Palatino Linotype" w:hAnsi="Palatino Linotype"/>
          <w:i w:val="1"/>
          <w:rtl w:val="0"/>
        </w:rPr>
        <w:t xml:space="preserve">número de cuenta bancaria</w:t>
      </w:r>
      <w:r w:rsidDel="00000000" w:rsidR="00000000" w:rsidRPr="00000000">
        <w:rPr>
          <w:rFonts w:ascii="Palatino Linotype" w:cs="Palatino Linotype" w:eastAsia="Palatino Linotype" w:hAnsi="Palatino Linotype"/>
          <w:rtl w:val="0"/>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132">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3">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000000" w:rsidDel="00000000" w:rsidP="00000000" w:rsidRDefault="00000000" w:rsidRPr="00000000" w14:paraId="00000134">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5">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000000" w:rsidDel="00000000" w:rsidP="00000000" w:rsidRDefault="00000000" w:rsidRPr="00000000" w14:paraId="00000136">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7">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virtud, este Pleno determina que dicha información no puede ser del dominio público, toda vez que se podría dar un uso inadecuado a la misma o cometer algún ilícito o fraude como ya ha sido expuesto. </w:t>
      </w:r>
    </w:p>
    <w:p w:rsidR="00000000" w:rsidDel="00000000" w:rsidP="00000000" w:rsidRDefault="00000000" w:rsidRPr="00000000" w14:paraId="00000138">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9">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esta razón que se debe omitir el o los números de cuentas bancarias de particulares en las versiones públicas que de las facturas se hagan, para ser entregadas.</w:t>
      </w:r>
    </w:p>
    <w:p w:rsidR="00000000" w:rsidDel="00000000" w:rsidP="00000000" w:rsidRDefault="00000000" w:rsidRPr="00000000" w14:paraId="0000013A">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B">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13C">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D">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argumentado encuentra sustento en los criterios 10/17 y 11/17 emitidos por el Instituto Nacional de Transparencia, Acceso a la Información y Protección de Datos Personales, INAI, que llevan por rubro y texto los siguientes:</w:t>
      </w:r>
    </w:p>
    <w:p w:rsidR="00000000" w:rsidDel="00000000" w:rsidP="00000000" w:rsidRDefault="00000000" w:rsidRPr="00000000" w14:paraId="0000013E">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13F">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00000" w:rsidDel="00000000" w:rsidP="00000000" w:rsidRDefault="00000000" w:rsidRPr="00000000" w14:paraId="00000140">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1">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al </w:t>
      </w:r>
      <w:r w:rsidDel="00000000" w:rsidR="00000000" w:rsidRPr="00000000">
        <w:rPr>
          <w:rFonts w:ascii="Palatino Linotype" w:cs="Palatino Linotype" w:eastAsia="Palatino Linotype" w:hAnsi="Palatino Linotype"/>
          <w:b w:val="1"/>
          <w:rtl w:val="0"/>
        </w:rPr>
        <w:t xml:space="preserve">Registro Federal de Contribuyentes (RFC)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el domicilio fiscal </w:t>
      </w:r>
      <w:r w:rsidDel="00000000" w:rsidR="00000000" w:rsidRPr="00000000">
        <w:rPr>
          <w:rFonts w:ascii="Palatino Linotype" w:cs="Palatino Linotype" w:eastAsia="Palatino Linotype" w:hAnsi="Palatino Linotype"/>
          <w:rtl w:val="0"/>
        </w:rPr>
        <w:t xml:space="preserve">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000000" w:rsidDel="00000000" w:rsidP="00000000" w:rsidRDefault="00000000" w:rsidRPr="00000000" w14:paraId="00000142">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3">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000000" w:rsidDel="00000000" w:rsidP="00000000" w:rsidRDefault="00000000" w:rsidRPr="00000000" w14:paraId="00000144">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5">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Del="00000000" w:rsidR="00000000" w:rsidRPr="00000000">
        <w:rPr>
          <w:rFonts w:ascii="Palatino Linotype" w:cs="Palatino Linotype" w:eastAsia="Palatino Linotype" w:hAnsi="Palatino Linotype"/>
          <w:b w:val="1"/>
          <w:rtl w:val="0"/>
        </w:rPr>
        <w:t xml:space="preserve">no puede considerarse como información clasificada lo relativo a su nombre, registro federal de contribuyentes y domicilio fiscal</w:t>
      </w:r>
      <w:r w:rsidDel="00000000" w:rsidR="00000000" w:rsidRPr="00000000">
        <w:rPr>
          <w:rFonts w:ascii="Palatino Linotype" w:cs="Palatino Linotype" w:eastAsia="Palatino Linotype" w:hAnsi="Palatino Linotype"/>
          <w:rtl w:val="0"/>
        </w:rPr>
        <w:t xml:space="preserve">, atento a que dicha información es la que puede generar certeza en los gobernados en que se está ejerciendo debidamente el presupuesto.</w:t>
      </w:r>
    </w:p>
    <w:p w:rsidR="00000000" w:rsidDel="00000000" w:rsidP="00000000" w:rsidRDefault="00000000" w:rsidRPr="00000000" w14:paraId="00000146">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Robustece lo anterior el criterio orientador 04/21 emitido por el Instituto Nacional de Transparencia, Acceso a la Información y Protección de Datos Personales, INAI, el cual refiere:</w:t>
      </w:r>
    </w:p>
    <w:p w:rsidR="00000000" w:rsidDel="00000000" w:rsidP="00000000" w:rsidRDefault="00000000" w:rsidRPr="00000000" w14:paraId="00000148">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“Registro Federal de Contribuyentes (RFC) de personas físicas proveedoras o contratistas. </w:t>
      </w:r>
      <w:r w:rsidDel="00000000" w:rsidR="00000000" w:rsidRPr="00000000">
        <w:rPr>
          <w:rFonts w:ascii="Palatino Linotype" w:cs="Palatino Linotype" w:eastAsia="Palatino Linotype" w:hAnsi="Palatino Linotype"/>
          <w:i w:val="1"/>
          <w:rtl w:val="0"/>
        </w:rPr>
        <w:t xml:space="preserve">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rsidR="00000000" w:rsidDel="00000000" w:rsidP="00000000" w:rsidRDefault="00000000" w:rsidRPr="00000000" w14:paraId="00000149">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Relacionado con lo anterior, el </w:t>
      </w:r>
      <w:r w:rsidDel="00000000" w:rsidR="00000000" w:rsidRPr="00000000">
        <w:rPr>
          <w:rFonts w:ascii="Palatino Linotype" w:cs="Palatino Linotype" w:eastAsia="Palatino Linotype" w:hAnsi="Palatino Linotype"/>
          <w:b w:val="1"/>
          <w:rtl w:val="0"/>
        </w:rPr>
        <w:t xml:space="preserve">nombre de las personas físicas</w:t>
      </w:r>
      <w:r w:rsidDel="00000000" w:rsidR="00000000" w:rsidRPr="00000000">
        <w:rPr>
          <w:rFonts w:ascii="Palatino Linotype" w:cs="Palatino Linotype" w:eastAsia="Palatino Linotype" w:hAnsi="Palatino Linotype"/>
          <w:rtl w:val="0"/>
        </w:rPr>
        <w:t xml:space="preserve"> o los </w:t>
      </w:r>
      <w:r w:rsidDel="00000000" w:rsidR="00000000" w:rsidRPr="00000000">
        <w:rPr>
          <w:rFonts w:ascii="Palatino Linotype" w:cs="Palatino Linotype" w:eastAsia="Palatino Linotype" w:hAnsi="Palatino Linotype"/>
          <w:b w:val="1"/>
          <w:rtl w:val="0"/>
        </w:rPr>
        <w:t xml:space="preserve">representantes legales de las personas morales</w:t>
      </w:r>
      <w:r w:rsidDel="00000000" w:rsidR="00000000" w:rsidRPr="00000000">
        <w:rPr>
          <w:rFonts w:ascii="Palatino Linotype" w:cs="Palatino Linotype" w:eastAsia="Palatino Linotype" w:hAnsi="Palatino Linotype"/>
          <w:rtl w:val="0"/>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000000" w:rsidDel="00000000" w:rsidP="00000000" w:rsidRDefault="00000000" w:rsidRPr="00000000" w14:paraId="0000014A">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B">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Argumentación que guarda sustento en lo estipulado por el artículo 23 de la Ley de Transparencia y Acceso a la Información Pública del Estado de México y Municipios en su penúltimo párrafo, mismo que es del tenor literal siguiente:</w:t>
      </w:r>
    </w:p>
    <w:p w:rsidR="00000000" w:rsidDel="00000000" w:rsidP="00000000" w:rsidRDefault="00000000" w:rsidRPr="00000000" w14:paraId="0000014C">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D">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23.</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4E">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14F">
      <w:pPr>
        <w:spacing w:after="0" w:line="240"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aplicable el contenido del criterio de interpretación 01/19 emitido por el entonces Instituto Nacional de Transparencia, Acceso a la Información, y Protección de Datos Personales, que lleva por rubro y texto los siguientes: </w:t>
      </w:r>
    </w:p>
    <w:p w:rsidR="00000000" w:rsidDel="00000000" w:rsidP="00000000" w:rsidRDefault="00000000" w:rsidRPr="00000000" w14:paraId="00000151">
      <w:pPr>
        <w:spacing w:after="0" w:line="240" w:lineRule="auto"/>
        <w:ind w:left="851" w:right="616"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52">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“Datos de identificación del representante o apoderado legal.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Naturaleza jurídica. </w:t>
      </w:r>
      <w:r w:rsidDel="00000000" w:rsidR="00000000" w:rsidRPr="00000000">
        <w:rPr>
          <w:rFonts w:ascii="Palatino Linotype" w:cs="Palatino Linotype" w:eastAsia="Palatino Linotype" w:hAnsi="Palatino Linotype"/>
          <w:i w:val="1"/>
          <w:rtl w:val="0"/>
        </w:rPr>
        <w:t xml:space="preserve">El nombre, la firma y la rúbrica de una persona física, que actúe como representante o apoderado legal de un tercero que haya celebrado un acto jurídico, con algún sujeto obligado, </w:t>
      </w:r>
      <w:r w:rsidDel="00000000" w:rsidR="00000000" w:rsidRPr="00000000">
        <w:rPr>
          <w:rFonts w:ascii="Palatino Linotype" w:cs="Palatino Linotype" w:eastAsia="Palatino Linotype" w:hAnsi="Palatino Linotype"/>
          <w:b w:val="1"/>
          <w:i w:val="1"/>
          <w:rtl w:val="0"/>
        </w:rPr>
        <w:t xml:space="preserve">es información pública, en razón de que tales datos fueron proporcionados con el objeto de expresar el consentimiento obligacional del tercero y otorgar validez a dicho instrumento jurídico</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3">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4">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55">
      <w:pPr>
        <w:spacing w:after="0" w:line="240" w:lineRule="auto"/>
        <w:ind w:left="851" w:right="902"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56">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Los Comités de Transparencia</w:t>
      </w:r>
      <w:r w:rsidDel="00000000" w:rsidR="00000000" w:rsidRPr="00000000">
        <w:rPr>
          <w:rFonts w:ascii="Palatino Linotype" w:cs="Palatino Linotype" w:eastAsia="Palatino Linotype" w:hAnsi="Palatino Linotype"/>
          <w:i w:val="1"/>
          <w:rtl w:val="0"/>
        </w:rPr>
        <w:t xml:space="preserve"> tendrán las siguientes atribuciones:</w:t>
      </w:r>
    </w:p>
    <w:p w:rsidR="00000000" w:rsidDel="00000000" w:rsidP="00000000" w:rsidRDefault="00000000" w:rsidRPr="00000000" w14:paraId="00000157">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8">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53.</w:t>
      </w:r>
      <w:r w:rsidDel="00000000" w:rsidR="00000000" w:rsidRPr="00000000">
        <w:rPr>
          <w:rFonts w:ascii="Palatino Linotype" w:cs="Palatino Linotype" w:eastAsia="Palatino Linotype" w:hAnsi="Palatino Linotype"/>
          <w:i w:val="1"/>
          <w:rtl w:val="0"/>
        </w:rPr>
        <w:t xml:space="preserve"> Las </w:t>
      </w:r>
      <w:r w:rsidDel="00000000" w:rsidR="00000000" w:rsidRPr="00000000">
        <w:rPr>
          <w:rFonts w:ascii="Palatino Linotype" w:cs="Palatino Linotype" w:eastAsia="Palatino Linotype" w:hAnsi="Palatino Linotype"/>
          <w:b w:val="1"/>
          <w:i w:val="1"/>
          <w:rtl w:val="0"/>
        </w:rPr>
        <w:t xml:space="preserve">Unidades de Transparencia</w:t>
      </w:r>
      <w:r w:rsidDel="00000000" w:rsidR="00000000" w:rsidRPr="00000000">
        <w:rPr>
          <w:rFonts w:ascii="Palatino Linotype" w:cs="Palatino Linotype" w:eastAsia="Palatino Linotype" w:hAnsi="Palatino Linotype"/>
          <w:i w:val="1"/>
          <w:rtl w:val="0"/>
        </w:rPr>
        <w:t xml:space="preserve"> tendrán las siguientes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9">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5A">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Los </w:t>
      </w:r>
      <w:r w:rsidDel="00000000" w:rsidR="00000000" w:rsidRPr="00000000">
        <w:rPr>
          <w:rFonts w:ascii="Palatino Linotype" w:cs="Palatino Linotype" w:eastAsia="Palatino Linotype" w:hAnsi="Palatino Linotype"/>
          <w:b w:val="1"/>
          <w:i w:val="1"/>
          <w:rtl w:val="0"/>
        </w:rPr>
        <w:t xml:space="preserve">servidores públicos habilitados</w:t>
      </w:r>
      <w:r w:rsidDel="00000000" w:rsidR="00000000" w:rsidRPr="00000000">
        <w:rPr>
          <w:rFonts w:ascii="Palatino Linotype" w:cs="Palatino Linotype" w:eastAsia="Palatino Linotype" w:hAnsi="Palatino Linotype"/>
          <w:i w:val="1"/>
          <w:rtl w:val="0"/>
        </w:rPr>
        <w:t xml:space="preserve"> tendrán las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 siguientes:</w:t>
      </w:r>
    </w:p>
    <w:p w:rsidR="00000000" w:rsidDel="00000000" w:rsidP="00000000" w:rsidRDefault="00000000" w:rsidRPr="00000000" w14:paraId="0000015B">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rtl w:val="0"/>
        </w:rPr>
        <w:t xml:space="preserve">, la cual tendrá los fundamentos y argumentos en que se basa dicha propuesta…”</w:t>
      </w:r>
    </w:p>
    <w:p w:rsidR="00000000" w:rsidDel="00000000" w:rsidP="00000000" w:rsidRDefault="00000000" w:rsidRPr="00000000" w14:paraId="0000015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5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60">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149.</w:t>
      </w:r>
      <w:r w:rsidDel="00000000" w:rsidR="00000000" w:rsidRPr="00000000">
        <w:rPr>
          <w:rFonts w:ascii="Palatino Linotype" w:cs="Palatino Linotype" w:eastAsia="Palatino Linotype" w:hAnsi="Palatino Linotype"/>
          <w:i w:val="1"/>
          <w:rtl w:val="0"/>
        </w:rPr>
        <w:t xml:space="preserve"> El </w:t>
      </w:r>
      <w:r w:rsidDel="00000000" w:rsidR="00000000" w:rsidRPr="00000000">
        <w:rPr>
          <w:rFonts w:ascii="Palatino Linotype" w:cs="Palatino Linotype" w:eastAsia="Palatino Linotype" w:hAnsi="Palatino Linotype"/>
          <w:b w:val="1"/>
          <w:i w:val="1"/>
          <w:rtl w:val="0"/>
        </w:rPr>
        <w:t xml:space="preserve">acuerdo que clasifique la información como confidencial</w:t>
      </w:r>
      <w:r w:rsidDel="00000000" w:rsidR="00000000" w:rsidRPr="00000000">
        <w:rPr>
          <w:rFonts w:ascii="Palatino Linotype" w:cs="Palatino Linotype" w:eastAsia="Palatino Linotype" w:hAnsi="Palatino Linotype"/>
          <w:i w:val="1"/>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161">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000000" w:rsidDel="00000000" w:rsidP="00000000" w:rsidRDefault="00000000" w:rsidRPr="00000000" w14:paraId="00000163">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cabe señalar que 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emitir el acuerdo de clasificación de información debidamente fundado y motivado, en términos los Lineamientos Segundo, fracción XVIII, y del Cuarto al Décimo Primero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165">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Segundo.-</w:t>
      </w:r>
      <w:r w:rsidDel="00000000" w:rsidR="00000000" w:rsidRPr="00000000">
        <w:rPr>
          <w:rFonts w:ascii="Palatino Linotype" w:cs="Palatino Linotype" w:eastAsia="Palatino Linotype" w:hAnsi="Palatino Linotype"/>
          <w:i w:val="1"/>
          <w:rtl w:val="0"/>
        </w:rPr>
        <w:t xml:space="preserve"> Para efectos de los presentes Lineamientos Generales, se entenderá por:</w:t>
      </w:r>
    </w:p>
    <w:p w:rsidR="00000000" w:rsidDel="00000000" w:rsidP="00000000" w:rsidRDefault="00000000" w:rsidRPr="00000000" w14:paraId="00000166">
      <w:pPr>
        <w:tabs>
          <w:tab w:val="left" w:leader="none" w:pos="8222"/>
        </w:tabs>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Versión pública:</w:t>
      </w:r>
      <w:r w:rsidDel="00000000" w:rsidR="00000000" w:rsidRPr="00000000">
        <w:rPr>
          <w:rFonts w:ascii="Palatino Linotype" w:cs="Palatino Linotype" w:eastAsia="Palatino Linotype" w:hAnsi="Palatino Linotype"/>
          <w:i w:val="1"/>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rtl w:val="0"/>
        </w:rPr>
        <w:t xml:space="preserve">fundando y motivando 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reserva o confidencialidad</w:t>
      </w:r>
      <w:r w:rsidDel="00000000" w:rsidR="00000000" w:rsidRPr="00000000">
        <w:rPr>
          <w:rFonts w:ascii="Palatino Linotype" w:cs="Palatino Linotype" w:eastAsia="Palatino Linotype" w:hAnsi="Palatino Linotype"/>
          <w:i w:val="1"/>
          <w:rtl w:val="0"/>
        </w:rPr>
        <w:t xml:space="preserve">, a través de la resolución que para tal efecto emita el Comité de Transparencia.</w:t>
      </w:r>
    </w:p>
    <w:p w:rsidR="00000000" w:rsidDel="00000000" w:rsidP="00000000" w:rsidRDefault="00000000" w:rsidRPr="00000000" w14:paraId="00000167">
      <w:pPr>
        <w:tabs>
          <w:tab w:val="left" w:leader="none" w:pos="8222"/>
        </w:tabs>
        <w:spacing w:after="0" w:line="240" w:lineRule="auto"/>
        <w:ind w:left="851"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168">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Cuarto.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Para clasificar la información 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reservada 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69">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6A">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Quinto.</w:t>
      </w:r>
      <w:r w:rsidDel="00000000" w:rsidR="00000000" w:rsidRPr="00000000">
        <w:rPr>
          <w:rFonts w:ascii="Palatino Linotype" w:cs="Palatino Linotype" w:eastAsia="Palatino Linotype" w:hAnsi="Palatino Linotype"/>
          <w:i w:val="1"/>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6B">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Sexto.</w:t>
      </w:r>
      <w:r w:rsidDel="00000000" w:rsidR="00000000" w:rsidRPr="00000000">
        <w:rPr>
          <w:rFonts w:ascii="Palatino Linotype" w:cs="Palatino Linotype" w:eastAsia="Palatino Linotype" w:hAnsi="Palatino Linotype"/>
          <w:i w:val="1"/>
          <w:rtl w:val="0"/>
        </w:rPr>
        <w:t xml:space="preserve"> Se deroga.</w:t>
      </w:r>
    </w:p>
    <w:p w:rsidR="00000000" w:rsidDel="00000000" w:rsidP="00000000" w:rsidRDefault="00000000" w:rsidRPr="00000000" w14:paraId="0000016C">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Séptimo.</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6D">
      <w:pPr>
        <w:tabs>
          <w:tab w:val="left" w:leader="none" w:pos="8222"/>
        </w:tabs>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reciba una solicitud de acceso a la información;</w:t>
      </w:r>
    </w:p>
    <w:p w:rsidR="00000000" w:rsidDel="00000000" w:rsidP="00000000" w:rsidRDefault="00000000" w:rsidRPr="00000000" w14:paraId="0000016E">
      <w:pPr>
        <w:tabs>
          <w:tab w:val="left" w:leader="none" w:pos="8222"/>
        </w:tabs>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Se determine mediante resolución del Comité de Transparencia, el órgano garante competente, o en cumplimiento a una sentencia del Poder Judicial; o</w:t>
      </w:r>
    </w:p>
    <w:p w:rsidR="00000000" w:rsidDel="00000000" w:rsidP="00000000" w:rsidRDefault="00000000" w:rsidRPr="00000000" w14:paraId="0000016F">
      <w:pPr>
        <w:tabs>
          <w:tab w:val="left" w:leader="none" w:pos="8222"/>
        </w:tabs>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170">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titulares de las áreas deberán revisar la clasificación al momento de la recepción de una solicitud de acceso, para verificar</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conforme a su naturaleza, si encuadra en una causal de reserva o de confidencialidad.</w:t>
      </w:r>
    </w:p>
    <w:p w:rsidR="00000000" w:rsidDel="00000000" w:rsidP="00000000" w:rsidRDefault="00000000" w:rsidRPr="00000000" w14:paraId="00000171">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Octavo.</w:t>
      </w:r>
      <w:r w:rsidDel="00000000" w:rsidR="00000000" w:rsidRPr="00000000">
        <w:rPr>
          <w:rFonts w:ascii="Palatino Linotype" w:cs="Palatino Linotype" w:eastAsia="Palatino Linotype" w:hAnsi="Palatino Linotype"/>
          <w:i w:val="1"/>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172">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173">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000000" w:rsidDel="00000000" w:rsidP="00000000" w:rsidRDefault="00000000" w:rsidRPr="00000000" w14:paraId="00000174">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Noveno.</w:t>
      </w:r>
      <w:r w:rsidDel="00000000" w:rsidR="00000000" w:rsidRPr="00000000">
        <w:rPr>
          <w:rFonts w:ascii="Palatino Linotype" w:cs="Palatino Linotype" w:eastAsia="Palatino Linotype" w:hAnsi="Palatino Linotype"/>
          <w:i w:val="1"/>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175">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Décimo.</w:t>
      </w:r>
      <w:r w:rsidDel="00000000" w:rsidR="00000000" w:rsidRPr="00000000">
        <w:rPr>
          <w:rFonts w:ascii="Palatino Linotype" w:cs="Palatino Linotype" w:eastAsia="Palatino Linotype" w:hAnsi="Palatino Linotype"/>
          <w:i w:val="1"/>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000000" w:rsidDel="00000000" w:rsidP="00000000" w:rsidRDefault="00000000" w:rsidRPr="00000000" w14:paraId="00000176">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177">
      <w:pPr>
        <w:tabs>
          <w:tab w:val="left" w:leader="none" w:pos="8222"/>
        </w:tabs>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Décimo primero.</w:t>
      </w:r>
      <w:r w:rsidDel="00000000" w:rsidR="00000000" w:rsidRPr="00000000">
        <w:rPr>
          <w:rFonts w:ascii="Palatino Linotype" w:cs="Palatino Linotype" w:eastAsia="Palatino Linotype" w:hAnsi="Palatino Linotype"/>
          <w:i w:val="1"/>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respecto a las formalidades que deberá llevar el acuerdo de clasificación que deberá emitir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B">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 “Quincuagésimo. </w:t>
      </w:r>
      <w:r w:rsidDel="00000000" w:rsidR="00000000" w:rsidRPr="00000000">
        <w:rPr>
          <w:rFonts w:ascii="Palatino Linotype" w:cs="Palatino Linotype" w:eastAsia="Palatino Linotype" w:hAnsi="Palatino Linotype"/>
          <w:i w:val="1"/>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 </w:t>
      </w:r>
      <w:r w:rsidDel="00000000" w:rsidR="00000000" w:rsidRPr="00000000">
        <w:rPr>
          <w:rFonts w:ascii="Palatino Linotype" w:cs="Palatino Linotype" w:eastAsia="Palatino Linotype" w:hAnsi="Palatino Linotype"/>
          <w:i w:val="1"/>
          <w:rtl w:val="0"/>
        </w:rPr>
        <w:t xml:space="preserve">Toda acta del Comité de Transparencia deberá contener: </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El número de sesión y fecha; </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El nombre del área que solicitó la clasificación de información; </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La fundamentación legal y motivación correspondiente; </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w:t>
      </w:r>
      <w:r w:rsidDel="00000000" w:rsidR="00000000" w:rsidRPr="00000000">
        <w:rPr>
          <w:rFonts w:ascii="Palatino Linotype" w:cs="Palatino Linotype" w:eastAsia="Palatino Linotype" w:hAnsi="Palatino Linotype"/>
          <w:i w:val="1"/>
          <w:rtl w:val="0"/>
        </w:rPr>
        <w:t xml:space="preserve">. La resolución o resoluciones aprobadas; y </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w:t>
      </w:r>
      <w:r w:rsidDel="00000000" w:rsidR="00000000" w:rsidRPr="00000000">
        <w:rPr>
          <w:rFonts w:ascii="Palatino Linotype" w:cs="Palatino Linotype" w:eastAsia="Palatino Linotype" w:hAnsi="Palatino Linotype"/>
          <w:i w:val="1"/>
          <w:rtl w:val="0"/>
        </w:rPr>
        <w:t xml:space="preserve">. La rúbrica o firma digital de cada integrante del Comité de Transparencia. </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Los motivos y razonamientos que sustenten la confirmación o modificación de la prueba de daño;</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240" w:lineRule="auto"/>
        <w:ind w:left="1134"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Descripción de las partes o secciones reservadas, en caso de clasificación parcial</w:t>
      </w:r>
      <w:r w:rsidDel="00000000" w:rsidR="00000000" w:rsidRPr="00000000">
        <w:rPr>
          <w:rFonts w:ascii="Palatino Linotype" w:cs="Palatino Linotype" w:eastAsia="Palatino Linotype" w:hAnsi="Palatino Linotype"/>
          <w:b w:val="1"/>
          <w:i w:val="1"/>
          <w:rtl w:val="0"/>
        </w:rPr>
        <w:t xml:space="preserve">; </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El periodo por el que mantendrá su clasificación y fecha de expiración; y </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w:t>
      </w:r>
      <w:r w:rsidDel="00000000" w:rsidR="00000000" w:rsidRPr="00000000">
        <w:rPr>
          <w:rFonts w:ascii="Palatino Linotype" w:cs="Palatino Linotype" w:eastAsia="Palatino Linotype" w:hAnsi="Palatino Linotype"/>
          <w:i w:val="1"/>
          <w:rtl w:val="0"/>
        </w:rPr>
        <w:t xml:space="preserve"> El nombre del titular y área encargada de realizar la versión pública del documento, en su caso. </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8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rsidR="00000000" w:rsidDel="00000000" w:rsidP="00000000" w:rsidRDefault="00000000" w:rsidRPr="00000000" w14:paraId="0000018B">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8C">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8D">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Fijar la fecha en que se elaboró la versión pública y la fecha en la cual el Comité de Transparencia confirmó dicha versión;</w:t>
      </w:r>
    </w:p>
    <w:p w:rsidR="00000000" w:rsidDel="00000000" w:rsidP="00000000" w:rsidRDefault="00000000" w:rsidRPr="00000000" w14:paraId="0000018E">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Señalar dentro del documento el tipo de información confidencial que fue testada en cada caso específico, de conformidad con el lineamiento trigésimo octavo; y</w:t>
      </w:r>
    </w:p>
    <w:p w:rsidR="00000000" w:rsidDel="00000000" w:rsidP="00000000" w:rsidRDefault="00000000" w:rsidRPr="00000000" w14:paraId="0000018F">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Señalar las personas o instancias autorizadas a acceder a la información clasificada.</w:t>
      </w:r>
    </w:p>
    <w:p w:rsidR="00000000" w:rsidDel="00000000" w:rsidP="00000000" w:rsidRDefault="00000000" w:rsidRPr="00000000" w14:paraId="00000190">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240" w:lineRule="auto"/>
        <w:ind w:left="851"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Quincuagésimo cuarto. </w:t>
      </w:r>
      <w:r w:rsidDel="00000000" w:rsidR="00000000" w:rsidRPr="00000000">
        <w:rPr>
          <w:rFonts w:ascii="Palatino Linotype" w:cs="Palatino Linotype" w:eastAsia="Palatino Linotype" w:hAnsi="Palatino Linotype"/>
          <w:i w:val="1"/>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rtl w:val="0"/>
        </w:rPr>
        <w:t xml:space="preserve"> </w:t>
      </w:r>
    </w:p>
    <w:p w:rsidR="00000000" w:rsidDel="00000000" w:rsidP="00000000" w:rsidRDefault="00000000" w:rsidRPr="00000000" w14:paraId="00000193">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 </w:t>
      </w:r>
      <w:r w:rsidDel="00000000" w:rsidR="00000000" w:rsidRPr="00000000">
        <w:rPr>
          <w:rFonts w:ascii="Palatino Linotype" w:cs="Palatino Linotype" w:eastAsia="Palatino Linotype" w:hAnsi="Palatino Linotype"/>
          <w:i w:val="1"/>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94">
      <w:pPr>
        <w:spacing w:after="0" w:line="240" w:lineRule="auto"/>
        <w:ind w:left="851"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195">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96">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197">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98">
      <w:pPr>
        <w:spacing w:after="0" w:line="240" w:lineRule="auto"/>
        <w:ind w:left="1134"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99">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9A">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octavo</w:t>
      </w:r>
      <w:r w:rsidDel="00000000" w:rsidR="00000000" w:rsidRPr="00000000">
        <w:rPr>
          <w:rFonts w:ascii="Palatino Linotype" w:cs="Palatino Linotype" w:eastAsia="Palatino Linotype" w:hAnsi="Palatino Linotype"/>
          <w:i w:val="1"/>
          <w:rtl w:val="0"/>
        </w:rPr>
        <w:t xml:space="preserve">.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9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C">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19E">
      <w:pPr>
        <w:spacing w:after="0" w:line="360" w:lineRule="auto"/>
        <w:jc w:val="both"/>
        <w:rPr>
          <w:rFonts w:ascii="Palatino Linotype" w:cs="Palatino Linotype" w:eastAsia="Palatino Linotype" w:hAnsi="Palatino Linotype"/>
          <w:b w:val="1"/>
        </w:rPr>
      </w:pPr>
      <w:bookmarkStart w:colFirst="0" w:colLast="0" w:name="_heading=h.3rdcrjn" w:id="2"/>
      <w:bookmarkEnd w:id="2"/>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04124/INFOEM/IP/RR/2025,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Revoca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19F">
      <w:pPr>
        <w:spacing w:after="0" w:line="360" w:lineRule="auto"/>
        <w:jc w:val="both"/>
        <w:rPr>
          <w:rFonts w:ascii="Palatino Linotype" w:cs="Palatino Linotype" w:eastAsia="Palatino Linotype" w:hAnsi="Palatino Linotype"/>
        </w:rPr>
      </w:pPr>
      <w:bookmarkStart w:colFirst="0" w:colLast="0" w:name="_heading=h.17dp8vu" w:id="3"/>
      <w:bookmarkEnd w:id="3"/>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y Quinto </w:t>
      </w:r>
      <w:r w:rsidDel="00000000" w:rsidR="00000000" w:rsidRPr="00000000">
        <w:rPr>
          <w:rFonts w:ascii="Palatino Linotype" w:cs="Palatino Linotype" w:eastAsia="Palatino Linotype" w:hAnsi="Palatino Linotype"/>
          <w:rtl w:val="0"/>
        </w:rPr>
        <w:t xml:space="preserve">de esta resolución, haga entrega vía SAIMEX, previa búsqueda exhaustiva y razonable, de ser procedente en versión pública, de lo siguiente:</w:t>
      </w:r>
    </w:p>
    <w:p w:rsidR="00000000" w:rsidDel="00000000" w:rsidP="00000000" w:rsidRDefault="00000000" w:rsidRPr="00000000" w14:paraId="000001A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comprobantes de los pagos realizados por concepto de las partidas presupuestales 3611 “Gastos de publicidad y propaganda” y 3612 “Publicaciones oficiales y de información en general para difusión“, generados del primero de enero de dos mil veintitrés al treinta y uno de diciembre de dos mil veinticuatro.</w:t>
      </w:r>
    </w:p>
    <w:p w:rsidR="00000000" w:rsidDel="00000000" w:rsidP="00000000" w:rsidRDefault="00000000" w:rsidRPr="00000000" w14:paraId="000001A2">
      <w:pPr>
        <w:spacing w:after="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i w:val="1"/>
          <w:rtl w:val="0"/>
        </w:rPr>
        <w:t xml:space="preserve">, en términos de los artículos 49, fracción VIII, de la Ley de Transparencia y Acceso a la Información Pública del Estado de México y Municipios.</w:t>
      </w:r>
    </w:p>
    <w:p w:rsidR="00000000" w:rsidDel="00000000" w:rsidP="00000000" w:rsidRDefault="00000000" w:rsidRPr="00000000" w14:paraId="000001A3">
      <w:pPr>
        <w:spacing w:after="0" w:line="240" w:lineRule="auto"/>
        <w:ind w:left="425"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A4">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A5">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6">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A7">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8">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A9">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A">
      <w:pPr>
        <w:tabs>
          <w:tab w:val="left" w:leader="none" w:pos="142"/>
        </w:tabs>
        <w:spacing w:after="0" w:line="360" w:lineRule="auto"/>
        <w:jc w:val="both"/>
        <w:rPr>
          <w:rFonts w:ascii="Palatino Linotype" w:cs="Palatino Linotype" w:eastAsia="Palatino Linotype" w:hAnsi="Palatino Linotype"/>
        </w:rPr>
      </w:pPr>
      <w:bookmarkStart w:colFirst="0" w:colLast="0" w:name="_heading=h.gjdgxs" w:id="4"/>
      <w:bookmarkEnd w:id="4"/>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EN LA VIGÉSIMA SEXTA SESIÓN ORDINARIA CELEBRADA EL DIECISÉIS DE JULIO DE DOS MIL VEINTICINCO, ANTE EL SECRETARIO TÉCNICO DEL PLENO ALEXIS TAPIA RAMÍREZ.</w:t>
      </w:r>
    </w:p>
    <w:p w:rsidR="00000000" w:rsidDel="00000000" w:rsidP="00000000" w:rsidRDefault="00000000" w:rsidRPr="00000000" w14:paraId="000001AB">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C">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D">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E">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F">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0">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1">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2">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3">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4">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5">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6">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7">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8">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9">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A">
      <w:pPr>
        <w:tabs>
          <w:tab w:val="left" w:leader="none" w:pos="142"/>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2">
      <w:pPr>
        <w:spacing w:after="0" w:line="360" w:lineRule="auto"/>
        <w:jc w:val="both"/>
        <w:rPr>
          <w:rFonts w:ascii="Palatino Linotype" w:cs="Palatino Linotype" w:eastAsia="Palatino Linotype" w:hAnsi="Palatino Linotype"/>
        </w:rPr>
      </w:pPr>
      <w:r w:rsidDel="00000000" w:rsidR="00000000" w:rsidRPr="00000000">
        <w:rPr>
          <w:rtl w:val="0"/>
        </w:rPr>
      </w:r>
    </w:p>
    <w:sectPr>
      <w:headerReference r:id="rId26" w:type="default"/>
      <w:headerReference r:id="rId27" w:type="first"/>
      <w:footerReference r:id="rId28" w:type="defaul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7">
    <w:pP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Consultable en: </w:t>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after="0" w:line="240" w:lineRule="auto"/>
        <w:jc w:val="both"/>
        <w:rPr>
          <w:rFonts w:ascii="Palatino Linotype" w:cs="Palatino Linotype" w:eastAsia="Palatino Linotype" w:hAnsi="Palatino Linotype"/>
          <w:color w:val="000000"/>
          <w:sz w:val="16"/>
          <w:szCs w:val="16"/>
        </w:rPr>
      </w:pPr>
      <w:hyperlink r:id="rId1">
        <w:r w:rsidDel="00000000" w:rsidR="00000000" w:rsidRPr="00000000">
          <w:rPr>
            <w:rFonts w:ascii="Palatino Linotype" w:cs="Palatino Linotype" w:eastAsia="Palatino Linotype" w:hAnsi="Palatino Linotype"/>
            <w:color w:val="0000ff"/>
            <w:sz w:val="16"/>
            <w:szCs w:val="16"/>
            <w:u w:val="single"/>
            <w:rtl w:val="0"/>
          </w:rPr>
          <w:t xml:space="preserve">https://www.indetec.gob.mx/delivery?srv=0&amp;sl=3&amp;path=/biblioteca/Especiales/386_Glosario_Terminos_Proceso_Planeacion.pdf</w:t>
        </w:r>
      </w:hyperlink>
      <w:r w:rsidDel="00000000" w:rsidR="00000000" w:rsidRPr="00000000">
        <w:rPr>
          <w:rFonts w:ascii="Palatino Linotype" w:cs="Palatino Linotype" w:eastAsia="Palatino Linotype" w:hAnsi="Palatino Linotype"/>
          <w:color w:val="000000"/>
          <w:sz w:val="16"/>
          <w:szCs w:val="16"/>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0000"/>
        <w:sz w:val="16"/>
        <w:szCs w:val="16"/>
      </w:rPr>
    </w:pPr>
    <w:r w:rsidDel="00000000" w:rsidR="00000000" w:rsidRPr="00000000">
      <w:rPr>
        <w:rtl w:val="0"/>
      </w:rPr>
    </w:r>
  </w:p>
  <w:tbl>
    <w:tblPr>
      <w:tblStyle w:val="Table1"/>
      <w:tblW w:w="5953.0" w:type="dxa"/>
      <w:jc w:val="left"/>
      <w:tblInd w:w="3119.0" w:type="dxa"/>
      <w:tblLayout w:type="fixed"/>
      <w:tblLook w:val="0400"/>
    </w:tblPr>
    <w:tblGrid>
      <w:gridCol w:w="2551"/>
      <w:gridCol w:w="3402"/>
      <w:tblGridChange w:id="0">
        <w:tblGrid>
          <w:gridCol w:w="2551"/>
          <w:gridCol w:w="3402"/>
        </w:tblGrid>
      </w:tblGridChange>
    </w:tblGrid>
    <w:tr>
      <w:trPr>
        <w:cantSplit w:val="0"/>
        <w:tblHeader w:val="0"/>
      </w:trPr>
      <w:tc>
        <w:tcPr>
          <w:vAlign w:val="center"/>
        </w:tcPr>
        <w:p w:rsidR="00000000" w:rsidDel="00000000" w:rsidP="00000000" w:rsidRDefault="00000000" w:rsidRPr="00000000" w14:paraId="000001C6">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vAlign w:val="center"/>
        </w:tcPr>
        <w:p w:rsidR="00000000" w:rsidDel="00000000" w:rsidP="00000000" w:rsidRDefault="00000000" w:rsidRPr="00000000" w14:paraId="000001C7">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04124/INFOEM/IP/RR/2025</w:t>
          </w:r>
        </w:p>
      </w:tc>
    </w:tr>
    <w:tr>
      <w:trPr>
        <w:cantSplit w:val="0"/>
        <w:trHeight w:val="228" w:hRule="atLeast"/>
        <w:tblHeader w:val="0"/>
      </w:trPr>
      <w:tc>
        <w:tcPr>
          <w:vAlign w:val="center"/>
        </w:tcPr>
        <w:p w:rsidR="00000000" w:rsidDel="00000000" w:rsidP="00000000" w:rsidRDefault="00000000" w:rsidRPr="00000000" w14:paraId="000001C8">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vAlign w:val="center"/>
        </w:tcPr>
        <w:p w:rsidR="00000000" w:rsidDel="00000000" w:rsidP="00000000" w:rsidRDefault="00000000" w:rsidRPr="00000000" w14:paraId="000001C9">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Chimalhuacán</w:t>
          </w:r>
        </w:p>
      </w:tc>
    </w:tr>
    <w:tr>
      <w:trPr>
        <w:cantSplit w:val="0"/>
        <w:tblHeader w:val="0"/>
      </w:trPr>
      <w:tc>
        <w:tcPr>
          <w:vAlign w:val="center"/>
        </w:tcPr>
        <w:p w:rsidR="00000000" w:rsidDel="00000000" w:rsidP="00000000" w:rsidRDefault="00000000" w:rsidRPr="00000000" w14:paraId="000001CA">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vAlign w:val="center"/>
        </w:tcPr>
        <w:p w:rsidR="00000000" w:rsidDel="00000000" w:rsidP="00000000" w:rsidRDefault="00000000" w:rsidRPr="00000000" w14:paraId="000001CB">
          <w:pPr>
            <w:spacing w:after="0" w:line="240" w:lineRule="auto"/>
            <w:ind w:right="-53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-1341119</wp:posOffset>
          </wp:positionV>
          <wp:extent cx="7635240" cy="9942830"/>
          <wp:effectExtent b="0" l="0" r="0" t="0"/>
          <wp:wrapNone/>
          <wp:docPr id="1935668399"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7635240" cy="994283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-1080128</wp:posOffset>
          </wp:positionH>
          <wp:positionV relativeFrom="paragraph">
            <wp:posOffset>-246371</wp:posOffset>
          </wp:positionV>
          <wp:extent cx="7635240" cy="9942830"/>
          <wp:effectExtent b="0" l="0" r="0" t="0"/>
          <wp:wrapNone/>
          <wp:docPr id="1935668400"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7635240" cy="9942830"/>
                  </a:xfrm>
                  <a:prstGeom prst="rect"/>
                  <a:ln/>
                </pic:spPr>
              </pic:pic>
            </a:graphicData>
          </a:graphic>
        </wp:anchor>
      </w:drawing>
    </w:r>
  </w:p>
  <w:tbl>
    <w:tblPr>
      <w:tblStyle w:val="Table2"/>
      <w:tblW w:w="5953.0" w:type="dxa"/>
      <w:jc w:val="left"/>
      <w:tblInd w:w="3119.0" w:type="dxa"/>
      <w:tblLayout w:type="fixed"/>
      <w:tblLook w:val="0400"/>
    </w:tblPr>
    <w:tblGrid>
      <w:gridCol w:w="2551"/>
      <w:gridCol w:w="3402"/>
      <w:tblGridChange w:id="0">
        <w:tblGrid>
          <w:gridCol w:w="2551"/>
          <w:gridCol w:w="3402"/>
        </w:tblGrid>
      </w:tblGridChange>
    </w:tblGrid>
    <w:tr>
      <w:trPr>
        <w:cantSplit w:val="0"/>
        <w:tblHeader w:val="0"/>
      </w:trPr>
      <w:tc>
        <w:tcPr>
          <w:vAlign w:val="center"/>
        </w:tcPr>
        <w:p w:rsidR="00000000" w:rsidDel="00000000" w:rsidP="00000000" w:rsidRDefault="00000000" w:rsidRPr="00000000" w14:paraId="000001CE">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vAlign w:val="center"/>
        </w:tcPr>
        <w:p w:rsidR="00000000" w:rsidDel="00000000" w:rsidP="00000000" w:rsidRDefault="00000000" w:rsidRPr="00000000" w14:paraId="000001CF">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04124/INFOEM/IP/RR/2025</w:t>
          </w:r>
        </w:p>
      </w:tc>
    </w:tr>
    <w:tr>
      <w:trPr>
        <w:cantSplit w:val="0"/>
        <w:tblHeader w:val="0"/>
      </w:trPr>
      <w:tc>
        <w:tcPr>
          <w:vAlign w:val="center"/>
        </w:tcPr>
        <w:p w:rsidR="00000000" w:rsidDel="00000000" w:rsidP="00000000" w:rsidRDefault="00000000" w:rsidRPr="00000000" w14:paraId="000001D0">
          <w:pPr>
            <w:spacing w:after="0" w:line="240" w:lineRule="auto"/>
            <w:ind w:left="35" w:hanging="35"/>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vAlign w:val="center"/>
        </w:tcPr>
        <w:p w:rsidR="00000000" w:rsidDel="00000000" w:rsidP="00000000" w:rsidRDefault="00000000" w:rsidRPr="00000000" w14:paraId="000001D1">
          <w:pPr>
            <w:spacing w:after="0" w:line="240" w:lineRule="auto"/>
            <w:ind w:left="-45" w:firstLine="0"/>
            <w:jc w:val="both"/>
            <w:rPr>
              <w:rFonts w:ascii="Palatino Linotype" w:cs="Palatino Linotype" w:eastAsia="Palatino Linotype" w:hAnsi="Palatino Linotype"/>
              <w:b w:val="1"/>
            </w:rPr>
          </w:pPr>
          <w:bookmarkStart w:colFirst="0" w:colLast="0" w:name="_heading=h.llu5w3xw1j8g" w:id="5"/>
          <w:bookmarkEnd w:id="5"/>
          <w:r w:rsidDel="00000000" w:rsidR="00000000" w:rsidRPr="00000000">
            <w:rPr>
              <w:rFonts w:ascii="Palatino Linotype" w:cs="Palatino Linotype" w:eastAsia="Palatino Linotype" w:hAnsi="Palatino Linotype"/>
              <w:b w:val="1"/>
              <w:rtl w:val="0"/>
            </w:rPr>
            <w:t xml:space="preserve">XXXXX XXXXXX XXXXXXXX</w:t>
          </w:r>
        </w:p>
      </w:tc>
    </w:tr>
    <w:tr>
      <w:trPr>
        <w:cantSplit w:val="0"/>
        <w:trHeight w:val="228" w:hRule="atLeast"/>
        <w:tblHeader w:val="0"/>
      </w:trPr>
      <w:tc>
        <w:tcPr>
          <w:vAlign w:val="center"/>
        </w:tcPr>
        <w:p w:rsidR="00000000" w:rsidDel="00000000" w:rsidP="00000000" w:rsidRDefault="00000000" w:rsidRPr="00000000" w14:paraId="000001D2">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vAlign w:val="center"/>
        </w:tcPr>
        <w:p w:rsidR="00000000" w:rsidDel="00000000" w:rsidP="00000000" w:rsidRDefault="00000000" w:rsidRPr="00000000" w14:paraId="000001D3">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Chimalhuacán</w:t>
          </w:r>
        </w:p>
      </w:tc>
    </w:tr>
    <w:tr>
      <w:trPr>
        <w:cantSplit w:val="0"/>
        <w:tblHeader w:val="0"/>
      </w:trPr>
      <w:tc>
        <w:tcPr>
          <w:vAlign w:val="center"/>
        </w:tcPr>
        <w:p w:rsidR="00000000" w:rsidDel="00000000" w:rsidP="00000000" w:rsidRDefault="00000000" w:rsidRPr="00000000" w14:paraId="000001D4">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vAlign w:val="center"/>
        </w:tcPr>
        <w:p w:rsidR="00000000" w:rsidDel="00000000" w:rsidP="00000000" w:rsidRDefault="00000000" w:rsidRPr="00000000" w14:paraId="000001D5">
          <w:pPr>
            <w:spacing w:after="0" w:line="240" w:lineRule="auto"/>
            <w:ind w:right="-53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1D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40" w:before="400" w:line="240" w:lineRule="auto"/>
    </w:pPr>
    <w:rPr>
      <w:rFonts w:ascii="Calibri" w:cs="Calibri" w:eastAsia="Calibri" w:hAnsi="Calibri"/>
      <w:smallCaps w:val="1"/>
      <w:sz w:val="36"/>
      <w:szCs w:val="36"/>
    </w:rPr>
  </w:style>
  <w:style w:type="paragraph" w:styleId="Heading2">
    <w:name w:val="heading 2"/>
    <w:basedOn w:val="Normal"/>
    <w:next w:val="Normal"/>
    <w:pPr>
      <w:keepNext w:val="1"/>
      <w:keepLines w:val="1"/>
      <w:spacing w:after="0" w:before="120" w:line="240" w:lineRule="auto"/>
    </w:pPr>
    <w:rPr>
      <w:rFonts w:ascii="Calibri" w:cs="Calibri" w:eastAsia="Calibri" w:hAnsi="Calibri"/>
      <w:smallCaps w:val="1"/>
      <w:sz w:val="28"/>
      <w:szCs w:val="28"/>
    </w:rPr>
  </w:style>
  <w:style w:type="paragraph" w:styleId="Heading3">
    <w:name w:val="heading 3"/>
    <w:basedOn w:val="Normal"/>
    <w:next w:val="Normal"/>
    <w:pPr>
      <w:keepNext w:val="1"/>
      <w:keepLines w:val="1"/>
      <w:spacing w:after="0" w:before="120" w:line="240" w:lineRule="auto"/>
    </w:pPr>
    <w:rPr>
      <w:rFonts w:ascii="Calibri" w:cs="Calibri" w:eastAsia="Calibri" w:hAnsi="Calibri"/>
      <w:smallCaps w:val="1"/>
      <w:sz w:val="28"/>
      <w:szCs w:val="28"/>
    </w:rPr>
  </w:style>
  <w:style w:type="paragraph" w:styleId="Heading4">
    <w:name w:val="heading 4"/>
    <w:basedOn w:val="Normal"/>
    <w:next w:val="Normal"/>
    <w:pPr>
      <w:keepNext w:val="1"/>
      <w:keepLines w:val="1"/>
      <w:spacing w:after="0" w:before="120" w:lineRule="auto"/>
    </w:pPr>
    <w:rPr>
      <w:rFonts w:ascii="Calibri" w:cs="Calibri" w:eastAsia="Calibri" w:hAnsi="Calibri"/>
      <w:smallCaps w:val="1"/>
    </w:rPr>
  </w:style>
  <w:style w:type="paragraph" w:styleId="Heading5">
    <w:name w:val="heading 5"/>
    <w:basedOn w:val="Normal"/>
    <w:next w:val="Normal"/>
    <w:pPr>
      <w:keepNext w:val="1"/>
      <w:keepLines w:val="1"/>
      <w:spacing w:after="0" w:before="120" w:lineRule="auto"/>
    </w:pPr>
    <w:rPr>
      <w:rFonts w:ascii="Calibri" w:cs="Calibri" w:eastAsia="Calibri" w:hAnsi="Calibri"/>
      <w:i w:val="1"/>
      <w:smallCaps w:val="1"/>
    </w:rPr>
  </w:style>
  <w:style w:type="paragraph" w:styleId="Heading6">
    <w:name w:val="heading 6"/>
    <w:basedOn w:val="Normal"/>
    <w:next w:val="Normal"/>
    <w:pPr>
      <w:keepNext w:val="1"/>
      <w:keepLines w:val="1"/>
      <w:spacing w:after="0" w:before="120" w:lineRule="auto"/>
    </w:pPr>
    <w:rPr>
      <w:rFonts w:ascii="Calibri" w:cs="Calibri" w:eastAsia="Calibri" w:hAnsi="Calibri"/>
      <w:b w:val="1"/>
      <w:smallCaps w:val="1"/>
      <w:color w:val="262626"/>
      <w:sz w:val="20"/>
      <w:szCs w:val="20"/>
    </w:rPr>
  </w:style>
  <w:style w:type="paragraph" w:styleId="Title">
    <w:name w:val="Title"/>
    <w:basedOn w:val="Normal"/>
    <w:next w:val="Normal"/>
    <w:pPr>
      <w:spacing w:after="0" w:line="240" w:lineRule="auto"/>
    </w:pPr>
    <w:rPr>
      <w:rFonts w:ascii="Calibri" w:cs="Calibri" w:eastAsia="Calibri" w:hAnsi="Calibri"/>
      <w:smallCaps w:val="1"/>
      <w:color w:val="404040"/>
      <w:sz w:val="72"/>
      <w:szCs w:val="72"/>
    </w:rPr>
  </w:style>
  <w:style w:type="paragraph" w:styleId="Ttulo7">
    <w:name w:val="heading 7"/>
    <w:basedOn w:val="Normal"/>
    <w:next w:val="Normal"/>
    <w:link w:val="Ttulo7Car"/>
    <w:uiPriority w:val="9"/>
    <w:semiHidden w:val="1"/>
    <w:unhideWhenUsed w:val="1"/>
    <w:qFormat w:val="1"/>
    <w:rsid w:val="000009E2"/>
    <w:pPr>
      <w:keepNext w:val="1"/>
      <w:keepLines w:val="1"/>
      <w:spacing w:after="0" w:before="120"/>
      <w:outlineLvl w:val="6"/>
    </w:pPr>
    <w:rPr>
      <w:rFonts w:asciiTheme="majorHAnsi" w:cstheme="majorBidi" w:eastAsiaTheme="majorEastAsia" w:hAnsiTheme="majorHAnsi"/>
      <w:b w:val="1"/>
      <w:bCs w:val="1"/>
      <w:i w:val="1"/>
      <w:iCs w:val="1"/>
      <w:caps w:val="1"/>
      <w:color w:val="262626" w:themeColor="text1" w:themeTint="0000D9"/>
      <w:sz w:val="20"/>
      <w:szCs w:val="20"/>
    </w:rPr>
  </w:style>
  <w:style w:type="paragraph" w:styleId="Ttulo8">
    <w:name w:val="heading 8"/>
    <w:basedOn w:val="Normal"/>
    <w:next w:val="Normal"/>
    <w:link w:val="Ttulo8Car"/>
    <w:uiPriority w:val="9"/>
    <w:semiHidden w:val="1"/>
    <w:unhideWhenUsed w:val="1"/>
    <w:qFormat w:val="1"/>
    <w:rsid w:val="000009E2"/>
    <w:pPr>
      <w:keepNext w:val="1"/>
      <w:keepLines w:val="1"/>
      <w:spacing w:after="0" w:before="120"/>
      <w:outlineLvl w:val="7"/>
    </w:pPr>
    <w:rPr>
      <w:rFonts w:asciiTheme="majorHAnsi" w:cstheme="majorBidi" w:eastAsiaTheme="majorEastAsia" w:hAnsiTheme="majorHAnsi"/>
      <w:b w:val="1"/>
      <w:bCs w:val="1"/>
      <w:caps w:val="1"/>
      <w:color w:val="7f7f7f" w:themeColor="text1" w:themeTint="000080"/>
      <w:sz w:val="20"/>
      <w:szCs w:val="20"/>
    </w:rPr>
  </w:style>
  <w:style w:type="paragraph" w:styleId="Ttulo9">
    <w:name w:val="heading 9"/>
    <w:basedOn w:val="Normal"/>
    <w:next w:val="Normal"/>
    <w:link w:val="Ttulo9Car"/>
    <w:uiPriority w:val="9"/>
    <w:semiHidden w:val="1"/>
    <w:unhideWhenUsed w:val="1"/>
    <w:qFormat w:val="1"/>
    <w:rsid w:val="000009E2"/>
    <w:pPr>
      <w:keepNext w:val="1"/>
      <w:keepLines w:val="1"/>
      <w:spacing w:after="0" w:before="120"/>
      <w:outlineLvl w:val="8"/>
    </w:pPr>
    <w:rPr>
      <w:rFonts w:asciiTheme="majorHAnsi" w:cstheme="majorBidi" w:eastAsiaTheme="majorEastAsia" w:hAnsiTheme="majorHAnsi"/>
      <w:b w:val="1"/>
      <w:bCs w:val="1"/>
      <w:i w:val="1"/>
      <w:iCs w:val="1"/>
      <w:caps w:val="1"/>
      <w:color w:val="7f7f7f" w:themeColor="text1" w:themeTint="000080"/>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21CDF"/>
    <w:pPr>
      <w:tabs>
        <w:tab w:val="center" w:pos="4419"/>
        <w:tab w:val="right" w:pos="8838"/>
      </w:tabs>
    </w:pPr>
    <w:rPr>
      <w:rFonts w:eastAsiaTheme="minorHAnsi"/>
      <w:lang w:eastAsia="en-US"/>
    </w:rPr>
  </w:style>
  <w:style w:type="character" w:styleId="EncabezadoCar" w:customStyle="1">
    <w:name w:val="Encabezado Car"/>
    <w:basedOn w:val="Fuentedeprrafopredeter"/>
    <w:link w:val="Encabezado"/>
    <w:uiPriority w:val="99"/>
    <w:rsid w:val="00521CDF"/>
  </w:style>
  <w:style w:type="paragraph" w:styleId="Piedepgina">
    <w:name w:val="footer"/>
    <w:basedOn w:val="Normal"/>
    <w:link w:val="PiedepginaCar"/>
    <w:uiPriority w:val="99"/>
    <w:unhideWhenUsed w:val="1"/>
    <w:rsid w:val="00521CDF"/>
    <w:pPr>
      <w:tabs>
        <w:tab w:val="center" w:pos="4419"/>
        <w:tab w:val="right" w:pos="8838"/>
      </w:tabs>
    </w:pPr>
    <w:rPr>
      <w:rFonts w:eastAsiaTheme="minorHAnsi"/>
      <w:lang w:eastAsia="en-US"/>
    </w:rPr>
  </w:style>
  <w:style w:type="character" w:styleId="PiedepginaCar" w:customStyle="1">
    <w:name w:val="Pie de página Car"/>
    <w:basedOn w:val="Fuentedeprrafopredeter"/>
    <w:link w:val="Piedepgina"/>
    <w:uiPriority w:val="99"/>
    <w:rsid w:val="00521CDF"/>
  </w:style>
  <w:style w:type="character" w:styleId="Hipervnculo">
    <w:name w:val="Hyperlink"/>
    <w:aliases w:val="Hipervínculo1,Hipervínculo11,Hipervínculo12,Hipervínculo13,Hipervínculo14,Hipervínculo15"/>
    <w:basedOn w:val="Fuentedeprrafopredeter"/>
    <w:uiPriority w:val="99"/>
    <w:unhideWhenUsed w:val="1"/>
    <w:rsid w:val="003C6D6D"/>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1E1566"/>
    <w:pPr>
      <w:ind w:left="720"/>
      <w:contextualSpacing w:val="1"/>
    </w:pPr>
  </w:style>
  <w:style w:type="paragraph" w:styleId="Listaconvietas">
    <w:name w:val="List Bullet"/>
    <w:basedOn w:val="Normal"/>
    <w:uiPriority w:val="99"/>
    <w:unhideWhenUsed w:val="1"/>
    <w:rsid w:val="00400151"/>
    <w:pPr>
      <w:numPr>
        <w:numId w:val="2"/>
      </w:numPr>
      <w:contextualSpacing w:val="1"/>
    </w:pPr>
    <w:rPr>
      <w:lang w:eastAsia="es-ES"/>
    </w:rPr>
  </w:style>
  <w:style w:type="paragraph" w:styleId="Textodeglobo">
    <w:name w:val="Balloon Text"/>
    <w:basedOn w:val="Normal"/>
    <w:link w:val="TextodegloboCar"/>
    <w:uiPriority w:val="99"/>
    <w:semiHidden w:val="1"/>
    <w:unhideWhenUsed w:val="1"/>
    <w:rsid w:val="00617A03"/>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617A03"/>
    <w:rPr>
      <w:rFonts w:ascii="Segoe UI" w:cs="Segoe UI" w:eastAsia="Calibri" w:hAnsi="Segoe UI"/>
      <w:sz w:val="18"/>
      <w:szCs w:val="18"/>
      <w:lang w:eastAsia="es-MX"/>
    </w:rPr>
  </w:style>
  <w:style w:type="table" w:styleId="Tablaconcuadrcula">
    <w:name w:val="Table Grid"/>
    <w:basedOn w:val="Tablanormal"/>
    <w:uiPriority w:val="39"/>
    <w:rsid w:val="00A47D3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6"/>
    <w:tblPr>
      <w:tblStyleRowBandSize w:val="1"/>
      <w:tblStyleColBandSize w:val="1"/>
      <w:tblCellMar>
        <w:left w:w="115.0" w:type="dxa"/>
        <w:right w:w="115.0" w:type="dxa"/>
      </w:tblCellMar>
    </w:tblPr>
  </w:style>
  <w:style w:type="table" w:styleId="a0" w:customStyle="1">
    <w:basedOn w:val="TableNormal6"/>
    <w:tblPr>
      <w:tblStyleRowBandSize w:val="1"/>
      <w:tblStyleColBandSize w:val="1"/>
      <w:tblCellMar>
        <w:left w:w="115.0" w:type="dxa"/>
        <w:right w:w="115.0" w:type="dxa"/>
      </w:tblCellMar>
    </w:tblPr>
  </w:style>
  <w:style w:type="table" w:styleId="a1" w:customStyle="1">
    <w:basedOn w:val="TableNormal6"/>
    <w:tblPr>
      <w:tblStyleRowBandSize w:val="1"/>
      <w:tblStyleColBandSize w:val="1"/>
      <w:tblCellMar>
        <w:left w:w="115.0" w:type="dxa"/>
        <w:right w:w="115.0" w:type="dxa"/>
      </w:tblCellMar>
    </w:tblPr>
  </w:style>
  <w:style w:type="table" w:styleId="a2" w:customStyle="1">
    <w:basedOn w:val="TableNormal6"/>
    <w:tblPr>
      <w:tblStyleRowBandSize w:val="1"/>
      <w:tblStyleColBandSize w:val="1"/>
      <w:tblCellMar>
        <w:left w:w="115.0" w:type="dxa"/>
        <w:right w:w="115.0" w:type="dxa"/>
      </w:tblCellMar>
    </w:tblPr>
  </w:style>
  <w:style w:type="table" w:styleId="a3" w:customStyle="1">
    <w:basedOn w:val="TableNormal6"/>
    <w:tblPr>
      <w:tblStyleRowBandSize w:val="1"/>
      <w:tblStyleColBandSize w:val="1"/>
      <w:tblCellMar>
        <w:left w:w="115.0" w:type="dxa"/>
        <w:right w:w="115.0" w:type="dxa"/>
      </w:tblCellMar>
    </w:tblPr>
  </w:style>
  <w:style w:type="table" w:styleId="a4" w:customStyle="1">
    <w:basedOn w:val="TableNormal6"/>
    <w:tblPr>
      <w:tblStyleRowBandSize w:val="1"/>
      <w:tblStyleColBandSize w:val="1"/>
      <w:tblCellMar>
        <w:left w:w="115.0" w:type="dxa"/>
        <w:right w:w="115.0" w:type="dxa"/>
      </w:tblCellMar>
    </w:tblPr>
  </w:style>
  <w:style w:type="table" w:styleId="a5" w:customStyle="1">
    <w:basedOn w:val="TableNormal6"/>
    <w:tblPr>
      <w:tblStyleRowBandSize w:val="1"/>
      <w:tblStyleColBandSize w:val="1"/>
      <w:tblCellMar>
        <w:left w:w="115.0" w:type="dxa"/>
        <w:right w:w="115.0" w:type="dxa"/>
      </w:tblCellMar>
    </w:tblPr>
  </w:style>
  <w:style w:type="table" w:styleId="a6" w:customStyle="1">
    <w:basedOn w:val="TableNormal6"/>
    <w:tblPr>
      <w:tblStyleRowBandSize w:val="1"/>
      <w:tblStyleColBandSize w:val="1"/>
      <w:tblCellMar>
        <w:left w:w="115.0" w:type="dxa"/>
        <w:right w:w="115.0" w:type="dxa"/>
      </w:tblCellMar>
    </w:tblPr>
  </w:style>
  <w:style w:type="table" w:styleId="a7" w:customStyle="1">
    <w:basedOn w:val="TableNormal6"/>
    <w:tblPr>
      <w:tblStyleRowBandSize w:val="1"/>
      <w:tblStyleColBandSize w:val="1"/>
      <w:tblCellMar>
        <w:left w:w="115.0" w:type="dxa"/>
        <w:right w:w="115.0" w:type="dxa"/>
      </w:tblCellMar>
    </w:tblPr>
  </w:style>
  <w:style w:type="table" w:styleId="a8" w:customStyle="1">
    <w:basedOn w:val="TableNormal6"/>
    <w:tblPr>
      <w:tblStyleRowBandSize w:val="1"/>
      <w:tblStyleColBandSize w:val="1"/>
      <w:tblCellMar>
        <w:left w:w="108.0" w:type="dxa"/>
        <w:right w:w="108.0" w:type="dxa"/>
      </w:tblCellMar>
    </w:tblPr>
  </w:style>
  <w:style w:type="table" w:styleId="a9" w:customStyle="1">
    <w:basedOn w:val="TableNormal6"/>
    <w:tblPr>
      <w:tblStyleRowBandSize w:val="1"/>
      <w:tblStyleColBandSize w:val="1"/>
      <w:tblCellMar>
        <w:left w:w="115.0" w:type="dxa"/>
        <w:right w:w="115.0" w:type="dxa"/>
      </w:tblCellMar>
    </w:tblPr>
  </w:style>
  <w:style w:type="table" w:styleId="aa" w:customStyle="1">
    <w:basedOn w:val="TableNormal6"/>
    <w:tblPr>
      <w:tblStyleRowBandSize w:val="1"/>
      <w:tblStyleColBandSize w:val="1"/>
      <w:tblCellMar>
        <w:left w:w="115.0" w:type="dxa"/>
        <w:right w:w="115.0" w:type="dxa"/>
      </w:tblCellMar>
    </w:tblPr>
  </w:style>
  <w:style w:type="table" w:styleId="ab" w:customStyle="1">
    <w:basedOn w:val="TableNormal6"/>
    <w:tblPr>
      <w:tblStyleRowBandSize w:val="1"/>
      <w:tblStyleColBandSize w:val="1"/>
      <w:tblCellMar>
        <w:left w:w="115.0" w:type="dxa"/>
        <w:right w:w="115.0" w:type="dxa"/>
      </w:tblCellMar>
    </w:tblPr>
  </w:style>
  <w:style w:type="table" w:styleId="ac" w:customStyle="1">
    <w:basedOn w:val="TableNormal6"/>
    <w:tblPr>
      <w:tblStyleRowBandSize w:val="1"/>
      <w:tblStyleColBandSize w:val="1"/>
      <w:tblCellMar>
        <w:left w:w="115.0" w:type="dxa"/>
        <w:right w:w="115.0" w:type="dxa"/>
      </w:tblCellMar>
    </w:tblPr>
  </w:style>
  <w:style w:type="table" w:styleId="ad" w:customStyle="1">
    <w:basedOn w:val="TableNormal6"/>
    <w:tblPr>
      <w:tblStyleRowBandSize w:val="1"/>
      <w:tblStyleColBandSize w:val="1"/>
      <w:tblCellMar>
        <w:left w:w="115.0" w:type="dxa"/>
        <w:right w:w="115.0" w:type="dxa"/>
      </w:tblCellMar>
    </w:tblPr>
  </w:style>
  <w:style w:type="table" w:styleId="ae" w:customStyle="1">
    <w:basedOn w:val="TableNormal6"/>
    <w:tblPr>
      <w:tblStyleRowBandSize w:val="1"/>
      <w:tblStyleColBandSize w:val="1"/>
      <w:tblCellMar>
        <w:left w:w="115.0" w:type="dxa"/>
        <w:right w:w="115.0" w:type="dxa"/>
      </w:tblCellMar>
    </w:tblPr>
  </w:style>
  <w:style w:type="table" w:styleId="af" w:customStyle="1">
    <w:basedOn w:val="TableNormal6"/>
    <w:tblPr>
      <w:tblStyleRowBandSize w:val="1"/>
      <w:tblStyleColBandSize w:val="1"/>
      <w:tblCellMar>
        <w:left w:w="115.0" w:type="dxa"/>
        <w:right w:w="115.0" w:type="dxa"/>
      </w:tblCellMar>
    </w:tblPr>
  </w:style>
  <w:style w:type="table" w:styleId="af0" w:customStyle="1">
    <w:basedOn w:val="TableNormal6"/>
    <w:tblPr>
      <w:tblStyleRowBandSize w:val="1"/>
      <w:tblStyleColBandSize w:val="1"/>
      <w:tblCellMar>
        <w:left w:w="115.0" w:type="dxa"/>
        <w:right w:w="115.0"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rsid w:val="00E42517"/>
    <w:rPr>
      <w:rFonts w:eastAsia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42517"/>
    <w:rPr>
      <w:rFonts w:asciiTheme="minorHAnsi" w:cstheme="minorBidi" w:eastAsiaTheme="minorHAnsi" w:hAnsiTheme="minorHAns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rsid w:val="00E42517"/>
    <w:rPr>
      <w:vertAlign w:val="superscript"/>
    </w:rPr>
  </w:style>
  <w:style w:type="paragraph" w:styleId="Sinespaciado">
    <w:name w:val="No Spacing"/>
    <w:aliases w:val="Francesa"/>
    <w:link w:val="SinespaciadoCar"/>
    <w:uiPriority w:val="1"/>
    <w:qFormat w:val="1"/>
    <w:rsid w:val="000009E2"/>
    <w:pPr>
      <w:spacing w:after="0" w:line="240" w:lineRule="auto"/>
    </w:pPr>
  </w:style>
  <w:style w:type="character" w:styleId="SinespaciadoCar" w:customStyle="1">
    <w:name w:val="Sin espaciado Car"/>
    <w:aliases w:val="Francesa Car"/>
    <w:link w:val="Sinespaciado"/>
    <w:uiPriority w:val="1"/>
    <w:locked w:val="1"/>
    <w:rsid w:val="00B33C26"/>
  </w:style>
  <w:style w:type="paragraph" w:styleId="Lista">
    <w:name w:val="List"/>
    <w:basedOn w:val="Normal"/>
    <w:uiPriority w:val="99"/>
    <w:unhideWhenUsed w:val="1"/>
    <w:rsid w:val="004127D1"/>
    <w:pPr>
      <w:ind w:left="283" w:hanging="283"/>
      <w:contextualSpacing w:val="1"/>
    </w:pPr>
  </w:style>
  <w:style w:type="paragraph" w:styleId="Lista2">
    <w:name w:val="List 2"/>
    <w:basedOn w:val="Normal"/>
    <w:uiPriority w:val="99"/>
    <w:unhideWhenUsed w:val="1"/>
    <w:rsid w:val="004127D1"/>
    <w:pPr>
      <w:ind w:left="566" w:hanging="283"/>
      <w:contextualSpacing w:val="1"/>
    </w:pPr>
  </w:style>
  <w:style w:type="paragraph" w:styleId="Lista3">
    <w:name w:val="List 3"/>
    <w:basedOn w:val="Normal"/>
    <w:uiPriority w:val="99"/>
    <w:unhideWhenUsed w:val="1"/>
    <w:rsid w:val="004127D1"/>
    <w:pPr>
      <w:ind w:left="849" w:hanging="283"/>
      <w:contextualSpacing w:val="1"/>
    </w:pPr>
  </w:style>
  <w:style w:type="paragraph" w:styleId="Listaconvietas2">
    <w:name w:val="List Bullet 2"/>
    <w:basedOn w:val="Normal"/>
    <w:uiPriority w:val="99"/>
    <w:unhideWhenUsed w:val="1"/>
    <w:rsid w:val="004127D1"/>
    <w:pPr>
      <w:tabs>
        <w:tab w:val="num" w:pos="720"/>
      </w:tabs>
      <w:ind w:left="720" w:hanging="720"/>
      <w:contextualSpacing w:val="1"/>
    </w:pPr>
  </w:style>
  <w:style w:type="paragraph" w:styleId="Continuarlista">
    <w:name w:val="List Continue"/>
    <w:basedOn w:val="Normal"/>
    <w:uiPriority w:val="99"/>
    <w:unhideWhenUsed w:val="1"/>
    <w:rsid w:val="004127D1"/>
    <w:pPr>
      <w:spacing w:after="120"/>
      <w:ind w:left="283"/>
      <w:contextualSpacing w:val="1"/>
    </w:pPr>
  </w:style>
  <w:style w:type="paragraph" w:styleId="Continuarlista2">
    <w:name w:val="List Continue 2"/>
    <w:basedOn w:val="Normal"/>
    <w:uiPriority w:val="99"/>
    <w:unhideWhenUsed w:val="1"/>
    <w:rsid w:val="004127D1"/>
    <w:pPr>
      <w:spacing w:after="120"/>
      <w:ind w:left="566"/>
      <w:contextualSpacing w:val="1"/>
    </w:pPr>
  </w:style>
  <w:style w:type="paragraph" w:styleId="Textoindependiente">
    <w:name w:val="Body Text"/>
    <w:basedOn w:val="Normal"/>
    <w:link w:val="TextoindependienteCar"/>
    <w:uiPriority w:val="99"/>
    <w:unhideWhenUsed w:val="1"/>
    <w:rsid w:val="004127D1"/>
    <w:pPr>
      <w:spacing w:after="120"/>
    </w:pPr>
  </w:style>
  <w:style w:type="character" w:styleId="TextoindependienteCar" w:customStyle="1">
    <w:name w:val="Texto independiente Car"/>
    <w:basedOn w:val="Fuentedeprrafopredeter"/>
    <w:link w:val="Textoindependiente"/>
    <w:uiPriority w:val="99"/>
    <w:rsid w:val="004127D1"/>
  </w:style>
  <w:style w:type="paragraph" w:styleId="Sangradetextonormal">
    <w:name w:val="Body Text Indent"/>
    <w:basedOn w:val="Normal"/>
    <w:link w:val="SangradetextonormalCar"/>
    <w:uiPriority w:val="99"/>
    <w:unhideWhenUsed w:val="1"/>
    <w:rsid w:val="004127D1"/>
    <w:pPr>
      <w:spacing w:after="120"/>
      <w:ind w:left="283"/>
    </w:pPr>
  </w:style>
  <w:style w:type="character" w:styleId="SangradetextonormalCar" w:customStyle="1">
    <w:name w:val="Sangría de texto normal Car"/>
    <w:basedOn w:val="Fuentedeprrafopredeter"/>
    <w:link w:val="Sangradetextonormal"/>
    <w:uiPriority w:val="99"/>
    <w:rsid w:val="004127D1"/>
  </w:style>
  <w:style w:type="paragraph" w:styleId="Textoindependienteprimerasangra2">
    <w:name w:val="Body Text First Indent 2"/>
    <w:basedOn w:val="Sangradetextonormal"/>
    <w:link w:val="Textoindependienteprimerasangra2Car"/>
    <w:uiPriority w:val="99"/>
    <w:unhideWhenUsed w:val="1"/>
    <w:rsid w:val="004127D1"/>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4127D1"/>
  </w:style>
  <w:style w:type="table" w:styleId="af1" w:customStyle="1">
    <w:basedOn w:val="TableNormal6"/>
    <w:tblPr>
      <w:tblStyleRowBandSize w:val="1"/>
      <w:tblStyleColBandSize w:val="1"/>
      <w:tblCellMar>
        <w:left w:w="115.0" w:type="dxa"/>
        <w:right w:w="115.0" w:type="dxa"/>
      </w:tblCellMar>
    </w:tblPr>
  </w:style>
  <w:style w:type="table" w:styleId="af2" w:customStyle="1">
    <w:basedOn w:val="TableNormal6"/>
    <w:tblPr>
      <w:tblStyleRowBandSize w:val="1"/>
      <w:tblStyleColBandSize w:val="1"/>
      <w:tblCellMar>
        <w:left w:w="115.0" w:type="dxa"/>
        <w:right w:w="115.0" w:type="dxa"/>
      </w:tblCellMar>
    </w:tblPr>
  </w:style>
  <w:style w:type="table" w:styleId="af3" w:customStyle="1">
    <w:basedOn w:val="TableNormal6"/>
    <w:tblPr>
      <w:tblStyleRowBandSize w:val="1"/>
      <w:tblStyleColBandSize w:val="1"/>
      <w:tblCellMar>
        <w:left w:w="115.0" w:type="dxa"/>
        <w:right w:w="115.0" w:type="dxa"/>
      </w:tblCellMar>
    </w:tblPr>
  </w:style>
  <w:style w:type="table" w:styleId="af4" w:customStyle="1">
    <w:basedOn w:val="TableNormal6"/>
    <w:tblPr>
      <w:tblStyleRowBandSize w:val="1"/>
      <w:tblStyleColBandSize w:val="1"/>
      <w:tblCellMar>
        <w:left w:w="115.0" w:type="dxa"/>
        <w:right w:w="115.0" w:type="dxa"/>
      </w:tblCellMar>
    </w:tblPr>
  </w:style>
  <w:style w:type="table" w:styleId="af5" w:customStyle="1">
    <w:basedOn w:val="TableNormal6"/>
    <w:tblPr>
      <w:tblStyleRowBandSize w:val="1"/>
      <w:tblStyleColBandSize w:val="1"/>
      <w:tblCellMar>
        <w:left w:w="115.0" w:type="dxa"/>
        <w:right w:w="115.0" w:type="dxa"/>
      </w:tblCellMar>
    </w:tblPr>
  </w:style>
  <w:style w:type="paragraph" w:styleId="NormalWeb">
    <w:name w:val="Normal (Web)"/>
    <w:basedOn w:val="Normal"/>
    <w:uiPriority w:val="99"/>
    <w:unhideWhenUsed w:val="1"/>
    <w:rsid w:val="00B477FB"/>
    <w:pPr>
      <w:spacing w:after="100" w:afterAutospacing="1" w:before="100" w:beforeAutospacing="1"/>
    </w:pPr>
  </w:style>
  <w:style w:type="table" w:styleId="af6" w:customStyle="1">
    <w:basedOn w:val="TableNormal5"/>
    <w:tblPr>
      <w:tblStyleRowBandSize w:val="1"/>
      <w:tblStyleColBandSize w:val="1"/>
      <w:tblCellMar>
        <w:left w:w="115.0" w:type="dxa"/>
        <w:right w:w="115.0" w:type="dxa"/>
      </w:tblCellMar>
    </w:tblPr>
  </w:style>
  <w:style w:type="table" w:styleId="af7" w:customStyle="1">
    <w:basedOn w:val="TableNormal5"/>
    <w:tblPr>
      <w:tblStyleRowBandSize w:val="1"/>
      <w:tblStyleColBandSize w:val="1"/>
      <w:tblCellMar>
        <w:left w:w="115.0" w:type="dxa"/>
        <w:right w:w="115.0" w:type="dxa"/>
      </w:tblCellMar>
    </w:tblPr>
  </w:style>
  <w:style w:type="table" w:styleId="af8" w:customStyle="1">
    <w:basedOn w:val="TableNormal5"/>
    <w:tblPr>
      <w:tblStyleRowBandSize w:val="1"/>
      <w:tblStyleColBandSize w:val="1"/>
      <w:tblCellMar>
        <w:left w:w="108.0" w:type="dxa"/>
        <w:right w:w="108.0" w:type="dxa"/>
      </w:tblCellMar>
    </w:tblPr>
  </w:style>
  <w:style w:type="table" w:styleId="af9" w:customStyle="1">
    <w:basedOn w:val="TableNormal5"/>
    <w:tblPr>
      <w:tblStyleRowBandSize w:val="1"/>
      <w:tblStyleColBandSize w:val="1"/>
      <w:tblCellMar>
        <w:left w:w="115.0" w:type="dxa"/>
        <w:right w:w="115.0" w:type="dxa"/>
      </w:tblCellMar>
    </w:tblPr>
  </w:style>
  <w:style w:type="table" w:styleId="afa" w:customStyle="1">
    <w:basedOn w:val="TableNormal5"/>
    <w:tblPr>
      <w:tblStyleRowBandSize w:val="1"/>
      <w:tblStyleColBandSize w:val="1"/>
      <w:tblCellMar>
        <w:left w:w="115.0" w:type="dxa"/>
        <w:right w:w="115.0" w:type="dxa"/>
      </w:tblCellMar>
    </w:tbl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locked w:val="1"/>
    <w:rsid w:val="00D7226C"/>
  </w:style>
  <w:style w:type="table" w:styleId="afb" w:customStyle="1">
    <w:basedOn w:val="TableNormal4"/>
    <w:tblPr>
      <w:tblStyleRowBandSize w:val="1"/>
      <w:tblStyleColBandSize w:val="1"/>
      <w:tblCellMar>
        <w:left w:w="115.0" w:type="dxa"/>
        <w:right w:w="115.0" w:type="dxa"/>
      </w:tblCellMar>
    </w:tblPr>
  </w:style>
  <w:style w:type="table" w:styleId="afc" w:customStyle="1">
    <w:basedOn w:val="TableNormal4"/>
    <w:tblPr>
      <w:tblStyleRowBandSize w:val="1"/>
      <w:tblStyleColBandSize w:val="1"/>
      <w:tblCellMar>
        <w:left w:w="115.0" w:type="dxa"/>
        <w:right w:w="115.0" w:type="dxa"/>
      </w:tblCellMar>
    </w:tblPr>
  </w:style>
  <w:style w:type="table" w:styleId="afd" w:customStyle="1">
    <w:basedOn w:val="TableNormal4"/>
    <w:tblPr>
      <w:tblStyleRowBandSize w:val="1"/>
      <w:tblStyleColBandSize w:val="1"/>
      <w:tblCellMar>
        <w:left w:w="115.0" w:type="dxa"/>
        <w:right w:w="115.0" w:type="dxa"/>
      </w:tblCellMar>
    </w:tblPr>
  </w:style>
  <w:style w:type="table" w:styleId="afe" w:customStyle="1">
    <w:basedOn w:val="TableNormal4"/>
    <w:tblPr>
      <w:tblStyleRowBandSize w:val="1"/>
      <w:tblStyleColBandSize w:val="1"/>
      <w:tblCellMar>
        <w:left w:w="115.0" w:type="dxa"/>
        <w:right w:w="115.0" w:type="dxa"/>
      </w:tblCellMar>
    </w:tblPr>
  </w:style>
  <w:style w:type="table" w:styleId="aff" w:customStyle="1">
    <w:basedOn w:val="TableNormal3"/>
    <w:tblPr>
      <w:tblStyleRowBandSize w:val="1"/>
      <w:tblStyleColBandSize w:val="1"/>
      <w:tblCellMar>
        <w:left w:w="115.0" w:type="dxa"/>
        <w:right w:w="115.0" w:type="dxa"/>
      </w:tblCellMar>
    </w:tblPr>
  </w:style>
  <w:style w:type="table" w:styleId="aff0" w:customStyle="1">
    <w:basedOn w:val="TableNormal3"/>
    <w:tblPr>
      <w:tblStyleRowBandSize w:val="1"/>
      <w:tblStyleColBandSize w:val="1"/>
      <w:tblCellMar>
        <w:left w:w="115.0" w:type="dxa"/>
        <w:right w:w="115.0" w:type="dxa"/>
      </w:tblCellMar>
    </w:tblPr>
  </w:style>
  <w:style w:type="table" w:styleId="aff1" w:customStyle="1">
    <w:basedOn w:val="TableNormal3"/>
    <w:tblPr>
      <w:tblStyleRowBandSize w:val="1"/>
      <w:tblStyleColBandSize w:val="1"/>
      <w:tblCellMar>
        <w:left w:w="115.0" w:type="dxa"/>
        <w:right w:w="115.0" w:type="dxa"/>
      </w:tblCellMar>
    </w:tblPr>
  </w:style>
  <w:style w:type="table" w:styleId="aff2" w:customStyle="1">
    <w:basedOn w:val="TableNormal3"/>
    <w:tblPr>
      <w:tblStyleRowBandSize w:val="1"/>
      <w:tblStyleColBandSize w:val="1"/>
      <w:tblCellMar>
        <w:left w:w="115.0" w:type="dxa"/>
        <w:right w:w="115.0" w:type="dxa"/>
      </w:tblCellMar>
    </w:tblPr>
  </w:style>
  <w:style w:type="character" w:styleId="Ttulo1Car" w:customStyle="1">
    <w:name w:val="Título 1 Car"/>
    <w:basedOn w:val="Fuentedeprrafopredeter"/>
    <w:link w:val="Ttulo1"/>
    <w:uiPriority w:val="9"/>
    <w:rsid w:val="000009E2"/>
    <w:rPr>
      <w:rFonts w:asciiTheme="majorHAnsi" w:cstheme="majorBidi" w:eastAsiaTheme="majorEastAsia" w:hAnsiTheme="majorHAnsi"/>
      <w:caps w:val="1"/>
      <w:sz w:val="36"/>
      <w:szCs w:val="36"/>
    </w:rPr>
  </w:style>
  <w:style w:type="character" w:styleId="Ttulo2Car" w:customStyle="1">
    <w:name w:val="Título 2 Car"/>
    <w:basedOn w:val="Fuentedeprrafopredeter"/>
    <w:link w:val="Ttulo2"/>
    <w:uiPriority w:val="9"/>
    <w:semiHidden w:val="1"/>
    <w:rsid w:val="000009E2"/>
    <w:rPr>
      <w:rFonts w:asciiTheme="majorHAnsi" w:cstheme="majorBidi" w:eastAsiaTheme="majorEastAsia" w:hAnsiTheme="majorHAnsi"/>
      <w:caps w:val="1"/>
      <w:sz w:val="28"/>
      <w:szCs w:val="28"/>
    </w:rPr>
  </w:style>
  <w:style w:type="character" w:styleId="Ttulo3Car" w:customStyle="1">
    <w:name w:val="Título 3 Car"/>
    <w:basedOn w:val="Fuentedeprrafopredeter"/>
    <w:link w:val="Ttulo3"/>
    <w:uiPriority w:val="9"/>
    <w:semiHidden w:val="1"/>
    <w:rsid w:val="000009E2"/>
    <w:rPr>
      <w:rFonts w:asciiTheme="majorHAnsi" w:cstheme="majorBidi" w:eastAsiaTheme="majorEastAsia" w:hAnsiTheme="majorHAnsi"/>
      <w:smallCaps w:val="1"/>
      <w:sz w:val="28"/>
      <w:szCs w:val="28"/>
    </w:rPr>
  </w:style>
  <w:style w:type="character" w:styleId="Ttulo4Car" w:customStyle="1">
    <w:name w:val="Título 4 Car"/>
    <w:basedOn w:val="Fuentedeprrafopredeter"/>
    <w:link w:val="Ttulo4"/>
    <w:uiPriority w:val="9"/>
    <w:semiHidden w:val="1"/>
    <w:rsid w:val="000009E2"/>
    <w:rPr>
      <w:rFonts w:asciiTheme="majorHAnsi" w:cstheme="majorBidi" w:eastAsiaTheme="majorEastAsia" w:hAnsiTheme="majorHAnsi"/>
      <w:caps w:val="1"/>
    </w:rPr>
  </w:style>
  <w:style w:type="character" w:styleId="Ttulo5Car" w:customStyle="1">
    <w:name w:val="Título 5 Car"/>
    <w:basedOn w:val="Fuentedeprrafopredeter"/>
    <w:link w:val="Ttulo5"/>
    <w:uiPriority w:val="9"/>
    <w:semiHidden w:val="1"/>
    <w:rsid w:val="000009E2"/>
    <w:rPr>
      <w:rFonts w:asciiTheme="majorHAnsi" w:cstheme="majorBidi" w:eastAsiaTheme="majorEastAsia" w:hAnsiTheme="majorHAnsi"/>
      <w:i w:val="1"/>
      <w:iCs w:val="1"/>
      <w:caps w:val="1"/>
    </w:rPr>
  </w:style>
  <w:style w:type="character" w:styleId="Ttulo6Car" w:customStyle="1">
    <w:name w:val="Título 6 Car"/>
    <w:basedOn w:val="Fuentedeprrafopredeter"/>
    <w:link w:val="Ttulo6"/>
    <w:uiPriority w:val="9"/>
    <w:semiHidden w:val="1"/>
    <w:rsid w:val="000009E2"/>
    <w:rPr>
      <w:rFonts w:asciiTheme="majorHAnsi" w:cstheme="majorBidi" w:eastAsiaTheme="majorEastAsia" w:hAnsiTheme="majorHAnsi"/>
      <w:b w:val="1"/>
      <w:bCs w:val="1"/>
      <w:caps w:val="1"/>
      <w:color w:val="262626" w:themeColor="text1" w:themeTint="0000D9"/>
      <w:sz w:val="20"/>
      <w:szCs w:val="20"/>
    </w:rPr>
  </w:style>
  <w:style w:type="character" w:styleId="Ttulo7Car" w:customStyle="1">
    <w:name w:val="Título 7 Car"/>
    <w:basedOn w:val="Fuentedeprrafopredeter"/>
    <w:link w:val="Ttulo7"/>
    <w:uiPriority w:val="9"/>
    <w:semiHidden w:val="1"/>
    <w:rsid w:val="000009E2"/>
    <w:rPr>
      <w:rFonts w:asciiTheme="majorHAnsi" w:cstheme="majorBidi" w:eastAsiaTheme="majorEastAsia" w:hAnsiTheme="majorHAnsi"/>
      <w:b w:val="1"/>
      <w:bCs w:val="1"/>
      <w:i w:val="1"/>
      <w:iCs w:val="1"/>
      <w:caps w:val="1"/>
      <w:color w:val="262626" w:themeColor="text1" w:themeTint="0000D9"/>
      <w:sz w:val="20"/>
      <w:szCs w:val="20"/>
    </w:rPr>
  </w:style>
  <w:style w:type="character" w:styleId="Ttulo8Car" w:customStyle="1">
    <w:name w:val="Título 8 Car"/>
    <w:basedOn w:val="Fuentedeprrafopredeter"/>
    <w:link w:val="Ttulo8"/>
    <w:uiPriority w:val="9"/>
    <w:semiHidden w:val="1"/>
    <w:rsid w:val="000009E2"/>
    <w:rPr>
      <w:rFonts w:asciiTheme="majorHAnsi" w:cstheme="majorBidi" w:eastAsiaTheme="majorEastAsia" w:hAnsiTheme="majorHAnsi"/>
      <w:b w:val="1"/>
      <w:bCs w:val="1"/>
      <w:caps w:val="1"/>
      <w:color w:val="7f7f7f" w:themeColor="text1" w:themeTint="000080"/>
      <w:sz w:val="20"/>
      <w:szCs w:val="20"/>
    </w:rPr>
  </w:style>
  <w:style w:type="character" w:styleId="Ttulo9Car" w:customStyle="1">
    <w:name w:val="Título 9 Car"/>
    <w:basedOn w:val="Fuentedeprrafopredeter"/>
    <w:link w:val="Ttulo9"/>
    <w:uiPriority w:val="9"/>
    <w:semiHidden w:val="1"/>
    <w:rsid w:val="000009E2"/>
    <w:rPr>
      <w:rFonts w:asciiTheme="majorHAnsi" w:cstheme="majorBidi" w:eastAsiaTheme="majorEastAsia" w:hAnsiTheme="majorHAnsi"/>
      <w:b w:val="1"/>
      <w:bCs w:val="1"/>
      <w:i w:val="1"/>
      <w:iCs w:val="1"/>
      <w:caps w:val="1"/>
      <w:color w:val="7f7f7f" w:themeColor="text1" w:themeTint="000080"/>
      <w:sz w:val="20"/>
      <w:szCs w:val="20"/>
    </w:rPr>
  </w:style>
  <w:style w:type="paragraph" w:styleId="Descripcin">
    <w:name w:val="caption"/>
    <w:basedOn w:val="Normal"/>
    <w:next w:val="Normal"/>
    <w:uiPriority w:val="35"/>
    <w:semiHidden w:val="1"/>
    <w:unhideWhenUsed w:val="1"/>
    <w:qFormat w:val="1"/>
    <w:rsid w:val="000009E2"/>
    <w:pPr>
      <w:spacing w:line="240" w:lineRule="auto"/>
    </w:pPr>
    <w:rPr>
      <w:b w:val="1"/>
      <w:bCs w:val="1"/>
      <w:smallCaps w:val="1"/>
      <w:color w:val="595959" w:themeColor="text1" w:themeTint="0000A6"/>
    </w:rPr>
  </w:style>
  <w:style w:type="character" w:styleId="TtuloCar" w:customStyle="1">
    <w:name w:val="Título Car"/>
    <w:basedOn w:val="Fuentedeprrafopredeter"/>
    <w:link w:val="Ttulo"/>
    <w:uiPriority w:val="10"/>
    <w:rsid w:val="000009E2"/>
    <w:rPr>
      <w:rFonts w:asciiTheme="majorHAnsi" w:cstheme="majorBidi" w:eastAsiaTheme="majorEastAsia" w:hAnsiTheme="majorHAnsi"/>
      <w:caps w:val="1"/>
      <w:color w:val="404040" w:themeColor="text1" w:themeTint="0000BF"/>
      <w:spacing w:val="-10"/>
      <w:sz w:val="72"/>
      <w:szCs w:val="72"/>
    </w:rPr>
  </w:style>
  <w:style w:type="character" w:styleId="SubttuloCar" w:customStyle="1">
    <w:name w:val="Subtítulo Car"/>
    <w:basedOn w:val="Fuentedeprrafopredeter"/>
    <w:link w:val="Subttulo"/>
    <w:uiPriority w:val="11"/>
    <w:rsid w:val="000009E2"/>
    <w:rPr>
      <w:rFonts w:asciiTheme="majorHAnsi" w:cstheme="majorBidi" w:eastAsiaTheme="majorEastAsia" w:hAnsiTheme="majorHAnsi"/>
      <w:smallCaps w:val="1"/>
      <w:color w:val="595959" w:themeColor="text1" w:themeTint="0000A6"/>
      <w:sz w:val="28"/>
      <w:szCs w:val="28"/>
    </w:rPr>
  </w:style>
  <w:style w:type="character" w:styleId="Textoennegrita">
    <w:name w:val="Strong"/>
    <w:basedOn w:val="Fuentedeprrafopredeter"/>
    <w:uiPriority w:val="22"/>
    <w:qFormat w:val="1"/>
    <w:rsid w:val="000009E2"/>
    <w:rPr>
      <w:b w:val="1"/>
      <w:bCs w:val="1"/>
    </w:rPr>
  </w:style>
  <w:style w:type="character" w:styleId="nfasis">
    <w:name w:val="Emphasis"/>
    <w:basedOn w:val="Fuentedeprrafopredeter"/>
    <w:uiPriority w:val="20"/>
    <w:qFormat w:val="1"/>
    <w:rsid w:val="000009E2"/>
    <w:rPr>
      <w:i w:val="1"/>
      <w:iCs w:val="1"/>
    </w:rPr>
  </w:style>
  <w:style w:type="paragraph" w:styleId="Cita">
    <w:name w:val="Quote"/>
    <w:basedOn w:val="Normal"/>
    <w:next w:val="Normal"/>
    <w:link w:val="CitaCar"/>
    <w:uiPriority w:val="29"/>
    <w:qFormat w:val="1"/>
    <w:rsid w:val="000009E2"/>
    <w:pPr>
      <w:spacing w:before="160" w:line="240" w:lineRule="auto"/>
      <w:ind w:left="720" w:right="720"/>
    </w:pPr>
    <w:rPr>
      <w:rFonts w:asciiTheme="majorHAnsi" w:cstheme="majorBidi" w:eastAsiaTheme="majorEastAsia" w:hAnsiTheme="majorHAnsi"/>
      <w:sz w:val="25"/>
      <w:szCs w:val="25"/>
    </w:rPr>
  </w:style>
  <w:style w:type="character" w:styleId="CitaCar" w:customStyle="1">
    <w:name w:val="Cita Car"/>
    <w:basedOn w:val="Fuentedeprrafopredeter"/>
    <w:link w:val="Cita"/>
    <w:uiPriority w:val="29"/>
    <w:rsid w:val="000009E2"/>
    <w:rPr>
      <w:rFonts w:asciiTheme="majorHAnsi" w:cstheme="majorBidi" w:eastAsiaTheme="majorEastAsia" w:hAnsiTheme="majorHAnsi"/>
      <w:sz w:val="25"/>
      <w:szCs w:val="25"/>
    </w:rPr>
  </w:style>
  <w:style w:type="paragraph" w:styleId="Citadestacada">
    <w:name w:val="Intense Quote"/>
    <w:basedOn w:val="Normal"/>
    <w:next w:val="Normal"/>
    <w:link w:val="CitadestacadaCar"/>
    <w:uiPriority w:val="30"/>
    <w:qFormat w:val="1"/>
    <w:rsid w:val="000009E2"/>
    <w:pPr>
      <w:spacing w:after="280" w:before="280" w:line="240" w:lineRule="auto"/>
      <w:ind w:left="1080" w:right="1080"/>
      <w:jc w:val="center"/>
    </w:pPr>
    <w:rPr>
      <w:color w:val="404040" w:themeColor="text1" w:themeTint="0000BF"/>
      <w:sz w:val="32"/>
      <w:szCs w:val="32"/>
    </w:rPr>
  </w:style>
  <w:style w:type="character" w:styleId="CitadestacadaCar" w:customStyle="1">
    <w:name w:val="Cita destacada Car"/>
    <w:basedOn w:val="Fuentedeprrafopredeter"/>
    <w:link w:val="Citadestacada"/>
    <w:uiPriority w:val="30"/>
    <w:rsid w:val="000009E2"/>
    <w:rPr>
      <w:color w:val="404040" w:themeColor="text1" w:themeTint="0000BF"/>
      <w:sz w:val="32"/>
      <w:szCs w:val="32"/>
    </w:rPr>
  </w:style>
  <w:style w:type="character" w:styleId="nfasissutil">
    <w:name w:val="Subtle Emphasis"/>
    <w:basedOn w:val="Fuentedeprrafopredeter"/>
    <w:uiPriority w:val="19"/>
    <w:qFormat w:val="1"/>
    <w:rsid w:val="000009E2"/>
    <w:rPr>
      <w:i w:val="1"/>
      <w:iCs w:val="1"/>
      <w:color w:val="595959" w:themeColor="text1" w:themeTint="0000A6"/>
    </w:rPr>
  </w:style>
  <w:style w:type="character" w:styleId="nfasisintenso">
    <w:name w:val="Intense Emphasis"/>
    <w:basedOn w:val="Fuentedeprrafopredeter"/>
    <w:uiPriority w:val="21"/>
    <w:qFormat w:val="1"/>
    <w:rsid w:val="000009E2"/>
    <w:rPr>
      <w:b w:val="1"/>
      <w:bCs w:val="1"/>
      <w:i w:val="1"/>
      <w:iCs w:val="1"/>
    </w:rPr>
  </w:style>
  <w:style w:type="character" w:styleId="Referenciasutil">
    <w:name w:val="Subtle Reference"/>
    <w:basedOn w:val="Fuentedeprrafopredeter"/>
    <w:uiPriority w:val="31"/>
    <w:qFormat w:val="1"/>
    <w:rsid w:val="000009E2"/>
    <w:rPr>
      <w:smallCaps w:val="1"/>
      <w:color w:val="404040" w:themeColor="text1" w:themeTint="0000BF"/>
      <w:u w:color="7f7f7f" w:themeColor="text1" w:themeTint="000080" w:val="single"/>
    </w:rPr>
  </w:style>
  <w:style w:type="character" w:styleId="Referenciaintensa">
    <w:name w:val="Intense Reference"/>
    <w:basedOn w:val="Fuentedeprrafopredeter"/>
    <w:uiPriority w:val="32"/>
    <w:qFormat w:val="1"/>
    <w:rsid w:val="000009E2"/>
    <w:rPr>
      <w:b w:val="1"/>
      <w:bCs w:val="1"/>
      <w:caps w:val="0"/>
      <w:smallCaps w:val="1"/>
      <w:color w:val="auto"/>
      <w:spacing w:val="3"/>
      <w:u w:val="single"/>
    </w:rPr>
  </w:style>
  <w:style w:type="character" w:styleId="Ttulodellibro">
    <w:name w:val="Book Title"/>
    <w:basedOn w:val="Fuentedeprrafopredeter"/>
    <w:uiPriority w:val="33"/>
    <w:qFormat w:val="1"/>
    <w:rsid w:val="000009E2"/>
    <w:rPr>
      <w:b w:val="1"/>
      <w:bCs w:val="1"/>
      <w:smallCaps w:val="1"/>
      <w:spacing w:val="7"/>
    </w:rPr>
  </w:style>
  <w:style w:type="paragraph" w:styleId="TtuloTDC">
    <w:name w:val="TOC Heading"/>
    <w:basedOn w:val="Ttulo1"/>
    <w:next w:val="Normal"/>
    <w:uiPriority w:val="39"/>
    <w:semiHidden w:val="1"/>
    <w:unhideWhenUsed w:val="1"/>
    <w:qFormat w:val="1"/>
    <w:rsid w:val="000009E2"/>
    <w:pPr>
      <w:outlineLvl w:val="9"/>
    </w:pPr>
  </w:style>
  <w:style w:type="table" w:styleId="aff3" w:customStyle="1">
    <w:basedOn w:val="TableNormal2"/>
    <w:tblPr>
      <w:tblStyleRowBandSize w:val="1"/>
      <w:tblStyleColBandSize w:val="1"/>
      <w:tblCellMar>
        <w:left w:w="115.0" w:type="dxa"/>
        <w:right w:w="115.0" w:type="dxa"/>
      </w:tblCellMar>
    </w:tblPr>
  </w:style>
  <w:style w:type="table" w:styleId="aff4" w:customStyle="1">
    <w:basedOn w:val="TableNormal2"/>
    <w:tblPr>
      <w:tblStyleRowBandSize w:val="1"/>
      <w:tblStyleColBandSize w:val="1"/>
      <w:tblCellMar>
        <w:left w:w="115.0" w:type="dxa"/>
        <w:right w:w="115.0" w:type="dxa"/>
      </w:tblCellMar>
    </w:tblPr>
  </w:style>
  <w:style w:type="table" w:styleId="aff5" w:customStyle="1">
    <w:basedOn w:val="TableNormal2"/>
    <w:tblPr>
      <w:tblStyleRowBandSize w:val="1"/>
      <w:tblStyleColBandSize w:val="1"/>
      <w:tblCellMar>
        <w:left w:w="115.0" w:type="dxa"/>
        <w:right w:w="115.0" w:type="dxa"/>
      </w:tblCellMar>
    </w:tblPr>
  </w:style>
  <w:style w:type="table" w:styleId="aff6" w:customStyle="1">
    <w:basedOn w:val="TableNormal2"/>
    <w:tblPr>
      <w:tblStyleRowBandSize w:val="1"/>
      <w:tblStyleColBandSize w:val="1"/>
      <w:tblCellMar>
        <w:left w:w="108.0" w:type="dxa"/>
        <w:right w:w="108.0" w:type="dxa"/>
      </w:tblCellMar>
    </w:tblPr>
  </w:style>
  <w:style w:type="table" w:styleId="aff7" w:customStyle="1">
    <w:basedOn w:val="TableNormal2"/>
    <w:tblPr>
      <w:tblStyleRowBandSize w:val="1"/>
      <w:tblStyleColBandSize w:val="1"/>
      <w:tblCellMar>
        <w:left w:w="115.0" w:type="dxa"/>
        <w:right w:w="115.0" w:type="dxa"/>
      </w:tblCellMar>
    </w:tblPr>
  </w:style>
  <w:style w:type="table" w:styleId="aff8" w:customStyle="1">
    <w:basedOn w:val="TableNormal2"/>
    <w:tblPr>
      <w:tblStyleRowBandSize w:val="1"/>
      <w:tblStyleColBandSize w:val="1"/>
      <w:tblCellMar>
        <w:left w:w="115.0" w:type="dxa"/>
        <w:right w:w="115.0" w:type="dxa"/>
      </w:tblCellMar>
    </w:tblPr>
  </w:style>
  <w:style w:type="table" w:styleId="aff9" w:customStyle="1">
    <w:basedOn w:val="TableNormal1"/>
    <w:tblPr>
      <w:tblStyleRowBandSize w:val="1"/>
      <w:tblStyleColBandSize w:val="1"/>
      <w:tblCellMar>
        <w:left w:w="115.0" w:type="dxa"/>
        <w:right w:w="115.0" w:type="dxa"/>
      </w:tblCellMar>
    </w:tblPr>
  </w:style>
  <w:style w:type="table" w:styleId="affa" w:customStyle="1">
    <w:basedOn w:val="TableNormal1"/>
    <w:tblPr>
      <w:tblStyleRowBandSize w:val="1"/>
      <w:tblStyleColBandSize w:val="1"/>
      <w:tblCellMar>
        <w:left w:w="115.0" w:type="dxa"/>
        <w:right w:w="115.0" w:type="dxa"/>
      </w:tblCellMar>
    </w:tblPr>
  </w:style>
  <w:style w:type="table" w:styleId="affb" w:customStyle="1">
    <w:basedOn w:val="TableNormal1"/>
    <w:tblPr>
      <w:tblStyleRowBandSize w:val="1"/>
      <w:tblStyleColBandSize w:val="1"/>
      <w:tblCellMar>
        <w:left w:w="115.0" w:type="dxa"/>
        <w:right w:w="115.0" w:type="dxa"/>
      </w:tblCellMar>
    </w:tblPr>
  </w:style>
  <w:style w:type="table" w:styleId="affc" w:customStyle="1">
    <w:basedOn w:val="TableNormal1"/>
    <w:tblPr>
      <w:tblStyleRowBandSize w:val="1"/>
      <w:tblStyleColBandSize w:val="1"/>
      <w:tblCellMar>
        <w:left w:w="115.0" w:type="dxa"/>
        <w:right w:w="115.0" w:type="dxa"/>
      </w:tblCellMar>
    </w:tblPr>
  </w:style>
  <w:style w:type="table" w:styleId="affd" w:customStyle="1">
    <w:basedOn w:val="TableNormal1"/>
    <w:tblPr>
      <w:tblStyleRowBandSize w:val="1"/>
      <w:tblStyleColBandSize w:val="1"/>
      <w:tblCellMar>
        <w:left w:w="115.0" w:type="dxa"/>
        <w:right w:w="115.0" w:type="dxa"/>
      </w:tblCellMar>
    </w:tblPr>
  </w:style>
  <w:style w:type="table" w:styleId="affe" w:customStyle="1">
    <w:basedOn w:val="TableNormal1"/>
    <w:tblPr>
      <w:tblStyleRowBandSize w:val="1"/>
      <w:tblStyleColBandSize w:val="1"/>
      <w:tblCellMar>
        <w:left w:w="115.0" w:type="dxa"/>
        <w:right w:w="115.0" w:type="dxa"/>
      </w:tblCellMar>
    </w:tblPr>
  </w:style>
  <w:style w:type="paragraph" w:styleId="Default" w:customStyle="1">
    <w:name w:val="Default"/>
    <w:rsid w:val="00557977"/>
    <w:pPr>
      <w:autoSpaceDE w:val="0"/>
      <w:autoSpaceDN w:val="0"/>
      <w:adjustRightInd w:val="0"/>
      <w:spacing w:after="0" w:line="240" w:lineRule="auto"/>
    </w:pPr>
    <w:rPr>
      <w:rFonts w:ascii="Tahoma" w:cs="Tahoma" w:hAnsi="Tahoma"/>
      <w:color w:val="000000"/>
      <w:sz w:val="24"/>
      <w:szCs w:val="24"/>
    </w:rPr>
  </w:style>
  <w:style w:type="table" w:styleId="afff" w:customStyle="1">
    <w:basedOn w:val="TableNormal0"/>
    <w:tblPr>
      <w:tblStyleRowBandSize w:val="1"/>
      <w:tblStyleColBandSize w:val="1"/>
      <w:tblCellMar>
        <w:left w:w="115.0" w:type="dxa"/>
        <w:right w:w="115.0" w:type="dxa"/>
      </w:tblCellMar>
    </w:tblPr>
  </w:style>
  <w:style w:type="table" w:styleId="afff0" w:customStyle="1">
    <w:basedOn w:val="TableNormal0"/>
    <w:tblPr>
      <w:tblStyleRowBandSize w:val="1"/>
      <w:tblStyleColBandSize w:val="1"/>
      <w:tblCellMar>
        <w:left w:w="115.0" w:type="dxa"/>
        <w:right w:w="115.0" w:type="dxa"/>
      </w:tblCellMar>
    </w:tblPr>
  </w:style>
  <w:style w:type="table" w:styleId="afff1" w:customStyle="1">
    <w:basedOn w:val="TableNormal0"/>
    <w:tblPr>
      <w:tblStyleRowBandSize w:val="1"/>
      <w:tblStyleColBandSize w:val="1"/>
      <w:tblCellMar>
        <w:left w:w="115.0" w:type="dxa"/>
        <w:right w:w="115.0" w:type="dxa"/>
      </w:tblCellMar>
    </w:tblPr>
  </w:style>
  <w:style w:type="table" w:styleId="afff2" w:customStyle="1">
    <w:basedOn w:val="TableNormal0"/>
    <w:tblPr>
      <w:tblStyleRowBandSize w:val="1"/>
      <w:tblStyleColBandSize w:val="1"/>
      <w:tblCellMar>
        <w:left w:w="115.0" w:type="dxa"/>
        <w:right w:w="115.0" w:type="dxa"/>
      </w:tblCellMar>
    </w:tblPr>
  </w:style>
  <w:style w:type="table" w:styleId="afff3" w:customStyle="1">
    <w:basedOn w:val="TableNormal0"/>
    <w:tblPr>
      <w:tblStyleRowBandSize w:val="1"/>
      <w:tblStyleColBandSize w:val="1"/>
      <w:tblCellMar>
        <w:left w:w="115.0" w:type="dxa"/>
        <w:right w:w="115.0" w:type="dxa"/>
      </w:tblCellMar>
    </w:tblPr>
  </w:style>
  <w:style w:type="table" w:styleId="afff4"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rPr>
      <w:smallCaps w:val="1"/>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22.png"/><Relationship Id="rId21" Type="http://schemas.openxmlformats.org/officeDocument/2006/relationships/image" Target="media/image26.png"/><Relationship Id="rId24" Type="http://schemas.openxmlformats.org/officeDocument/2006/relationships/image" Target="media/image24.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26" Type="http://schemas.openxmlformats.org/officeDocument/2006/relationships/header" Target="header1.xml"/><Relationship Id="rId25" Type="http://schemas.openxmlformats.org/officeDocument/2006/relationships/image" Target="media/image23.png"/><Relationship Id="rId28" Type="http://schemas.openxmlformats.org/officeDocument/2006/relationships/footer" Target="footer1.xml"/><Relationship Id="rId27"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3.png"/><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4.png"/><Relationship Id="rId12" Type="http://schemas.openxmlformats.org/officeDocument/2006/relationships/image" Target="media/image15.png"/><Relationship Id="rId15" Type="http://schemas.openxmlformats.org/officeDocument/2006/relationships/image" Target="media/image6.png"/><Relationship Id="rId14" Type="http://schemas.openxmlformats.org/officeDocument/2006/relationships/image" Target="media/image9.png"/><Relationship Id="rId17" Type="http://schemas.openxmlformats.org/officeDocument/2006/relationships/image" Target="media/image19.png"/><Relationship Id="rId16" Type="http://schemas.openxmlformats.org/officeDocument/2006/relationships/image" Target="media/image2.png"/><Relationship Id="rId19" Type="http://schemas.openxmlformats.org/officeDocument/2006/relationships/image" Target="media/image8.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sv77NutEH4FSAdAwrVD72+G0YA==">CgMxLjAyCWguMWZvYjl0ZTIJaC4zMGowemxsMgloLjNyZGNyam4yCWguMTdkcDh2dTIIaC5namRneHMyDmgubGx1NXczeHcxajhnOAByITFMMUtZOVIxMUc0QlRoRWZrRTNyTWpWSV9zbnpJWXZKTA==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2025-08-07T23:12:00Z</dcterms:created>
  <dc:creator>USUARIO</dc:creator>
</cp:coreProperties>
</file>