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06B3"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F425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dieciséis de julio de dos mil veinticinco. </w:t>
      </w:r>
    </w:p>
    <w:p w14:paraId="6B91B939" w14:textId="77777777" w:rsidR="009F67B5" w:rsidRPr="00F425BF" w:rsidRDefault="000F30A8">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F425BF">
        <w:rPr>
          <w:rFonts w:ascii="Palatino Linotype" w:eastAsia="Palatino Linotype" w:hAnsi="Palatino Linotype" w:cs="Palatino Linotype"/>
          <w:b/>
        </w:rPr>
        <w:t>VISTO</w:t>
      </w:r>
      <w:r w:rsidRPr="00F425BF">
        <w:rPr>
          <w:rFonts w:ascii="Palatino Linotype" w:eastAsia="Palatino Linotype" w:hAnsi="Palatino Linotype" w:cs="Palatino Linotype"/>
        </w:rPr>
        <w:t xml:space="preserve"> el expediente formado con motivo del recurso de revisión </w:t>
      </w:r>
      <w:r w:rsidRPr="00F425BF">
        <w:rPr>
          <w:rFonts w:ascii="Palatino Linotype" w:eastAsia="Palatino Linotype" w:hAnsi="Palatino Linotype" w:cs="Palatino Linotype"/>
          <w:b/>
        </w:rPr>
        <w:t>04689/INFOEM/IP/RR/2025</w:t>
      </w:r>
      <w:r w:rsidRPr="00F425BF">
        <w:rPr>
          <w:rFonts w:ascii="Palatino Linotype" w:eastAsia="Palatino Linotype" w:hAnsi="Palatino Linotype" w:cs="Palatino Linotype"/>
        </w:rPr>
        <w:t>, interpuesto por</w:t>
      </w:r>
      <w:r w:rsidRPr="00F425BF">
        <w:rPr>
          <w:rFonts w:ascii="Palatino Linotype" w:eastAsia="Palatino Linotype" w:hAnsi="Palatino Linotype" w:cs="Palatino Linotype"/>
          <w:b/>
        </w:rPr>
        <w:t xml:space="preserve"> una persona que no proporcionó nombre o seudónimo,</w:t>
      </w:r>
      <w:r w:rsidRPr="00F425BF">
        <w:rPr>
          <w:rFonts w:ascii="Palatino Linotype" w:eastAsia="Palatino Linotype" w:hAnsi="Palatino Linotype" w:cs="Palatino Linotype"/>
        </w:rPr>
        <w:t xml:space="preserve"> en lo sucesivo</w:t>
      </w:r>
      <w:r w:rsidRPr="00F425BF">
        <w:rPr>
          <w:rFonts w:ascii="Palatino Linotype" w:eastAsia="Palatino Linotype" w:hAnsi="Palatino Linotype" w:cs="Palatino Linotype"/>
          <w:b/>
        </w:rPr>
        <w:t xml:space="preserve"> </w:t>
      </w:r>
      <w:r w:rsidRPr="00F425BF">
        <w:rPr>
          <w:rFonts w:ascii="Palatino Linotype" w:eastAsia="Palatino Linotype" w:hAnsi="Palatino Linotype" w:cs="Palatino Linotype"/>
        </w:rPr>
        <w:t xml:space="preserve">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en contra de la respuesta a la solicitud de información con número de folio</w:t>
      </w:r>
      <w:r w:rsidRPr="00F425BF">
        <w:rPr>
          <w:rFonts w:ascii="Palatino Linotype" w:eastAsia="Palatino Linotype" w:hAnsi="Palatino Linotype" w:cs="Palatino Linotype"/>
          <w:b/>
        </w:rPr>
        <w:t xml:space="preserve"> 00045/POLOTI/IP/2025, </w:t>
      </w:r>
      <w:r w:rsidRPr="00F425BF">
        <w:rPr>
          <w:rFonts w:ascii="Palatino Linotype" w:eastAsia="Palatino Linotype" w:hAnsi="Palatino Linotype" w:cs="Palatino Linotype"/>
        </w:rPr>
        <w:t xml:space="preserve">por parte del </w:t>
      </w:r>
      <w:r w:rsidRPr="00F425BF">
        <w:rPr>
          <w:rFonts w:ascii="Palatino Linotype" w:eastAsia="Palatino Linotype" w:hAnsi="Palatino Linotype" w:cs="Palatino Linotype"/>
          <w:b/>
        </w:rPr>
        <w:t xml:space="preserve">Ayuntamiento de </w:t>
      </w:r>
      <w:proofErr w:type="spellStart"/>
      <w:r w:rsidRPr="00F425BF">
        <w:rPr>
          <w:rFonts w:ascii="Palatino Linotype" w:eastAsia="Palatino Linotype" w:hAnsi="Palatino Linotype" w:cs="Palatino Linotype"/>
          <w:b/>
        </w:rPr>
        <w:t>Polotitlán</w:t>
      </w:r>
      <w:proofErr w:type="spellEnd"/>
      <w:r w:rsidRPr="00F425BF">
        <w:rPr>
          <w:rFonts w:ascii="Palatino Linotype" w:eastAsia="Palatino Linotype" w:hAnsi="Palatino Linotype" w:cs="Palatino Linotype"/>
          <w:b/>
        </w:rPr>
        <w:t xml:space="preserve">, </w:t>
      </w:r>
      <w:r w:rsidRPr="00F425BF">
        <w:rPr>
          <w:rFonts w:ascii="Palatino Linotype" w:eastAsia="Palatino Linotype" w:hAnsi="Palatino Linotype" w:cs="Palatino Linotype"/>
        </w:rPr>
        <w:t xml:space="preserve">en lo sucesivo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se procede a dictar la presente resolución con base en los siguientes: </w:t>
      </w:r>
    </w:p>
    <w:p w14:paraId="507BA263" w14:textId="77777777" w:rsidR="009F67B5" w:rsidRPr="00F425BF" w:rsidRDefault="000F30A8">
      <w:pPr>
        <w:spacing w:before="240" w:after="240" w:line="360" w:lineRule="auto"/>
        <w:jc w:val="center"/>
        <w:rPr>
          <w:rFonts w:ascii="Palatino Linotype" w:eastAsia="Palatino Linotype" w:hAnsi="Palatino Linotype" w:cs="Palatino Linotype"/>
          <w:b/>
        </w:rPr>
      </w:pPr>
      <w:r w:rsidRPr="00F425BF">
        <w:rPr>
          <w:rFonts w:ascii="Palatino Linotype" w:eastAsia="Palatino Linotype" w:hAnsi="Palatino Linotype" w:cs="Palatino Linotype"/>
          <w:b/>
        </w:rPr>
        <w:t>I. A N T E C E D E N T E S</w:t>
      </w:r>
    </w:p>
    <w:p w14:paraId="32119259"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F425BF">
        <w:rPr>
          <w:rFonts w:ascii="Palatino Linotype" w:eastAsia="Palatino Linotype" w:hAnsi="Palatino Linotype" w:cs="Palatino Linotype"/>
          <w:b/>
        </w:rPr>
        <w:t>1. Solicitud de acceso a la información.</w:t>
      </w:r>
      <w:r w:rsidRPr="00F425BF">
        <w:rPr>
          <w:rFonts w:ascii="Palatino Linotype" w:eastAsia="Palatino Linotype" w:hAnsi="Palatino Linotype" w:cs="Palatino Linotype"/>
        </w:rPr>
        <w:t xml:space="preserve"> El </w:t>
      </w:r>
      <w:r w:rsidRPr="00F425BF">
        <w:rPr>
          <w:rFonts w:ascii="Palatino Linotype" w:eastAsia="Palatino Linotype" w:hAnsi="Palatino Linotype" w:cs="Palatino Linotype"/>
          <w:b/>
        </w:rPr>
        <w:t>seis de marzo de dos mil veinticinco,</w:t>
      </w:r>
      <w:r w:rsidRPr="00F425BF">
        <w:rPr>
          <w:rFonts w:ascii="Palatino Linotype" w:eastAsia="Palatino Linotype" w:hAnsi="Palatino Linotype" w:cs="Palatino Linotype"/>
        </w:rPr>
        <w:t xml:space="preserve">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 xml:space="preserve">presentó la solicitud de acceso a la información pública ante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a través del Sistema de Acceso a la Información Mexiquense, en lo subsecuente el </w:t>
      </w:r>
      <w:r w:rsidRPr="00F425BF">
        <w:rPr>
          <w:rFonts w:ascii="Palatino Linotype" w:eastAsia="Palatino Linotype" w:hAnsi="Palatino Linotype" w:cs="Palatino Linotype"/>
          <w:b/>
        </w:rPr>
        <w:t>SAIMEX,</w:t>
      </w:r>
      <w:r w:rsidRPr="00F425BF">
        <w:rPr>
          <w:rFonts w:ascii="Palatino Linotype" w:eastAsia="Palatino Linotype" w:hAnsi="Palatino Linotype" w:cs="Palatino Linotype"/>
        </w:rPr>
        <w:t xml:space="preserve"> mediante la cual requirió lo siguiente:</w:t>
      </w:r>
    </w:p>
    <w:p w14:paraId="672826C3" w14:textId="77777777" w:rsidR="009F67B5" w:rsidRPr="00F425BF" w:rsidRDefault="000F30A8">
      <w:pPr>
        <w:ind w:left="851" w:right="900"/>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i/>
          <w:sz w:val="22"/>
          <w:szCs w:val="22"/>
        </w:rPr>
        <w:t xml:space="preserve"> “SOLICITO TODAS LA LICENCIAS DE FUNCIONAMIENTO QUE SE DIERON EN VERCION PUBLICA DEL 2022, 2023, 2024 Y 2025</w:t>
      </w:r>
      <w:r w:rsidRPr="00F425BF">
        <w:rPr>
          <w:rFonts w:ascii="Palatino Linotype" w:eastAsia="Palatino Linotype" w:hAnsi="Palatino Linotype" w:cs="Palatino Linotype"/>
          <w:b/>
          <w:i/>
          <w:sz w:val="22"/>
          <w:szCs w:val="22"/>
        </w:rPr>
        <w:t>”</w:t>
      </w:r>
      <w:r w:rsidRPr="00F425BF">
        <w:rPr>
          <w:rFonts w:ascii="Palatino Linotype" w:eastAsia="Palatino Linotype" w:hAnsi="Palatino Linotype" w:cs="Palatino Linotype"/>
          <w:i/>
          <w:sz w:val="22"/>
          <w:szCs w:val="22"/>
        </w:rPr>
        <w:t xml:space="preserve"> (sic) </w:t>
      </w:r>
    </w:p>
    <w:p w14:paraId="0A63FD28"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F425BF">
        <w:rPr>
          <w:rFonts w:ascii="Palatino Linotype" w:eastAsia="Palatino Linotype" w:hAnsi="Palatino Linotype" w:cs="Palatino Linotype"/>
          <w:b/>
        </w:rPr>
        <w:t>Modalidad de Entrega:</w:t>
      </w:r>
      <w:r w:rsidRPr="00F425BF">
        <w:rPr>
          <w:rFonts w:ascii="Palatino Linotype" w:eastAsia="Palatino Linotype" w:hAnsi="Palatino Linotype" w:cs="Palatino Linotype"/>
        </w:rPr>
        <w:t xml:space="preserve"> a través del</w:t>
      </w:r>
      <w:r w:rsidRPr="00F425BF">
        <w:rPr>
          <w:rFonts w:ascii="Palatino Linotype" w:eastAsia="Palatino Linotype" w:hAnsi="Palatino Linotype" w:cs="Palatino Linotype"/>
          <w:b/>
        </w:rPr>
        <w:t xml:space="preserve"> SAIMEX.</w:t>
      </w:r>
    </w:p>
    <w:p w14:paraId="38F393BD"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b/>
        </w:rPr>
        <w:t xml:space="preserve">2. Respuesta. </w:t>
      </w:r>
      <w:r w:rsidRPr="00F425BF">
        <w:rPr>
          <w:rFonts w:ascii="Palatino Linotype" w:eastAsia="Palatino Linotype" w:hAnsi="Palatino Linotype" w:cs="Palatino Linotype"/>
        </w:rPr>
        <w:t xml:space="preserve">El </w:t>
      </w:r>
      <w:r w:rsidRPr="00F425BF">
        <w:rPr>
          <w:rFonts w:ascii="Palatino Linotype" w:eastAsia="Palatino Linotype" w:hAnsi="Palatino Linotype" w:cs="Palatino Linotype"/>
          <w:b/>
        </w:rPr>
        <w:t>veintisiete de marzo de dos mil veinticinco,</w:t>
      </w:r>
      <w:r w:rsidRPr="00F425BF">
        <w:rPr>
          <w:rFonts w:ascii="Palatino Linotype" w:eastAsia="Palatino Linotype" w:hAnsi="Palatino Linotype" w:cs="Palatino Linotype"/>
        </w:rPr>
        <w:t xml:space="preserve">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737799F1" w14:textId="77777777" w:rsidR="009F67B5" w:rsidRPr="00F425BF" w:rsidRDefault="000F30A8">
      <w:pPr>
        <w:spacing w:before="240" w:after="24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lastRenderedPageBreak/>
        <w:t xml:space="preserve">“…A QUIEN CORRESPONDA PRESENTE Sirva el presente para enviarle un afectuoso saludo, así mismo y con fundamento en el artículo 4, 12, 16, 19, 23 fracción IV, 24 fracción XI y último párrafo, 53, Fracciones: II, V y VI de la Ley de Transparencia y Acceso a la Información Pública del Estado de México y Municipios, en el sentido de dar respuesta a la solicitud de información No. 00045/POLOTI/IP/2025, recibida a través del sistema de acceso a la información (SAIMEX), con fecha 06/03/2025, dirigida al ayuntamiento de </w:t>
      </w:r>
      <w:proofErr w:type="spellStart"/>
      <w:r w:rsidRPr="00F425BF">
        <w:rPr>
          <w:rFonts w:ascii="Palatino Linotype" w:eastAsia="Palatino Linotype" w:hAnsi="Palatino Linotype" w:cs="Palatino Linotype"/>
          <w:i/>
          <w:sz w:val="22"/>
          <w:szCs w:val="22"/>
        </w:rPr>
        <w:t>Polotitlán</w:t>
      </w:r>
      <w:proofErr w:type="spellEnd"/>
      <w:r w:rsidRPr="00F425BF">
        <w:rPr>
          <w:rFonts w:ascii="Palatino Linotype" w:eastAsia="Palatino Linotype" w:hAnsi="Palatino Linotype" w:cs="Palatino Linotype"/>
          <w:i/>
          <w:sz w:val="22"/>
          <w:szCs w:val="22"/>
        </w:rPr>
        <w:t xml:space="preserve">, Estado de México, En base a lo anterior y conforme al artículo 152 de la Ley de Transparencia y Acceso a la Información Pública del Estado de México y Municipios, se adjunta en formato </w:t>
      </w:r>
      <w:proofErr w:type="spellStart"/>
      <w:r w:rsidRPr="00F425BF">
        <w:rPr>
          <w:rFonts w:ascii="Palatino Linotype" w:eastAsia="Palatino Linotype" w:hAnsi="Palatino Linotype" w:cs="Palatino Linotype"/>
          <w:i/>
          <w:sz w:val="22"/>
          <w:szCs w:val="22"/>
        </w:rPr>
        <w:t>pdf</w:t>
      </w:r>
      <w:proofErr w:type="spellEnd"/>
      <w:r w:rsidRPr="00F425BF">
        <w:rPr>
          <w:rFonts w:ascii="Palatino Linotype" w:eastAsia="Palatino Linotype" w:hAnsi="Palatino Linotype" w:cs="Palatino Linotype"/>
          <w:i/>
          <w:sz w:val="22"/>
          <w:szCs w:val="22"/>
        </w:rPr>
        <w:t xml:space="preserve"> la información solicitada. No omito hacer de su conocimiento que podrá interponer por si o a través de su representante, el recurso de revisión previsto por los artículos 176, 179, 178 y 180 de la Ley de Transparencia y Acceso a la Información Pública del Estado de México y Municipios, ante este Sujeto Obligado. Sin más por el momento, le reitero la más alta de mi estima personal....” (sic)</w:t>
      </w:r>
    </w:p>
    <w:p w14:paraId="4E599C0D"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adjuntó lo siguiente:</w:t>
      </w:r>
    </w:p>
    <w:p w14:paraId="5EC46EF8"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Oficio número EXP./DDE/034, del doce de marzo de dos mil veinticinco, mediante el cual el Director de Desarrollo Económico, refirió anexar las licencias de funcionamiento que se encuentran en el archivo del área a su cargo del año 2025, asimismo indicó que no contaba con la información del 2022, 2023 у 2024, al haber iniciado actividades la presente administración el primero de enero del 2025.</w:t>
      </w:r>
    </w:p>
    <w:p w14:paraId="30E20E8A"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Listado de las Licencias de Funcionamiento expedidas en el año 2025, que contiene los datos: nombre, giro comercial y municipio.</w:t>
      </w:r>
    </w:p>
    <w:p w14:paraId="6B5493EE"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 </w:t>
      </w:r>
      <w:r w:rsidRPr="00F425BF">
        <w:rPr>
          <w:rFonts w:ascii="Palatino Linotype" w:eastAsia="Palatino Linotype" w:hAnsi="Palatino Linotype" w:cs="Palatino Linotype"/>
          <w:b/>
        </w:rPr>
        <w:t xml:space="preserve">3. Interposición del recurso de revisión. </w:t>
      </w:r>
      <w:r w:rsidRPr="00F425BF">
        <w:rPr>
          <w:rFonts w:ascii="Palatino Linotype" w:eastAsia="Palatino Linotype" w:hAnsi="Palatino Linotype" w:cs="Palatino Linotype"/>
        </w:rPr>
        <w:t xml:space="preserve">Inconforme con los términos de la respuesta emitida por parte del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el </w:t>
      </w:r>
      <w:r w:rsidRPr="00F425BF">
        <w:rPr>
          <w:rFonts w:ascii="Palatino Linotype" w:eastAsia="Palatino Linotype" w:hAnsi="Palatino Linotype" w:cs="Palatino Linotype"/>
          <w:b/>
        </w:rPr>
        <w:t>veinticuatro de abril de dos mil veinticinco,</w:t>
      </w:r>
      <w:r w:rsidRPr="00F425BF">
        <w:rPr>
          <w:rFonts w:ascii="Palatino Linotype" w:eastAsia="Palatino Linotype" w:hAnsi="Palatino Linotype" w:cs="Palatino Linotype"/>
        </w:rPr>
        <w:t xml:space="preserve">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interpuso el recurso de revisión a través de </w:t>
      </w:r>
      <w:r w:rsidRPr="00F425BF">
        <w:rPr>
          <w:rFonts w:ascii="Palatino Linotype" w:eastAsia="Palatino Linotype" w:hAnsi="Palatino Linotype" w:cs="Palatino Linotype"/>
          <w:b/>
        </w:rPr>
        <w:t xml:space="preserve">SAIMEX, </w:t>
      </w:r>
      <w:r w:rsidRPr="00F425BF">
        <w:rPr>
          <w:rFonts w:ascii="Palatino Linotype" w:eastAsia="Palatino Linotype" w:hAnsi="Palatino Linotype" w:cs="Palatino Linotype"/>
        </w:rPr>
        <w:t xml:space="preserve">sin embargo, al corresponder a un día inhábil se tuvo por presentado el </w:t>
      </w:r>
      <w:r w:rsidRPr="00F425BF">
        <w:rPr>
          <w:rFonts w:ascii="Palatino Linotype" w:eastAsia="Palatino Linotype" w:hAnsi="Palatino Linotype" w:cs="Palatino Linotype"/>
        </w:rPr>
        <w:lastRenderedPageBreak/>
        <w:t xml:space="preserve">día </w:t>
      </w:r>
      <w:r w:rsidRPr="00F425BF">
        <w:rPr>
          <w:rFonts w:ascii="Palatino Linotype" w:eastAsia="Palatino Linotype" w:hAnsi="Palatino Linotype" w:cs="Palatino Linotype"/>
          <w:b/>
        </w:rPr>
        <w:t xml:space="preserve">veintiuno de abril de dos mil veinticinco, </w:t>
      </w:r>
      <w:r w:rsidRPr="00F425BF">
        <w:rPr>
          <w:rFonts w:ascii="Palatino Linotype" w:eastAsia="Palatino Linotype" w:hAnsi="Palatino Linotype" w:cs="Palatino Linotype"/>
        </w:rPr>
        <w:t>en donde se manifestó de la siguiente manera:</w:t>
      </w:r>
    </w:p>
    <w:p w14:paraId="26BBFC76" w14:textId="77777777" w:rsidR="009F67B5" w:rsidRPr="00F425BF" w:rsidRDefault="000F30A8">
      <w:pPr>
        <w:spacing w:before="240" w:after="240" w:line="360" w:lineRule="auto"/>
        <w:ind w:right="49"/>
        <w:jc w:val="both"/>
        <w:rPr>
          <w:rFonts w:ascii="Palatino Linotype" w:eastAsia="Palatino Linotype" w:hAnsi="Palatino Linotype" w:cs="Palatino Linotype"/>
          <w:b/>
        </w:rPr>
      </w:pPr>
      <w:r w:rsidRPr="00F425BF">
        <w:rPr>
          <w:rFonts w:ascii="Palatino Linotype" w:eastAsia="Palatino Linotype" w:hAnsi="Palatino Linotype" w:cs="Palatino Linotype"/>
          <w:b/>
        </w:rPr>
        <w:t xml:space="preserve">Acto impugnado: </w:t>
      </w:r>
    </w:p>
    <w:p w14:paraId="14D0FD08" w14:textId="77777777" w:rsidR="009F67B5" w:rsidRPr="00F425BF" w:rsidRDefault="000F30A8">
      <w:pPr>
        <w:tabs>
          <w:tab w:val="left" w:pos="2745"/>
        </w:tabs>
        <w:spacing w:before="240" w:after="24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“ME NIEGAN LA INFORMACION Y NO LA ATIENDEN COMO LO SOLICITE” (sic)</w:t>
      </w:r>
    </w:p>
    <w:p w14:paraId="3087DE4B" w14:textId="77777777" w:rsidR="009F67B5" w:rsidRPr="00F425BF" w:rsidRDefault="000F30A8">
      <w:pPr>
        <w:spacing w:line="360" w:lineRule="auto"/>
        <w:jc w:val="both"/>
        <w:rPr>
          <w:rFonts w:ascii="Palatino Linotype" w:eastAsia="Palatino Linotype" w:hAnsi="Palatino Linotype" w:cs="Palatino Linotype"/>
        </w:rPr>
      </w:pPr>
      <w:bookmarkStart w:id="4" w:name="_heading=h.30j0zll" w:colFirst="0" w:colLast="0"/>
      <w:bookmarkEnd w:id="4"/>
      <w:r w:rsidRPr="00F425BF">
        <w:rPr>
          <w:rFonts w:ascii="Palatino Linotype" w:eastAsia="Palatino Linotype" w:hAnsi="Palatino Linotype" w:cs="Palatino Linotype"/>
          <w:b/>
        </w:rPr>
        <w:t>Y, Razones o motivos de inconformidad</w:t>
      </w:r>
      <w:r w:rsidRPr="00F425BF">
        <w:rPr>
          <w:rFonts w:ascii="Palatino Linotype" w:eastAsia="Palatino Linotype" w:hAnsi="Palatino Linotype" w:cs="Palatino Linotype"/>
        </w:rPr>
        <w:t>:</w:t>
      </w:r>
    </w:p>
    <w:p w14:paraId="6767BA89" w14:textId="77777777" w:rsidR="009F67B5" w:rsidRPr="00F425BF" w:rsidRDefault="000F30A8">
      <w:pPr>
        <w:tabs>
          <w:tab w:val="left" w:pos="2745"/>
        </w:tabs>
        <w:spacing w:before="240" w:after="24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“ME NIEGAN LA INFORMACION Y NO LA ATIENDEN COMO LO SOLICITE” (sic)</w:t>
      </w:r>
    </w:p>
    <w:p w14:paraId="116C0B10" w14:textId="77777777" w:rsidR="009F67B5" w:rsidRPr="00F425BF" w:rsidRDefault="000F30A8">
      <w:pPr>
        <w:spacing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b/>
        </w:rPr>
        <w:t xml:space="preserve">4. Turno. </w:t>
      </w:r>
      <w:r w:rsidRPr="00F425B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425BF">
        <w:rPr>
          <w:rFonts w:ascii="Palatino Linotype" w:eastAsia="Palatino Linotype" w:hAnsi="Palatino Linotype" w:cs="Palatino Linotype"/>
          <w:b/>
        </w:rPr>
        <w:t xml:space="preserve">Guadalupe Ramírez Peña, </w:t>
      </w:r>
      <w:r w:rsidRPr="00F425BF">
        <w:rPr>
          <w:rFonts w:ascii="Palatino Linotype" w:eastAsia="Palatino Linotype" w:hAnsi="Palatino Linotype" w:cs="Palatino Linotype"/>
        </w:rPr>
        <w:t xml:space="preserve">a efecto de que analizara sobre su admisión o su </w:t>
      </w:r>
      <w:proofErr w:type="spellStart"/>
      <w:r w:rsidRPr="00F425BF">
        <w:rPr>
          <w:rFonts w:ascii="Palatino Linotype" w:eastAsia="Palatino Linotype" w:hAnsi="Palatino Linotype" w:cs="Palatino Linotype"/>
        </w:rPr>
        <w:t>desechamiento</w:t>
      </w:r>
      <w:proofErr w:type="spellEnd"/>
      <w:r w:rsidRPr="00F425BF">
        <w:rPr>
          <w:rFonts w:ascii="Palatino Linotype" w:eastAsia="Palatino Linotype" w:hAnsi="Palatino Linotype" w:cs="Palatino Linotype"/>
        </w:rPr>
        <w:t>.</w:t>
      </w:r>
    </w:p>
    <w:p w14:paraId="78F130DD" w14:textId="77777777" w:rsidR="009F67B5" w:rsidRPr="00F425BF" w:rsidRDefault="000F30A8">
      <w:pPr>
        <w:spacing w:before="240" w:after="240" w:line="360" w:lineRule="auto"/>
        <w:jc w:val="both"/>
        <w:rPr>
          <w:rFonts w:ascii="Palatino Linotype" w:eastAsia="Palatino Linotype" w:hAnsi="Palatino Linotype" w:cs="Palatino Linotype"/>
          <w:b/>
        </w:rPr>
      </w:pPr>
      <w:r w:rsidRPr="00F425BF">
        <w:rPr>
          <w:rFonts w:ascii="Palatino Linotype" w:eastAsia="Palatino Linotype" w:hAnsi="Palatino Linotype" w:cs="Palatino Linotype"/>
          <w:b/>
        </w:rPr>
        <w:t>5. Admisión del Recurso de revisión.</w:t>
      </w:r>
      <w:r w:rsidRPr="00F425BF">
        <w:rPr>
          <w:rFonts w:ascii="Palatino Linotype" w:eastAsia="Palatino Linotype" w:hAnsi="Palatino Linotype" w:cs="Palatino Linotype"/>
        </w:rPr>
        <w:t xml:space="preserve"> El</w:t>
      </w:r>
      <w:r w:rsidRPr="00F425BF">
        <w:rPr>
          <w:rFonts w:ascii="Palatino Linotype" w:eastAsia="Palatino Linotype" w:hAnsi="Palatino Linotype" w:cs="Palatino Linotype"/>
          <w:b/>
        </w:rPr>
        <w:t xml:space="preserve"> veintinueve de abril de dos mil veinticinco, </w:t>
      </w:r>
      <w:r w:rsidRPr="00F425B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presentara su informe justificado.</w:t>
      </w:r>
    </w:p>
    <w:p w14:paraId="57EC7622"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F425BF">
        <w:rPr>
          <w:rFonts w:ascii="Palatino Linotype" w:eastAsia="Palatino Linotype" w:hAnsi="Palatino Linotype" w:cs="Palatino Linotype"/>
          <w:b/>
        </w:rPr>
        <w:t>6. Manifestaciones</w:t>
      </w:r>
      <w:r w:rsidRPr="00F425BF">
        <w:rPr>
          <w:rFonts w:ascii="Palatino Linotype" w:eastAsia="Palatino Linotype" w:hAnsi="Palatino Linotype" w:cs="Palatino Linotype"/>
        </w:rPr>
        <w:t xml:space="preserve">. De las constancias que obran en el expediente electrónico del SAIMEX se desprende que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no rindió su Informe Justificado, del </w:t>
      </w:r>
      <w:r w:rsidRPr="00F425BF">
        <w:rPr>
          <w:rFonts w:ascii="Palatino Linotype" w:eastAsia="Palatino Linotype" w:hAnsi="Palatino Linotype" w:cs="Palatino Linotype"/>
        </w:rPr>
        <w:lastRenderedPageBreak/>
        <w:t>mismo modo la parte</w:t>
      </w:r>
      <w:r w:rsidRPr="00F425BF">
        <w:rPr>
          <w:rFonts w:ascii="Palatino Linotype" w:eastAsia="Palatino Linotype" w:hAnsi="Palatino Linotype" w:cs="Palatino Linotype"/>
          <w:b/>
        </w:rPr>
        <w:t xml:space="preserve"> Recurrente</w:t>
      </w:r>
      <w:r w:rsidRPr="00F425BF">
        <w:rPr>
          <w:rFonts w:ascii="Palatino Linotype" w:eastAsia="Palatino Linotype" w:hAnsi="Palatino Linotype" w:cs="Palatino Linotype"/>
        </w:rPr>
        <w:t xml:space="preserve"> omitió realizar manifestaciones, como se observa a continuación:</w:t>
      </w:r>
    </w:p>
    <w:p w14:paraId="257CED4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noProof/>
        </w:rPr>
        <w:drawing>
          <wp:inline distT="0" distB="0" distL="0" distR="0" wp14:anchorId="76C83271" wp14:editId="7944047F">
            <wp:extent cx="5612130" cy="159321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593215"/>
                    </a:xfrm>
                    <a:prstGeom prst="rect">
                      <a:avLst/>
                    </a:prstGeom>
                    <a:ln/>
                  </pic:spPr>
                </pic:pic>
              </a:graphicData>
            </a:graphic>
          </wp:inline>
        </w:drawing>
      </w:r>
    </w:p>
    <w:p w14:paraId="44A7074B"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b/>
        </w:rPr>
        <w:t xml:space="preserve">7. Cierre de instrucción. </w:t>
      </w:r>
      <w:r w:rsidRPr="00F425B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F425BF">
        <w:rPr>
          <w:rFonts w:ascii="Palatino Linotype" w:eastAsia="Palatino Linotype" w:hAnsi="Palatino Linotype" w:cs="Palatino Linotype"/>
          <w:b/>
        </w:rPr>
        <w:t>veintiséis de junio de dos mil veinticinco</w:t>
      </w:r>
      <w:r w:rsidRPr="00F425B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6CFADEC" w14:textId="77777777" w:rsidR="009F67B5" w:rsidRPr="00F425BF" w:rsidRDefault="000F30A8">
      <w:pPr>
        <w:spacing w:before="240" w:after="240" w:line="360" w:lineRule="auto"/>
        <w:jc w:val="both"/>
        <w:rPr>
          <w:rFonts w:ascii="Palatino Linotype" w:eastAsia="Palatino Linotype" w:hAnsi="Palatino Linotype" w:cs="Palatino Linotype"/>
          <w:b/>
        </w:rPr>
      </w:pPr>
      <w:r w:rsidRPr="00F425BF">
        <w:rPr>
          <w:rFonts w:ascii="Palatino Linotype" w:eastAsia="Palatino Linotype" w:hAnsi="Palatino Linotype" w:cs="Palatino Linotype"/>
          <w:b/>
        </w:rPr>
        <w:t>8</w:t>
      </w:r>
      <w:r w:rsidRPr="00F425BF">
        <w:rPr>
          <w:rFonts w:ascii="Palatino Linotype" w:eastAsia="Palatino Linotype" w:hAnsi="Palatino Linotype" w:cs="Palatino Linotype"/>
        </w:rPr>
        <w:t xml:space="preserve">. </w:t>
      </w:r>
      <w:r w:rsidRPr="00F425BF">
        <w:rPr>
          <w:rFonts w:ascii="Palatino Linotype" w:eastAsia="Palatino Linotype" w:hAnsi="Palatino Linotype" w:cs="Palatino Linotype"/>
          <w:b/>
        </w:rPr>
        <w:t>Ampliación del término para resolver</w:t>
      </w:r>
      <w:r w:rsidRPr="00F425BF">
        <w:rPr>
          <w:rFonts w:ascii="Palatino Linotype" w:eastAsia="Palatino Linotype" w:hAnsi="Palatino Linotype" w:cs="Palatino Linotype"/>
        </w:rPr>
        <w:t xml:space="preserve">. El </w:t>
      </w:r>
      <w:r w:rsidRPr="00F425BF">
        <w:rPr>
          <w:rFonts w:ascii="Palatino Linotype" w:eastAsia="Palatino Linotype" w:hAnsi="Palatino Linotype" w:cs="Palatino Linotype"/>
          <w:b/>
        </w:rPr>
        <w:t>veintiséis de junio de dos mil veinticinco</w:t>
      </w:r>
      <w:r w:rsidRPr="00F425BF">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850233A"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56468DF"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818162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F1648D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F4E07C" w14:textId="77777777" w:rsidR="009F67B5" w:rsidRPr="00F425BF" w:rsidRDefault="000F30A8">
      <w:pPr>
        <w:spacing w:before="240" w:after="240" w:line="360" w:lineRule="auto"/>
        <w:jc w:val="both"/>
        <w:rPr>
          <w:rFonts w:ascii="Palatino Linotype" w:eastAsia="Palatino Linotype" w:hAnsi="Palatino Linotype" w:cs="Palatino Linotype"/>
          <w:strike/>
        </w:rPr>
      </w:pPr>
      <w:r w:rsidRPr="00F425B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154A514" w14:textId="77777777" w:rsidR="009F67B5" w:rsidRPr="00F425BF" w:rsidRDefault="000F30A8">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74DB44C" w14:textId="77777777" w:rsidR="009F67B5" w:rsidRPr="00F425BF" w:rsidRDefault="000F30A8">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F425BF">
        <w:rPr>
          <w:rFonts w:ascii="Palatino Linotype" w:eastAsia="Palatino Linotype" w:hAnsi="Palatino Linotype" w:cs="Palatino Linotype"/>
        </w:rPr>
        <w:t>Actividad Procesal del interesado. Acciones u omisiones del interesado.</w:t>
      </w:r>
    </w:p>
    <w:p w14:paraId="7B0AC51C" w14:textId="77777777" w:rsidR="009F67B5" w:rsidRPr="00F425BF" w:rsidRDefault="000F30A8">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F425BF">
        <w:rPr>
          <w:rFonts w:ascii="Palatino Linotype" w:eastAsia="Palatino Linotype" w:hAnsi="Palatino Linotype" w:cs="Palatino Linotype"/>
        </w:rPr>
        <w:t>Conducta de la Autoridad: Las Acciones u omisiones realizadas en el procedimiento. Así como si la autoridad actuó con la debida diligencia.</w:t>
      </w:r>
    </w:p>
    <w:p w14:paraId="6738CCF7" w14:textId="77777777" w:rsidR="009F67B5" w:rsidRPr="00F425BF" w:rsidRDefault="000F30A8">
      <w:pPr>
        <w:tabs>
          <w:tab w:val="left" w:pos="567"/>
        </w:tabs>
        <w:spacing w:before="240" w:after="240" w:line="360" w:lineRule="auto"/>
        <w:ind w:left="284"/>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091BFB1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7BA521" w14:textId="77777777" w:rsidR="009F67B5" w:rsidRPr="00F425BF" w:rsidRDefault="000F30A8">
      <w:pPr>
        <w:spacing w:before="240" w:after="240" w:line="360" w:lineRule="auto"/>
        <w:jc w:val="both"/>
        <w:rPr>
          <w:rFonts w:ascii="Palatino Linotype" w:eastAsia="Palatino Linotype" w:hAnsi="Palatino Linotype" w:cs="Palatino Linotype"/>
          <w:b/>
        </w:rPr>
      </w:pPr>
      <w:r w:rsidRPr="00F425B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425B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425BF">
        <w:rPr>
          <w:rFonts w:ascii="Palatino Linotype" w:eastAsia="Palatino Linotype" w:hAnsi="Palatino Linotype" w:cs="Palatino Linotype"/>
        </w:rPr>
        <w:t>, visible en la Gaceta del Seminario Judicial de la Federación con el registro digital 205635.</w:t>
      </w:r>
    </w:p>
    <w:p w14:paraId="4F7A905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425BF">
        <w:rPr>
          <w:rFonts w:ascii="Palatino Linotype" w:eastAsia="Palatino Linotype" w:hAnsi="Palatino Linotype" w:cs="Palatino Linotype"/>
        </w:rPr>
        <w:lastRenderedPageBreak/>
        <w:t>los términos legales previamente establecidos por la Ley, por tratarse de causas de fuerza mayor.</w:t>
      </w:r>
    </w:p>
    <w:p w14:paraId="2BFF6F8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165A047" w14:textId="77777777" w:rsidR="009F67B5" w:rsidRPr="00F425BF" w:rsidRDefault="000F30A8">
      <w:pPr>
        <w:spacing w:before="120" w:after="120"/>
        <w:ind w:left="851" w:right="902"/>
        <w:jc w:val="both"/>
        <w:rPr>
          <w:rFonts w:ascii="Palatino Linotype" w:eastAsia="Palatino Linotype" w:hAnsi="Palatino Linotype" w:cs="Palatino Linotype"/>
          <w:sz w:val="22"/>
          <w:szCs w:val="22"/>
        </w:rPr>
      </w:pPr>
      <w:r w:rsidRPr="00F425BF">
        <w:rPr>
          <w:rFonts w:ascii="Palatino Linotype" w:eastAsia="Palatino Linotype" w:hAnsi="Palatino Linotype" w:cs="Palatino Linotype"/>
          <w:sz w:val="22"/>
          <w:szCs w:val="22"/>
        </w:rPr>
        <w:t xml:space="preserve"> </w:t>
      </w: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PLAZO RAZONABLE PARA RESOLVER. DIMENSIÓN Y EFECTOS DE ESTE CONCEPTO CUANDO SE ADUCE EXCESIVA CARGA DE TRABAJO</w:t>
      </w: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sz w:val="22"/>
          <w:szCs w:val="22"/>
        </w:rPr>
        <w:t xml:space="preserve"> consultable en el Seminario Judicial de la Federación y su gaceta, con el registro digital 2002351.</w:t>
      </w:r>
    </w:p>
    <w:p w14:paraId="32C2734C" w14:textId="77777777" w:rsidR="009F67B5" w:rsidRPr="00F425BF" w:rsidRDefault="000F30A8">
      <w:pPr>
        <w:spacing w:before="120" w:after="120"/>
        <w:ind w:left="851" w:right="902"/>
        <w:jc w:val="both"/>
        <w:rPr>
          <w:rFonts w:ascii="Palatino Linotype" w:eastAsia="Palatino Linotype" w:hAnsi="Palatino Linotype" w:cs="Palatino Linotype"/>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sz w:val="22"/>
          <w:szCs w:val="22"/>
        </w:rPr>
        <w:t>, visible en el Seminario Judicial de la Federación y su gaceta, con el registro digital 2002350.</w:t>
      </w:r>
    </w:p>
    <w:p w14:paraId="68CE0A97"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3794259"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DF31951" w14:textId="77777777" w:rsidR="009F67B5" w:rsidRPr="00F425BF" w:rsidRDefault="000F30A8">
      <w:pPr>
        <w:widowControl w:val="0"/>
        <w:spacing w:before="240" w:after="240" w:line="360" w:lineRule="auto"/>
        <w:jc w:val="center"/>
        <w:rPr>
          <w:rFonts w:ascii="Palatino Linotype" w:eastAsia="Palatino Linotype" w:hAnsi="Palatino Linotype" w:cs="Palatino Linotype"/>
          <w:b/>
        </w:rPr>
      </w:pPr>
      <w:r w:rsidRPr="00F425BF">
        <w:rPr>
          <w:rFonts w:ascii="Palatino Linotype" w:eastAsia="Palatino Linotype" w:hAnsi="Palatino Linotype" w:cs="Palatino Linotype"/>
          <w:b/>
        </w:rPr>
        <w:t>II. C O N S I D E R A N D O S</w:t>
      </w:r>
    </w:p>
    <w:p w14:paraId="121EE8C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b/>
        </w:rPr>
        <w:t>Primero. Competencia.</w:t>
      </w:r>
      <w:r w:rsidRPr="00F425B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F425BF">
        <w:rPr>
          <w:rFonts w:ascii="Palatino Linotype" w:eastAsia="Palatino Linotype" w:hAnsi="Palatino Linotype" w:cs="Palatino Linotype"/>
        </w:rPr>
        <w:lastRenderedPageBreak/>
        <w:t>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6D41405"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F425BF">
        <w:rPr>
          <w:rFonts w:ascii="Palatino Linotype" w:eastAsia="Palatino Linotype" w:hAnsi="Palatino Linotype" w:cs="Palatino Linotype"/>
          <w:b/>
        </w:rPr>
        <w:t>Segundo. Oportunidad y Procedibilidad del Recurso de Revisión</w:t>
      </w:r>
      <w:r w:rsidRPr="00F425B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110F0D6"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remitió la respuesta a la solicitud de información el día </w:t>
      </w:r>
      <w:r w:rsidRPr="00F425BF">
        <w:rPr>
          <w:rFonts w:ascii="Palatino Linotype" w:eastAsia="Palatino Linotype" w:hAnsi="Palatino Linotype" w:cs="Palatino Linotype"/>
          <w:b/>
        </w:rPr>
        <w:t xml:space="preserve">veintisiete de marzo de dos mil veinticinco, </w:t>
      </w:r>
      <w:r w:rsidRPr="00F425BF">
        <w:rPr>
          <w:rFonts w:ascii="Palatino Linotype" w:eastAsia="Palatino Linotype" w:hAnsi="Palatino Linotype" w:cs="Palatino Linotype"/>
        </w:rPr>
        <w:t xml:space="preserve">mientras que el recurso de revisión interpuesto por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se tuvo por presentado el día</w:t>
      </w:r>
      <w:r w:rsidRPr="00F425BF">
        <w:rPr>
          <w:rFonts w:ascii="Palatino Linotype" w:eastAsia="Palatino Linotype" w:hAnsi="Palatino Linotype" w:cs="Palatino Linotype"/>
          <w:b/>
        </w:rPr>
        <w:t xml:space="preserve"> veinticuatro abril de dos mil veinticinco, </w:t>
      </w:r>
      <w:r w:rsidRPr="00F425BF">
        <w:rPr>
          <w:rFonts w:ascii="Palatino Linotype" w:eastAsia="Palatino Linotype" w:hAnsi="Palatino Linotype" w:cs="Palatino Linotype"/>
        </w:rPr>
        <w:t>esto es, al décimo quinto día hábil posterior a aquel en el que tuvo conocimiento de la respuesta impugnada. En este sentido, se concluye que el presente recurso de revisión se encuentra dentro de los márgenes temporales previstos en las disposiciones legales referidas.</w:t>
      </w:r>
    </w:p>
    <w:p w14:paraId="11F42699" w14:textId="77777777" w:rsidR="009F67B5" w:rsidRPr="00F425BF" w:rsidRDefault="000F30A8">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F425BF">
        <w:rPr>
          <w:rFonts w:ascii="Palatino Linotype" w:eastAsia="Palatino Linotype" w:hAnsi="Palatino Linotype" w:cs="Palatino Linotype"/>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E7981CA"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Finalmente, se advierte que resulta procedente la interposición del recurso, según lo manifestado por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en sus motivos de inconformidad, de acuerdo al artículo 179, fracción I del ordenamiento legal citado, que a la letra dice: </w:t>
      </w:r>
    </w:p>
    <w:p w14:paraId="767503C9" w14:textId="77777777" w:rsidR="009F67B5" w:rsidRPr="00F425BF" w:rsidRDefault="000F30A8">
      <w:pPr>
        <w:tabs>
          <w:tab w:val="left" w:pos="7938"/>
        </w:tabs>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Artículo 179.</w:t>
      </w:r>
      <w:r w:rsidRPr="00F425B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21F3B52" w14:textId="77777777" w:rsidR="009F67B5" w:rsidRPr="00F425BF" w:rsidRDefault="000F30A8">
      <w:pPr>
        <w:tabs>
          <w:tab w:val="left" w:pos="7938"/>
        </w:tabs>
        <w:spacing w:before="120" w:after="120"/>
        <w:ind w:left="1134"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033371AA" w14:textId="77777777" w:rsidR="009F67B5" w:rsidRPr="00F425BF" w:rsidRDefault="000F30A8">
      <w:pPr>
        <w:tabs>
          <w:tab w:val="left" w:pos="7938"/>
        </w:tabs>
        <w:spacing w:before="120" w:after="120"/>
        <w:ind w:left="1134"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La negativa a la información solicitada;</w:t>
      </w:r>
      <w:r w:rsidRPr="00F425BF">
        <w:rPr>
          <w:rFonts w:ascii="Palatino Linotype" w:eastAsia="Palatino Linotype" w:hAnsi="Palatino Linotype" w:cs="Palatino Linotype"/>
          <w:i/>
          <w:sz w:val="22"/>
          <w:szCs w:val="22"/>
        </w:rPr>
        <w:br/>
        <w:t>;”</w:t>
      </w:r>
    </w:p>
    <w:p w14:paraId="679C3510" w14:textId="77777777" w:rsidR="009F67B5" w:rsidRPr="00F425BF" w:rsidRDefault="000F30A8">
      <w:pPr>
        <w:spacing w:before="240" w:after="240" w:line="360" w:lineRule="auto"/>
        <w:jc w:val="both"/>
        <w:rPr>
          <w:rFonts w:ascii="Palatino Linotype" w:eastAsia="Palatino Linotype" w:hAnsi="Palatino Linotype" w:cs="Palatino Linotype"/>
          <w:b/>
        </w:rPr>
      </w:pPr>
      <w:r w:rsidRPr="00F425BF">
        <w:rPr>
          <w:rFonts w:ascii="Palatino Linotype" w:eastAsia="Palatino Linotype" w:hAnsi="Palatino Linotype" w:cs="Palatino Linotype"/>
          <w:b/>
        </w:rPr>
        <w:t xml:space="preserve">Tercero. Materia de la revisión. </w:t>
      </w:r>
      <w:r w:rsidRPr="00F425B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F425BF">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F425BF">
        <w:rPr>
          <w:rFonts w:ascii="Palatino Linotype" w:eastAsia="Palatino Linotype" w:hAnsi="Palatino Linotype" w:cs="Palatino Linotype"/>
        </w:rPr>
        <w:t xml:space="preserve">de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o en su defecto, en caso de ser procedente, ordenar la entrega de información.</w:t>
      </w:r>
    </w:p>
    <w:p w14:paraId="6EACA163"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F425BF">
        <w:rPr>
          <w:rFonts w:ascii="Palatino Linotype" w:eastAsia="Palatino Linotype" w:hAnsi="Palatino Linotype" w:cs="Palatino Linotype"/>
          <w:b/>
        </w:rPr>
        <w:t xml:space="preserve">Cuarto. Estudio del asunto. </w:t>
      </w:r>
      <w:r w:rsidRPr="00F425BF">
        <w:rPr>
          <w:rFonts w:ascii="Palatino Linotype" w:eastAsia="Palatino Linotype" w:hAnsi="Palatino Linotype" w:cs="Palatino Linotype"/>
        </w:rPr>
        <w:t xml:space="preserve">En primer lugar, es conveniente mencionar que de conformidad con el artículo 4 de la Ley de Transparencia y Acceso a la Información </w:t>
      </w:r>
      <w:r w:rsidRPr="00F425BF">
        <w:rPr>
          <w:rFonts w:ascii="Palatino Linotype" w:eastAsia="Palatino Linotype" w:hAnsi="Palatino Linotype" w:cs="Palatino Linotype"/>
        </w:rPr>
        <w:lastRenderedPageBreak/>
        <w:t>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FB851D1"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Artículo 4</w:t>
      </w:r>
      <w:r w:rsidRPr="00F425B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27ACB3"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425B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619068D"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425BF">
        <w:rPr>
          <w:rFonts w:ascii="Palatino Linotype" w:eastAsia="Palatino Linotype" w:hAnsi="Palatino Linotype" w:cs="Palatino Linotype"/>
          <w:i/>
          <w:sz w:val="22"/>
          <w:szCs w:val="22"/>
        </w:rPr>
        <w:t>.”</w:t>
      </w:r>
    </w:p>
    <w:p w14:paraId="491D198D"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C6A1740"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lastRenderedPageBreak/>
        <w:t>“Artículo 12.-</w:t>
      </w:r>
      <w:r w:rsidRPr="00F425B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0AFB13"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94EAF16" w14:textId="77777777" w:rsidR="009F67B5" w:rsidRPr="00F425BF" w:rsidRDefault="000F30A8">
      <w:pPr>
        <w:spacing w:before="240" w:after="240" w:line="360" w:lineRule="auto"/>
        <w:ind w:right="-93"/>
        <w:jc w:val="both"/>
        <w:rPr>
          <w:rFonts w:ascii="Palatino Linotype" w:eastAsia="Palatino Linotype" w:hAnsi="Palatino Linotype" w:cs="Palatino Linotype"/>
        </w:rPr>
      </w:pPr>
      <w:r w:rsidRPr="00F425B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A9FDF1E" w14:textId="77777777" w:rsidR="009F67B5" w:rsidRPr="00F425BF" w:rsidRDefault="000F30A8">
      <w:pPr>
        <w:spacing w:before="240" w:after="240" w:line="360" w:lineRule="auto"/>
        <w:jc w:val="both"/>
        <w:rPr>
          <w:rFonts w:ascii="Palatino Linotype" w:eastAsia="Palatino Linotype" w:hAnsi="Palatino Linotype" w:cs="Palatino Linotype"/>
          <w:b/>
        </w:rPr>
      </w:pPr>
      <w:r w:rsidRPr="00F425BF">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F425BF">
        <w:rPr>
          <w:rFonts w:ascii="Palatino Linotype" w:eastAsia="Palatino Linotype" w:hAnsi="Palatino Linotype" w:cs="Palatino Linotype"/>
          <w:b/>
        </w:rPr>
        <w:t xml:space="preserve"> </w:t>
      </w:r>
    </w:p>
    <w:p w14:paraId="423F731E"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rPr>
        <w:t>No existe obligación de elaborar documentos ad hoc para atender las solicitudes de acceso a la información.</w:t>
      </w:r>
      <w:r w:rsidRPr="00F425B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F425BF">
        <w:rPr>
          <w:rFonts w:ascii="Palatino Linotype" w:eastAsia="Palatino Linotype" w:hAnsi="Palatino Linotype" w:cs="Palatino Linotype"/>
          <w:i/>
          <w:sz w:val="22"/>
          <w:szCs w:val="22"/>
        </w:rPr>
        <w:lastRenderedPageBreak/>
        <w:t xml:space="preserve">que la misma obre en sus archivos; sin necesidad de elaborar documentos ad hoc para atender las solicitudes de información.” </w:t>
      </w:r>
    </w:p>
    <w:p w14:paraId="17300AFC" w14:textId="77777777" w:rsidR="009F67B5" w:rsidRPr="00F425BF" w:rsidRDefault="000F30A8">
      <w:pPr>
        <w:spacing w:before="120" w:after="12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222B28" w14:textId="77777777" w:rsidR="009F67B5" w:rsidRPr="00F425BF" w:rsidRDefault="000F30A8">
      <w:pPr>
        <w:spacing w:before="120" w:after="12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DE6D8F"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 xml:space="preserve">Artículo 3. </w:t>
      </w:r>
      <w:r w:rsidRPr="00F425BF">
        <w:rPr>
          <w:rFonts w:ascii="Palatino Linotype" w:eastAsia="Palatino Linotype" w:hAnsi="Palatino Linotype" w:cs="Palatino Linotype"/>
          <w:i/>
          <w:sz w:val="22"/>
          <w:szCs w:val="22"/>
        </w:rPr>
        <w:t>Para los efectos de la presente Ley se entenderá por:</w:t>
      </w:r>
    </w:p>
    <w:p w14:paraId="561DBA20"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4D7A39C9"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XI. Documento:</w:t>
      </w:r>
      <w:r w:rsidRPr="00F425BF">
        <w:rPr>
          <w:rFonts w:ascii="Palatino Linotype" w:eastAsia="Palatino Linotype" w:hAnsi="Palatino Linotype" w:cs="Palatino Linotype"/>
          <w:i/>
          <w:sz w:val="22"/>
          <w:szCs w:val="22"/>
        </w:rPr>
        <w:t xml:space="preserve"> Los expedientes, reportes, estudios, actas</w:t>
      </w:r>
      <w:r w:rsidRPr="00F425BF">
        <w:rPr>
          <w:rFonts w:ascii="Palatino Linotype" w:eastAsia="Palatino Linotype" w:hAnsi="Palatino Linotype" w:cs="Palatino Linotype"/>
          <w:b/>
          <w:i/>
          <w:sz w:val="22"/>
          <w:szCs w:val="22"/>
        </w:rPr>
        <w:t>,</w:t>
      </w:r>
      <w:r w:rsidRPr="00F425B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507BDE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50CC6EA"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sz w:val="22"/>
          <w:szCs w:val="22"/>
        </w:rPr>
        <w:t>“</w:t>
      </w:r>
      <w:r w:rsidRPr="00F425B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425B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37FF37"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D468C5E"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683AC26"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46FD18D"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50C6B3FC"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w:t>
      </w:r>
      <w:r w:rsidRPr="00F425BF">
        <w:rPr>
          <w:rFonts w:ascii="Palatino Linotype" w:eastAsia="Palatino Linotype" w:hAnsi="Palatino Linotype" w:cs="Palatino Linotype"/>
        </w:rPr>
        <w:lastRenderedPageBreak/>
        <w:t>Sujeto Obligado; como así se establece en la Ley de Transparencia y Acceso a la Información Pública del Estado de México y Municipios.</w:t>
      </w:r>
    </w:p>
    <w:p w14:paraId="71F3B95D"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E1B176D"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Por otro lado,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605E8723"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w:t>
      </w:r>
      <w:r w:rsidRPr="00F425BF">
        <w:rPr>
          <w:rFonts w:ascii="Palatino Linotype" w:eastAsia="Palatino Linotype" w:hAnsi="Palatino Linotype" w:cs="Palatino Linotype"/>
        </w:rPr>
        <w:lastRenderedPageBreak/>
        <w:t>artículos 53, fracciones II y IV y 162 de la Ley de Transparencia y Acceso a la Información Pública del Estado de México y Municipios.</w:t>
      </w:r>
    </w:p>
    <w:p w14:paraId="2573420D"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1B9BB9F"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5D5FA6DD" w14:textId="77777777" w:rsidR="009F67B5" w:rsidRPr="00F425BF" w:rsidRDefault="000F30A8">
      <w:pPr>
        <w:spacing w:before="280" w:after="28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En esta línea de pensamiento, derivado del análisis de las constancias que obran en el expediente electrónico en el que se actúa, se advirtió que la Unidad de Transparencia, turnó la solicitud de información a la Dirección de Desarrollo Económico como la dependencia responsable para conocer de la información que es del interés de la persona solicitante.</w:t>
      </w:r>
    </w:p>
    <w:p w14:paraId="39915FE6"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Como sustento a lo anterior, es oportuno mencionar que la Dirección de Desarrollo Económico es la dependencia encargada de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 de conformidad con artículo 96 </w:t>
      </w:r>
      <w:proofErr w:type="spellStart"/>
      <w:r w:rsidRPr="00F425BF">
        <w:rPr>
          <w:rFonts w:ascii="Palatino Linotype" w:eastAsia="Palatino Linotype" w:hAnsi="Palatino Linotype" w:cs="Palatino Linotype"/>
        </w:rPr>
        <w:t>Quáter</w:t>
      </w:r>
      <w:proofErr w:type="spellEnd"/>
      <w:r w:rsidRPr="00F425BF">
        <w:rPr>
          <w:rFonts w:ascii="Palatino Linotype" w:eastAsia="Palatino Linotype" w:hAnsi="Palatino Linotype" w:cs="Palatino Linotype"/>
        </w:rPr>
        <w:t>, fracción II Bis de la  Ley Orgánica Municipal del Estado de México.</w:t>
      </w:r>
    </w:p>
    <w:p w14:paraId="1918DED0"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Adicional a lo anterior, el </w:t>
      </w:r>
      <w:proofErr w:type="spellStart"/>
      <w:r w:rsidRPr="00F425BF">
        <w:rPr>
          <w:rFonts w:ascii="Palatino Linotype" w:eastAsia="Palatino Linotype" w:hAnsi="Palatino Linotype" w:cs="Palatino Linotype"/>
        </w:rPr>
        <w:t>articulo</w:t>
      </w:r>
      <w:proofErr w:type="spellEnd"/>
      <w:r w:rsidRPr="00F425BF">
        <w:rPr>
          <w:rFonts w:ascii="Palatino Linotype" w:eastAsia="Palatino Linotype" w:hAnsi="Palatino Linotype" w:cs="Palatino Linotype"/>
        </w:rPr>
        <w:t xml:space="preserve"> 86 del Bando Municipal de </w:t>
      </w:r>
      <w:proofErr w:type="spellStart"/>
      <w:r w:rsidRPr="00F425BF">
        <w:rPr>
          <w:rFonts w:ascii="Palatino Linotype" w:eastAsia="Palatino Linotype" w:hAnsi="Palatino Linotype" w:cs="Palatino Linotype"/>
        </w:rPr>
        <w:t>Polotitlán</w:t>
      </w:r>
      <w:proofErr w:type="spellEnd"/>
      <w:r w:rsidRPr="00F425BF">
        <w:rPr>
          <w:rFonts w:ascii="Palatino Linotype" w:eastAsia="Palatino Linotype" w:hAnsi="Palatino Linotype" w:cs="Palatino Linotype"/>
        </w:rPr>
        <w:t xml:space="preserve"> dispone que la Dirección de Desarrollo Económico tendrá a su cargo la normatividad comercial, por lo que ordenará las visitas de supervisión, inspección, verificación, suspensión y/o clausura, así como determinar y ordenar la aplicación de las medidas de seguridad e impondrá las sanciones previstas en la ley, a todas aquellas unidades económicas dentro del territorio municipal. De igual forma tendrá la facultad de iniciar, tramitar, resolver y ejecutar los procedimientos administrativos comunes derivados de las visitas de verificación administrativa que se practiquen, además de brindar orientación, asesoría y gestión a los particulares respecto de los trámites </w:t>
      </w:r>
      <w:r w:rsidRPr="00F425BF">
        <w:rPr>
          <w:rFonts w:ascii="Palatino Linotype" w:eastAsia="Palatino Linotype" w:hAnsi="Palatino Linotype" w:cs="Palatino Linotype"/>
        </w:rPr>
        <w:lastRenderedPageBreak/>
        <w:t>requeridos para la instalación, apertura, operación y ampliación de unidades económicas; mismas que tendrán una vigencia del ejercicio fiscal que corresponda, debiéndose renovar dentro de los tres primeros meses del siguiente ejercicio fiscal.</w:t>
      </w:r>
    </w:p>
    <w:p w14:paraId="6A288662" w14:textId="77777777" w:rsidR="009F67B5" w:rsidRPr="00F425BF" w:rsidRDefault="000F30A8">
      <w:pPr>
        <w:tabs>
          <w:tab w:val="left" w:pos="3544"/>
        </w:tabs>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Atento a lo anterior, se colige que la Dirección de Desarrollo Económico cuenta con atribuciones para conocer de la información solicitada por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2FB85FFA"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requirió al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le proporcione, información consistente en lo siguiente:</w:t>
      </w:r>
    </w:p>
    <w:p w14:paraId="4F46D5C2" w14:textId="77777777" w:rsidR="009F67B5" w:rsidRPr="00F425BF" w:rsidRDefault="000F30A8">
      <w:pPr>
        <w:spacing w:before="240" w:after="240" w:line="360" w:lineRule="auto"/>
        <w:ind w:left="284" w:right="51"/>
        <w:jc w:val="both"/>
        <w:rPr>
          <w:rFonts w:ascii="Palatino Linotype" w:eastAsia="Palatino Linotype" w:hAnsi="Palatino Linotype" w:cs="Palatino Linotype"/>
          <w:sz w:val="28"/>
          <w:szCs w:val="28"/>
        </w:rPr>
      </w:pPr>
      <w:r w:rsidRPr="00F425BF">
        <w:rPr>
          <w:rFonts w:ascii="Palatino Linotype" w:eastAsia="Palatino Linotype" w:hAnsi="Palatino Linotype" w:cs="Palatino Linotype"/>
        </w:rPr>
        <w:t>1. Todas las Licencias de funcionamiento expedidas del uno de enero de dos mil veintidós al seis de marzo de dos mil veinticinco.</w:t>
      </w:r>
    </w:p>
    <w:p w14:paraId="6B834871"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En respuesta,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por conducto de la Dirección de Desarrollo Económico hizo entrega de un listado de las licencias de funcionamiento expedidas en el transcurso del ejercicio 2025, a la fecha de presentación, como se ilustra para un mejor entendimiento:</w:t>
      </w:r>
    </w:p>
    <w:p w14:paraId="267F1681"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noProof/>
        </w:rPr>
        <w:lastRenderedPageBreak/>
        <w:drawing>
          <wp:inline distT="0" distB="0" distL="0" distR="0" wp14:anchorId="416D6842" wp14:editId="1D458A04">
            <wp:extent cx="5612130" cy="6647815"/>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6647815"/>
                    </a:xfrm>
                    <a:prstGeom prst="rect">
                      <a:avLst/>
                    </a:prstGeom>
                    <a:ln/>
                  </pic:spPr>
                </pic:pic>
              </a:graphicData>
            </a:graphic>
          </wp:inline>
        </w:drawing>
      </w:r>
    </w:p>
    <w:p w14:paraId="748F2BA7"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Asimismo, refirió no contar con información por lo que se refiere a los ejercicios 2022, 2023 y 2024, al haber iniciado funciones la presente administración el día uno de enero de dos mil veinticinco.</w:t>
      </w:r>
    </w:p>
    <w:p w14:paraId="338A88E0" w14:textId="77777777" w:rsidR="009F67B5" w:rsidRPr="00F425BF" w:rsidRDefault="000F30A8">
      <w:pP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Al no estar conforme con los términos de la respuesta proporcionada,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presentó el recurso de revisión que nos ocupa, donde señaló como motivo de inconformidad que la información le fue negada, además de no haberse atendido como se solicitó.</w:t>
      </w:r>
    </w:p>
    <w:p w14:paraId="64B1BFBB"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Durante el periodo de manifestaciones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fue omiso en rendir su informe justificado, y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12155848" w14:textId="77777777" w:rsidR="009F67B5" w:rsidRPr="00F425BF" w:rsidRDefault="000F30A8">
      <w:pPr>
        <w:spacing w:before="280" w:after="28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Una vez establecidas las posturas de las partes, se procede al análisis del requerimiento de información, así como la información proporcionada por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en contraposición con el motivo de inconformidad alegado por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57E8727C"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Ahora bien, por lo que se refiere a la naturaleza de la información solicitada conviene señalar que de conformidad con el artículo 31 de la Ley Orgánica Municipal del Estado de México, los ayuntamientos cuentan con </w:t>
      </w:r>
      <w:r w:rsidRPr="00F425BF">
        <w:rPr>
          <w:rFonts w:ascii="Palatino Linotype" w:eastAsia="Palatino Linotype" w:hAnsi="Palatino Linotype" w:cs="Palatino Linotype"/>
          <w:b/>
        </w:rPr>
        <w:t xml:space="preserve">atribuciones para otorgar </w:t>
      </w:r>
      <w:r w:rsidRPr="00F425BF">
        <w:rPr>
          <w:rFonts w:ascii="Palatino Linotype" w:eastAsia="Palatino Linotype" w:hAnsi="Palatino Linotype" w:cs="Palatino Linotype"/>
          <w:b/>
        </w:rPr>
        <w:lastRenderedPageBreak/>
        <w:t>licencia de funcionamiento o permiso provisional de funcionamiento para negocios de bajo riesgo</w:t>
      </w:r>
      <w:r w:rsidRPr="00F425BF">
        <w:rPr>
          <w:rFonts w:ascii="Palatino Linotype" w:eastAsia="Palatino Linotype" w:hAnsi="Palatino Linotype" w:cs="Palatino Linotype"/>
        </w:rPr>
        <w:t>, a las unidades económicas.</w:t>
      </w:r>
    </w:p>
    <w:p w14:paraId="0B7CDEF5"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Por su parte, la Ley de Competitividad y Ordenamiento Comercial del Estado de México, define a la licencia de funcionamiento en términos del artículo 2 fracciones I y XV respectivamente, como el acto administrativo que emite la autoridad, por el cual autoriza a una persona física o jurídica colectiva a desarrollar actividades económicas; mientras que una actividad económica, es el conjunto de acciones y recursos que emplean las unidades económicas para producir bienes o proporcionar servicios. </w:t>
      </w:r>
    </w:p>
    <w:p w14:paraId="508223A9"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Asimismo, el artículo 7 del mismo ordenamiento, señala que a los municipios les corresponde crear, operar, digitalizar y mantener actualizado semanalmente el registro municipal a través de la Dirección de Desarrollo Económico, tal y como se muestra a continuación: </w:t>
      </w:r>
    </w:p>
    <w:p w14:paraId="2B9EEF40"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rPr>
        <w:t>“</w:t>
      </w:r>
      <w:r w:rsidRPr="00F425BF">
        <w:rPr>
          <w:rFonts w:ascii="Palatino Linotype" w:eastAsia="Palatino Linotype" w:hAnsi="Palatino Linotype" w:cs="Palatino Linotype"/>
          <w:b/>
          <w:i/>
          <w:sz w:val="22"/>
          <w:szCs w:val="22"/>
        </w:rPr>
        <w:t>Artículo 7.</w:t>
      </w:r>
      <w:r w:rsidRPr="00F425BF">
        <w:rPr>
          <w:rFonts w:ascii="Palatino Linotype" w:eastAsia="Palatino Linotype" w:hAnsi="Palatino Linotype" w:cs="Palatino Linotype"/>
          <w:i/>
          <w:sz w:val="22"/>
          <w:szCs w:val="22"/>
        </w:rPr>
        <w:t xml:space="preserve"> Corresponde a los municipios:</w:t>
      </w:r>
    </w:p>
    <w:p w14:paraId="0B4D3076" w14:textId="77777777" w:rsidR="009F67B5" w:rsidRPr="00F425BF" w:rsidRDefault="000F30A8">
      <w:pPr>
        <w:tabs>
          <w:tab w:val="left" w:pos="1418"/>
        </w:tabs>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u w:val="single"/>
        </w:rPr>
        <w:t>Crear el registro municipal</w:t>
      </w:r>
      <w:r w:rsidRPr="00F425BF">
        <w:rPr>
          <w:rFonts w:ascii="Palatino Linotype" w:eastAsia="Palatino Linotype" w:hAnsi="Palatino Linotype" w:cs="Palatino Linotype"/>
          <w:i/>
          <w:sz w:val="22"/>
          <w:szCs w:val="22"/>
        </w:rPr>
        <w:t>, donde se especifica la licencia de funcionamiento con la actividad de la unidad económica e impacto que generen, así como las demás características que se determinen.</w:t>
      </w:r>
    </w:p>
    <w:p w14:paraId="2B48D9EA" w14:textId="77777777" w:rsidR="009F67B5" w:rsidRPr="00F425BF" w:rsidRDefault="000F30A8">
      <w:pPr>
        <w:tabs>
          <w:tab w:val="left" w:pos="1418"/>
        </w:tabs>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24DC9E95" w14:textId="77777777" w:rsidR="009F67B5" w:rsidRPr="00F425BF" w:rsidRDefault="000F30A8">
      <w:pPr>
        <w:tabs>
          <w:tab w:val="left" w:pos="1418"/>
        </w:tabs>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 xml:space="preserve">III. Operar, digitalizar y </w:t>
      </w:r>
      <w:r w:rsidRPr="00F425BF">
        <w:rPr>
          <w:rFonts w:ascii="Palatino Linotype" w:eastAsia="Palatino Linotype" w:hAnsi="Palatino Linotype" w:cs="Palatino Linotype"/>
          <w:b/>
          <w:i/>
          <w:sz w:val="22"/>
          <w:szCs w:val="22"/>
          <w:u w:val="single"/>
        </w:rPr>
        <w:t>mantener, semanalmente actualizado, el registro municipal, a través de la Dirección de Desarrollo Económico o su equivalente,</w:t>
      </w:r>
      <w:r w:rsidRPr="00F425BF">
        <w:rPr>
          <w:rFonts w:ascii="Palatino Linotype" w:eastAsia="Palatino Linotype" w:hAnsi="Palatino Linotype" w:cs="Palatino Linotype"/>
          <w:i/>
          <w:sz w:val="22"/>
          <w:szCs w:val="22"/>
        </w:rPr>
        <w:t xml:space="preserve"> que opere en su demarcación, el cual deberá publicarse en el portal de Internet del municipio.</w:t>
      </w:r>
    </w:p>
    <w:p w14:paraId="3EBC72ED" w14:textId="77777777" w:rsidR="009F67B5" w:rsidRPr="00F425BF" w:rsidRDefault="000F30A8">
      <w:pPr>
        <w:tabs>
          <w:tab w:val="left" w:pos="1418"/>
        </w:tabs>
        <w:spacing w:before="120" w:after="120"/>
        <w:ind w:left="1134" w:right="902"/>
        <w:jc w:val="both"/>
        <w:rPr>
          <w:rFonts w:ascii="Palatino Linotype" w:eastAsia="Palatino Linotype" w:hAnsi="Palatino Linotype" w:cs="Palatino Linotype"/>
          <w:b/>
          <w:i/>
          <w:sz w:val="22"/>
          <w:szCs w:val="22"/>
          <w:u w:val="single"/>
        </w:rPr>
      </w:pPr>
      <w:r w:rsidRPr="00F425BF">
        <w:rPr>
          <w:rFonts w:ascii="Palatino Linotype" w:eastAsia="Palatino Linotype" w:hAnsi="Palatino Linotype" w:cs="Palatino Linotype"/>
          <w:b/>
          <w:i/>
          <w:sz w:val="22"/>
          <w:szCs w:val="22"/>
        </w:rPr>
        <w:t>IV.</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u w:val="single"/>
        </w:rPr>
        <w:t>Enviar, dentro de los cinco días hábiles siguientes de cada mes calendario la actualización de su registro municipal, el informe correspondiente a las autoridades estatales, para actualizar el registro estatal.</w:t>
      </w:r>
    </w:p>
    <w:p w14:paraId="5E91BBCC" w14:textId="77777777" w:rsidR="009F67B5" w:rsidRPr="00F425BF" w:rsidRDefault="000F30A8">
      <w:pPr>
        <w:tabs>
          <w:tab w:val="left" w:pos="1418"/>
        </w:tabs>
        <w:spacing w:before="120" w:after="120"/>
        <w:ind w:left="1134" w:right="902"/>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lastRenderedPageBreak/>
        <w:t>V. Resguardar y actualizar el archivo físico y digital con los documentos requeridos por las leyes para la expedición y refrendo de las licencias correspondientes</w:t>
      </w:r>
    </w:p>
    <w:p w14:paraId="17DE68D0"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4A67B606"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Bajo esa misma premisa, en su artículo 10 la Ley en estudio refiere que los registros tienen como finalidad crear una base de datos confiable, actualizada e integrada de las unidades económicas que se </w:t>
      </w:r>
      <w:proofErr w:type="spellStart"/>
      <w:r w:rsidRPr="00F425BF">
        <w:rPr>
          <w:rFonts w:ascii="Palatino Linotype" w:eastAsia="Palatino Linotype" w:hAnsi="Palatino Linotype" w:cs="Palatino Linotype"/>
        </w:rPr>
        <w:t>aperturen</w:t>
      </w:r>
      <w:proofErr w:type="spellEnd"/>
      <w:r w:rsidRPr="00F425BF">
        <w:rPr>
          <w:rFonts w:ascii="Palatino Linotype" w:eastAsia="Palatino Linotype" w:hAnsi="Palatino Linotype" w:cs="Palatino Linotype"/>
        </w:rPr>
        <w:t xml:space="preserve">, mismos que contendrán por lo menos los siguientes datos: </w:t>
      </w:r>
    </w:p>
    <w:p w14:paraId="07BEE271" w14:textId="77777777" w:rsidR="009F67B5" w:rsidRPr="00F425BF" w:rsidRDefault="000F30A8">
      <w:pPr>
        <w:spacing w:before="120" w:after="120"/>
        <w:ind w:left="851"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sz w:val="22"/>
          <w:szCs w:val="22"/>
        </w:rPr>
        <w:t>“</w:t>
      </w:r>
      <w:r w:rsidRPr="00F425BF">
        <w:rPr>
          <w:rFonts w:ascii="Palatino Linotype" w:eastAsia="Palatino Linotype" w:hAnsi="Palatino Linotype" w:cs="Palatino Linotype"/>
          <w:b/>
          <w:i/>
          <w:sz w:val="22"/>
          <w:szCs w:val="22"/>
        </w:rPr>
        <w:t>Artículo 10</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rPr>
        <w:t xml:space="preserve">Los registros tienen como finalidad </w:t>
      </w:r>
      <w:r w:rsidRPr="00F425BF">
        <w:rPr>
          <w:rFonts w:ascii="Palatino Linotype" w:eastAsia="Palatino Linotype" w:hAnsi="Palatino Linotype" w:cs="Palatino Linotype"/>
          <w:b/>
          <w:i/>
          <w:sz w:val="22"/>
          <w:szCs w:val="22"/>
          <w:u w:val="single"/>
        </w:rPr>
        <w:t>crear una base de datos confiable</w:t>
      </w:r>
      <w:r w:rsidRPr="00F425BF">
        <w:rPr>
          <w:rFonts w:ascii="Palatino Linotype" w:eastAsia="Palatino Linotype" w:hAnsi="Palatino Linotype" w:cs="Palatino Linotype"/>
          <w:b/>
          <w:i/>
          <w:sz w:val="22"/>
          <w:szCs w:val="22"/>
        </w:rPr>
        <w:t xml:space="preserve">, </w:t>
      </w:r>
      <w:r w:rsidRPr="00F425BF">
        <w:rPr>
          <w:rFonts w:ascii="Palatino Linotype" w:eastAsia="Palatino Linotype" w:hAnsi="Palatino Linotype" w:cs="Palatino Linotype"/>
          <w:i/>
          <w:sz w:val="22"/>
          <w:szCs w:val="22"/>
        </w:rPr>
        <w:t xml:space="preserve">actualizada e integrada a nivel estatal y municipal de las unidades económicas que se </w:t>
      </w:r>
      <w:proofErr w:type="spellStart"/>
      <w:r w:rsidRPr="00F425BF">
        <w:rPr>
          <w:rFonts w:ascii="Palatino Linotype" w:eastAsia="Palatino Linotype" w:hAnsi="Palatino Linotype" w:cs="Palatino Linotype"/>
          <w:i/>
          <w:sz w:val="22"/>
          <w:szCs w:val="22"/>
        </w:rPr>
        <w:t>aperturen</w:t>
      </w:r>
      <w:proofErr w:type="spellEnd"/>
      <w:r w:rsidRPr="00F425BF">
        <w:rPr>
          <w:rFonts w:ascii="Palatino Linotype" w:eastAsia="Palatino Linotype" w:hAnsi="Palatino Linotype" w:cs="Palatino Linotype"/>
          <w:i/>
          <w:sz w:val="22"/>
          <w:szCs w:val="22"/>
        </w:rPr>
        <w:t xml:space="preserve"> en el territorio de la Entidad.</w:t>
      </w:r>
    </w:p>
    <w:p w14:paraId="4101CFDC" w14:textId="77777777" w:rsidR="009F67B5" w:rsidRPr="00F425BF" w:rsidRDefault="000F30A8">
      <w:pPr>
        <w:spacing w:before="120" w:after="120"/>
        <w:ind w:left="851"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11.</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u w:val="single"/>
        </w:rPr>
        <w:t>El registro incluirá al menos los datos siguientes</w:t>
      </w:r>
      <w:r w:rsidRPr="00F425BF">
        <w:rPr>
          <w:rFonts w:ascii="Palatino Linotype" w:eastAsia="Palatino Linotype" w:hAnsi="Palatino Linotype" w:cs="Palatino Linotype"/>
          <w:i/>
          <w:sz w:val="22"/>
          <w:szCs w:val="22"/>
        </w:rPr>
        <w:t>:</w:t>
      </w:r>
    </w:p>
    <w:p w14:paraId="7D8FF758"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Clave única, que se integrará de una serie alfanumérica.</w:t>
      </w:r>
    </w:p>
    <w:p w14:paraId="1710F5AA"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xml:space="preserve"> Nombre del municipio.</w:t>
      </w:r>
    </w:p>
    <w:p w14:paraId="00AD36A1" w14:textId="77777777" w:rsidR="009F67B5" w:rsidRPr="00F425BF" w:rsidRDefault="000F30A8">
      <w:pPr>
        <w:spacing w:before="120" w:after="120"/>
        <w:ind w:left="1134" w:right="618"/>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III. Nombre del titular.</w:t>
      </w:r>
    </w:p>
    <w:p w14:paraId="101576FD" w14:textId="77777777" w:rsidR="009F67B5" w:rsidRPr="00F425BF" w:rsidRDefault="000F30A8">
      <w:pPr>
        <w:spacing w:before="120" w:after="120"/>
        <w:ind w:left="1134" w:right="618"/>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IV. Actividad económica.</w:t>
      </w:r>
    </w:p>
    <w:p w14:paraId="228279BE"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V.</w:t>
      </w:r>
      <w:r w:rsidRPr="00F425BF">
        <w:rPr>
          <w:rFonts w:ascii="Palatino Linotype" w:eastAsia="Palatino Linotype" w:hAnsi="Palatino Linotype" w:cs="Palatino Linotype"/>
          <w:i/>
          <w:sz w:val="22"/>
          <w:szCs w:val="22"/>
        </w:rPr>
        <w:t xml:space="preserve"> Fecha de inicio de actividades.</w:t>
      </w:r>
    </w:p>
    <w:p w14:paraId="028524FD"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VI</w:t>
      </w:r>
      <w:r w:rsidRPr="00F425BF">
        <w:rPr>
          <w:rFonts w:ascii="Palatino Linotype" w:eastAsia="Palatino Linotype" w:hAnsi="Palatino Linotype" w:cs="Palatino Linotype"/>
          <w:i/>
          <w:sz w:val="22"/>
          <w:szCs w:val="22"/>
        </w:rPr>
        <w:t>. Tipo de impacto.</w:t>
      </w:r>
    </w:p>
    <w:p w14:paraId="48E8A728" w14:textId="77777777" w:rsidR="009F67B5" w:rsidRPr="00F425BF" w:rsidRDefault="000F30A8">
      <w:pPr>
        <w:spacing w:before="120" w:after="120"/>
        <w:ind w:left="1134" w:right="618"/>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VII. Domicilio de la unidad económica.</w:t>
      </w:r>
    </w:p>
    <w:p w14:paraId="2061964B"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VIII.</w:t>
      </w:r>
      <w:r w:rsidRPr="00F425BF">
        <w:rPr>
          <w:rFonts w:ascii="Palatino Linotype" w:eastAsia="Palatino Linotype" w:hAnsi="Palatino Linotype" w:cs="Palatino Linotype"/>
          <w:i/>
          <w:sz w:val="22"/>
          <w:szCs w:val="22"/>
        </w:rPr>
        <w:t xml:space="preserve"> Visitas y procedimientos de verificación en su caso.</w:t>
      </w:r>
    </w:p>
    <w:p w14:paraId="5ACF8B7E" w14:textId="77777777" w:rsidR="009F67B5" w:rsidRPr="00F425BF" w:rsidRDefault="000F30A8">
      <w:pPr>
        <w:spacing w:before="120" w:after="120"/>
        <w:ind w:left="1134"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IX.</w:t>
      </w:r>
      <w:r w:rsidRPr="00F425BF">
        <w:rPr>
          <w:rFonts w:ascii="Palatino Linotype" w:eastAsia="Palatino Linotype" w:hAnsi="Palatino Linotype" w:cs="Palatino Linotype"/>
          <w:i/>
          <w:sz w:val="22"/>
          <w:szCs w:val="22"/>
        </w:rPr>
        <w:t xml:space="preserve"> Sanciones en su caso.</w:t>
      </w:r>
    </w:p>
    <w:p w14:paraId="67274F37" w14:textId="77777777" w:rsidR="009F67B5" w:rsidRPr="00F425BF" w:rsidRDefault="000F30A8">
      <w:pPr>
        <w:spacing w:before="120" w:after="120"/>
        <w:ind w:left="1134" w:right="618"/>
        <w:jc w:val="both"/>
        <w:rPr>
          <w:rFonts w:ascii="Palatino Linotype" w:eastAsia="Palatino Linotype" w:hAnsi="Palatino Linotype" w:cs="Palatino Linotype"/>
          <w:i/>
        </w:rPr>
      </w:pPr>
      <w:r w:rsidRPr="00F425BF">
        <w:rPr>
          <w:rFonts w:ascii="Palatino Linotype" w:eastAsia="Palatino Linotype" w:hAnsi="Palatino Linotype" w:cs="Palatino Linotype"/>
          <w:b/>
          <w:i/>
          <w:sz w:val="22"/>
          <w:szCs w:val="22"/>
        </w:rPr>
        <w:t>X.</w:t>
      </w:r>
      <w:r w:rsidRPr="00F425BF">
        <w:rPr>
          <w:rFonts w:ascii="Palatino Linotype" w:eastAsia="Palatino Linotype" w:hAnsi="Palatino Linotype" w:cs="Palatino Linotype"/>
          <w:i/>
          <w:sz w:val="22"/>
          <w:szCs w:val="22"/>
        </w:rPr>
        <w:t xml:space="preserve"> Las demás que le confieran esta Ley y otras disposiciones aplicables.”</w:t>
      </w:r>
    </w:p>
    <w:p w14:paraId="6A16E72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De la normatividad citada, se desprende que corresponde al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emitir las licencias de funcionamiento, así como crear el registro municipal en donde se especifique el número de las licencias de funcionamiento con la actividad económica que realicen los particulares en las que se les denomina como unidades económicas </w:t>
      </w:r>
      <w:r w:rsidRPr="00F425BF">
        <w:rPr>
          <w:rFonts w:ascii="Palatino Linotype" w:eastAsia="Palatino Linotype" w:hAnsi="Palatino Linotype" w:cs="Palatino Linotype"/>
        </w:rPr>
        <w:lastRenderedPageBreak/>
        <w:t xml:space="preserve">al lugar en donde realicen sus actividades y para ello los solicitantes deben cubrir ciertos requisitos. </w:t>
      </w:r>
    </w:p>
    <w:p w14:paraId="0BAE3B1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Conjuntamente, sobre las licencias, se debe indicar que no sólo se trata de información pública, sino además que corresponde a las obligaciones de transparencia, de acuerdo a lo señalado en el artículo 92, fracción XXXII, de la Ley de Transparencia y Acceso a la Información Pública del Estado de México y Municipios, que se transcribe a continuación:</w:t>
      </w:r>
    </w:p>
    <w:p w14:paraId="361D306E" w14:textId="77777777" w:rsidR="009F67B5" w:rsidRPr="00F425BF" w:rsidRDefault="000F30A8">
      <w:pPr>
        <w:spacing w:before="120" w:after="120"/>
        <w:ind w:left="851"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92.</w:t>
      </w:r>
      <w:r w:rsidRPr="00F425BF">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D7AE5A" w14:textId="77777777" w:rsidR="009F67B5" w:rsidRPr="00F425BF" w:rsidRDefault="000F30A8">
      <w:pPr>
        <w:spacing w:before="120" w:after="120"/>
        <w:ind w:left="1134" w:right="618"/>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w:t>
      </w:r>
    </w:p>
    <w:p w14:paraId="254863A0" w14:textId="77777777" w:rsidR="009F67B5" w:rsidRPr="00F425BF" w:rsidRDefault="000F30A8">
      <w:pPr>
        <w:spacing w:before="120" w:after="120"/>
        <w:ind w:left="1134" w:right="618"/>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 xml:space="preserve">XXXII. </w:t>
      </w:r>
      <w:r w:rsidRPr="00F425BF">
        <w:rPr>
          <w:rFonts w:ascii="Palatino Linotype" w:eastAsia="Palatino Linotype" w:hAnsi="Palatino Linotype" w:cs="Palatino Linotype"/>
          <w:i/>
          <w:sz w:val="22"/>
          <w:szCs w:val="22"/>
        </w:rPr>
        <w:t>Las concesiones, contratos, convenios, permisos</w:t>
      </w:r>
      <w:r w:rsidRPr="00F425BF">
        <w:rPr>
          <w:rFonts w:ascii="Palatino Linotype" w:eastAsia="Palatino Linotype" w:hAnsi="Palatino Linotype" w:cs="Palatino Linotype"/>
          <w:b/>
          <w:i/>
          <w:sz w:val="22"/>
          <w:szCs w:val="22"/>
        </w:rPr>
        <w:t xml:space="preserve">, </w:t>
      </w:r>
      <w:r w:rsidRPr="00F425BF">
        <w:rPr>
          <w:rFonts w:ascii="Palatino Linotype" w:eastAsia="Palatino Linotype" w:hAnsi="Palatino Linotype" w:cs="Palatino Linotype"/>
          <w:b/>
          <w:i/>
          <w:sz w:val="22"/>
          <w:szCs w:val="22"/>
          <w:u w:val="single"/>
        </w:rPr>
        <w:t>licencias o autorizaciones otorgados</w:t>
      </w:r>
      <w:r w:rsidRPr="00F425BF">
        <w:rPr>
          <w:rFonts w:ascii="Palatino Linotype" w:eastAsia="Palatino Linotype" w:hAnsi="Palatino Linotype" w:cs="Palatino Linotype"/>
          <w:i/>
          <w:sz w:val="22"/>
          <w:szCs w:val="22"/>
        </w:rPr>
        <w:t xml:space="preserve">, </w:t>
      </w:r>
      <w:r w:rsidRPr="00F425BF">
        <w:rPr>
          <w:rFonts w:ascii="Palatino Linotype" w:eastAsia="Palatino Linotype" w:hAnsi="Palatino Linotype" w:cs="Palatino Linotype"/>
          <w:b/>
          <w:i/>
          <w:sz w:val="22"/>
          <w:szCs w:val="22"/>
        </w:rPr>
        <w:t>especificando los titulares de aquéllos</w:t>
      </w:r>
      <w:r w:rsidRPr="00F425BF">
        <w:rPr>
          <w:rFonts w:ascii="Palatino Linotype" w:eastAsia="Palatino Linotype" w:hAnsi="Palatino Linotype" w:cs="Palatino Linotype"/>
          <w:i/>
          <w:sz w:val="22"/>
          <w:szCs w:val="22"/>
        </w:rPr>
        <w:t xml:space="preserve">, debiendo publicarse su </w:t>
      </w:r>
      <w:r w:rsidRPr="00F425BF">
        <w:rPr>
          <w:rFonts w:ascii="Palatino Linotype" w:eastAsia="Palatino Linotype" w:hAnsi="Palatino Linotype" w:cs="Palatino Linotype"/>
          <w:b/>
          <w:i/>
          <w:sz w:val="22"/>
          <w:szCs w:val="22"/>
        </w:rPr>
        <w:t>objeto, nombre o razón social del titular, vigencia, tipo, términos, condiciones, monto y modificaciones</w:t>
      </w:r>
      <w:r w:rsidRPr="00F425BF">
        <w:rPr>
          <w:rFonts w:ascii="Palatino Linotype" w:eastAsia="Palatino Linotype" w:hAnsi="Palatino Linotype" w:cs="Palatino Linotype"/>
          <w:i/>
          <w:sz w:val="22"/>
          <w:szCs w:val="22"/>
        </w:rPr>
        <w:t>, así como si el procedimiento involucra el aprovechamiento de bienes, servicios y/o recursos públicos;</w:t>
      </w:r>
      <w:r w:rsidRPr="00F425BF">
        <w:rPr>
          <w:rFonts w:ascii="Palatino Linotype" w:eastAsia="Palatino Linotype" w:hAnsi="Palatino Linotype" w:cs="Palatino Linotype"/>
          <w:b/>
          <w:i/>
          <w:sz w:val="22"/>
          <w:szCs w:val="22"/>
        </w:rPr>
        <w:t xml:space="preserve"> </w:t>
      </w:r>
    </w:p>
    <w:p w14:paraId="6522BC0D" w14:textId="77777777" w:rsidR="009F67B5" w:rsidRPr="00F425BF" w:rsidRDefault="000F30A8">
      <w:pPr>
        <w:spacing w:before="120" w:after="120"/>
        <w:ind w:left="851" w:right="618"/>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w:t>
      </w:r>
    </w:p>
    <w:p w14:paraId="0095312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Dicha información debe publicarse de conformidad con las disposiciones contenidas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vigentes a la fecha de presentación de la solicitud, a saber:</w:t>
      </w:r>
    </w:p>
    <w:p w14:paraId="768AF390"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lastRenderedPageBreak/>
        <w:t>“...</w:t>
      </w:r>
    </w:p>
    <w:p w14:paraId="4BAED213"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0CBE048A"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La información se organizará por acto jurídico y respecto de cada uno se especificará su tipo. Por ejemplo: </w:t>
      </w:r>
    </w:p>
    <w:p w14:paraId="70C0C93E"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Concesión</w:t>
      </w:r>
      <w:r w:rsidRPr="00F425BF">
        <w:rPr>
          <w:rFonts w:ascii="Palatino Linotype" w:eastAsia="Palatino Linotype" w:hAnsi="Palatino Linotype" w:cs="Palatino Linotype"/>
          <w:i/>
          <w:sz w:val="22"/>
          <w:szCs w:val="22"/>
        </w:rPr>
        <w:t xml:space="preserve"> para ejecución y operación de obra pública; prestación de servicio público; radiodifusión; telecomunicaciones; etcétera. </w:t>
      </w:r>
    </w:p>
    <w:p w14:paraId="2EF548AF"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Permiso</w:t>
      </w:r>
      <w:r w:rsidRPr="00F425BF">
        <w:rPr>
          <w:rFonts w:ascii="Palatino Linotype" w:eastAsia="Palatino Linotype" w:hAnsi="Palatino Linotype" w:cs="Palatino Linotype"/>
          <w:i/>
          <w:sz w:val="22"/>
          <w:szCs w:val="22"/>
        </w:rPr>
        <w:t xml:space="preserve"> para el tratamiento y refinación del petróleo; para el almacenamiento, el transporte y la distribución por ductos de petróleo, gas, petrolíferos y petroquímicos; de radiodifusión, de telecomunicaciones; de conducir; etcétera. </w:t>
      </w:r>
    </w:p>
    <w:p w14:paraId="12F2307A"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Licencia</w:t>
      </w:r>
      <w:r w:rsidRPr="00F425BF">
        <w:rPr>
          <w:rFonts w:ascii="Palatino Linotype" w:eastAsia="Palatino Linotype" w:hAnsi="Palatino Linotype" w:cs="Palatino Linotype"/>
          <w:i/>
          <w:sz w:val="22"/>
          <w:szCs w:val="22"/>
        </w:rPr>
        <w:t xml:space="preserve"> de uso de suelo, de construcción, de anuncios, de conducir, de explotación de yacimientos de materiales pétreos, de exploración y extracción del petróleo, etcétera.</w:t>
      </w:r>
    </w:p>
    <w:p w14:paraId="703A760F"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Autorización</w:t>
      </w:r>
      <w:r w:rsidRPr="00F425BF">
        <w:rPr>
          <w:rFonts w:ascii="Palatino Linotype" w:eastAsia="Palatino Linotype" w:hAnsi="Palatino Linotype" w:cs="Palatino Linotype"/>
          <w:i/>
          <w:sz w:val="22"/>
          <w:szCs w:val="22"/>
        </w:rPr>
        <w:t xml:space="preserve">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14:paraId="0DD01111"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Contrato</w:t>
      </w:r>
      <w:r w:rsidRPr="00F425BF">
        <w:rPr>
          <w:rFonts w:ascii="Palatino Linotype" w:eastAsia="Palatino Linotype" w:hAnsi="Palatino Linotype" w:cs="Palatino Linotype"/>
          <w:i/>
          <w:sz w:val="22"/>
          <w:szCs w:val="22"/>
        </w:rPr>
        <w:t>. Aquellos celebrados por el sujeto obligado y que se realicen con cargo total o parcial a recursos públicos de acuerdo con las leyes que le sean aplicables.</w:t>
      </w:r>
    </w:p>
    <w:p w14:paraId="022B7725"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Convenio</w:t>
      </w:r>
      <w:r w:rsidRPr="00F425BF">
        <w:rPr>
          <w:rFonts w:ascii="Palatino Linotype" w:eastAsia="Palatino Linotype" w:hAnsi="Palatino Linotype" w:cs="Palatino Linotype"/>
          <w:i/>
          <w:sz w:val="22"/>
          <w:szCs w:val="22"/>
        </w:rPr>
        <w:t xml:space="preserve">. Acuerdo que se firma para desarrollar un asunto concreto destinado a establecer, transferir, modificar o eliminar una obligación. </w:t>
      </w:r>
    </w:p>
    <w:p w14:paraId="5886823C"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La información sobre cada acto jurídico de los arriba enlistados deberá publicarse a partir de la fecha en la que éste inició. En su caso, el sujeto obligado incluirá una nota fundamentada, motivada y actualizada al periodo que corresponda señalando que no se otorgó ni emitió determinado acto.</w:t>
      </w:r>
    </w:p>
    <w:p w14:paraId="3B3F0FB1"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7D49C640"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Asimismo, se deben observar los siguientes criterios de contenido y adjetivos de formato: </w:t>
      </w:r>
    </w:p>
    <w:p w14:paraId="124773FF" w14:textId="77777777" w:rsidR="009F67B5" w:rsidRPr="00F425BF" w:rsidRDefault="000F30A8">
      <w:pPr>
        <w:spacing w:before="240" w:after="240" w:line="360" w:lineRule="auto"/>
        <w:jc w:val="center"/>
        <w:rPr>
          <w:rFonts w:ascii="Palatino Linotype" w:eastAsia="Palatino Linotype" w:hAnsi="Palatino Linotype" w:cs="Palatino Linotype"/>
        </w:rPr>
      </w:pPr>
      <w:r w:rsidRPr="00F425BF">
        <w:rPr>
          <w:rFonts w:ascii="Palatino Linotype" w:eastAsia="Palatino Linotype" w:hAnsi="Palatino Linotype" w:cs="Palatino Linotype"/>
          <w:noProof/>
        </w:rPr>
        <w:lastRenderedPageBreak/>
        <w:drawing>
          <wp:inline distT="0" distB="0" distL="0" distR="0" wp14:anchorId="0FCC6D5C" wp14:editId="308C14DA">
            <wp:extent cx="4680000" cy="3197241"/>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52563"/>
                    <a:stretch>
                      <a:fillRect/>
                    </a:stretch>
                  </pic:blipFill>
                  <pic:spPr>
                    <a:xfrm>
                      <a:off x="0" y="0"/>
                      <a:ext cx="4680000" cy="3197241"/>
                    </a:xfrm>
                    <a:prstGeom prst="rect">
                      <a:avLst/>
                    </a:prstGeom>
                    <a:ln/>
                  </pic:spPr>
                </pic:pic>
              </a:graphicData>
            </a:graphic>
          </wp:inline>
        </w:drawing>
      </w:r>
      <w:r w:rsidRPr="00F425BF">
        <w:rPr>
          <w:rFonts w:ascii="Palatino Linotype" w:eastAsia="Palatino Linotype" w:hAnsi="Palatino Linotype" w:cs="Palatino Linotype"/>
          <w:noProof/>
        </w:rPr>
        <w:drawing>
          <wp:inline distT="0" distB="0" distL="0" distR="0" wp14:anchorId="0908AC0A" wp14:editId="2CBCC1FE">
            <wp:extent cx="4680000" cy="762222"/>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88690"/>
                    <a:stretch>
                      <a:fillRect/>
                    </a:stretch>
                  </pic:blipFill>
                  <pic:spPr>
                    <a:xfrm>
                      <a:off x="0" y="0"/>
                      <a:ext cx="4680000" cy="762222"/>
                    </a:xfrm>
                    <a:prstGeom prst="rect">
                      <a:avLst/>
                    </a:prstGeom>
                    <a:ln/>
                  </pic:spPr>
                </pic:pic>
              </a:graphicData>
            </a:graphic>
          </wp:inline>
        </w:drawing>
      </w:r>
    </w:p>
    <w:p w14:paraId="5A39C318" w14:textId="77777777" w:rsidR="009F67B5" w:rsidRPr="00F425BF" w:rsidRDefault="000F30A8">
      <w:pPr>
        <w:spacing w:before="240" w:after="240" w:line="360" w:lineRule="auto"/>
        <w:jc w:val="center"/>
        <w:rPr>
          <w:rFonts w:ascii="Palatino Linotype" w:eastAsia="Palatino Linotype" w:hAnsi="Palatino Linotype" w:cs="Palatino Linotype"/>
        </w:rPr>
      </w:pPr>
      <w:r w:rsidRPr="00F425BF">
        <w:rPr>
          <w:rFonts w:ascii="Palatino Linotype" w:eastAsia="Palatino Linotype" w:hAnsi="Palatino Linotype" w:cs="Palatino Linotype"/>
          <w:noProof/>
        </w:rPr>
        <w:drawing>
          <wp:inline distT="0" distB="0" distL="0" distR="0" wp14:anchorId="606AF640" wp14:editId="0275F24F">
            <wp:extent cx="4680000" cy="2377798"/>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37423"/>
                    <a:stretch>
                      <a:fillRect/>
                    </a:stretch>
                  </pic:blipFill>
                  <pic:spPr>
                    <a:xfrm>
                      <a:off x="0" y="0"/>
                      <a:ext cx="4680000" cy="2377798"/>
                    </a:xfrm>
                    <a:prstGeom prst="rect">
                      <a:avLst/>
                    </a:prstGeom>
                    <a:ln/>
                  </pic:spPr>
                </pic:pic>
              </a:graphicData>
            </a:graphic>
          </wp:inline>
        </w:drawing>
      </w:r>
    </w:p>
    <w:p w14:paraId="74FE582A" w14:textId="77777777" w:rsidR="009F67B5" w:rsidRPr="00F425BF" w:rsidRDefault="000F30A8">
      <w:pPr>
        <w:spacing w:before="240" w:after="240" w:line="360" w:lineRule="auto"/>
        <w:jc w:val="center"/>
        <w:rPr>
          <w:rFonts w:ascii="Palatino Linotype" w:eastAsia="Palatino Linotype" w:hAnsi="Palatino Linotype" w:cs="Palatino Linotype"/>
        </w:rPr>
      </w:pPr>
      <w:r w:rsidRPr="00F425BF">
        <w:rPr>
          <w:rFonts w:ascii="Palatino Linotype" w:eastAsia="Palatino Linotype" w:hAnsi="Palatino Linotype" w:cs="Palatino Linotype"/>
          <w:noProof/>
        </w:rPr>
        <w:lastRenderedPageBreak/>
        <w:drawing>
          <wp:inline distT="0" distB="0" distL="0" distR="0" wp14:anchorId="01DD7A40" wp14:editId="28A7898C">
            <wp:extent cx="4680000" cy="129477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66254" b="-329"/>
                    <a:stretch>
                      <a:fillRect/>
                    </a:stretch>
                  </pic:blipFill>
                  <pic:spPr>
                    <a:xfrm>
                      <a:off x="0" y="0"/>
                      <a:ext cx="4680000" cy="1294770"/>
                    </a:xfrm>
                    <a:prstGeom prst="rect">
                      <a:avLst/>
                    </a:prstGeom>
                    <a:ln/>
                  </pic:spPr>
                </pic:pic>
              </a:graphicData>
            </a:graphic>
          </wp:inline>
        </w:drawing>
      </w:r>
    </w:p>
    <w:p w14:paraId="5C894B67"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Como puede advertirse, entre la información que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debe transparentar derivado de la emisión de concesiones, contratos, convenios, permisos licencias o autorizaciones -entre las que se encuentras las licencias de funcionamiento- se encuentra la concerniente al objeto del acto jurídico, el sector a cual se otorgó, </w:t>
      </w:r>
      <w:r w:rsidRPr="00F425BF">
        <w:rPr>
          <w:rFonts w:ascii="Palatino Linotype" w:eastAsia="Palatino Linotype" w:hAnsi="Palatino Linotype" w:cs="Palatino Linotype"/>
          <w:b/>
        </w:rPr>
        <w:t>el nombre completo o razón social del titular a quien se le otorgó el acto jurídico</w:t>
      </w:r>
      <w:r w:rsidRPr="00F425BF">
        <w:rPr>
          <w:rFonts w:ascii="Palatino Linotype" w:eastAsia="Palatino Linotype" w:hAnsi="Palatino Linotype" w:cs="Palatino Linotype"/>
        </w:rPr>
        <w:t>, la fecha de inicio de vigencia del acto jurídico, la fecha de término de vigencia del acto jurídico, e</w:t>
      </w:r>
      <w:r w:rsidRPr="00F425BF">
        <w:rPr>
          <w:rFonts w:ascii="Palatino Linotype" w:eastAsia="Palatino Linotype" w:hAnsi="Palatino Linotype" w:cs="Palatino Linotype"/>
          <w:b/>
        </w:rPr>
        <w:t xml:space="preserve">l hipervínculo al contrato, convenio, permiso, licencia o concesión, </w:t>
      </w:r>
      <w:r w:rsidRPr="00F425BF">
        <w:rPr>
          <w:rFonts w:ascii="Palatino Linotype" w:eastAsia="Palatino Linotype" w:hAnsi="Palatino Linotype" w:cs="Palatino Linotype"/>
        </w:rPr>
        <w:t>donde se especifiquen los términos y condiciones, incluidos los anexos, en versión pública cuando así corresponda.</w:t>
      </w:r>
    </w:p>
    <w:p w14:paraId="1A1E89E8" w14:textId="77777777" w:rsidR="009F67B5" w:rsidRPr="00F425BF" w:rsidRDefault="000F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Bajo esta premisa, recordemos que en atención a la solicitud la Dirección de Desarrollo Económico se limitó a referir que no contaba con la información en virtud del reciente inicio de la administración pública municipal, no obstante, dicha respuesta no fue clara respecto de los motivos por los cuales no se contaba con la información solicitada, por ejemplo, si se no se expidieron Licencias en el periodo solicitado, si se expidieron Licencias pero no fueron localizadas en el archivo de concentración de la Dirección de Desarrollo Económico entre otras, situación que deja en incertidumbre a la persona solicitante respecto de la existencia o inexistencias de Licencias de Funcionamiento en sus archivos físicos o digitales.</w:t>
      </w:r>
    </w:p>
    <w:p w14:paraId="209D5ACE" w14:textId="77777777" w:rsidR="009F67B5" w:rsidRPr="00F425BF" w:rsidRDefault="000F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Mientras que en el caso del ejercicio 2025, la persona servidora pública habilitada se limitó a proporcionar un listado de las Licencias de Funcionamiento otorgadas del uno de enero a la fecha de presentación de la solicitud, sin embargo, debe precisarse que lo solicitado fue propiamente las licencias de funcionamiento expedidas.</w:t>
      </w:r>
    </w:p>
    <w:p w14:paraId="4FB15C4A" w14:textId="77777777" w:rsidR="009F67B5" w:rsidRPr="00F425BF" w:rsidRDefault="000F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Atento a lo anterior, se estima que los motivos de inconformidad alegados por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devienen fundados, por lo que su Derecho de acceso no puede tenerse por satisfecho, y para tal efecto, se estima necesario ordenar que previa búsqueda exhaustiva y razonable, se haga entrega de las Licencias de Funcionamiento expedidas del uno de enero de dos mil veintidós, al seis de marzo de dos mil veinticinco, en versión pública de conformidad con el considerando siguiente.</w:t>
      </w:r>
    </w:p>
    <w:p w14:paraId="622E5959" w14:textId="77777777" w:rsidR="009F67B5" w:rsidRPr="00F425BF" w:rsidRDefault="000F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De lo hasta aquí expuesto, se concluye que los motivos de inconformidad de la parte </w:t>
      </w:r>
      <w:r w:rsidRPr="00F425BF">
        <w:rPr>
          <w:rFonts w:ascii="Palatino Linotype" w:eastAsia="Palatino Linotype" w:hAnsi="Palatino Linotype" w:cs="Palatino Linotype"/>
          <w:b/>
        </w:rPr>
        <w:t xml:space="preserve">Recurrente </w:t>
      </w:r>
      <w:r w:rsidRPr="00F425BF">
        <w:rPr>
          <w:rFonts w:ascii="Palatino Linotype" w:eastAsia="Palatino Linotype" w:hAnsi="Palatino Linotype" w:cs="Palatino Linotype"/>
        </w:rPr>
        <w:t xml:space="preserve">devienen fundados, siendo procedente </w:t>
      </w:r>
      <w:r w:rsidRPr="00F425BF">
        <w:rPr>
          <w:rFonts w:ascii="Palatino Linotype" w:eastAsia="Palatino Linotype" w:hAnsi="Palatino Linotype" w:cs="Palatino Linotype"/>
          <w:i/>
        </w:rPr>
        <w:t xml:space="preserve">Revocar </w:t>
      </w:r>
      <w:r w:rsidRPr="00F425BF">
        <w:rPr>
          <w:rFonts w:ascii="Palatino Linotype" w:eastAsia="Palatino Linotype" w:hAnsi="Palatino Linotype" w:cs="Palatino Linotype"/>
        </w:rPr>
        <w:t xml:space="preserve">la respuesta proporcionada por el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7269CB3"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b/>
        </w:rPr>
        <w:t>Quinto. Versión Pública.</w:t>
      </w:r>
      <w:r w:rsidRPr="00F425BF">
        <w:rPr>
          <w:rFonts w:ascii="Palatino Linotype" w:eastAsia="Palatino Linotype" w:hAnsi="Palatino Linotype" w:cs="Palatino Linotype"/>
          <w:sz w:val="28"/>
          <w:szCs w:val="28"/>
        </w:rPr>
        <w:t xml:space="preserve"> </w:t>
      </w:r>
      <w:r w:rsidRPr="00F425BF">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sin menoscabo al derecho a la protección de los datos personales de terceros.</w:t>
      </w:r>
    </w:p>
    <w:p w14:paraId="0F56520D"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7D967A16"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Artículo 3</w:t>
      </w:r>
      <w:r w:rsidRPr="00F425BF">
        <w:rPr>
          <w:rFonts w:ascii="Palatino Linotype" w:eastAsia="Palatino Linotype" w:hAnsi="Palatino Linotype" w:cs="Palatino Linotype"/>
          <w:i/>
          <w:sz w:val="22"/>
          <w:szCs w:val="22"/>
        </w:rPr>
        <w:t>. Para los efectos de la presente Ley se entenderá por:</w:t>
      </w:r>
    </w:p>
    <w:p w14:paraId="10D69522"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1323E5A3"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IX. Datos personales</w:t>
      </w:r>
      <w:r w:rsidRPr="00F425B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32D5F1A"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XX. Información clasificada</w:t>
      </w:r>
      <w:r w:rsidRPr="00F425BF">
        <w:rPr>
          <w:rFonts w:ascii="Palatino Linotype" w:eastAsia="Palatino Linotype" w:hAnsi="Palatino Linotype" w:cs="Palatino Linotype"/>
          <w:i/>
          <w:sz w:val="22"/>
          <w:szCs w:val="22"/>
        </w:rPr>
        <w:t>: Aquella considerada por la presente Ley como reservada o confidencial;</w:t>
      </w:r>
    </w:p>
    <w:p w14:paraId="5EA64DD2"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 xml:space="preserve">XXI. Información confidencial: </w:t>
      </w:r>
      <w:r w:rsidRPr="00F425B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046847"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XLV. Versión pública:</w:t>
      </w:r>
      <w:r w:rsidRPr="00F425B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D21305B"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1D48CE41"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91.</w:t>
      </w:r>
      <w:r w:rsidRPr="00F425B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D1D5A20"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132.</w:t>
      </w:r>
      <w:r w:rsidRPr="00F425BF">
        <w:rPr>
          <w:rFonts w:ascii="Palatino Linotype" w:eastAsia="Palatino Linotype" w:hAnsi="Palatino Linotype" w:cs="Palatino Linotype"/>
          <w:i/>
          <w:sz w:val="22"/>
          <w:szCs w:val="22"/>
        </w:rPr>
        <w:t xml:space="preserve"> La clasificación de la información se llevará a cabo en el momento en que:</w:t>
      </w:r>
    </w:p>
    <w:p w14:paraId="3A172E2E"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Se reciba una solicitud de acceso a la información;</w:t>
      </w:r>
    </w:p>
    <w:p w14:paraId="2653692A"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xml:space="preserve"> Se determine mediante resolución de autoridad competente; o</w:t>
      </w:r>
    </w:p>
    <w:p w14:paraId="68F62A8D"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III.</w:t>
      </w:r>
      <w:r w:rsidRPr="00F425B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6CB4933"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w:t>
      </w:r>
    </w:p>
    <w:p w14:paraId="7FC40B88"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137.</w:t>
      </w:r>
      <w:r w:rsidRPr="00F425B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F425BF">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14:paraId="1EFB50BA" w14:textId="77777777" w:rsidR="009F67B5" w:rsidRPr="00F425BF" w:rsidRDefault="000F30A8">
      <w:pPr>
        <w:spacing w:before="120" w:after="120"/>
        <w:ind w:left="851" w:right="902"/>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w:t>
      </w:r>
    </w:p>
    <w:p w14:paraId="2A54ADD6"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Artículo 143</w:t>
      </w:r>
      <w:r w:rsidRPr="00F425B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D9DC269"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837FD8C"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706E809" w14:textId="77777777" w:rsidR="009F67B5" w:rsidRPr="00F425BF" w:rsidRDefault="000F30A8">
      <w:pPr>
        <w:spacing w:before="240" w:after="240" w:line="360" w:lineRule="auto"/>
        <w:ind w:right="50"/>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sidRPr="00F425BF">
        <w:rPr>
          <w:rFonts w:ascii="Palatino Linotype" w:eastAsia="Palatino Linotype" w:hAnsi="Palatino Linotype" w:cs="Palatino Linotype"/>
        </w:rPr>
        <w:lastRenderedPageBreak/>
        <w:t>acuerdo a los que señala la fracción XII del artículo 4 de la Ley de Protección de Datos Personales en posesión de Sujeto Obligados del Estado de México.</w:t>
      </w:r>
    </w:p>
    <w:p w14:paraId="7F0064A0"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Registro Federal de Contribuyentes (RFC), correo electrónico particular, nombre y firma de quien recibe el documento,  entre otros datos que sean exclusivamente de particulares.</w:t>
      </w:r>
    </w:p>
    <w:p w14:paraId="4D2159A4" w14:textId="77777777" w:rsidR="009F67B5" w:rsidRPr="00F425BF" w:rsidRDefault="000F30A8">
      <w:pPr>
        <w:spacing w:before="240" w:after="240" w:line="360" w:lineRule="auto"/>
        <w:ind w:right="50"/>
        <w:jc w:val="both"/>
        <w:rPr>
          <w:rFonts w:ascii="Palatino Linotype" w:eastAsia="Palatino Linotype" w:hAnsi="Palatino Linotype" w:cs="Palatino Linotype"/>
        </w:rPr>
      </w:pPr>
      <w:r w:rsidRPr="00F425B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378CAD0"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Por cuanto hace al Registro Federal de Contribuyentes, (RFC) de las personas físicas, constituye un dato personal, pues se genera con caracteres alfanuméricos a partir del nombre y la fecha de nacimiento de cada persona, y finalmente la </w:t>
      </w:r>
      <w:proofErr w:type="spellStart"/>
      <w:r w:rsidRPr="00F425BF">
        <w:rPr>
          <w:rFonts w:ascii="Palatino Linotype" w:eastAsia="Palatino Linotype" w:hAnsi="Palatino Linotype" w:cs="Palatino Linotype"/>
        </w:rPr>
        <w:t>homoclave</w:t>
      </w:r>
      <w:proofErr w:type="spellEnd"/>
      <w:r w:rsidRPr="00F425BF">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1C094610"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AD185A4"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4300B666" w14:textId="77777777" w:rsidR="009F67B5" w:rsidRPr="00F425BF" w:rsidRDefault="000F30A8">
      <w:pPr>
        <w:ind w:left="851" w:right="900"/>
        <w:jc w:val="both"/>
        <w:rPr>
          <w:rFonts w:ascii="Palatino Linotype" w:eastAsia="Palatino Linotype" w:hAnsi="Palatino Linotype" w:cs="Palatino Linotype"/>
          <w:i/>
          <w:sz w:val="21"/>
          <w:szCs w:val="21"/>
        </w:rPr>
      </w:pPr>
      <w:r w:rsidRPr="00F425BF">
        <w:rPr>
          <w:rFonts w:ascii="Palatino Linotype" w:eastAsia="Palatino Linotype" w:hAnsi="Palatino Linotype" w:cs="Palatino Linotype"/>
          <w:b/>
          <w:i/>
          <w:sz w:val="21"/>
          <w:szCs w:val="21"/>
        </w:rPr>
        <w:t xml:space="preserve"> “Registro Federal de Contribuyentes (RFC) de personas físicas</w:t>
      </w:r>
      <w:r w:rsidRPr="00F425BF">
        <w:rPr>
          <w:rFonts w:ascii="Palatino Linotype" w:eastAsia="Palatino Linotype" w:hAnsi="Palatino Linotype" w:cs="Palatino Linotype"/>
          <w:i/>
          <w:sz w:val="21"/>
          <w:szCs w:val="21"/>
        </w:rPr>
        <w:t>. El RFC es una clave de carácter fiscal, única e irrepetible, que permite identificar al titular, su edad y fecha de nacimiento, por lo que es un dato personal de carácter confidencial.”</w:t>
      </w:r>
    </w:p>
    <w:p w14:paraId="0D624E6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F425BF">
        <w:rPr>
          <w:rFonts w:ascii="Palatino Linotype" w:eastAsia="Palatino Linotype" w:hAnsi="Palatino Linotype" w:cs="Palatino Linotype"/>
        </w:rPr>
        <w:t>homoclave</w:t>
      </w:r>
      <w:proofErr w:type="spellEnd"/>
      <w:r w:rsidRPr="00F425BF">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F65CB96" w14:textId="77777777" w:rsidR="009F67B5" w:rsidRPr="00F425BF" w:rsidRDefault="000F30A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El correo electrónico particular, 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w:t>
      </w:r>
      <w:r w:rsidRPr="00F425BF">
        <w:rPr>
          <w:rFonts w:ascii="Palatino Linotype" w:eastAsia="Palatino Linotype" w:hAnsi="Palatino Linotype" w:cs="Palatino Linotype"/>
        </w:rPr>
        <w:lastRenderedPageBreak/>
        <w:t>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4F4005FE"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Con relación al nombre de la persona que recibe el documento en caso de no ser el titular, debe decirse que el nombre de una persona física</w:t>
      </w:r>
      <w:r w:rsidRPr="00F425BF">
        <w:rPr>
          <w:rFonts w:ascii="Palatino Linotype" w:eastAsia="Palatino Linotype" w:hAnsi="Palatino Linotype" w:cs="Palatino Linotype"/>
          <w:b/>
        </w:rPr>
        <w:t xml:space="preserve">, </w:t>
      </w:r>
      <w:r w:rsidRPr="00F425BF">
        <w:rPr>
          <w:rFonts w:ascii="Palatino Linotype" w:eastAsia="Palatino Linotype" w:hAnsi="Palatino Linotype" w:cs="Palatino Linotype"/>
        </w:rPr>
        <w:t>al ser uno de los atributos de la personalidad y la manifestación principal del derecho subjetivo a la identidad, ya que por sí solo es un elemento que hace a una persona física identificada o identificable, por lo que dar publicidad al mismo vulneraría su ámbito de privacidad.</w:t>
      </w:r>
    </w:p>
    <w:p w14:paraId="6632CC92"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Por lo anterior, es conveniente señalar que el nombre de una persona física es un dato personal que, por regla general, debe considerarse como un dato confidencial en términos del artículo 143, fracción I de la Ley de Transparencia y Acceso a la Información Pública del Estado de México y Municipios, cuando se trate de personas que no se desempeñan en la función pública.</w:t>
      </w:r>
    </w:p>
    <w:p w14:paraId="45DEDB13"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Respecto de la rúbrica o firma de la persona que recibe el documento se debe tener presente que la firma y rúbrica son definidas por la Real Academia de la Lengua Española, de la siguiente manera:</w:t>
      </w:r>
    </w:p>
    <w:p w14:paraId="1187402C" w14:textId="77777777" w:rsidR="009F67B5" w:rsidRPr="00F425BF" w:rsidRDefault="000F30A8">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F425BF">
        <w:rPr>
          <w:rFonts w:ascii="Palatino Linotype" w:eastAsia="Palatino Linotype" w:hAnsi="Palatino Linotype" w:cs="Palatino Linotype"/>
          <w:b/>
        </w:rPr>
        <w:t>Firma</w:t>
      </w:r>
      <w:r w:rsidRPr="00F425BF">
        <w:rPr>
          <w:rFonts w:ascii="Palatino Linotype" w:eastAsia="Palatino Linotype" w:hAnsi="Palatino Linotype" w:cs="Palatino Linotype"/>
        </w:rPr>
        <w:t>. Rasgo o conjunto de rasgos, realizados siempre de la misma manera, que identifican a una persona y sustituyen a su nombre y apellidos para aprobar o dar autenticidad a un documento.</w:t>
      </w:r>
    </w:p>
    <w:p w14:paraId="0CB58A6A" w14:textId="77777777" w:rsidR="009F67B5" w:rsidRPr="00F425BF" w:rsidRDefault="000F30A8">
      <w:pPr>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sidRPr="00F425BF">
        <w:rPr>
          <w:rFonts w:ascii="Palatino Linotype" w:eastAsia="Palatino Linotype" w:hAnsi="Palatino Linotype" w:cs="Palatino Linotype"/>
          <w:b/>
        </w:rPr>
        <w:lastRenderedPageBreak/>
        <w:t>Rúbrica</w:t>
      </w:r>
      <w:r w:rsidRPr="00F425BF">
        <w:rPr>
          <w:rFonts w:ascii="Palatino Linotype" w:eastAsia="Palatino Linotype" w:hAnsi="Palatino Linotype" w:cs="Palatino Linotype"/>
        </w:rPr>
        <w:t>. Rasgo o conjunto de rasgos, realizados siempre de la misma manera que suele ponerse en la firma después del nombre y que a veces la sustituye.</w:t>
      </w:r>
    </w:p>
    <w:p w14:paraId="2B8BC15A"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2B85600E"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En el caso particular, la firma o rúbrica de los titulares de las licencias o sus representantes que se plasma para el único efecto de acusar de recibido, pues, al tratarse de un acto de autoridad unilateral, es la misma autoridad quien determina la procedencia o improcedencia de la licencia, permiso o autorización, en función del cumplimiento de los requisitos por parte de los interesados; por lo que la firma o rúbrica de los titulares o sus representantes, no es un elemento de validez que forme parte de dichos documentos, sino que su finalidad consiste en la comprobación de que el trámite fue recibido por el interesado, por lo tanto se considera información que debe clasificarse como confidencial.</w:t>
      </w:r>
    </w:p>
    <w:p w14:paraId="36C2C211"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Respecto al nombre completo o razón social del titular a quien se le otorgó el acto jurídico y el domicilio de la unidad económica, debe reiterase que se trata de información que reviste el carácter de información pública, según lo establecido en </w:t>
      </w:r>
      <w:r w:rsidRPr="00F425BF">
        <w:rPr>
          <w:rFonts w:ascii="Palatino Linotype" w:eastAsia="Palatino Linotype" w:hAnsi="Palatino Linotype" w:cs="Palatino Linotype"/>
        </w:rPr>
        <w:lastRenderedPageBreak/>
        <w:t>el artículo 92, fracción XXXII de la Ley de Transparencia y Acceso a la Información Pública del Estado de México y Municipios,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vigentes a la fecha de presentación de la solicitud, por lo que NO es susceptible de ser clasificada, al no actualizar alguno de los supuestos que la normativa establece.</w:t>
      </w:r>
    </w:p>
    <w:p w14:paraId="689BDCDE"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E75108F" w14:textId="77777777" w:rsidR="009F67B5" w:rsidRPr="00F425BF" w:rsidRDefault="000F30A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Respecto a las formalidades que deberá llevar el acuerdo de clasificación que deberá emitir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w:t>
      </w:r>
      <w:r w:rsidRPr="00F425BF">
        <w:rPr>
          <w:rFonts w:ascii="Palatino Linotype" w:eastAsia="Palatino Linotype" w:hAnsi="Palatino Linotype" w:cs="Palatino Linotype"/>
        </w:rPr>
        <w:lastRenderedPageBreak/>
        <w:t>Información, así como para la Elaboración de Versiones Públicas, vigentes a la fecha de la solicitud, señalan lo siguiente:</w:t>
      </w:r>
    </w:p>
    <w:p w14:paraId="2C09049C"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 xml:space="preserve"> “Quincuagésimo. </w:t>
      </w:r>
      <w:r w:rsidRPr="00F425B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1029329" w14:textId="77777777" w:rsidR="009F67B5" w:rsidRPr="00F425BF" w:rsidRDefault="000F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 xml:space="preserve">Quincuagésimo primero. </w:t>
      </w:r>
      <w:r w:rsidRPr="00F425BF">
        <w:rPr>
          <w:rFonts w:ascii="Palatino Linotype" w:eastAsia="Palatino Linotype" w:hAnsi="Palatino Linotype" w:cs="Palatino Linotype"/>
          <w:i/>
          <w:sz w:val="22"/>
          <w:szCs w:val="22"/>
        </w:rPr>
        <w:t xml:space="preserve">Toda acta del Comité de Transparencia deberá contener: </w:t>
      </w:r>
    </w:p>
    <w:p w14:paraId="0AD47878"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El número de sesión y fecha; </w:t>
      </w:r>
    </w:p>
    <w:p w14:paraId="141E4EB7"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xml:space="preserve">. El nombre del área que solicitó la clasificación de información; </w:t>
      </w:r>
    </w:p>
    <w:p w14:paraId="69BE8204"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III</w:t>
      </w:r>
      <w:r w:rsidRPr="00F425BF">
        <w:rPr>
          <w:rFonts w:ascii="Palatino Linotype" w:eastAsia="Palatino Linotype" w:hAnsi="Palatino Linotype" w:cs="Palatino Linotype"/>
          <w:i/>
          <w:sz w:val="22"/>
          <w:szCs w:val="22"/>
        </w:rPr>
        <w:t xml:space="preserve">. La fundamentación legal y motivación correspondiente; </w:t>
      </w:r>
    </w:p>
    <w:p w14:paraId="4C8ED4DB"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IV</w:t>
      </w:r>
      <w:r w:rsidRPr="00F425BF">
        <w:rPr>
          <w:rFonts w:ascii="Palatino Linotype" w:eastAsia="Palatino Linotype" w:hAnsi="Palatino Linotype" w:cs="Palatino Linotype"/>
          <w:i/>
          <w:sz w:val="22"/>
          <w:szCs w:val="22"/>
        </w:rPr>
        <w:t xml:space="preserve">. La resolución o resoluciones aprobadas; y </w:t>
      </w:r>
    </w:p>
    <w:p w14:paraId="1E88A3A3"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V</w:t>
      </w:r>
      <w:r w:rsidRPr="00F425BF">
        <w:rPr>
          <w:rFonts w:ascii="Palatino Linotype" w:eastAsia="Palatino Linotype" w:hAnsi="Palatino Linotype" w:cs="Palatino Linotype"/>
          <w:i/>
          <w:sz w:val="22"/>
          <w:szCs w:val="22"/>
        </w:rPr>
        <w:t xml:space="preserve">. La rúbrica o firma digital de cada integrante del Comité de Transparencia. </w:t>
      </w:r>
    </w:p>
    <w:p w14:paraId="7AFA6207" w14:textId="77777777" w:rsidR="009F67B5" w:rsidRPr="00F425BF" w:rsidRDefault="000F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28FA11F"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B2528C3"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Descripción de las partes o secciones reservadas, en caso de clasificación parcial</w:t>
      </w:r>
      <w:r w:rsidRPr="00F425BF">
        <w:rPr>
          <w:rFonts w:ascii="Palatino Linotype" w:eastAsia="Palatino Linotype" w:hAnsi="Palatino Linotype" w:cs="Palatino Linotype"/>
          <w:b/>
          <w:i/>
          <w:sz w:val="22"/>
          <w:szCs w:val="22"/>
        </w:rPr>
        <w:t xml:space="preserve">; </w:t>
      </w:r>
    </w:p>
    <w:p w14:paraId="2B99761E"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III.</w:t>
      </w:r>
      <w:r w:rsidRPr="00F425BF">
        <w:rPr>
          <w:rFonts w:ascii="Palatino Linotype" w:eastAsia="Palatino Linotype" w:hAnsi="Palatino Linotype" w:cs="Palatino Linotype"/>
          <w:i/>
          <w:sz w:val="22"/>
          <w:szCs w:val="22"/>
        </w:rPr>
        <w:t xml:space="preserve"> El periodo por el que mantendrá su clasificación y fecha de expiración; y </w:t>
      </w:r>
    </w:p>
    <w:p w14:paraId="395515FF" w14:textId="77777777" w:rsidR="009F67B5" w:rsidRPr="00F425BF" w:rsidRDefault="000F30A8">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IV.</w:t>
      </w:r>
      <w:r w:rsidRPr="00F425B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0399ADA" w14:textId="77777777" w:rsidR="009F67B5" w:rsidRPr="00F425BF" w:rsidRDefault="000F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CF64E0D" w14:textId="77777777" w:rsidR="009F67B5" w:rsidRPr="00F425BF" w:rsidRDefault="000F30A8">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01D0CAE"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Quincuagésimo segundo</w:t>
      </w:r>
      <w:r w:rsidRPr="00F425B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w:t>
      </w:r>
      <w:r w:rsidRPr="00F425BF">
        <w:rPr>
          <w:rFonts w:ascii="Palatino Linotype" w:eastAsia="Palatino Linotype" w:hAnsi="Palatino Linotype" w:cs="Palatino Linotype"/>
          <w:i/>
          <w:sz w:val="22"/>
          <w:szCs w:val="22"/>
        </w:rPr>
        <w:lastRenderedPageBreak/>
        <w:t>información no podrá ser empleado para la sobreposición de contenido distinto al autorizado por el Comité.</w:t>
      </w:r>
    </w:p>
    <w:p w14:paraId="557C65BF"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En el caso </w:t>
      </w:r>
      <w:proofErr w:type="spellStart"/>
      <w:r w:rsidRPr="00F425BF">
        <w:rPr>
          <w:rFonts w:ascii="Palatino Linotype" w:eastAsia="Palatino Linotype" w:hAnsi="Palatino Linotype" w:cs="Palatino Linotype"/>
          <w:i/>
          <w:sz w:val="22"/>
          <w:szCs w:val="22"/>
        </w:rPr>
        <w:t>especifico</w:t>
      </w:r>
      <w:proofErr w:type="spellEnd"/>
      <w:r w:rsidRPr="00F425BF">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05837DD" w14:textId="77777777" w:rsidR="009F67B5" w:rsidRPr="00F425BF" w:rsidRDefault="000F30A8">
      <w:pPr>
        <w:spacing w:before="120" w:after="120"/>
        <w:ind w:left="1134"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w:t>
      </w:r>
      <w:r w:rsidRPr="00F425B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363ED34" w14:textId="77777777" w:rsidR="009F67B5" w:rsidRPr="00F425BF" w:rsidRDefault="000F30A8">
      <w:pPr>
        <w:spacing w:before="120" w:after="120"/>
        <w:ind w:left="1134"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B8FCE83" w14:textId="77777777" w:rsidR="009F67B5" w:rsidRPr="00F425BF" w:rsidRDefault="000F30A8">
      <w:pPr>
        <w:spacing w:before="120" w:after="120"/>
        <w:ind w:left="1134"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III.</w:t>
      </w:r>
      <w:r w:rsidRPr="00F425BF">
        <w:rPr>
          <w:rFonts w:ascii="Palatino Linotype" w:eastAsia="Palatino Linotype" w:hAnsi="Palatino Linotype" w:cs="Palatino Linotype"/>
          <w:i/>
          <w:sz w:val="22"/>
          <w:szCs w:val="22"/>
        </w:rPr>
        <w:t xml:space="preserve"> Señalar las personas o instancias autorizadas a acceder a la información clasificada.</w:t>
      </w:r>
    </w:p>
    <w:p w14:paraId="36F263B6" w14:textId="77777777" w:rsidR="009F67B5" w:rsidRPr="00F425BF" w:rsidRDefault="000F30A8">
      <w:pPr>
        <w:spacing w:before="120" w:after="120"/>
        <w:ind w:left="851" w:right="900"/>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BE81B15"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2639F90" w14:textId="77777777" w:rsidR="009F67B5" w:rsidRPr="00F425BF" w:rsidRDefault="000F30A8">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i/>
          <w:sz w:val="22"/>
          <w:szCs w:val="22"/>
        </w:rPr>
        <w:t>“</w:t>
      </w:r>
      <w:r w:rsidRPr="00F425BF">
        <w:rPr>
          <w:rFonts w:ascii="Palatino Linotype" w:eastAsia="Palatino Linotype" w:hAnsi="Palatino Linotype" w:cs="Palatino Linotype"/>
          <w:b/>
          <w:i/>
          <w:sz w:val="22"/>
          <w:szCs w:val="22"/>
        </w:rPr>
        <w:t xml:space="preserve">Quincuagésimo cuarto. </w:t>
      </w:r>
      <w:r w:rsidRPr="00F425BF">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F425BF">
        <w:rPr>
          <w:rFonts w:ascii="Palatino Linotype" w:eastAsia="Palatino Linotype" w:hAnsi="Palatino Linotype" w:cs="Palatino Linotype"/>
          <w:b/>
          <w:i/>
          <w:sz w:val="22"/>
          <w:szCs w:val="22"/>
        </w:rPr>
        <w:t xml:space="preserve"> </w:t>
      </w:r>
    </w:p>
    <w:p w14:paraId="22ED343A"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 xml:space="preserve">Quincuagésimo quinto. </w:t>
      </w:r>
      <w:r w:rsidRPr="00F425B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425BF">
        <w:rPr>
          <w:rFonts w:ascii="Palatino Linotype" w:eastAsia="Palatino Linotype" w:hAnsi="Palatino Linotype" w:cs="Palatino Linotype"/>
          <w:i/>
          <w:sz w:val="22"/>
          <w:szCs w:val="22"/>
        </w:rPr>
        <w:t>testado</w:t>
      </w:r>
      <w:proofErr w:type="spellEnd"/>
      <w:r w:rsidRPr="00F425B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0F9518B" w14:textId="77777777" w:rsidR="009F67B5" w:rsidRPr="00F425BF" w:rsidRDefault="000F30A8">
      <w:pPr>
        <w:spacing w:before="120" w:after="120"/>
        <w:ind w:left="851" w:right="902"/>
        <w:jc w:val="both"/>
        <w:rPr>
          <w:rFonts w:ascii="Palatino Linotype" w:eastAsia="Palatino Linotype" w:hAnsi="Palatino Linotype" w:cs="Palatino Linotype"/>
          <w:b/>
          <w:i/>
          <w:sz w:val="22"/>
          <w:szCs w:val="22"/>
        </w:rPr>
      </w:pPr>
      <w:r w:rsidRPr="00F425BF">
        <w:rPr>
          <w:rFonts w:ascii="Palatino Linotype" w:eastAsia="Palatino Linotype" w:hAnsi="Palatino Linotype" w:cs="Palatino Linotype"/>
          <w:b/>
          <w:i/>
          <w:sz w:val="22"/>
          <w:szCs w:val="22"/>
        </w:rPr>
        <w:t>...</w:t>
      </w:r>
    </w:p>
    <w:p w14:paraId="77B9E502"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Quincuagésimo séptimo</w:t>
      </w:r>
      <w:r w:rsidRPr="00F425B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19381AD"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lastRenderedPageBreak/>
        <w:t>I</w:t>
      </w:r>
      <w:r w:rsidRPr="00F425B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2E2AA49"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w:t>
      </w:r>
      <w:r w:rsidRPr="00F425B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CAB5D3A" w14:textId="77777777" w:rsidR="009F67B5" w:rsidRPr="00F425BF" w:rsidRDefault="000F30A8">
      <w:pPr>
        <w:spacing w:before="120" w:after="120"/>
        <w:ind w:left="1134"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III</w:t>
      </w:r>
      <w:r w:rsidRPr="00F425B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5246871"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40C796E2" w14:textId="77777777" w:rsidR="009F67B5" w:rsidRPr="00F425BF" w:rsidRDefault="000F30A8">
      <w:pPr>
        <w:spacing w:before="120" w:after="120"/>
        <w:ind w:left="851" w:right="902"/>
        <w:jc w:val="both"/>
        <w:rPr>
          <w:rFonts w:ascii="Palatino Linotype" w:eastAsia="Palatino Linotype" w:hAnsi="Palatino Linotype" w:cs="Palatino Linotype"/>
          <w:i/>
          <w:sz w:val="22"/>
          <w:szCs w:val="22"/>
        </w:rPr>
      </w:pPr>
      <w:r w:rsidRPr="00F425BF">
        <w:rPr>
          <w:rFonts w:ascii="Palatino Linotype" w:eastAsia="Palatino Linotype" w:hAnsi="Palatino Linotype" w:cs="Palatino Linotype"/>
          <w:b/>
          <w:i/>
          <w:sz w:val="22"/>
          <w:szCs w:val="22"/>
        </w:rPr>
        <w:t>Quincuagésimo octavo</w:t>
      </w:r>
      <w:r w:rsidRPr="00F425B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3F44227"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0C9ABB25" w14:textId="77777777" w:rsidR="009F67B5" w:rsidRPr="00F425BF" w:rsidRDefault="000F30A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F425BF">
        <w:rPr>
          <w:rFonts w:ascii="Palatino Linotype" w:eastAsia="Palatino Linotype" w:hAnsi="Palatino Linotype" w:cs="Palatino Linotype"/>
          <w:b/>
        </w:rPr>
        <w:t>III. R E S U E L V E</w:t>
      </w:r>
    </w:p>
    <w:p w14:paraId="270A4047"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9" w:name="_heading=h.1t3h5sf" w:colFirst="0" w:colLast="0"/>
      <w:bookmarkEnd w:id="9"/>
      <w:r w:rsidRPr="00F425BF">
        <w:rPr>
          <w:rFonts w:ascii="Palatino Linotype" w:eastAsia="Palatino Linotype" w:hAnsi="Palatino Linotype" w:cs="Palatino Linotype"/>
          <w:b/>
        </w:rPr>
        <w:t xml:space="preserve">Primero. </w:t>
      </w:r>
      <w:r w:rsidRPr="00F425BF">
        <w:rPr>
          <w:rFonts w:ascii="Palatino Linotype" w:eastAsia="Palatino Linotype" w:hAnsi="Palatino Linotype" w:cs="Palatino Linotype"/>
        </w:rPr>
        <w:t>Resultan</w:t>
      </w:r>
      <w:r w:rsidRPr="00F425BF">
        <w:rPr>
          <w:rFonts w:ascii="Palatino Linotype" w:eastAsia="Palatino Linotype" w:hAnsi="Palatino Linotype" w:cs="Palatino Linotype"/>
          <w:b/>
        </w:rPr>
        <w:t xml:space="preserve"> fundadas</w:t>
      </w:r>
      <w:r w:rsidRPr="00F425BF">
        <w:rPr>
          <w:rFonts w:ascii="Palatino Linotype" w:eastAsia="Palatino Linotype" w:hAnsi="Palatino Linotype" w:cs="Palatino Linotype"/>
        </w:rPr>
        <w:t xml:space="preserve"> las razones o motivos de inconformidad hechos valer por la parte</w:t>
      </w:r>
      <w:r w:rsidRPr="00F425BF">
        <w:rPr>
          <w:rFonts w:ascii="Palatino Linotype" w:eastAsia="Palatino Linotype" w:hAnsi="Palatino Linotype" w:cs="Palatino Linotype"/>
          <w:b/>
        </w:rPr>
        <w:t xml:space="preserve"> Recurrente</w:t>
      </w:r>
      <w:r w:rsidRPr="00F425BF">
        <w:rPr>
          <w:rFonts w:ascii="Palatino Linotype" w:eastAsia="Palatino Linotype" w:hAnsi="Palatino Linotype" w:cs="Palatino Linotype"/>
        </w:rPr>
        <w:t xml:space="preserve"> en el recurso de revisión </w:t>
      </w:r>
      <w:r w:rsidRPr="00F425BF">
        <w:rPr>
          <w:rFonts w:ascii="Palatino Linotype" w:eastAsia="Palatino Linotype" w:hAnsi="Palatino Linotype" w:cs="Palatino Linotype"/>
          <w:b/>
        </w:rPr>
        <w:t>04689/INFOEM/IP/RR/2025</w:t>
      </w:r>
      <w:r w:rsidRPr="00F425BF">
        <w:rPr>
          <w:rFonts w:ascii="Palatino Linotype" w:eastAsia="Palatino Linotype" w:hAnsi="Palatino Linotype" w:cs="Palatino Linotype"/>
        </w:rPr>
        <w:t xml:space="preserve">; por lo que, en términos del </w:t>
      </w:r>
      <w:r w:rsidRPr="00F425BF">
        <w:rPr>
          <w:rFonts w:ascii="Palatino Linotype" w:eastAsia="Palatino Linotype" w:hAnsi="Palatino Linotype" w:cs="Palatino Linotype"/>
          <w:b/>
        </w:rPr>
        <w:t>Considerando</w:t>
      </w:r>
      <w:r w:rsidRPr="00F425BF">
        <w:rPr>
          <w:rFonts w:ascii="Palatino Linotype" w:eastAsia="Palatino Linotype" w:hAnsi="Palatino Linotype" w:cs="Palatino Linotype"/>
        </w:rPr>
        <w:t xml:space="preserve"> </w:t>
      </w:r>
      <w:r w:rsidRPr="00F425BF">
        <w:rPr>
          <w:rFonts w:ascii="Palatino Linotype" w:eastAsia="Palatino Linotype" w:hAnsi="Palatino Linotype" w:cs="Palatino Linotype"/>
          <w:b/>
        </w:rPr>
        <w:t xml:space="preserve">Cuarto </w:t>
      </w:r>
      <w:r w:rsidRPr="00F425BF">
        <w:rPr>
          <w:rFonts w:ascii="Palatino Linotype" w:eastAsia="Palatino Linotype" w:hAnsi="Palatino Linotype" w:cs="Palatino Linotype"/>
        </w:rPr>
        <w:t xml:space="preserve">de esta resolución, se </w:t>
      </w:r>
      <w:r w:rsidRPr="00F425BF">
        <w:rPr>
          <w:rFonts w:ascii="Palatino Linotype" w:eastAsia="Palatino Linotype" w:hAnsi="Palatino Linotype" w:cs="Palatino Linotype"/>
          <w:b/>
        </w:rPr>
        <w:t>Revoca</w:t>
      </w:r>
      <w:r w:rsidRPr="00F425BF">
        <w:rPr>
          <w:rFonts w:ascii="Palatino Linotype" w:eastAsia="Palatino Linotype" w:hAnsi="Palatino Linotype" w:cs="Palatino Linotype"/>
        </w:rPr>
        <w:t xml:space="preserve"> la respuesta emitida por el </w:t>
      </w:r>
      <w:r w:rsidRPr="00F425BF">
        <w:rPr>
          <w:rFonts w:ascii="Palatino Linotype" w:eastAsia="Palatino Linotype" w:hAnsi="Palatino Linotype" w:cs="Palatino Linotype"/>
          <w:b/>
        </w:rPr>
        <w:t xml:space="preserve">Sujeto Obligado. </w:t>
      </w:r>
    </w:p>
    <w:p w14:paraId="4F50A25C" w14:textId="77777777" w:rsidR="009F67B5" w:rsidRPr="00F425BF" w:rsidRDefault="000F30A8">
      <w:pPr>
        <w:spacing w:before="240" w:after="240" w:line="360" w:lineRule="auto"/>
        <w:ind w:right="49"/>
        <w:jc w:val="both"/>
        <w:rPr>
          <w:rFonts w:ascii="Palatino Linotype" w:eastAsia="Palatino Linotype" w:hAnsi="Palatino Linotype" w:cs="Palatino Linotype"/>
        </w:rPr>
      </w:pPr>
      <w:r w:rsidRPr="00F425BF">
        <w:rPr>
          <w:rFonts w:ascii="Palatino Linotype" w:eastAsia="Palatino Linotype" w:hAnsi="Palatino Linotype" w:cs="Palatino Linotype"/>
          <w:b/>
        </w:rPr>
        <w:t xml:space="preserve">Segundo. </w:t>
      </w:r>
      <w:r w:rsidRPr="00F425BF">
        <w:rPr>
          <w:rFonts w:ascii="Palatino Linotype" w:eastAsia="Palatino Linotype" w:hAnsi="Palatino Linotype" w:cs="Palatino Linotype"/>
        </w:rPr>
        <w:t xml:space="preserve">Se </w:t>
      </w:r>
      <w:r w:rsidRPr="00F425BF">
        <w:rPr>
          <w:rFonts w:ascii="Palatino Linotype" w:eastAsia="Palatino Linotype" w:hAnsi="Palatino Linotype" w:cs="Palatino Linotype"/>
          <w:b/>
        </w:rPr>
        <w:t xml:space="preserve">Ordena </w:t>
      </w:r>
      <w:r w:rsidRPr="00F425BF">
        <w:rPr>
          <w:rFonts w:ascii="Palatino Linotype" w:eastAsia="Palatino Linotype" w:hAnsi="Palatino Linotype" w:cs="Palatino Linotype"/>
        </w:rPr>
        <w:t xml:space="preserve">al </w:t>
      </w:r>
      <w:r w:rsidRPr="00F425BF">
        <w:rPr>
          <w:rFonts w:ascii="Palatino Linotype" w:eastAsia="Palatino Linotype" w:hAnsi="Palatino Linotype" w:cs="Palatino Linotype"/>
          <w:b/>
        </w:rPr>
        <w:t xml:space="preserve">Sujeto Obligado, </w:t>
      </w:r>
      <w:r w:rsidRPr="00F425BF">
        <w:rPr>
          <w:rFonts w:ascii="Palatino Linotype" w:eastAsia="Palatino Linotype" w:hAnsi="Palatino Linotype" w:cs="Palatino Linotype"/>
        </w:rPr>
        <w:t xml:space="preserve">en términos de los </w:t>
      </w:r>
      <w:r w:rsidRPr="00F425BF">
        <w:rPr>
          <w:rFonts w:ascii="Palatino Linotype" w:eastAsia="Palatino Linotype" w:hAnsi="Palatino Linotype" w:cs="Palatino Linotype"/>
          <w:b/>
        </w:rPr>
        <w:t>Considerandos</w:t>
      </w:r>
      <w:r w:rsidRPr="00F425BF">
        <w:rPr>
          <w:rFonts w:ascii="Palatino Linotype" w:eastAsia="Palatino Linotype" w:hAnsi="Palatino Linotype" w:cs="Palatino Linotype"/>
        </w:rPr>
        <w:t xml:space="preserve"> </w:t>
      </w:r>
      <w:r w:rsidRPr="00F425BF">
        <w:rPr>
          <w:rFonts w:ascii="Palatino Linotype" w:eastAsia="Palatino Linotype" w:hAnsi="Palatino Linotype" w:cs="Palatino Linotype"/>
          <w:b/>
        </w:rPr>
        <w:t xml:space="preserve">Cuarto </w:t>
      </w:r>
      <w:r w:rsidRPr="00F425BF">
        <w:rPr>
          <w:rFonts w:ascii="Palatino Linotype" w:eastAsia="Palatino Linotype" w:hAnsi="Palatino Linotype" w:cs="Palatino Linotype"/>
        </w:rPr>
        <w:t xml:space="preserve">y </w:t>
      </w:r>
      <w:r w:rsidRPr="00F425BF">
        <w:rPr>
          <w:rFonts w:ascii="Palatino Linotype" w:eastAsia="Palatino Linotype" w:hAnsi="Palatino Linotype" w:cs="Palatino Linotype"/>
          <w:b/>
        </w:rPr>
        <w:t xml:space="preserve">Quinto </w:t>
      </w:r>
      <w:r w:rsidRPr="00F425BF">
        <w:rPr>
          <w:rFonts w:ascii="Palatino Linotype" w:eastAsia="Palatino Linotype" w:hAnsi="Palatino Linotype" w:cs="Palatino Linotype"/>
        </w:rPr>
        <w:t xml:space="preserve">de esta resolución, haga entrega, vía </w:t>
      </w:r>
      <w:r w:rsidRPr="00F425BF">
        <w:rPr>
          <w:rFonts w:ascii="Palatino Linotype" w:eastAsia="Palatino Linotype" w:hAnsi="Palatino Linotype" w:cs="Palatino Linotype"/>
          <w:b/>
        </w:rPr>
        <w:t>SAIMEX</w:t>
      </w:r>
      <w:r w:rsidRPr="00F425BF">
        <w:rPr>
          <w:rFonts w:ascii="Palatino Linotype" w:eastAsia="Palatino Linotype" w:hAnsi="Palatino Linotype" w:cs="Palatino Linotype"/>
        </w:rPr>
        <w:t>, de lo siguiente:</w:t>
      </w:r>
    </w:p>
    <w:p w14:paraId="63717099" w14:textId="77777777" w:rsidR="009F67B5" w:rsidRPr="00F425BF" w:rsidRDefault="000F30A8">
      <w:pPr>
        <w:spacing w:before="240" w:after="240" w:line="360" w:lineRule="auto"/>
        <w:ind w:left="284" w:right="49"/>
        <w:jc w:val="both"/>
        <w:rPr>
          <w:rFonts w:ascii="Palatino Linotype" w:eastAsia="Palatino Linotype" w:hAnsi="Palatino Linotype" w:cs="Palatino Linotype"/>
        </w:rPr>
      </w:pPr>
      <w:bookmarkStart w:id="10" w:name="_heading=h.1fob9te" w:colFirst="0" w:colLast="0"/>
      <w:bookmarkEnd w:id="10"/>
      <w:r w:rsidRPr="00F425BF">
        <w:rPr>
          <w:rFonts w:ascii="Palatino Linotype" w:eastAsia="Palatino Linotype" w:hAnsi="Palatino Linotype" w:cs="Palatino Linotype"/>
        </w:rPr>
        <w:lastRenderedPageBreak/>
        <w:t>1. Licencias de Funcionamiento expedidas del uno de enero de dos mil veintidós, al seis de marzo de dos mil veinticinco.</w:t>
      </w:r>
    </w:p>
    <w:p w14:paraId="11F97ADF" w14:textId="77777777" w:rsidR="009F67B5" w:rsidRPr="00F425BF" w:rsidRDefault="000F30A8">
      <w:pPr>
        <w:spacing w:before="120" w:after="120"/>
        <w:ind w:left="284"/>
        <w:jc w:val="both"/>
        <w:rPr>
          <w:rFonts w:ascii="Palatino Linotype" w:eastAsia="Palatino Linotype" w:hAnsi="Palatino Linotype" w:cs="Palatino Linotype"/>
          <w:i/>
          <w:sz w:val="20"/>
          <w:szCs w:val="20"/>
        </w:rPr>
      </w:pPr>
      <w:r w:rsidRPr="00F425BF">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2AEB75F5"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11" w:name="_heading=h.hnzxsch5gysz" w:colFirst="0" w:colLast="0"/>
      <w:bookmarkEnd w:id="11"/>
      <w:r w:rsidRPr="00F425BF">
        <w:rPr>
          <w:rFonts w:ascii="Palatino Linotype" w:eastAsia="Palatino Linotype" w:hAnsi="Palatino Linotype" w:cs="Palatino Linotype"/>
          <w:b/>
        </w:rPr>
        <w:t xml:space="preserve">Tercero. Notifíquese, </w:t>
      </w:r>
      <w:r w:rsidRPr="00F425BF">
        <w:rPr>
          <w:rFonts w:ascii="Palatino Linotype" w:eastAsia="Palatino Linotype" w:hAnsi="Palatino Linotype" w:cs="Palatino Linotype"/>
        </w:rPr>
        <w:t xml:space="preserve">vía </w:t>
      </w:r>
      <w:r w:rsidRPr="00F425BF">
        <w:rPr>
          <w:rFonts w:ascii="Palatino Linotype" w:eastAsia="Palatino Linotype" w:hAnsi="Palatino Linotype" w:cs="Palatino Linotype"/>
          <w:b/>
        </w:rPr>
        <w:t>SAIMEX</w:t>
      </w:r>
      <w:r w:rsidRPr="00F425BF">
        <w:rPr>
          <w:rFonts w:ascii="Palatino Linotype" w:eastAsia="Palatino Linotype" w:hAnsi="Palatino Linotype" w:cs="Palatino Linotype"/>
        </w:rPr>
        <w:t xml:space="preserve">, al Titular de la Unidad de Transparencia del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1913A5" w14:textId="77777777" w:rsidR="009F67B5" w:rsidRPr="00F425BF" w:rsidRDefault="000F30A8">
      <w:pPr>
        <w:spacing w:before="240" w:after="240" w:line="360" w:lineRule="auto"/>
        <w:jc w:val="both"/>
        <w:rPr>
          <w:rFonts w:ascii="Palatino Linotype" w:eastAsia="Palatino Linotype" w:hAnsi="Palatino Linotype" w:cs="Palatino Linotype"/>
        </w:rPr>
      </w:pPr>
      <w:r w:rsidRPr="00F425B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425BF">
        <w:rPr>
          <w:rFonts w:ascii="Palatino Linotype" w:eastAsia="Palatino Linotype" w:hAnsi="Palatino Linotype" w:cs="Palatino Linotype"/>
          <w:b/>
        </w:rPr>
        <w:t>Sujeto Obligado</w:t>
      </w:r>
      <w:r w:rsidRPr="00F425BF">
        <w:rPr>
          <w:rFonts w:ascii="Palatino Linotype" w:eastAsia="Palatino Linotype" w:hAnsi="Palatino Linotype" w:cs="Palatino Linotype"/>
        </w:rPr>
        <w:t xml:space="preserve"> de manera fundada y motivada, podrá solicitar una ampliación de plazo para el cumplimiento de la presente resolución.</w:t>
      </w:r>
    </w:p>
    <w:p w14:paraId="2B135A0A" w14:textId="77777777" w:rsidR="009F67B5" w:rsidRPr="00F425BF" w:rsidRDefault="000F30A8">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sidRPr="00F425BF">
        <w:rPr>
          <w:rFonts w:ascii="Palatino Linotype" w:eastAsia="Palatino Linotype" w:hAnsi="Palatino Linotype" w:cs="Palatino Linotype"/>
          <w:b/>
        </w:rPr>
        <w:t xml:space="preserve">Cuarto.  Notifíquese, </w:t>
      </w:r>
      <w:r w:rsidRPr="00F425BF">
        <w:rPr>
          <w:rFonts w:ascii="Palatino Linotype" w:eastAsia="Palatino Linotype" w:hAnsi="Palatino Linotype" w:cs="Palatino Linotype"/>
        </w:rPr>
        <w:t xml:space="preserve">vía </w:t>
      </w:r>
      <w:r w:rsidRPr="00F425BF">
        <w:rPr>
          <w:rFonts w:ascii="Palatino Linotype" w:eastAsia="Palatino Linotype" w:hAnsi="Palatino Linotype" w:cs="Palatino Linotype"/>
          <w:b/>
        </w:rPr>
        <w:t>SAIMEX</w:t>
      </w:r>
      <w:r w:rsidRPr="00F425BF">
        <w:rPr>
          <w:rFonts w:ascii="Palatino Linotype" w:eastAsia="Palatino Linotype" w:hAnsi="Palatino Linotype" w:cs="Palatino Linotype"/>
        </w:rPr>
        <w:t xml:space="preserve"> a la parte </w:t>
      </w:r>
      <w:r w:rsidRPr="00F425BF">
        <w:rPr>
          <w:rFonts w:ascii="Palatino Linotype" w:eastAsia="Palatino Linotype" w:hAnsi="Palatino Linotype" w:cs="Palatino Linotype"/>
          <w:b/>
        </w:rPr>
        <w:t>Recurrente</w:t>
      </w:r>
      <w:r w:rsidRPr="00F425B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071F4D9" w14:textId="77777777" w:rsidR="009F67B5" w:rsidRPr="007A548A" w:rsidRDefault="000F30A8">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F425BF">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DE JULIO DE DOS MIL VEINTICINCO, ANTE EL SECRETARIO TÉCNICO DEL PLENO ALEXIS TAPIA RAMÍREZ.</w:t>
      </w:r>
    </w:p>
    <w:p w14:paraId="4ECAD9AF" w14:textId="77777777" w:rsidR="009F67B5" w:rsidRPr="007A548A" w:rsidRDefault="009F67B5">
      <w:pPr>
        <w:spacing w:line="360" w:lineRule="auto"/>
        <w:jc w:val="both"/>
        <w:rPr>
          <w:rFonts w:ascii="Palatino Linotype" w:eastAsia="Palatino Linotype" w:hAnsi="Palatino Linotype" w:cs="Palatino Linotype"/>
        </w:rPr>
      </w:pPr>
    </w:p>
    <w:p w14:paraId="570DF8E5" w14:textId="77777777" w:rsidR="009F67B5" w:rsidRPr="007A548A" w:rsidRDefault="009F67B5">
      <w:pPr>
        <w:spacing w:line="360" w:lineRule="auto"/>
        <w:jc w:val="center"/>
        <w:rPr>
          <w:rFonts w:ascii="Palatino Linotype" w:eastAsia="Palatino Linotype" w:hAnsi="Palatino Linotype" w:cs="Palatino Linotype"/>
        </w:rPr>
      </w:pPr>
    </w:p>
    <w:p w14:paraId="4E125FBA" w14:textId="77777777" w:rsidR="009F67B5" w:rsidRPr="007A548A" w:rsidRDefault="009F67B5">
      <w:pPr>
        <w:spacing w:line="360" w:lineRule="auto"/>
        <w:jc w:val="both"/>
        <w:rPr>
          <w:rFonts w:ascii="Palatino Linotype" w:eastAsia="Palatino Linotype" w:hAnsi="Palatino Linotype" w:cs="Palatino Linotype"/>
        </w:rPr>
      </w:pPr>
    </w:p>
    <w:p w14:paraId="31EF4A0C" w14:textId="77777777" w:rsidR="009F67B5" w:rsidRPr="007A548A" w:rsidRDefault="009F67B5">
      <w:pPr>
        <w:spacing w:line="360" w:lineRule="auto"/>
        <w:jc w:val="both"/>
        <w:rPr>
          <w:rFonts w:ascii="Palatino Linotype" w:eastAsia="Palatino Linotype" w:hAnsi="Palatino Linotype" w:cs="Palatino Linotype"/>
        </w:rPr>
      </w:pPr>
    </w:p>
    <w:p w14:paraId="43F88247" w14:textId="77777777" w:rsidR="009F67B5" w:rsidRPr="007A548A" w:rsidRDefault="009F67B5">
      <w:pPr>
        <w:spacing w:line="360" w:lineRule="auto"/>
        <w:jc w:val="both"/>
        <w:rPr>
          <w:rFonts w:ascii="Palatino Linotype" w:eastAsia="Palatino Linotype" w:hAnsi="Palatino Linotype" w:cs="Palatino Linotype"/>
        </w:rPr>
      </w:pPr>
    </w:p>
    <w:p w14:paraId="2FAAC86B" w14:textId="77777777" w:rsidR="009F67B5" w:rsidRPr="007A548A" w:rsidRDefault="009F67B5">
      <w:pPr>
        <w:spacing w:line="360" w:lineRule="auto"/>
        <w:jc w:val="both"/>
        <w:rPr>
          <w:rFonts w:ascii="Palatino Linotype" w:eastAsia="Palatino Linotype" w:hAnsi="Palatino Linotype" w:cs="Palatino Linotype"/>
        </w:rPr>
      </w:pPr>
    </w:p>
    <w:p w14:paraId="45D7768E" w14:textId="77777777" w:rsidR="009F67B5" w:rsidRPr="007A548A" w:rsidRDefault="009F67B5">
      <w:pPr>
        <w:spacing w:line="360" w:lineRule="auto"/>
        <w:jc w:val="both"/>
        <w:rPr>
          <w:rFonts w:ascii="Palatino Linotype" w:eastAsia="Palatino Linotype" w:hAnsi="Palatino Linotype" w:cs="Palatino Linotype"/>
        </w:rPr>
      </w:pPr>
    </w:p>
    <w:p w14:paraId="75EBFC93" w14:textId="77777777" w:rsidR="009F67B5" w:rsidRPr="007A548A" w:rsidRDefault="009F67B5">
      <w:pPr>
        <w:spacing w:line="360" w:lineRule="auto"/>
        <w:jc w:val="both"/>
        <w:rPr>
          <w:rFonts w:ascii="Palatino Linotype" w:eastAsia="Palatino Linotype" w:hAnsi="Palatino Linotype" w:cs="Palatino Linotype"/>
        </w:rPr>
      </w:pPr>
    </w:p>
    <w:p w14:paraId="79458F2E" w14:textId="77777777" w:rsidR="009F67B5" w:rsidRPr="007A548A" w:rsidRDefault="009F67B5">
      <w:pPr>
        <w:spacing w:line="360" w:lineRule="auto"/>
        <w:jc w:val="both"/>
        <w:rPr>
          <w:rFonts w:ascii="Palatino Linotype" w:eastAsia="Palatino Linotype" w:hAnsi="Palatino Linotype" w:cs="Palatino Linotype"/>
        </w:rPr>
      </w:pPr>
    </w:p>
    <w:p w14:paraId="7C92DA9B" w14:textId="77777777" w:rsidR="009F67B5" w:rsidRPr="007A548A" w:rsidRDefault="009F67B5">
      <w:pPr>
        <w:spacing w:line="360" w:lineRule="auto"/>
        <w:jc w:val="both"/>
        <w:rPr>
          <w:rFonts w:ascii="Palatino Linotype" w:eastAsia="Palatino Linotype" w:hAnsi="Palatino Linotype" w:cs="Palatino Linotype"/>
        </w:rPr>
      </w:pPr>
    </w:p>
    <w:p w14:paraId="28D9791A" w14:textId="77777777" w:rsidR="009F67B5" w:rsidRPr="007A548A" w:rsidRDefault="009F67B5">
      <w:pPr>
        <w:spacing w:line="360" w:lineRule="auto"/>
        <w:jc w:val="both"/>
        <w:rPr>
          <w:rFonts w:ascii="Palatino Linotype" w:eastAsia="Palatino Linotype" w:hAnsi="Palatino Linotype" w:cs="Palatino Linotype"/>
        </w:rPr>
      </w:pPr>
    </w:p>
    <w:p w14:paraId="3A07999C" w14:textId="77777777" w:rsidR="009F67B5" w:rsidRPr="007A548A" w:rsidRDefault="009F67B5">
      <w:pPr>
        <w:spacing w:line="360" w:lineRule="auto"/>
        <w:jc w:val="both"/>
        <w:rPr>
          <w:rFonts w:ascii="Palatino Linotype" w:eastAsia="Palatino Linotype" w:hAnsi="Palatino Linotype" w:cs="Palatino Linotype"/>
        </w:rPr>
      </w:pPr>
    </w:p>
    <w:p w14:paraId="509CD43B" w14:textId="77777777" w:rsidR="009F67B5" w:rsidRPr="007A548A" w:rsidRDefault="009F67B5">
      <w:pPr>
        <w:spacing w:line="360" w:lineRule="auto"/>
        <w:jc w:val="both"/>
        <w:rPr>
          <w:rFonts w:ascii="Palatino Linotype" w:eastAsia="Palatino Linotype" w:hAnsi="Palatino Linotype" w:cs="Palatino Linotype"/>
        </w:rPr>
      </w:pPr>
    </w:p>
    <w:p w14:paraId="2B86BE1E" w14:textId="77777777" w:rsidR="009F67B5" w:rsidRPr="007A548A" w:rsidRDefault="009F67B5">
      <w:pPr>
        <w:spacing w:line="360" w:lineRule="auto"/>
        <w:jc w:val="both"/>
        <w:rPr>
          <w:rFonts w:ascii="Palatino Linotype" w:eastAsia="Palatino Linotype" w:hAnsi="Palatino Linotype" w:cs="Palatino Linotype"/>
        </w:rPr>
      </w:pPr>
    </w:p>
    <w:p w14:paraId="6B3840D7" w14:textId="77777777" w:rsidR="009F67B5" w:rsidRPr="007A548A" w:rsidRDefault="009F67B5">
      <w:pPr>
        <w:spacing w:line="360" w:lineRule="auto"/>
        <w:jc w:val="both"/>
        <w:rPr>
          <w:rFonts w:ascii="Palatino Linotype" w:eastAsia="Palatino Linotype" w:hAnsi="Palatino Linotype" w:cs="Palatino Linotype"/>
        </w:rPr>
      </w:pPr>
    </w:p>
    <w:p w14:paraId="681C5DEE" w14:textId="77777777" w:rsidR="009F67B5" w:rsidRPr="007A548A" w:rsidRDefault="009F67B5">
      <w:pPr>
        <w:spacing w:line="360" w:lineRule="auto"/>
        <w:jc w:val="both"/>
        <w:rPr>
          <w:rFonts w:ascii="Palatino Linotype" w:eastAsia="Palatino Linotype" w:hAnsi="Palatino Linotype" w:cs="Palatino Linotype"/>
        </w:rPr>
      </w:pPr>
    </w:p>
    <w:p w14:paraId="234C6DF9" w14:textId="77777777" w:rsidR="009F67B5" w:rsidRPr="007A548A" w:rsidRDefault="009F67B5">
      <w:pPr>
        <w:spacing w:line="360" w:lineRule="auto"/>
        <w:jc w:val="both"/>
        <w:rPr>
          <w:rFonts w:ascii="Palatino Linotype" w:eastAsia="Palatino Linotype" w:hAnsi="Palatino Linotype" w:cs="Palatino Linotype"/>
        </w:rPr>
      </w:pPr>
    </w:p>
    <w:p w14:paraId="46239C42" w14:textId="77777777" w:rsidR="009F67B5" w:rsidRPr="007A548A" w:rsidRDefault="009F67B5">
      <w:pPr>
        <w:spacing w:line="360" w:lineRule="auto"/>
        <w:jc w:val="both"/>
        <w:rPr>
          <w:rFonts w:ascii="Palatino Linotype" w:eastAsia="Palatino Linotype" w:hAnsi="Palatino Linotype" w:cs="Palatino Linotype"/>
        </w:rPr>
      </w:pPr>
    </w:p>
    <w:p w14:paraId="5F2E6FA9" w14:textId="77777777" w:rsidR="009F67B5" w:rsidRPr="007A548A" w:rsidRDefault="009F67B5">
      <w:pPr>
        <w:spacing w:line="360" w:lineRule="auto"/>
        <w:jc w:val="both"/>
        <w:rPr>
          <w:rFonts w:ascii="Palatino Linotype" w:eastAsia="Palatino Linotype" w:hAnsi="Palatino Linotype" w:cs="Palatino Linotype"/>
        </w:rPr>
      </w:pPr>
    </w:p>
    <w:p w14:paraId="137E7E83" w14:textId="77777777" w:rsidR="009F67B5" w:rsidRPr="007A548A" w:rsidRDefault="009F67B5">
      <w:pPr>
        <w:spacing w:line="360" w:lineRule="auto"/>
        <w:jc w:val="both"/>
        <w:rPr>
          <w:rFonts w:ascii="Palatino Linotype" w:eastAsia="Palatino Linotype" w:hAnsi="Palatino Linotype" w:cs="Palatino Linotype"/>
        </w:rPr>
      </w:pPr>
    </w:p>
    <w:sectPr w:rsidR="009F67B5" w:rsidRPr="007A548A">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A6EE" w14:textId="77777777" w:rsidR="00B27417" w:rsidRDefault="00B27417">
      <w:r>
        <w:separator/>
      </w:r>
    </w:p>
  </w:endnote>
  <w:endnote w:type="continuationSeparator" w:id="0">
    <w:p w14:paraId="75015928" w14:textId="77777777" w:rsidR="00B27417" w:rsidRDefault="00B2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F7F0" w14:textId="77777777" w:rsidR="009F67B5" w:rsidRDefault="000F30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25BF">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25B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714578FE" w14:textId="77777777" w:rsidR="009F67B5" w:rsidRDefault="009F67B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4B9F" w14:textId="77777777" w:rsidR="009F67B5" w:rsidRDefault="000F30A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25B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25B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7DEBF956" w14:textId="77777777" w:rsidR="009F67B5" w:rsidRDefault="009F67B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49559" w14:textId="77777777" w:rsidR="00B27417" w:rsidRDefault="00B27417">
      <w:r>
        <w:separator/>
      </w:r>
    </w:p>
  </w:footnote>
  <w:footnote w:type="continuationSeparator" w:id="0">
    <w:p w14:paraId="646E732A" w14:textId="77777777" w:rsidR="00B27417" w:rsidRDefault="00B27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6130" w14:textId="77777777" w:rsidR="009F67B5" w:rsidRDefault="000F30A8">
    <w:pPr>
      <w:rPr>
        <w:rFonts w:ascii="Cambria" w:eastAsia="Cambria" w:hAnsi="Cambria" w:cs="Cambria"/>
        <w:color w:val="000000"/>
      </w:rPr>
    </w:pPr>
    <w:r>
      <w:rPr>
        <w:noProof/>
      </w:rPr>
      <w:drawing>
        <wp:anchor distT="0" distB="0" distL="0" distR="0" simplePos="0" relativeHeight="251658240" behindDoc="1" locked="0" layoutInCell="1" hidden="0" allowOverlap="1" wp14:anchorId="083C6D15" wp14:editId="11317328">
          <wp:simplePos x="0" y="0"/>
          <wp:positionH relativeFrom="column">
            <wp:posOffset>-1080091</wp:posOffset>
          </wp:positionH>
          <wp:positionV relativeFrom="paragraph">
            <wp:posOffset>-488262</wp:posOffset>
          </wp:positionV>
          <wp:extent cx="7809865" cy="10165715"/>
          <wp:effectExtent l="0" t="0" r="0" b="0"/>
          <wp:wrapNone/>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9F67B5" w14:paraId="6AB16083" w14:textId="77777777">
      <w:tc>
        <w:tcPr>
          <w:tcW w:w="2489" w:type="dxa"/>
          <w:shd w:val="clear" w:color="auto" w:fill="auto"/>
        </w:tcPr>
        <w:p w14:paraId="0FF814F4" w14:textId="77777777" w:rsidR="009F67B5" w:rsidRDefault="000F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B48960E" w14:textId="77777777" w:rsidR="009F67B5" w:rsidRDefault="000F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04689/INFOEM/IP/RR/2025</w:t>
          </w:r>
        </w:p>
      </w:tc>
    </w:tr>
    <w:tr w:rsidR="009F67B5" w14:paraId="68EBFBD2" w14:textId="77777777">
      <w:trPr>
        <w:trHeight w:val="228"/>
      </w:trPr>
      <w:tc>
        <w:tcPr>
          <w:tcW w:w="2489" w:type="dxa"/>
          <w:shd w:val="clear" w:color="auto" w:fill="auto"/>
          <w:vAlign w:val="center"/>
        </w:tcPr>
        <w:p w14:paraId="31D08218" w14:textId="77777777" w:rsidR="009F67B5" w:rsidRDefault="000F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71B99E7" w14:textId="77777777" w:rsidR="009F67B5" w:rsidRDefault="000F30A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Polotitlán</w:t>
          </w:r>
          <w:proofErr w:type="spellEnd"/>
        </w:p>
      </w:tc>
    </w:tr>
    <w:tr w:rsidR="009F67B5" w14:paraId="7F483D8F" w14:textId="77777777">
      <w:tc>
        <w:tcPr>
          <w:tcW w:w="2489" w:type="dxa"/>
          <w:shd w:val="clear" w:color="auto" w:fill="auto"/>
          <w:vAlign w:val="center"/>
        </w:tcPr>
        <w:p w14:paraId="40289D60" w14:textId="77777777" w:rsidR="009F67B5" w:rsidRDefault="000F30A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12A4FE7" w14:textId="77777777" w:rsidR="009F67B5" w:rsidRDefault="000F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6EA5D7" w14:textId="77777777" w:rsidR="009F67B5" w:rsidRDefault="000F30A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924" w14:textId="77777777" w:rsidR="009F67B5" w:rsidRDefault="000F30A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11B85AC" wp14:editId="07E3DD8C">
          <wp:simplePos x="0" y="0"/>
          <wp:positionH relativeFrom="column">
            <wp:posOffset>-1080134</wp:posOffset>
          </wp:positionH>
          <wp:positionV relativeFrom="paragraph">
            <wp:posOffset>-369892</wp:posOffset>
          </wp:positionV>
          <wp:extent cx="7809865" cy="10165715"/>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9F67B5" w14:paraId="6BDF593F" w14:textId="77777777">
      <w:tc>
        <w:tcPr>
          <w:tcW w:w="2489" w:type="dxa"/>
          <w:shd w:val="clear" w:color="auto" w:fill="auto"/>
        </w:tcPr>
        <w:p w14:paraId="59FBDC3C" w14:textId="77777777" w:rsidR="009F67B5" w:rsidRDefault="000F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E3CC1B0" w14:textId="77777777" w:rsidR="009F67B5" w:rsidRDefault="000F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04689/INFOEM/IP/RR/2025</w:t>
          </w:r>
        </w:p>
      </w:tc>
    </w:tr>
    <w:tr w:rsidR="009F67B5" w14:paraId="34339C20" w14:textId="77777777">
      <w:tc>
        <w:tcPr>
          <w:tcW w:w="2489" w:type="dxa"/>
          <w:shd w:val="clear" w:color="auto" w:fill="auto"/>
        </w:tcPr>
        <w:p w14:paraId="726FBDB2" w14:textId="77777777" w:rsidR="009F67B5" w:rsidRDefault="000F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43CD4096" w14:textId="77777777" w:rsidR="009F67B5" w:rsidRDefault="009F67B5">
          <w:pPr>
            <w:ind w:right="175"/>
            <w:jc w:val="both"/>
            <w:rPr>
              <w:rFonts w:ascii="Palatino Linotype" w:eastAsia="Palatino Linotype" w:hAnsi="Palatino Linotype" w:cs="Palatino Linotype"/>
              <w:b/>
              <w:color w:val="FF0000"/>
              <w:sz w:val="22"/>
              <w:szCs w:val="22"/>
              <w:highlight w:val="yellow"/>
            </w:rPr>
          </w:pPr>
        </w:p>
      </w:tc>
    </w:tr>
    <w:tr w:rsidR="009F67B5" w14:paraId="3C211E59" w14:textId="77777777">
      <w:trPr>
        <w:trHeight w:val="228"/>
      </w:trPr>
      <w:tc>
        <w:tcPr>
          <w:tcW w:w="2489" w:type="dxa"/>
          <w:shd w:val="clear" w:color="auto" w:fill="auto"/>
          <w:vAlign w:val="center"/>
        </w:tcPr>
        <w:p w14:paraId="3AF9451A" w14:textId="77777777" w:rsidR="009F67B5" w:rsidRDefault="000F30A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7DCC93F" w14:textId="77777777" w:rsidR="009F67B5" w:rsidRDefault="000F30A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Polotitlán</w:t>
          </w:r>
          <w:proofErr w:type="spellEnd"/>
        </w:p>
      </w:tc>
    </w:tr>
    <w:tr w:rsidR="009F67B5" w14:paraId="79F8A49B" w14:textId="77777777">
      <w:tc>
        <w:tcPr>
          <w:tcW w:w="2489" w:type="dxa"/>
          <w:shd w:val="clear" w:color="auto" w:fill="auto"/>
          <w:vAlign w:val="center"/>
        </w:tcPr>
        <w:p w14:paraId="5D961977" w14:textId="77777777" w:rsidR="009F67B5" w:rsidRDefault="000F30A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25BE1F7" w14:textId="77777777" w:rsidR="009F67B5" w:rsidRDefault="000F30A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CFD361" w14:textId="77777777" w:rsidR="009F67B5" w:rsidRDefault="009F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92145"/>
    <w:multiLevelType w:val="multilevel"/>
    <w:tmpl w:val="23AE19D8"/>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3217848"/>
    <w:multiLevelType w:val="multilevel"/>
    <w:tmpl w:val="601C71C4"/>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7B5"/>
    <w:rsid w:val="000F30A8"/>
    <w:rsid w:val="00272C52"/>
    <w:rsid w:val="0069172C"/>
    <w:rsid w:val="007A548A"/>
    <w:rsid w:val="009F67B5"/>
    <w:rsid w:val="00AB7731"/>
    <w:rsid w:val="00B27417"/>
    <w:rsid w:val="00D84EA0"/>
    <w:rsid w:val="00F272AE"/>
    <w:rsid w:val="00F425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71AE8"/>
  <w15:docId w15:val="{543F62A6-95EC-4F16-B7D8-9FFCB497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ruTZuYSXxQMYEq/WqJ1hbw+ysA==">CgMxLjAyCWguM3JkY3JqbjIOaC5kYWozajJ4bzZxNjYyCGguZ2pkZ3hzMgloLjNkeTZ2a20yCWguMzBqMHpsbDIJaC4yczhleW8xMghoLnR5amN3dDIJaC4zem55c2g3MgloLjJldDkycDAyCWguMXQzaDVzZjIJaC4xZm9iOXRlMg5oLmhuenhzY2g1Z3lzejIOaC5vdDNxcTZ2eGEwOGYyCGgubG54Yno5OAByITFPWHN0NlNiUmhPOTdIWFU1b0VnVkZIcUNXLU9kN1R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9417</Words>
  <Characters>51799</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2025-07-17T20:56:00Z</cp:lastPrinted>
  <dcterms:created xsi:type="dcterms:W3CDTF">2025-08-11T19:17:00Z</dcterms:created>
  <dcterms:modified xsi:type="dcterms:W3CDTF">2025-08-11T19:17:00Z</dcterms:modified>
</cp:coreProperties>
</file>