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EB" w:rsidRDefault="000B245E" w:rsidP="00F06274">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F06274">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70018">
        <w:rPr>
          <w:rFonts w:ascii="Palatino Linotype" w:eastAsia="Palatino Linotype" w:hAnsi="Palatino Linotype" w:cs="Palatino Linotype"/>
          <w:b/>
          <w:color w:val="000000" w:themeColor="text1"/>
        </w:rPr>
        <w:t xml:space="preserve">de fecha doce (12) </w:t>
      </w:r>
      <w:r w:rsidR="00370018" w:rsidRPr="00157555">
        <w:rPr>
          <w:rFonts w:ascii="Palatino Linotype" w:eastAsia="Palatino Linotype" w:hAnsi="Palatino Linotype" w:cs="Palatino Linotype"/>
          <w:b/>
          <w:color w:val="000000" w:themeColor="text1"/>
        </w:rPr>
        <w:t xml:space="preserve">de </w:t>
      </w:r>
      <w:r w:rsidR="00370018">
        <w:rPr>
          <w:rFonts w:ascii="Palatino Linotype" w:eastAsia="Palatino Linotype" w:hAnsi="Palatino Linotype" w:cs="Palatino Linotype"/>
          <w:b/>
          <w:color w:val="000000" w:themeColor="text1"/>
        </w:rPr>
        <w:t xml:space="preserve">noviembre </w:t>
      </w:r>
      <w:r w:rsidR="00370018" w:rsidRPr="00157555">
        <w:rPr>
          <w:rFonts w:ascii="Palatino Linotype" w:eastAsia="Palatino Linotype" w:hAnsi="Palatino Linotype" w:cs="Palatino Linotype"/>
          <w:b/>
          <w:color w:val="000000" w:themeColor="text1"/>
        </w:rPr>
        <w:t>de dos mil veinticinco</w:t>
      </w:r>
      <w:r w:rsidRPr="00F06274">
        <w:rPr>
          <w:rFonts w:ascii="Palatino Linotype" w:eastAsia="Palatino Linotype" w:hAnsi="Palatino Linotype" w:cs="Palatino Linotype"/>
          <w:b/>
          <w:color w:val="000000" w:themeColor="text1"/>
        </w:rPr>
        <w:t>.</w:t>
      </w:r>
    </w:p>
    <w:p w:rsidR="00F75992" w:rsidRPr="00F06274" w:rsidRDefault="00F75992" w:rsidP="00F06274">
      <w:pPr>
        <w:tabs>
          <w:tab w:val="left" w:pos="0"/>
        </w:tabs>
        <w:spacing w:line="360" w:lineRule="auto"/>
        <w:jc w:val="both"/>
        <w:rPr>
          <w:rFonts w:ascii="Palatino Linotype" w:eastAsia="Palatino Linotype" w:hAnsi="Palatino Linotype" w:cs="Palatino Linotype"/>
          <w:b/>
          <w:color w:val="000000" w:themeColor="text1"/>
        </w:rPr>
      </w:pP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F06274">
        <w:rPr>
          <w:rFonts w:ascii="Palatino Linotype" w:eastAsia="Palatino Linotype" w:hAnsi="Palatino Linotype" w:cs="Palatino Linotype"/>
          <w:b/>
          <w:color w:val="000000" w:themeColor="text1"/>
        </w:rPr>
        <w:t>VISTO</w:t>
      </w:r>
      <w:r w:rsidRPr="00F06274">
        <w:rPr>
          <w:rFonts w:ascii="Palatino Linotype" w:eastAsia="Palatino Linotype" w:hAnsi="Palatino Linotype" w:cs="Palatino Linotype"/>
          <w:color w:val="000000" w:themeColor="text1"/>
        </w:rPr>
        <w:t xml:space="preserve"> el expediente electrónico formado con motivo del recurso de revisión </w:t>
      </w:r>
      <w:r w:rsidRPr="00F06274">
        <w:rPr>
          <w:rFonts w:ascii="Palatino Linotype" w:eastAsia="Palatino Linotype" w:hAnsi="Palatino Linotype" w:cs="Palatino Linotype"/>
          <w:b/>
          <w:color w:val="000000" w:themeColor="text1"/>
        </w:rPr>
        <w:t>07808/INFOEM/IP/RR/2025</w:t>
      </w:r>
      <w:r w:rsidRPr="00F06274">
        <w:rPr>
          <w:rFonts w:ascii="Palatino Linotype" w:eastAsia="Palatino Linotype" w:hAnsi="Palatino Linotype" w:cs="Palatino Linotype"/>
          <w:color w:val="000000" w:themeColor="text1"/>
        </w:rPr>
        <w:t>,</w:t>
      </w:r>
      <w:r w:rsidRPr="00F06274">
        <w:rPr>
          <w:rFonts w:ascii="Palatino Linotype" w:eastAsia="Palatino Linotype" w:hAnsi="Palatino Linotype" w:cs="Palatino Linotype"/>
          <w:b/>
          <w:color w:val="000000" w:themeColor="text1"/>
        </w:rPr>
        <w:t xml:space="preserve"> </w:t>
      </w:r>
      <w:r w:rsidRPr="00F06274">
        <w:rPr>
          <w:rFonts w:ascii="Palatino Linotype" w:eastAsia="Palatino Linotype" w:hAnsi="Palatino Linotype" w:cs="Palatino Linotype"/>
          <w:color w:val="000000" w:themeColor="text1"/>
        </w:rPr>
        <w:t xml:space="preserve">promovido por </w:t>
      </w:r>
      <w:r w:rsidRPr="00F06274">
        <w:rPr>
          <w:rFonts w:ascii="Palatino Linotype" w:eastAsia="Palatino Linotype" w:hAnsi="Palatino Linotype" w:cs="Palatino Linotype"/>
          <w:b/>
          <w:color w:val="000000" w:themeColor="text1"/>
        </w:rPr>
        <w:t>una persona que no proporcionó datos de identificación</w:t>
      </w:r>
      <w:r w:rsidRPr="00F06274">
        <w:rPr>
          <w:rFonts w:ascii="Palatino Linotype" w:eastAsia="Palatino Linotype" w:hAnsi="Palatino Linotype" w:cs="Palatino Linotype"/>
          <w:color w:val="000000" w:themeColor="text1"/>
        </w:rPr>
        <w:t xml:space="preserve">, a quien en lo sucesivo se le identificará como </w:t>
      </w:r>
      <w:r w:rsidRPr="00F06274">
        <w:rPr>
          <w:rFonts w:ascii="Palatino Linotype" w:eastAsia="Palatino Linotype" w:hAnsi="Palatino Linotype" w:cs="Palatino Linotype"/>
          <w:b/>
          <w:color w:val="000000" w:themeColor="text1"/>
        </w:rPr>
        <w:t>EL RECURRENTE</w:t>
      </w:r>
      <w:r w:rsidRPr="00F06274">
        <w:rPr>
          <w:rFonts w:ascii="Palatino Linotype" w:eastAsia="Palatino Linotype" w:hAnsi="Palatino Linotype" w:cs="Palatino Linotype"/>
          <w:color w:val="000000" w:themeColor="text1"/>
        </w:rPr>
        <w:t xml:space="preserve">, en contra de la respuesta del </w:t>
      </w:r>
      <w:r w:rsidRPr="00F06274">
        <w:rPr>
          <w:rFonts w:ascii="Palatino Linotype" w:eastAsia="Palatino Linotype" w:hAnsi="Palatino Linotype" w:cs="Palatino Linotype"/>
          <w:b/>
          <w:color w:val="000000" w:themeColor="text1"/>
        </w:rPr>
        <w:t xml:space="preserve">Ayuntamiento de Almoloya del Río, </w:t>
      </w:r>
      <w:r w:rsidRPr="00F06274">
        <w:rPr>
          <w:rFonts w:ascii="Palatino Linotype" w:eastAsia="Palatino Linotype" w:hAnsi="Palatino Linotype" w:cs="Palatino Linotype"/>
          <w:color w:val="000000" w:themeColor="text1"/>
        </w:rPr>
        <w:t>en adelante el</w:t>
      </w:r>
      <w:r w:rsidRPr="00F06274">
        <w:rPr>
          <w:rFonts w:ascii="Palatino Linotype" w:eastAsia="Palatino Linotype" w:hAnsi="Palatino Linotype" w:cs="Palatino Linotype"/>
          <w:b/>
          <w:color w:val="000000" w:themeColor="text1"/>
        </w:rPr>
        <w:t xml:space="preserve"> SUJETO OBLIGADO</w:t>
      </w:r>
      <w:r w:rsidRPr="00F06274">
        <w:rPr>
          <w:rFonts w:ascii="Palatino Linotype" w:eastAsia="Palatino Linotype" w:hAnsi="Palatino Linotype" w:cs="Palatino Linotype"/>
          <w:color w:val="000000" w:themeColor="text1"/>
        </w:rPr>
        <w:t>, se procede a dictar la presente resolución, con base en los siguientes:</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pStyle w:val="Ttulo1"/>
        <w:tabs>
          <w:tab w:val="left" w:pos="567"/>
        </w:tabs>
        <w:spacing w:before="0" w:line="360" w:lineRule="auto"/>
        <w:jc w:val="center"/>
        <w:rPr>
          <w:b w:val="0"/>
          <w:szCs w:val="24"/>
        </w:rPr>
      </w:pPr>
      <w:bookmarkStart w:id="3" w:name="_heading=h.30j0zll" w:colFirst="0" w:colLast="0"/>
      <w:bookmarkEnd w:id="3"/>
      <w:r w:rsidRPr="00F06274">
        <w:rPr>
          <w:szCs w:val="24"/>
        </w:rPr>
        <w:t>A N T E C E D E N T E S</w:t>
      </w:r>
    </w:p>
    <w:p w:rsidR="00337BEB" w:rsidRPr="00F06274" w:rsidRDefault="00337BEB" w:rsidP="00F06274">
      <w:pPr>
        <w:pStyle w:val="Ttulo1"/>
        <w:tabs>
          <w:tab w:val="left" w:pos="567"/>
        </w:tabs>
        <w:spacing w:before="0" w:line="360" w:lineRule="auto"/>
        <w:jc w:val="center"/>
        <w:rPr>
          <w:szCs w:val="24"/>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sidRPr="00F06274">
        <w:rPr>
          <w:rFonts w:ascii="Palatino Linotype" w:eastAsia="Palatino Linotype" w:hAnsi="Palatino Linotype" w:cs="Palatino Linotype"/>
          <w:color w:val="000000" w:themeColor="text1"/>
        </w:rPr>
        <w:t xml:space="preserve">El </w:t>
      </w:r>
      <w:r w:rsidRPr="00F06274">
        <w:rPr>
          <w:rFonts w:ascii="Palatino Linotype" w:eastAsia="Palatino Linotype" w:hAnsi="Palatino Linotype" w:cs="Palatino Linotype"/>
          <w:b/>
          <w:color w:val="000000" w:themeColor="text1"/>
        </w:rPr>
        <w:t xml:space="preserve">cuatro de junio de dos mil veinticinco, </w:t>
      </w:r>
      <w:r w:rsidRPr="00F06274">
        <w:rPr>
          <w:rFonts w:ascii="Palatino Linotype" w:eastAsia="Palatino Linotype" w:hAnsi="Palatino Linotype" w:cs="Palatino Linotype"/>
          <w:color w:val="000000" w:themeColor="text1"/>
        </w:rPr>
        <w:t xml:space="preserve">se presentó ante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vía SAIMEX, la solicitud de información pública registrada con el número</w:t>
      </w:r>
      <w:r w:rsidRPr="00F06274">
        <w:rPr>
          <w:rFonts w:ascii="Palatino Linotype" w:eastAsia="Palatino Linotype" w:hAnsi="Palatino Linotype" w:cs="Palatino Linotype"/>
          <w:b/>
          <w:color w:val="000000" w:themeColor="text1"/>
        </w:rPr>
        <w:t xml:space="preserve"> 00047/ALMORI/IP/2025; </w:t>
      </w:r>
      <w:r w:rsidR="00B21C39">
        <w:rPr>
          <w:rFonts w:ascii="Palatino Linotype" w:eastAsia="Palatino Linotype" w:hAnsi="Palatino Linotype" w:cs="Palatino Linotype"/>
          <w:color w:val="000000" w:themeColor="text1"/>
        </w:rPr>
        <w:t>en la que</w:t>
      </w:r>
      <w:r w:rsidRPr="00F06274">
        <w:rPr>
          <w:rFonts w:ascii="Palatino Linotype" w:eastAsia="Palatino Linotype" w:hAnsi="Palatino Linotype" w:cs="Palatino Linotype"/>
          <w:color w:val="000000" w:themeColor="text1"/>
        </w:rPr>
        <w:t xml:space="preserve"> se solicitó la siguiente información:</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pBdr>
          <w:top w:val="nil"/>
          <w:left w:val="nil"/>
          <w:bottom w:val="nil"/>
          <w:right w:val="nil"/>
          <w:between w:val="nil"/>
        </w:pBdr>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“RECIBOS DE NOMINA CORRESPONDIENTE A LAS DOS QUINCENAS DE ABRIL 2025 Y PRIMERA DE MAYO 2025 DE TODO EL PERSONAL”(Sic)</w:t>
      </w:r>
    </w:p>
    <w:p w:rsidR="00337BEB" w:rsidRPr="00F06274" w:rsidRDefault="00337BEB" w:rsidP="00F06274">
      <w:pPr>
        <w:pBdr>
          <w:top w:val="nil"/>
          <w:left w:val="nil"/>
          <w:bottom w:val="nil"/>
          <w:right w:val="nil"/>
          <w:between w:val="nil"/>
        </w:pBdr>
        <w:jc w:val="both"/>
        <w:rPr>
          <w:rFonts w:ascii="Palatino Linotype" w:eastAsia="Palatino Linotype" w:hAnsi="Palatino Linotype" w:cs="Palatino Linotype"/>
          <w:color w:val="000000" w:themeColor="text1"/>
        </w:rPr>
      </w:pPr>
    </w:p>
    <w:p w:rsidR="00337BEB" w:rsidRPr="00B21C39" w:rsidRDefault="000B245E" w:rsidP="00F06274">
      <w:pPr>
        <w:numPr>
          <w:ilvl w:val="0"/>
          <w:numId w:val="1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Se eligió como modalidad de entrega de la información: A través del </w:t>
      </w:r>
      <w:r w:rsidRPr="00F06274">
        <w:rPr>
          <w:rFonts w:ascii="Palatino Linotype" w:eastAsia="Palatino Linotype" w:hAnsi="Palatino Linotype" w:cs="Palatino Linotype"/>
          <w:b/>
          <w:color w:val="000000" w:themeColor="text1"/>
        </w:rPr>
        <w:t>SAIMEX.</w:t>
      </w:r>
    </w:p>
    <w:p w:rsidR="00B21C39" w:rsidRDefault="00B21C39" w:rsidP="00B21C39">
      <w:pPr>
        <w:pBdr>
          <w:top w:val="nil"/>
          <w:left w:val="nil"/>
          <w:bottom w:val="nil"/>
          <w:right w:val="nil"/>
          <w:between w:val="nil"/>
        </w:pBdr>
        <w:jc w:val="both"/>
        <w:rPr>
          <w:rFonts w:ascii="Palatino Linotype" w:eastAsia="Palatino Linotype" w:hAnsi="Palatino Linotype" w:cs="Palatino Linotype"/>
          <w:b/>
          <w:color w:val="000000" w:themeColor="text1"/>
        </w:rPr>
      </w:pPr>
    </w:p>
    <w:p w:rsidR="00B21C39" w:rsidRPr="00F06274" w:rsidRDefault="00B21C39" w:rsidP="00B21C39">
      <w:pPr>
        <w:pBdr>
          <w:top w:val="nil"/>
          <w:left w:val="nil"/>
          <w:bottom w:val="nil"/>
          <w:right w:val="nil"/>
          <w:between w:val="nil"/>
        </w:pBdr>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F06274">
        <w:rPr>
          <w:rFonts w:ascii="Palatino Linotype" w:eastAsia="Palatino Linotype" w:hAnsi="Palatino Linotype" w:cs="Palatino Linotype"/>
          <w:color w:val="000000" w:themeColor="text1"/>
        </w:rPr>
        <w:t xml:space="preserve">El </w:t>
      </w:r>
      <w:r w:rsidRPr="00F06274">
        <w:rPr>
          <w:rFonts w:ascii="Palatino Linotype" w:eastAsia="Palatino Linotype" w:hAnsi="Palatino Linotype" w:cs="Palatino Linotype"/>
          <w:b/>
          <w:color w:val="000000" w:themeColor="text1"/>
        </w:rPr>
        <w:t>veinticinco de junio de dos mil veinticinco</w:t>
      </w:r>
      <w:r w:rsidRPr="00F06274">
        <w:rPr>
          <w:rFonts w:ascii="Palatino Linotype" w:eastAsia="Palatino Linotype" w:hAnsi="Palatino Linotype" w:cs="Palatino Linotype"/>
          <w:color w:val="000000" w:themeColor="text1"/>
        </w:rPr>
        <w:t xml:space="preserve">,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dio respuesta a la solicitud de información en el tenor siguiente:</w:t>
      </w:r>
    </w:p>
    <w:p w:rsidR="00337BEB" w:rsidRPr="00F06274" w:rsidRDefault="00337BEB" w:rsidP="00F06274">
      <w:pPr>
        <w:tabs>
          <w:tab w:val="left" w:pos="284"/>
        </w:tabs>
        <w:jc w:val="both"/>
        <w:rPr>
          <w:rFonts w:ascii="Palatino Linotype" w:eastAsia="Palatino Linotype" w:hAnsi="Palatino Linotype" w:cs="Palatino Linotype"/>
          <w:i/>
          <w:color w:val="000000" w:themeColor="text1"/>
        </w:rPr>
      </w:pPr>
    </w:p>
    <w:tbl>
      <w:tblPr>
        <w:tblStyle w:val="a4"/>
        <w:tblW w:w="9790" w:type="dxa"/>
        <w:jc w:val="center"/>
        <w:tblInd w:w="0" w:type="dxa"/>
        <w:tblLayout w:type="fixed"/>
        <w:tblLook w:val="0400" w:firstRow="0" w:lastRow="0" w:firstColumn="0" w:lastColumn="0" w:noHBand="0" w:noVBand="1"/>
      </w:tblPr>
      <w:tblGrid>
        <w:gridCol w:w="9790"/>
      </w:tblGrid>
      <w:tr w:rsidR="00337BEB" w:rsidRPr="00F06274" w:rsidTr="00B21C39">
        <w:trPr>
          <w:trHeight w:val="739"/>
          <w:jc w:val="center"/>
        </w:trPr>
        <w:tc>
          <w:tcPr>
            <w:tcW w:w="9790" w:type="dxa"/>
            <w:vAlign w:val="center"/>
          </w:tcPr>
          <w:p w:rsidR="000B245E" w:rsidRPr="00F06274" w:rsidRDefault="000B245E" w:rsidP="00F06274">
            <w:pPr>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0B245E" w:rsidRPr="00F06274" w:rsidRDefault="000B245E" w:rsidP="00F06274">
            <w:pPr>
              <w:jc w:val="both"/>
              <w:rPr>
                <w:rFonts w:ascii="Palatino Linotype" w:eastAsia="Palatino Linotype" w:hAnsi="Palatino Linotype" w:cs="Palatino Linotype"/>
                <w:i/>
                <w:color w:val="000000" w:themeColor="text1"/>
              </w:rPr>
            </w:pPr>
          </w:p>
          <w:p w:rsidR="00337BEB" w:rsidRPr="00F06274" w:rsidRDefault="000B245E" w:rsidP="00F06274">
            <w:pPr>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Estimado Solicitante, reciba la respuesta a la solitud que realizó”.(sic)</w:t>
            </w:r>
          </w:p>
          <w:p w:rsidR="00337BEB" w:rsidRPr="00F06274" w:rsidRDefault="00337BEB" w:rsidP="00F06274">
            <w:pPr>
              <w:jc w:val="both"/>
              <w:rPr>
                <w:rFonts w:ascii="Palatino Linotype" w:hAnsi="Palatino Linotype"/>
                <w:color w:val="000000" w:themeColor="text1"/>
              </w:rPr>
            </w:pPr>
          </w:p>
        </w:tc>
      </w:tr>
    </w:tbl>
    <w:p w:rsidR="000B245E" w:rsidRPr="00F06274" w:rsidRDefault="000B245E" w:rsidP="00F06274">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0B245E" w:rsidRPr="00F06274" w:rsidRDefault="000B245E" w:rsidP="00F0627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Se adjuntaron los siguientes archivos electrónicos:</w:t>
      </w:r>
    </w:p>
    <w:p w:rsidR="000B245E" w:rsidRPr="00F06274" w:rsidRDefault="006A6042" w:rsidP="00F06274">
      <w:pPr>
        <w:numPr>
          <w:ilvl w:val="0"/>
          <w:numId w:val="8"/>
        </w:numPr>
        <w:pBdr>
          <w:top w:val="nil"/>
          <w:left w:val="nil"/>
          <w:bottom w:val="nil"/>
          <w:right w:val="nil"/>
          <w:between w:val="nil"/>
        </w:pBdr>
        <w:tabs>
          <w:tab w:val="left" w:pos="0"/>
        </w:tabs>
        <w:spacing w:line="360" w:lineRule="auto"/>
        <w:ind w:left="0" w:firstLine="0"/>
        <w:jc w:val="both"/>
        <w:rPr>
          <w:rFonts w:ascii="Palatino Linotype" w:hAnsi="Palatino Linotype"/>
          <w:b/>
          <w:color w:val="000000" w:themeColor="text1"/>
        </w:rPr>
      </w:pPr>
      <w:hyperlink r:id="rId8" w:tgtFrame="_blank" w:history="1">
        <w:r w:rsidR="000B245E" w:rsidRPr="00F06274">
          <w:rPr>
            <w:rFonts w:ascii="Palatino Linotype" w:eastAsia="Palatino Linotype" w:hAnsi="Palatino Linotype" w:cs="Palatino Linotype"/>
            <w:b/>
            <w:color w:val="000000" w:themeColor="text1"/>
          </w:rPr>
          <w:t>Respuesta Tesoreria 00047 ALMORI 2025.pdf</w:t>
        </w:r>
      </w:hyperlink>
      <w:r w:rsidR="000B245E" w:rsidRPr="00F06274">
        <w:rPr>
          <w:rFonts w:ascii="Palatino Linotype" w:eastAsia="Palatino Linotype" w:hAnsi="Palatino Linotype" w:cs="Palatino Linotype"/>
          <w:b/>
          <w:color w:val="000000" w:themeColor="text1"/>
        </w:rPr>
        <w:t>:</w:t>
      </w:r>
      <w:r w:rsidR="000B245E" w:rsidRPr="00F06274">
        <w:rPr>
          <w:rFonts w:ascii="Palatino Linotype" w:eastAsia="Palatino Linotype" w:hAnsi="Palatino Linotype" w:cs="Palatino Linotype"/>
          <w:color w:val="000000" w:themeColor="text1"/>
        </w:rPr>
        <w:t xml:space="preserve"> Oficio ADR/TM/0123/2025, de fecha cinco de junio de dos mil veinticinco, suscrito por el Tesorero Municipal, mediante el cual informa que </w:t>
      </w:r>
      <w:r w:rsidR="00CB3832" w:rsidRPr="00F06274">
        <w:rPr>
          <w:rFonts w:ascii="Palatino Linotype" w:eastAsia="Palatino Linotype" w:hAnsi="Palatino Linotype" w:cs="Palatino Linotype"/>
          <w:color w:val="000000" w:themeColor="text1"/>
        </w:rPr>
        <w:t>una vez recaba la información motivo de la solicitud, relativo a todo los recibos de las dos quincenas de abril y primera de mayo de todo el personal, comprenden un peso aproximado de 1.3 GB, por lo cual realiza el cambio de modalidad a “CONSULTA DIRECTA”</w:t>
      </w:r>
    </w:p>
    <w:p w:rsidR="00CB3832" w:rsidRPr="00F06274" w:rsidRDefault="00CB3832" w:rsidP="00F06274">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R</w:t>
      </w:r>
      <w:hyperlink r:id="rId9" w:tgtFrame="_blank" w:history="1">
        <w:r w:rsidRPr="00F06274">
          <w:rPr>
            <w:rFonts w:ascii="Palatino Linotype" w:eastAsia="Palatino Linotype" w:hAnsi="Palatino Linotype" w:cs="Palatino Linotype"/>
            <w:b/>
            <w:color w:val="000000" w:themeColor="text1"/>
          </w:rPr>
          <w:t>espuesta 00047 ALMORI 2025.pdf</w:t>
        </w:r>
      </w:hyperlink>
      <w:r w:rsidRPr="00F06274">
        <w:rPr>
          <w:rFonts w:ascii="Palatino Linotype" w:eastAsia="Palatino Linotype" w:hAnsi="Palatino Linotype" w:cs="Palatino Linotype"/>
          <w:b/>
          <w:color w:val="000000" w:themeColor="text1"/>
        </w:rPr>
        <w:t xml:space="preserve">: </w:t>
      </w:r>
      <w:r w:rsidRPr="00F06274">
        <w:rPr>
          <w:rFonts w:ascii="Palatino Linotype" w:eastAsia="Palatino Linotype" w:hAnsi="Palatino Linotype" w:cs="Palatino Linotype"/>
          <w:color w:val="000000" w:themeColor="text1"/>
        </w:rPr>
        <w:t xml:space="preserve">Oficio ADR/TM/185/2025, suscrito por el Titular de la Unidad de Transparencia, mediante el cual remite al solicitante la respuesta emitida por el Tesorero Municipal. </w:t>
      </w:r>
    </w:p>
    <w:p w:rsidR="00CB3832" w:rsidRPr="00F06274" w:rsidRDefault="00CB3832" w:rsidP="00F06274">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337BEB" w:rsidRPr="00B21C39" w:rsidRDefault="000B245E" w:rsidP="00F06274">
      <w:pPr>
        <w:numPr>
          <w:ilvl w:val="0"/>
          <w:numId w:val="1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F06274">
        <w:rPr>
          <w:rFonts w:ascii="Palatino Linotype" w:eastAsia="Palatino Linotype" w:hAnsi="Palatino Linotype" w:cs="Palatino Linotype"/>
          <w:color w:val="000000" w:themeColor="text1"/>
        </w:rPr>
        <w:t xml:space="preserve">Inconforme con lo anterior, el </w:t>
      </w:r>
      <w:r w:rsidRPr="00F06274">
        <w:rPr>
          <w:rFonts w:ascii="Palatino Linotype" w:eastAsia="Palatino Linotype" w:hAnsi="Palatino Linotype" w:cs="Palatino Linotype"/>
          <w:b/>
          <w:color w:val="000000" w:themeColor="text1"/>
        </w:rPr>
        <w:t>PARTICULAR</w:t>
      </w:r>
      <w:r w:rsidRPr="00F06274">
        <w:rPr>
          <w:rFonts w:ascii="Palatino Linotype" w:eastAsia="Palatino Linotype" w:hAnsi="Palatino Linotype" w:cs="Palatino Linotype"/>
          <w:color w:val="000000" w:themeColor="text1"/>
        </w:rPr>
        <w:t xml:space="preserve"> en fecha </w:t>
      </w:r>
      <w:r w:rsidR="00CB3832" w:rsidRPr="00F06274">
        <w:rPr>
          <w:rFonts w:ascii="Palatino Linotype" w:eastAsia="Palatino Linotype" w:hAnsi="Palatino Linotype" w:cs="Palatino Linotype"/>
          <w:b/>
          <w:color w:val="000000" w:themeColor="text1"/>
        </w:rPr>
        <w:t xml:space="preserve">veintiséis de junio </w:t>
      </w:r>
      <w:r w:rsidRPr="00F06274">
        <w:rPr>
          <w:rFonts w:ascii="Palatino Linotype" w:eastAsia="Palatino Linotype" w:hAnsi="Palatino Linotype" w:cs="Palatino Linotype"/>
          <w:b/>
          <w:color w:val="000000" w:themeColor="text1"/>
        </w:rPr>
        <w:t xml:space="preserve">de dos mil veinticinco, </w:t>
      </w:r>
      <w:r w:rsidRPr="00F06274">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B21C39" w:rsidRPr="00F06274" w:rsidRDefault="00B21C39" w:rsidP="00B21C39">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337BEB" w:rsidRPr="00F06274" w:rsidRDefault="00B21C39" w:rsidP="00F06274">
      <w:pPr>
        <w:numPr>
          <w:ilvl w:val="0"/>
          <w:numId w:val="12"/>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4" w:name="_heading=h.1fob9te" w:colFirst="0" w:colLast="0"/>
      <w:bookmarkEnd w:id="4"/>
      <w:r w:rsidRPr="00F06274">
        <w:rPr>
          <w:rFonts w:ascii="Palatino Linotype" w:eastAsia="Palatino Linotype" w:hAnsi="Palatino Linotype" w:cs="Palatino Linotype"/>
          <w:b/>
          <w:color w:val="000000" w:themeColor="text1"/>
        </w:rPr>
        <w:t>ACTO IMPUGNADO</w:t>
      </w:r>
      <w:r w:rsidRPr="00F06274">
        <w:rPr>
          <w:rFonts w:ascii="Palatino Linotype" w:eastAsia="Palatino Linotype" w:hAnsi="Palatino Linotype" w:cs="Palatino Linotype"/>
          <w:color w:val="000000" w:themeColor="text1"/>
        </w:rPr>
        <w:t xml:space="preserve">: </w:t>
      </w:r>
      <w:r w:rsidR="000B245E" w:rsidRPr="00F06274">
        <w:rPr>
          <w:rFonts w:ascii="Palatino Linotype" w:eastAsia="Palatino Linotype" w:hAnsi="Palatino Linotype" w:cs="Palatino Linotype"/>
          <w:i/>
          <w:color w:val="000000" w:themeColor="text1"/>
        </w:rPr>
        <w:t>“</w:t>
      </w:r>
      <w:r w:rsidR="00CB3832" w:rsidRPr="00F06274">
        <w:rPr>
          <w:rFonts w:ascii="Palatino Linotype" w:eastAsia="Palatino Linotype" w:hAnsi="Palatino Linotype" w:cs="Palatino Linotype"/>
          <w:i/>
          <w:color w:val="000000" w:themeColor="text1"/>
        </w:rPr>
        <w:t>El dolo ante la actuación y la negativa del servidor público al negar información de interés público, que oculta este gobierno?</w:t>
      </w:r>
      <w:r w:rsidR="000B245E" w:rsidRPr="00F06274">
        <w:rPr>
          <w:rFonts w:ascii="Palatino Linotype" w:eastAsia="Palatino Linotype" w:hAnsi="Palatino Linotype" w:cs="Palatino Linotype"/>
          <w:i/>
          <w:color w:val="000000" w:themeColor="text1"/>
        </w:rPr>
        <w:t>” (Sic.)</w:t>
      </w:r>
    </w:p>
    <w:p w:rsidR="00F06274" w:rsidRPr="00F06274" w:rsidRDefault="00F06274" w:rsidP="00F0627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337BEB" w:rsidRPr="00F06274" w:rsidRDefault="00B21C39" w:rsidP="00F06274">
      <w:pPr>
        <w:numPr>
          <w:ilvl w:val="0"/>
          <w:numId w:val="12"/>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5" w:name="_heading=h.3znysh7" w:colFirst="0" w:colLast="0"/>
      <w:bookmarkEnd w:id="5"/>
      <w:r w:rsidRPr="00F06274">
        <w:rPr>
          <w:rFonts w:ascii="Palatino Linotype" w:eastAsia="Palatino Linotype" w:hAnsi="Palatino Linotype" w:cs="Palatino Linotype"/>
          <w:b/>
          <w:color w:val="000000" w:themeColor="text1"/>
        </w:rPr>
        <w:t>RAZONES O MOTIVOS DE INCONFORMIDAD</w:t>
      </w:r>
      <w:r w:rsidR="000B245E" w:rsidRPr="00F06274">
        <w:rPr>
          <w:rFonts w:ascii="Palatino Linotype" w:eastAsia="Palatino Linotype" w:hAnsi="Palatino Linotype" w:cs="Palatino Linotype"/>
          <w:b/>
          <w:color w:val="000000" w:themeColor="text1"/>
        </w:rPr>
        <w:t xml:space="preserve">: </w:t>
      </w:r>
      <w:r w:rsidR="000B245E" w:rsidRPr="00F06274">
        <w:rPr>
          <w:rFonts w:ascii="Palatino Linotype" w:eastAsia="Palatino Linotype" w:hAnsi="Palatino Linotype" w:cs="Palatino Linotype"/>
          <w:i/>
          <w:color w:val="000000" w:themeColor="text1"/>
        </w:rPr>
        <w:t>“</w:t>
      </w:r>
      <w:r w:rsidR="007A2CA1" w:rsidRPr="00F06274">
        <w:rPr>
          <w:rFonts w:ascii="Palatino Linotype" w:eastAsia="Palatino Linotype" w:hAnsi="Palatino Linotype" w:cs="Palatino Linotype"/>
          <w:i/>
          <w:color w:val="000000" w:themeColor="text1"/>
        </w:rPr>
        <w:t>El dolo ante la actuación y la negativa del servidor público al negar informcion de interes público, que oculta este gobierno?</w:t>
      </w:r>
      <w:r w:rsidR="000B245E" w:rsidRPr="00F06274">
        <w:rPr>
          <w:rFonts w:ascii="Palatino Linotype" w:eastAsia="Palatino Linotype" w:hAnsi="Palatino Linotype" w:cs="Palatino Linotype"/>
          <w:i/>
          <w:color w:val="000000" w:themeColor="text1"/>
        </w:rPr>
        <w:t>.” (Sic.)</w:t>
      </w:r>
    </w:p>
    <w:p w:rsidR="00337BEB" w:rsidRPr="00F06274" w:rsidRDefault="00B21C39" w:rsidP="00F06274">
      <w:pPr>
        <w:numPr>
          <w:ilvl w:val="0"/>
          <w:numId w:val="11"/>
        </w:numPr>
        <w:pBdr>
          <w:top w:val="nil"/>
          <w:left w:val="nil"/>
          <w:bottom w:val="nil"/>
          <w:right w:val="nil"/>
          <w:between w:val="nil"/>
        </w:pBdr>
        <w:spacing w:line="360" w:lineRule="auto"/>
        <w:jc w:val="both"/>
        <w:rPr>
          <w:rFonts w:ascii="Palatino Linotype" w:hAnsi="Palatino Linotype"/>
          <w:color w:val="000000" w:themeColor="text1"/>
        </w:rPr>
      </w:pPr>
      <w:r>
        <w:rPr>
          <w:rFonts w:ascii="Palatino Linotype" w:eastAsia="Palatino Linotype" w:hAnsi="Palatino Linotype" w:cs="Palatino Linotype"/>
          <w:color w:val="000000" w:themeColor="text1"/>
        </w:rPr>
        <w:lastRenderedPageBreak/>
        <w:t>La Comisionada p</w:t>
      </w:r>
      <w:r w:rsidR="000B245E" w:rsidRPr="00F06274">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notificado en fecha </w:t>
      </w:r>
      <w:r w:rsidR="007A2CA1" w:rsidRPr="00F06274">
        <w:rPr>
          <w:rFonts w:ascii="Palatino Linotype" w:eastAsia="Palatino Linotype" w:hAnsi="Palatino Linotype" w:cs="Palatino Linotype"/>
          <w:b/>
          <w:color w:val="000000" w:themeColor="text1"/>
        </w:rPr>
        <w:t xml:space="preserve">uno de julio </w:t>
      </w:r>
      <w:r w:rsidR="000B245E" w:rsidRPr="00F06274">
        <w:rPr>
          <w:rFonts w:ascii="Palatino Linotype" w:eastAsia="Palatino Linotype" w:hAnsi="Palatino Linotype" w:cs="Palatino Linotype"/>
          <w:b/>
          <w:color w:val="000000" w:themeColor="text1"/>
        </w:rPr>
        <w:t>de dos mil veinticinco</w:t>
      </w:r>
      <w:r w:rsidR="000B245E" w:rsidRPr="00F06274">
        <w:rPr>
          <w:rFonts w:ascii="Palatino Linotype" w:eastAsia="Palatino Linotype" w:hAnsi="Palatino Linotype" w:cs="Palatino Linotype"/>
          <w:color w:val="000000" w:themeColor="text1"/>
        </w:rPr>
        <w:t xml:space="preserve">, puso a disposición de las partes el expediente electrónico vía </w:t>
      </w:r>
      <w:r w:rsidR="000B245E" w:rsidRPr="00F06274">
        <w:rPr>
          <w:rFonts w:ascii="Palatino Linotype" w:eastAsia="Palatino Linotype" w:hAnsi="Palatino Linotype" w:cs="Palatino Linotype"/>
          <w:b/>
          <w:color w:val="000000" w:themeColor="text1"/>
        </w:rPr>
        <w:t xml:space="preserve">SAIMEX </w:t>
      </w:r>
      <w:r w:rsidR="000B245E" w:rsidRPr="00F06274">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0B245E" w:rsidRPr="00F06274">
        <w:rPr>
          <w:rFonts w:ascii="Palatino Linotype" w:eastAsia="Palatino Linotype" w:hAnsi="Palatino Linotype" w:cs="Palatino Linotype"/>
          <w:b/>
          <w:color w:val="000000" w:themeColor="text1"/>
        </w:rPr>
        <w:t>SUJETO OBLIGADO</w:t>
      </w:r>
      <w:r w:rsidR="000B245E" w:rsidRPr="00F06274">
        <w:rPr>
          <w:rFonts w:ascii="Palatino Linotype" w:eastAsia="Palatino Linotype" w:hAnsi="Palatino Linotype" w:cs="Palatino Linotype"/>
          <w:color w:val="000000" w:themeColor="text1"/>
        </w:rPr>
        <w:t xml:space="preserve"> presentará el Informe Justificado procedente.</w:t>
      </w:r>
    </w:p>
    <w:p w:rsidR="00337BEB" w:rsidRPr="00F06274" w:rsidRDefault="00337BEB" w:rsidP="00F06274">
      <w:pPr>
        <w:rPr>
          <w:rFonts w:ascii="Palatino Linotype" w:hAnsi="Palatino Linotype"/>
          <w:color w:val="000000" w:themeColor="text1"/>
        </w:rPr>
      </w:pPr>
    </w:p>
    <w:p w:rsidR="007A2CA1" w:rsidRPr="00F06274" w:rsidRDefault="007A2CA1" w:rsidP="00F06274">
      <w:pPr>
        <w:numPr>
          <w:ilvl w:val="0"/>
          <w:numId w:val="11"/>
        </w:numPr>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F06274">
        <w:rPr>
          <w:rFonts w:ascii="Palatino Linotype" w:eastAsia="Palatino Linotype" w:hAnsi="Palatino Linotype" w:cs="Palatino Linotype"/>
          <w:color w:val="000000" w:themeColor="text1"/>
        </w:rPr>
        <w:t xml:space="preserve">El </w:t>
      </w:r>
      <w:r w:rsidRPr="00F06274">
        <w:rPr>
          <w:rFonts w:ascii="Palatino Linotype" w:eastAsia="Palatino Linotype" w:hAnsi="Palatino Linotype" w:cs="Palatino Linotype"/>
          <w:b/>
          <w:color w:val="000000" w:themeColor="text1"/>
        </w:rPr>
        <w:t>tres de julio de dos mil veinticinco</w:t>
      </w:r>
      <w:r w:rsidRPr="00F06274">
        <w:rPr>
          <w:rFonts w:ascii="Palatino Linotype" w:eastAsia="Palatino Linotype" w:hAnsi="Palatino Linotype" w:cs="Palatino Linotype"/>
          <w:color w:val="000000" w:themeColor="text1"/>
        </w:rPr>
        <w:t xml:space="preserve">,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rindió el informe justificado correspondiente, por medio del cual ratifica respuesta.</w:t>
      </w:r>
    </w:p>
    <w:p w:rsidR="007A2CA1" w:rsidRPr="00F06274" w:rsidRDefault="007A2CA1" w:rsidP="00F06274">
      <w:pPr>
        <w:pStyle w:val="Prrafodelista"/>
        <w:ind w:left="0"/>
        <w:rPr>
          <w:rFonts w:ascii="Palatino Linotype" w:eastAsia="Palatino Linotype" w:hAnsi="Palatino Linotype" w:cs="Palatino Linotype"/>
          <w:color w:val="000000" w:themeColor="text1"/>
        </w:rPr>
      </w:pPr>
    </w:p>
    <w:p w:rsidR="00337BEB" w:rsidRPr="00F06274" w:rsidRDefault="000B245E" w:rsidP="00F06274">
      <w:pPr>
        <w:numPr>
          <w:ilvl w:val="0"/>
          <w:numId w:val="11"/>
        </w:num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color w:val="000000" w:themeColor="text1"/>
        </w:rPr>
        <w:t xml:space="preserve">De lo anterior el </w:t>
      </w:r>
      <w:r w:rsidRPr="00F06274">
        <w:rPr>
          <w:rFonts w:ascii="Palatino Linotype" w:eastAsia="Palatino Linotype" w:hAnsi="Palatino Linotype" w:cs="Palatino Linotype"/>
          <w:b/>
          <w:color w:val="000000" w:themeColor="text1"/>
        </w:rPr>
        <w:t xml:space="preserve">RECURRENTE </w:t>
      </w:r>
      <w:r w:rsidR="007A2CA1" w:rsidRPr="00F06274">
        <w:rPr>
          <w:rFonts w:ascii="Palatino Linotype" w:eastAsia="Palatino Linotype" w:hAnsi="Palatino Linotype" w:cs="Palatino Linotype"/>
          <w:color w:val="000000" w:themeColor="text1"/>
        </w:rPr>
        <w:t>dejó</w:t>
      </w:r>
      <w:r w:rsidRPr="00F06274">
        <w:rPr>
          <w:rFonts w:ascii="Palatino Linotype" w:eastAsia="Palatino Linotype" w:hAnsi="Palatino Linotype" w:cs="Palatino Linotype"/>
          <w:color w:val="000000" w:themeColor="text1"/>
        </w:rPr>
        <w:t xml:space="preserve"> de realizar manifestaciones que a su derecho conviniera y asistiera. </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i/>
          <w:color w:val="000000" w:themeColor="text1"/>
        </w:rPr>
      </w:pPr>
    </w:p>
    <w:p w:rsidR="00337BEB" w:rsidRPr="00F06274" w:rsidRDefault="000B245E" w:rsidP="00F06274">
      <w:pPr>
        <w:numPr>
          <w:ilvl w:val="0"/>
          <w:numId w:val="11"/>
        </w:numPr>
        <w:spacing w:line="360" w:lineRule="auto"/>
        <w:jc w:val="both"/>
        <w:rPr>
          <w:rFonts w:ascii="Palatino Linotype" w:hAnsi="Palatino Linotype"/>
          <w:color w:val="000000" w:themeColor="text1"/>
        </w:rPr>
      </w:pPr>
      <w:r w:rsidRPr="00F06274">
        <w:rPr>
          <w:rFonts w:ascii="Palatino Linotype" w:eastAsia="Palatino Linotype" w:hAnsi="Palatino Linotype" w:cs="Palatino Linotype"/>
          <w:color w:val="000000" w:themeColor="text1"/>
        </w:rPr>
        <w:t xml:space="preserve">El </w:t>
      </w:r>
      <w:r w:rsidR="007A2CA1" w:rsidRPr="00F06274">
        <w:rPr>
          <w:rFonts w:ascii="Palatino Linotype" w:eastAsia="Palatino Linotype" w:hAnsi="Palatino Linotype" w:cs="Palatino Linotype"/>
          <w:b/>
          <w:color w:val="000000" w:themeColor="text1"/>
        </w:rPr>
        <w:t xml:space="preserve">veintidós de octubre </w:t>
      </w:r>
      <w:r w:rsidRPr="00F06274">
        <w:rPr>
          <w:rFonts w:ascii="Palatino Linotype" w:eastAsia="Palatino Linotype" w:hAnsi="Palatino Linotype" w:cs="Palatino Linotype"/>
          <w:b/>
          <w:color w:val="000000" w:themeColor="text1"/>
        </w:rPr>
        <w:t>de dos mil veinticinco</w:t>
      </w:r>
      <w:r w:rsidRPr="00F06274">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color w:val="000000" w:themeColor="text1"/>
        </w:rPr>
        <w:t xml:space="preserve">Finalmente, mediante acuerdo de </w:t>
      </w:r>
      <w:r w:rsidR="007A2CA1" w:rsidRPr="00F06274">
        <w:rPr>
          <w:rFonts w:ascii="Palatino Linotype" w:eastAsia="Palatino Linotype" w:hAnsi="Palatino Linotype" w:cs="Palatino Linotype"/>
          <w:b/>
          <w:color w:val="000000" w:themeColor="text1"/>
        </w:rPr>
        <w:t xml:space="preserve">veintinueve de octubre </w:t>
      </w:r>
      <w:r w:rsidRPr="00F06274">
        <w:rPr>
          <w:rFonts w:ascii="Palatino Linotype" w:eastAsia="Palatino Linotype" w:hAnsi="Palatino Linotype" w:cs="Palatino Linotype"/>
          <w:b/>
          <w:color w:val="000000" w:themeColor="text1"/>
        </w:rPr>
        <w:t>de dos mil veinticinco</w:t>
      </w:r>
      <w:r w:rsidRPr="00F06274">
        <w:rPr>
          <w:rFonts w:ascii="Palatino Linotype" w:eastAsia="Palatino Linotype" w:hAnsi="Palatino Linotype" w:cs="Palatino Linotype"/>
          <w:color w:val="000000" w:themeColor="text1"/>
        </w:rPr>
        <w:t>, se decretó el cierre de instrucción, por lo que no hab</w:t>
      </w:r>
      <w:r w:rsidR="00F06274">
        <w:rPr>
          <w:rFonts w:ascii="Palatino Linotype" w:eastAsia="Palatino Linotype" w:hAnsi="Palatino Linotype" w:cs="Palatino Linotype"/>
          <w:color w:val="000000" w:themeColor="text1"/>
        </w:rPr>
        <w:t>iendo más que hacer constar, y</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b/>
          <w:color w:val="000000" w:themeColor="text1"/>
        </w:rPr>
      </w:pP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37BEB" w:rsidRPr="00F06274" w:rsidRDefault="000B245E" w:rsidP="00F06274">
      <w:pPr>
        <w:pStyle w:val="Ttulo1"/>
        <w:tabs>
          <w:tab w:val="left" w:pos="567"/>
        </w:tabs>
        <w:spacing w:before="0" w:line="360" w:lineRule="auto"/>
        <w:jc w:val="center"/>
        <w:rPr>
          <w:szCs w:val="24"/>
        </w:rPr>
      </w:pPr>
      <w:bookmarkStart w:id="7" w:name="_heading=h.tyjcwt" w:colFirst="0" w:colLast="0"/>
      <w:bookmarkEnd w:id="7"/>
      <w:r w:rsidRPr="00F06274">
        <w:rPr>
          <w:szCs w:val="24"/>
        </w:rPr>
        <w:t>C O N S I D E R A N D O</w:t>
      </w:r>
    </w:p>
    <w:p w:rsidR="00337BEB" w:rsidRPr="00F06274" w:rsidRDefault="00337BEB" w:rsidP="00F06274">
      <w:pPr>
        <w:spacing w:line="360" w:lineRule="auto"/>
        <w:rPr>
          <w:rFonts w:ascii="Palatino Linotype" w:eastAsia="Palatino Linotype" w:hAnsi="Palatino Linotype" w:cs="Palatino Linotype"/>
          <w:color w:val="000000" w:themeColor="text1"/>
        </w:rPr>
      </w:pPr>
    </w:p>
    <w:p w:rsidR="00337BEB" w:rsidRDefault="000B245E" w:rsidP="00F06274">
      <w:pPr>
        <w:pStyle w:val="Ttulo1"/>
        <w:tabs>
          <w:tab w:val="left" w:pos="567"/>
        </w:tabs>
        <w:spacing w:before="0" w:line="360" w:lineRule="auto"/>
        <w:rPr>
          <w:szCs w:val="24"/>
        </w:rPr>
      </w:pPr>
      <w:bookmarkStart w:id="8" w:name="_heading=h.3dy6vkm" w:colFirst="0" w:colLast="0"/>
      <w:bookmarkEnd w:id="8"/>
      <w:r w:rsidRPr="00F06274">
        <w:rPr>
          <w:szCs w:val="24"/>
        </w:rPr>
        <w:t>PRIMERO. De la competencia</w:t>
      </w:r>
    </w:p>
    <w:p w:rsidR="00337BEB" w:rsidRPr="00F06274" w:rsidRDefault="000B245E" w:rsidP="00F06274">
      <w:pPr>
        <w:numPr>
          <w:ilvl w:val="0"/>
          <w:numId w:val="1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 </w:t>
      </w:r>
      <w:r w:rsidR="00EB1F8F" w:rsidRPr="00F06274">
        <w:rPr>
          <w:rFonts w:ascii="Palatino Linotype" w:hAnsi="Palatino Linotype"/>
          <w:color w:val="000000" w:themeColor="text1"/>
          <w:shd w:val="clear" w:color="auto" w:fill="FFFFFF"/>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w:t>
      </w:r>
      <w:r w:rsidR="00EB1F8F" w:rsidRPr="00F06274">
        <w:rPr>
          <w:rFonts w:ascii="Palatino Linotype" w:hAnsi="Palatino Linotype"/>
          <w:color w:val="000000" w:themeColor="text1"/>
          <w:shd w:val="clear" w:color="auto" w:fill="FFFFFF"/>
        </w:rPr>
        <w:lastRenderedPageBreak/>
        <w:t>la </w:t>
      </w:r>
      <w:r w:rsidR="00EB1F8F" w:rsidRPr="00F06274">
        <w:rPr>
          <w:rFonts w:ascii="Palatino Linotype" w:hAnsi="Palatino Linotype"/>
          <w:b/>
          <w:bCs/>
          <w:color w:val="000000" w:themeColor="text1"/>
          <w:shd w:val="clear" w:color="auto" w:fill="FFFFFF"/>
        </w:rPr>
        <w:t>Constitución Política de los Estados Unidos Mexicanos</w:t>
      </w:r>
      <w:r w:rsidR="00EB1F8F" w:rsidRPr="00F06274">
        <w:rPr>
          <w:rFonts w:ascii="Palatino Linotype" w:hAnsi="Palatino Linotype"/>
          <w:color w:val="000000" w:themeColor="text1"/>
          <w:shd w:val="clear" w:color="auto" w:fill="FFFFFF"/>
        </w:rPr>
        <w:t>; 5, párrafos trigésimo segundo, trigésimo tercero y trigésimo cuarto fracciones IV y V de la </w:t>
      </w:r>
      <w:r w:rsidR="00EB1F8F" w:rsidRPr="00F06274">
        <w:rPr>
          <w:rFonts w:ascii="Palatino Linotype" w:hAnsi="Palatino Linotype"/>
          <w:b/>
          <w:bCs/>
          <w:color w:val="000000" w:themeColor="text1"/>
          <w:shd w:val="clear" w:color="auto" w:fill="FFFFFF"/>
        </w:rPr>
        <w:t>Constitución Política del Estado Libre y Soberano de México</w:t>
      </w:r>
      <w:r w:rsidR="00EB1F8F" w:rsidRPr="00F06274">
        <w:rPr>
          <w:rFonts w:ascii="Palatino Linotype" w:hAnsi="Palatino Linotype"/>
          <w:color w:val="000000" w:themeColor="text1"/>
          <w:shd w:val="clear" w:color="auto" w:fill="FFFFFF"/>
        </w:rPr>
        <w:t>; artículos 1, 2 fracción II, 13, 29, 36 fracciones I y II, 176, 178, 179, 181 párrafo tercero y 185 de la </w:t>
      </w:r>
      <w:r w:rsidR="00EB1F8F" w:rsidRPr="00F06274">
        <w:rPr>
          <w:rFonts w:ascii="Palatino Linotype" w:hAnsi="Palatino Linotype"/>
          <w:b/>
          <w:bCs/>
          <w:color w:val="000000" w:themeColor="text1"/>
          <w:shd w:val="clear" w:color="auto" w:fill="FFFFFF"/>
        </w:rPr>
        <w:t>Ley de Transparencia y Acceso a la Información Pública del Estado de México y Municipios</w:t>
      </w:r>
      <w:r w:rsidR="00EB1F8F" w:rsidRPr="00F06274">
        <w:rPr>
          <w:rFonts w:ascii="Palatino Linotype" w:hAnsi="Palatino Linotype"/>
          <w:color w:val="000000" w:themeColor="text1"/>
          <w:shd w:val="clear" w:color="auto" w:fill="FFFFFF"/>
        </w:rPr>
        <w:t>; y 7, 9 fracciones I y XXIII, y 11 del </w:t>
      </w:r>
      <w:r w:rsidR="00EB1F8F" w:rsidRPr="00F06274">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00EB1F8F" w:rsidRPr="00F06274">
        <w:rPr>
          <w:rFonts w:ascii="Palatino Linotype" w:hAnsi="Palatino Linotype"/>
          <w:color w:val="000000" w:themeColor="text1"/>
          <w:shd w:val="clear" w:color="auto" w:fill="FFFFFF"/>
        </w:rPr>
        <w:t>.</w:t>
      </w:r>
    </w:p>
    <w:p w:rsidR="00337BEB" w:rsidRPr="00F06274" w:rsidRDefault="00337BEB" w:rsidP="00F062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pStyle w:val="Ttulo2"/>
        <w:spacing w:before="0" w:line="360" w:lineRule="auto"/>
        <w:rPr>
          <w:szCs w:val="24"/>
        </w:rPr>
      </w:pPr>
      <w:bookmarkStart w:id="9" w:name="_heading=h.1t3h5sf" w:colFirst="0" w:colLast="0"/>
      <w:bookmarkEnd w:id="9"/>
      <w:r w:rsidRPr="00F06274">
        <w:rPr>
          <w:szCs w:val="24"/>
        </w:rPr>
        <w:t>SEGUNDO. De la oportunidad y procedencia.</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 El medio de impugnación fue presentado a través del </w:t>
      </w:r>
      <w:r w:rsidRPr="00F06274">
        <w:rPr>
          <w:rFonts w:ascii="Palatino Linotype" w:eastAsia="Palatino Linotype" w:hAnsi="Palatino Linotype" w:cs="Palatino Linotype"/>
          <w:b/>
          <w:color w:val="000000" w:themeColor="text1"/>
        </w:rPr>
        <w:t>SAIMEX,</w:t>
      </w:r>
      <w:r w:rsidRPr="00F0627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entregó su respuesta el </w:t>
      </w:r>
      <w:r w:rsidR="00EB1F8F" w:rsidRPr="00F06274">
        <w:rPr>
          <w:rFonts w:ascii="Palatino Linotype" w:eastAsia="Palatino Linotype" w:hAnsi="Palatino Linotype" w:cs="Palatino Linotype"/>
          <w:b/>
          <w:color w:val="000000" w:themeColor="text1"/>
        </w:rPr>
        <w:t xml:space="preserve">veinticinco de junio </w:t>
      </w:r>
      <w:r w:rsidRPr="00F06274">
        <w:rPr>
          <w:rFonts w:ascii="Palatino Linotype" w:eastAsia="Palatino Linotype" w:hAnsi="Palatino Linotype" w:cs="Palatino Linotype"/>
          <w:b/>
          <w:color w:val="000000" w:themeColor="text1"/>
        </w:rPr>
        <w:t>de dos mil veinticinco</w:t>
      </w:r>
      <w:r w:rsidRPr="00F06274">
        <w:rPr>
          <w:rFonts w:ascii="Palatino Linotype" w:eastAsia="Palatino Linotype" w:hAnsi="Palatino Linotype" w:cs="Palatino Linotype"/>
          <w:color w:val="000000" w:themeColor="text1"/>
        </w:rPr>
        <w:t xml:space="preserve">, de tal forma que el plazo para interponer el recurso de revisión transcurrió del </w:t>
      </w:r>
      <w:r w:rsidR="00EB1F8F" w:rsidRPr="00F06274">
        <w:rPr>
          <w:rFonts w:ascii="Palatino Linotype" w:eastAsia="Palatino Linotype" w:hAnsi="Palatino Linotype" w:cs="Palatino Linotype"/>
          <w:b/>
          <w:color w:val="000000" w:themeColor="text1"/>
        </w:rPr>
        <w:t xml:space="preserve">veintiséis de junio al dieciséis de julio </w:t>
      </w:r>
      <w:r w:rsidRPr="00F06274">
        <w:rPr>
          <w:rFonts w:ascii="Palatino Linotype" w:eastAsia="Palatino Linotype" w:hAnsi="Palatino Linotype" w:cs="Palatino Linotype"/>
          <w:b/>
          <w:color w:val="000000" w:themeColor="text1"/>
        </w:rPr>
        <w:t>de dos mil veinticinco</w:t>
      </w:r>
      <w:r w:rsidRPr="00F06274">
        <w:rPr>
          <w:rFonts w:ascii="Palatino Linotype" w:eastAsia="Palatino Linotype" w:hAnsi="Palatino Linotype" w:cs="Palatino Linotype"/>
          <w:color w:val="000000" w:themeColor="text1"/>
        </w:rPr>
        <w:t xml:space="preserve">; en consecuencia, el ahora </w:t>
      </w:r>
      <w:r w:rsidRPr="00F06274">
        <w:rPr>
          <w:rFonts w:ascii="Palatino Linotype" w:eastAsia="Palatino Linotype" w:hAnsi="Palatino Linotype" w:cs="Palatino Linotype"/>
          <w:b/>
          <w:color w:val="000000" w:themeColor="text1"/>
        </w:rPr>
        <w:t>RECURRENTE</w:t>
      </w:r>
      <w:r w:rsidRPr="00F06274">
        <w:rPr>
          <w:rFonts w:ascii="Palatino Linotype" w:eastAsia="Palatino Linotype" w:hAnsi="Palatino Linotype" w:cs="Palatino Linotype"/>
          <w:color w:val="000000" w:themeColor="text1"/>
        </w:rPr>
        <w:t xml:space="preserve"> presentó su inconformidad el </w:t>
      </w:r>
      <w:r w:rsidR="00EB1F8F" w:rsidRPr="00F06274">
        <w:rPr>
          <w:rFonts w:ascii="Palatino Linotype" w:eastAsia="Palatino Linotype" w:hAnsi="Palatino Linotype" w:cs="Palatino Linotype"/>
          <w:b/>
          <w:color w:val="000000" w:themeColor="text1"/>
        </w:rPr>
        <w:t xml:space="preserve">veintiséis de junio </w:t>
      </w:r>
      <w:r w:rsidRPr="00F06274">
        <w:rPr>
          <w:rFonts w:ascii="Palatino Linotype" w:eastAsia="Palatino Linotype" w:hAnsi="Palatino Linotype" w:cs="Palatino Linotype"/>
          <w:b/>
          <w:color w:val="000000" w:themeColor="text1"/>
        </w:rPr>
        <w:t>de dos mil veinticinco</w:t>
      </w:r>
      <w:r w:rsidRPr="00F06274">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B1F8F" w:rsidRPr="00F06274" w:rsidRDefault="00EB1F8F" w:rsidP="00F06274">
      <w:pPr>
        <w:numPr>
          <w:ilvl w:val="0"/>
          <w:numId w:val="11"/>
        </w:numPr>
        <w:spacing w:line="360" w:lineRule="auto"/>
        <w:contextualSpacing/>
        <w:jc w:val="both"/>
        <w:rPr>
          <w:rFonts w:ascii="Palatino Linotype" w:eastAsiaTheme="minorEastAsia" w:hAnsi="Palatino Linotype"/>
          <w:color w:val="000000" w:themeColor="text1"/>
          <w:lang w:eastAsia="es-ES"/>
        </w:rPr>
      </w:pPr>
      <w:r w:rsidRPr="00F06274">
        <w:rPr>
          <w:rFonts w:ascii="Palatino Linotype" w:eastAsia="Calibri" w:hAnsi="Palatino Linotype" w:cs="Arial"/>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w:t>
      </w:r>
      <w:r w:rsidRPr="00F06274">
        <w:rPr>
          <w:rFonts w:ascii="Palatino Linotype" w:eastAsia="Calibri" w:hAnsi="Palatino Linotype" w:cs="Arial"/>
          <w:color w:val="000000" w:themeColor="text1"/>
        </w:rPr>
        <w:lastRenderedPageBreak/>
        <w:t>Acceso a la Información Pública del Estado de México y Municipios que establece lo siguiente:</w:t>
      </w:r>
    </w:p>
    <w:p w:rsidR="00EB1F8F" w:rsidRPr="00F06274" w:rsidRDefault="00EB1F8F" w:rsidP="00F06274">
      <w:pPr>
        <w:pStyle w:val="Prrafodelista"/>
        <w:tabs>
          <w:tab w:val="left" w:pos="7655"/>
        </w:tabs>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r w:rsidRPr="00F06274">
        <w:rPr>
          <w:rFonts w:ascii="Palatino Linotype" w:eastAsia="Palatino Linotype" w:hAnsi="Palatino Linotype" w:cs="Palatino Linotype"/>
          <w:b/>
          <w:i/>
          <w:color w:val="000000" w:themeColor="text1"/>
        </w:rPr>
        <w:t>Las solicitudes anónimas</w:t>
      </w:r>
      <w:r w:rsidRPr="00F06274">
        <w:rPr>
          <w:rFonts w:ascii="Palatino Linotype" w:eastAsia="Palatino Linotype" w:hAnsi="Palatino Linotype" w:cs="Palatino Linotype"/>
          <w:i/>
          <w:color w:val="000000" w:themeColor="text1"/>
        </w:rPr>
        <w:t xml:space="preserve">, con nombre incompleto o seudónimo </w:t>
      </w:r>
      <w:r w:rsidRPr="00F06274">
        <w:rPr>
          <w:rFonts w:ascii="Palatino Linotype" w:eastAsia="Palatino Linotype" w:hAnsi="Palatino Linotype" w:cs="Palatino Linotype"/>
          <w:b/>
          <w:i/>
          <w:color w:val="000000" w:themeColor="text1"/>
        </w:rPr>
        <w:t>serán procedentes para su trámite por parte del sujeto obligado ante quien se presente</w:t>
      </w:r>
      <w:r w:rsidRPr="00F06274">
        <w:rPr>
          <w:rFonts w:ascii="Palatino Linotype" w:eastAsia="Palatino Linotype" w:hAnsi="Palatino Linotype" w:cs="Palatino Linotype"/>
          <w:i/>
          <w:color w:val="000000" w:themeColor="text1"/>
        </w:rPr>
        <w:t>. No podrá requerirse información adicional con motivo del nombre proporcionado por el solicitante."</w:t>
      </w:r>
    </w:p>
    <w:p w:rsidR="00EB1F8F" w:rsidRPr="00F06274" w:rsidRDefault="00EB1F8F" w:rsidP="00F06274">
      <w:pPr>
        <w:pStyle w:val="Prrafodelista"/>
        <w:ind w:left="0"/>
        <w:rPr>
          <w:rFonts w:ascii="Palatino Linotype" w:eastAsiaTheme="minorEastAsia" w:hAnsi="Palatino Linotype"/>
          <w:color w:val="000000" w:themeColor="text1"/>
          <w:lang w:eastAsia="es-ES"/>
        </w:rPr>
      </w:pPr>
    </w:p>
    <w:p w:rsidR="00EB1F8F" w:rsidRPr="00F06274" w:rsidRDefault="00EB1F8F" w:rsidP="00F06274">
      <w:pPr>
        <w:pStyle w:val="Prrafodelista"/>
        <w:numPr>
          <w:ilvl w:val="0"/>
          <w:numId w:val="11"/>
        </w:numPr>
        <w:spacing w:line="360" w:lineRule="auto"/>
        <w:jc w:val="both"/>
        <w:rPr>
          <w:rFonts w:ascii="Palatino Linotype" w:eastAsia="Calibri" w:hAnsi="Palatino Linotype" w:cs="Arial"/>
          <w:color w:val="000000" w:themeColor="text1"/>
        </w:rPr>
      </w:pPr>
      <w:r w:rsidRPr="00F06274">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r w:rsidRPr="00F06274">
        <w:rPr>
          <w:rFonts w:ascii="Palatino Linotype" w:eastAsia="Palatino Linotype" w:hAnsi="Palatino Linotype" w:cs="Palatino Linotype"/>
          <w:b/>
          <w:i/>
          <w:color w:val="000000" w:themeColor="text1"/>
        </w:rPr>
        <w:t>Artículo 6.-</w:t>
      </w:r>
      <w:r w:rsidRPr="00F06274">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Para efectos de lo dispuesto en el presente artículo se observará lo siguiente:</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F06274">
        <w:rPr>
          <w:rFonts w:ascii="Palatino Linotype" w:eastAsia="Palatino Linotype" w:hAnsi="Palatino Linotype" w:cs="Palatino Linotype"/>
          <w:color w:val="000000" w:themeColor="text1"/>
        </w:rPr>
        <w:t>(Sic)</w:t>
      </w:r>
    </w:p>
    <w:p w:rsidR="00EB1F8F" w:rsidRPr="00F06274" w:rsidRDefault="00EB1F8F" w:rsidP="00F06274">
      <w:pPr>
        <w:pStyle w:val="Prrafodelista"/>
        <w:spacing w:line="360" w:lineRule="auto"/>
        <w:ind w:left="0"/>
        <w:jc w:val="both"/>
        <w:rPr>
          <w:rFonts w:ascii="Palatino Linotype" w:eastAsia="Calibri" w:hAnsi="Palatino Linotype" w:cs="Arial"/>
          <w:color w:val="000000" w:themeColor="text1"/>
        </w:rPr>
      </w:pPr>
    </w:p>
    <w:p w:rsidR="00EB1F8F" w:rsidRPr="00F06274" w:rsidRDefault="00EB1F8F" w:rsidP="00F06274">
      <w:pPr>
        <w:pStyle w:val="Prrafodelista"/>
        <w:numPr>
          <w:ilvl w:val="0"/>
          <w:numId w:val="11"/>
        </w:numPr>
        <w:spacing w:line="360" w:lineRule="auto"/>
        <w:jc w:val="both"/>
        <w:rPr>
          <w:rFonts w:ascii="Palatino Linotype" w:eastAsia="Calibri" w:hAnsi="Palatino Linotype" w:cs="Arial"/>
          <w:color w:val="000000" w:themeColor="text1"/>
        </w:rPr>
      </w:pPr>
      <w:r w:rsidRPr="00F06274">
        <w:rPr>
          <w:rFonts w:ascii="Palatino Linotype" w:eastAsia="Calibri" w:hAnsi="Palatino Linotype" w:cs="Arial"/>
          <w:color w:val="000000" w:themeColor="text1"/>
        </w:rPr>
        <w:t>Así como el artículo 5 fracción III, párrafo vigésimo noveno, trigésimo y trigésimo primero, de la Constitución Política del Estado Libre y Soberano de México, que determina lo siguiente:</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r w:rsidRPr="00F06274">
        <w:rPr>
          <w:rFonts w:ascii="Palatino Linotype" w:eastAsia="Palatino Linotype" w:hAnsi="Palatino Linotype" w:cs="Palatino Linotype"/>
          <w:b/>
          <w:i/>
          <w:color w:val="000000" w:themeColor="text1"/>
        </w:rPr>
        <w:t>Artículo 5.-</w:t>
      </w:r>
      <w:r w:rsidRPr="00F06274">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lastRenderedPageBreak/>
        <w:t>Toda persona en el Estado de México, tiene derecho al libre acceso a la información plural y oportuna, así como a buscar recibir y difundir información e ideas de toda índole por cualquier medio de expresión.</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06274">
        <w:rPr>
          <w:rFonts w:ascii="Palatino Linotype" w:eastAsia="Palatino Linotype" w:hAnsi="Palatino Linotype" w:cs="Palatino Linotype"/>
          <w:color w:val="000000" w:themeColor="text1"/>
        </w:rPr>
        <w:t>(Sic)</w:t>
      </w:r>
    </w:p>
    <w:p w:rsidR="00EB1F8F" w:rsidRDefault="00EB1F8F" w:rsidP="00F06274">
      <w:pPr>
        <w:tabs>
          <w:tab w:val="left" w:pos="7655"/>
        </w:tabs>
        <w:jc w:val="both"/>
        <w:rPr>
          <w:rFonts w:ascii="Palatino Linotype" w:eastAsia="Palatino Linotype" w:hAnsi="Palatino Linotype" w:cs="Palatino Linotype"/>
          <w:i/>
          <w:color w:val="000000" w:themeColor="text1"/>
        </w:rPr>
      </w:pPr>
    </w:p>
    <w:p w:rsidR="00B21C39" w:rsidRPr="00F06274" w:rsidRDefault="00B21C39" w:rsidP="00F06274">
      <w:pPr>
        <w:tabs>
          <w:tab w:val="left" w:pos="7655"/>
        </w:tabs>
        <w:jc w:val="both"/>
        <w:rPr>
          <w:rFonts w:ascii="Palatino Linotype" w:eastAsia="Palatino Linotype" w:hAnsi="Palatino Linotype" w:cs="Palatino Linotype"/>
          <w:i/>
          <w:color w:val="000000" w:themeColor="text1"/>
        </w:rPr>
      </w:pPr>
    </w:p>
    <w:p w:rsidR="00EB1F8F" w:rsidRPr="00F06274" w:rsidRDefault="00EB1F8F" w:rsidP="00F06274">
      <w:pPr>
        <w:pStyle w:val="Prrafodelista"/>
        <w:numPr>
          <w:ilvl w:val="0"/>
          <w:numId w:val="11"/>
        </w:numPr>
        <w:spacing w:line="360" w:lineRule="auto"/>
        <w:jc w:val="both"/>
        <w:rPr>
          <w:rFonts w:ascii="Palatino Linotype" w:eastAsia="Calibri" w:hAnsi="Palatino Linotype" w:cs="Arial"/>
          <w:color w:val="000000" w:themeColor="text1"/>
        </w:rPr>
      </w:pPr>
      <w:r w:rsidRPr="00F06274">
        <w:rPr>
          <w:rFonts w:ascii="Palatino Linotype" w:eastAsia="Calibri" w:hAnsi="Palatino Linotype" w:cs="Arial"/>
          <w:color w:val="000000" w:themeColor="text1"/>
        </w:rPr>
        <w:t>Por otra parte, del contenido del artículo 1 de la Constitución Política de los Estados Unidos mexicanos, se destaca lo siguiente:</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r w:rsidRPr="00F06274">
        <w:rPr>
          <w:rFonts w:ascii="Palatino Linotype" w:eastAsia="Palatino Linotype" w:hAnsi="Palatino Linotype" w:cs="Palatino Linotype"/>
          <w:b/>
          <w:i/>
          <w:color w:val="000000" w:themeColor="text1"/>
        </w:rPr>
        <w:t>Artículo 1</w:t>
      </w:r>
      <w:r w:rsidRPr="00F06274">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EB1F8F" w:rsidRPr="00F06274" w:rsidRDefault="00EB1F8F" w:rsidP="00F06274">
      <w:pPr>
        <w:pStyle w:val="Prrafodelista"/>
        <w:ind w:left="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B1F8F" w:rsidRPr="00F06274" w:rsidRDefault="00EB1F8F" w:rsidP="00F06274">
      <w:pPr>
        <w:numPr>
          <w:ilvl w:val="0"/>
          <w:numId w:val="11"/>
        </w:numPr>
        <w:spacing w:line="360" w:lineRule="auto"/>
        <w:jc w:val="both"/>
        <w:rPr>
          <w:rFonts w:ascii="Palatino Linotype" w:eastAsia="Calibri" w:hAnsi="Palatino Linotype" w:cs="Arial"/>
          <w:color w:val="000000" w:themeColor="text1"/>
        </w:rPr>
      </w:pPr>
      <w:r w:rsidRPr="00F06274">
        <w:rPr>
          <w:rFonts w:ascii="Palatino Linotype" w:eastAsia="Calibri" w:hAnsi="Palatino Linotype" w:cs="Arial"/>
          <w:color w:val="000000" w:themeColor="text1"/>
        </w:rPr>
        <w:lastRenderedPageBreak/>
        <w:t>Esto es, que el derecho humano de acceso a la información pública, se aprecia que toda persona, sin necesidad de acreditar interés alguno o justificar su interposición, deberá tener acceso a la información pública, es decir, dicho</w:t>
      </w:r>
      <w:r w:rsidRPr="00F06274">
        <w:rPr>
          <w:rFonts w:ascii="Palatino Linotype" w:eastAsia="Palatino Linotype" w:hAnsi="Palatino Linotype" w:cs="Palatino Linotype"/>
          <w:color w:val="000000" w:themeColor="text1"/>
          <w:lang w:val="es-ES" w:eastAsia="en-US"/>
        </w:rPr>
        <w:t xml:space="preserve"> </w:t>
      </w:r>
      <w:r w:rsidRPr="00F06274">
        <w:rPr>
          <w:rFonts w:ascii="Palatino Linotype" w:eastAsia="Palatino Linotype" w:hAnsi="Palatino Linotype" w:cs="Palatino Linotype"/>
          <w:i/>
          <w:color w:val="000000" w:themeColor="text1"/>
          <w:lang w:val="es-ES" w:eastAsia="en-US"/>
        </w:rPr>
        <w:t>derecho fundamental exime a quien lo ejerce</w:t>
      </w:r>
      <w:r w:rsidRPr="00F06274">
        <w:rPr>
          <w:rFonts w:ascii="Palatino Linotype" w:eastAsia="Palatino Linotype" w:hAnsi="Palatino Linotype" w:cs="Palatino Linotype"/>
          <w:color w:val="000000" w:themeColor="text1"/>
          <w:lang w:val="es-ES" w:eastAsia="en-US"/>
        </w:rPr>
        <w:t xml:space="preserve">, </w:t>
      </w:r>
      <w:r w:rsidRPr="00F06274">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B1F8F" w:rsidRPr="00F06274" w:rsidRDefault="00EB1F8F" w:rsidP="00F06274">
      <w:pPr>
        <w:spacing w:line="360" w:lineRule="auto"/>
        <w:contextualSpacing/>
        <w:jc w:val="both"/>
        <w:rPr>
          <w:rFonts w:ascii="Palatino Linotype" w:eastAsia="Calibri" w:hAnsi="Palatino Linotype" w:cs="Arial"/>
          <w:b/>
          <w:color w:val="000000" w:themeColor="text1"/>
        </w:rPr>
      </w:pPr>
    </w:p>
    <w:p w:rsidR="00EB1F8F" w:rsidRPr="00F06274" w:rsidRDefault="00EB1F8F" w:rsidP="00F06274">
      <w:pPr>
        <w:numPr>
          <w:ilvl w:val="0"/>
          <w:numId w:val="11"/>
        </w:numPr>
        <w:spacing w:line="360" w:lineRule="auto"/>
        <w:jc w:val="both"/>
        <w:rPr>
          <w:rFonts w:ascii="Palatino Linotype" w:eastAsia="Calibri" w:hAnsi="Palatino Linotype" w:cs="Arial"/>
          <w:color w:val="000000" w:themeColor="text1"/>
        </w:rPr>
      </w:pPr>
      <w:r w:rsidRPr="00F06274">
        <w:rPr>
          <w:rFonts w:ascii="Palatino Linotype" w:eastAsia="Calibri" w:hAnsi="Palatino Linotype" w:cs="Arial"/>
          <w:color w:val="000000" w:themeColor="text1"/>
        </w:rPr>
        <w:t xml:space="preserve">En consecuencia, dado lo expuesto y fundado con anterioridad, se estima que el requisito relativo al nombre del </w:t>
      </w:r>
      <w:r w:rsidRPr="00F06274">
        <w:rPr>
          <w:rFonts w:ascii="Palatino Linotype" w:eastAsia="Calibri" w:hAnsi="Palatino Linotype" w:cs="Arial"/>
          <w:b/>
          <w:color w:val="000000" w:themeColor="text1"/>
        </w:rPr>
        <w:t>RECURRENTE</w:t>
      </w:r>
      <w:r w:rsidRPr="00F06274">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EB1F8F" w:rsidRPr="00F06274" w:rsidRDefault="00EB1F8F" w:rsidP="00F06274">
      <w:pPr>
        <w:spacing w:line="360" w:lineRule="auto"/>
        <w:jc w:val="both"/>
        <w:rPr>
          <w:rFonts w:ascii="Palatino Linotype" w:eastAsia="Palatino Linotype" w:hAnsi="Palatino Linotype" w:cs="Palatino Linotype"/>
          <w:b/>
          <w:color w:val="000000" w:themeColor="text1"/>
        </w:rPr>
      </w:pPr>
    </w:p>
    <w:p w:rsidR="00337BEB" w:rsidRPr="00F06274" w:rsidRDefault="000B245E" w:rsidP="00F06274">
      <w:pPr>
        <w:numPr>
          <w:ilvl w:val="0"/>
          <w:numId w:val="11"/>
        </w:numPr>
        <w:spacing w:line="360" w:lineRule="auto"/>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color w:val="000000" w:themeColor="text1"/>
        </w:rPr>
        <w:t xml:space="preserve">Consecuentemente, el escrito contiene las formalidades previstas por el artículo 180 último párrafo de la Ley de la materia actual, por lo que es procedente que este Instituto </w:t>
      </w:r>
      <w:r w:rsidRPr="00F06274">
        <w:rPr>
          <w:rFonts w:ascii="Palatino Linotype" w:eastAsia="Palatino Linotype" w:hAnsi="Palatino Linotype" w:cs="Palatino Linotype"/>
          <w:color w:val="000000" w:themeColor="text1"/>
        </w:rPr>
        <w:lastRenderedPageBreak/>
        <w:t>de Transparencia, Acceso a la Información Pública y Protección de Datos Personales del Estado de México y Municipios, conozca y resuelva el presente recurso.</w:t>
      </w:r>
    </w:p>
    <w:p w:rsidR="00337BEB" w:rsidRPr="00F06274" w:rsidRDefault="00337BEB" w:rsidP="00F06274">
      <w:pPr>
        <w:spacing w:line="360" w:lineRule="auto"/>
        <w:rPr>
          <w:rFonts w:ascii="Palatino Linotype" w:eastAsia="Palatino Linotype" w:hAnsi="Palatino Linotype" w:cs="Palatino Linotype"/>
          <w:color w:val="000000" w:themeColor="text1"/>
        </w:rPr>
      </w:pPr>
    </w:p>
    <w:p w:rsidR="00337BEB" w:rsidRPr="00F06274" w:rsidRDefault="000B245E" w:rsidP="00F06274">
      <w:pPr>
        <w:pStyle w:val="Ttulo1"/>
        <w:spacing w:before="0" w:line="360" w:lineRule="auto"/>
        <w:rPr>
          <w:szCs w:val="24"/>
        </w:rPr>
      </w:pPr>
      <w:r w:rsidRPr="00F06274">
        <w:rPr>
          <w:szCs w:val="24"/>
        </w:rPr>
        <w:t xml:space="preserve">TERCERO. Del planteamiento de la </w:t>
      </w:r>
      <w:r w:rsidRPr="00F06274">
        <w:rPr>
          <w:i/>
          <w:szCs w:val="24"/>
        </w:rPr>
        <w:t>Litis</w:t>
      </w:r>
      <w:r w:rsidRPr="00F06274">
        <w:rPr>
          <w:szCs w:val="24"/>
        </w:rPr>
        <w:t>.</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color w:val="000000" w:themeColor="text1"/>
        </w:rPr>
        <w:t xml:space="preserve">De las constancias que integran el expediente al rubro indicado, se desprende que el particular solicitó </w:t>
      </w:r>
      <w:r w:rsidR="00F77106" w:rsidRPr="00F06274">
        <w:rPr>
          <w:rFonts w:ascii="Palatino Linotype" w:eastAsia="Palatino Linotype" w:hAnsi="Palatino Linotype" w:cs="Palatino Linotype"/>
          <w:b/>
          <w:color w:val="000000" w:themeColor="text1"/>
        </w:rPr>
        <w:t>los recibos de nómina de todo el personal del Ayuntamiento correspondientes a la primera y segunda quincena de abril y primera quincena de mayo de dos mil veinticinco</w:t>
      </w:r>
    </w:p>
    <w:p w:rsidR="00337BEB" w:rsidRPr="00F06274" w:rsidRDefault="00337BEB" w:rsidP="00F06274">
      <w:pPr>
        <w:pBdr>
          <w:top w:val="nil"/>
          <w:left w:val="nil"/>
          <w:bottom w:val="nil"/>
          <w:right w:val="nil"/>
          <w:between w:val="nil"/>
        </w:pBdr>
        <w:jc w:val="both"/>
        <w:rPr>
          <w:rFonts w:ascii="Palatino Linotype" w:eastAsia="Palatino Linotype" w:hAnsi="Palatino Linotype" w:cs="Palatino Linotype"/>
          <w:i/>
          <w:color w:val="000000" w:themeColor="text1"/>
        </w:rPr>
      </w:pPr>
    </w:p>
    <w:p w:rsidR="00337BEB" w:rsidRPr="00F06274" w:rsidRDefault="000B245E" w:rsidP="00F0627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respuesta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ofreció cambio de modalidad, indicando que la entrega o reproducción sobrepasa las capacidades técnicas, administrativas y humanas de los sujetos obligados, por lo que se pone a disposición l</w:t>
      </w:r>
      <w:r w:rsidR="00F77106" w:rsidRPr="00F06274">
        <w:rPr>
          <w:rFonts w:ascii="Palatino Linotype" w:eastAsia="Palatino Linotype" w:hAnsi="Palatino Linotype" w:cs="Palatino Linotype"/>
          <w:color w:val="000000" w:themeColor="text1"/>
        </w:rPr>
        <w:t xml:space="preserve">os documentos para su consulta directa, toda vez que la información que se pretende entregar comprende un peso de </w:t>
      </w:r>
      <w:r w:rsidR="00F77106" w:rsidRPr="00F06274">
        <w:rPr>
          <w:rFonts w:ascii="Palatino Linotype" w:eastAsia="Palatino Linotype" w:hAnsi="Palatino Linotype" w:cs="Palatino Linotype"/>
          <w:b/>
          <w:color w:val="000000" w:themeColor="text1"/>
        </w:rPr>
        <w:t>1.3 GB.</w:t>
      </w:r>
    </w:p>
    <w:p w:rsidR="00337BEB" w:rsidRPr="00F06274" w:rsidRDefault="00337BEB" w:rsidP="00F0627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Inconforme con la respuesta proporcionada, el </w:t>
      </w:r>
      <w:r w:rsidRPr="00F06274">
        <w:rPr>
          <w:rFonts w:ascii="Palatino Linotype" w:eastAsia="Palatino Linotype" w:hAnsi="Palatino Linotype" w:cs="Palatino Linotype"/>
          <w:b/>
          <w:color w:val="000000" w:themeColor="text1"/>
        </w:rPr>
        <w:t xml:space="preserve">RECURRENTE </w:t>
      </w:r>
      <w:r w:rsidRPr="00F06274">
        <w:rPr>
          <w:rFonts w:ascii="Palatino Linotype" w:eastAsia="Palatino Linotype" w:hAnsi="Palatino Linotype" w:cs="Palatino Linotype"/>
          <w:color w:val="000000" w:themeColor="text1"/>
        </w:rPr>
        <w:t xml:space="preserve">interpuso recurso de revisión arguyendo </w:t>
      </w:r>
      <w:r w:rsidR="00F77106" w:rsidRPr="00F06274">
        <w:rPr>
          <w:rFonts w:ascii="Palatino Linotype" w:eastAsia="Palatino Linotype" w:hAnsi="Palatino Linotype" w:cs="Palatino Linotype"/>
          <w:i/>
          <w:color w:val="000000" w:themeColor="text1"/>
        </w:rPr>
        <w:t>la negativa de la entrega de la información</w:t>
      </w:r>
    </w:p>
    <w:p w:rsidR="00337BEB" w:rsidRPr="00F06274" w:rsidRDefault="00337BEB" w:rsidP="00F06274">
      <w:pPr>
        <w:pBdr>
          <w:top w:val="nil"/>
          <w:left w:val="nil"/>
          <w:bottom w:val="nil"/>
          <w:right w:val="nil"/>
          <w:between w:val="nil"/>
        </w:pBdr>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color w:val="000000" w:themeColor="text1"/>
        </w:rPr>
        <w:t xml:space="preserve">En dichas condiciones, la </w:t>
      </w:r>
      <w:r w:rsidRPr="00F06274">
        <w:rPr>
          <w:rFonts w:ascii="Palatino Linotype" w:eastAsia="Palatino Linotype" w:hAnsi="Palatino Linotype" w:cs="Palatino Linotype"/>
          <w:i/>
          <w:color w:val="000000" w:themeColor="text1"/>
        </w:rPr>
        <w:t>Litis</w:t>
      </w:r>
      <w:r w:rsidRPr="00F06274">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F77106" w:rsidRPr="00F06274">
        <w:rPr>
          <w:rFonts w:ascii="Palatino Linotype" w:eastAsia="Palatino Linotype" w:hAnsi="Palatino Linotype" w:cs="Palatino Linotype"/>
          <w:b/>
          <w:color w:val="000000" w:themeColor="text1"/>
        </w:rPr>
        <w:t xml:space="preserve">fracción </w:t>
      </w:r>
      <w:r w:rsidRPr="00F06274">
        <w:rPr>
          <w:rFonts w:ascii="Palatino Linotype" w:eastAsia="Palatino Linotype" w:hAnsi="Palatino Linotype" w:cs="Palatino Linotype"/>
          <w:b/>
          <w:color w:val="000000" w:themeColor="text1"/>
        </w:rPr>
        <w:t xml:space="preserve">I </w:t>
      </w:r>
      <w:r w:rsidRPr="00F06274">
        <w:rPr>
          <w:rFonts w:ascii="Palatino Linotype" w:eastAsia="Palatino Linotype" w:hAnsi="Palatino Linotype" w:cs="Palatino Linotype"/>
          <w:color w:val="000000" w:themeColor="text1"/>
        </w:rPr>
        <w:t>de la Ley</w:t>
      </w:r>
      <w:r w:rsidRPr="00F06274">
        <w:rPr>
          <w:rFonts w:ascii="Palatino Linotype" w:eastAsia="Palatino Linotype" w:hAnsi="Palatino Linotype" w:cs="Palatino Linotype"/>
          <w:b/>
          <w:color w:val="000000" w:themeColor="text1"/>
        </w:rPr>
        <w:t xml:space="preserve"> de Transparencia y Acceso a la Información Pública del Estado de </w:t>
      </w:r>
      <w:r w:rsidRPr="00F06274">
        <w:rPr>
          <w:rFonts w:ascii="Palatino Linotype" w:eastAsia="Palatino Linotype" w:hAnsi="Palatino Linotype" w:cs="Palatino Linotype"/>
          <w:color w:val="000000" w:themeColor="text1"/>
        </w:rPr>
        <w:t>México</w:t>
      </w:r>
      <w:r w:rsidRPr="00F06274">
        <w:rPr>
          <w:rFonts w:ascii="Palatino Linotype" w:eastAsia="Palatino Linotype" w:hAnsi="Palatino Linotype" w:cs="Palatino Linotype"/>
          <w:b/>
          <w:color w:val="000000" w:themeColor="text1"/>
        </w:rPr>
        <w:t xml:space="preserve"> y Municipios</w:t>
      </w:r>
      <w:r w:rsidRPr="00F06274">
        <w:rPr>
          <w:rFonts w:ascii="Palatino Linotype" w:eastAsia="Palatino Linotype" w:hAnsi="Palatino Linotype" w:cs="Palatino Linotype"/>
          <w:color w:val="000000" w:themeColor="text1"/>
        </w:rPr>
        <w:t xml:space="preserve">; fracción que determina la hipótesis jurídica relativa a la </w:t>
      </w:r>
      <w:r w:rsidR="00F77106" w:rsidRPr="00F06274">
        <w:rPr>
          <w:rFonts w:ascii="Palatino Linotype" w:eastAsia="Palatino Linotype" w:hAnsi="Palatino Linotype" w:cs="Palatino Linotype"/>
          <w:b/>
          <w:color w:val="000000" w:themeColor="text1"/>
        </w:rPr>
        <w:t xml:space="preserve">negativa de la entrega de la información </w:t>
      </w:r>
      <w:r w:rsidRPr="00F06274">
        <w:rPr>
          <w:rFonts w:ascii="Palatino Linotype" w:eastAsia="Palatino Linotype" w:hAnsi="Palatino Linotype" w:cs="Palatino Linotype"/>
          <w:color w:val="000000" w:themeColor="text1"/>
        </w:rPr>
        <w:t xml:space="preserve">por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contexto del cual se dolió </w:t>
      </w:r>
      <w:r w:rsidRPr="00F06274">
        <w:rPr>
          <w:rFonts w:ascii="Palatino Linotype" w:eastAsia="Palatino Linotype" w:hAnsi="Palatino Linotype" w:cs="Palatino Linotype"/>
          <w:b/>
          <w:color w:val="000000" w:themeColor="text1"/>
        </w:rPr>
        <w:t xml:space="preserve">EL RECURRENTE </w:t>
      </w:r>
      <w:r w:rsidRPr="00F06274">
        <w:rPr>
          <w:rFonts w:ascii="Palatino Linotype" w:eastAsia="Palatino Linotype" w:hAnsi="Palatino Linotype" w:cs="Palatino Linotype"/>
          <w:color w:val="000000" w:themeColor="text1"/>
        </w:rPr>
        <w:t>al momento de interponer su inconformidad.</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con su respuesta ciertamente actualizan las causales de procedencia</w:t>
      </w:r>
      <w:r w:rsidRPr="00F06274">
        <w:rPr>
          <w:rFonts w:ascii="Palatino Linotype" w:eastAsia="Palatino Linotype" w:hAnsi="Palatino Linotype" w:cs="Palatino Linotype"/>
          <w:b/>
          <w:color w:val="000000" w:themeColor="text1"/>
        </w:rPr>
        <w:t xml:space="preserve"> </w:t>
      </w:r>
      <w:r w:rsidRPr="00F06274">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pStyle w:val="Ttulo1"/>
        <w:spacing w:before="0" w:line="360" w:lineRule="auto"/>
        <w:rPr>
          <w:b w:val="0"/>
          <w:szCs w:val="24"/>
        </w:rPr>
      </w:pPr>
      <w:r w:rsidRPr="00F06274">
        <w:rPr>
          <w:szCs w:val="24"/>
        </w:rPr>
        <w:t>CUARTO. Del estudio y resolución del asunto.</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Acotada la </w:t>
      </w:r>
      <w:r w:rsidRPr="00F06274">
        <w:rPr>
          <w:rFonts w:ascii="Palatino Linotype" w:eastAsia="Palatino Linotype" w:hAnsi="Palatino Linotype" w:cs="Palatino Linotype"/>
          <w:i/>
          <w:color w:val="000000" w:themeColor="text1"/>
        </w:rPr>
        <w:t>Litis</w:t>
      </w:r>
      <w:r w:rsidRPr="00F06274">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337BEB" w:rsidRPr="00F06274" w:rsidRDefault="00337BEB" w:rsidP="00F062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37BEB" w:rsidRPr="00F06274" w:rsidRDefault="00337BEB" w:rsidP="00F0627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37BEB" w:rsidRPr="00F06274" w:rsidRDefault="00337BEB" w:rsidP="00F06274">
      <w:pPr>
        <w:spacing w:line="360" w:lineRule="auto"/>
        <w:rPr>
          <w:rFonts w:ascii="Palatino Linotype" w:eastAsia="Palatino Linotype" w:hAnsi="Palatino Linotype" w:cs="Palatino Linotype"/>
          <w:color w:val="000000" w:themeColor="text1"/>
        </w:rPr>
      </w:pPr>
    </w:p>
    <w:p w:rsidR="00337BEB" w:rsidRPr="00F06274" w:rsidRDefault="000B245E" w:rsidP="00F06274">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Estudio de fondo</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Acotada la </w:t>
      </w:r>
      <w:r w:rsidRPr="00F06274">
        <w:rPr>
          <w:rFonts w:ascii="Palatino Linotype" w:eastAsia="Palatino Linotype" w:hAnsi="Palatino Linotype" w:cs="Palatino Linotype"/>
          <w:i/>
          <w:color w:val="000000" w:themeColor="text1"/>
        </w:rPr>
        <w:t>Litis</w:t>
      </w:r>
      <w:r w:rsidRPr="00F06274">
        <w:rPr>
          <w:rFonts w:ascii="Palatino Linotype" w:eastAsia="Palatino Linotype" w:hAnsi="Palatino Linotype" w:cs="Palatino Linotype"/>
          <w:color w:val="000000" w:themeColor="text1"/>
        </w:rPr>
        <w:t xml:space="preserve"> del presente asunto, es de recordar que la respuesta versó en realizar un cambio de modalidad de entrega de la información a </w:t>
      </w:r>
      <w:r w:rsidRPr="00F06274">
        <w:rPr>
          <w:rFonts w:ascii="Palatino Linotype" w:eastAsia="Palatino Linotype" w:hAnsi="Palatino Linotype" w:cs="Palatino Linotype"/>
          <w:b/>
          <w:color w:val="000000" w:themeColor="text1"/>
        </w:rPr>
        <w:t>consulta directa</w:t>
      </w:r>
      <w:r w:rsidRPr="00F06274">
        <w:rPr>
          <w:rFonts w:ascii="Palatino Linotype" w:eastAsia="Palatino Linotype" w:hAnsi="Palatino Linotype" w:cs="Palatino Linotype"/>
          <w:color w:val="000000" w:themeColor="text1"/>
        </w:rPr>
        <w:t xml:space="preserve">, sin embargo no adjuntan el Acta de Comité que sustenta dicho cambio, ni mucho menos existe evidencia de que hayan </w:t>
      </w:r>
      <w:r w:rsidR="00F77106" w:rsidRPr="00F06274">
        <w:rPr>
          <w:rFonts w:ascii="Palatino Linotype" w:eastAsia="Palatino Linotype" w:hAnsi="Palatino Linotype" w:cs="Palatino Linotype"/>
          <w:color w:val="000000" w:themeColor="text1"/>
        </w:rPr>
        <w:t>realizado</w:t>
      </w:r>
      <w:r w:rsidRPr="00F06274">
        <w:rPr>
          <w:rFonts w:ascii="Palatino Linotype" w:eastAsia="Palatino Linotype" w:hAnsi="Palatino Linotype" w:cs="Palatino Linotype"/>
          <w:color w:val="000000" w:themeColor="text1"/>
        </w:rPr>
        <w:t xml:space="preserve"> la validación ante la Dirección d</w:t>
      </w:r>
      <w:r w:rsidR="00F77106" w:rsidRPr="00F06274">
        <w:rPr>
          <w:rFonts w:ascii="Palatino Linotype" w:eastAsia="Palatino Linotype" w:hAnsi="Palatino Linotype" w:cs="Palatino Linotype"/>
          <w:color w:val="000000" w:themeColor="text1"/>
        </w:rPr>
        <w:t>e Informática de este Instituto; así mismo, no informa la cantidad de fojas que conforman los documentos a entregar, ni ofrece las diversas modalidades de entrega de la información.</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Primeramente resulta necesario referir que,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asume de manera expresa que genera, posee y administra lo solicitado, tan es así que refiere que </w:t>
      </w:r>
      <w:r w:rsidRPr="00F06274">
        <w:rPr>
          <w:rFonts w:ascii="Palatino Linotype" w:eastAsia="Palatino Linotype" w:hAnsi="Palatino Linotype" w:cs="Palatino Linotype"/>
          <w:color w:val="000000" w:themeColor="text1"/>
        </w:rPr>
        <w:lastRenderedPageBreak/>
        <w:t xml:space="preserve">dicha documentación sobrepasa la cantidad permitida por SAIMEX, por lo que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ofrece al particular que la consulta sea directa con las formalidades que ya han sido precisadas en líneas anteriores.</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Al respecto es de suma importancia aclarar que el </w:t>
      </w:r>
      <w:r w:rsidRPr="00F06274">
        <w:rPr>
          <w:rFonts w:ascii="Palatino Linotype" w:eastAsia="Palatino Linotype" w:hAnsi="Palatino Linotype" w:cs="Palatino Linotype"/>
          <w:b/>
          <w:color w:val="000000" w:themeColor="text1"/>
        </w:rPr>
        <w:t>SUEJTO OBLIGADO</w:t>
      </w:r>
      <w:r w:rsidRPr="00F06274">
        <w:rPr>
          <w:rFonts w:ascii="Palatino Linotype" w:eastAsia="Palatino Linotype" w:hAnsi="Palatino Linotype" w:cs="Palatino Linotype"/>
          <w:color w:val="000000" w:themeColor="text1"/>
        </w:rPr>
        <w:t>, señaló que el particular podría acudir a la consulta directa de l</w:t>
      </w:r>
      <w:r w:rsidR="00F77106" w:rsidRPr="00F06274">
        <w:rPr>
          <w:rFonts w:ascii="Palatino Linotype" w:eastAsia="Palatino Linotype" w:hAnsi="Palatino Linotype" w:cs="Palatino Linotype"/>
          <w:color w:val="000000" w:themeColor="text1"/>
        </w:rPr>
        <w:t>os</w:t>
      </w:r>
      <w:r w:rsidRPr="00F06274">
        <w:rPr>
          <w:rFonts w:ascii="Palatino Linotype" w:eastAsia="Palatino Linotype" w:hAnsi="Palatino Linotype" w:cs="Palatino Linotype"/>
          <w:color w:val="000000" w:themeColor="text1"/>
        </w:rPr>
        <w:t xml:space="preserve"> </w:t>
      </w:r>
      <w:r w:rsidR="00F77106" w:rsidRPr="00F06274">
        <w:rPr>
          <w:rFonts w:ascii="Palatino Linotype" w:eastAsia="Palatino Linotype" w:hAnsi="Palatino Linotype" w:cs="Palatino Linotype"/>
          <w:color w:val="000000" w:themeColor="text1"/>
        </w:rPr>
        <w:t xml:space="preserve">Recibos </w:t>
      </w:r>
      <w:r w:rsidRPr="00F06274">
        <w:rPr>
          <w:rFonts w:ascii="Palatino Linotype" w:eastAsia="Palatino Linotype" w:hAnsi="Palatino Linotype" w:cs="Palatino Linotype"/>
          <w:color w:val="000000" w:themeColor="text1"/>
        </w:rPr>
        <w:t xml:space="preserve">de Nómina correspondiente a la primera y segunda quincena del mes de </w:t>
      </w:r>
      <w:r w:rsidR="00F77106" w:rsidRPr="00F06274">
        <w:rPr>
          <w:rFonts w:ascii="Palatino Linotype" w:eastAsia="Palatino Linotype" w:hAnsi="Palatino Linotype" w:cs="Palatino Linotype"/>
          <w:color w:val="000000" w:themeColor="text1"/>
        </w:rPr>
        <w:t xml:space="preserve">abril y primera quincena de mayo </w:t>
      </w:r>
      <w:r w:rsidRPr="00F06274">
        <w:rPr>
          <w:rFonts w:ascii="Palatino Linotype" w:eastAsia="Palatino Linotype" w:hAnsi="Palatino Linotype" w:cs="Palatino Linotype"/>
          <w:color w:val="000000" w:themeColor="text1"/>
        </w:rPr>
        <w:t xml:space="preserve">de dos mil </w:t>
      </w:r>
      <w:r w:rsidR="00F77106" w:rsidRPr="00F06274">
        <w:rPr>
          <w:rFonts w:ascii="Palatino Linotype" w:eastAsia="Palatino Linotype" w:hAnsi="Palatino Linotype" w:cs="Palatino Linotype"/>
          <w:color w:val="000000" w:themeColor="text1"/>
        </w:rPr>
        <w:t>veinticinco</w:t>
      </w:r>
      <w:r w:rsidRPr="00F06274">
        <w:rPr>
          <w:rFonts w:ascii="Palatino Linotype" w:eastAsia="Palatino Linotype" w:hAnsi="Palatino Linotype" w:cs="Palatino Linotype"/>
          <w:color w:val="000000" w:themeColor="text1"/>
        </w:rPr>
        <w:t>, toda vez que</w:t>
      </w:r>
      <w:r w:rsidR="00EB4509" w:rsidRPr="00F06274">
        <w:rPr>
          <w:rFonts w:ascii="Palatino Linotype" w:eastAsia="Palatino Linotype" w:hAnsi="Palatino Linotype" w:cs="Palatino Linotype"/>
          <w:color w:val="000000" w:themeColor="text1"/>
        </w:rPr>
        <w:t xml:space="preserve"> la</w:t>
      </w:r>
      <w:r w:rsidRPr="00F06274">
        <w:rPr>
          <w:rFonts w:ascii="Palatino Linotype" w:eastAsia="Palatino Linotype" w:hAnsi="Palatino Linotype" w:cs="Palatino Linotype"/>
          <w:color w:val="000000" w:themeColor="text1"/>
        </w:rPr>
        <w:t xml:space="preserve"> entrega o reproducción sobrepasa las capacidades técnicas, administrativas y humanas del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manifestar que pone a disposición la información en consulta directa, este reconoce contar con la misma. </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efecto, el hecho de que </w:t>
      </w:r>
      <w:r w:rsidRPr="00F06274">
        <w:rPr>
          <w:rFonts w:ascii="Palatino Linotype" w:eastAsia="Palatino Linotype" w:hAnsi="Palatino Linotype" w:cs="Palatino Linotype"/>
          <w:b/>
          <w:color w:val="000000" w:themeColor="text1"/>
        </w:rPr>
        <w:t>EL SUJETO OBLIGADO</w:t>
      </w:r>
      <w:r w:rsidRPr="00F06274">
        <w:rPr>
          <w:rFonts w:ascii="Palatino Linotype" w:eastAsia="Palatino Linotype" w:hAnsi="Palatino Linotype" w:cs="Palatino Linotype"/>
          <w:color w:val="000000" w:themeColor="text1"/>
        </w:rPr>
        <w:t xml:space="preserve"> se haya pronunciado respecto de la información requerida por </w:t>
      </w:r>
      <w:r w:rsidRPr="00F06274">
        <w:rPr>
          <w:rFonts w:ascii="Palatino Linotype" w:eastAsia="Palatino Linotype" w:hAnsi="Palatino Linotype" w:cs="Palatino Linotype"/>
          <w:b/>
          <w:color w:val="000000" w:themeColor="text1"/>
        </w:rPr>
        <w:t>EL RECURRENTE</w:t>
      </w:r>
      <w:r w:rsidRPr="00F06274">
        <w:rPr>
          <w:rFonts w:ascii="Palatino Linotype" w:eastAsia="Palatino Linotype" w:hAnsi="Palatino Linotype" w:cs="Palatino Linotype"/>
          <w:color w:val="000000" w:themeColor="text1"/>
        </w:rPr>
        <w:t>, acepta que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En atención a ello es importante invocar el contenido del artículo 12 antes mencionado así como el 4 de la Ley de Transparencia y Acceso a la Información Pública del Estado de México y Municipios, mismos que son del tenor siguiente:</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i/>
          <w:color w:val="000000" w:themeColor="text1"/>
        </w:rPr>
        <w:lastRenderedPageBreak/>
        <w:t>“</w:t>
      </w:r>
      <w:r w:rsidRPr="00F06274">
        <w:rPr>
          <w:rFonts w:ascii="Palatino Linotype" w:eastAsia="Palatino Linotype" w:hAnsi="Palatino Linotype" w:cs="Palatino Linotype"/>
          <w:b/>
          <w:i/>
          <w:color w:val="000000" w:themeColor="text1"/>
        </w:rPr>
        <w:t>Artículo 4.</w:t>
      </w:r>
      <w:r w:rsidRPr="00F06274">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i/>
          <w:color w:val="000000" w:themeColor="text1"/>
        </w:rPr>
        <w:t>Toda la información generada, obtenida, adquirida, transformada, administrada o en posesión de los sujetos obligados es pública y accesible de manera permanente a cualquier persona</w:t>
      </w:r>
      <w:r w:rsidRPr="00F06274">
        <w:rPr>
          <w:rFonts w:ascii="Palatino Linotype" w:eastAsia="Palatino Linotype" w:hAnsi="Palatino Linotype" w:cs="Palatino Linotype"/>
          <w:i/>
          <w:color w:val="000000" w:themeColor="text1"/>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37BEB" w:rsidRPr="00F06274" w:rsidRDefault="00337BEB" w:rsidP="00F06274">
      <w:pPr>
        <w:spacing w:line="360" w:lineRule="auto"/>
        <w:rPr>
          <w:rFonts w:ascii="Palatino Linotype" w:eastAsia="Palatino Linotype" w:hAnsi="Palatino Linotype" w:cs="Palatino Linotype"/>
          <w:color w:val="000000" w:themeColor="text1"/>
        </w:rPr>
      </w:pP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i/>
          <w:color w:val="000000" w:themeColor="text1"/>
        </w:rPr>
        <w:t>Artículo 12.</w:t>
      </w:r>
      <w:r w:rsidRPr="00F06274">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F06274">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(Énfasis añadido)</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C952E1" w:rsidP="00F0627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lastRenderedPageBreak/>
        <w:t xml:space="preserve">Recibos de </w:t>
      </w:r>
      <w:r w:rsidR="000B245E" w:rsidRPr="00F06274">
        <w:rPr>
          <w:rFonts w:ascii="Palatino Linotype" w:eastAsia="Palatino Linotype" w:hAnsi="Palatino Linotype" w:cs="Palatino Linotype"/>
          <w:b/>
          <w:color w:val="000000" w:themeColor="text1"/>
        </w:rPr>
        <w:t>Nómina</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En ese sentido, sobre la nómina nos lleva a precisar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rsidR="00337BEB" w:rsidRPr="00F06274" w:rsidRDefault="000B245E" w:rsidP="00F06274">
      <w:pPr>
        <w:pBdr>
          <w:top w:val="nil"/>
          <w:left w:val="nil"/>
          <w:bottom w:val="nil"/>
          <w:right w:val="nil"/>
          <w:between w:val="nil"/>
        </w:pBdr>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b/>
          <w:i/>
          <w:color w:val="000000" w:themeColor="text1"/>
        </w:rPr>
        <w:t xml:space="preserve">“NÓMINA </w:t>
      </w:r>
      <w:r w:rsidRPr="00F06274">
        <w:rPr>
          <w:rFonts w:ascii="Palatino Linotype" w:eastAsia="Palatino Linotype" w:hAnsi="Palatino Linotype" w:cs="Palatino Linotype"/>
          <w:i/>
          <w:color w:val="000000" w:themeColor="text1"/>
        </w:rPr>
        <w:t>Listado general de los trabajadores de una institución, en</w:t>
      </w:r>
      <w:r w:rsidRPr="00F06274">
        <w:rPr>
          <w:rFonts w:ascii="Palatino Linotype" w:eastAsia="Palatino Linotype" w:hAnsi="Palatino Linotype" w:cs="Palatino Linotype"/>
          <w:b/>
          <w:i/>
          <w:color w:val="000000" w:themeColor="text1"/>
        </w:rPr>
        <w:t xml:space="preserve"> </w:t>
      </w:r>
      <w:r w:rsidRPr="00F06274">
        <w:rPr>
          <w:rFonts w:ascii="Palatino Linotype" w:eastAsia="Palatino Linotype" w:hAnsi="Palatino Linotype" w:cs="Palatino Linotype"/>
          <w:i/>
          <w:color w:val="000000" w:themeColor="text1"/>
        </w:rPr>
        <w:t>el cual se asientan las percepciones brutas, deducciones y</w:t>
      </w:r>
      <w:r w:rsidRPr="00F06274">
        <w:rPr>
          <w:rFonts w:ascii="Palatino Linotype" w:eastAsia="Palatino Linotype" w:hAnsi="Palatino Linotype" w:cs="Palatino Linotype"/>
          <w:b/>
          <w:i/>
          <w:color w:val="000000" w:themeColor="text1"/>
        </w:rPr>
        <w:t xml:space="preserve"> </w:t>
      </w:r>
      <w:r w:rsidRPr="00F06274">
        <w:rPr>
          <w:rFonts w:ascii="Palatino Linotype" w:eastAsia="Palatino Linotype" w:hAnsi="Palatino Linotype" w:cs="Palatino Linotype"/>
          <w:i/>
          <w:color w:val="000000" w:themeColor="text1"/>
        </w:rPr>
        <w:t>alcance neto de las mismas; la nómina es utilizada para</w:t>
      </w:r>
      <w:r w:rsidRPr="00F06274">
        <w:rPr>
          <w:rFonts w:ascii="Palatino Linotype" w:eastAsia="Palatino Linotype" w:hAnsi="Palatino Linotype" w:cs="Palatino Linotype"/>
          <w:b/>
          <w:i/>
          <w:color w:val="000000" w:themeColor="text1"/>
        </w:rPr>
        <w:t xml:space="preserve"> </w:t>
      </w:r>
      <w:r w:rsidRPr="00F06274">
        <w:rPr>
          <w:rFonts w:ascii="Palatino Linotype" w:eastAsia="Palatino Linotype" w:hAnsi="Palatino Linotype" w:cs="Palatino Linotype"/>
          <w:i/>
          <w:color w:val="000000" w:themeColor="text1"/>
        </w:rPr>
        <w:t>efectuar los pagos periódicos (semanales, quincenales o</w:t>
      </w:r>
      <w:r w:rsidRPr="00F06274">
        <w:rPr>
          <w:rFonts w:ascii="Palatino Linotype" w:eastAsia="Palatino Linotype" w:hAnsi="Palatino Linotype" w:cs="Palatino Linotype"/>
          <w:b/>
          <w:i/>
          <w:color w:val="000000" w:themeColor="text1"/>
        </w:rPr>
        <w:t xml:space="preserve"> </w:t>
      </w:r>
      <w:r w:rsidRPr="00F06274">
        <w:rPr>
          <w:rFonts w:ascii="Palatino Linotype" w:eastAsia="Palatino Linotype" w:hAnsi="Palatino Linotype" w:cs="Palatino Linotype"/>
          <w:i/>
          <w:color w:val="000000" w:themeColor="text1"/>
        </w:rPr>
        <w:t>mensuales) a los trabajadores por concepto de sueldos y</w:t>
      </w:r>
      <w:r w:rsidRPr="00F06274">
        <w:rPr>
          <w:rFonts w:ascii="Palatino Linotype" w:eastAsia="Palatino Linotype" w:hAnsi="Palatino Linotype" w:cs="Palatino Linotype"/>
          <w:b/>
          <w:i/>
          <w:color w:val="000000" w:themeColor="text1"/>
        </w:rPr>
        <w:t xml:space="preserve"> </w:t>
      </w:r>
      <w:r w:rsidRPr="00F06274">
        <w:rPr>
          <w:rFonts w:ascii="Palatino Linotype" w:eastAsia="Palatino Linotype" w:hAnsi="Palatino Linotype" w:cs="Palatino Linotype"/>
          <w:i/>
          <w:color w:val="000000" w:themeColor="text1"/>
        </w:rPr>
        <w:t>salarios.”(Sic)</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base a lo anterior, conviene a traer lo establecido por el artículo 804, fracción II, de la Ley Federal de Trabajo, el cual a la letra establece: </w:t>
      </w:r>
    </w:p>
    <w:p w:rsidR="00337BEB" w:rsidRPr="00F06274" w:rsidRDefault="000B245E" w:rsidP="00F06274">
      <w:pPr>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r w:rsidRPr="00F06274">
        <w:rPr>
          <w:rFonts w:ascii="Palatino Linotype" w:eastAsia="Palatino Linotype" w:hAnsi="Palatino Linotype" w:cs="Palatino Linotype"/>
          <w:b/>
          <w:i/>
          <w:color w:val="000000" w:themeColor="text1"/>
        </w:rPr>
        <w:t>Artículo 804.-</w:t>
      </w:r>
      <w:r w:rsidRPr="00F06274">
        <w:rPr>
          <w:rFonts w:ascii="Palatino Linotype" w:eastAsia="Palatino Linotype" w:hAnsi="Palatino Linotype" w:cs="Palatino Linotype"/>
          <w:i/>
          <w:color w:val="000000" w:themeColor="text1"/>
        </w:rPr>
        <w:t xml:space="preserve"> </w:t>
      </w:r>
      <w:r w:rsidRPr="00F06274">
        <w:rPr>
          <w:rFonts w:ascii="Palatino Linotype" w:eastAsia="Palatino Linotype" w:hAnsi="Palatino Linotype" w:cs="Palatino Linotype"/>
          <w:b/>
          <w:i/>
          <w:color w:val="000000" w:themeColor="text1"/>
        </w:rPr>
        <w:t>El patrón tiene obligación de conservar y exhibir en juicio los documentos que a continuación se precisan</w:t>
      </w:r>
      <w:r w:rsidRPr="00F06274">
        <w:rPr>
          <w:rFonts w:ascii="Palatino Linotype" w:eastAsia="Palatino Linotype" w:hAnsi="Palatino Linotype" w:cs="Palatino Linotype"/>
          <w:i/>
          <w:color w:val="000000" w:themeColor="text1"/>
        </w:rPr>
        <w:t>:</w:t>
      </w:r>
    </w:p>
    <w:p w:rsidR="00337BEB" w:rsidRPr="00F06274" w:rsidRDefault="00337BEB" w:rsidP="00F06274">
      <w:pPr>
        <w:jc w:val="both"/>
        <w:rPr>
          <w:rFonts w:ascii="Palatino Linotype" w:eastAsia="Palatino Linotype" w:hAnsi="Palatino Linotype" w:cs="Palatino Linotype"/>
          <w:i/>
          <w:color w:val="000000" w:themeColor="text1"/>
        </w:rPr>
      </w:pPr>
    </w:p>
    <w:p w:rsidR="00337BEB" w:rsidRPr="00F06274" w:rsidRDefault="000B245E" w:rsidP="00F06274">
      <w:pPr>
        <w:jc w:val="both"/>
        <w:rPr>
          <w:rFonts w:ascii="Palatino Linotype" w:eastAsia="Palatino Linotype" w:hAnsi="Palatino Linotype" w:cs="Palatino Linotype"/>
          <w:b/>
          <w:i/>
          <w:color w:val="000000" w:themeColor="text1"/>
        </w:rPr>
      </w:pPr>
      <w:r w:rsidRPr="00F06274">
        <w:rPr>
          <w:rFonts w:ascii="Palatino Linotype" w:eastAsia="Palatino Linotype" w:hAnsi="Palatino Linotype" w:cs="Palatino Linotype"/>
          <w:b/>
          <w:i/>
          <w:color w:val="000000" w:themeColor="text1"/>
        </w:rPr>
        <w:t>II.</w:t>
      </w:r>
      <w:r w:rsidRPr="00F06274">
        <w:rPr>
          <w:rFonts w:ascii="Palatino Linotype" w:eastAsia="Palatino Linotype" w:hAnsi="Palatino Linotype" w:cs="Palatino Linotype"/>
          <w:i/>
          <w:color w:val="000000" w:themeColor="text1"/>
        </w:rPr>
        <w:t xml:space="preserve"> </w:t>
      </w:r>
      <w:r w:rsidRPr="00F06274">
        <w:rPr>
          <w:rFonts w:ascii="Palatino Linotype" w:eastAsia="Palatino Linotype" w:hAnsi="Palatino Linotype" w:cs="Palatino Linotype"/>
          <w:b/>
          <w:i/>
          <w:color w:val="000000" w:themeColor="text1"/>
        </w:rPr>
        <w:t>Listas de raya o nómina de personal</w:t>
      </w:r>
      <w:r w:rsidRPr="00F06274">
        <w:rPr>
          <w:rFonts w:ascii="Palatino Linotype" w:eastAsia="Palatino Linotype" w:hAnsi="Palatino Linotype" w:cs="Palatino Linotype"/>
          <w:i/>
          <w:color w:val="000000" w:themeColor="text1"/>
        </w:rPr>
        <w:t xml:space="preserve">, </w:t>
      </w:r>
      <w:r w:rsidRPr="00F06274">
        <w:rPr>
          <w:rFonts w:ascii="Palatino Linotype" w:eastAsia="Palatino Linotype" w:hAnsi="Palatino Linotype" w:cs="Palatino Linotype"/>
          <w:b/>
          <w:i/>
          <w:color w:val="000000" w:themeColor="text1"/>
        </w:rPr>
        <w:t xml:space="preserve">cuando se lleven en el centro de trabajo; o recibos de pagos de salarios; </w:t>
      </w:r>
    </w:p>
    <w:p w:rsidR="00337BEB" w:rsidRPr="00F06274" w:rsidRDefault="000B245E" w:rsidP="00F06274">
      <w:pPr>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p>
    <w:p w:rsidR="00337BEB" w:rsidRPr="00F06274" w:rsidRDefault="000B245E" w:rsidP="00F06274">
      <w:pPr>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Los documentos señalados en la fracción I deberán conservarse mientras dure la relación laboral y hasta un año después; </w:t>
      </w:r>
      <w:r w:rsidRPr="00F06274">
        <w:rPr>
          <w:rFonts w:ascii="Palatino Linotype" w:eastAsia="Palatino Linotype" w:hAnsi="Palatino Linotype" w:cs="Palatino Linotype"/>
          <w:b/>
          <w:i/>
          <w:color w:val="000000" w:themeColor="text1"/>
        </w:rPr>
        <w:t>los señalados en las fracciones II, III y IV, durante el último año y un año después de que se extinga la relación laboral</w:t>
      </w:r>
      <w:r w:rsidRPr="00F06274">
        <w:rPr>
          <w:rFonts w:ascii="Palatino Linotype" w:eastAsia="Palatino Linotype" w:hAnsi="Palatino Linotype" w:cs="Palatino Linotype"/>
          <w:i/>
          <w:color w:val="000000" w:themeColor="text1"/>
        </w:rPr>
        <w:t>; y los mencionados en la fracción V, conforme lo señalen las Leyes que los rijan.” (Sic)</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En ese contexto, tratándose de servidores públicos de los Municipios la Ley del Trabajo de los Servidores Públicos del Estado y Municipios, en su artículo 220-K, establece lo siguiente:</w:t>
      </w:r>
    </w:p>
    <w:p w:rsidR="00337BEB" w:rsidRPr="00F06274" w:rsidRDefault="000B245E" w:rsidP="00F06274">
      <w:pPr>
        <w:tabs>
          <w:tab w:val="left" w:pos="9072"/>
        </w:tabs>
        <w:spacing w:before="240"/>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b/>
          <w:i/>
          <w:color w:val="000000" w:themeColor="text1"/>
        </w:rPr>
        <w:t>“ARTÍCULO 220 K.-</w:t>
      </w:r>
      <w:r w:rsidRPr="00F06274">
        <w:rPr>
          <w:rFonts w:ascii="Palatino Linotype" w:eastAsia="Palatino Linotype" w:hAnsi="Palatino Linotype" w:cs="Palatino Linotype"/>
          <w:i/>
          <w:color w:val="000000" w:themeColor="text1"/>
        </w:rPr>
        <w:t xml:space="preserve"> La </w:t>
      </w:r>
      <w:r w:rsidRPr="00F06274">
        <w:rPr>
          <w:rFonts w:ascii="Palatino Linotype" w:eastAsia="Palatino Linotype" w:hAnsi="Palatino Linotype" w:cs="Palatino Linotype"/>
          <w:b/>
          <w:i/>
          <w:color w:val="000000" w:themeColor="text1"/>
        </w:rPr>
        <w:t>institución o dependencia pública tiene la obligación de conservar y exhibir en el proceso los documentos que a continuación</w:t>
      </w:r>
      <w:r w:rsidRPr="00F06274">
        <w:rPr>
          <w:rFonts w:ascii="Palatino Linotype" w:eastAsia="Palatino Linotype" w:hAnsi="Palatino Linotype" w:cs="Palatino Linotype"/>
          <w:i/>
          <w:color w:val="000000" w:themeColor="text1"/>
        </w:rPr>
        <w:t xml:space="preserve"> </w:t>
      </w:r>
      <w:r w:rsidRPr="00F06274">
        <w:rPr>
          <w:rFonts w:ascii="Palatino Linotype" w:eastAsia="Palatino Linotype" w:hAnsi="Palatino Linotype" w:cs="Palatino Linotype"/>
          <w:b/>
          <w:i/>
          <w:color w:val="000000" w:themeColor="text1"/>
        </w:rPr>
        <w:t>se precisan</w:t>
      </w:r>
      <w:r w:rsidRPr="00F06274">
        <w:rPr>
          <w:rFonts w:ascii="Palatino Linotype" w:eastAsia="Palatino Linotype" w:hAnsi="Palatino Linotype" w:cs="Palatino Linotype"/>
          <w:i/>
          <w:color w:val="000000" w:themeColor="text1"/>
        </w:rPr>
        <w:t>:</w:t>
      </w:r>
    </w:p>
    <w:p w:rsidR="00337BEB" w:rsidRPr="00F06274" w:rsidRDefault="000B245E" w:rsidP="00F06274">
      <w:pPr>
        <w:tabs>
          <w:tab w:val="left" w:pos="9072"/>
        </w:tabs>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p>
    <w:p w:rsidR="00337BEB" w:rsidRPr="00F06274" w:rsidRDefault="000B245E" w:rsidP="00F06274">
      <w:pPr>
        <w:tabs>
          <w:tab w:val="left" w:pos="9072"/>
        </w:tabs>
        <w:jc w:val="both"/>
        <w:rPr>
          <w:rFonts w:ascii="Palatino Linotype" w:eastAsia="Palatino Linotype" w:hAnsi="Palatino Linotype" w:cs="Palatino Linotype"/>
          <w:b/>
          <w:i/>
          <w:color w:val="000000" w:themeColor="text1"/>
        </w:rPr>
      </w:pPr>
      <w:r w:rsidRPr="00F06274">
        <w:rPr>
          <w:rFonts w:ascii="Palatino Linotype" w:eastAsia="Palatino Linotype" w:hAnsi="Palatino Linotype" w:cs="Palatino Linotype"/>
          <w:i/>
          <w:color w:val="000000" w:themeColor="text1"/>
        </w:rPr>
        <w:t xml:space="preserve">II. </w:t>
      </w:r>
      <w:r w:rsidRPr="00F06274">
        <w:rPr>
          <w:rFonts w:ascii="Palatino Linotype" w:eastAsia="Palatino Linotype" w:hAnsi="Palatino Linotype" w:cs="Palatino Linotype"/>
          <w:b/>
          <w:i/>
          <w:color w:val="000000" w:themeColor="text1"/>
        </w:rPr>
        <w:t>Recibos de pagos de salarios o</w:t>
      </w:r>
      <w:r w:rsidRPr="00F06274">
        <w:rPr>
          <w:rFonts w:ascii="Palatino Linotype" w:eastAsia="Palatino Linotype" w:hAnsi="Palatino Linotype" w:cs="Palatino Linotype"/>
          <w:i/>
          <w:color w:val="000000" w:themeColor="text1"/>
        </w:rPr>
        <w:t xml:space="preserve"> </w:t>
      </w:r>
      <w:r w:rsidRPr="00F06274">
        <w:rPr>
          <w:rFonts w:ascii="Palatino Linotype" w:eastAsia="Palatino Linotype" w:hAnsi="Palatino Linotype" w:cs="Palatino Linotype"/>
          <w:b/>
          <w:i/>
          <w:color w:val="000000" w:themeColor="text1"/>
        </w:rPr>
        <w:t>las constancias documentales del pago de salario</w:t>
      </w:r>
      <w:r w:rsidRPr="00F06274">
        <w:rPr>
          <w:rFonts w:ascii="Palatino Linotype" w:eastAsia="Palatino Linotype" w:hAnsi="Palatino Linotype" w:cs="Palatino Linotype"/>
          <w:i/>
          <w:color w:val="000000" w:themeColor="text1"/>
        </w:rPr>
        <w:t xml:space="preserve"> </w:t>
      </w:r>
      <w:r w:rsidRPr="00F06274">
        <w:rPr>
          <w:rFonts w:ascii="Palatino Linotype" w:eastAsia="Palatino Linotype" w:hAnsi="Palatino Linotype" w:cs="Palatino Linotype"/>
          <w:b/>
          <w:i/>
          <w:color w:val="000000" w:themeColor="text1"/>
        </w:rPr>
        <w:t xml:space="preserve">cuando </w:t>
      </w:r>
      <w:r w:rsidRPr="00F06274">
        <w:rPr>
          <w:rFonts w:ascii="Palatino Linotype" w:eastAsia="Palatino Linotype" w:hAnsi="Palatino Linotype" w:cs="Palatino Linotype"/>
          <w:b/>
          <w:i/>
          <w:color w:val="000000" w:themeColor="text1"/>
          <w:u w:val="single"/>
        </w:rPr>
        <w:t>sea por depósito o mediante información electrónica</w:t>
      </w:r>
      <w:r w:rsidRPr="00F06274">
        <w:rPr>
          <w:rFonts w:ascii="Palatino Linotype" w:eastAsia="Palatino Linotype" w:hAnsi="Palatino Linotype" w:cs="Palatino Linotype"/>
          <w:b/>
          <w:i/>
          <w:color w:val="000000" w:themeColor="text1"/>
        </w:rPr>
        <w:t>;</w:t>
      </w:r>
    </w:p>
    <w:p w:rsidR="00337BEB" w:rsidRPr="00F06274" w:rsidRDefault="000B245E" w:rsidP="00F06274">
      <w:pPr>
        <w:tabs>
          <w:tab w:val="left" w:pos="9072"/>
        </w:tabs>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w:t>
      </w:r>
    </w:p>
    <w:p w:rsidR="00337BEB" w:rsidRPr="00F06274" w:rsidRDefault="000B245E" w:rsidP="00F06274">
      <w:pPr>
        <w:tabs>
          <w:tab w:val="left" w:pos="9072"/>
        </w:tabs>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337BEB" w:rsidRPr="00F06274" w:rsidRDefault="000B245E" w:rsidP="00F06274">
      <w:pPr>
        <w:tabs>
          <w:tab w:val="left" w:pos="9072"/>
        </w:tabs>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 xml:space="preserve">Así mismo, del estudio, se colige que el Ayuntamiento de </w:t>
      </w:r>
      <w:r w:rsidR="007C2F36" w:rsidRPr="00F06274">
        <w:rPr>
          <w:rFonts w:ascii="Palatino Linotype" w:eastAsia="Palatino Linotype" w:hAnsi="Palatino Linotype" w:cs="Palatino Linotype"/>
          <w:color w:val="000000" w:themeColor="text1"/>
        </w:rPr>
        <w:t xml:space="preserve">Almoloya del Río </w:t>
      </w:r>
      <w:r w:rsidRPr="00F06274">
        <w:rPr>
          <w:rFonts w:ascii="Palatino Linotype" w:eastAsia="Palatino Linotype" w:hAnsi="Palatino Linotype" w:cs="Palatino Linotype"/>
          <w:color w:val="000000" w:themeColor="text1"/>
        </w:rPr>
        <w:t>cuen</w:t>
      </w:r>
      <w:r w:rsidR="007C2F36" w:rsidRPr="00F06274">
        <w:rPr>
          <w:rFonts w:ascii="Palatino Linotype" w:eastAsia="Palatino Linotype" w:hAnsi="Palatino Linotype" w:cs="Palatino Linotype"/>
          <w:color w:val="000000" w:themeColor="text1"/>
        </w:rPr>
        <w:t xml:space="preserve">ta dentro de su administración </w:t>
      </w:r>
      <w:r w:rsidRPr="00F06274">
        <w:rPr>
          <w:rFonts w:ascii="Palatino Linotype" w:eastAsia="Palatino Linotype" w:hAnsi="Palatino Linotype" w:cs="Palatino Linotype"/>
          <w:color w:val="000000" w:themeColor="text1"/>
        </w:rPr>
        <w:t>con la Dirección de Administración, quien d</w:t>
      </w:r>
      <w:r w:rsidR="007C2F36" w:rsidRPr="00F06274">
        <w:rPr>
          <w:rFonts w:ascii="Palatino Linotype" w:eastAsia="Palatino Linotype" w:hAnsi="Palatino Linotype" w:cs="Palatino Linotype"/>
          <w:color w:val="000000" w:themeColor="text1"/>
        </w:rPr>
        <w:t xml:space="preserve">e conformidad con el artículo </w:t>
      </w:r>
      <w:r w:rsidR="00FE6929" w:rsidRPr="00F06274">
        <w:rPr>
          <w:rFonts w:ascii="Palatino Linotype" w:eastAsia="Palatino Linotype" w:hAnsi="Palatino Linotype" w:cs="Palatino Linotype"/>
          <w:color w:val="000000" w:themeColor="text1"/>
        </w:rPr>
        <w:t>63</w:t>
      </w:r>
      <w:r w:rsidRPr="00F06274">
        <w:rPr>
          <w:rFonts w:ascii="Palatino Linotype" w:eastAsia="Palatino Linotype" w:hAnsi="Palatino Linotype" w:cs="Palatino Linotype"/>
          <w:color w:val="000000" w:themeColor="text1"/>
        </w:rPr>
        <w:t xml:space="preserve"> del Bando Municipal del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cuenta con las siguientes funciones:</w:t>
      </w:r>
    </w:p>
    <w:p w:rsidR="00337BEB" w:rsidRPr="00F06274" w:rsidRDefault="007C2F36" w:rsidP="00F06274">
      <w:pPr>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b/>
          <w:i/>
          <w:color w:val="000000" w:themeColor="text1"/>
        </w:rPr>
        <w:t xml:space="preserve">Artículo </w:t>
      </w:r>
      <w:r w:rsidR="00FE6929" w:rsidRPr="00F06274">
        <w:rPr>
          <w:rFonts w:ascii="Palatino Linotype" w:eastAsia="Palatino Linotype" w:hAnsi="Palatino Linotype" w:cs="Palatino Linotype"/>
          <w:b/>
          <w:i/>
          <w:color w:val="000000" w:themeColor="text1"/>
        </w:rPr>
        <w:t>63</w:t>
      </w:r>
      <w:r w:rsidR="000B245E" w:rsidRPr="00F06274">
        <w:rPr>
          <w:rFonts w:ascii="Palatino Linotype" w:eastAsia="Palatino Linotype" w:hAnsi="Palatino Linotype" w:cs="Palatino Linotype"/>
          <w:b/>
          <w:i/>
          <w:color w:val="000000" w:themeColor="text1"/>
        </w:rPr>
        <w:t>.-</w:t>
      </w:r>
      <w:r w:rsidR="000B245E" w:rsidRPr="00F06274">
        <w:rPr>
          <w:rFonts w:ascii="Palatino Linotype" w:eastAsia="Palatino Linotype" w:hAnsi="Palatino Linotype" w:cs="Palatino Linotype"/>
          <w:i/>
          <w:color w:val="000000" w:themeColor="text1"/>
        </w:rPr>
        <w:t xml:space="preserve"> </w:t>
      </w:r>
      <w:r w:rsidR="00FE6929" w:rsidRPr="00F06274">
        <w:rPr>
          <w:rFonts w:ascii="Palatino Linotype" w:eastAsia="Palatino Linotype" w:hAnsi="Palatino Linotype" w:cs="Palatino Linotype"/>
          <w:i/>
          <w:color w:val="000000" w:themeColor="text1"/>
        </w:rPr>
        <w:t>La Tesorería Municipal es la encargada de la gestión y administración financiera del Municipio. Su función principal es asegurar la correcta recaudación, custodia, manejo y aplicación de los recursos públicos locales, con el objetivo de garantizar que los fondos sean utilizados conforme a la legislación vigente y en beneficio del desarrollo y bienestar de la comunidad.</w:t>
      </w:r>
      <w:r w:rsidR="000B245E" w:rsidRPr="00F06274">
        <w:rPr>
          <w:rFonts w:ascii="Palatino Linotype" w:eastAsia="Palatino Linotype" w:hAnsi="Palatino Linotype" w:cs="Palatino Linotype"/>
          <w:i/>
          <w:color w:val="000000" w:themeColor="text1"/>
        </w:rPr>
        <w:t xml:space="preserve"> </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Así mismo, sirve como reforzamiento lo establecido en el </w:t>
      </w:r>
      <w:r w:rsidR="00FE6929" w:rsidRPr="00F06274">
        <w:rPr>
          <w:rFonts w:ascii="Palatino Linotype" w:eastAsia="Palatino Linotype" w:hAnsi="Palatino Linotype" w:cs="Palatino Linotype"/>
          <w:color w:val="000000" w:themeColor="text1"/>
        </w:rPr>
        <w:t>Manual de Organización de la Tesorería Municipal</w:t>
      </w:r>
      <w:r w:rsidRPr="00F06274">
        <w:rPr>
          <w:rFonts w:ascii="Palatino Linotype" w:eastAsia="Palatino Linotype" w:hAnsi="Palatino Linotype" w:cs="Palatino Linotype"/>
          <w:color w:val="000000" w:themeColor="text1"/>
        </w:rPr>
        <w:t xml:space="preserve">, el cual establece que la </w:t>
      </w:r>
      <w:r w:rsidR="00FE6929" w:rsidRPr="00F06274">
        <w:rPr>
          <w:rFonts w:ascii="Palatino Linotype" w:eastAsia="Palatino Linotype" w:hAnsi="Palatino Linotype" w:cs="Palatino Linotype"/>
          <w:color w:val="000000" w:themeColor="text1"/>
        </w:rPr>
        <w:t xml:space="preserve">Tesorería Municipal </w:t>
      </w:r>
      <w:r w:rsidRPr="00F06274">
        <w:rPr>
          <w:rFonts w:ascii="Palatino Linotype" w:eastAsia="Palatino Linotype" w:hAnsi="Palatino Linotype" w:cs="Palatino Linotype"/>
          <w:color w:val="000000" w:themeColor="text1"/>
        </w:rPr>
        <w:t xml:space="preserve">para el cumplimiento de sus funciones se auxiliara de la </w:t>
      </w:r>
      <w:r w:rsidR="00FE6929" w:rsidRPr="00F06274">
        <w:rPr>
          <w:rFonts w:ascii="Palatino Linotype" w:eastAsia="Palatino Linotype" w:hAnsi="Palatino Linotype" w:cs="Palatino Linotype"/>
          <w:color w:val="000000" w:themeColor="text1"/>
        </w:rPr>
        <w:t xml:space="preserve">Coordinación </w:t>
      </w:r>
      <w:r w:rsidRPr="00F06274">
        <w:rPr>
          <w:rFonts w:ascii="Palatino Linotype" w:eastAsia="Palatino Linotype" w:hAnsi="Palatino Linotype" w:cs="Palatino Linotype"/>
          <w:color w:val="000000" w:themeColor="text1"/>
        </w:rPr>
        <w:t>de Recursos Humanos, misma que tienen como atribuciones las siguientes:</w:t>
      </w:r>
    </w:p>
    <w:p w:rsidR="00FE6929" w:rsidRPr="00F06274" w:rsidRDefault="00FE6929" w:rsidP="00F06274">
      <w:pPr>
        <w:jc w:val="both"/>
        <w:rPr>
          <w:rFonts w:ascii="Palatino Linotype" w:hAnsi="Palatino Linotype"/>
          <w:i/>
          <w:color w:val="000000" w:themeColor="text1"/>
        </w:rPr>
      </w:pPr>
      <w:r w:rsidRPr="00F06274">
        <w:rPr>
          <w:rFonts w:ascii="Palatino Linotype" w:hAnsi="Palatino Linotype"/>
          <w:i/>
          <w:color w:val="000000" w:themeColor="text1"/>
        </w:rPr>
        <w:t xml:space="preserve">OBJETIVO: </w:t>
      </w:r>
    </w:p>
    <w:p w:rsidR="00FE6929" w:rsidRPr="00F06274" w:rsidRDefault="00FE6929" w:rsidP="00F06274">
      <w:pPr>
        <w:jc w:val="both"/>
        <w:rPr>
          <w:rFonts w:ascii="Palatino Linotype" w:eastAsia="Palatino Linotype" w:hAnsi="Palatino Linotype" w:cs="Palatino Linotype"/>
          <w:i/>
          <w:color w:val="000000" w:themeColor="text1"/>
        </w:rPr>
      </w:pPr>
      <w:r w:rsidRPr="00F06274">
        <w:rPr>
          <w:rFonts w:ascii="Palatino Linotype" w:hAnsi="Palatino Linotype"/>
          <w:i/>
          <w:color w:val="000000" w:themeColor="text1"/>
        </w:rPr>
        <w:t>Planear, organizar y supervisar que se apliquen correctamente las políticas, procedimientos y disposiciones jurídico-laborales, para el aprovechamiento óptimo, eficiente y racional de los recursos humanos; así como, mejorar y actualizar permanentemente los sistemas de administración y desarrollo del personal.</w:t>
      </w:r>
    </w:p>
    <w:p w:rsidR="00FE6929" w:rsidRPr="00F06274" w:rsidRDefault="00FE6929" w:rsidP="00F06274">
      <w:pPr>
        <w:jc w:val="both"/>
        <w:rPr>
          <w:rFonts w:ascii="Palatino Linotype" w:hAnsi="Palatino Linotype"/>
          <w:i/>
          <w:color w:val="000000" w:themeColor="text1"/>
        </w:rPr>
      </w:pPr>
      <w:r w:rsidRPr="00F06274">
        <w:rPr>
          <w:rFonts w:ascii="Palatino Linotype" w:hAnsi="Palatino Linotype"/>
          <w:i/>
          <w:color w:val="000000" w:themeColor="text1"/>
        </w:rPr>
        <w:t>FUNCIONES:</w:t>
      </w:r>
    </w:p>
    <w:p w:rsidR="00FE6929" w:rsidRPr="00F06274" w:rsidRDefault="00FE6929" w:rsidP="00F06274">
      <w:pPr>
        <w:jc w:val="both"/>
        <w:rPr>
          <w:rFonts w:ascii="Palatino Linotype" w:hAnsi="Palatino Linotype"/>
          <w:i/>
          <w:color w:val="000000" w:themeColor="text1"/>
        </w:rPr>
      </w:pPr>
      <w:r w:rsidRPr="00F06274">
        <w:rPr>
          <w:rFonts w:ascii="Palatino Linotype" w:hAnsi="Palatino Linotype"/>
          <w:i/>
          <w:color w:val="000000" w:themeColor="text1"/>
        </w:rPr>
        <w:t>- Coordinar la Administración y suministro de los recursos materiales, financieros, tecnológicos y humanos de la Coordinación;</w:t>
      </w:r>
    </w:p>
    <w:p w:rsidR="00DB639A" w:rsidRPr="00F06274" w:rsidRDefault="00DB639A" w:rsidP="00F06274">
      <w:pPr>
        <w:jc w:val="both"/>
        <w:rPr>
          <w:rFonts w:ascii="Palatino Linotype" w:eastAsia="Palatino Linotype" w:hAnsi="Palatino Linotype" w:cs="Palatino Linotype"/>
          <w:i/>
          <w:color w:val="000000" w:themeColor="text1"/>
        </w:rPr>
      </w:pPr>
      <w:r w:rsidRPr="00F06274">
        <w:rPr>
          <w:rFonts w:ascii="Palatino Linotype" w:hAnsi="Palatino Linotype"/>
          <w:i/>
          <w:color w:val="000000" w:themeColor="text1"/>
        </w:rPr>
        <w:t>- Someter, por conducto del Presidente Municipal a cabildo, el tabulador de sueldos y categorías de los servidores públicos para su aprobación;</w:t>
      </w:r>
    </w:p>
    <w:p w:rsidR="00FE6929" w:rsidRPr="00F06274" w:rsidRDefault="00DB639A" w:rsidP="00F06274">
      <w:pPr>
        <w:jc w:val="both"/>
        <w:rPr>
          <w:rFonts w:ascii="Palatino Linotype" w:eastAsia="Palatino Linotype" w:hAnsi="Palatino Linotype" w:cs="Palatino Linotype"/>
          <w:i/>
          <w:color w:val="000000" w:themeColor="text1"/>
        </w:rPr>
      </w:pPr>
      <w:r w:rsidRPr="00F06274">
        <w:rPr>
          <w:rFonts w:ascii="Palatino Linotype" w:hAnsi="Palatino Linotype"/>
          <w:i/>
          <w:color w:val="000000" w:themeColor="text1"/>
        </w:rPr>
        <w:t>- Someter a consideración del Presidente Municipal los nombramientos, sueldos, renuncias, licencias y jubilaciones de los servidores públicos de la administración pública municipal, atendiendo a la normatividad aplicable, con excepción de aquellos servidores públicos cuyo nombramiento sea determinado de manera distinta por otras disposiciones legales;</w:t>
      </w:r>
    </w:p>
    <w:p w:rsidR="00FE6929" w:rsidRPr="00F06274" w:rsidRDefault="00FE6929"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Como lo establece el artículo citado en el párrafo anterior la </w:t>
      </w:r>
      <w:r w:rsidR="00DB639A" w:rsidRPr="00F06274">
        <w:rPr>
          <w:rFonts w:ascii="Palatino Linotype" w:eastAsia="Palatino Linotype" w:hAnsi="Palatino Linotype" w:cs="Palatino Linotype"/>
          <w:color w:val="000000" w:themeColor="text1"/>
        </w:rPr>
        <w:t xml:space="preserve">Tesorería Municipal </w:t>
      </w:r>
      <w:r w:rsidRPr="00F06274">
        <w:rPr>
          <w:rFonts w:ascii="Palatino Linotype" w:eastAsia="Palatino Linotype" w:hAnsi="Palatino Linotype" w:cs="Palatino Linotype"/>
          <w:color w:val="000000" w:themeColor="text1"/>
        </w:rPr>
        <w:t xml:space="preserve">es </w:t>
      </w:r>
      <w:r w:rsidR="00DB639A" w:rsidRPr="00F06274">
        <w:rPr>
          <w:rFonts w:ascii="Palatino Linotype" w:eastAsia="Palatino Linotype" w:hAnsi="Palatino Linotype" w:cs="Palatino Linotype"/>
          <w:color w:val="000000" w:themeColor="text1"/>
        </w:rPr>
        <w:t xml:space="preserve">la </w:t>
      </w:r>
      <w:r w:rsidRPr="00F06274">
        <w:rPr>
          <w:rFonts w:ascii="Palatino Linotype" w:eastAsia="Palatino Linotype" w:hAnsi="Palatino Linotype" w:cs="Palatino Linotype"/>
          <w:color w:val="000000" w:themeColor="text1"/>
        </w:rPr>
        <w:t xml:space="preserve">responsable de la gestión del capital humano; además de supervisar la elaboración y </w:t>
      </w:r>
      <w:r w:rsidRPr="00F06274">
        <w:rPr>
          <w:rFonts w:ascii="Palatino Linotype" w:eastAsia="Palatino Linotype" w:hAnsi="Palatino Linotype" w:cs="Palatino Linotype"/>
          <w:color w:val="000000" w:themeColor="text1"/>
        </w:rPr>
        <w:lastRenderedPageBreak/>
        <w:t>distribución de la nómina, por tanto podría ser el área competente que posee la información solicitada por el particular.</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Por lo anterior se reconoce que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cuenta con la obligación de generar los documentos en donde conste la información requerida por el particular, siendo el documento idóneo, </w:t>
      </w:r>
      <w:r w:rsidR="00DB639A" w:rsidRPr="00F06274">
        <w:rPr>
          <w:rFonts w:ascii="Palatino Linotype" w:eastAsia="Palatino Linotype" w:hAnsi="Palatino Linotype" w:cs="Palatino Linotype"/>
          <w:color w:val="000000" w:themeColor="text1"/>
        </w:rPr>
        <w:t>los Recibos de Nómina</w:t>
      </w:r>
      <w:r w:rsidRPr="00F06274">
        <w:rPr>
          <w:rFonts w:ascii="Palatino Linotype" w:eastAsia="Palatino Linotype" w:hAnsi="Palatino Linotype" w:cs="Palatino Linotype"/>
          <w:color w:val="000000" w:themeColor="text1"/>
        </w:rPr>
        <w:t xml:space="preserve">. </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De lo anterior, se colige que </w:t>
      </w:r>
      <w:r w:rsidR="00DB639A" w:rsidRPr="00F06274">
        <w:rPr>
          <w:rFonts w:ascii="Palatino Linotype" w:eastAsia="Palatino Linotype" w:hAnsi="Palatino Linotype" w:cs="Palatino Linotype"/>
          <w:color w:val="000000" w:themeColor="text1"/>
        </w:rPr>
        <w:t>la Coordinación</w:t>
      </w:r>
      <w:r w:rsidRPr="00F06274">
        <w:rPr>
          <w:rFonts w:ascii="Palatino Linotype" w:eastAsia="Palatino Linotype" w:hAnsi="Palatino Linotype" w:cs="Palatino Linotype"/>
          <w:color w:val="000000" w:themeColor="text1"/>
        </w:rPr>
        <w:t xml:space="preserve"> de Recursos Humanos, debe elaborar y distribuir el pago de la nómina al personal que labora en ese Ayuntamiento, por lo que se traduce a que sí debe contar con </w:t>
      </w:r>
      <w:r w:rsidR="00DB639A" w:rsidRPr="00F06274">
        <w:rPr>
          <w:rFonts w:ascii="Palatino Linotype" w:eastAsia="Palatino Linotype" w:hAnsi="Palatino Linotype" w:cs="Palatino Linotype"/>
          <w:color w:val="000000" w:themeColor="text1"/>
        </w:rPr>
        <w:t>los Recibos de Nómina</w:t>
      </w:r>
      <w:r w:rsidRPr="00F06274">
        <w:rPr>
          <w:rFonts w:ascii="Palatino Linotype" w:eastAsia="Palatino Linotype" w:hAnsi="Palatino Linotype" w:cs="Palatino Linotype"/>
          <w:color w:val="000000" w:themeColor="text1"/>
        </w:rPr>
        <w:t>, tan es así que, en respuesta a la solicitud refirió poner a disposición del particular el documento solicitado; argumentando que debido a la cantidad de la documentación no puede remitirlo en la versión que lo requirió el solicitante.</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Precisado lo anterior, resulta viable establecer que a pesar de que el SUJETO OBLIGADO, cuenta con la información solicitada, este no garantizó el derecho de acceso a la información del particular, argumentando que el documento solicitado sobrepasa las capacidades técnicas, administrativas y humanas, sin embargo al considerar que solo se requirió </w:t>
      </w:r>
      <w:r w:rsidR="00EB4509" w:rsidRPr="00F06274">
        <w:rPr>
          <w:rFonts w:ascii="Palatino Linotype" w:eastAsia="Palatino Linotype" w:hAnsi="Palatino Linotype" w:cs="Palatino Linotype"/>
          <w:color w:val="000000" w:themeColor="text1"/>
        </w:rPr>
        <w:t>los recibos de</w:t>
      </w:r>
      <w:r w:rsidRPr="00F06274">
        <w:rPr>
          <w:rFonts w:ascii="Palatino Linotype" w:eastAsia="Palatino Linotype" w:hAnsi="Palatino Linotype" w:cs="Palatino Linotype"/>
          <w:color w:val="000000" w:themeColor="text1"/>
        </w:rPr>
        <w:t xml:space="preserve"> nómina correspondiente a la primera y segunda quincena del mes de </w:t>
      </w:r>
      <w:r w:rsidR="00EB4509" w:rsidRPr="00F06274">
        <w:rPr>
          <w:rFonts w:ascii="Palatino Linotype" w:eastAsia="Palatino Linotype" w:hAnsi="Palatino Linotype" w:cs="Palatino Linotype"/>
          <w:color w:val="000000" w:themeColor="text1"/>
        </w:rPr>
        <w:t xml:space="preserve">abril y a la primera quincena del mes de mayo </w:t>
      </w:r>
      <w:r w:rsidRPr="00F06274">
        <w:rPr>
          <w:rFonts w:ascii="Palatino Linotype" w:eastAsia="Palatino Linotype" w:hAnsi="Palatino Linotype" w:cs="Palatino Linotype"/>
          <w:color w:val="000000" w:themeColor="text1"/>
        </w:rPr>
        <w:t xml:space="preserve">de dos mil </w:t>
      </w:r>
      <w:r w:rsidR="00EB4509" w:rsidRPr="00F06274">
        <w:rPr>
          <w:rFonts w:ascii="Palatino Linotype" w:eastAsia="Palatino Linotype" w:hAnsi="Palatino Linotype" w:cs="Palatino Linotype"/>
          <w:color w:val="000000" w:themeColor="text1"/>
        </w:rPr>
        <w:t>veinticinco</w:t>
      </w:r>
      <w:r w:rsidRPr="00F06274">
        <w:rPr>
          <w:rFonts w:ascii="Palatino Linotype" w:eastAsia="Palatino Linotype" w:hAnsi="Palatino Linotype" w:cs="Palatino Linotype"/>
          <w:color w:val="000000" w:themeColor="text1"/>
        </w:rPr>
        <w:t>, es evidente que el documento requerido no rebasa la capacidad de 8,000 hojas permitido por el sistema SAIMEX; esto además, de que no realizó el reporte de incidencias ante la Dirección de Informática, específicamente en el área de so</w:t>
      </w:r>
      <w:r w:rsidR="00EB4509" w:rsidRPr="00F06274">
        <w:rPr>
          <w:rFonts w:ascii="Palatino Linotype" w:eastAsia="Palatino Linotype" w:hAnsi="Palatino Linotype" w:cs="Palatino Linotype"/>
          <w:color w:val="000000" w:themeColor="text1"/>
        </w:rPr>
        <w:t>porte técnico de este instituto</w:t>
      </w:r>
      <w:r w:rsidRPr="00F06274">
        <w:rPr>
          <w:rFonts w:ascii="Palatino Linotype" w:eastAsia="Palatino Linotype" w:hAnsi="Palatino Linotype" w:cs="Palatino Linotype"/>
          <w:color w:val="000000" w:themeColor="text1"/>
        </w:rPr>
        <w:t>.</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 xml:space="preserve">Es así, que el </w:t>
      </w:r>
      <w:r w:rsidRPr="00F06274">
        <w:rPr>
          <w:rFonts w:ascii="Palatino Linotype" w:eastAsia="Palatino Linotype" w:hAnsi="Palatino Linotype" w:cs="Palatino Linotype"/>
          <w:b/>
          <w:color w:val="000000" w:themeColor="text1"/>
        </w:rPr>
        <w:t xml:space="preserve">SUJETO OBLIGADO, </w:t>
      </w:r>
      <w:r w:rsidRPr="00F06274">
        <w:rPr>
          <w:rFonts w:ascii="Palatino Linotype" w:eastAsia="Palatino Linotype" w:hAnsi="Palatino Linotype" w:cs="Palatino Linotype"/>
          <w:color w:val="000000" w:themeColor="text1"/>
        </w:rPr>
        <w:t xml:space="preserve">hizo de conocimiento que la información que intenta subir rebasa las capacidades técnicas; sin embargo no menciona </w:t>
      </w:r>
      <w:r w:rsidR="00EB4509" w:rsidRPr="00F06274">
        <w:rPr>
          <w:rFonts w:ascii="Palatino Linotype" w:eastAsia="Palatino Linotype" w:hAnsi="Palatino Linotype" w:cs="Palatino Linotype"/>
          <w:color w:val="000000" w:themeColor="text1"/>
        </w:rPr>
        <w:t xml:space="preserve">la cantidad de fojas que confirman el </w:t>
      </w:r>
      <w:r w:rsidR="00EA1DFA" w:rsidRPr="00F06274">
        <w:rPr>
          <w:rFonts w:ascii="Palatino Linotype" w:eastAsia="Palatino Linotype" w:hAnsi="Palatino Linotype" w:cs="Palatino Linotype"/>
          <w:color w:val="000000" w:themeColor="text1"/>
        </w:rPr>
        <w:t>documento</w:t>
      </w:r>
      <w:r w:rsidR="00EB4509" w:rsidRPr="00F06274">
        <w:rPr>
          <w:rFonts w:ascii="Palatino Linotype" w:eastAsia="Palatino Linotype" w:hAnsi="Palatino Linotype" w:cs="Palatino Linotype"/>
          <w:color w:val="000000" w:themeColor="text1"/>
        </w:rPr>
        <w:t xml:space="preserve"> que pretende entregar, pues solo refiere que </w:t>
      </w:r>
      <w:r w:rsidRPr="00F06274">
        <w:rPr>
          <w:rFonts w:ascii="Palatino Linotype" w:eastAsia="Palatino Linotype" w:hAnsi="Palatino Linotype" w:cs="Palatino Linotype"/>
          <w:color w:val="000000" w:themeColor="text1"/>
        </w:rPr>
        <w:t>el peso</w:t>
      </w:r>
      <w:r w:rsidR="00EB4509" w:rsidRPr="00F06274">
        <w:rPr>
          <w:rFonts w:ascii="Palatino Linotype" w:eastAsia="Palatino Linotype" w:hAnsi="Palatino Linotype" w:cs="Palatino Linotype"/>
          <w:color w:val="000000" w:themeColor="text1"/>
        </w:rPr>
        <w:t xml:space="preserve"> comprende un aproximado de</w:t>
      </w:r>
      <w:r w:rsidRPr="00F06274">
        <w:rPr>
          <w:rFonts w:ascii="Palatino Linotype" w:eastAsia="Palatino Linotype" w:hAnsi="Palatino Linotype" w:cs="Palatino Linotype"/>
          <w:color w:val="000000" w:themeColor="text1"/>
        </w:rPr>
        <w:t xml:space="preserve"> en </w:t>
      </w:r>
      <w:r w:rsidR="00EB4509" w:rsidRPr="00F06274">
        <w:rPr>
          <w:rFonts w:ascii="Palatino Linotype" w:eastAsia="Palatino Linotype" w:hAnsi="Palatino Linotype" w:cs="Palatino Linotype"/>
          <w:b/>
          <w:color w:val="000000" w:themeColor="text1"/>
        </w:rPr>
        <w:t xml:space="preserve">1.3 </w:t>
      </w:r>
      <w:r w:rsidRPr="00F06274">
        <w:rPr>
          <w:rFonts w:ascii="Palatino Linotype" w:eastAsia="Palatino Linotype" w:hAnsi="Palatino Linotype" w:cs="Palatino Linotype"/>
          <w:b/>
          <w:color w:val="000000" w:themeColor="text1"/>
        </w:rPr>
        <w:t>MB</w:t>
      </w:r>
      <w:r w:rsidRPr="00F06274">
        <w:rPr>
          <w:rFonts w:ascii="Palatino Linotype" w:eastAsia="Palatino Linotype" w:hAnsi="Palatino Linotype" w:cs="Palatino Linotype"/>
          <w:color w:val="000000" w:themeColor="text1"/>
        </w:rPr>
        <w:t>, por tanto no proporciona la certeza jurídica para este Órgano Resolutor pueda confirmar el cambio de modalidad que se pretende hacer valer, ya que si bien es cierto, el documento solicitado no sobrepasa las capacidades utilizando la resolución sugerida de 150Dpi´s en escala de grises y formato PDF, extraído del escáner, lo que conlleva a poder hacer entrega de la información vía SAIMEX.</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37BEB" w:rsidRPr="00F06274" w:rsidRDefault="000B245E" w:rsidP="00F06274">
      <w:pPr>
        <w:numPr>
          <w:ilvl w:val="0"/>
          <w:numId w:val="1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En atención a lo anterior, resulta necesario precisar que, el peso máximo de archivos que soporta el SAIMEX para adjuntar como respuesta a las solicitudes de información tiene el soporte tecnológico para que se puedan adjuntar archivos con un peso aprox.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Derivado de todo lo anteriormente señalado, al no fundar y motivar el cambio de entrega de la información resulta dable ordenar la entrega de la información vía SAIMEX, de ser el caso de que la información que se </w:t>
      </w:r>
      <w:r w:rsidRPr="00F06274">
        <w:rPr>
          <w:rFonts w:ascii="Palatino Linotype" w:eastAsia="Palatino Linotype" w:hAnsi="Palatino Linotype" w:cs="Palatino Linotype"/>
          <w:b/>
          <w:color w:val="000000" w:themeColor="text1"/>
        </w:rPr>
        <w:t xml:space="preserve">ORDENA </w:t>
      </w:r>
      <w:r w:rsidRPr="00F06274">
        <w:rPr>
          <w:rFonts w:ascii="Palatino Linotype" w:eastAsia="Palatino Linotype" w:hAnsi="Palatino Linotype" w:cs="Palatino Linotype"/>
          <w:color w:val="000000" w:themeColor="text1"/>
        </w:rPr>
        <w:t xml:space="preserve">entregar contenga datos personales susceptibles de clasificarse como confidenciales,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estará a lo dispuesto en el Considerando que más adelante se enuncia.</w:t>
      </w:r>
    </w:p>
    <w:p w:rsidR="00337BEB" w:rsidRDefault="00337BEB" w:rsidP="00F06274">
      <w:pPr>
        <w:tabs>
          <w:tab w:val="left" w:pos="284"/>
        </w:tabs>
        <w:spacing w:line="360" w:lineRule="auto"/>
        <w:jc w:val="both"/>
        <w:rPr>
          <w:rFonts w:ascii="Palatino Linotype" w:eastAsia="Palatino Linotype" w:hAnsi="Palatino Linotype" w:cs="Palatino Linotype"/>
          <w:color w:val="000000" w:themeColor="text1"/>
        </w:rPr>
      </w:pPr>
    </w:p>
    <w:p w:rsidR="00B21C39" w:rsidRDefault="00B21C39" w:rsidP="00F06274">
      <w:pPr>
        <w:tabs>
          <w:tab w:val="left" w:pos="284"/>
        </w:tabs>
        <w:spacing w:line="360" w:lineRule="auto"/>
        <w:jc w:val="both"/>
        <w:rPr>
          <w:rFonts w:ascii="Palatino Linotype" w:eastAsia="Palatino Linotype" w:hAnsi="Palatino Linotype" w:cs="Palatino Linotype"/>
          <w:color w:val="000000" w:themeColor="text1"/>
        </w:rPr>
      </w:pPr>
    </w:p>
    <w:p w:rsidR="00B21C39" w:rsidRPr="00F06274" w:rsidRDefault="00B21C39" w:rsidP="00F06274">
      <w:pPr>
        <w:tabs>
          <w:tab w:val="left" w:pos="284"/>
        </w:tabs>
        <w:spacing w:line="360" w:lineRule="auto"/>
        <w:jc w:val="both"/>
        <w:rPr>
          <w:rFonts w:ascii="Palatino Linotype" w:eastAsia="Palatino Linotype" w:hAnsi="Palatino Linotype" w:cs="Palatino Linotype"/>
          <w:color w:val="000000" w:themeColor="text1"/>
        </w:rPr>
      </w:pPr>
    </w:p>
    <w:p w:rsidR="00EA1DFA" w:rsidRPr="00B21C39" w:rsidRDefault="00EA1DFA" w:rsidP="00F06274">
      <w:pPr>
        <w:pStyle w:val="Prrafodelista"/>
        <w:numPr>
          <w:ilvl w:val="0"/>
          <w:numId w:val="16"/>
        </w:numPr>
        <w:tabs>
          <w:tab w:val="left" w:pos="284"/>
        </w:tabs>
        <w:spacing w:line="360" w:lineRule="auto"/>
        <w:ind w:left="0" w:firstLine="0"/>
        <w:jc w:val="both"/>
        <w:rPr>
          <w:rFonts w:ascii="Palatino Linotype" w:eastAsia="Palatino Linotype" w:hAnsi="Palatino Linotype" w:cs="Palatino Linotype"/>
          <w:color w:val="000000" w:themeColor="text1"/>
        </w:rPr>
      </w:pPr>
      <w:r w:rsidRPr="00B21C39">
        <w:rPr>
          <w:rFonts w:ascii="Palatino Linotype" w:eastAsia="Palatino Linotype" w:hAnsi="Palatino Linotype" w:cs="Palatino Linotype"/>
          <w:b/>
          <w:color w:val="000000" w:themeColor="text1"/>
        </w:rPr>
        <w:lastRenderedPageBreak/>
        <w:t>De la información de Policías</w:t>
      </w: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En atención a que se observa que la información de la que se requiere acceso contiene información de los elementos de seguridad pública, es necesario señalar que las condiciones en las cuales se deberá entregar la información solicitada adquieren una especial naturaleza.</w:t>
      </w:r>
    </w:p>
    <w:p w:rsidR="00DB639A" w:rsidRPr="00F06274" w:rsidRDefault="00DB639A" w:rsidP="00F06274">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En efecto, este instituto advierte que otorgar acceso al nombre de policías operativos podría comprometer la integridad de los mismos, de conformidad con lo que establece el artículo 140 de la Ley de Transparencia y Acceso a la Información Pública del Estado de México y Municipios:</w:t>
      </w:r>
    </w:p>
    <w:p w:rsidR="00DB639A" w:rsidRPr="00F06274" w:rsidRDefault="00DB639A" w:rsidP="00B21C39">
      <w:pPr>
        <w:pStyle w:val="x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olor w:val="000000" w:themeColor="text1"/>
          <w:bdr w:val="none" w:sz="0" w:space="0" w:color="auto" w:frame="1"/>
        </w:rPr>
        <w:t> </w:t>
      </w:r>
      <w:r w:rsidRPr="00F06274">
        <w:rPr>
          <w:rFonts w:ascii="Palatino Linotype" w:hAnsi="Palatino Linotype" w:cs="Segoe UI"/>
          <w:b/>
          <w:bCs/>
          <w:i/>
          <w:iCs/>
          <w:color w:val="000000" w:themeColor="text1"/>
          <w:bdr w:val="none" w:sz="0" w:space="0" w:color="auto" w:frame="1"/>
        </w:rPr>
        <w:t>“Artículo 140.</w:t>
      </w:r>
      <w:r w:rsidRPr="00F06274">
        <w:rPr>
          <w:rFonts w:ascii="Palatino Linotype" w:hAnsi="Palatino Linotype" w:cs="Segoe UI"/>
          <w:i/>
          <w:iCs/>
          <w:color w:val="000000" w:themeColor="text1"/>
          <w:bdr w:val="none" w:sz="0" w:space="0" w:color="auto" w:frame="1"/>
        </w:rPr>
        <w:t> El acceso a la información pública será restringido excepcionalmente, cuando por razones de interés público, ésta sea clasificada como reservada, conforme a los criterios siguientes: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I. Comprometa la seguridad pública y cuente con un propósito genuino y un efecto demostrable;</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II. Pueda menoscabar la conducción de las negociaciones y relaciones internacionales;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IV. Ponga en riesgo la vida, la seguridad o la salud de una persona física;</w:t>
      </w:r>
    </w:p>
    <w:p w:rsidR="00DB639A" w:rsidRDefault="00DB639A" w:rsidP="00F06274">
      <w:pPr>
        <w:pStyle w:val="xgmail-msonormal"/>
        <w:shd w:val="clear" w:color="auto" w:fill="FFFFFF"/>
        <w:spacing w:before="0" w:beforeAutospacing="0" w:after="0" w:afterAutospacing="0"/>
        <w:jc w:val="both"/>
        <w:rPr>
          <w:rFonts w:ascii="Palatino Linotype" w:hAnsi="Palatino Linotype" w:cs="Segoe UI"/>
          <w:i/>
          <w:iCs/>
          <w:color w:val="000000" w:themeColor="text1"/>
          <w:bdr w:val="none" w:sz="0" w:space="0" w:color="auto" w:frame="1"/>
        </w:rPr>
      </w:pPr>
      <w:r w:rsidRPr="00F06274">
        <w:rPr>
          <w:rFonts w:ascii="Palatino Linotype" w:hAnsi="Palatino Linotype" w:cs="Segoe UI"/>
          <w:i/>
          <w:iCs/>
          <w:color w:val="000000" w:themeColor="text1"/>
          <w:bdr w:val="none" w:sz="0" w:space="0" w:color="auto" w:frame="1"/>
        </w:rPr>
        <w:t> (…)”</w:t>
      </w:r>
    </w:p>
    <w:p w:rsidR="00B21C39" w:rsidRDefault="00B21C39" w:rsidP="00F06274">
      <w:pPr>
        <w:pStyle w:val="xgmail-msonormal"/>
        <w:shd w:val="clear" w:color="auto" w:fill="FFFFFF"/>
        <w:spacing w:before="0" w:beforeAutospacing="0" w:after="0" w:afterAutospacing="0"/>
        <w:jc w:val="both"/>
        <w:rPr>
          <w:rFonts w:ascii="Palatino Linotype" w:hAnsi="Palatino Linotype" w:cs="Segoe UI"/>
          <w:i/>
          <w:iCs/>
          <w:color w:val="000000" w:themeColor="text1"/>
          <w:bdr w:val="none" w:sz="0" w:space="0" w:color="auto" w:frame="1"/>
        </w:rPr>
      </w:pPr>
    </w:p>
    <w:p w:rsidR="00B21C39" w:rsidRPr="00F06274" w:rsidRDefault="00B21C39"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En este contexto, este Pleno considera que dar a conocer los nombres de servidores públicos que realizan funciones en materia de seguridad, tal como es el caso de los policías, los vuelve identificables y posiblemente reconocibles para grupos delictivos; así, dicha información puede ser utilizada para </w:t>
      </w:r>
      <w:r w:rsidRPr="00F06274">
        <w:rPr>
          <w:rFonts w:ascii="Palatino Linotype" w:hAnsi="Palatino Linotype"/>
          <w:b/>
          <w:bCs/>
          <w:color w:val="000000" w:themeColor="text1"/>
          <w:bdr w:val="none" w:sz="0" w:space="0" w:color="auto" w:frame="1"/>
        </w:rPr>
        <w:t>vulnerar la vida, seguridad o salud de dichos elementos, incluso la de sus familias o entorno social, </w:t>
      </w:r>
      <w:r w:rsidRPr="00F06274">
        <w:rPr>
          <w:rFonts w:ascii="Palatino Linotype" w:hAnsi="Palatino Linotype"/>
          <w:color w:val="000000" w:themeColor="text1"/>
          <w:bdr w:val="none" w:sz="0" w:space="0" w:color="auto" w:frame="1"/>
        </w:rPr>
        <w:t xml:space="preserve">demás, de que aumenta el riesgo de que personas ajenas a los intereses institucionales e intenten realizar actos tendientes a </w:t>
      </w:r>
      <w:r w:rsidRPr="00F06274">
        <w:rPr>
          <w:rFonts w:ascii="Palatino Linotype" w:hAnsi="Palatino Linotype"/>
          <w:color w:val="000000" w:themeColor="text1"/>
          <w:bdr w:val="none" w:sz="0" w:space="0" w:color="auto" w:frame="1"/>
        </w:rPr>
        <w:lastRenderedPageBreak/>
        <w:t>inhibir o entrometerse en las funciones de los policías municipales, lo cual causaría una vulneración a la seguridad municipal.</w:t>
      </w:r>
    </w:p>
    <w:p w:rsidR="00DB639A" w:rsidRPr="00F06274" w:rsidRDefault="00DB639A" w:rsidP="00F06274">
      <w:pPr>
        <w:pStyle w:val="xmsonormal"/>
        <w:shd w:val="clear" w:color="auto" w:fill="FFFFFF"/>
        <w:spacing w:before="0" w:beforeAutospacing="0" w:after="0" w:afterAutospacing="0" w:line="360" w:lineRule="auto"/>
        <w:jc w:val="both"/>
        <w:rPr>
          <w:rFonts w:ascii="Palatino Linotype" w:hAnsi="Palatino Linotype"/>
          <w:color w:val="000000" w:themeColor="text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En ese sentido, el proporcionar el nombre de los elementos </w:t>
      </w:r>
      <w:r w:rsidRPr="00F06274">
        <w:rPr>
          <w:rStyle w:val="markxupqafu2i"/>
          <w:rFonts w:ascii="Palatino Linotype" w:hAnsi="Palatino Linotype"/>
          <w:color w:val="000000" w:themeColor="text1"/>
          <w:bdr w:val="none" w:sz="0" w:space="0" w:color="auto" w:frame="1"/>
        </w:rPr>
        <w:t>policia</w:t>
      </w:r>
      <w:r w:rsidRPr="00F06274">
        <w:rPr>
          <w:rFonts w:ascii="Palatino Linotype" w:hAnsi="Palatino Linotype"/>
          <w:color w:val="000000" w:themeColor="text1"/>
          <w:bdr w:val="none" w:sz="0" w:space="0" w:color="auto" w:frame="1"/>
        </w:rPr>
        <w:t>les operativos en la nómina general de la Dirección de Seguridad Pública y Vialidad Municipal, pone en riesgo de manera directa la vida y la seguridad de dicho servidor, siendo obligación de la Institución protegerla en todo momento para salvaguarda de sus integrantes.</w:t>
      </w:r>
    </w:p>
    <w:p w:rsidR="00DB639A" w:rsidRPr="00F06274" w:rsidRDefault="00DB639A" w:rsidP="00F06274">
      <w:pPr>
        <w:pStyle w:val="Prrafodelista"/>
        <w:ind w:left="0"/>
        <w:rPr>
          <w:rFonts w:ascii="Palatino Linotype" w:hAnsi="Palatino Linotype"/>
          <w:color w:val="000000" w:themeColor="text1"/>
          <w:bdr w:val="none" w:sz="0" w:space="0" w:color="auto" w:frame="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rsidR="00DB639A" w:rsidRPr="00F06274" w:rsidRDefault="00DB639A" w:rsidP="00F06274">
      <w:pPr>
        <w:pStyle w:val="Prrafodelista"/>
        <w:ind w:left="0"/>
        <w:rPr>
          <w:rFonts w:ascii="Palatino Linotype" w:hAnsi="Palatino Linotype"/>
          <w:color w:val="000000" w:themeColor="text1"/>
          <w:bdr w:val="none" w:sz="0" w:space="0" w:color="auto" w:frame="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F06274">
        <w:rPr>
          <w:rFonts w:ascii="Palatino Linotype" w:hAnsi="Palatino Linotype"/>
          <w:b/>
          <w:bCs/>
          <w:color w:val="000000" w:themeColor="text1"/>
          <w:bdr w:val="none" w:sz="0" w:space="0" w:color="auto" w:frame="1"/>
        </w:rPr>
        <w:t> SUJETO OBLIGADO</w:t>
      </w:r>
      <w:r w:rsidRPr="00F06274">
        <w:rPr>
          <w:rFonts w:ascii="Palatino Linotype" w:hAnsi="Palatino Linotype"/>
          <w:color w:val="000000" w:themeColor="text1"/>
          <w:bdr w:val="none" w:sz="0" w:space="0" w:color="auto" w:frame="1"/>
        </w:rPr>
        <w:t>, colocando en inminente riesgo la vida de todos los integrantes, menoscabando así las actividades de prevención del delito y combate a la delincuencia.</w:t>
      </w:r>
    </w:p>
    <w:p w:rsidR="00DB639A" w:rsidRPr="00F06274" w:rsidRDefault="00DB639A" w:rsidP="00F06274">
      <w:pPr>
        <w:pStyle w:val="Prrafodelista"/>
        <w:ind w:left="0"/>
        <w:rPr>
          <w:rFonts w:ascii="Palatino Linotype" w:hAnsi="Palatino Linotype"/>
          <w:color w:val="000000" w:themeColor="text1"/>
          <w:bdr w:val="none" w:sz="0" w:space="0" w:color="auto" w:frame="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 xml:space="preserve">Así como el artículo 6º Constitucional por un lado garantiza el derecho de acceso a la información, por otro lado, el derecho a la vida y la seguridad de las personas se encuentran protegidos por la Declaración Universal de los Derechos Humanos en su </w:t>
      </w:r>
      <w:r w:rsidRPr="00F06274">
        <w:rPr>
          <w:rFonts w:ascii="Palatino Linotype" w:hAnsi="Palatino Linotype"/>
          <w:color w:val="000000" w:themeColor="text1"/>
          <w:bdr w:val="none" w:sz="0" w:space="0" w:color="auto" w:frame="1"/>
        </w:rPr>
        <w:lastRenderedPageBreak/>
        <w:t>artículo 30. Bajo este contexto es necesario confrontar ambos derechos fundamentales, cuyo ejercicio en este caso particular es por lo que es necesaria la ponderación de ambos para que uno de ellos sea ejercido en la mayor medida posible.</w:t>
      </w:r>
    </w:p>
    <w:p w:rsidR="00DB639A" w:rsidRPr="00F06274" w:rsidRDefault="00DB639A" w:rsidP="00F06274">
      <w:pPr>
        <w:pStyle w:val="Prrafodelista"/>
        <w:ind w:left="0"/>
        <w:rPr>
          <w:rFonts w:ascii="Palatino Linotype" w:hAnsi="Palatino Linotype"/>
          <w:color w:val="000000" w:themeColor="text1"/>
          <w:bdr w:val="none" w:sz="0" w:space="0" w:color="auto" w:frame="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El dar el nombre de los servidores públicos operativos de la Dirección de Seguridad Pública y Vialidad Municipal pone en riesgo sus vidas y seguridad, ya que pueden ser identificarles, provocando que se utilice la información para amenazar, intimidar o extorsionar al integrante.</w:t>
      </w:r>
    </w:p>
    <w:p w:rsidR="00DB639A" w:rsidRPr="00F06274" w:rsidRDefault="00DB639A" w:rsidP="00F06274">
      <w:pPr>
        <w:pStyle w:val="Prrafodelista"/>
        <w:ind w:left="0"/>
        <w:rPr>
          <w:rFonts w:ascii="Palatino Linotype" w:hAnsi="Palatino Linotype"/>
          <w:color w:val="000000" w:themeColor="text1"/>
          <w:bdr w:val="none" w:sz="0" w:space="0" w:color="auto" w:frame="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rsidR="00DB639A" w:rsidRPr="00F06274" w:rsidRDefault="00DB639A" w:rsidP="00F06274">
      <w:pPr>
        <w:pStyle w:val="Prrafodelista"/>
        <w:ind w:left="0"/>
        <w:rPr>
          <w:rFonts w:ascii="Palatino Linotype" w:hAnsi="Palatino Linotype"/>
          <w:color w:val="000000" w:themeColor="text1"/>
          <w:bdr w:val="none" w:sz="0" w:space="0" w:color="auto" w:frame="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w:t>
      </w:r>
      <w:r w:rsidRPr="00F06274">
        <w:rPr>
          <w:rFonts w:ascii="Palatino Linotype" w:hAnsi="Palatino Linotype"/>
          <w:color w:val="000000" w:themeColor="text1"/>
          <w:bdr w:val="none" w:sz="0" w:space="0" w:color="auto" w:frame="1"/>
        </w:rPr>
        <w:lastRenderedPageBreak/>
        <w:t>fundamental de todo Estado democrático; dicho derecho permite a las personas tener una participación activa en la toma de decisiones de los gobernantes y a su vez, funciona como un ejercicio de fiscalización para supervisar las actividades que realiza eh Estado.</w:t>
      </w:r>
    </w:p>
    <w:p w:rsidR="00DB639A" w:rsidRPr="00F06274" w:rsidRDefault="00DB639A" w:rsidP="00F06274">
      <w:pPr>
        <w:pStyle w:val="Prrafodelista"/>
        <w:ind w:left="0"/>
        <w:rPr>
          <w:rFonts w:ascii="Palatino Linotype" w:hAnsi="Palatino Linotype"/>
          <w:color w:val="000000" w:themeColor="text1"/>
          <w:bdr w:val="none" w:sz="0" w:space="0" w:color="auto" w:frame="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Por lo que, el derecho a la vida y seguridad nacional tiene una-primacía que el derecho al acceso a la información, por lo que el bien jurídico a salvaguardarse primordialmente, es la vida y la seguridad de los servidores públicos encargados de la seguridad pública.</w:t>
      </w:r>
    </w:p>
    <w:p w:rsidR="00DB639A" w:rsidRPr="00F06274" w:rsidRDefault="00DB639A" w:rsidP="00F06274">
      <w:pPr>
        <w:pStyle w:val="Prrafodelista"/>
        <w:ind w:left="0"/>
        <w:rPr>
          <w:rFonts w:ascii="Palatino Linotype" w:hAnsi="Palatino Linotype"/>
          <w:color w:val="000000" w:themeColor="text1"/>
          <w:bdr w:val="none" w:sz="0" w:space="0" w:color="auto" w:frame="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lang w:val="es-ES_tradnl"/>
        </w:rPr>
        <w:t>Al respecto, cabe hacer mención que el artículo 81 fracción III de la Ley de Seguridad del Estado de México, establece lo siguiente:</w:t>
      </w:r>
    </w:p>
    <w:p w:rsidR="00DB639A" w:rsidRPr="00F06274" w:rsidRDefault="00DB639A" w:rsidP="00B21C39">
      <w:pPr>
        <w:pStyle w:val="x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olor w:val="000000" w:themeColor="text1"/>
          <w:bdr w:val="none" w:sz="0" w:space="0" w:color="auto" w:frame="1"/>
        </w:rPr>
        <w:t> </w:t>
      </w:r>
      <w:r w:rsidRPr="00F06274">
        <w:rPr>
          <w:rFonts w:ascii="Palatino Linotype" w:hAnsi="Palatino Linotype" w:cs="Segoe UI"/>
          <w:i/>
          <w:iCs/>
          <w:color w:val="000000" w:themeColor="text1"/>
          <w:bdr w:val="none" w:sz="0" w:space="0" w:color="auto" w:frame="1"/>
          <w:lang w:val="es-ES_tradnl"/>
        </w:rPr>
        <w:t>“</w:t>
      </w:r>
      <w:r w:rsidRPr="00F06274">
        <w:rPr>
          <w:rFonts w:ascii="Palatino Linotype" w:hAnsi="Palatino Linotype" w:cs="Segoe UI"/>
          <w:b/>
          <w:bCs/>
          <w:i/>
          <w:iCs/>
          <w:color w:val="000000" w:themeColor="text1"/>
          <w:bdr w:val="none" w:sz="0" w:space="0" w:color="auto" w:frame="1"/>
          <w:lang w:val="es-ES_tradnl"/>
        </w:rPr>
        <w:t>Artículo 81.-</w:t>
      </w:r>
      <w:r w:rsidRPr="00F06274">
        <w:rPr>
          <w:rFonts w:ascii="Palatino Linotype" w:hAnsi="Palatino Linotype" w:cs="Segoe UI"/>
          <w:i/>
          <w:iCs/>
          <w:color w:val="000000" w:themeColor="text1"/>
          <w:bdr w:val="none" w:sz="0" w:space="0" w:color="auto" w:frame="1"/>
          <w:lang w:val="es-ES_tradnl"/>
        </w:rPr>
        <w:t> </w:t>
      </w:r>
      <w:r w:rsidRPr="00F06274">
        <w:rPr>
          <w:rFonts w:ascii="Palatino Linotype" w:hAnsi="Palatino Linotype" w:cs="Segoe UI"/>
          <w:b/>
          <w:bCs/>
          <w:i/>
          <w:iCs/>
          <w:color w:val="000000" w:themeColor="text1"/>
          <w:bdr w:val="none" w:sz="0" w:space="0" w:color="auto" w:frame="1"/>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F06274">
        <w:rPr>
          <w:rFonts w:ascii="Palatino Linotype" w:hAnsi="Palatino Linotype" w:cs="Segoe UI"/>
          <w:i/>
          <w:iCs/>
          <w:color w:val="000000" w:themeColor="text1"/>
          <w:bdr w:val="none" w:sz="0" w:space="0" w:color="auto" w:frame="1"/>
          <w:lang w:val="es-ES_tradnl"/>
        </w:rPr>
        <w:t> en los casos siguientes: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lang w:val="es-ES_tradnl"/>
        </w:rPr>
        <w:t>…</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i/>
          <w:iCs/>
          <w:color w:val="000000" w:themeColor="text1"/>
          <w:bdr w:val="none" w:sz="0" w:space="0" w:color="auto" w:frame="1"/>
          <w:lang w:val="es-ES_tradnl"/>
        </w:rPr>
      </w:pPr>
      <w:r w:rsidRPr="00F06274">
        <w:rPr>
          <w:rFonts w:ascii="Palatino Linotype" w:hAnsi="Palatino Linotype" w:cs="Segoe UI"/>
          <w:b/>
          <w:bCs/>
          <w:i/>
          <w:iCs/>
          <w:color w:val="000000" w:themeColor="text1"/>
          <w:bdr w:val="none" w:sz="0" w:space="0" w:color="auto" w:frame="1"/>
          <w:lang w:val="es-ES_tradnl"/>
        </w:rPr>
        <w:t>III.</w:t>
      </w:r>
      <w:r w:rsidRPr="00F06274">
        <w:rPr>
          <w:rFonts w:ascii="Palatino Linotype" w:hAnsi="Palatino Linotype" w:cs="Segoe UI"/>
          <w:i/>
          <w:iCs/>
          <w:color w:val="000000" w:themeColor="text1"/>
          <w:bdr w:val="none" w:sz="0" w:space="0" w:color="auto" w:frame="1"/>
          <w:lang w:val="es-ES_tradnl"/>
        </w:rPr>
        <w:t> </w:t>
      </w:r>
      <w:r w:rsidRPr="00F06274">
        <w:rPr>
          <w:rFonts w:ascii="Palatino Linotype" w:hAnsi="Palatino Linotype" w:cs="Segoe UI"/>
          <w:b/>
          <w:bCs/>
          <w:i/>
          <w:iCs/>
          <w:color w:val="000000" w:themeColor="text1"/>
          <w:bdr w:val="none" w:sz="0" w:space="0" w:color="auto" w:frame="1"/>
          <w:lang w:val="es-ES_tradnl"/>
        </w:rPr>
        <w:t>La relativa a servidores públicos miembros de las instituciones de seguridad pública, cuya revelación pueda poner en riesgo su vida e integridad física con motivo de sus funciones;</w:t>
      </w:r>
      <w:r w:rsidRPr="00F06274">
        <w:rPr>
          <w:rFonts w:ascii="Palatino Linotype" w:hAnsi="Palatino Linotype" w:cs="Segoe UI"/>
          <w:i/>
          <w:iCs/>
          <w:color w:val="000000" w:themeColor="text1"/>
          <w:bdr w:val="none" w:sz="0" w:space="0" w:color="auto" w:frame="1"/>
          <w:lang w:val="es-ES_tradnl"/>
        </w:rPr>
        <w:t>”</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Argumento que se fortalece con lo estipulado en el criterio número 6-09, del Instituto Nacional de Transparencia, Acceso a la Información y Protección de Datos Personales, antes (INAI)</w:t>
      </w:r>
      <w:r w:rsidRPr="00F06274">
        <w:rPr>
          <w:rFonts w:ascii="Palatino Linotype" w:hAnsi="Palatino Linotype"/>
          <w:b/>
          <w:bCs/>
          <w:color w:val="000000" w:themeColor="text1"/>
          <w:bdr w:val="none" w:sz="0" w:space="0" w:color="auto" w:frame="1"/>
        </w:rPr>
        <w:t>, </w:t>
      </w:r>
      <w:r w:rsidRPr="00F06274">
        <w:rPr>
          <w:rFonts w:ascii="Palatino Linotype" w:hAnsi="Palatino Linotype"/>
          <w:color w:val="000000" w:themeColor="text1"/>
          <w:bdr w:val="none" w:sz="0" w:space="0" w:color="auto" w:frame="1"/>
        </w:rPr>
        <w:t>el cual refiere:</w:t>
      </w:r>
    </w:p>
    <w:p w:rsidR="00DB639A" w:rsidRPr="00F06274" w:rsidRDefault="00DB639A" w:rsidP="00B21C39">
      <w:pPr>
        <w:pStyle w:val="xmsonormal"/>
        <w:shd w:val="clear" w:color="auto" w:fill="FFFFFF"/>
        <w:spacing w:before="0" w:beforeAutospacing="0" w:after="0" w:afterAutospacing="0"/>
        <w:jc w:val="center"/>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“Criterio 6-09</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Nombres de servidores públicos dedicados a actividades en materia de seguridad, por excepción pueden considerarse información reservada. </w:t>
      </w:r>
      <w:r w:rsidRPr="00F06274">
        <w:rPr>
          <w:rFonts w:ascii="Palatino Linotype" w:hAnsi="Palatino Linotype" w:cs="Segoe UI"/>
          <w:i/>
          <w:iCs/>
          <w:color w:val="000000" w:themeColor="text1"/>
          <w:bdr w:val="none" w:sz="0" w:space="0" w:color="auto" w:frame="1"/>
        </w:rPr>
        <w:t>De conformidad con el artículo 7, fracciones I y III de la Ley Federal de Transparencia y Acceso a la Información Pública Gubernamental </w:t>
      </w:r>
      <w:r w:rsidRPr="00F06274">
        <w:rPr>
          <w:rFonts w:ascii="Palatino Linotype" w:hAnsi="Palatino Linotype" w:cs="Segoe UI"/>
          <w:b/>
          <w:bCs/>
          <w:i/>
          <w:iCs/>
          <w:color w:val="000000" w:themeColor="text1"/>
          <w:bdr w:val="none" w:sz="0" w:space="0" w:color="auto" w:frame="1"/>
        </w:rPr>
        <w:t xml:space="preserve">el nombre de los servidores públicos es información de naturaleza pública. No obstante lo anterior, el mismo precepto establece la posibilidad de que existan excepciones a las obligaciones ahí establecidas cuando la información actualice algunos </w:t>
      </w:r>
      <w:r w:rsidRPr="00F06274">
        <w:rPr>
          <w:rFonts w:ascii="Palatino Linotype" w:hAnsi="Palatino Linotype" w:cs="Segoe UI"/>
          <w:b/>
          <w:bCs/>
          <w:i/>
          <w:iCs/>
          <w:color w:val="000000" w:themeColor="text1"/>
          <w:bdr w:val="none" w:sz="0" w:space="0" w:color="auto" w:frame="1"/>
        </w:rPr>
        <w:lastRenderedPageBreak/>
        <w:t>de los supuestos de reserva o confidencialidad previstos en los artículos 13, 14 y 18 de la citada ley</w:t>
      </w:r>
      <w:r w:rsidRPr="00F06274">
        <w:rPr>
          <w:rFonts w:ascii="Palatino Linotype" w:hAnsi="Palatino Linotype" w:cs="Segoe UI"/>
          <w:i/>
          <w:iCs/>
          <w:color w:val="000000" w:themeColor="text1"/>
          <w:bdr w:val="none" w:sz="0" w:space="0" w:color="auto" w:frame="1"/>
        </w:rPr>
        <w:t>.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F06274">
        <w:rPr>
          <w:rFonts w:ascii="Palatino Linotype" w:hAnsi="Palatino Linotype" w:cs="Segoe UI"/>
          <w:b/>
          <w:bCs/>
          <w:i/>
          <w:iCs/>
          <w:color w:val="000000" w:themeColor="text1"/>
          <w:bdr w:val="none" w:sz="0" w:space="0" w:color="auto" w:frame="1"/>
        </w:rPr>
        <w:t>el artículo 13, fracción I de la ley de referencia se establece que podrá clasificarse aquella información cuya difusión pueda comprometer la seguridad nacional y pública</w:t>
      </w:r>
      <w:r w:rsidRPr="00F06274">
        <w:rPr>
          <w:rFonts w:ascii="Palatino Linotype" w:hAnsi="Palatino Linotype" w:cs="Segoe UI"/>
          <w:i/>
          <w:iCs/>
          <w:color w:val="000000" w:themeColor="text1"/>
          <w:bdr w:val="none" w:sz="0" w:space="0" w:color="auto" w:frame="1"/>
        </w:rPr>
        <w:t>.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F06274">
        <w:rPr>
          <w:rFonts w:ascii="Palatino Linotype" w:hAnsi="Palatino Linotype" w:cs="Segoe UI"/>
          <w:b/>
          <w:bCs/>
          <w:i/>
          <w:iCs/>
          <w:color w:val="000000" w:themeColor="text1"/>
          <w:bdr w:val="none" w:sz="0" w:space="0" w:color="auto" w:frame="1"/>
        </w:rPr>
        <w:t>por lo que la reserva de la relación de los nombres y las funciones que desempeñan los servidores públicos que prestan sus servicios en áreas de seguridad nacional o pública</w:t>
      </w:r>
      <w:r w:rsidRPr="00F06274">
        <w:rPr>
          <w:rFonts w:ascii="Palatino Linotype" w:hAnsi="Palatino Linotype" w:cs="Segoe UI"/>
          <w:i/>
          <w:iCs/>
          <w:color w:val="000000" w:themeColor="text1"/>
          <w:bdr w:val="none" w:sz="0" w:space="0" w:color="auto" w:frame="1"/>
        </w:rPr>
        <w:t>, puede llegar a constituirse en un componente fundamental en el esfuerzo que realiza el Estado Mexicano para garantizar la seguridad del país en sus diferentes vertientes”</w:t>
      </w:r>
    </w:p>
    <w:p w:rsidR="00DB639A" w:rsidRPr="00F06274" w:rsidRDefault="00DB639A" w:rsidP="00F06274">
      <w:pPr>
        <w:pStyle w:val="xmsonormal"/>
        <w:shd w:val="clear" w:color="auto" w:fill="FFFFFF"/>
        <w:spacing w:before="0" w:beforeAutospacing="0" w:after="0" w:afterAutospacing="0"/>
        <w:jc w:val="both"/>
        <w:rPr>
          <w:rFonts w:ascii="Palatino Linotype" w:hAnsi="Palatino Linotype"/>
          <w:color w:val="000000" w:themeColor="text1"/>
        </w:rPr>
      </w:pPr>
      <w:r w:rsidRPr="00F06274">
        <w:rPr>
          <w:rFonts w:ascii="Palatino Linotype" w:hAnsi="Palatino Linotype"/>
          <w:b/>
          <w:bCs/>
          <w:color w:val="000000" w:themeColor="text1"/>
          <w:bdr w:val="none" w:sz="0" w:space="0" w:color="auto" w:frame="1"/>
        </w:rPr>
        <w:t> </w:t>
      </w: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Precisado lo anterior, se advierte que pretendió clasificar información solicitada, no obstante, la Ley de Transparencia y Acceso a la Información Pública del Estado de México y Municipios señala que para la clasificación formal de la información solicitada, el </w:t>
      </w:r>
      <w:r w:rsidRPr="00F06274">
        <w:rPr>
          <w:rFonts w:ascii="Palatino Linotype" w:hAnsi="Palatino Linotype"/>
          <w:b/>
          <w:bCs/>
          <w:color w:val="000000" w:themeColor="text1"/>
          <w:bdr w:val="none" w:sz="0" w:space="0" w:color="auto" w:frame="1"/>
        </w:rPr>
        <w:t>SUJETO OBLIGADO</w:t>
      </w:r>
      <w:r w:rsidRPr="00F06274">
        <w:rPr>
          <w:rFonts w:ascii="Palatino Linotype" w:hAnsi="Palatino Linotype"/>
          <w:color w:val="000000" w:themeColor="text1"/>
          <w:bdr w:val="none" w:sz="0" w:space="0" w:color="auto" w:frame="1"/>
        </w:rPr>
        <w:t>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DB639A" w:rsidRPr="00F06274" w:rsidRDefault="00DB639A" w:rsidP="00B21C39">
      <w:pPr>
        <w:pStyle w:val="xmsonormal"/>
        <w:shd w:val="clear" w:color="auto" w:fill="FFFFFF"/>
        <w:spacing w:before="0" w:beforeAutospacing="0" w:after="0" w:afterAutospacing="0" w:line="360" w:lineRule="auto"/>
        <w:jc w:val="both"/>
        <w:rPr>
          <w:rFonts w:ascii="Palatino Linotype" w:hAnsi="Palatino Linotype" w:cs="Segoe UI"/>
          <w:color w:val="000000" w:themeColor="text1"/>
        </w:rPr>
      </w:pPr>
      <w:r w:rsidRPr="00F06274">
        <w:rPr>
          <w:rFonts w:ascii="Palatino Linotype" w:hAnsi="Palatino Linotype"/>
          <w:b/>
          <w:bCs/>
          <w:color w:val="000000" w:themeColor="text1"/>
          <w:bdr w:val="none" w:sz="0" w:space="0" w:color="auto" w:frame="1"/>
        </w:rPr>
        <w:t> </w:t>
      </w:r>
      <w:r w:rsidRPr="00F06274">
        <w:rPr>
          <w:rFonts w:ascii="Palatino Linotype" w:hAnsi="Palatino Linotype" w:cs="Segoe UI"/>
          <w:b/>
          <w:bCs/>
          <w:i/>
          <w:iCs/>
          <w:color w:val="000000" w:themeColor="text1"/>
          <w:bdr w:val="none" w:sz="0" w:space="0" w:color="auto" w:frame="1"/>
        </w:rPr>
        <w:t>“Artículo 49</w:t>
      </w:r>
      <w:r w:rsidRPr="00F06274">
        <w:rPr>
          <w:rFonts w:ascii="Palatino Linotype" w:hAnsi="Palatino Linotype" w:cs="Segoe UI"/>
          <w:i/>
          <w:iCs/>
          <w:color w:val="000000" w:themeColor="text1"/>
          <w:bdr w:val="none" w:sz="0" w:space="0" w:color="auto" w:frame="1"/>
        </w:rPr>
        <w:t>. Los Comités de Transparencia tendrán las siguientes atribuciones: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VIII. Aprobar, modificar o revocar la clasificación de la información;</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Artículo 132</w:t>
      </w:r>
      <w:r w:rsidRPr="00F06274">
        <w:rPr>
          <w:rFonts w:ascii="Palatino Linotype" w:hAnsi="Palatino Linotype" w:cs="Segoe UI"/>
          <w:i/>
          <w:iCs/>
          <w:color w:val="000000" w:themeColor="text1"/>
          <w:bdr w:val="none" w:sz="0" w:space="0" w:color="auto" w:frame="1"/>
        </w:rPr>
        <w:t>. La clasificación de la información se llevará a cabo en el momento en que:</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I. Se reciba una solicitud de acceso a la información;</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II. Se determine mediante resolución de autoridad competente; o</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lastRenderedPageBreak/>
        <w:t>III. Se generen versiones públicas para dar cumplimiento a las obligaciones de transparencia previstas en esta Ley.”</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Cuarto.</w:t>
      </w:r>
      <w:r w:rsidRPr="00F06274">
        <w:rPr>
          <w:rFonts w:ascii="Palatino Linotype" w:hAnsi="Palatino Linotype" w:cs="Segoe UI"/>
          <w:i/>
          <w:iCs/>
          <w:color w:val="000000" w:themeColor="text1"/>
          <w:bdr w:val="none" w:sz="0" w:space="0" w:color="auto" w:frame="1"/>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Quinto.</w:t>
      </w:r>
      <w:r w:rsidRPr="00F06274">
        <w:rPr>
          <w:rFonts w:ascii="Palatino Linotype" w:hAnsi="Palatino Linotype" w:cs="Segoe UI"/>
          <w:i/>
          <w:iCs/>
          <w:color w:val="000000" w:themeColor="text1"/>
          <w:bdr w:val="none" w:sz="0" w:space="0" w:color="auto" w:frame="1"/>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Sexto.</w:t>
      </w:r>
      <w:r w:rsidRPr="00F06274">
        <w:rPr>
          <w:rFonts w:ascii="Palatino Linotype" w:hAnsi="Palatino Linotype" w:cs="Segoe UI"/>
          <w:i/>
          <w:iCs/>
          <w:color w:val="000000" w:themeColor="text1"/>
          <w:bdr w:val="none" w:sz="0" w:space="0" w:color="auto" w:frame="1"/>
        </w:rPr>
        <w:t> Los Sujetos Obligados no podrán emitir acuerdos de carácter general ni particular que clasifiquen documentos o expedientes como reservados, ni clasificar documentos antes de que se genere la información o cuando éstos no obren en sus archivos.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La clasificación de información se realizará conforme a un análisis caso por caso, mediante la aplicación de la prueba de daño y de interés público.</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Séptimo.</w:t>
      </w:r>
      <w:r w:rsidRPr="00F06274">
        <w:rPr>
          <w:rFonts w:ascii="Palatino Linotype" w:hAnsi="Palatino Linotype" w:cs="Segoe UI"/>
          <w:i/>
          <w:iCs/>
          <w:color w:val="000000" w:themeColor="text1"/>
          <w:bdr w:val="none" w:sz="0" w:space="0" w:color="auto" w:frame="1"/>
        </w:rPr>
        <w:t> La clasificación de la información se llevará a cabo en el momento en que: I. Se reciba una solicitud de acceso a la información;</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II. Se determine mediante resolución de autoridad competente, o</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III. Se generen versiones públicas para dar cumplimiento a las obligaciones de transparencia previstas en la Ley General, la Ley Federal y las correspondientes de las entidades federativas.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Los titulares de las áreas deberán revisar la clasificación al momento de la recepción de una solicitud de acceso a la información, para verificar si encuadra en una causal de reserva o de confidencialidad.</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lastRenderedPageBreak/>
        <w:t>Octavo.</w:t>
      </w:r>
      <w:r w:rsidRPr="00F06274">
        <w:rPr>
          <w:rFonts w:ascii="Palatino Linotype" w:hAnsi="Palatino Linotype" w:cs="Segoe UI"/>
          <w:i/>
          <w:iCs/>
          <w:color w:val="000000" w:themeColor="text1"/>
          <w:bdr w:val="none" w:sz="0" w:space="0" w:color="auto" w:frame="1"/>
        </w:rPr>
        <w:t> Para fundar la clasificación de la información se debe señalar el artículo, fracción, inciso, párrafo o numeral de la ley o tratado internacional suscrito por el Estado mexicano que expresamente le otorga el carácter de reservada o confidencial.</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Para motivar la clasificación se deberán señalar las razones o circunstancias especiales que lo llevaron a concluir que el caso particular se ajusta al supuesto previsto por la norma legal invocada como fundamento.</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En caso de referirse a información reservada, la motivación de la clasificación también deberá comprender las circunstancias que justifican el establecimiento de determinado plazo de reserva.</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Tratándose de información clasificada como confidencial respecto de la cual se haya determinado su conservación permanente por tener valor histórico, ésta conservará tal carácter de conformidad con la normativa aplicable en materia de archivos.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Décimo</w:t>
      </w:r>
      <w:r w:rsidRPr="00F06274">
        <w:rPr>
          <w:rFonts w:ascii="Palatino Linotype" w:hAnsi="Palatino Linotype" w:cs="Segoe UI"/>
          <w:i/>
          <w:iCs/>
          <w:color w:val="000000" w:themeColor="text1"/>
          <w:bdr w:val="none" w:sz="0" w:space="0" w:color="auto" w:frame="1"/>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En ausencia de los titulares de las áreas, la información será clasificada o desclasificada por la persona que lo supla, en términos de la normativa que rija la actuación del sujeto obligado.</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i/>
          <w:iCs/>
          <w:color w:val="000000" w:themeColor="text1"/>
          <w:bdr w:val="none" w:sz="0" w:space="0" w:color="auto" w:frame="1"/>
        </w:rPr>
        <w:t> </w:t>
      </w:r>
    </w:p>
    <w:p w:rsidR="00DB639A" w:rsidRPr="00F06274" w:rsidRDefault="00DB639A" w:rsidP="00F06274">
      <w:pPr>
        <w:pStyle w:val="xgmail-msonormal"/>
        <w:shd w:val="clear" w:color="auto" w:fill="FFFFFF"/>
        <w:spacing w:before="0" w:beforeAutospacing="0" w:after="0" w:afterAutospacing="0"/>
        <w:jc w:val="both"/>
        <w:rPr>
          <w:rFonts w:ascii="Palatino Linotype" w:hAnsi="Palatino Linotype" w:cs="Segoe UI"/>
          <w:color w:val="000000" w:themeColor="text1"/>
        </w:rPr>
      </w:pPr>
      <w:r w:rsidRPr="00F06274">
        <w:rPr>
          <w:rFonts w:ascii="Palatino Linotype" w:hAnsi="Palatino Linotype" w:cs="Segoe UI"/>
          <w:b/>
          <w:bCs/>
          <w:i/>
          <w:iCs/>
          <w:color w:val="000000" w:themeColor="text1"/>
          <w:bdr w:val="none" w:sz="0" w:space="0" w:color="auto" w:frame="1"/>
        </w:rPr>
        <w:t>Décimo primero</w:t>
      </w:r>
      <w:r w:rsidRPr="00F06274">
        <w:rPr>
          <w:rFonts w:ascii="Palatino Linotype" w:hAnsi="Palatino Linotype" w:cs="Segoe UI"/>
          <w:i/>
          <w:iCs/>
          <w:color w:val="000000" w:themeColor="text1"/>
          <w:bdr w:val="none" w:sz="0" w:space="0" w:color="auto" w:frame="1"/>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B639A" w:rsidRPr="00F06274" w:rsidRDefault="00DB639A" w:rsidP="00F06274">
      <w:pPr>
        <w:pStyle w:val="xmsonormal"/>
        <w:shd w:val="clear" w:color="auto" w:fill="FFFFFF"/>
        <w:spacing w:before="0" w:beforeAutospacing="0" w:after="0" w:afterAutospacing="0" w:line="360" w:lineRule="atLeast"/>
        <w:jc w:val="both"/>
        <w:rPr>
          <w:rFonts w:ascii="Palatino Linotype" w:hAnsi="Palatino Linotype"/>
          <w:color w:val="000000" w:themeColor="text1"/>
        </w:rPr>
      </w:pPr>
      <w:r w:rsidRPr="00F06274">
        <w:rPr>
          <w:rFonts w:ascii="Palatino Linotype" w:hAnsi="Palatino Linotype"/>
          <w:b/>
          <w:bCs/>
          <w:color w:val="000000" w:themeColor="text1"/>
          <w:bdr w:val="none" w:sz="0" w:space="0" w:color="auto" w:frame="1"/>
        </w:rPr>
        <w:t> </w:t>
      </w:r>
    </w:p>
    <w:p w:rsidR="00DB639A" w:rsidRPr="00F06274" w:rsidRDefault="00DB639A" w:rsidP="00F06274">
      <w:pPr>
        <w:pStyle w:val="xmsonormal"/>
        <w:numPr>
          <w:ilvl w:val="0"/>
          <w:numId w:val="11"/>
        </w:numPr>
        <w:shd w:val="clear" w:color="auto" w:fill="FFFFFF"/>
        <w:spacing w:before="0" w:beforeAutospacing="0" w:after="0" w:afterAutospacing="0" w:line="360" w:lineRule="auto"/>
        <w:jc w:val="both"/>
        <w:rPr>
          <w:rFonts w:ascii="Palatino Linotype" w:hAnsi="Palatino Linotype"/>
          <w:color w:val="000000" w:themeColor="text1"/>
        </w:rPr>
      </w:pPr>
      <w:r w:rsidRPr="00F06274">
        <w:rPr>
          <w:rFonts w:ascii="Palatino Linotype" w:hAnsi="Palatino Linotype"/>
          <w:color w:val="000000" w:themeColor="text1"/>
          <w:bdr w:val="none" w:sz="0" w:space="0" w:color="auto" w:frame="1"/>
        </w:rPr>
        <w:t xml:space="preserve">En tal contexto se deberá proceder a la clasificación de los nombres de los elementos de policía que realicen actividades operativas </w:t>
      </w:r>
      <w:r w:rsidRPr="00B21C39">
        <w:rPr>
          <w:rFonts w:ascii="Palatino Linotype" w:hAnsi="Palatino Linotype"/>
          <w:color w:val="000000" w:themeColor="text1"/>
          <w:bdr w:val="none" w:sz="0" w:space="0" w:color="auto" w:frame="1"/>
        </w:rPr>
        <w:t>en </w:t>
      </w:r>
      <w:r w:rsidR="00B21C39">
        <w:rPr>
          <w:rFonts w:ascii="Palatino Linotype" w:hAnsi="Palatino Linotype"/>
          <w:color w:val="000000" w:themeColor="text1"/>
          <w:bdr w:val="none" w:sz="0" w:space="0" w:color="auto" w:frame="1"/>
        </w:rPr>
        <w:t>campo</w:t>
      </w:r>
      <w:r w:rsidRPr="00B21C39">
        <w:rPr>
          <w:rStyle w:val="xgmail-msocommentreference"/>
          <w:rFonts w:ascii="Palatino Linotype" w:hAnsi="Palatino Linotype"/>
          <w:color w:val="000000" w:themeColor="text1"/>
          <w:bdr w:val="none" w:sz="0" w:space="0" w:color="auto" w:frame="1"/>
        </w:rPr>
        <w:t>.</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 xml:space="preserve">Con la determinación a la que se arriba se concluye que quedará por colmado el Derecho de Acceso a la Información Pública del ahora </w:t>
      </w:r>
      <w:r w:rsidRPr="00F06274">
        <w:rPr>
          <w:rFonts w:ascii="Palatino Linotype" w:eastAsia="Palatino Linotype" w:hAnsi="Palatino Linotype" w:cs="Palatino Linotype"/>
          <w:b/>
          <w:color w:val="000000" w:themeColor="text1"/>
        </w:rPr>
        <w:t>RECURRENTE</w:t>
      </w:r>
      <w:r w:rsidRPr="00F06274">
        <w:rPr>
          <w:rFonts w:ascii="Palatino Linotype" w:eastAsia="Palatino Linotype" w:hAnsi="Palatino Linotype" w:cs="Palatino Linotype"/>
          <w:color w:val="000000" w:themeColor="text1"/>
        </w:rPr>
        <w:t xml:space="preserve"> el cual se define como: </w:t>
      </w:r>
      <w:r w:rsidRPr="00F06274">
        <w:rPr>
          <w:rFonts w:ascii="Palatino Linotype" w:eastAsia="Palatino Linotype" w:hAnsi="Palatino Linotype" w:cs="Palatino Linotype"/>
          <w:i/>
          <w:color w:val="000000" w:themeColor="text1"/>
        </w:rPr>
        <w:t>La igualdad de oportunidades para recibir, buscar e impartir información</w:t>
      </w:r>
      <w:r w:rsidRPr="00F06274">
        <w:rPr>
          <w:rFonts w:ascii="Palatino Linotype" w:hAnsi="Palatino Linotype"/>
          <w:i/>
          <w:color w:val="000000" w:themeColor="text1"/>
          <w:vertAlign w:val="superscript"/>
        </w:rPr>
        <w:footnoteReference w:id="1"/>
      </w:r>
      <w:r w:rsidRPr="00F06274">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w:t>
      </w:r>
      <w:r w:rsidRPr="00F06274">
        <w:rPr>
          <w:rFonts w:ascii="Palatino Linotype" w:eastAsia="Palatino Linotype" w:hAnsi="Palatino Linotype" w:cs="Palatino Linotype"/>
          <w:color w:val="000000" w:themeColor="text1"/>
        </w:rPr>
        <w:t>física</w:t>
      </w:r>
      <w:r w:rsidRPr="00F06274">
        <w:rPr>
          <w:rFonts w:ascii="Palatino Linotype" w:eastAsia="Palatino Linotype" w:hAnsi="Palatino Linotype" w:cs="Palatino Linotype"/>
          <w:i/>
          <w:color w:val="000000" w:themeColor="text1"/>
        </w:rPr>
        <w:t>, moral o sindicato que reciba y ejerza recursos públicos o realice actos de autoridad en el ámbito federal, estatal y municipal,</w:t>
      </w:r>
      <w:r w:rsidRPr="00F06274">
        <w:rPr>
          <w:rFonts w:ascii="Palatino Linotype" w:hAnsi="Palatino Linotype"/>
          <w:i/>
          <w:color w:val="000000" w:themeColor="text1"/>
          <w:vertAlign w:val="superscript"/>
        </w:rPr>
        <w:footnoteReference w:id="2"/>
      </w:r>
      <w:r w:rsidRPr="00F06274">
        <w:rPr>
          <w:rFonts w:ascii="Palatino Linotype" w:eastAsia="Palatino Linotype" w:hAnsi="Palatino Linotype" w:cs="Palatino Linotype"/>
          <w:color w:val="000000" w:themeColor="text1"/>
        </w:rPr>
        <w:t>que se constituye como una herramienta fundamental para ejercer</w:t>
      </w:r>
      <w:r w:rsidRPr="00F06274">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F06274">
        <w:rPr>
          <w:rFonts w:ascii="Palatino Linotype" w:hAnsi="Palatino Linotype"/>
          <w:i/>
          <w:color w:val="000000" w:themeColor="text1"/>
          <w:vertAlign w:val="superscript"/>
        </w:rPr>
        <w:footnoteReference w:id="3"/>
      </w:r>
      <w:r w:rsidRPr="00F06274">
        <w:rPr>
          <w:rFonts w:ascii="Palatino Linotype" w:eastAsia="Palatino Linotype" w:hAnsi="Palatino Linotype" w:cs="Palatino Linotype"/>
          <w:color w:val="000000" w:themeColor="text1"/>
        </w:rPr>
        <w:t>fomentando</w:t>
      </w:r>
      <w:r w:rsidRPr="00F06274">
        <w:rPr>
          <w:rFonts w:ascii="Palatino Linotype" w:eastAsia="Palatino Linotype" w:hAnsi="Palatino Linotype" w:cs="Palatino Linotype"/>
          <w:i/>
          <w:color w:val="000000" w:themeColor="text1"/>
        </w:rPr>
        <w:t xml:space="preserve"> la transparencia de las actividades estatales y </w:t>
      </w:r>
      <w:r w:rsidRPr="00F06274">
        <w:rPr>
          <w:rFonts w:ascii="Palatino Linotype" w:eastAsia="Palatino Linotype" w:hAnsi="Palatino Linotype" w:cs="Palatino Linotype"/>
          <w:color w:val="000000" w:themeColor="text1"/>
        </w:rPr>
        <w:t>promoviendo</w:t>
      </w:r>
      <w:r w:rsidRPr="00F06274">
        <w:rPr>
          <w:rFonts w:ascii="Palatino Linotype" w:eastAsia="Palatino Linotype" w:hAnsi="Palatino Linotype" w:cs="Palatino Linotype"/>
          <w:i/>
          <w:color w:val="000000" w:themeColor="text1"/>
        </w:rPr>
        <w:t xml:space="preserve"> la responsabilidad de los funcionarios sobre su gestión pública,</w:t>
      </w:r>
      <w:r w:rsidRPr="00F06274">
        <w:rPr>
          <w:rFonts w:ascii="Palatino Linotype" w:hAnsi="Palatino Linotype"/>
          <w:i/>
          <w:color w:val="000000" w:themeColor="text1"/>
          <w:vertAlign w:val="superscript"/>
        </w:rPr>
        <w:footnoteReference w:id="4"/>
      </w:r>
      <w:r w:rsidRPr="00F06274">
        <w:rPr>
          <w:rFonts w:ascii="Palatino Linotype" w:eastAsia="Palatino Linotype" w:hAnsi="Palatino Linotype" w:cs="Palatino Linotype"/>
          <w:color w:val="000000" w:themeColor="text1"/>
        </w:rPr>
        <w:t>que permite</w:t>
      </w:r>
      <w:r w:rsidRPr="00F06274">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337BEB" w:rsidRPr="00F06274" w:rsidRDefault="00337BEB" w:rsidP="00F06274">
      <w:pPr>
        <w:tabs>
          <w:tab w:val="left" w:pos="284"/>
        </w:tabs>
        <w:spacing w:line="360" w:lineRule="auto"/>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color w:val="000000" w:themeColor="text1"/>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7BEB" w:rsidRPr="00F06274" w:rsidRDefault="000B245E" w:rsidP="00F06274">
      <w:pPr>
        <w:tabs>
          <w:tab w:val="left" w:pos="284"/>
        </w:tabs>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 </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tal sentido, el derecho de acceso a la información constituye una garantía primaria, tal y como lo señala el artículo 150 de la Ley de Transparencia y Acceso a la </w:t>
      </w:r>
      <w:r w:rsidRPr="00F06274">
        <w:rPr>
          <w:rFonts w:ascii="Palatino Linotype" w:eastAsia="Palatino Linotype" w:hAnsi="Palatino Linotype" w:cs="Palatino Linotype"/>
          <w:color w:val="000000" w:themeColor="text1"/>
        </w:rPr>
        <w:lastRenderedPageBreak/>
        <w:t xml:space="preserve">Información del Estado de México y Municipios, que además, establece que se regirá </w:t>
      </w:r>
      <w:r w:rsidRPr="00F06274">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F06274">
        <w:rPr>
          <w:rFonts w:ascii="Palatino Linotype" w:eastAsia="Palatino Linotype" w:hAnsi="Palatino Linotype" w:cs="Palatino Linotype"/>
          <w:color w:val="000000" w:themeColor="text1"/>
        </w:rPr>
        <w:t xml:space="preserve">, contemplando el derecho de las personas con discapacidad y hablantes de lengua indígena. </w:t>
      </w:r>
    </w:p>
    <w:p w:rsidR="00337BEB" w:rsidRPr="00F06274" w:rsidRDefault="00337BEB" w:rsidP="00F06274">
      <w:pPr>
        <w:tabs>
          <w:tab w:val="left" w:pos="284"/>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Es así que la </w:t>
      </w:r>
      <w:r w:rsidRPr="00F06274">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06274">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F06274">
        <w:rPr>
          <w:rFonts w:ascii="Palatino Linotype" w:eastAsia="Palatino Linotype" w:hAnsi="Palatino Linotype" w:cs="Palatino Linotype"/>
          <w:b/>
          <w:color w:val="000000" w:themeColor="text1"/>
        </w:rPr>
        <w:t xml:space="preserve"> </w:t>
      </w:r>
      <w:r w:rsidRPr="00F06274">
        <w:rPr>
          <w:rFonts w:ascii="Palatino Linotype" w:eastAsia="Palatino Linotype" w:hAnsi="Palatino Linotype" w:cs="Palatino Linotype"/>
          <w:color w:val="000000" w:themeColor="text1"/>
        </w:rPr>
        <w:t xml:space="preserve">establece que </w:t>
      </w:r>
      <w:r w:rsidRPr="00F06274">
        <w:rPr>
          <w:rFonts w:ascii="Palatino Linotype" w:eastAsia="Palatino Linotype" w:hAnsi="Palatino Linotype" w:cs="Palatino Linotype"/>
          <w:b/>
          <w:i/>
          <w:color w:val="000000" w:themeColor="text1"/>
          <w:u w:val="single"/>
        </w:rPr>
        <w:t>el recurso de revisión es la garantía secundaria</w:t>
      </w:r>
      <w:r w:rsidRPr="00F06274">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F06274">
        <w:rPr>
          <w:rFonts w:ascii="Palatino Linotype" w:eastAsia="Palatino Linotype" w:hAnsi="Palatino Linotype" w:cs="Palatino Linotype"/>
          <w:b/>
          <w:color w:val="000000" w:themeColor="text1"/>
        </w:rPr>
        <w:t>, s</w:t>
      </w:r>
      <w:r w:rsidRPr="00F06274">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37BEB" w:rsidRPr="00F06274" w:rsidRDefault="00337BEB" w:rsidP="00F06274">
      <w:pPr>
        <w:pBdr>
          <w:top w:val="nil"/>
          <w:left w:val="nil"/>
          <w:bottom w:val="nil"/>
          <w:right w:val="nil"/>
          <w:between w:val="nil"/>
        </w:pBdr>
        <w:spacing w:line="360" w:lineRule="auto"/>
        <w:rPr>
          <w:rFonts w:ascii="Palatino Linotype" w:eastAsia="Palatino Linotype" w:hAnsi="Palatino Linotype" w:cs="Palatino Linotype"/>
          <w:b/>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37BEB" w:rsidRPr="00F06274" w:rsidRDefault="000B245E" w:rsidP="00F06274">
      <w:pPr>
        <w:spacing w:line="360" w:lineRule="auto"/>
        <w:jc w:val="both"/>
        <w:rPr>
          <w:rFonts w:ascii="Palatino Linotype" w:eastAsia="Palatino Linotype" w:hAnsi="Palatino Linotype" w:cs="Palatino Linotype"/>
          <w:b/>
          <w:i/>
          <w:color w:val="000000" w:themeColor="text1"/>
        </w:rPr>
      </w:pPr>
      <w:r w:rsidRPr="00F06274">
        <w:rPr>
          <w:rFonts w:ascii="Palatino Linotype" w:eastAsia="Palatino Linotype" w:hAnsi="Palatino Linotype" w:cs="Palatino Linotype"/>
          <w:b/>
          <w:i/>
          <w:color w:val="000000" w:themeColor="text1"/>
        </w:rPr>
        <w:t>“CRITERIO 0002-11</w:t>
      </w: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b/>
          <w:i/>
          <w:color w:val="000000" w:themeColor="text1"/>
        </w:rPr>
        <w:t xml:space="preserve">INFORMACIÓN PÚBLICA, CONCEPTO DE, EN MATERIA DE TRANSPARENCIA. INTERPRETACIÓN TEMÁTICA DE LOS ARTÍCULOS 2, FRACCIÓN V, XV, Y XVI, 3, </w:t>
      </w:r>
      <w:r w:rsidRPr="00F06274">
        <w:rPr>
          <w:rFonts w:ascii="Palatino Linotype" w:eastAsia="Palatino Linotype" w:hAnsi="Palatino Linotype" w:cs="Palatino Linotype"/>
          <w:b/>
          <w:i/>
          <w:color w:val="000000" w:themeColor="text1"/>
        </w:rPr>
        <w:lastRenderedPageBreak/>
        <w:t>4,11 Y 41.</w:t>
      </w:r>
      <w:r w:rsidRPr="00F06274">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337BEB" w:rsidRPr="00F06274" w:rsidRDefault="00337BEB" w:rsidP="00F0627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b/>
          <w:i/>
          <w:color w:val="000000" w:themeColor="text1"/>
        </w:rPr>
        <w:t xml:space="preserve">XI. Documento: </w:t>
      </w:r>
      <w:r w:rsidRPr="00F06274">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37BEB" w:rsidRPr="00F06274" w:rsidRDefault="00337BEB" w:rsidP="00F0627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06274">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F06274">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b/>
          <w:i/>
          <w:color w:val="000000" w:themeColor="text1"/>
        </w:rPr>
        <w:t xml:space="preserve">Artículo 4. </w:t>
      </w:r>
      <w:r w:rsidRPr="00F06274">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337BEB" w:rsidRPr="00F06274" w:rsidRDefault="00337BEB" w:rsidP="00F06274">
      <w:pPr>
        <w:spacing w:line="360" w:lineRule="auto"/>
        <w:jc w:val="both"/>
        <w:rPr>
          <w:rFonts w:ascii="Palatino Linotype" w:eastAsia="Palatino Linotype" w:hAnsi="Palatino Linotype" w:cs="Palatino Linotype"/>
          <w:i/>
          <w:color w:val="000000" w:themeColor="text1"/>
        </w:rPr>
      </w:pP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F06274">
        <w:rPr>
          <w:rFonts w:ascii="Palatino Linotype" w:eastAsia="Palatino Linotype" w:hAnsi="Palatino Linotype" w:cs="Palatino Linotype"/>
          <w:i/>
          <w:color w:val="000000" w:themeColor="text1"/>
        </w:rPr>
        <w:lastRenderedPageBreak/>
        <w:t>principio de máxima publicidad de la información. Solo podrá ser clasificada excepcionalmente como reservada temporalmente por razones de interés público, en los términos de las causas legítimas y estrictamente necesarias previstas por esta Ley.</w:t>
      </w:r>
    </w:p>
    <w:p w:rsidR="00337BEB" w:rsidRPr="00F06274" w:rsidRDefault="00337BEB" w:rsidP="00F06274">
      <w:pPr>
        <w:spacing w:line="360" w:lineRule="auto"/>
        <w:jc w:val="both"/>
        <w:rPr>
          <w:rFonts w:ascii="Palatino Linotype" w:eastAsia="Palatino Linotype" w:hAnsi="Palatino Linotype" w:cs="Palatino Linotype"/>
          <w:i/>
          <w:color w:val="000000" w:themeColor="text1"/>
        </w:rPr>
      </w:pP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337BEB" w:rsidRPr="00F06274" w:rsidRDefault="00337BEB" w:rsidP="00F06274">
      <w:pPr>
        <w:spacing w:line="360" w:lineRule="auto"/>
        <w:jc w:val="both"/>
        <w:rPr>
          <w:rFonts w:ascii="Palatino Linotype" w:eastAsia="Palatino Linotype" w:hAnsi="Palatino Linotype" w:cs="Palatino Linotype"/>
          <w:i/>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 xml:space="preserve"> </w:t>
      </w:r>
      <w:r w:rsidRPr="00F06274">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06274">
        <w:rPr>
          <w:rFonts w:ascii="Palatino Linotype" w:hAnsi="Palatino Linotype"/>
          <w:color w:val="000000" w:themeColor="text1"/>
          <w:vertAlign w:val="superscript"/>
        </w:rPr>
        <w:footnoteReference w:id="5"/>
      </w:r>
      <w:r w:rsidRPr="00F06274">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w:t>
      </w:r>
      <w:r w:rsidRPr="00F06274">
        <w:rPr>
          <w:rFonts w:ascii="Palatino Linotype" w:eastAsia="Palatino Linotype" w:hAnsi="Palatino Linotype" w:cs="Palatino Linotype"/>
          <w:color w:val="000000" w:themeColor="text1"/>
        </w:rPr>
        <w:lastRenderedPageBreak/>
        <w:t xml:space="preserve">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 Vulnere la conducción de los expedientes judiciales o de los procedimientos administrativos seguidos en forma de juicio, en tanto no hayan quedado firmes.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ese sentido, cabe la posibilidad de que dentro de la información que se ordena, se encuentren documentos que contengan información que sí actualicen alguna de las </w:t>
      </w:r>
      <w:r w:rsidRPr="00F06274">
        <w:rPr>
          <w:rFonts w:ascii="Palatino Linotype" w:eastAsia="Palatino Linotype" w:hAnsi="Palatino Linotype" w:cs="Palatino Linotype"/>
          <w:color w:val="000000" w:themeColor="text1"/>
        </w:rPr>
        <w:lastRenderedPageBreak/>
        <w:t>causales de reserva o confidencialidad establecidas en los artículos 140 y 143 de la Ley de la materia, dicha información reviste el carácter de información reservada y en este caso, se deberá emitir un acuerdo que clasifique como reservado.</w:t>
      </w:r>
    </w:p>
    <w:p w:rsidR="00337BEB" w:rsidRPr="00F06274" w:rsidRDefault="00337BEB" w:rsidP="00F06274">
      <w:pPr>
        <w:pBdr>
          <w:top w:val="nil"/>
          <w:left w:val="nil"/>
          <w:bottom w:val="nil"/>
          <w:right w:val="nil"/>
          <w:between w:val="nil"/>
        </w:pBdr>
        <w:rPr>
          <w:rFonts w:ascii="Palatino Linotype" w:eastAsia="Palatino Linotype" w:hAnsi="Palatino Linotype" w:cs="Palatino Linotype"/>
          <w:color w:val="000000" w:themeColor="text1"/>
          <w:highlight w:val="cyan"/>
        </w:rPr>
      </w:pPr>
    </w:p>
    <w:p w:rsidR="00337BEB" w:rsidRPr="00F06274" w:rsidRDefault="000B245E" w:rsidP="00F06274">
      <w:pPr>
        <w:keepNext/>
        <w:keepLines/>
        <w:spacing w:line="360" w:lineRule="auto"/>
        <w:rPr>
          <w:rFonts w:ascii="Palatino Linotype" w:eastAsia="Palatino Linotype" w:hAnsi="Palatino Linotype" w:cs="Palatino Linotype"/>
          <w:b/>
          <w:color w:val="000000" w:themeColor="text1"/>
        </w:rPr>
      </w:pPr>
      <w:bookmarkStart w:id="10" w:name="_heading=h.17dp8vu" w:colFirst="0" w:colLast="0"/>
      <w:bookmarkEnd w:id="10"/>
      <w:r w:rsidRPr="00F06274">
        <w:rPr>
          <w:rFonts w:ascii="Palatino Linotype" w:eastAsia="Palatino Linotype" w:hAnsi="Palatino Linotype" w:cs="Palatino Linotype"/>
          <w:b/>
          <w:color w:val="000000" w:themeColor="text1"/>
        </w:rPr>
        <w:t>QUINTO. De la versión pública.</w:t>
      </w:r>
    </w:p>
    <w:p w:rsidR="00337BEB" w:rsidRPr="00F06274" w:rsidRDefault="000B245E" w:rsidP="00F06274">
      <w:pPr>
        <w:keepNext/>
        <w:keepLines/>
        <w:numPr>
          <w:ilvl w:val="0"/>
          <w:numId w:val="9"/>
        </w:numPr>
        <w:tabs>
          <w:tab w:val="left" w:pos="284"/>
        </w:tabs>
        <w:spacing w:line="360" w:lineRule="auto"/>
        <w:ind w:left="0" w:firstLine="0"/>
        <w:rPr>
          <w:rFonts w:ascii="Palatino Linotype" w:eastAsia="Palatino Linotype" w:hAnsi="Palatino Linotype" w:cs="Palatino Linotype"/>
          <w:b/>
          <w:color w:val="000000" w:themeColor="text1"/>
        </w:rPr>
      </w:pPr>
      <w:bookmarkStart w:id="11" w:name="_heading=h.3rdcrjn" w:colFirst="0" w:colLast="0"/>
      <w:bookmarkEnd w:id="11"/>
      <w:r w:rsidRPr="00F06274">
        <w:rPr>
          <w:rFonts w:ascii="Palatino Linotype" w:eastAsia="Palatino Linotype" w:hAnsi="Palatino Linotype" w:cs="Palatino Linotype"/>
          <w:b/>
          <w:color w:val="000000" w:themeColor="text1"/>
        </w:rPr>
        <w:t xml:space="preserve">Nociones generales. </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Debe destacarse que, debido a la naturaleza de la información solicitada</w:t>
      </w:r>
      <w:r w:rsidRPr="00F06274">
        <w:rPr>
          <w:rFonts w:ascii="Palatino Linotype" w:eastAsia="Palatino Linotype" w:hAnsi="Palatino Linotype" w:cs="Palatino Linotype"/>
          <w:b/>
          <w:color w:val="000000" w:themeColor="text1"/>
        </w:rPr>
        <w:t xml:space="preserve">, </w:t>
      </w:r>
      <w:r w:rsidRPr="00F06274">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F06274">
        <w:rPr>
          <w:rFonts w:ascii="Palatino Linotype" w:eastAsia="Palatino Linotype" w:hAnsi="Palatino Linotype" w:cs="Palatino Linotype"/>
          <w:b/>
          <w:color w:val="000000" w:themeColor="text1"/>
        </w:rPr>
        <w:t xml:space="preserve">SUJETO OBLIGADO </w:t>
      </w:r>
      <w:r w:rsidRPr="00F06274">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337BEB" w:rsidRPr="00F06274" w:rsidRDefault="00337BEB" w:rsidP="00F06274">
      <w:pPr>
        <w:tabs>
          <w:tab w:val="left" w:pos="0"/>
          <w:tab w:val="left" w:pos="284"/>
        </w:tabs>
        <w:spacing w:line="360" w:lineRule="auto"/>
        <w:jc w:val="both"/>
        <w:rPr>
          <w:rFonts w:ascii="Palatino Linotype" w:eastAsia="Palatino Linotype" w:hAnsi="Palatino Linotype" w:cs="Palatino Linotype"/>
          <w:b/>
          <w:color w:val="000000" w:themeColor="text1"/>
          <w:highlight w:val="yellow"/>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No pasa desapercibido para este Órgano Garante que los sujetos obligados</w:t>
      </w:r>
      <w:r w:rsidRPr="00F06274">
        <w:rPr>
          <w:rFonts w:ascii="Palatino Linotype" w:eastAsia="Palatino Linotype" w:hAnsi="Palatino Linotype" w:cs="Palatino Linotype"/>
          <w:b/>
          <w:color w:val="000000" w:themeColor="text1"/>
        </w:rPr>
        <w:t xml:space="preserve"> </w:t>
      </w:r>
      <w:r w:rsidRPr="00F06274">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37BEB" w:rsidRPr="00F06274" w:rsidRDefault="00337BEB" w:rsidP="00F06274">
      <w:pPr>
        <w:tabs>
          <w:tab w:val="left" w:pos="284"/>
        </w:tabs>
        <w:spacing w:line="360" w:lineRule="auto"/>
        <w:jc w:val="both"/>
        <w:rPr>
          <w:rFonts w:ascii="Palatino Linotype" w:eastAsia="Palatino Linotype" w:hAnsi="Palatino Linotype" w:cs="Palatino Linotype"/>
          <w:color w:val="000000" w:themeColor="text1"/>
        </w:rPr>
      </w:pPr>
    </w:p>
    <w:tbl>
      <w:tblPr>
        <w:tblStyle w:val="a5"/>
        <w:tblW w:w="9754"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65"/>
      </w:tblGrid>
      <w:tr w:rsidR="00F06274" w:rsidRPr="00F06274" w:rsidTr="00B21C39">
        <w:tc>
          <w:tcPr>
            <w:tcW w:w="2689" w:type="dxa"/>
          </w:tcPr>
          <w:p w:rsidR="00337BEB" w:rsidRPr="00F06274" w:rsidRDefault="000B245E" w:rsidP="00F06274">
            <w:pPr>
              <w:tabs>
                <w:tab w:val="left" w:pos="284"/>
              </w:tabs>
              <w:spacing w:line="360" w:lineRule="auto"/>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a) Requisitos previos.</w:t>
            </w:r>
          </w:p>
        </w:tc>
        <w:tc>
          <w:tcPr>
            <w:tcW w:w="7065" w:type="dxa"/>
          </w:tcPr>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Al hacerlo tienen que precisar de qué información se trata, señalando el supuesto de clasificación (confidencialidad o reserva).</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F06274">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F06274">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F06274" w:rsidRPr="00F06274" w:rsidTr="00B21C39">
        <w:tc>
          <w:tcPr>
            <w:tcW w:w="2689" w:type="dxa"/>
          </w:tcPr>
          <w:p w:rsidR="00337BEB" w:rsidRPr="00F06274" w:rsidRDefault="000B245E" w:rsidP="00F06274">
            <w:pPr>
              <w:tabs>
                <w:tab w:val="left" w:pos="284"/>
              </w:tabs>
              <w:spacing w:line="360" w:lineRule="auto"/>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b) Supuestos de clasificación.</w:t>
            </w:r>
          </w:p>
        </w:tc>
        <w:tc>
          <w:tcPr>
            <w:tcW w:w="7065" w:type="dxa"/>
          </w:tcPr>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F06274">
              <w:rPr>
                <w:rFonts w:ascii="Palatino Linotype" w:eastAsia="Palatino Linotype" w:hAnsi="Palatino Linotype" w:cs="Palatino Linotype"/>
                <w:color w:val="000000" w:themeColor="text1"/>
              </w:rPr>
              <w:lastRenderedPageBreak/>
              <w:t>ampliar las excepciones o supuestos de clasificación aduciendo analogía o mayoría de razón.</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06274" w:rsidRPr="00F06274" w:rsidTr="00B21C39">
        <w:tc>
          <w:tcPr>
            <w:tcW w:w="2689" w:type="dxa"/>
          </w:tcPr>
          <w:p w:rsidR="00337BEB" w:rsidRPr="00F06274" w:rsidRDefault="000B245E" w:rsidP="00F06274">
            <w:pPr>
              <w:tabs>
                <w:tab w:val="left" w:pos="284"/>
              </w:tabs>
              <w:spacing w:line="360" w:lineRule="auto"/>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c) Formalidades para emitir el acuerdo de clasificación.</w:t>
            </w:r>
          </w:p>
        </w:tc>
        <w:tc>
          <w:tcPr>
            <w:tcW w:w="7065" w:type="dxa"/>
          </w:tcPr>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Es necesario que </w:t>
            </w:r>
            <w:r w:rsidRPr="00F06274">
              <w:rPr>
                <w:rFonts w:ascii="Palatino Linotype" w:eastAsia="Palatino Linotype" w:hAnsi="Palatino Linotype" w:cs="Palatino Linotype"/>
                <w:b/>
                <w:color w:val="000000" w:themeColor="text1"/>
                <w:u w:val="single"/>
              </w:rPr>
              <w:t>el acto reúna con los requisitos elementales</w:t>
            </w:r>
            <w:r w:rsidRPr="00F06274">
              <w:rPr>
                <w:rFonts w:ascii="Palatino Linotype" w:eastAsia="Palatino Linotype" w:hAnsi="Palatino Linotype" w:cs="Palatino Linotype"/>
                <w:color w:val="000000" w:themeColor="text1"/>
              </w:rPr>
              <w:t>, entre ellos, que la autoridad que va a emitir el acto de autoridad sea la legalmente facultada para ello.</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06274" w:rsidRPr="00F06274" w:rsidTr="00B21C39">
        <w:tc>
          <w:tcPr>
            <w:tcW w:w="2689" w:type="dxa"/>
          </w:tcPr>
          <w:p w:rsidR="00337BEB" w:rsidRPr="00F06274" w:rsidRDefault="00337BEB" w:rsidP="00F06274">
            <w:pPr>
              <w:tabs>
                <w:tab w:val="left" w:pos="284"/>
              </w:tabs>
              <w:spacing w:line="360" w:lineRule="auto"/>
              <w:rPr>
                <w:rFonts w:ascii="Palatino Linotype" w:eastAsia="Palatino Linotype" w:hAnsi="Palatino Linotype" w:cs="Palatino Linotype"/>
                <w:color w:val="000000" w:themeColor="text1"/>
              </w:rPr>
            </w:pP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d) Requisitos de fondo del acuerdo de clasificación. </w:t>
            </w:r>
          </w:p>
        </w:tc>
        <w:tc>
          <w:tcPr>
            <w:tcW w:w="7065" w:type="dxa"/>
          </w:tcPr>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06274">
              <w:rPr>
                <w:rFonts w:ascii="Palatino Linotype" w:eastAsia="Palatino Linotype" w:hAnsi="Palatino Linotype" w:cs="Palatino Linotype"/>
                <w:b/>
                <w:color w:val="000000" w:themeColor="text1"/>
              </w:rPr>
              <w:t>Sujetos Obligados</w:t>
            </w:r>
            <w:r w:rsidRPr="00F06274">
              <w:rPr>
                <w:rFonts w:ascii="Palatino Linotype" w:eastAsia="Palatino Linotype" w:hAnsi="Palatino Linotype" w:cs="Palatino Linotype"/>
                <w:color w:val="000000" w:themeColor="text1"/>
              </w:rPr>
              <w:t xml:space="preserve">, por lo que deberán fundar y motivar debidamente la clasificación. </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De lo anterior, se desprende que para una correcta </w:t>
            </w:r>
            <w:r w:rsidRPr="00F06274">
              <w:rPr>
                <w:rFonts w:ascii="Palatino Linotype" w:eastAsia="Palatino Linotype" w:hAnsi="Palatino Linotype" w:cs="Palatino Linotype"/>
                <w:b/>
                <w:color w:val="000000" w:themeColor="text1"/>
              </w:rPr>
              <w:t>clasificación total o parcial</w:t>
            </w:r>
            <w:r w:rsidRPr="00F0627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F06274">
              <w:rPr>
                <w:rFonts w:ascii="Palatino Linotype" w:eastAsia="Palatino Linotype" w:hAnsi="Palatino Linotype" w:cs="Palatino Linotype"/>
                <w:color w:val="000000" w:themeColor="text1"/>
              </w:rPr>
              <w:lastRenderedPageBreak/>
              <w:t>clasificación se deben acreditar las circunstancias de tiempo, modo y lugar.</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Ahora bien, </w:t>
            </w:r>
            <w:r w:rsidRPr="00F06274">
              <w:rPr>
                <w:rFonts w:ascii="Palatino Linotype" w:eastAsia="Palatino Linotype" w:hAnsi="Palatino Linotype" w:cs="Palatino Linotype"/>
                <w:b/>
                <w:color w:val="000000" w:themeColor="text1"/>
                <w:u w:val="single"/>
              </w:rPr>
              <w:t>para cada caso además de fundar y motivar</w:t>
            </w:r>
            <w:r w:rsidRPr="00F06274">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06274" w:rsidRPr="00F06274" w:rsidTr="00B21C39">
        <w:tc>
          <w:tcPr>
            <w:tcW w:w="2689" w:type="dxa"/>
          </w:tcPr>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65" w:type="dxa"/>
          </w:tcPr>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337BEB" w:rsidRPr="00F06274" w:rsidRDefault="000B245E" w:rsidP="00F06274">
            <w:pP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37BEB" w:rsidRPr="00F06274" w:rsidRDefault="000B245E" w:rsidP="00F06274">
            <w:pPr>
              <w:tabs>
                <w:tab w:val="left" w:pos="284"/>
              </w:tabs>
              <w:spacing w:line="360" w:lineRule="auto"/>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37BEB" w:rsidRPr="00F06274" w:rsidRDefault="000B245E" w:rsidP="00F06274">
      <w:pPr>
        <w:numPr>
          <w:ilvl w:val="0"/>
          <w:numId w:val="1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Por otro lado, de manera enunciativa mas no limitativas, dentro de los elementos que integran los recibos de nómina se pueden encontrar los siguientes:</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Clave Única de Registro de Población (CURP);</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Número de ISSEMyM;</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Número de empleado;</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Registro Federal de Contribuyentes (RFC);</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Número de Serie del CSD del SAT;</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Número de Serie del CDS del emisor;</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Serie y folio;</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Firma;</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Código QR;</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Sello Digital del Contribuyente; y</w:t>
      </w:r>
    </w:p>
    <w:p w:rsidR="00337BEB" w:rsidRPr="00F06274" w:rsidRDefault="000B245E" w:rsidP="00F06274">
      <w:pPr>
        <w:numPr>
          <w:ilvl w:val="0"/>
          <w:numId w:val="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Sello Digital del SAT.</w:t>
      </w:r>
    </w:p>
    <w:p w:rsidR="00337BEB" w:rsidRPr="00F06274" w:rsidRDefault="00337BEB" w:rsidP="00F0627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pStyle w:val="Ttulo3"/>
        <w:numPr>
          <w:ilvl w:val="0"/>
          <w:numId w:val="2"/>
        </w:numPr>
        <w:ind w:left="0" w:firstLine="0"/>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Clave Única de Registro de Población (CURP).</w:t>
      </w:r>
    </w:p>
    <w:p w:rsidR="00337BEB" w:rsidRPr="00F06274" w:rsidRDefault="000B245E" w:rsidP="00F06274">
      <w:pPr>
        <w:numPr>
          <w:ilvl w:val="0"/>
          <w:numId w:val="11"/>
        </w:num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337BEB" w:rsidRPr="00F06274" w:rsidRDefault="000B245E" w:rsidP="00B21C39">
      <w:pPr>
        <w:shd w:val="clear" w:color="auto" w:fill="FFFFFF"/>
        <w:spacing w:before="240" w:after="240" w:line="360" w:lineRule="auto"/>
        <w:jc w:val="center"/>
        <w:rPr>
          <w:rFonts w:ascii="Palatino Linotype" w:eastAsia="Palatino Linotype" w:hAnsi="Palatino Linotype" w:cs="Palatino Linotype"/>
          <w:color w:val="000000" w:themeColor="text1"/>
        </w:rPr>
      </w:pPr>
      <w:r w:rsidRPr="00F06274">
        <w:rPr>
          <w:rFonts w:ascii="Palatino Linotype" w:hAnsi="Palatino Linotype"/>
          <w:noProof/>
          <w:color w:val="000000" w:themeColor="text1"/>
          <w:lang w:val="es-MX"/>
        </w:rPr>
        <w:lastRenderedPageBreak/>
        <w:drawing>
          <wp:inline distT="0" distB="0" distL="0" distR="0">
            <wp:extent cx="5305425" cy="4676775"/>
            <wp:effectExtent l="0" t="0" r="0" b="0"/>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25747" t="8269" r="41253" b="18081"/>
                    <a:stretch>
                      <a:fillRect/>
                    </a:stretch>
                  </pic:blipFill>
                  <pic:spPr>
                    <a:xfrm>
                      <a:off x="0" y="0"/>
                      <a:ext cx="5305425" cy="4676775"/>
                    </a:xfrm>
                    <a:prstGeom prst="rect">
                      <a:avLst/>
                    </a:prstGeom>
                    <a:ln/>
                  </pic:spPr>
                </pic:pic>
              </a:graphicData>
            </a:graphic>
          </wp:inline>
        </w:drawing>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Entre las características de la CURP, se encuentra: </w:t>
      </w:r>
    </w:p>
    <w:p w:rsidR="00337BEB" w:rsidRPr="00F06274" w:rsidRDefault="000B245E" w:rsidP="00F062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 xml:space="preserve">Composición. </w:t>
      </w:r>
      <w:r w:rsidRPr="00F06274">
        <w:rPr>
          <w:rFonts w:ascii="Palatino Linotype" w:eastAsia="Palatino Linotype" w:hAnsi="Palatino Linotype" w:cs="Palatino Linotype"/>
          <w:color w:val="000000" w:themeColor="text1"/>
        </w:rPr>
        <w:t>Alfanumérica.</w:t>
      </w:r>
    </w:p>
    <w:p w:rsidR="00337BEB" w:rsidRPr="00F06274" w:rsidRDefault="000B245E" w:rsidP="00F062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 xml:space="preserve">Longitud. </w:t>
      </w:r>
      <w:r w:rsidRPr="00F06274">
        <w:rPr>
          <w:rFonts w:ascii="Palatino Linotype" w:eastAsia="Palatino Linotype" w:hAnsi="Palatino Linotype" w:cs="Palatino Linotype"/>
          <w:color w:val="000000" w:themeColor="text1"/>
        </w:rPr>
        <w:t xml:space="preserve"> 18 caracteres.</w:t>
      </w:r>
    </w:p>
    <w:p w:rsidR="00337BEB" w:rsidRPr="00F06274" w:rsidRDefault="000B245E" w:rsidP="00F062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lastRenderedPageBreak/>
        <w:t xml:space="preserve">Naturaleza. </w:t>
      </w:r>
      <w:r w:rsidRPr="00F06274">
        <w:rPr>
          <w:rFonts w:ascii="Palatino Linotype" w:eastAsia="Palatino Linotype" w:hAnsi="Palatino Linotype" w:cs="Palatino Linotype"/>
          <w:color w:val="000000" w:themeColor="text1"/>
        </w:rPr>
        <w:t>Biunívoca.</w:t>
      </w:r>
    </w:p>
    <w:p w:rsidR="00337BEB" w:rsidRPr="00F06274" w:rsidRDefault="000B245E" w:rsidP="00F062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 xml:space="preserve">Universalidad. </w:t>
      </w:r>
      <w:r w:rsidRPr="00F06274">
        <w:rPr>
          <w:rFonts w:ascii="Palatino Linotype" w:eastAsia="Palatino Linotype" w:hAnsi="Palatino Linotype" w:cs="Palatino Linotype"/>
          <w:color w:val="000000" w:themeColor="text1"/>
        </w:rPr>
        <w:t>Se asigna a todas las personas que conforman la población.</w:t>
      </w:r>
    </w:p>
    <w:p w:rsidR="00337BEB" w:rsidRPr="00F06274" w:rsidRDefault="000B245E" w:rsidP="00F0627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337BEB" w:rsidRPr="00F06274" w:rsidRDefault="000B245E" w:rsidP="00F0627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i/>
          <w:color w:val="000000" w:themeColor="text1"/>
        </w:rPr>
        <w:lastRenderedPageBreak/>
        <w:t>“</w:t>
      </w:r>
      <w:r w:rsidRPr="00F06274">
        <w:rPr>
          <w:rFonts w:ascii="Palatino Linotype" w:eastAsia="Palatino Linotype" w:hAnsi="Palatino Linotype" w:cs="Palatino Linotype"/>
          <w:b/>
          <w:i/>
          <w:color w:val="000000" w:themeColor="text1"/>
        </w:rPr>
        <w:t xml:space="preserve">Clave Única de Registro de Población (CURP). </w:t>
      </w:r>
      <w:r w:rsidRPr="00F06274">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rsidR="00337BEB" w:rsidRPr="00F06274" w:rsidRDefault="00337BEB" w:rsidP="00F0627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pStyle w:val="Ttulo3"/>
        <w:numPr>
          <w:ilvl w:val="0"/>
          <w:numId w:val="4"/>
        </w:numPr>
        <w:ind w:left="0" w:firstLine="0"/>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Clave ISSEMyM</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Como se advierte, el número del Instituto de Seguridad y Servicios Sociales del Estado de México y Municipios, es un dato personal que permite identificar que una </w:t>
      </w:r>
      <w:r w:rsidRPr="00F06274">
        <w:rPr>
          <w:rFonts w:ascii="Palatino Linotype" w:eastAsia="Palatino Linotype" w:hAnsi="Palatino Linotype" w:cs="Palatino Linotype"/>
          <w:color w:val="000000" w:themeColor="text1"/>
        </w:rPr>
        <w:lastRenderedPageBreak/>
        <w:t>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337BEB" w:rsidRPr="00F06274" w:rsidRDefault="000B245E" w:rsidP="00F06274">
      <w:pPr>
        <w:pStyle w:val="Ttulo3"/>
        <w:numPr>
          <w:ilvl w:val="0"/>
          <w:numId w:val="4"/>
        </w:numPr>
        <w:ind w:left="0" w:firstLine="0"/>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Número de empleado.</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b/>
          <w:i/>
          <w:color w:val="000000" w:themeColor="text1"/>
        </w:rPr>
        <w:t>Número de empleado.</w:t>
      </w:r>
      <w:r w:rsidRPr="00F06274">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otros escenarios, el número de empleado corresponde sólo a un número consecutivo que no contiene datos personales ni se relaciona con los mismos, por lo que, </w:t>
      </w:r>
      <w:r w:rsidRPr="00F06274">
        <w:rPr>
          <w:rFonts w:ascii="Palatino Linotype" w:eastAsia="Palatino Linotype" w:hAnsi="Palatino Linotype" w:cs="Palatino Linotype"/>
          <w:color w:val="000000" w:themeColor="text1"/>
        </w:rPr>
        <w:lastRenderedPageBreak/>
        <w:t>el Sujeto Obligado deberá de clasificar dicho dato únicamente si se integra con datos personales, tal y como lo señala el criterio orientador.</w:t>
      </w:r>
    </w:p>
    <w:p w:rsidR="00337BEB" w:rsidRPr="00F06274" w:rsidRDefault="000B245E" w:rsidP="00F06274">
      <w:pPr>
        <w:pStyle w:val="Ttulo3"/>
        <w:numPr>
          <w:ilvl w:val="0"/>
          <w:numId w:val="4"/>
        </w:numPr>
        <w:ind w:left="0" w:firstLine="0"/>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Registro Federal de Contribuyentes (RFC)</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w:t>
      </w:r>
      <w:r w:rsidRPr="00F06274">
        <w:rPr>
          <w:rFonts w:ascii="Palatino Linotype" w:eastAsia="Palatino Linotype" w:hAnsi="Palatino Linotype" w:cs="Palatino Linotype"/>
          <w:color w:val="000000" w:themeColor="text1"/>
        </w:rPr>
        <w:lastRenderedPageBreak/>
        <w:t>se trata de un dato relevante únicamente para las personas involucradas, en el pago de estos.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F06274">
        <w:rPr>
          <w:rFonts w:ascii="Palatino Linotype" w:eastAsia="Palatino Linotype" w:hAnsi="Palatino Linotype" w:cs="Palatino Linotype"/>
          <w:b/>
          <w:i/>
          <w:color w:val="000000" w:themeColor="text1"/>
        </w:rPr>
        <w:t xml:space="preserve">Registro Federal de Contribuyentes (RFC) de personas físicas.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F06274">
        <w:rPr>
          <w:rFonts w:ascii="Palatino Linotype" w:eastAsia="Palatino Linotype" w:hAnsi="Palatino Linotype" w:cs="Palatino Linotype"/>
          <w:color w:val="000000" w:themeColor="text1"/>
        </w:rPr>
        <w:t>, así como tampoco con el desempeño laboral que pueda tener una persona.</w:t>
      </w:r>
    </w:p>
    <w:p w:rsidR="00337BEB" w:rsidRPr="00F06274" w:rsidRDefault="000B245E" w:rsidP="00F06274">
      <w:pPr>
        <w:pStyle w:val="Ttulo3"/>
        <w:numPr>
          <w:ilvl w:val="0"/>
          <w:numId w:val="4"/>
        </w:numPr>
        <w:ind w:left="0" w:firstLine="0"/>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Deducciones personales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F06274">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F06274">
        <w:rPr>
          <w:rFonts w:ascii="Palatino Linotype" w:eastAsia="Palatino Linotype" w:hAnsi="Palatino Linotype" w:cs="Palatino Linotype"/>
          <w:color w:val="000000" w:themeColor="text1"/>
        </w:rPr>
        <w:t>, seguro de vida, accidentes y enfermedades.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bookmarkStart w:id="12" w:name="_heading=h.1ksv4uv" w:colFirst="0" w:colLast="0"/>
      <w:bookmarkEnd w:id="12"/>
      <w:r w:rsidRPr="00F06274">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p>
    <w:p w:rsidR="00337BEB" w:rsidRPr="00F06274" w:rsidRDefault="000B245E" w:rsidP="00F06274">
      <w:pPr>
        <w:pStyle w:val="Ttulo3"/>
        <w:numPr>
          <w:ilvl w:val="0"/>
          <w:numId w:val="4"/>
        </w:numPr>
        <w:ind w:left="0" w:firstLine="0"/>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CÓDIGO QR</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F06274">
        <w:rPr>
          <w:rFonts w:ascii="Palatino Linotype" w:eastAsia="Palatino Linotype" w:hAnsi="Palatino Linotype" w:cs="Palatino Linotype"/>
          <w:i/>
          <w:color w:val="000000" w:themeColor="text1"/>
        </w:rPr>
        <w:t>QR Code (Quick Response Code)</w:t>
      </w:r>
      <w:r w:rsidRPr="00F06274">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1">
        <w:r w:rsidRPr="00F06274">
          <w:rPr>
            <w:rFonts w:ascii="Palatino Linotype" w:eastAsia="Palatino Linotype" w:hAnsi="Palatino Linotype" w:cs="Palatino Linotype"/>
            <w:color w:val="000000" w:themeColor="text1"/>
            <w:u w:val="single"/>
          </w:rPr>
          <w:t>http://dof.gob.mx/nota_detalle.php?codigo=5492254&amp;fecha=28/07/2017</w:t>
        </w:r>
      </w:hyperlink>
      <w:r w:rsidRPr="00F06274">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Hasta este punto, se considera que la información relacionada con los siguientes puntos actualiza una causal de confidencialidad, toda vez que identifica o hace identificable a su titular.</w:t>
      </w:r>
    </w:p>
    <w:p w:rsidR="00337BEB" w:rsidRPr="00F06274" w:rsidRDefault="000B245E" w:rsidP="00F0627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Clave Única de Registro de Población (CURP)</w:t>
      </w:r>
    </w:p>
    <w:p w:rsidR="00337BEB" w:rsidRPr="00F06274" w:rsidRDefault="000B245E" w:rsidP="00F0627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Clave ISSEMyM</w:t>
      </w:r>
    </w:p>
    <w:p w:rsidR="00337BEB" w:rsidRPr="00F06274" w:rsidRDefault="000B245E" w:rsidP="00F0627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Número de empleado </w:t>
      </w:r>
      <w:r w:rsidRPr="00F06274">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337BEB" w:rsidRPr="00F06274" w:rsidRDefault="000B245E" w:rsidP="00F0627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Registro Federal de Contribuyentes (RFC)</w:t>
      </w:r>
    </w:p>
    <w:p w:rsidR="00337BEB" w:rsidRPr="00F06274" w:rsidRDefault="000B245E" w:rsidP="00F0627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Deducciones personales</w:t>
      </w:r>
    </w:p>
    <w:p w:rsidR="00337BEB" w:rsidRPr="00F06274" w:rsidRDefault="000B245E" w:rsidP="00F0627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Código QR</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bookmarkStart w:id="13" w:name="_heading=h.44sinio" w:colFirst="0" w:colLast="0"/>
      <w:bookmarkEnd w:id="13"/>
      <w:r w:rsidRPr="00F06274">
        <w:rPr>
          <w:rFonts w:ascii="Palatino Linotype" w:eastAsia="Palatino Linotype" w:hAnsi="Palatino Linotype" w:cs="Palatino Linotype"/>
          <w:color w:val="000000" w:themeColor="text1"/>
        </w:rPr>
        <w:t>Ahora bien, siguiendo con el análisis de los datos que contienen los recibos remitidos, siguen los siguientes:</w:t>
      </w:r>
    </w:p>
    <w:p w:rsidR="00337BEB" w:rsidRPr="00F06274" w:rsidRDefault="000B245E" w:rsidP="00F06274">
      <w:pPr>
        <w:pStyle w:val="Ttulo3"/>
        <w:numPr>
          <w:ilvl w:val="0"/>
          <w:numId w:val="5"/>
        </w:numPr>
        <w:spacing w:line="360" w:lineRule="auto"/>
        <w:ind w:left="0" w:firstLine="0"/>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lastRenderedPageBreak/>
        <w:t>Sellos digitales del emisor y del Servicio de Administración Tributaria y cadena original del complemento de certificación digital del órgano previamente señalado; así como folio fiscal. (PUBLICOS)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Las cadenas originales y sellos que se agregan a las facturas</w:t>
      </w:r>
      <w:r w:rsidRPr="00F06274">
        <w:rPr>
          <w:rFonts w:ascii="Palatino Linotype" w:eastAsia="Palatino Linotype" w:hAnsi="Palatino Linotype" w:cs="Palatino Linotype"/>
          <w:b/>
          <w:color w:val="000000" w:themeColor="text1"/>
        </w:rPr>
        <w:t>,</w:t>
      </w:r>
      <w:r w:rsidRPr="00F06274">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“Elementos utilizados en la generación de Sellos Digitales:</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•Cadena Original, el elemento a sellar, en este caso de un comprobante fiscal digital a través de Internet.</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lastRenderedPageBreak/>
        <w:t>•Certificado de Sello Digital y su correspondiente clave privada.</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•Algoritmos de criptografía de clave pública para firma electrónica avanzada.</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•Especificaciones de conversión de la firma electrónica avanzada a Base 64.</w:t>
      </w:r>
    </w:p>
    <w:p w:rsidR="00337BEB" w:rsidRPr="00F06274" w:rsidRDefault="000B245E" w:rsidP="00F06274">
      <w:pP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Criptografía de la Clave Pública</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w:t>
      </w:r>
      <w:r w:rsidRPr="00F06274">
        <w:rPr>
          <w:rFonts w:ascii="Palatino Linotype" w:eastAsia="Palatino Linotype" w:hAnsi="Palatino Linotype" w:cs="Palatino Linotype"/>
          <w:color w:val="000000" w:themeColor="text1"/>
        </w:rPr>
        <w:lastRenderedPageBreak/>
        <w:t>digitales, compuesto por 5 grupos de números y letras separados por guiones, tal como se muestra a continuación:</w:t>
      </w:r>
    </w:p>
    <w:p w:rsidR="00337BEB" w:rsidRPr="00F06274" w:rsidRDefault="000B245E" w:rsidP="00B21C39">
      <w:pPr>
        <w:shd w:val="clear" w:color="auto" w:fill="FFFFFF"/>
        <w:spacing w:before="240" w:after="240" w:line="360" w:lineRule="auto"/>
        <w:jc w:val="center"/>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noProof/>
          <w:color w:val="000000" w:themeColor="text1"/>
          <w:lang w:val="es-MX"/>
        </w:rPr>
        <w:drawing>
          <wp:inline distT="0" distB="0" distL="0" distR="0">
            <wp:extent cx="5612130" cy="424735"/>
            <wp:effectExtent l="0" t="0" r="0" b="0"/>
            <wp:docPr id="6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40505" r="32587" b="47481"/>
                    <a:stretch>
                      <a:fillRect/>
                    </a:stretch>
                  </pic:blipFill>
                  <pic:spPr>
                    <a:xfrm>
                      <a:off x="0" y="0"/>
                      <a:ext cx="5612130" cy="424735"/>
                    </a:xfrm>
                    <a:prstGeom prst="rect">
                      <a:avLst/>
                    </a:prstGeom>
                    <a:ln/>
                  </pic:spPr>
                </pic:pic>
              </a:graphicData>
            </a:graphic>
          </wp:inline>
        </w:drawing>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B21C39" w:rsidRDefault="00B21C39"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21C39" w:rsidRDefault="00B21C39"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21C39" w:rsidRDefault="00B21C39"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lastRenderedPageBreak/>
        <w:t>Deducciones que no son personales.</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La Ley del Trabajo de los Servidores Públicos del Estado y Municipios</w:t>
      </w:r>
      <w:r w:rsidRPr="00F06274">
        <w:rPr>
          <w:rFonts w:ascii="Palatino Linotype" w:eastAsia="Palatino Linotype" w:hAnsi="Palatino Linotype" w:cs="Palatino Linotype"/>
          <w:color w:val="000000" w:themeColor="text1"/>
          <w:vertAlign w:val="superscript"/>
        </w:rPr>
        <w:footnoteReference w:id="6"/>
      </w:r>
      <w:r w:rsidRPr="00F06274">
        <w:rPr>
          <w:rFonts w:ascii="Palatino Linotype" w:eastAsia="Palatino Linotype" w:hAnsi="Palatino Linotype" w:cs="Palatino Linotype"/>
          <w:color w:val="000000" w:themeColor="text1"/>
        </w:rPr>
        <w:t xml:space="preserve"> en el artículo 84 establece lo siguiente:</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ARTÍCULO 84. Sólo podrán hacerse retenciones, descuentos o deducciones al sueldo de los servidores públicos por concepto de: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F06274">
        <w:rPr>
          <w:rFonts w:ascii="Palatino Linotype" w:eastAsia="Palatino Linotype" w:hAnsi="Palatino Linotype" w:cs="Palatino Linotype"/>
          <w:b/>
          <w:i/>
          <w:color w:val="000000" w:themeColor="text1"/>
        </w:rPr>
        <w:t>I. Gravámenes fiscales relacionados con el sueldo;</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III. Cuotas sindicales;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F06274">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F06274">
        <w:rPr>
          <w:rFonts w:ascii="Palatino Linotype" w:eastAsia="Palatino Linotype" w:hAnsi="Palatino Linotype" w:cs="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VII. Faltas de puntualidad o de asistencia injustificadas;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VIII. Pensiones alimenticias ordenadas por la autoridad judicial; o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IX. Cualquier otro convenido con instituciones de servicios y aceptado por el servidor público.</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lastRenderedPageBreak/>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337BEB" w:rsidRPr="00F06274" w:rsidRDefault="000B245E" w:rsidP="00F0627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Seguro de Capitalización Individualizado.</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w:t>
      </w:r>
      <w:r w:rsidRPr="00F06274">
        <w:rPr>
          <w:rFonts w:ascii="Palatino Linotype" w:eastAsia="Palatino Linotype" w:hAnsi="Palatino Linotype" w:cs="Palatino Linotype"/>
          <w:color w:val="000000" w:themeColor="text1"/>
        </w:rPr>
        <w:tab/>
        <w:t>Subcuenta de cuota obligatoria; que corresponde a un porcentaje del sueldo sujeto a cotización, que se descuenta al servir público de manera automática.</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w:t>
      </w:r>
      <w:r w:rsidRPr="00F06274">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w:t>
      </w:r>
      <w:r w:rsidRPr="00F06274">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w:t>
      </w:r>
      <w:r w:rsidRPr="00F06274">
        <w:rPr>
          <w:rFonts w:ascii="Palatino Linotype" w:eastAsia="Palatino Linotype" w:hAnsi="Palatino Linotype" w:cs="Palatino Linotype"/>
          <w:color w:val="000000" w:themeColor="text1"/>
        </w:rPr>
        <w:lastRenderedPageBreak/>
        <w:t xml:space="preserve">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337BEB" w:rsidRPr="00F06274" w:rsidRDefault="000B245E" w:rsidP="00F0627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06274">
        <w:rPr>
          <w:rFonts w:ascii="Palatino Linotype" w:eastAsia="Palatino Linotype" w:hAnsi="Palatino Linotype" w:cs="Palatino Linotype"/>
          <w:i/>
          <w:color w:val="000000" w:themeColor="text1"/>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w:t>
      </w:r>
      <w:r w:rsidRPr="00F06274">
        <w:rPr>
          <w:rFonts w:ascii="Palatino Linotype" w:eastAsia="Palatino Linotype" w:hAnsi="Palatino Linotype" w:cs="Palatino Linotype"/>
          <w:i/>
          <w:color w:val="000000" w:themeColor="text1"/>
        </w:rPr>
        <w:lastRenderedPageBreak/>
        <w:t>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F06274">
        <w:rPr>
          <w:rFonts w:ascii="Palatino Linotype" w:eastAsia="Palatino Linotype" w:hAnsi="Palatino Linotype" w:cs="Palatino Linotype"/>
          <w:color w:val="000000" w:themeColor="text1"/>
        </w:rPr>
        <w:t xml:space="preserve"> </w:t>
      </w:r>
    </w:p>
    <w:p w:rsidR="00337BEB" w:rsidRPr="00F06274" w:rsidRDefault="000B245E" w:rsidP="00F06274">
      <w:pPr>
        <w:numPr>
          <w:ilvl w:val="0"/>
          <w:numId w:val="1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37BEB" w:rsidRPr="00F06274" w:rsidRDefault="000B245E" w:rsidP="00F06274">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F06274">
        <w:rPr>
          <w:rFonts w:ascii="Palatino Linotype" w:eastAsia="Palatino Linotype" w:hAnsi="Palatino Linotype" w:cs="Palatino Linotype"/>
          <w:b/>
          <w:color w:val="000000" w:themeColor="text1"/>
        </w:rPr>
        <w:t xml:space="preserve"> RECURRENTE</w:t>
      </w:r>
      <w:r w:rsidRPr="00F06274">
        <w:rPr>
          <w:rFonts w:ascii="Palatino Linotype" w:eastAsia="Palatino Linotype" w:hAnsi="Palatino Linotype" w:cs="Palatino Linotype"/>
          <w:color w:val="000000" w:themeColor="text1"/>
        </w:rPr>
        <w:t xml:space="preserve">, determinando </w:t>
      </w:r>
      <w:r w:rsidRPr="00F06274">
        <w:rPr>
          <w:rFonts w:ascii="Palatino Linotype" w:eastAsia="Palatino Linotype" w:hAnsi="Palatino Linotype" w:cs="Palatino Linotype"/>
          <w:b/>
          <w:color w:val="000000" w:themeColor="text1"/>
        </w:rPr>
        <w:t xml:space="preserve">REVOCAR </w:t>
      </w:r>
      <w:r w:rsidRPr="00F06274">
        <w:rPr>
          <w:rFonts w:ascii="Palatino Linotype" w:eastAsia="Palatino Linotype" w:hAnsi="Palatino Linotype" w:cs="Palatino Linotype"/>
          <w:color w:val="000000" w:themeColor="text1"/>
        </w:rPr>
        <w:t xml:space="preserve">la respuesta del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F06274">
        <w:rPr>
          <w:rFonts w:ascii="Palatino Linotype" w:eastAsia="Palatino Linotype" w:hAnsi="Palatino Linotype" w:cs="Palatino Linotype"/>
          <w:b/>
          <w:color w:val="000000" w:themeColor="text1"/>
        </w:rPr>
        <w:t>ÓRGANO GARANTE</w:t>
      </w:r>
      <w:r w:rsidRPr="00F06274">
        <w:rPr>
          <w:rFonts w:ascii="Palatino Linotype" w:eastAsia="Palatino Linotype" w:hAnsi="Palatino Linotype" w:cs="Palatino Linotype"/>
          <w:color w:val="000000" w:themeColor="text1"/>
        </w:rPr>
        <w:t xml:space="preserve"> emite los siguientes.</w:t>
      </w:r>
      <w:r w:rsidR="00B21C39">
        <w:rPr>
          <w:rFonts w:ascii="Palatino Linotype" w:eastAsia="Palatino Linotype" w:hAnsi="Palatino Linotype" w:cs="Palatino Linotype"/>
          <w:color w:val="000000" w:themeColor="text1"/>
        </w:rPr>
        <w:t xml:space="preserve"> -------------------------------------------------------------------------------------------------------</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pStyle w:val="Ttulo1"/>
        <w:spacing w:before="0" w:line="360" w:lineRule="auto"/>
        <w:jc w:val="center"/>
        <w:rPr>
          <w:b w:val="0"/>
          <w:szCs w:val="24"/>
        </w:rPr>
      </w:pPr>
      <w:r w:rsidRPr="00F06274">
        <w:rPr>
          <w:szCs w:val="24"/>
        </w:rPr>
        <w:lastRenderedPageBreak/>
        <w:t>R E S O L U T I V O S</w:t>
      </w:r>
    </w:p>
    <w:p w:rsidR="00337BEB" w:rsidRPr="00F06274" w:rsidRDefault="00337BEB" w:rsidP="00F06274">
      <w:pPr>
        <w:spacing w:line="360" w:lineRule="auto"/>
        <w:rPr>
          <w:rFonts w:ascii="Palatino Linotype" w:eastAsia="Palatino Linotype" w:hAnsi="Palatino Linotype" w:cs="Palatino Linotype"/>
          <w:color w:val="000000" w:themeColor="text1"/>
        </w:rPr>
      </w:pP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PRIMERO</w:t>
      </w:r>
      <w:r w:rsidRPr="00F06274">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EB4509" w:rsidRPr="00F06274">
        <w:rPr>
          <w:rFonts w:ascii="Palatino Linotype" w:eastAsia="Palatino Linotype" w:hAnsi="Palatino Linotype" w:cs="Palatino Linotype"/>
          <w:b/>
          <w:color w:val="000000" w:themeColor="text1"/>
        </w:rPr>
        <w:t>07808</w:t>
      </w:r>
      <w:r w:rsidRPr="00F06274">
        <w:rPr>
          <w:rFonts w:ascii="Palatino Linotype" w:eastAsia="Palatino Linotype" w:hAnsi="Palatino Linotype" w:cs="Palatino Linotype"/>
          <w:b/>
          <w:color w:val="000000" w:themeColor="text1"/>
        </w:rPr>
        <w:t xml:space="preserve">/INFOEM/IP/RR/2025 </w:t>
      </w:r>
      <w:r w:rsidRPr="00F06274">
        <w:rPr>
          <w:rFonts w:ascii="Palatino Linotype" w:eastAsia="Palatino Linotype" w:hAnsi="Palatino Linotype" w:cs="Palatino Linotype"/>
          <w:color w:val="000000" w:themeColor="text1"/>
        </w:rPr>
        <w:t xml:space="preserve">en términos del Considerando </w:t>
      </w:r>
      <w:r w:rsidRPr="00F06274">
        <w:rPr>
          <w:rFonts w:ascii="Palatino Linotype" w:eastAsia="Palatino Linotype" w:hAnsi="Palatino Linotype" w:cs="Palatino Linotype"/>
          <w:b/>
          <w:color w:val="000000" w:themeColor="text1"/>
        </w:rPr>
        <w:t xml:space="preserve">Cuarto y Quinto </w:t>
      </w:r>
      <w:r w:rsidRPr="00F06274">
        <w:rPr>
          <w:rFonts w:ascii="Palatino Linotype" w:eastAsia="Palatino Linotype" w:hAnsi="Palatino Linotype" w:cs="Palatino Linotype"/>
          <w:color w:val="000000" w:themeColor="text1"/>
        </w:rPr>
        <w:t xml:space="preserve">de la presente resolución. </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bookmarkStart w:id="14" w:name="_heading=h.26in1rg" w:colFirst="0" w:colLast="0"/>
      <w:bookmarkEnd w:id="14"/>
      <w:r w:rsidRPr="00F06274">
        <w:rPr>
          <w:rFonts w:ascii="Palatino Linotype" w:eastAsia="Palatino Linotype" w:hAnsi="Palatino Linotype" w:cs="Palatino Linotype"/>
          <w:b/>
          <w:color w:val="000000" w:themeColor="text1"/>
        </w:rPr>
        <w:t xml:space="preserve">SEGUNDO. </w:t>
      </w:r>
      <w:r w:rsidRPr="00F06274">
        <w:rPr>
          <w:rFonts w:ascii="Palatino Linotype" w:eastAsia="Palatino Linotype" w:hAnsi="Palatino Linotype" w:cs="Palatino Linotype"/>
          <w:color w:val="000000" w:themeColor="text1"/>
        </w:rPr>
        <w:t xml:space="preserve">Se </w:t>
      </w:r>
      <w:r w:rsidRPr="00F06274">
        <w:rPr>
          <w:rFonts w:ascii="Palatino Linotype" w:eastAsia="Palatino Linotype" w:hAnsi="Palatino Linotype" w:cs="Palatino Linotype"/>
          <w:b/>
          <w:color w:val="000000" w:themeColor="text1"/>
        </w:rPr>
        <w:t xml:space="preserve">REVOCA </w:t>
      </w:r>
      <w:r w:rsidRPr="00F06274">
        <w:rPr>
          <w:rFonts w:ascii="Palatino Linotype" w:eastAsia="Palatino Linotype" w:hAnsi="Palatino Linotype" w:cs="Palatino Linotype"/>
          <w:color w:val="000000" w:themeColor="text1"/>
        </w:rPr>
        <w:t xml:space="preserve">la respuesta emitida por el </w:t>
      </w:r>
      <w:r w:rsidRPr="00F06274">
        <w:rPr>
          <w:rFonts w:ascii="Palatino Linotype" w:eastAsia="Palatino Linotype" w:hAnsi="Palatino Linotype" w:cs="Palatino Linotype"/>
          <w:b/>
          <w:color w:val="000000" w:themeColor="text1"/>
        </w:rPr>
        <w:t xml:space="preserve">Ayuntamiento de </w:t>
      </w:r>
      <w:r w:rsidR="00EB4509" w:rsidRPr="00F06274">
        <w:rPr>
          <w:rFonts w:ascii="Palatino Linotype" w:eastAsia="Palatino Linotype" w:hAnsi="Palatino Linotype" w:cs="Palatino Linotype"/>
          <w:b/>
          <w:color w:val="000000" w:themeColor="text1"/>
        </w:rPr>
        <w:t>Almoloya del Río</w:t>
      </w:r>
      <w:r w:rsidRPr="00F06274">
        <w:rPr>
          <w:rFonts w:ascii="Palatino Linotype" w:eastAsia="Palatino Linotype" w:hAnsi="Palatino Linotype" w:cs="Palatino Linotype"/>
          <w:b/>
          <w:color w:val="000000" w:themeColor="text1"/>
        </w:rPr>
        <w:t>,</w:t>
      </w:r>
      <w:r w:rsidRPr="00F06274">
        <w:rPr>
          <w:rFonts w:ascii="Palatino Linotype" w:eastAsia="Palatino Linotype" w:hAnsi="Palatino Linotype" w:cs="Palatino Linotype"/>
          <w:color w:val="000000" w:themeColor="text1"/>
        </w:rPr>
        <w:t xml:space="preserve"> a la solicitud de información pública registrada con el número</w:t>
      </w:r>
      <w:r w:rsidR="00EB4509" w:rsidRPr="00F06274">
        <w:rPr>
          <w:rFonts w:ascii="Palatino Linotype" w:eastAsia="Palatino Linotype" w:hAnsi="Palatino Linotype" w:cs="Palatino Linotype"/>
          <w:b/>
          <w:color w:val="000000" w:themeColor="text1"/>
        </w:rPr>
        <w:t xml:space="preserve"> 00047</w:t>
      </w:r>
      <w:r w:rsidRPr="00F06274">
        <w:rPr>
          <w:rFonts w:ascii="Palatino Linotype" w:eastAsia="Palatino Linotype" w:hAnsi="Palatino Linotype" w:cs="Palatino Linotype"/>
          <w:b/>
          <w:color w:val="000000" w:themeColor="text1"/>
        </w:rPr>
        <w:t>/</w:t>
      </w:r>
      <w:r w:rsidR="00EB4509" w:rsidRPr="00F06274">
        <w:rPr>
          <w:rFonts w:ascii="Palatino Linotype" w:eastAsia="Palatino Linotype" w:hAnsi="Palatino Linotype" w:cs="Palatino Linotype"/>
          <w:b/>
          <w:color w:val="000000" w:themeColor="text1"/>
        </w:rPr>
        <w:t>ALMORI</w:t>
      </w:r>
      <w:r w:rsidRPr="00F06274">
        <w:rPr>
          <w:rFonts w:ascii="Palatino Linotype" w:eastAsia="Palatino Linotype" w:hAnsi="Palatino Linotype" w:cs="Palatino Linotype"/>
          <w:b/>
          <w:color w:val="000000" w:themeColor="text1"/>
        </w:rPr>
        <w:t>/IP/2025</w:t>
      </w:r>
      <w:r w:rsidRPr="00F06274">
        <w:rPr>
          <w:rFonts w:ascii="Palatino Linotype" w:eastAsia="Palatino Linotype" w:hAnsi="Palatino Linotype" w:cs="Palatino Linotype"/>
          <w:color w:val="000000" w:themeColor="text1"/>
        </w:rPr>
        <w:t xml:space="preserve"> y se </w:t>
      </w:r>
      <w:r w:rsidRPr="00F06274">
        <w:rPr>
          <w:rFonts w:ascii="Palatino Linotype" w:eastAsia="Palatino Linotype" w:hAnsi="Palatino Linotype" w:cs="Palatino Linotype"/>
          <w:b/>
          <w:color w:val="000000" w:themeColor="text1"/>
        </w:rPr>
        <w:t>ORDENA</w:t>
      </w:r>
      <w:r w:rsidRPr="00F06274">
        <w:rPr>
          <w:rFonts w:ascii="Palatino Linotype" w:eastAsia="Palatino Linotype" w:hAnsi="Palatino Linotype" w:cs="Palatino Linotype"/>
          <w:color w:val="000000" w:themeColor="text1"/>
        </w:rPr>
        <w:t xml:space="preserve"> entregar vía Sistema de Acceso a la Información Mexiquense </w:t>
      </w:r>
      <w:r w:rsidRPr="00F06274">
        <w:rPr>
          <w:rFonts w:ascii="Palatino Linotype" w:eastAsia="Palatino Linotype" w:hAnsi="Palatino Linotype" w:cs="Palatino Linotype"/>
          <w:b/>
          <w:color w:val="000000" w:themeColor="text1"/>
        </w:rPr>
        <w:t>(SAIMEX)</w:t>
      </w:r>
      <w:r w:rsidRPr="00F06274">
        <w:rPr>
          <w:rFonts w:ascii="Palatino Linotype" w:eastAsia="Palatino Linotype" w:hAnsi="Palatino Linotype" w:cs="Palatino Linotype"/>
          <w:color w:val="000000" w:themeColor="text1"/>
        </w:rPr>
        <w:t>, en versión pública, la siguiente información:</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EA1DFA" w:rsidRPr="00F06274" w:rsidRDefault="00EA1DFA" w:rsidP="00F06274">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b/>
          <w:color w:val="000000" w:themeColor="text1"/>
        </w:rPr>
        <w:t>Recibos de nómina del personal adscrito al Ayuntamiento, correspondientes a la primera y segunda quincena de abril y primera quincena de mayo del ejercicio fiscal 2025</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337BEB" w:rsidRPr="00F06274" w:rsidRDefault="000B245E" w:rsidP="00F06274">
      <w:pPr>
        <w:spacing w:line="360" w:lineRule="auto"/>
        <w:jc w:val="both"/>
        <w:rPr>
          <w:rFonts w:ascii="Palatino Linotype" w:eastAsia="Palatino Linotype" w:hAnsi="Palatino Linotype" w:cs="Palatino Linotype"/>
          <w:b/>
          <w:color w:val="000000" w:themeColor="text1"/>
        </w:rPr>
      </w:pPr>
      <w:r w:rsidRPr="00F06274">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F06274">
        <w:rPr>
          <w:rFonts w:ascii="Palatino Linotype" w:eastAsia="Palatino Linotype" w:hAnsi="Palatino Linotype" w:cs="Palatino Linotype"/>
          <w:b/>
          <w:color w:val="000000" w:themeColor="text1"/>
        </w:rPr>
        <w:t>RECURRENTE.</w:t>
      </w:r>
    </w:p>
    <w:p w:rsidR="00337BEB" w:rsidRPr="00F06274" w:rsidRDefault="00337BEB" w:rsidP="00F0627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15" w:name="_heading=h.4d34og8" w:colFirst="0" w:colLast="0"/>
      <w:bookmarkEnd w:id="15"/>
    </w:p>
    <w:p w:rsidR="00337BEB" w:rsidRPr="00F06274" w:rsidRDefault="000B245E" w:rsidP="00F06274">
      <w:pPr>
        <w:tabs>
          <w:tab w:val="left" w:pos="8080"/>
        </w:tabs>
        <w:spacing w:line="360" w:lineRule="auto"/>
        <w:jc w:val="both"/>
        <w:rPr>
          <w:rFonts w:ascii="Palatino Linotype" w:eastAsia="Palatino Linotype" w:hAnsi="Palatino Linotype" w:cs="Palatino Linotype"/>
          <w:b/>
          <w:color w:val="000000" w:themeColor="text1"/>
        </w:rPr>
      </w:pPr>
      <w:bookmarkStart w:id="16" w:name="_heading=h.lnxbz9" w:colFirst="0" w:colLast="0"/>
      <w:bookmarkEnd w:id="16"/>
      <w:r w:rsidRPr="00F06274">
        <w:rPr>
          <w:rFonts w:ascii="Palatino Linotype" w:eastAsia="Palatino Linotype" w:hAnsi="Palatino Linotype" w:cs="Palatino Linotype"/>
          <w:b/>
          <w:color w:val="000000" w:themeColor="text1"/>
        </w:rPr>
        <w:t xml:space="preserve">TERCERO. NOTIFÍQUESE </w:t>
      </w:r>
      <w:r w:rsidRPr="00F06274">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w:t>
      </w:r>
      <w:r w:rsidRPr="00F06274">
        <w:rPr>
          <w:rFonts w:ascii="Palatino Linotype" w:eastAsia="Palatino Linotype" w:hAnsi="Palatino Linotype" w:cs="Palatino Linotype"/>
          <w:color w:val="000000" w:themeColor="text1"/>
        </w:rPr>
        <w:lastRenderedPageBreak/>
        <w:t xml:space="preserve">párrafo, 189 segundo párrafo y 194 de la Ley de Transparencia y Acceso a la Información Pública del Estado de México y Municipios; </w:t>
      </w:r>
      <w:r w:rsidRPr="00F06274">
        <w:rPr>
          <w:rFonts w:ascii="Palatino Linotype" w:eastAsia="Palatino Linotype" w:hAnsi="Palatino Linotype" w:cs="Palatino Linotype"/>
          <w:b/>
          <w:color w:val="000000" w:themeColor="text1"/>
        </w:rPr>
        <w:t>dé cumplimiento a lo ordenado dentro del plazo de diez días hábiles,</w:t>
      </w:r>
      <w:r w:rsidRPr="00F06274">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337BEB" w:rsidRPr="00F06274" w:rsidRDefault="00337BEB" w:rsidP="00F06274">
      <w:pPr>
        <w:tabs>
          <w:tab w:val="left" w:pos="8080"/>
        </w:tabs>
        <w:spacing w:line="360" w:lineRule="auto"/>
        <w:jc w:val="both"/>
        <w:rPr>
          <w:rFonts w:ascii="Palatino Linotype" w:eastAsia="Palatino Linotype" w:hAnsi="Palatino Linotype" w:cs="Palatino Linotype"/>
          <w:color w:val="000000" w:themeColor="text1"/>
          <w:highlight w:val="white"/>
        </w:rPr>
      </w:pPr>
    </w:p>
    <w:p w:rsidR="00337BEB" w:rsidRPr="00F06274" w:rsidRDefault="000B245E" w:rsidP="00F06274">
      <w:pPr>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 xml:space="preserve">CUARTO. </w:t>
      </w:r>
      <w:r w:rsidRPr="00F06274">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06274">
        <w:rPr>
          <w:rFonts w:ascii="Palatino Linotype" w:eastAsia="Palatino Linotype" w:hAnsi="Palatino Linotype" w:cs="Palatino Linotype"/>
          <w:b/>
          <w:color w:val="000000" w:themeColor="text1"/>
        </w:rPr>
        <w:t>SUJETO OBLIGADO</w:t>
      </w:r>
      <w:r w:rsidRPr="00F06274">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tabs>
          <w:tab w:val="left" w:pos="8080"/>
        </w:tabs>
        <w:spacing w:line="360" w:lineRule="auto"/>
        <w:jc w:val="both"/>
        <w:rPr>
          <w:rFonts w:ascii="Palatino Linotype" w:eastAsia="Palatino Linotype" w:hAnsi="Palatino Linotype" w:cs="Palatino Linotype"/>
          <w:color w:val="000000" w:themeColor="text1"/>
        </w:rPr>
      </w:pPr>
      <w:bookmarkStart w:id="17" w:name="_heading=h.35nkun2" w:colFirst="0" w:colLast="0"/>
      <w:bookmarkEnd w:id="17"/>
      <w:r w:rsidRPr="00F06274">
        <w:rPr>
          <w:rFonts w:ascii="Palatino Linotype" w:eastAsia="Palatino Linotype" w:hAnsi="Palatino Linotype" w:cs="Palatino Linotype"/>
          <w:b/>
          <w:color w:val="000000" w:themeColor="text1"/>
        </w:rPr>
        <w:t xml:space="preserve">QUINTO. </w:t>
      </w:r>
      <w:r w:rsidRPr="00F06274">
        <w:rPr>
          <w:rFonts w:ascii="Palatino Linotype" w:eastAsia="Palatino Linotype" w:hAnsi="Palatino Linotype" w:cs="Palatino Linotype"/>
          <w:color w:val="000000" w:themeColor="text1"/>
        </w:rPr>
        <w:t xml:space="preserve">Notifíquese a </w:t>
      </w:r>
      <w:r w:rsidRPr="00F06274">
        <w:rPr>
          <w:rFonts w:ascii="Palatino Linotype" w:eastAsia="Palatino Linotype" w:hAnsi="Palatino Linotype" w:cs="Palatino Linotype"/>
          <w:b/>
          <w:color w:val="000000" w:themeColor="text1"/>
        </w:rPr>
        <w:t>EL RECURRENTE</w:t>
      </w:r>
      <w:r w:rsidRPr="00F06274">
        <w:rPr>
          <w:rFonts w:ascii="Palatino Linotype" w:eastAsia="Palatino Linotype" w:hAnsi="Palatino Linotype" w:cs="Palatino Linotype"/>
          <w:color w:val="000000" w:themeColor="text1"/>
        </w:rPr>
        <w:t xml:space="preserve"> la presente resolución, vía SAIMEX.</w:t>
      </w:r>
    </w:p>
    <w:p w:rsidR="00337BEB" w:rsidRPr="00F06274" w:rsidRDefault="00337BEB" w:rsidP="00F06274">
      <w:pPr>
        <w:tabs>
          <w:tab w:val="left" w:pos="8080"/>
        </w:tabs>
        <w:spacing w:line="360" w:lineRule="auto"/>
        <w:jc w:val="both"/>
        <w:rPr>
          <w:rFonts w:ascii="Palatino Linotype" w:eastAsia="Palatino Linotype" w:hAnsi="Palatino Linotype" w:cs="Palatino Linotype"/>
          <w:color w:val="000000" w:themeColor="text1"/>
        </w:rPr>
      </w:pPr>
    </w:p>
    <w:p w:rsidR="00337BEB" w:rsidRPr="00F06274" w:rsidRDefault="000B245E" w:rsidP="00F06274">
      <w:pPr>
        <w:shd w:val="clear" w:color="auto" w:fill="FFFFFF"/>
        <w:spacing w:line="360" w:lineRule="auto"/>
        <w:jc w:val="both"/>
        <w:rPr>
          <w:rFonts w:ascii="Palatino Linotype" w:eastAsia="Palatino Linotype" w:hAnsi="Palatino Linotype" w:cs="Palatino Linotype"/>
          <w:color w:val="000000" w:themeColor="text1"/>
        </w:rPr>
      </w:pPr>
      <w:r w:rsidRPr="00F06274">
        <w:rPr>
          <w:rFonts w:ascii="Palatino Linotype" w:eastAsia="Palatino Linotype" w:hAnsi="Palatino Linotype" w:cs="Palatino Linotype"/>
          <w:b/>
          <w:color w:val="000000" w:themeColor="text1"/>
        </w:rPr>
        <w:t>SEXTO.</w:t>
      </w:r>
      <w:r w:rsidRPr="00F06274">
        <w:rPr>
          <w:rFonts w:ascii="Palatino Linotype" w:eastAsia="Palatino Linotype" w:hAnsi="Palatino Linotype" w:cs="Palatino Linotype"/>
          <w:color w:val="000000" w:themeColor="text1"/>
        </w:rPr>
        <w:t xml:space="preserve"> Se hace del conocimiento de </w:t>
      </w:r>
      <w:r w:rsidRPr="00F06274">
        <w:rPr>
          <w:rFonts w:ascii="Palatino Linotype" w:eastAsia="Palatino Linotype" w:hAnsi="Palatino Linotype" w:cs="Palatino Linotype"/>
          <w:b/>
          <w:color w:val="000000" w:themeColor="text1"/>
        </w:rPr>
        <w:t>EL RECURRENTE</w:t>
      </w:r>
      <w:r w:rsidRPr="00F06274">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337BEB" w:rsidRPr="00F06274" w:rsidRDefault="00337BEB" w:rsidP="00F06274">
      <w:pPr>
        <w:shd w:val="clear" w:color="auto" w:fill="FFFFFF"/>
        <w:spacing w:line="360" w:lineRule="auto"/>
        <w:jc w:val="both"/>
        <w:rPr>
          <w:rFonts w:ascii="Palatino Linotype" w:eastAsia="Palatino Linotype" w:hAnsi="Palatino Linotype" w:cs="Palatino Linotype"/>
          <w:color w:val="000000" w:themeColor="text1"/>
        </w:rPr>
      </w:pPr>
    </w:p>
    <w:p w:rsidR="00F06274" w:rsidRDefault="00F06274" w:rsidP="00F06274">
      <w:pPr>
        <w:tabs>
          <w:tab w:val="left" w:pos="5387"/>
        </w:tabs>
        <w:spacing w:line="360" w:lineRule="auto"/>
        <w:ind w:right="49"/>
        <w:jc w:val="both"/>
        <w:rPr>
          <w:rFonts w:ascii="Palatino Linotype" w:eastAsia="Palatino Linotype" w:hAnsi="Palatino Linotype" w:cs="Palatino Linotype"/>
        </w:rPr>
      </w:pPr>
    </w:p>
    <w:p w:rsidR="00F06274" w:rsidRDefault="00F06274" w:rsidP="00F06274">
      <w:pPr>
        <w:tabs>
          <w:tab w:val="left" w:pos="5387"/>
        </w:tabs>
        <w:spacing w:line="360" w:lineRule="auto"/>
        <w:ind w:right="49"/>
        <w:jc w:val="both"/>
        <w:rPr>
          <w:rFonts w:ascii="Palatino Linotype" w:eastAsia="Palatino Linotype" w:hAnsi="Palatino Linotype" w:cs="Palatino Linotype"/>
        </w:rPr>
      </w:pPr>
    </w:p>
    <w:p w:rsidR="00F06274" w:rsidRPr="00444783" w:rsidRDefault="00F75992" w:rsidP="00F0627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70018">
        <w:rPr>
          <w:rFonts w:ascii="Palatino Linotype" w:eastAsia="Palatino Linotype" w:hAnsi="Palatino Linotype" w:cs="Palatino Linotype"/>
        </w:rPr>
        <w:t xml:space="preserve"> EMITIENDO VOTO PARTICULAR </w:t>
      </w:r>
      <w:r w:rsidRPr="00575AE2">
        <w:rPr>
          <w:rFonts w:ascii="Palatino Linotype" w:eastAsia="Palatino Linotype" w:hAnsi="Palatino Linotype" w:cs="Palatino Linotype"/>
        </w:rPr>
        <w:t>Y GUADALUPE RAMÍREZ PEÑA</w:t>
      </w:r>
      <w:r w:rsidR="00370018">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w:t>
      </w:r>
      <w:r w:rsidR="00485FD1" w:rsidRPr="00575AE2">
        <w:rPr>
          <w:rFonts w:ascii="Palatino Linotype" w:eastAsia="Palatino Linotype" w:hAnsi="Palatino Linotype" w:cs="Palatino Linotype"/>
        </w:rPr>
        <w:t xml:space="preserve">EN LA </w:t>
      </w:r>
      <w:r w:rsidR="00485FD1">
        <w:rPr>
          <w:rFonts w:ascii="Palatino Linotype" w:eastAsia="Palatino Linotype" w:hAnsi="Palatino Linotype" w:cs="Palatino Linotype"/>
        </w:rPr>
        <w:t xml:space="preserve">CUADRAGÉSIMA </w:t>
      </w:r>
      <w:r w:rsidR="00485FD1" w:rsidRPr="00575AE2">
        <w:rPr>
          <w:rFonts w:ascii="Palatino Linotype" w:eastAsia="Palatino Linotype" w:hAnsi="Palatino Linotype" w:cs="Palatino Linotype"/>
        </w:rPr>
        <w:t>SESIÓN ORDINARIA, CELEBRADA EL</w:t>
      </w:r>
      <w:r w:rsidR="00485FD1">
        <w:rPr>
          <w:rFonts w:ascii="Palatino Linotype" w:eastAsia="Palatino Linotype" w:hAnsi="Palatino Linotype" w:cs="Palatino Linotype"/>
        </w:rPr>
        <w:t xml:space="preserve"> DOCE (12</w:t>
      </w:r>
      <w:r w:rsidR="00485FD1" w:rsidRPr="00575AE2">
        <w:rPr>
          <w:rFonts w:ascii="Palatino Linotype" w:eastAsia="Palatino Linotype" w:hAnsi="Palatino Linotype" w:cs="Palatino Linotype"/>
        </w:rPr>
        <w:t xml:space="preserve">) DE </w:t>
      </w:r>
      <w:r w:rsidR="00485FD1">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rsidR="00337BEB" w:rsidRPr="00F06274" w:rsidRDefault="00337BEB" w:rsidP="00F06274">
      <w:pPr>
        <w:spacing w:before="240" w:after="240" w:line="360" w:lineRule="auto"/>
        <w:jc w:val="both"/>
        <w:rPr>
          <w:rFonts w:ascii="Palatino Linotype" w:eastAsia="Palatino Linotype" w:hAnsi="Palatino Linotype" w:cs="Palatino Linotype"/>
          <w:color w:val="000000" w:themeColor="text1"/>
        </w:rPr>
      </w:pPr>
    </w:p>
    <w:p w:rsidR="00337BEB" w:rsidRPr="00F06274" w:rsidRDefault="00337BEB" w:rsidP="00F06274">
      <w:pPr>
        <w:spacing w:before="240" w:after="240" w:line="360" w:lineRule="auto"/>
        <w:jc w:val="both"/>
        <w:rPr>
          <w:rFonts w:ascii="Palatino Linotype" w:eastAsia="Palatino Linotype" w:hAnsi="Palatino Linotype" w:cs="Palatino Linotype"/>
          <w:color w:val="000000" w:themeColor="text1"/>
        </w:rPr>
      </w:pPr>
    </w:p>
    <w:p w:rsidR="00337BEB" w:rsidRPr="00F06274" w:rsidRDefault="00337BEB" w:rsidP="00F06274">
      <w:pPr>
        <w:spacing w:before="240" w:after="240" w:line="360" w:lineRule="auto"/>
        <w:jc w:val="both"/>
        <w:rPr>
          <w:rFonts w:ascii="Palatino Linotype" w:eastAsia="Palatino Linotype" w:hAnsi="Palatino Linotype" w:cs="Palatino Linotype"/>
          <w:color w:val="000000" w:themeColor="text1"/>
        </w:rPr>
      </w:pPr>
    </w:p>
    <w:p w:rsidR="00337BEB" w:rsidRPr="00F06274" w:rsidRDefault="00337BEB" w:rsidP="00F06274">
      <w:pPr>
        <w:spacing w:before="240" w:after="240" w:line="360" w:lineRule="auto"/>
        <w:jc w:val="both"/>
        <w:rPr>
          <w:rFonts w:ascii="Palatino Linotype" w:eastAsia="Palatino Linotype" w:hAnsi="Palatino Linotype" w:cs="Palatino Linotype"/>
          <w:color w:val="000000" w:themeColor="text1"/>
        </w:rPr>
      </w:pPr>
    </w:p>
    <w:p w:rsidR="00337BEB" w:rsidRPr="00F06274" w:rsidRDefault="00337BEB" w:rsidP="00F06274">
      <w:pPr>
        <w:spacing w:before="240" w:after="240" w:line="360" w:lineRule="auto"/>
        <w:jc w:val="both"/>
        <w:rPr>
          <w:rFonts w:ascii="Palatino Linotype" w:eastAsia="Palatino Linotype" w:hAnsi="Palatino Linotype" w:cs="Palatino Linotype"/>
          <w:color w:val="000000" w:themeColor="text1"/>
        </w:rPr>
      </w:pPr>
    </w:p>
    <w:p w:rsidR="00337BEB" w:rsidRPr="00F06274" w:rsidRDefault="00337BEB" w:rsidP="00F06274">
      <w:pPr>
        <w:spacing w:before="240" w:after="240" w:line="360" w:lineRule="auto"/>
        <w:jc w:val="both"/>
        <w:rPr>
          <w:rFonts w:ascii="Palatino Linotype" w:eastAsia="Palatino Linotype" w:hAnsi="Palatino Linotype" w:cs="Palatino Linotype"/>
          <w:color w:val="000000" w:themeColor="text1"/>
        </w:rPr>
      </w:pPr>
    </w:p>
    <w:p w:rsidR="00337BEB" w:rsidRPr="00F06274" w:rsidRDefault="00337BEB" w:rsidP="00F06274">
      <w:pPr>
        <w:spacing w:before="240" w:after="240" w:line="360" w:lineRule="auto"/>
        <w:jc w:val="both"/>
        <w:rPr>
          <w:rFonts w:ascii="Palatino Linotype" w:eastAsia="Palatino Linotype" w:hAnsi="Palatino Linotype" w:cs="Palatino Linotype"/>
          <w:color w:val="000000" w:themeColor="text1"/>
        </w:rPr>
      </w:pPr>
    </w:p>
    <w:p w:rsidR="00337BEB" w:rsidRPr="00F06274" w:rsidRDefault="00337BEB" w:rsidP="00F06274">
      <w:pPr>
        <w:spacing w:before="240" w:after="240" w:line="360" w:lineRule="auto"/>
        <w:jc w:val="both"/>
        <w:rPr>
          <w:rFonts w:ascii="Palatino Linotype" w:eastAsia="Palatino Linotype" w:hAnsi="Palatino Linotype" w:cs="Palatino Linotype"/>
          <w:color w:val="000000" w:themeColor="text1"/>
        </w:rPr>
      </w:pPr>
    </w:p>
    <w:p w:rsidR="00337BEB" w:rsidRPr="00F06274" w:rsidRDefault="00337BEB" w:rsidP="00F06274">
      <w:pPr>
        <w:spacing w:line="360" w:lineRule="auto"/>
        <w:jc w:val="both"/>
        <w:rPr>
          <w:rFonts w:ascii="Palatino Linotype" w:eastAsia="Palatino Linotype" w:hAnsi="Palatino Linotype" w:cs="Palatino Linotype"/>
          <w:color w:val="000000" w:themeColor="text1"/>
        </w:rPr>
      </w:pPr>
    </w:p>
    <w:p w:rsidR="00337BEB" w:rsidRDefault="00337BEB" w:rsidP="00F06274">
      <w:pPr>
        <w:pStyle w:val="Ttulo2"/>
        <w:spacing w:before="0" w:line="360" w:lineRule="auto"/>
        <w:rPr>
          <w:szCs w:val="24"/>
        </w:rPr>
      </w:pPr>
    </w:p>
    <w:p w:rsidR="00F06274" w:rsidRDefault="00F06274" w:rsidP="00F06274">
      <w:pPr>
        <w:rPr>
          <w:lang w:val="es-MX" w:eastAsia="en-US"/>
        </w:rPr>
      </w:pPr>
    </w:p>
    <w:p w:rsidR="00F06274" w:rsidRDefault="00F06274" w:rsidP="00F06274">
      <w:pPr>
        <w:rPr>
          <w:lang w:val="es-MX" w:eastAsia="en-US"/>
        </w:rPr>
      </w:pPr>
    </w:p>
    <w:p w:rsidR="00F06274" w:rsidRDefault="00F06274" w:rsidP="00F06274">
      <w:pPr>
        <w:rPr>
          <w:lang w:val="es-MX" w:eastAsia="en-US"/>
        </w:rPr>
      </w:pPr>
    </w:p>
    <w:p w:rsidR="00F06274" w:rsidRDefault="00F06274" w:rsidP="00F06274">
      <w:pPr>
        <w:rPr>
          <w:lang w:val="es-MX" w:eastAsia="en-US"/>
        </w:rPr>
      </w:pPr>
    </w:p>
    <w:p w:rsidR="00F06274" w:rsidRDefault="00F06274" w:rsidP="00F06274">
      <w:pPr>
        <w:rPr>
          <w:lang w:val="es-MX" w:eastAsia="en-US"/>
        </w:rPr>
      </w:pPr>
    </w:p>
    <w:p w:rsidR="00F06274" w:rsidRDefault="00F06274" w:rsidP="00F06274">
      <w:pPr>
        <w:rPr>
          <w:lang w:val="es-MX" w:eastAsia="en-US"/>
        </w:rPr>
      </w:pPr>
    </w:p>
    <w:p w:rsidR="00F06274" w:rsidRPr="00F06274" w:rsidRDefault="00F06274" w:rsidP="00F06274">
      <w:pPr>
        <w:rPr>
          <w:lang w:val="es-MX" w:eastAsia="en-US"/>
        </w:rPr>
      </w:pPr>
    </w:p>
    <w:sectPr w:rsidR="00F06274" w:rsidRPr="00F06274" w:rsidSect="00B21C39">
      <w:headerReference w:type="default" r:id="rId13"/>
      <w:footerReference w:type="default" r:id="rId14"/>
      <w:headerReference w:type="first" r:id="rId15"/>
      <w:footerReference w:type="first" r:id="rId16"/>
      <w:pgSz w:w="12240" w:h="15840"/>
      <w:pgMar w:top="1691" w:right="1041"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042" w:rsidRDefault="006A6042">
      <w:r>
        <w:separator/>
      </w:r>
    </w:p>
  </w:endnote>
  <w:endnote w:type="continuationSeparator" w:id="0">
    <w:p w:rsidR="006A6042" w:rsidRDefault="006A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106" w:rsidRDefault="00F771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21C39">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21C39">
      <w:rPr>
        <w:rFonts w:ascii="Palatino Linotype" w:eastAsia="Palatino Linotype" w:hAnsi="Palatino Linotype" w:cs="Palatino Linotype"/>
        <w:b/>
        <w:noProof/>
        <w:color w:val="000000"/>
        <w:sz w:val="22"/>
        <w:szCs w:val="22"/>
      </w:rPr>
      <w:t>55</w:t>
    </w:r>
    <w:r>
      <w:rPr>
        <w:rFonts w:ascii="Palatino Linotype" w:eastAsia="Palatino Linotype" w:hAnsi="Palatino Linotype" w:cs="Palatino Linotype"/>
        <w:b/>
        <w:color w:val="000000"/>
        <w:sz w:val="22"/>
        <w:szCs w:val="22"/>
      </w:rPr>
      <w:fldChar w:fldCharType="end"/>
    </w:r>
  </w:p>
  <w:p w:rsidR="00F77106" w:rsidRDefault="00F7710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F77106" w:rsidRDefault="00F771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106" w:rsidRPr="00B21C39" w:rsidRDefault="00F77106">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sidRPr="00B21C39">
      <w:rPr>
        <w:rFonts w:ascii="Palatino Linotype" w:eastAsia="Palatino Linotype" w:hAnsi="Palatino Linotype" w:cs="Palatino Linotype"/>
        <w:b/>
        <w:color w:val="000000"/>
        <w:sz w:val="22"/>
        <w:szCs w:val="22"/>
      </w:rPr>
      <w:t xml:space="preserve">Página </w:t>
    </w:r>
    <w:r w:rsidRPr="00B21C39">
      <w:rPr>
        <w:rFonts w:ascii="Palatino Linotype" w:eastAsia="Palatino Linotype" w:hAnsi="Palatino Linotype" w:cs="Palatino Linotype"/>
        <w:b/>
        <w:color w:val="000000"/>
        <w:sz w:val="22"/>
        <w:szCs w:val="22"/>
      </w:rPr>
      <w:fldChar w:fldCharType="begin"/>
    </w:r>
    <w:r w:rsidRPr="00B21C39">
      <w:rPr>
        <w:rFonts w:ascii="Palatino Linotype" w:eastAsia="Palatino Linotype" w:hAnsi="Palatino Linotype" w:cs="Palatino Linotype"/>
        <w:b/>
        <w:color w:val="000000"/>
        <w:sz w:val="22"/>
        <w:szCs w:val="22"/>
      </w:rPr>
      <w:instrText>PAGE</w:instrText>
    </w:r>
    <w:r w:rsidRPr="00B21C39">
      <w:rPr>
        <w:rFonts w:ascii="Palatino Linotype" w:eastAsia="Palatino Linotype" w:hAnsi="Palatino Linotype" w:cs="Palatino Linotype"/>
        <w:b/>
        <w:color w:val="000000"/>
        <w:sz w:val="22"/>
        <w:szCs w:val="22"/>
      </w:rPr>
      <w:fldChar w:fldCharType="separate"/>
    </w:r>
    <w:r w:rsidR="00B21C39">
      <w:rPr>
        <w:rFonts w:ascii="Palatino Linotype" w:eastAsia="Palatino Linotype" w:hAnsi="Palatino Linotype" w:cs="Palatino Linotype"/>
        <w:b/>
        <w:noProof/>
        <w:color w:val="000000"/>
        <w:sz w:val="22"/>
        <w:szCs w:val="22"/>
      </w:rPr>
      <w:t>1</w:t>
    </w:r>
    <w:r w:rsidRPr="00B21C39">
      <w:rPr>
        <w:rFonts w:ascii="Palatino Linotype" w:eastAsia="Palatino Linotype" w:hAnsi="Palatino Linotype" w:cs="Palatino Linotype"/>
        <w:b/>
        <w:color w:val="000000"/>
        <w:sz w:val="22"/>
        <w:szCs w:val="22"/>
      </w:rPr>
      <w:fldChar w:fldCharType="end"/>
    </w:r>
    <w:r w:rsidRPr="00B21C39">
      <w:rPr>
        <w:rFonts w:ascii="Palatino Linotype" w:eastAsia="Palatino Linotype" w:hAnsi="Palatino Linotype" w:cs="Palatino Linotype"/>
        <w:b/>
        <w:color w:val="000000"/>
        <w:sz w:val="22"/>
        <w:szCs w:val="22"/>
      </w:rPr>
      <w:t xml:space="preserve"> de </w:t>
    </w:r>
    <w:r w:rsidRPr="00B21C39">
      <w:rPr>
        <w:rFonts w:ascii="Palatino Linotype" w:eastAsia="Palatino Linotype" w:hAnsi="Palatino Linotype" w:cs="Palatino Linotype"/>
        <w:b/>
        <w:color w:val="000000"/>
        <w:sz w:val="22"/>
        <w:szCs w:val="22"/>
      </w:rPr>
      <w:fldChar w:fldCharType="begin"/>
    </w:r>
    <w:r w:rsidRPr="00B21C39">
      <w:rPr>
        <w:rFonts w:ascii="Palatino Linotype" w:eastAsia="Palatino Linotype" w:hAnsi="Palatino Linotype" w:cs="Palatino Linotype"/>
        <w:b/>
        <w:color w:val="000000"/>
        <w:sz w:val="22"/>
        <w:szCs w:val="22"/>
      </w:rPr>
      <w:instrText>NUMPAGES</w:instrText>
    </w:r>
    <w:r w:rsidRPr="00B21C39">
      <w:rPr>
        <w:rFonts w:ascii="Palatino Linotype" w:eastAsia="Palatino Linotype" w:hAnsi="Palatino Linotype" w:cs="Palatino Linotype"/>
        <w:b/>
        <w:color w:val="000000"/>
        <w:sz w:val="22"/>
        <w:szCs w:val="22"/>
      </w:rPr>
      <w:fldChar w:fldCharType="separate"/>
    </w:r>
    <w:r w:rsidR="00B21C39">
      <w:rPr>
        <w:rFonts w:ascii="Palatino Linotype" w:eastAsia="Palatino Linotype" w:hAnsi="Palatino Linotype" w:cs="Palatino Linotype"/>
        <w:b/>
        <w:noProof/>
        <w:color w:val="000000"/>
        <w:sz w:val="22"/>
        <w:szCs w:val="22"/>
      </w:rPr>
      <w:t>55</w:t>
    </w:r>
    <w:r w:rsidRPr="00B21C39">
      <w:rPr>
        <w:rFonts w:ascii="Palatino Linotype" w:eastAsia="Palatino Linotype" w:hAnsi="Palatino Linotype" w:cs="Palatino Linotype"/>
        <w:b/>
        <w:color w:val="000000"/>
        <w:sz w:val="22"/>
        <w:szCs w:val="22"/>
      </w:rPr>
      <w:fldChar w:fldCharType="end"/>
    </w:r>
  </w:p>
  <w:p w:rsidR="00F77106" w:rsidRDefault="00F7710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F77106" w:rsidRDefault="00F7710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042" w:rsidRDefault="006A6042">
      <w:r>
        <w:separator/>
      </w:r>
    </w:p>
  </w:footnote>
  <w:footnote w:type="continuationSeparator" w:id="0">
    <w:p w:rsidR="006A6042" w:rsidRDefault="006A6042">
      <w:r>
        <w:continuationSeparator/>
      </w:r>
    </w:p>
  </w:footnote>
  <w:footnote w:id="1">
    <w:p w:rsidR="00F77106" w:rsidRDefault="00F771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F77106" w:rsidRDefault="00F771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F77106" w:rsidRDefault="00F771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F77106" w:rsidRDefault="00F771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F77106" w:rsidRDefault="00F7710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F77106" w:rsidRDefault="00F7710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F77106" w:rsidRDefault="00F77106">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 w:id="6">
    <w:p w:rsidR="00F77106" w:rsidRDefault="00F7710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rsidR="00F77106" w:rsidRDefault="00F77106">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6845"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92"/>
      <w:gridCol w:w="4253"/>
    </w:tblGrid>
    <w:tr w:rsidR="00F77106" w:rsidTr="00B21C39">
      <w:trPr>
        <w:trHeight w:val="138"/>
      </w:trPr>
      <w:tc>
        <w:tcPr>
          <w:tcW w:w="2592" w:type="dxa"/>
          <w:vAlign w:val="center"/>
        </w:tcPr>
        <w:p w:rsidR="00F77106" w:rsidRPr="00F06274" w:rsidRDefault="00F77106" w:rsidP="00F06274">
          <w:pPr>
            <w:ind w:right="-150"/>
            <w:rPr>
              <w:rFonts w:ascii="Palatino Linotype" w:eastAsia="Palatino Linotype" w:hAnsi="Palatino Linotype" w:cs="Palatino Linotype"/>
              <w:b/>
              <w:color w:val="000000" w:themeColor="text1"/>
              <w:sz w:val="24"/>
              <w:szCs w:val="24"/>
            </w:rPr>
          </w:pPr>
          <w:r w:rsidRPr="00F06274">
            <w:rPr>
              <w:rFonts w:ascii="Palatino Linotype" w:eastAsia="Palatino Linotype" w:hAnsi="Palatino Linotype" w:cs="Palatino Linotype"/>
              <w:b/>
              <w:color w:val="000000" w:themeColor="text1"/>
              <w:sz w:val="24"/>
              <w:szCs w:val="24"/>
            </w:rPr>
            <w:t>Recurso de Revisión:</w:t>
          </w:r>
        </w:p>
      </w:tc>
      <w:tc>
        <w:tcPr>
          <w:tcW w:w="4253" w:type="dxa"/>
          <w:vAlign w:val="center"/>
        </w:tcPr>
        <w:p w:rsidR="00F77106" w:rsidRPr="00F06274" w:rsidRDefault="00F77106" w:rsidP="00F06274">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highlight w:val="yellow"/>
            </w:rPr>
          </w:pPr>
          <w:r w:rsidRPr="00F06274">
            <w:rPr>
              <w:rFonts w:ascii="Palatino Linotype" w:eastAsia="Palatino Linotype" w:hAnsi="Palatino Linotype" w:cs="Palatino Linotype"/>
              <w:color w:val="000000" w:themeColor="text1"/>
              <w:sz w:val="24"/>
              <w:szCs w:val="24"/>
            </w:rPr>
            <w:t>07808/INFOEM/IP/RR/2025</w:t>
          </w:r>
        </w:p>
      </w:tc>
    </w:tr>
    <w:tr w:rsidR="00F77106" w:rsidTr="00B21C39">
      <w:trPr>
        <w:trHeight w:val="321"/>
      </w:trPr>
      <w:tc>
        <w:tcPr>
          <w:tcW w:w="2592" w:type="dxa"/>
          <w:vAlign w:val="center"/>
        </w:tcPr>
        <w:p w:rsidR="00F77106" w:rsidRPr="00F06274" w:rsidRDefault="00F77106" w:rsidP="00F06274">
          <w:pPr>
            <w:ind w:right="-150"/>
            <w:rPr>
              <w:rFonts w:ascii="Palatino Linotype" w:eastAsia="Palatino Linotype" w:hAnsi="Palatino Linotype" w:cs="Palatino Linotype"/>
              <w:b/>
              <w:color w:val="000000" w:themeColor="text1"/>
              <w:sz w:val="24"/>
              <w:szCs w:val="24"/>
            </w:rPr>
          </w:pPr>
          <w:r w:rsidRPr="00F06274">
            <w:rPr>
              <w:rFonts w:ascii="Palatino Linotype" w:eastAsia="Palatino Linotype" w:hAnsi="Palatino Linotype" w:cs="Palatino Linotype"/>
              <w:b/>
              <w:color w:val="000000" w:themeColor="text1"/>
              <w:sz w:val="24"/>
              <w:szCs w:val="24"/>
            </w:rPr>
            <w:t>Sujeto Obligado:</w:t>
          </w:r>
        </w:p>
      </w:tc>
      <w:tc>
        <w:tcPr>
          <w:tcW w:w="4253" w:type="dxa"/>
          <w:vAlign w:val="center"/>
        </w:tcPr>
        <w:p w:rsidR="00F77106" w:rsidRPr="00F06274" w:rsidRDefault="00F77106" w:rsidP="00F06274">
          <w:pPr>
            <w:rPr>
              <w:rFonts w:ascii="Palatino Linotype" w:eastAsia="Palatino Linotype" w:hAnsi="Palatino Linotype" w:cs="Palatino Linotype"/>
              <w:color w:val="000000" w:themeColor="text1"/>
              <w:sz w:val="24"/>
              <w:szCs w:val="24"/>
            </w:rPr>
          </w:pPr>
          <w:r w:rsidRPr="00F06274">
            <w:rPr>
              <w:rFonts w:ascii="Palatino Linotype" w:eastAsia="Palatino Linotype" w:hAnsi="Palatino Linotype" w:cs="Palatino Linotype"/>
              <w:color w:val="000000" w:themeColor="text1"/>
              <w:sz w:val="24"/>
              <w:szCs w:val="24"/>
            </w:rPr>
            <w:t>Ayuntamiento de Almoloya del Rio</w:t>
          </w:r>
        </w:p>
      </w:tc>
    </w:tr>
    <w:tr w:rsidR="00F77106" w:rsidTr="00B21C39">
      <w:trPr>
        <w:trHeight w:val="321"/>
      </w:trPr>
      <w:tc>
        <w:tcPr>
          <w:tcW w:w="2592" w:type="dxa"/>
          <w:vAlign w:val="center"/>
        </w:tcPr>
        <w:p w:rsidR="00F77106" w:rsidRPr="00F06274" w:rsidRDefault="00F77106" w:rsidP="00F06274">
          <w:pPr>
            <w:ind w:right="-150"/>
            <w:rPr>
              <w:rFonts w:ascii="Palatino Linotype" w:eastAsia="Palatino Linotype" w:hAnsi="Palatino Linotype" w:cs="Palatino Linotype"/>
              <w:b/>
              <w:color w:val="000000" w:themeColor="text1"/>
              <w:sz w:val="24"/>
              <w:szCs w:val="24"/>
            </w:rPr>
          </w:pPr>
          <w:r w:rsidRPr="00F06274">
            <w:rPr>
              <w:rFonts w:ascii="Palatino Linotype" w:eastAsia="Palatino Linotype" w:hAnsi="Palatino Linotype" w:cs="Palatino Linotype"/>
              <w:b/>
              <w:color w:val="000000" w:themeColor="text1"/>
              <w:sz w:val="24"/>
              <w:szCs w:val="24"/>
            </w:rPr>
            <w:t>Comisionada Ponente:</w:t>
          </w:r>
        </w:p>
      </w:tc>
      <w:tc>
        <w:tcPr>
          <w:tcW w:w="4253" w:type="dxa"/>
          <w:vAlign w:val="center"/>
        </w:tcPr>
        <w:p w:rsidR="00F77106" w:rsidRPr="00F06274" w:rsidRDefault="00F77106" w:rsidP="00F06274">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F06274">
            <w:rPr>
              <w:rFonts w:ascii="Palatino Linotype" w:eastAsia="Palatino Linotype" w:hAnsi="Palatino Linotype" w:cs="Palatino Linotype"/>
              <w:color w:val="000000" w:themeColor="text1"/>
              <w:sz w:val="24"/>
              <w:szCs w:val="24"/>
            </w:rPr>
            <w:t>María del Rosario Mejía Ayala</w:t>
          </w:r>
        </w:p>
      </w:tc>
    </w:tr>
  </w:tbl>
  <w:p w:rsidR="00F77106" w:rsidRDefault="00B21C39">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margin">
            <wp:align>center</wp:align>
          </wp:positionH>
          <wp:positionV relativeFrom="paragraph">
            <wp:posOffset>-1062834</wp:posOffset>
          </wp:positionV>
          <wp:extent cx="7809876" cy="10165823"/>
          <wp:effectExtent l="0" t="0" r="635" b="6985"/>
          <wp:wrapNone/>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F77106" w:rsidRDefault="00F771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119"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4536"/>
    </w:tblGrid>
    <w:tr w:rsidR="00F06274" w:rsidTr="00B21C39">
      <w:trPr>
        <w:trHeight w:val="138"/>
      </w:trPr>
      <w:tc>
        <w:tcPr>
          <w:tcW w:w="2583" w:type="dxa"/>
          <w:vAlign w:val="center"/>
        </w:tcPr>
        <w:p w:rsidR="00F06274" w:rsidRPr="00F06274" w:rsidRDefault="00F06274" w:rsidP="00F06274">
          <w:pPr>
            <w:ind w:right="-156"/>
            <w:rPr>
              <w:rFonts w:ascii="Palatino Linotype" w:eastAsia="Palatino Linotype" w:hAnsi="Palatino Linotype" w:cs="Palatino Linotype"/>
              <w:b/>
              <w:color w:val="000000" w:themeColor="text1"/>
              <w:sz w:val="24"/>
              <w:szCs w:val="24"/>
            </w:rPr>
          </w:pPr>
          <w:r w:rsidRPr="00F06274">
            <w:rPr>
              <w:rFonts w:ascii="Palatino Linotype" w:eastAsia="Palatino Linotype" w:hAnsi="Palatino Linotype" w:cs="Palatino Linotype"/>
              <w:b/>
              <w:color w:val="000000" w:themeColor="text1"/>
              <w:sz w:val="24"/>
              <w:szCs w:val="24"/>
            </w:rPr>
            <w:t>Recurso de Revisión:</w:t>
          </w:r>
        </w:p>
      </w:tc>
      <w:tc>
        <w:tcPr>
          <w:tcW w:w="4536" w:type="dxa"/>
          <w:vAlign w:val="center"/>
        </w:tcPr>
        <w:p w:rsidR="00F06274" w:rsidRPr="00F06274" w:rsidRDefault="00F06274" w:rsidP="00F06274">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F06274">
            <w:rPr>
              <w:rFonts w:ascii="Palatino Linotype" w:eastAsia="Palatino Linotype" w:hAnsi="Palatino Linotype" w:cs="Palatino Linotype"/>
              <w:color w:val="000000" w:themeColor="text1"/>
              <w:sz w:val="24"/>
              <w:szCs w:val="24"/>
            </w:rPr>
            <w:t>07808/INFOEM/IP/RR/2025</w:t>
          </w:r>
        </w:p>
      </w:tc>
    </w:tr>
    <w:tr w:rsidR="00F06274" w:rsidTr="00B21C39">
      <w:trPr>
        <w:trHeight w:val="227"/>
      </w:trPr>
      <w:tc>
        <w:tcPr>
          <w:tcW w:w="2583" w:type="dxa"/>
          <w:vAlign w:val="center"/>
        </w:tcPr>
        <w:p w:rsidR="00F06274" w:rsidRPr="00F06274" w:rsidRDefault="00F06274" w:rsidP="00F06274">
          <w:pPr>
            <w:ind w:right="-156"/>
            <w:rPr>
              <w:rFonts w:ascii="Palatino Linotype" w:eastAsia="Palatino Linotype" w:hAnsi="Palatino Linotype" w:cs="Palatino Linotype"/>
              <w:b/>
              <w:color w:val="000000" w:themeColor="text1"/>
              <w:sz w:val="24"/>
              <w:szCs w:val="24"/>
            </w:rPr>
          </w:pPr>
          <w:r w:rsidRPr="00F06274">
            <w:rPr>
              <w:rFonts w:ascii="Palatino Linotype" w:eastAsia="Palatino Linotype" w:hAnsi="Palatino Linotype" w:cs="Palatino Linotype"/>
              <w:b/>
              <w:color w:val="000000" w:themeColor="text1"/>
              <w:sz w:val="24"/>
              <w:szCs w:val="24"/>
            </w:rPr>
            <w:t>Recurrente:</w:t>
          </w:r>
        </w:p>
      </w:tc>
      <w:tc>
        <w:tcPr>
          <w:tcW w:w="4536" w:type="dxa"/>
          <w:vAlign w:val="center"/>
        </w:tcPr>
        <w:p w:rsidR="00F06274" w:rsidRPr="00F06274" w:rsidRDefault="00F06274" w:rsidP="00F06274">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p>
      </w:tc>
    </w:tr>
    <w:tr w:rsidR="00F06274" w:rsidTr="00B21C39">
      <w:trPr>
        <w:trHeight w:val="232"/>
      </w:trPr>
      <w:tc>
        <w:tcPr>
          <w:tcW w:w="2583" w:type="dxa"/>
          <w:vAlign w:val="center"/>
        </w:tcPr>
        <w:p w:rsidR="00F06274" w:rsidRPr="00F06274" w:rsidRDefault="00F06274" w:rsidP="00F06274">
          <w:pPr>
            <w:ind w:right="-156"/>
            <w:rPr>
              <w:rFonts w:ascii="Palatino Linotype" w:eastAsia="Palatino Linotype" w:hAnsi="Palatino Linotype" w:cs="Palatino Linotype"/>
              <w:b/>
              <w:color w:val="000000" w:themeColor="text1"/>
              <w:sz w:val="24"/>
              <w:szCs w:val="24"/>
            </w:rPr>
          </w:pPr>
          <w:r w:rsidRPr="00F06274">
            <w:rPr>
              <w:rFonts w:ascii="Palatino Linotype" w:eastAsia="Palatino Linotype" w:hAnsi="Palatino Linotype" w:cs="Palatino Linotype"/>
              <w:b/>
              <w:color w:val="000000" w:themeColor="text1"/>
              <w:sz w:val="24"/>
              <w:szCs w:val="24"/>
            </w:rPr>
            <w:t>Sujeto Obligado:</w:t>
          </w:r>
        </w:p>
      </w:tc>
      <w:tc>
        <w:tcPr>
          <w:tcW w:w="4536" w:type="dxa"/>
          <w:vAlign w:val="center"/>
        </w:tcPr>
        <w:p w:rsidR="00F06274" w:rsidRPr="00F06274" w:rsidRDefault="00F06274" w:rsidP="00F06274">
          <w:pPr>
            <w:ind w:right="-73"/>
            <w:rPr>
              <w:color w:val="000000" w:themeColor="text1"/>
              <w:sz w:val="24"/>
              <w:szCs w:val="24"/>
            </w:rPr>
          </w:pPr>
          <w:r w:rsidRPr="00F06274">
            <w:rPr>
              <w:rFonts w:ascii="Palatino Linotype" w:eastAsia="Palatino Linotype" w:hAnsi="Palatino Linotype" w:cs="Palatino Linotype"/>
              <w:color w:val="000000" w:themeColor="text1"/>
              <w:sz w:val="24"/>
              <w:szCs w:val="24"/>
            </w:rPr>
            <w:t>Ayuntamiento de Almoloya del Rio</w:t>
          </w:r>
        </w:p>
      </w:tc>
    </w:tr>
    <w:tr w:rsidR="00F06274" w:rsidTr="00B21C39">
      <w:trPr>
        <w:trHeight w:val="320"/>
      </w:trPr>
      <w:tc>
        <w:tcPr>
          <w:tcW w:w="2583" w:type="dxa"/>
          <w:vAlign w:val="center"/>
        </w:tcPr>
        <w:p w:rsidR="00F06274" w:rsidRPr="00F06274" w:rsidRDefault="00F06274" w:rsidP="00F06274">
          <w:pPr>
            <w:ind w:right="-156"/>
            <w:rPr>
              <w:rFonts w:ascii="Palatino Linotype" w:eastAsia="Palatino Linotype" w:hAnsi="Palatino Linotype" w:cs="Palatino Linotype"/>
              <w:b/>
              <w:color w:val="000000" w:themeColor="text1"/>
              <w:sz w:val="24"/>
              <w:szCs w:val="24"/>
            </w:rPr>
          </w:pPr>
          <w:r w:rsidRPr="00F06274">
            <w:rPr>
              <w:rFonts w:ascii="Palatino Linotype" w:eastAsia="Palatino Linotype" w:hAnsi="Palatino Linotype" w:cs="Palatino Linotype"/>
              <w:b/>
              <w:color w:val="000000" w:themeColor="text1"/>
              <w:sz w:val="24"/>
              <w:szCs w:val="24"/>
            </w:rPr>
            <w:t>Comisionada Ponente:</w:t>
          </w:r>
        </w:p>
      </w:tc>
      <w:tc>
        <w:tcPr>
          <w:tcW w:w="4536" w:type="dxa"/>
          <w:vAlign w:val="center"/>
        </w:tcPr>
        <w:p w:rsidR="00F06274" w:rsidRPr="00F06274" w:rsidRDefault="00F06274" w:rsidP="00F06274">
          <w:pPr>
            <w:pBdr>
              <w:top w:val="nil"/>
              <w:left w:val="nil"/>
              <w:bottom w:val="nil"/>
              <w:right w:val="nil"/>
              <w:between w:val="nil"/>
            </w:pBdr>
            <w:tabs>
              <w:tab w:val="right" w:pos="8504"/>
            </w:tabs>
            <w:ind w:right="-73"/>
            <w:rPr>
              <w:rFonts w:ascii="Palatino Linotype" w:eastAsia="Palatino Linotype" w:hAnsi="Palatino Linotype" w:cs="Palatino Linotype"/>
              <w:color w:val="000000" w:themeColor="text1"/>
              <w:sz w:val="24"/>
              <w:szCs w:val="24"/>
            </w:rPr>
          </w:pPr>
          <w:r w:rsidRPr="00F06274">
            <w:rPr>
              <w:rFonts w:ascii="Palatino Linotype" w:eastAsia="Palatino Linotype" w:hAnsi="Palatino Linotype" w:cs="Palatino Linotype"/>
              <w:color w:val="000000" w:themeColor="text1"/>
              <w:sz w:val="24"/>
              <w:szCs w:val="24"/>
            </w:rPr>
            <w:t>María del Rosario Mejía Ayala</w:t>
          </w:r>
        </w:p>
      </w:tc>
    </w:tr>
  </w:tbl>
  <w:p w:rsidR="00F77106" w:rsidRDefault="00B21C39" w:rsidP="00B21C39">
    <w:pPr>
      <w:pBdr>
        <w:top w:val="nil"/>
        <w:left w:val="nil"/>
        <w:bottom w:val="nil"/>
        <w:right w:val="nil"/>
        <w:between w:val="nil"/>
      </w:pBdr>
      <w:tabs>
        <w:tab w:val="center" w:pos="4252"/>
        <w:tab w:val="right" w:pos="8504"/>
      </w:tabs>
    </w:pPr>
    <w:r>
      <w:rPr>
        <w:noProof/>
        <w:lang w:val="es-MX"/>
      </w:rPr>
      <w:drawing>
        <wp:anchor distT="0" distB="0" distL="0" distR="0" simplePos="0" relativeHeight="251659264" behindDoc="1" locked="0" layoutInCell="1" hidden="0" allowOverlap="1">
          <wp:simplePos x="0" y="0"/>
          <wp:positionH relativeFrom="column">
            <wp:posOffset>-1042586</wp:posOffset>
          </wp:positionH>
          <wp:positionV relativeFrom="paragraph">
            <wp:posOffset>-1283395</wp:posOffset>
          </wp:positionV>
          <wp:extent cx="7809876" cy="10165823"/>
          <wp:effectExtent l="0" t="0" r="0" b="0"/>
          <wp:wrapNone/>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827BDE"/>
    <w:multiLevelType w:val="multilevel"/>
    <w:tmpl w:val="8BD047B6"/>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79C3F6F"/>
    <w:multiLevelType w:val="multilevel"/>
    <w:tmpl w:val="77EAE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4C1AFB"/>
    <w:multiLevelType w:val="multilevel"/>
    <w:tmpl w:val="6C5A112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932668"/>
    <w:multiLevelType w:val="hybridMultilevel"/>
    <w:tmpl w:val="3CDE5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611F24"/>
    <w:multiLevelType w:val="multilevel"/>
    <w:tmpl w:val="D436CE78"/>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D93E29"/>
    <w:multiLevelType w:val="multilevel"/>
    <w:tmpl w:val="D2A477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254DB2"/>
    <w:multiLevelType w:val="multilevel"/>
    <w:tmpl w:val="C4406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A5A408D"/>
    <w:multiLevelType w:val="multilevel"/>
    <w:tmpl w:val="4A82B2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0E2E06"/>
    <w:multiLevelType w:val="multilevel"/>
    <w:tmpl w:val="B4D032E0"/>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FF674C7"/>
    <w:multiLevelType w:val="multilevel"/>
    <w:tmpl w:val="7B2A83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91C31"/>
    <w:multiLevelType w:val="multilevel"/>
    <w:tmpl w:val="5B32D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38D1EE4"/>
    <w:multiLevelType w:val="multilevel"/>
    <w:tmpl w:val="9D36B94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3" w15:restartNumberingAfterBreak="0">
    <w:nsid w:val="5AE67FC1"/>
    <w:multiLevelType w:val="multilevel"/>
    <w:tmpl w:val="AEC8B5D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4" w15:restartNumberingAfterBreak="0">
    <w:nsid w:val="5F906B1C"/>
    <w:multiLevelType w:val="multilevel"/>
    <w:tmpl w:val="D8967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14"/>
  </w:num>
  <w:num w:numId="3">
    <w:abstractNumId w:val="10"/>
  </w:num>
  <w:num w:numId="4">
    <w:abstractNumId w:val="7"/>
  </w:num>
  <w:num w:numId="5">
    <w:abstractNumId w:val="2"/>
  </w:num>
  <w:num w:numId="6">
    <w:abstractNumId w:val="9"/>
  </w:num>
  <w:num w:numId="7">
    <w:abstractNumId w:val="1"/>
  </w:num>
  <w:num w:numId="8">
    <w:abstractNumId w:val="11"/>
  </w:num>
  <w:num w:numId="9">
    <w:abstractNumId w:val="8"/>
  </w:num>
  <w:num w:numId="10">
    <w:abstractNumId w:val="5"/>
  </w:num>
  <w:num w:numId="11">
    <w:abstractNumId w:val="3"/>
  </w:num>
  <w:num w:numId="12">
    <w:abstractNumId w:val="13"/>
  </w:num>
  <w:num w:numId="13">
    <w:abstractNumId w:val="6"/>
  </w:num>
  <w:num w:numId="14">
    <w:abstractNumId w:val="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EB"/>
    <w:rsid w:val="000B245E"/>
    <w:rsid w:val="00337BEB"/>
    <w:rsid w:val="003676A9"/>
    <w:rsid w:val="00370018"/>
    <w:rsid w:val="00396C1C"/>
    <w:rsid w:val="00485FD1"/>
    <w:rsid w:val="00536036"/>
    <w:rsid w:val="006A6042"/>
    <w:rsid w:val="007A2CA1"/>
    <w:rsid w:val="007C2F36"/>
    <w:rsid w:val="008560C2"/>
    <w:rsid w:val="00B21C39"/>
    <w:rsid w:val="00C065A8"/>
    <w:rsid w:val="00C9365A"/>
    <w:rsid w:val="00C952E1"/>
    <w:rsid w:val="00CB3832"/>
    <w:rsid w:val="00D5314C"/>
    <w:rsid w:val="00D558E3"/>
    <w:rsid w:val="00DB639A"/>
    <w:rsid w:val="00EA1DFA"/>
    <w:rsid w:val="00EB1F8F"/>
    <w:rsid w:val="00EB4509"/>
    <w:rsid w:val="00EC5F3B"/>
    <w:rsid w:val="00F06274"/>
    <w:rsid w:val="00F75992"/>
    <w:rsid w:val="00F77106"/>
    <w:rsid w:val="00FE69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CCDD6D-6BDE-4CFD-98D6-70B88B33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rPr>
      <w:sz w:val="22"/>
      <w:szCs w:val="22"/>
    </w:rPr>
    <w:tblPr>
      <w:tblStyleRowBandSize w:val="1"/>
      <w:tblStyleColBandSize w:val="1"/>
      <w:tblCellMar>
        <w:left w:w="108" w:type="dxa"/>
        <w:right w:w="108" w:type="dxa"/>
      </w:tblCellMar>
    </w:tblPr>
  </w:style>
  <w:style w:type="table" w:customStyle="1" w:styleId="1">
    <w:name w:val="1"/>
    <w:basedOn w:val="TableNormal1"/>
    <w:rPr>
      <w:sz w:val="22"/>
      <w:szCs w:val="22"/>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08" w:type="dxa"/>
        <w:right w:w="108" w:type="dxa"/>
      </w:tblCellMar>
    </w:tblPr>
  </w:style>
  <w:style w:type="table" w:customStyle="1" w:styleId="a3">
    <w:basedOn w:val="TableNormal1"/>
    <w:rPr>
      <w:sz w:val="22"/>
      <w:szCs w:val="22"/>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rPr>
      <w:sz w:val="22"/>
      <w:szCs w:val="22"/>
    </w:rPr>
    <w:tblPr>
      <w:tblStyleRowBandSize w:val="1"/>
      <w:tblStyleColBandSize w:val="1"/>
      <w:tblCellMar>
        <w:left w:w="108" w:type="dxa"/>
        <w:right w:w="108" w:type="dxa"/>
      </w:tblCellMar>
    </w:tblPr>
  </w:style>
  <w:style w:type="table" w:customStyle="1" w:styleId="a7">
    <w:basedOn w:val="TableNormal0"/>
    <w:rPr>
      <w:sz w:val="22"/>
      <w:szCs w:val="22"/>
    </w:rPr>
    <w:tblPr>
      <w:tblStyleRowBandSize w:val="1"/>
      <w:tblStyleColBandSize w:val="1"/>
      <w:tblCellMar>
        <w:left w:w="108" w:type="dxa"/>
        <w:right w:w="108" w:type="dxa"/>
      </w:tblCellMar>
    </w:tblPr>
  </w:style>
  <w:style w:type="paragraph" w:customStyle="1" w:styleId="xmsonormal">
    <w:name w:val="x_msonormal"/>
    <w:basedOn w:val="Normal"/>
    <w:rsid w:val="00DB639A"/>
    <w:pPr>
      <w:spacing w:before="100" w:beforeAutospacing="1" w:after="100" w:afterAutospacing="1"/>
    </w:pPr>
    <w:rPr>
      <w:rFonts w:ascii="Times New Roman" w:eastAsia="Times New Roman" w:hAnsi="Times New Roman" w:cs="Times New Roman"/>
      <w:lang w:val="es-MX"/>
    </w:rPr>
  </w:style>
  <w:style w:type="paragraph" w:customStyle="1" w:styleId="xgmail-msonormal">
    <w:name w:val="x_gmail-msonormal"/>
    <w:basedOn w:val="Normal"/>
    <w:rsid w:val="00DB639A"/>
    <w:pPr>
      <w:spacing w:before="100" w:beforeAutospacing="1" w:after="100" w:afterAutospacing="1"/>
    </w:pPr>
    <w:rPr>
      <w:rFonts w:ascii="Times New Roman" w:eastAsia="Times New Roman" w:hAnsi="Times New Roman" w:cs="Times New Roman"/>
      <w:lang w:val="es-MX"/>
    </w:rPr>
  </w:style>
  <w:style w:type="character" w:customStyle="1" w:styleId="markxupqafu2i">
    <w:name w:val="markxupqafu2i"/>
    <w:basedOn w:val="Fuentedeprrafopredeter"/>
    <w:rsid w:val="00DB639A"/>
  </w:style>
  <w:style w:type="character" w:customStyle="1" w:styleId="xgmail-msocommentreference">
    <w:name w:val="x_gmail-msocommentreference"/>
    <w:basedOn w:val="Fuentedeprrafopredeter"/>
    <w:rsid w:val="00DB6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440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88511.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f.gob.mx/nota_detalle.php?codigo=5492254&amp;fecha=28/07/20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2488541.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nAzLnlwEetBGchRkULJVP0B/w==">CgMxLjAyDmguc3JlOWgwNXE0djBiMghoLmdqZGd4czIJaC4zMGowemxsMgloLjFmb2I5dGUyCWguM3pueXNoNzIJaC4yZXQ5MnAwMghoLnR5amN3dDIJaC4zZHk2dmttMgloLjF0M2g1c2YyDmguZXhhZzlhYWl3bDc5MgloLjE3ZHA4dnUyCWguM3JkY3JqbjIJaC4xa3N2NHV2MgloLjQ0c2luaW8yCWguMjZpbjFyZzIJaC40ZDM0b2c4MghoLmxueGJ6OTIJaC4zNW5rdW4yOAByITFCdEdEZml2aHdSSW5rWmNzMVdpMkkwSDFMOU9SSGdn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55</Pages>
  <Words>13680</Words>
  <Characters>75241</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14</cp:revision>
  <dcterms:created xsi:type="dcterms:W3CDTF">2025-10-23T02:04:00Z</dcterms:created>
  <dcterms:modified xsi:type="dcterms:W3CDTF">2025-12-11T19:01:00Z</dcterms:modified>
</cp:coreProperties>
</file>