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1393005918"/>
        <w:docPartObj>
          <w:docPartGallery w:val="Table of Contents"/>
          <w:docPartUnique/>
        </w:docPartObj>
      </w:sdtPr>
      <w:sdtEndPr>
        <w:rPr>
          <w:b/>
          <w:bCs/>
        </w:rPr>
      </w:sdtEndPr>
      <w:sdtContent>
        <w:p w14:paraId="4C8EBD91" w14:textId="77777777" w:rsidR="00247497" w:rsidRPr="00EC1131" w:rsidRDefault="00247497" w:rsidP="00EC1131">
          <w:pPr>
            <w:pStyle w:val="TtulodeTDC"/>
            <w:rPr>
              <w:color w:val="auto"/>
              <w:sz w:val="22"/>
              <w:szCs w:val="22"/>
            </w:rPr>
          </w:pPr>
          <w:r w:rsidRPr="00EC1131">
            <w:rPr>
              <w:color w:val="auto"/>
              <w:sz w:val="22"/>
              <w:szCs w:val="22"/>
              <w:lang w:val="es-ES"/>
            </w:rPr>
            <w:t>Contenido</w:t>
          </w:r>
        </w:p>
        <w:p w14:paraId="6E10CDF3" w14:textId="77777777" w:rsidR="00EC1131" w:rsidRDefault="00247497">
          <w:pPr>
            <w:pStyle w:val="TDC1"/>
            <w:tabs>
              <w:tab w:val="right" w:leader="dot" w:pos="9034"/>
            </w:tabs>
            <w:rPr>
              <w:rFonts w:asciiTheme="minorHAnsi" w:eastAsiaTheme="minorEastAsia" w:hAnsiTheme="minorHAnsi" w:cstheme="minorBidi"/>
              <w:noProof/>
              <w:szCs w:val="22"/>
              <w:lang w:eastAsia="es-MX"/>
            </w:rPr>
          </w:pPr>
          <w:r w:rsidRPr="00EC1131">
            <w:rPr>
              <w:b/>
              <w:bCs/>
              <w:szCs w:val="22"/>
              <w:lang w:val="es-ES"/>
            </w:rPr>
            <w:fldChar w:fldCharType="begin"/>
          </w:r>
          <w:r w:rsidRPr="00EC1131">
            <w:rPr>
              <w:b/>
              <w:bCs/>
              <w:szCs w:val="22"/>
              <w:lang w:val="es-ES"/>
            </w:rPr>
            <w:instrText xml:space="preserve"> TOC \o "1-3" \h \z \u </w:instrText>
          </w:r>
          <w:r w:rsidRPr="00EC1131">
            <w:rPr>
              <w:b/>
              <w:bCs/>
              <w:szCs w:val="22"/>
              <w:lang w:val="es-ES"/>
            </w:rPr>
            <w:fldChar w:fldCharType="separate"/>
          </w:r>
          <w:hyperlink w:anchor="_Toc198750461" w:history="1">
            <w:r w:rsidR="00EC1131" w:rsidRPr="0044075C">
              <w:rPr>
                <w:rStyle w:val="Hipervnculo"/>
                <w:rFonts w:eastAsiaTheme="majorEastAsia"/>
                <w:noProof/>
              </w:rPr>
              <w:t>ANTECEDENTES</w:t>
            </w:r>
            <w:r w:rsidR="00EC1131">
              <w:rPr>
                <w:noProof/>
                <w:webHidden/>
              </w:rPr>
              <w:tab/>
            </w:r>
            <w:r w:rsidR="00EC1131">
              <w:rPr>
                <w:noProof/>
                <w:webHidden/>
              </w:rPr>
              <w:fldChar w:fldCharType="begin"/>
            </w:r>
            <w:r w:rsidR="00EC1131">
              <w:rPr>
                <w:noProof/>
                <w:webHidden/>
              </w:rPr>
              <w:instrText xml:space="preserve"> PAGEREF _Toc198750461 \h </w:instrText>
            </w:r>
            <w:r w:rsidR="00EC1131">
              <w:rPr>
                <w:noProof/>
                <w:webHidden/>
              </w:rPr>
            </w:r>
            <w:r w:rsidR="00EC1131">
              <w:rPr>
                <w:noProof/>
                <w:webHidden/>
              </w:rPr>
              <w:fldChar w:fldCharType="separate"/>
            </w:r>
            <w:r w:rsidR="00CB4949">
              <w:rPr>
                <w:noProof/>
                <w:webHidden/>
              </w:rPr>
              <w:t>1</w:t>
            </w:r>
            <w:r w:rsidR="00EC1131">
              <w:rPr>
                <w:noProof/>
                <w:webHidden/>
              </w:rPr>
              <w:fldChar w:fldCharType="end"/>
            </w:r>
          </w:hyperlink>
        </w:p>
        <w:p w14:paraId="15B9DC97" w14:textId="77777777" w:rsidR="00EC1131" w:rsidRDefault="00CB4949">
          <w:pPr>
            <w:pStyle w:val="TDC2"/>
            <w:rPr>
              <w:rFonts w:asciiTheme="minorHAnsi" w:eastAsiaTheme="minorEastAsia" w:hAnsiTheme="minorHAnsi" w:cstheme="minorBidi"/>
              <w:noProof/>
              <w:szCs w:val="22"/>
              <w:lang w:eastAsia="es-MX"/>
            </w:rPr>
          </w:pPr>
          <w:hyperlink w:anchor="_Toc198750462" w:history="1">
            <w:r w:rsidR="00EC1131" w:rsidRPr="0044075C">
              <w:rPr>
                <w:rStyle w:val="Hipervnculo"/>
                <w:rFonts w:eastAsiaTheme="majorEastAsia"/>
                <w:noProof/>
              </w:rPr>
              <w:t>DE LA SOLICITUD DE INFORMACIÓN</w:t>
            </w:r>
            <w:r w:rsidR="00EC1131">
              <w:rPr>
                <w:noProof/>
                <w:webHidden/>
              </w:rPr>
              <w:tab/>
            </w:r>
            <w:r w:rsidR="00EC1131">
              <w:rPr>
                <w:noProof/>
                <w:webHidden/>
              </w:rPr>
              <w:fldChar w:fldCharType="begin"/>
            </w:r>
            <w:r w:rsidR="00EC1131">
              <w:rPr>
                <w:noProof/>
                <w:webHidden/>
              </w:rPr>
              <w:instrText xml:space="preserve"> PAGEREF _Toc198750462 \h </w:instrText>
            </w:r>
            <w:r w:rsidR="00EC1131">
              <w:rPr>
                <w:noProof/>
                <w:webHidden/>
              </w:rPr>
            </w:r>
            <w:r w:rsidR="00EC1131">
              <w:rPr>
                <w:noProof/>
                <w:webHidden/>
              </w:rPr>
              <w:fldChar w:fldCharType="separate"/>
            </w:r>
            <w:r>
              <w:rPr>
                <w:noProof/>
                <w:webHidden/>
              </w:rPr>
              <w:t>1</w:t>
            </w:r>
            <w:r w:rsidR="00EC1131">
              <w:rPr>
                <w:noProof/>
                <w:webHidden/>
              </w:rPr>
              <w:fldChar w:fldCharType="end"/>
            </w:r>
          </w:hyperlink>
        </w:p>
        <w:p w14:paraId="16504355" w14:textId="77777777" w:rsidR="00EC1131" w:rsidRDefault="00CB4949">
          <w:pPr>
            <w:pStyle w:val="TDC3"/>
            <w:rPr>
              <w:rFonts w:asciiTheme="minorHAnsi" w:eastAsiaTheme="minorEastAsia" w:hAnsiTheme="minorHAnsi" w:cstheme="minorBidi"/>
              <w:noProof/>
              <w:szCs w:val="22"/>
              <w:lang w:eastAsia="es-MX"/>
            </w:rPr>
          </w:pPr>
          <w:hyperlink w:anchor="_Toc198750463" w:history="1">
            <w:r w:rsidR="00EC1131" w:rsidRPr="0044075C">
              <w:rPr>
                <w:rStyle w:val="Hipervnculo"/>
                <w:rFonts w:eastAsiaTheme="majorEastAsia"/>
                <w:noProof/>
              </w:rPr>
              <w:t>a) Solicitud de información.</w:t>
            </w:r>
            <w:r w:rsidR="00EC1131">
              <w:rPr>
                <w:noProof/>
                <w:webHidden/>
              </w:rPr>
              <w:tab/>
            </w:r>
            <w:r w:rsidR="00EC1131">
              <w:rPr>
                <w:noProof/>
                <w:webHidden/>
              </w:rPr>
              <w:fldChar w:fldCharType="begin"/>
            </w:r>
            <w:r w:rsidR="00EC1131">
              <w:rPr>
                <w:noProof/>
                <w:webHidden/>
              </w:rPr>
              <w:instrText xml:space="preserve"> PAGEREF _Toc198750463 \h </w:instrText>
            </w:r>
            <w:r w:rsidR="00EC1131">
              <w:rPr>
                <w:noProof/>
                <w:webHidden/>
              </w:rPr>
            </w:r>
            <w:r w:rsidR="00EC1131">
              <w:rPr>
                <w:noProof/>
                <w:webHidden/>
              </w:rPr>
              <w:fldChar w:fldCharType="separate"/>
            </w:r>
            <w:r>
              <w:rPr>
                <w:noProof/>
                <w:webHidden/>
              </w:rPr>
              <w:t>1</w:t>
            </w:r>
            <w:r w:rsidR="00EC1131">
              <w:rPr>
                <w:noProof/>
                <w:webHidden/>
              </w:rPr>
              <w:fldChar w:fldCharType="end"/>
            </w:r>
          </w:hyperlink>
        </w:p>
        <w:p w14:paraId="2033C961" w14:textId="77777777" w:rsidR="00EC1131" w:rsidRDefault="00CB4949">
          <w:pPr>
            <w:pStyle w:val="TDC3"/>
            <w:rPr>
              <w:rFonts w:asciiTheme="minorHAnsi" w:eastAsiaTheme="minorEastAsia" w:hAnsiTheme="minorHAnsi" w:cstheme="minorBidi"/>
              <w:noProof/>
              <w:szCs w:val="22"/>
              <w:lang w:eastAsia="es-MX"/>
            </w:rPr>
          </w:pPr>
          <w:hyperlink w:anchor="_Toc198750464" w:history="1">
            <w:r w:rsidR="00EC1131" w:rsidRPr="0044075C">
              <w:rPr>
                <w:rStyle w:val="Hipervnculo"/>
                <w:rFonts w:eastAsiaTheme="majorEastAsia"/>
                <w:noProof/>
              </w:rPr>
              <w:t>b) Respuesta del Sujeto Obligado.</w:t>
            </w:r>
            <w:r w:rsidR="00EC1131">
              <w:rPr>
                <w:noProof/>
                <w:webHidden/>
              </w:rPr>
              <w:tab/>
            </w:r>
            <w:r w:rsidR="00EC1131">
              <w:rPr>
                <w:noProof/>
                <w:webHidden/>
              </w:rPr>
              <w:fldChar w:fldCharType="begin"/>
            </w:r>
            <w:r w:rsidR="00EC1131">
              <w:rPr>
                <w:noProof/>
                <w:webHidden/>
              </w:rPr>
              <w:instrText xml:space="preserve"> PAGEREF _Toc198750464 \h </w:instrText>
            </w:r>
            <w:r w:rsidR="00EC1131">
              <w:rPr>
                <w:noProof/>
                <w:webHidden/>
              </w:rPr>
            </w:r>
            <w:r w:rsidR="00EC1131">
              <w:rPr>
                <w:noProof/>
                <w:webHidden/>
              </w:rPr>
              <w:fldChar w:fldCharType="separate"/>
            </w:r>
            <w:r>
              <w:rPr>
                <w:noProof/>
                <w:webHidden/>
              </w:rPr>
              <w:t>2</w:t>
            </w:r>
            <w:r w:rsidR="00EC1131">
              <w:rPr>
                <w:noProof/>
                <w:webHidden/>
              </w:rPr>
              <w:fldChar w:fldCharType="end"/>
            </w:r>
          </w:hyperlink>
        </w:p>
        <w:p w14:paraId="7DC15C3C" w14:textId="77777777" w:rsidR="00EC1131" w:rsidRDefault="00CB4949">
          <w:pPr>
            <w:pStyle w:val="TDC2"/>
            <w:rPr>
              <w:rFonts w:asciiTheme="minorHAnsi" w:eastAsiaTheme="minorEastAsia" w:hAnsiTheme="minorHAnsi" w:cstheme="minorBidi"/>
              <w:noProof/>
              <w:szCs w:val="22"/>
              <w:lang w:eastAsia="es-MX"/>
            </w:rPr>
          </w:pPr>
          <w:hyperlink w:anchor="_Toc198750465" w:history="1">
            <w:r w:rsidR="00EC1131" w:rsidRPr="0044075C">
              <w:rPr>
                <w:rStyle w:val="Hipervnculo"/>
                <w:rFonts w:eastAsiaTheme="majorEastAsia"/>
                <w:noProof/>
              </w:rPr>
              <w:t>DEL RECURSO DE REVISIÓN</w:t>
            </w:r>
            <w:r w:rsidR="00EC1131">
              <w:rPr>
                <w:noProof/>
                <w:webHidden/>
              </w:rPr>
              <w:tab/>
            </w:r>
            <w:r w:rsidR="00EC1131">
              <w:rPr>
                <w:noProof/>
                <w:webHidden/>
              </w:rPr>
              <w:fldChar w:fldCharType="begin"/>
            </w:r>
            <w:r w:rsidR="00EC1131">
              <w:rPr>
                <w:noProof/>
                <w:webHidden/>
              </w:rPr>
              <w:instrText xml:space="preserve"> PAGEREF _Toc198750465 \h </w:instrText>
            </w:r>
            <w:r w:rsidR="00EC1131">
              <w:rPr>
                <w:noProof/>
                <w:webHidden/>
              </w:rPr>
            </w:r>
            <w:r w:rsidR="00EC1131">
              <w:rPr>
                <w:noProof/>
                <w:webHidden/>
              </w:rPr>
              <w:fldChar w:fldCharType="separate"/>
            </w:r>
            <w:r>
              <w:rPr>
                <w:noProof/>
                <w:webHidden/>
              </w:rPr>
              <w:t>3</w:t>
            </w:r>
            <w:r w:rsidR="00EC1131">
              <w:rPr>
                <w:noProof/>
                <w:webHidden/>
              </w:rPr>
              <w:fldChar w:fldCharType="end"/>
            </w:r>
          </w:hyperlink>
        </w:p>
        <w:p w14:paraId="7DFC6D5E" w14:textId="77777777" w:rsidR="00EC1131" w:rsidRDefault="00CB4949">
          <w:pPr>
            <w:pStyle w:val="TDC3"/>
            <w:rPr>
              <w:rFonts w:asciiTheme="minorHAnsi" w:eastAsiaTheme="minorEastAsia" w:hAnsiTheme="minorHAnsi" w:cstheme="minorBidi"/>
              <w:noProof/>
              <w:szCs w:val="22"/>
              <w:lang w:eastAsia="es-MX"/>
            </w:rPr>
          </w:pPr>
          <w:hyperlink w:anchor="_Toc198750466" w:history="1">
            <w:r w:rsidR="00EC1131" w:rsidRPr="0044075C">
              <w:rPr>
                <w:rStyle w:val="Hipervnculo"/>
                <w:rFonts w:eastAsiaTheme="majorEastAsia"/>
                <w:noProof/>
              </w:rPr>
              <w:t>a) Interposición del Recurso de Revisión.</w:t>
            </w:r>
            <w:r w:rsidR="00EC1131">
              <w:rPr>
                <w:noProof/>
                <w:webHidden/>
              </w:rPr>
              <w:tab/>
            </w:r>
            <w:r w:rsidR="00EC1131">
              <w:rPr>
                <w:noProof/>
                <w:webHidden/>
              </w:rPr>
              <w:fldChar w:fldCharType="begin"/>
            </w:r>
            <w:r w:rsidR="00EC1131">
              <w:rPr>
                <w:noProof/>
                <w:webHidden/>
              </w:rPr>
              <w:instrText xml:space="preserve"> PAGEREF _Toc198750466 \h </w:instrText>
            </w:r>
            <w:r w:rsidR="00EC1131">
              <w:rPr>
                <w:noProof/>
                <w:webHidden/>
              </w:rPr>
            </w:r>
            <w:r w:rsidR="00EC1131">
              <w:rPr>
                <w:noProof/>
                <w:webHidden/>
              </w:rPr>
              <w:fldChar w:fldCharType="separate"/>
            </w:r>
            <w:r>
              <w:rPr>
                <w:noProof/>
                <w:webHidden/>
              </w:rPr>
              <w:t>3</w:t>
            </w:r>
            <w:r w:rsidR="00EC1131">
              <w:rPr>
                <w:noProof/>
                <w:webHidden/>
              </w:rPr>
              <w:fldChar w:fldCharType="end"/>
            </w:r>
          </w:hyperlink>
        </w:p>
        <w:p w14:paraId="57FCADDA" w14:textId="77777777" w:rsidR="00EC1131" w:rsidRDefault="00CB4949">
          <w:pPr>
            <w:pStyle w:val="TDC3"/>
            <w:rPr>
              <w:rFonts w:asciiTheme="minorHAnsi" w:eastAsiaTheme="minorEastAsia" w:hAnsiTheme="minorHAnsi" w:cstheme="minorBidi"/>
              <w:noProof/>
              <w:szCs w:val="22"/>
              <w:lang w:eastAsia="es-MX"/>
            </w:rPr>
          </w:pPr>
          <w:hyperlink w:anchor="_Toc198750467" w:history="1">
            <w:r w:rsidR="00EC1131" w:rsidRPr="0044075C">
              <w:rPr>
                <w:rStyle w:val="Hipervnculo"/>
                <w:rFonts w:eastAsiaTheme="majorEastAsia"/>
                <w:noProof/>
              </w:rPr>
              <w:t>b) Turno del Recurso de Revisión.</w:t>
            </w:r>
            <w:r w:rsidR="00EC1131">
              <w:rPr>
                <w:noProof/>
                <w:webHidden/>
              </w:rPr>
              <w:tab/>
            </w:r>
            <w:r w:rsidR="00EC1131">
              <w:rPr>
                <w:noProof/>
                <w:webHidden/>
              </w:rPr>
              <w:fldChar w:fldCharType="begin"/>
            </w:r>
            <w:r w:rsidR="00EC1131">
              <w:rPr>
                <w:noProof/>
                <w:webHidden/>
              </w:rPr>
              <w:instrText xml:space="preserve"> PAGEREF _Toc198750467 \h </w:instrText>
            </w:r>
            <w:r w:rsidR="00EC1131">
              <w:rPr>
                <w:noProof/>
                <w:webHidden/>
              </w:rPr>
            </w:r>
            <w:r w:rsidR="00EC1131">
              <w:rPr>
                <w:noProof/>
                <w:webHidden/>
              </w:rPr>
              <w:fldChar w:fldCharType="separate"/>
            </w:r>
            <w:r>
              <w:rPr>
                <w:noProof/>
                <w:webHidden/>
              </w:rPr>
              <w:t>3</w:t>
            </w:r>
            <w:r w:rsidR="00EC1131">
              <w:rPr>
                <w:noProof/>
                <w:webHidden/>
              </w:rPr>
              <w:fldChar w:fldCharType="end"/>
            </w:r>
          </w:hyperlink>
        </w:p>
        <w:p w14:paraId="13A66408" w14:textId="77777777" w:rsidR="00EC1131" w:rsidRDefault="00CB4949">
          <w:pPr>
            <w:pStyle w:val="TDC3"/>
            <w:rPr>
              <w:rFonts w:asciiTheme="minorHAnsi" w:eastAsiaTheme="minorEastAsia" w:hAnsiTheme="minorHAnsi" w:cstheme="minorBidi"/>
              <w:noProof/>
              <w:szCs w:val="22"/>
              <w:lang w:eastAsia="es-MX"/>
            </w:rPr>
          </w:pPr>
          <w:hyperlink w:anchor="_Toc198750468" w:history="1">
            <w:r w:rsidR="00EC1131" w:rsidRPr="0044075C">
              <w:rPr>
                <w:rStyle w:val="Hipervnculo"/>
                <w:rFonts w:eastAsiaTheme="majorEastAsia"/>
                <w:noProof/>
              </w:rPr>
              <w:t>c) Admisión del Recurso de Revisión.</w:t>
            </w:r>
            <w:r w:rsidR="00EC1131">
              <w:rPr>
                <w:noProof/>
                <w:webHidden/>
              </w:rPr>
              <w:tab/>
            </w:r>
            <w:r w:rsidR="00EC1131">
              <w:rPr>
                <w:noProof/>
                <w:webHidden/>
              </w:rPr>
              <w:fldChar w:fldCharType="begin"/>
            </w:r>
            <w:r w:rsidR="00EC1131">
              <w:rPr>
                <w:noProof/>
                <w:webHidden/>
              </w:rPr>
              <w:instrText xml:space="preserve"> PAGEREF _Toc198750468 \h </w:instrText>
            </w:r>
            <w:r w:rsidR="00EC1131">
              <w:rPr>
                <w:noProof/>
                <w:webHidden/>
              </w:rPr>
            </w:r>
            <w:r w:rsidR="00EC1131">
              <w:rPr>
                <w:noProof/>
                <w:webHidden/>
              </w:rPr>
              <w:fldChar w:fldCharType="separate"/>
            </w:r>
            <w:r>
              <w:rPr>
                <w:noProof/>
                <w:webHidden/>
              </w:rPr>
              <w:t>3</w:t>
            </w:r>
            <w:r w:rsidR="00EC1131">
              <w:rPr>
                <w:noProof/>
                <w:webHidden/>
              </w:rPr>
              <w:fldChar w:fldCharType="end"/>
            </w:r>
          </w:hyperlink>
        </w:p>
        <w:p w14:paraId="71584698" w14:textId="77777777" w:rsidR="00EC1131" w:rsidRDefault="00CB4949">
          <w:pPr>
            <w:pStyle w:val="TDC3"/>
            <w:rPr>
              <w:rFonts w:asciiTheme="minorHAnsi" w:eastAsiaTheme="minorEastAsia" w:hAnsiTheme="minorHAnsi" w:cstheme="minorBidi"/>
              <w:noProof/>
              <w:szCs w:val="22"/>
              <w:lang w:eastAsia="es-MX"/>
            </w:rPr>
          </w:pPr>
          <w:hyperlink w:anchor="_Toc198750469" w:history="1">
            <w:r w:rsidR="00EC1131" w:rsidRPr="0044075C">
              <w:rPr>
                <w:rStyle w:val="Hipervnculo"/>
                <w:rFonts w:eastAsiaTheme="majorEastAsia"/>
                <w:noProof/>
              </w:rPr>
              <w:t>d) Informe Justificado del Sujeto Obligado.</w:t>
            </w:r>
            <w:r w:rsidR="00EC1131">
              <w:rPr>
                <w:noProof/>
                <w:webHidden/>
              </w:rPr>
              <w:tab/>
            </w:r>
            <w:r w:rsidR="00EC1131">
              <w:rPr>
                <w:noProof/>
                <w:webHidden/>
              </w:rPr>
              <w:fldChar w:fldCharType="begin"/>
            </w:r>
            <w:r w:rsidR="00EC1131">
              <w:rPr>
                <w:noProof/>
                <w:webHidden/>
              </w:rPr>
              <w:instrText xml:space="preserve"> PAGEREF _Toc198750469 \h </w:instrText>
            </w:r>
            <w:r w:rsidR="00EC1131">
              <w:rPr>
                <w:noProof/>
                <w:webHidden/>
              </w:rPr>
            </w:r>
            <w:r w:rsidR="00EC1131">
              <w:rPr>
                <w:noProof/>
                <w:webHidden/>
              </w:rPr>
              <w:fldChar w:fldCharType="separate"/>
            </w:r>
            <w:r>
              <w:rPr>
                <w:noProof/>
                <w:webHidden/>
              </w:rPr>
              <w:t>4</w:t>
            </w:r>
            <w:r w:rsidR="00EC1131">
              <w:rPr>
                <w:noProof/>
                <w:webHidden/>
              </w:rPr>
              <w:fldChar w:fldCharType="end"/>
            </w:r>
          </w:hyperlink>
        </w:p>
        <w:p w14:paraId="62991E31" w14:textId="77777777" w:rsidR="00EC1131" w:rsidRDefault="00CB4949">
          <w:pPr>
            <w:pStyle w:val="TDC3"/>
            <w:rPr>
              <w:rFonts w:asciiTheme="minorHAnsi" w:eastAsiaTheme="minorEastAsia" w:hAnsiTheme="minorHAnsi" w:cstheme="minorBidi"/>
              <w:noProof/>
              <w:szCs w:val="22"/>
              <w:lang w:eastAsia="es-MX"/>
            </w:rPr>
          </w:pPr>
          <w:hyperlink w:anchor="_Toc198750470" w:history="1">
            <w:r w:rsidR="00EC1131" w:rsidRPr="0044075C">
              <w:rPr>
                <w:rStyle w:val="Hipervnculo"/>
                <w:rFonts w:eastAsiaTheme="majorEastAsia"/>
                <w:noProof/>
              </w:rPr>
              <w:t>e) Manifestaciones de la Parte Recurrente.</w:t>
            </w:r>
            <w:r w:rsidR="00EC1131">
              <w:rPr>
                <w:noProof/>
                <w:webHidden/>
              </w:rPr>
              <w:tab/>
            </w:r>
            <w:r w:rsidR="00EC1131">
              <w:rPr>
                <w:noProof/>
                <w:webHidden/>
              </w:rPr>
              <w:fldChar w:fldCharType="begin"/>
            </w:r>
            <w:r w:rsidR="00EC1131">
              <w:rPr>
                <w:noProof/>
                <w:webHidden/>
              </w:rPr>
              <w:instrText xml:space="preserve"> PAGEREF _Toc198750470 \h </w:instrText>
            </w:r>
            <w:r w:rsidR="00EC1131">
              <w:rPr>
                <w:noProof/>
                <w:webHidden/>
              </w:rPr>
            </w:r>
            <w:r w:rsidR="00EC1131">
              <w:rPr>
                <w:noProof/>
                <w:webHidden/>
              </w:rPr>
              <w:fldChar w:fldCharType="separate"/>
            </w:r>
            <w:r>
              <w:rPr>
                <w:noProof/>
                <w:webHidden/>
              </w:rPr>
              <w:t>4</w:t>
            </w:r>
            <w:r w:rsidR="00EC1131">
              <w:rPr>
                <w:noProof/>
                <w:webHidden/>
              </w:rPr>
              <w:fldChar w:fldCharType="end"/>
            </w:r>
          </w:hyperlink>
        </w:p>
        <w:p w14:paraId="27282A13" w14:textId="77777777" w:rsidR="00EC1131" w:rsidRDefault="00CB4949">
          <w:pPr>
            <w:pStyle w:val="TDC3"/>
            <w:rPr>
              <w:rFonts w:asciiTheme="minorHAnsi" w:eastAsiaTheme="minorEastAsia" w:hAnsiTheme="minorHAnsi" w:cstheme="minorBidi"/>
              <w:noProof/>
              <w:szCs w:val="22"/>
              <w:lang w:eastAsia="es-MX"/>
            </w:rPr>
          </w:pPr>
          <w:hyperlink w:anchor="_Toc198750471" w:history="1">
            <w:r w:rsidR="00EC1131" w:rsidRPr="0044075C">
              <w:rPr>
                <w:rStyle w:val="Hipervnculo"/>
                <w:rFonts w:eastAsiaTheme="majorEastAsia"/>
                <w:noProof/>
              </w:rPr>
              <w:t>f) Cierre de instrucción.</w:t>
            </w:r>
            <w:r w:rsidR="00EC1131">
              <w:rPr>
                <w:noProof/>
                <w:webHidden/>
              </w:rPr>
              <w:tab/>
            </w:r>
            <w:r w:rsidR="00EC1131">
              <w:rPr>
                <w:noProof/>
                <w:webHidden/>
              </w:rPr>
              <w:fldChar w:fldCharType="begin"/>
            </w:r>
            <w:r w:rsidR="00EC1131">
              <w:rPr>
                <w:noProof/>
                <w:webHidden/>
              </w:rPr>
              <w:instrText xml:space="preserve"> PAGEREF _Toc198750471 \h </w:instrText>
            </w:r>
            <w:r w:rsidR="00EC1131">
              <w:rPr>
                <w:noProof/>
                <w:webHidden/>
              </w:rPr>
            </w:r>
            <w:r w:rsidR="00EC1131">
              <w:rPr>
                <w:noProof/>
                <w:webHidden/>
              </w:rPr>
              <w:fldChar w:fldCharType="separate"/>
            </w:r>
            <w:r>
              <w:rPr>
                <w:noProof/>
                <w:webHidden/>
              </w:rPr>
              <w:t>5</w:t>
            </w:r>
            <w:r w:rsidR="00EC1131">
              <w:rPr>
                <w:noProof/>
                <w:webHidden/>
              </w:rPr>
              <w:fldChar w:fldCharType="end"/>
            </w:r>
          </w:hyperlink>
        </w:p>
        <w:p w14:paraId="4AE2E06F" w14:textId="77777777" w:rsidR="00EC1131" w:rsidRDefault="00CB4949">
          <w:pPr>
            <w:pStyle w:val="TDC1"/>
            <w:tabs>
              <w:tab w:val="right" w:leader="dot" w:pos="9034"/>
            </w:tabs>
            <w:rPr>
              <w:rFonts w:asciiTheme="minorHAnsi" w:eastAsiaTheme="minorEastAsia" w:hAnsiTheme="minorHAnsi" w:cstheme="minorBidi"/>
              <w:noProof/>
              <w:szCs w:val="22"/>
              <w:lang w:eastAsia="es-MX"/>
            </w:rPr>
          </w:pPr>
          <w:hyperlink w:anchor="_Toc198750472" w:history="1">
            <w:r w:rsidR="00EC1131" w:rsidRPr="0044075C">
              <w:rPr>
                <w:rStyle w:val="Hipervnculo"/>
                <w:rFonts w:eastAsiaTheme="majorEastAsia"/>
                <w:noProof/>
              </w:rPr>
              <w:t>CONSIDERANDOS</w:t>
            </w:r>
            <w:r w:rsidR="00EC1131">
              <w:rPr>
                <w:noProof/>
                <w:webHidden/>
              </w:rPr>
              <w:tab/>
            </w:r>
            <w:r w:rsidR="00EC1131">
              <w:rPr>
                <w:noProof/>
                <w:webHidden/>
              </w:rPr>
              <w:fldChar w:fldCharType="begin"/>
            </w:r>
            <w:r w:rsidR="00EC1131">
              <w:rPr>
                <w:noProof/>
                <w:webHidden/>
              </w:rPr>
              <w:instrText xml:space="preserve"> PAGEREF _Toc198750472 \h </w:instrText>
            </w:r>
            <w:r w:rsidR="00EC1131">
              <w:rPr>
                <w:noProof/>
                <w:webHidden/>
              </w:rPr>
            </w:r>
            <w:r w:rsidR="00EC1131">
              <w:rPr>
                <w:noProof/>
                <w:webHidden/>
              </w:rPr>
              <w:fldChar w:fldCharType="separate"/>
            </w:r>
            <w:r>
              <w:rPr>
                <w:noProof/>
                <w:webHidden/>
              </w:rPr>
              <w:t>5</w:t>
            </w:r>
            <w:r w:rsidR="00EC1131">
              <w:rPr>
                <w:noProof/>
                <w:webHidden/>
              </w:rPr>
              <w:fldChar w:fldCharType="end"/>
            </w:r>
          </w:hyperlink>
        </w:p>
        <w:p w14:paraId="7CC8F1BD" w14:textId="77777777" w:rsidR="00EC1131" w:rsidRDefault="00CB4949">
          <w:pPr>
            <w:pStyle w:val="TDC2"/>
            <w:rPr>
              <w:rFonts w:asciiTheme="minorHAnsi" w:eastAsiaTheme="minorEastAsia" w:hAnsiTheme="minorHAnsi" w:cstheme="minorBidi"/>
              <w:noProof/>
              <w:szCs w:val="22"/>
              <w:lang w:eastAsia="es-MX"/>
            </w:rPr>
          </w:pPr>
          <w:hyperlink w:anchor="_Toc198750473" w:history="1">
            <w:r w:rsidR="00EC1131" w:rsidRPr="0044075C">
              <w:rPr>
                <w:rStyle w:val="Hipervnculo"/>
                <w:rFonts w:eastAsiaTheme="majorEastAsia"/>
                <w:noProof/>
              </w:rPr>
              <w:t>PRIMERO. Procedibilidad</w:t>
            </w:r>
            <w:r w:rsidR="00EC1131">
              <w:rPr>
                <w:noProof/>
                <w:webHidden/>
              </w:rPr>
              <w:tab/>
            </w:r>
            <w:r w:rsidR="00EC1131">
              <w:rPr>
                <w:noProof/>
                <w:webHidden/>
              </w:rPr>
              <w:fldChar w:fldCharType="begin"/>
            </w:r>
            <w:r w:rsidR="00EC1131">
              <w:rPr>
                <w:noProof/>
                <w:webHidden/>
              </w:rPr>
              <w:instrText xml:space="preserve"> PAGEREF _Toc198750473 \h </w:instrText>
            </w:r>
            <w:r w:rsidR="00EC1131">
              <w:rPr>
                <w:noProof/>
                <w:webHidden/>
              </w:rPr>
            </w:r>
            <w:r w:rsidR="00EC1131">
              <w:rPr>
                <w:noProof/>
                <w:webHidden/>
              </w:rPr>
              <w:fldChar w:fldCharType="separate"/>
            </w:r>
            <w:r>
              <w:rPr>
                <w:noProof/>
                <w:webHidden/>
              </w:rPr>
              <w:t>5</w:t>
            </w:r>
            <w:r w:rsidR="00EC1131">
              <w:rPr>
                <w:noProof/>
                <w:webHidden/>
              </w:rPr>
              <w:fldChar w:fldCharType="end"/>
            </w:r>
          </w:hyperlink>
        </w:p>
        <w:p w14:paraId="43EEE3AF" w14:textId="77777777" w:rsidR="00EC1131" w:rsidRDefault="00CB4949">
          <w:pPr>
            <w:pStyle w:val="TDC3"/>
            <w:rPr>
              <w:rFonts w:asciiTheme="minorHAnsi" w:eastAsiaTheme="minorEastAsia" w:hAnsiTheme="minorHAnsi" w:cstheme="minorBidi"/>
              <w:noProof/>
              <w:szCs w:val="22"/>
              <w:lang w:eastAsia="es-MX"/>
            </w:rPr>
          </w:pPr>
          <w:hyperlink w:anchor="_Toc198750474" w:history="1">
            <w:r w:rsidR="00EC1131" w:rsidRPr="0044075C">
              <w:rPr>
                <w:rStyle w:val="Hipervnculo"/>
                <w:rFonts w:eastAsiaTheme="majorEastAsia"/>
                <w:noProof/>
              </w:rPr>
              <w:t>a) Competencia del Instituto.</w:t>
            </w:r>
            <w:r w:rsidR="00EC1131">
              <w:rPr>
                <w:noProof/>
                <w:webHidden/>
              </w:rPr>
              <w:tab/>
            </w:r>
            <w:r w:rsidR="00EC1131">
              <w:rPr>
                <w:noProof/>
                <w:webHidden/>
              </w:rPr>
              <w:fldChar w:fldCharType="begin"/>
            </w:r>
            <w:r w:rsidR="00EC1131">
              <w:rPr>
                <w:noProof/>
                <w:webHidden/>
              </w:rPr>
              <w:instrText xml:space="preserve"> PAGEREF _Toc198750474 \h </w:instrText>
            </w:r>
            <w:r w:rsidR="00EC1131">
              <w:rPr>
                <w:noProof/>
                <w:webHidden/>
              </w:rPr>
            </w:r>
            <w:r w:rsidR="00EC1131">
              <w:rPr>
                <w:noProof/>
                <w:webHidden/>
              </w:rPr>
              <w:fldChar w:fldCharType="separate"/>
            </w:r>
            <w:r>
              <w:rPr>
                <w:noProof/>
                <w:webHidden/>
              </w:rPr>
              <w:t>5</w:t>
            </w:r>
            <w:r w:rsidR="00EC1131">
              <w:rPr>
                <w:noProof/>
                <w:webHidden/>
              </w:rPr>
              <w:fldChar w:fldCharType="end"/>
            </w:r>
          </w:hyperlink>
        </w:p>
        <w:p w14:paraId="3EA18C83" w14:textId="77777777" w:rsidR="00EC1131" w:rsidRDefault="00CB4949">
          <w:pPr>
            <w:pStyle w:val="TDC3"/>
            <w:rPr>
              <w:rFonts w:asciiTheme="minorHAnsi" w:eastAsiaTheme="minorEastAsia" w:hAnsiTheme="minorHAnsi" w:cstheme="minorBidi"/>
              <w:noProof/>
              <w:szCs w:val="22"/>
              <w:lang w:eastAsia="es-MX"/>
            </w:rPr>
          </w:pPr>
          <w:hyperlink w:anchor="_Toc198750475" w:history="1">
            <w:r w:rsidR="00EC1131" w:rsidRPr="0044075C">
              <w:rPr>
                <w:rStyle w:val="Hipervnculo"/>
                <w:rFonts w:eastAsiaTheme="majorEastAsia"/>
                <w:noProof/>
              </w:rPr>
              <w:t>b) Legitimidad de la parte recurrente.</w:t>
            </w:r>
            <w:r w:rsidR="00EC1131">
              <w:rPr>
                <w:noProof/>
                <w:webHidden/>
              </w:rPr>
              <w:tab/>
            </w:r>
            <w:r w:rsidR="00EC1131">
              <w:rPr>
                <w:noProof/>
                <w:webHidden/>
              </w:rPr>
              <w:fldChar w:fldCharType="begin"/>
            </w:r>
            <w:r w:rsidR="00EC1131">
              <w:rPr>
                <w:noProof/>
                <w:webHidden/>
              </w:rPr>
              <w:instrText xml:space="preserve"> PAGEREF _Toc198750475 \h </w:instrText>
            </w:r>
            <w:r w:rsidR="00EC1131">
              <w:rPr>
                <w:noProof/>
                <w:webHidden/>
              </w:rPr>
            </w:r>
            <w:r w:rsidR="00EC1131">
              <w:rPr>
                <w:noProof/>
                <w:webHidden/>
              </w:rPr>
              <w:fldChar w:fldCharType="separate"/>
            </w:r>
            <w:r>
              <w:rPr>
                <w:noProof/>
                <w:webHidden/>
              </w:rPr>
              <w:t>6</w:t>
            </w:r>
            <w:r w:rsidR="00EC1131">
              <w:rPr>
                <w:noProof/>
                <w:webHidden/>
              </w:rPr>
              <w:fldChar w:fldCharType="end"/>
            </w:r>
          </w:hyperlink>
        </w:p>
        <w:p w14:paraId="5698528F" w14:textId="77777777" w:rsidR="00EC1131" w:rsidRDefault="00CB4949">
          <w:pPr>
            <w:pStyle w:val="TDC3"/>
            <w:rPr>
              <w:rFonts w:asciiTheme="minorHAnsi" w:eastAsiaTheme="minorEastAsia" w:hAnsiTheme="minorHAnsi" w:cstheme="minorBidi"/>
              <w:noProof/>
              <w:szCs w:val="22"/>
              <w:lang w:eastAsia="es-MX"/>
            </w:rPr>
          </w:pPr>
          <w:hyperlink w:anchor="_Toc198750476" w:history="1">
            <w:r w:rsidR="00EC1131" w:rsidRPr="0044075C">
              <w:rPr>
                <w:rStyle w:val="Hipervnculo"/>
                <w:rFonts w:eastAsiaTheme="majorEastAsia"/>
                <w:noProof/>
              </w:rPr>
              <w:t>c) Plazo para interponer el recurso.</w:t>
            </w:r>
            <w:r w:rsidR="00EC1131">
              <w:rPr>
                <w:noProof/>
                <w:webHidden/>
              </w:rPr>
              <w:tab/>
            </w:r>
            <w:r w:rsidR="00EC1131">
              <w:rPr>
                <w:noProof/>
                <w:webHidden/>
              </w:rPr>
              <w:fldChar w:fldCharType="begin"/>
            </w:r>
            <w:r w:rsidR="00EC1131">
              <w:rPr>
                <w:noProof/>
                <w:webHidden/>
              </w:rPr>
              <w:instrText xml:space="preserve"> PAGEREF _Toc198750476 \h </w:instrText>
            </w:r>
            <w:r w:rsidR="00EC1131">
              <w:rPr>
                <w:noProof/>
                <w:webHidden/>
              </w:rPr>
            </w:r>
            <w:r w:rsidR="00EC1131">
              <w:rPr>
                <w:noProof/>
                <w:webHidden/>
              </w:rPr>
              <w:fldChar w:fldCharType="separate"/>
            </w:r>
            <w:r>
              <w:rPr>
                <w:noProof/>
                <w:webHidden/>
              </w:rPr>
              <w:t>6</w:t>
            </w:r>
            <w:r w:rsidR="00EC1131">
              <w:rPr>
                <w:noProof/>
                <w:webHidden/>
              </w:rPr>
              <w:fldChar w:fldCharType="end"/>
            </w:r>
          </w:hyperlink>
        </w:p>
        <w:p w14:paraId="2CA4110A" w14:textId="77777777" w:rsidR="00EC1131" w:rsidRDefault="00CB4949">
          <w:pPr>
            <w:pStyle w:val="TDC3"/>
            <w:rPr>
              <w:rFonts w:asciiTheme="minorHAnsi" w:eastAsiaTheme="minorEastAsia" w:hAnsiTheme="minorHAnsi" w:cstheme="minorBidi"/>
              <w:noProof/>
              <w:szCs w:val="22"/>
              <w:lang w:eastAsia="es-MX"/>
            </w:rPr>
          </w:pPr>
          <w:hyperlink w:anchor="_Toc198750477" w:history="1">
            <w:r w:rsidR="00EC1131" w:rsidRPr="0044075C">
              <w:rPr>
                <w:rStyle w:val="Hipervnculo"/>
                <w:rFonts w:eastAsiaTheme="majorEastAsia"/>
                <w:noProof/>
              </w:rPr>
              <w:t>d) Requisitos formales para la interposición del recurso.</w:t>
            </w:r>
            <w:r w:rsidR="00EC1131">
              <w:rPr>
                <w:noProof/>
                <w:webHidden/>
              </w:rPr>
              <w:tab/>
            </w:r>
            <w:r w:rsidR="00EC1131">
              <w:rPr>
                <w:noProof/>
                <w:webHidden/>
              </w:rPr>
              <w:fldChar w:fldCharType="begin"/>
            </w:r>
            <w:r w:rsidR="00EC1131">
              <w:rPr>
                <w:noProof/>
                <w:webHidden/>
              </w:rPr>
              <w:instrText xml:space="preserve"> PAGEREF _Toc198750477 \h </w:instrText>
            </w:r>
            <w:r w:rsidR="00EC1131">
              <w:rPr>
                <w:noProof/>
                <w:webHidden/>
              </w:rPr>
            </w:r>
            <w:r w:rsidR="00EC1131">
              <w:rPr>
                <w:noProof/>
                <w:webHidden/>
              </w:rPr>
              <w:fldChar w:fldCharType="separate"/>
            </w:r>
            <w:r>
              <w:rPr>
                <w:noProof/>
                <w:webHidden/>
              </w:rPr>
              <w:t>6</w:t>
            </w:r>
            <w:r w:rsidR="00EC1131">
              <w:rPr>
                <w:noProof/>
                <w:webHidden/>
              </w:rPr>
              <w:fldChar w:fldCharType="end"/>
            </w:r>
          </w:hyperlink>
        </w:p>
        <w:p w14:paraId="2D2E8559" w14:textId="77777777" w:rsidR="00EC1131" w:rsidRDefault="00CB4949">
          <w:pPr>
            <w:pStyle w:val="TDC2"/>
            <w:rPr>
              <w:rFonts w:asciiTheme="minorHAnsi" w:eastAsiaTheme="minorEastAsia" w:hAnsiTheme="minorHAnsi" w:cstheme="minorBidi"/>
              <w:noProof/>
              <w:szCs w:val="22"/>
              <w:lang w:eastAsia="es-MX"/>
            </w:rPr>
          </w:pPr>
          <w:hyperlink w:anchor="_Toc198750478" w:history="1">
            <w:r w:rsidR="00EC1131" w:rsidRPr="0044075C">
              <w:rPr>
                <w:rStyle w:val="Hipervnculo"/>
                <w:rFonts w:eastAsiaTheme="majorEastAsia"/>
                <w:noProof/>
              </w:rPr>
              <w:t>SEGUNDO. Estudio de Fondo.</w:t>
            </w:r>
            <w:r w:rsidR="00EC1131">
              <w:rPr>
                <w:noProof/>
                <w:webHidden/>
              </w:rPr>
              <w:tab/>
            </w:r>
            <w:r w:rsidR="00EC1131">
              <w:rPr>
                <w:noProof/>
                <w:webHidden/>
              </w:rPr>
              <w:fldChar w:fldCharType="begin"/>
            </w:r>
            <w:r w:rsidR="00EC1131">
              <w:rPr>
                <w:noProof/>
                <w:webHidden/>
              </w:rPr>
              <w:instrText xml:space="preserve"> PAGEREF _Toc198750478 \h </w:instrText>
            </w:r>
            <w:r w:rsidR="00EC1131">
              <w:rPr>
                <w:noProof/>
                <w:webHidden/>
              </w:rPr>
            </w:r>
            <w:r w:rsidR="00EC1131">
              <w:rPr>
                <w:noProof/>
                <w:webHidden/>
              </w:rPr>
              <w:fldChar w:fldCharType="separate"/>
            </w:r>
            <w:r>
              <w:rPr>
                <w:noProof/>
                <w:webHidden/>
              </w:rPr>
              <w:t>7</w:t>
            </w:r>
            <w:r w:rsidR="00EC1131">
              <w:rPr>
                <w:noProof/>
                <w:webHidden/>
              </w:rPr>
              <w:fldChar w:fldCharType="end"/>
            </w:r>
          </w:hyperlink>
        </w:p>
        <w:p w14:paraId="6CBE8391" w14:textId="77777777" w:rsidR="00EC1131" w:rsidRDefault="00CB4949">
          <w:pPr>
            <w:pStyle w:val="TDC3"/>
            <w:rPr>
              <w:rFonts w:asciiTheme="minorHAnsi" w:eastAsiaTheme="minorEastAsia" w:hAnsiTheme="minorHAnsi" w:cstheme="minorBidi"/>
              <w:noProof/>
              <w:szCs w:val="22"/>
              <w:lang w:eastAsia="es-MX"/>
            </w:rPr>
          </w:pPr>
          <w:hyperlink w:anchor="_Toc198750479" w:history="1">
            <w:r w:rsidR="00EC1131" w:rsidRPr="0044075C">
              <w:rPr>
                <w:rStyle w:val="Hipervnculo"/>
                <w:rFonts w:eastAsiaTheme="majorEastAsia"/>
                <w:noProof/>
              </w:rPr>
              <w:t>a) Mandato de transparencia y responsabilidad del Sujeto Obligado.</w:t>
            </w:r>
            <w:r w:rsidR="00EC1131">
              <w:rPr>
                <w:noProof/>
                <w:webHidden/>
              </w:rPr>
              <w:tab/>
            </w:r>
            <w:r w:rsidR="00EC1131">
              <w:rPr>
                <w:noProof/>
                <w:webHidden/>
              </w:rPr>
              <w:fldChar w:fldCharType="begin"/>
            </w:r>
            <w:r w:rsidR="00EC1131">
              <w:rPr>
                <w:noProof/>
                <w:webHidden/>
              </w:rPr>
              <w:instrText xml:space="preserve"> PAGEREF _Toc198750479 \h </w:instrText>
            </w:r>
            <w:r w:rsidR="00EC1131">
              <w:rPr>
                <w:noProof/>
                <w:webHidden/>
              </w:rPr>
            </w:r>
            <w:r w:rsidR="00EC1131">
              <w:rPr>
                <w:noProof/>
                <w:webHidden/>
              </w:rPr>
              <w:fldChar w:fldCharType="separate"/>
            </w:r>
            <w:r>
              <w:rPr>
                <w:noProof/>
                <w:webHidden/>
              </w:rPr>
              <w:t>7</w:t>
            </w:r>
            <w:r w:rsidR="00EC1131">
              <w:rPr>
                <w:noProof/>
                <w:webHidden/>
              </w:rPr>
              <w:fldChar w:fldCharType="end"/>
            </w:r>
          </w:hyperlink>
        </w:p>
        <w:p w14:paraId="63CA4284" w14:textId="77777777" w:rsidR="00EC1131" w:rsidRDefault="00CB4949">
          <w:pPr>
            <w:pStyle w:val="TDC3"/>
            <w:rPr>
              <w:rFonts w:asciiTheme="minorHAnsi" w:eastAsiaTheme="minorEastAsia" w:hAnsiTheme="minorHAnsi" w:cstheme="minorBidi"/>
              <w:noProof/>
              <w:szCs w:val="22"/>
              <w:lang w:eastAsia="es-MX"/>
            </w:rPr>
          </w:pPr>
          <w:hyperlink w:anchor="_Toc198750480" w:history="1">
            <w:r w:rsidR="00EC1131" w:rsidRPr="0044075C">
              <w:rPr>
                <w:rStyle w:val="Hipervnculo"/>
                <w:rFonts w:eastAsiaTheme="majorEastAsia"/>
                <w:noProof/>
              </w:rPr>
              <w:t>b) Controversia a resolver.</w:t>
            </w:r>
            <w:r w:rsidR="00EC1131">
              <w:rPr>
                <w:noProof/>
                <w:webHidden/>
              </w:rPr>
              <w:tab/>
            </w:r>
            <w:r w:rsidR="00EC1131">
              <w:rPr>
                <w:noProof/>
                <w:webHidden/>
              </w:rPr>
              <w:fldChar w:fldCharType="begin"/>
            </w:r>
            <w:r w:rsidR="00EC1131">
              <w:rPr>
                <w:noProof/>
                <w:webHidden/>
              </w:rPr>
              <w:instrText xml:space="preserve"> PAGEREF _Toc198750480 \h </w:instrText>
            </w:r>
            <w:r w:rsidR="00EC1131">
              <w:rPr>
                <w:noProof/>
                <w:webHidden/>
              </w:rPr>
            </w:r>
            <w:r w:rsidR="00EC1131">
              <w:rPr>
                <w:noProof/>
                <w:webHidden/>
              </w:rPr>
              <w:fldChar w:fldCharType="separate"/>
            </w:r>
            <w:r>
              <w:rPr>
                <w:noProof/>
                <w:webHidden/>
              </w:rPr>
              <w:t>10</w:t>
            </w:r>
            <w:r w:rsidR="00EC1131">
              <w:rPr>
                <w:noProof/>
                <w:webHidden/>
              </w:rPr>
              <w:fldChar w:fldCharType="end"/>
            </w:r>
          </w:hyperlink>
        </w:p>
        <w:p w14:paraId="6166B112" w14:textId="77777777" w:rsidR="00EC1131" w:rsidRDefault="00CB4949">
          <w:pPr>
            <w:pStyle w:val="TDC3"/>
            <w:rPr>
              <w:rFonts w:asciiTheme="minorHAnsi" w:eastAsiaTheme="minorEastAsia" w:hAnsiTheme="minorHAnsi" w:cstheme="minorBidi"/>
              <w:noProof/>
              <w:szCs w:val="22"/>
              <w:lang w:eastAsia="es-MX"/>
            </w:rPr>
          </w:pPr>
          <w:hyperlink w:anchor="_Toc198750481" w:history="1">
            <w:r w:rsidR="00EC1131" w:rsidRPr="0044075C">
              <w:rPr>
                <w:rStyle w:val="Hipervnculo"/>
                <w:rFonts w:eastAsiaTheme="majorEastAsia"/>
                <w:noProof/>
              </w:rPr>
              <w:t>c) Estudio de la controversia.</w:t>
            </w:r>
            <w:r w:rsidR="00EC1131">
              <w:rPr>
                <w:noProof/>
                <w:webHidden/>
              </w:rPr>
              <w:tab/>
            </w:r>
            <w:r w:rsidR="00EC1131">
              <w:rPr>
                <w:noProof/>
                <w:webHidden/>
              </w:rPr>
              <w:fldChar w:fldCharType="begin"/>
            </w:r>
            <w:r w:rsidR="00EC1131">
              <w:rPr>
                <w:noProof/>
                <w:webHidden/>
              </w:rPr>
              <w:instrText xml:space="preserve"> PAGEREF _Toc198750481 \h </w:instrText>
            </w:r>
            <w:r w:rsidR="00EC1131">
              <w:rPr>
                <w:noProof/>
                <w:webHidden/>
              </w:rPr>
            </w:r>
            <w:r w:rsidR="00EC1131">
              <w:rPr>
                <w:noProof/>
                <w:webHidden/>
              </w:rPr>
              <w:fldChar w:fldCharType="separate"/>
            </w:r>
            <w:r>
              <w:rPr>
                <w:noProof/>
                <w:webHidden/>
              </w:rPr>
              <w:t>11</w:t>
            </w:r>
            <w:r w:rsidR="00EC1131">
              <w:rPr>
                <w:noProof/>
                <w:webHidden/>
              </w:rPr>
              <w:fldChar w:fldCharType="end"/>
            </w:r>
          </w:hyperlink>
        </w:p>
        <w:p w14:paraId="3BA3E7B1" w14:textId="77777777" w:rsidR="00EC1131" w:rsidRDefault="00CB4949">
          <w:pPr>
            <w:pStyle w:val="TDC3"/>
            <w:rPr>
              <w:rFonts w:asciiTheme="minorHAnsi" w:eastAsiaTheme="minorEastAsia" w:hAnsiTheme="minorHAnsi" w:cstheme="minorBidi"/>
              <w:noProof/>
              <w:szCs w:val="22"/>
              <w:lang w:eastAsia="es-MX"/>
            </w:rPr>
          </w:pPr>
          <w:hyperlink w:anchor="_Toc198750482" w:history="1">
            <w:r w:rsidR="00EC1131" w:rsidRPr="0044075C">
              <w:rPr>
                <w:rStyle w:val="Hipervnculo"/>
                <w:rFonts w:eastAsiaTheme="majorEastAsia"/>
                <w:noProof/>
              </w:rPr>
              <w:t>d) Conclusión</w:t>
            </w:r>
            <w:r w:rsidR="00EC1131">
              <w:rPr>
                <w:noProof/>
                <w:webHidden/>
              </w:rPr>
              <w:tab/>
            </w:r>
            <w:r w:rsidR="00EC1131">
              <w:rPr>
                <w:noProof/>
                <w:webHidden/>
              </w:rPr>
              <w:fldChar w:fldCharType="begin"/>
            </w:r>
            <w:r w:rsidR="00EC1131">
              <w:rPr>
                <w:noProof/>
                <w:webHidden/>
              </w:rPr>
              <w:instrText xml:space="preserve"> PAGEREF _Toc198750482 \h </w:instrText>
            </w:r>
            <w:r w:rsidR="00EC1131">
              <w:rPr>
                <w:noProof/>
                <w:webHidden/>
              </w:rPr>
            </w:r>
            <w:r w:rsidR="00EC1131">
              <w:rPr>
                <w:noProof/>
                <w:webHidden/>
              </w:rPr>
              <w:fldChar w:fldCharType="separate"/>
            </w:r>
            <w:r>
              <w:rPr>
                <w:noProof/>
                <w:webHidden/>
              </w:rPr>
              <w:t>16</w:t>
            </w:r>
            <w:r w:rsidR="00EC1131">
              <w:rPr>
                <w:noProof/>
                <w:webHidden/>
              </w:rPr>
              <w:fldChar w:fldCharType="end"/>
            </w:r>
          </w:hyperlink>
        </w:p>
        <w:p w14:paraId="19FC3736" w14:textId="77777777" w:rsidR="00EC1131" w:rsidRDefault="00CB4949">
          <w:pPr>
            <w:pStyle w:val="TDC1"/>
            <w:tabs>
              <w:tab w:val="right" w:leader="dot" w:pos="9034"/>
            </w:tabs>
            <w:rPr>
              <w:rFonts w:asciiTheme="minorHAnsi" w:eastAsiaTheme="minorEastAsia" w:hAnsiTheme="minorHAnsi" w:cstheme="minorBidi"/>
              <w:noProof/>
              <w:szCs w:val="22"/>
              <w:lang w:eastAsia="es-MX"/>
            </w:rPr>
          </w:pPr>
          <w:hyperlink w:anchor="_Toc198750483" w:history="1">
            <w:r w:rsidR="00EC1131" w:rsidRPr="0044075C">
              <w:rPr>
                <w:rStyle w:val="Hipervnculo"/>
                <w:rFonts w:eastAsiaTheme="majorEastAsia"/>
                <w:noProof/>
              </w:rPr>
              <w:t>RESUELVE</w:t>
            </w:r>
            <w:r w:rsidR="00EC1131">
              <w:rPr>
                <w:noProof/>
                <w:webHidden/>
              </w:rPr>
              <w:tab/>
            </w:r>
            <w:r w:rsidR="00EC1131">
              <w:rPr>
                <w:noProof/>
                <w:webHidden/>
              </w:rPr>
              <w:fldChar w:fldCharType="begin"/>
            </w:r>
            <w:r w:rsidR="00EC1131">
              <w:rPr>
                <w:noProof/>
                <w:webHidden/>
              </w:rPr>
              <w:instrText xml:space="preserve"> PAGEREF _Toc198750483 \h </w:instrText>
            </w:r>
            <w:r w:rsidR="00EC1131">
              <w:rPr>
                <w:noProof/>
                <w:webHidden/>
              </w:rPr>
            </w:r>
            <w:r w:rsidR="00EC1131">
              <w:rPr>
                <w:noProof/>
                <w:webHidden/>
              </w:rPr>
              <w:fldChar w:fldCharType="separate"/>
            </w:r>
            <w:r>
              <w:rPr>
                <w:noProof/>
                <w:webHidden/>
              </w:rPr>
              <w:t>18</w:t>
            </w:r>
            <w:r w:rsidR="00EC1131">
              <w:rPr>
                <w:noProof/>
                <w:webHidden/>
              </w:rPr>
              <w:fldChar w:fldCharType="end"/>
            </w:r>
          </w:hyperlink>
        </w:p>
        <w:p w14:paraId="3A77D8BC" w14:textId="59CDDD52" w:rsidR="00247497" w:rsidRPr="00EC1131" w:rsidRDefault="00247497" w:rsidP="00EC1131">
          <w:pPr>
            <w:pStyle w:val="TDC1"/>
            <w:tabs>
              <w:tab w:val="right" w:leader="dot" w:pos="9034"/>
            </w:tabs>
            <w:rPr>
              <w:szCs w:val="22"/>
            </w:rPr>
          </w:pPr>
          <w:r w:rsidRPr="00EC1131">
            <w:rPr>
              <w:b/>
              <w:bCs/>
              <w:szCs w:val="22"/>
              <w:lang w:val="es-ES"/>
            </w:rPr>
            <w:fldChar w:fldCharType="end"/>
          </w:r>
        </w:p>
      </w:sdtContent>
    </w:sdt>
    <w:p w14:paraId="22C281BC" w14:textId="77777777" w:rsidR="002B11D9" w:rsidRPr="00EC1131" w:rsidRDefault="002B11D9" w:rsidP="00EC1131">
      <w:pPr>
        <w:rPr>
          <w:szCs w:val="22"/>
        </w:rPr>
        <w:sectPr w:rsidR="002B11D9" w:rsidRPr="00EC1131">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1AF7D02E" w14:textId="7D5B6A93" w:rsidR="002B11D9" w:rsidRPr="00EC1131" w:rsidRDefault="00E43858" w:rsidP="00EC1131">
      <w:pPr>
        <w:rPr>
          <w:b/>
          <w:szCs w:val="22"/>
        </w:rPr>
      </w:pPr>
      <w:r w:rsidRPr="00EC1131">
        <w:rPr>
          <w:szCs w:val="22"/>
        </w:rPr>
        <w:lastRenderedPageBreak/>
        <w:t>Resolución del Pleno del Instituto de Transparencia, Acceso a la Información Pública y Protección de Datos Personales del Estado de México y Municipios, con domicilio en Metepec, Estado de México, de</w:t>
      </w:r>
      <w:r w:rsidR="00090FAC" w:rsidRPr="00EC1131">
        <w:rPr>
          <w:szCs w:val="22"/>
        </w:rPr>
        <w:t>l</w:t>
      </w:r>
      <w:r w:rsidRPr="00EC1131">
        <w:rPr>
          <w:szCs w:val="22"/>
        </w:rPr>
        <w:t xml:space="preserve"> </w:t>
      </w:r>
      <w:r w:rsidR="00B7236D" w:rsidRPr="00EC1131">
        <w:rPr>
          <w:b/>
          <w:szCs w:val="22"/>
        </w:rPr>
        <w:t xml:space="preserve">veintiuno </w:t>
      </w:r>
      <w:r w:rsidR="00ED75F4" w:rsidRPr="00EC1131">
        <w:rPr>
          <w:b/>
          <w:szCs w:val="22"/>
        </w:rPr>
        <w:t>de mayo</w:t>
      </w:r>
      <w:r w:rsidR="005220F0" w:rsidRPr="00EC1131">
        <w:rPr>
          <w:b/>
          <w:szCs w:val="22"/>
        </w:rPr>
        <w:t xml:space="preserve"> de </w:t>
      </w:r>
      <w:r w:rsidRPr="00EC1131">
        <w:rPr>
          <w:b/>
          <w:szCs w:val="22"/>
        </w:rPr>
        <w:t xml:space="preserve">dos mil </w:t>
      </w:r>
      <w:r w:rsidR="00743588" w:rsidRPr="00EC1131">
        <w:rPr>
          <w:b/>
          <w:szCs w:val="22"/>
        </w:rPr>
        <w:t>veinticinco</w:t>
      </w:r>
      <w:r w:rsidRPr="00EC1131">
        <w:rPr>
          <w:b/>
          <w:szCs w:val="22"/>
        </w:rPr>
        <w:t>.</w:t>
      </w:r>
    </w:p>
    <w:p w14:paraId="2FFA481C" w14:textId="77777777" w:rsidR="002B11D9" w:rsidRPr="00EC1131" w:rsidRDefault="002B11D9" w:rsidP="00EC1131">
      <w:pPr>
        <w:rPr>
          <w:szCs w:val="22"/>
        </w:rPr>
      </w:pPr>
    </w:p>
    <w:p w14:paraId="2FAD1405" w14:textId="3E1CF649" w:rsidR="002B11D9" w:rsidRPr="00EC1131" w:rsidRDefault="00E43858" w:rsidP="00EC1131">
      <w:pPr>
        <w:rPr>
          <w:szCs w:val="22"/>
        </w:rPr>
      </w:pPr>
      <w:r w:rsidRPr="00EC1131">
        <w:rPr>
          <w:b/>
          <w:szCs w:val="22"/>
        </w:rPr>
        <w:t xml:space="preserve">VISTO </w:t>
      </w:r>
      <w:r w:rsidRPr="00EC1131">
        <w:rPr>
          <w:szCs w:val="22"/>
        </w:rPr>
        <w:t xml:space="preserve">el expediente formado con motivo del Recurso de Revisión </w:t>
      </w:r>
      <w:r w:rsidR="00ED75F4" w:rsidRPr="00EC1131">
        <w:rPr>
          <w:b/>
          <w:szCs w:val="22"/>
        </w:rPr>
        <w:t>04142/INFOEM/IP/RR/2025</w:t>
      </w:r>
      <w:r w:rsidRPr="00EC1131">
        <w:rPr>
          <w:szCs w:val="22"/>
        </w:rPr>
        <w:t xml:space="preserve"> interpuesto por </w:t>
      </w:r>
      <w:r w:rsidR="00ED75F4" w:rsidRPr="00EC1131">
        <w:rPr>
          <w:b/>
          <w:szCs w:val="22"/>
        </w:rPr>
        <w:t>una persona de manera anónima</w:t>
      </w:r>
      <w:r w:rsidR="005220F0" w:rsidRPr="00EC1131">
        <w:rPr>
          <w:rFonts w:ascii="Arial" w:hAnsi="Arial" w:cs="Arial"/>
          <w:b/>
          <w:bCs/>
          <w:sz w:val="15"/>
          <w:szCs w:val="15"/>
          <w:shd w:val="clear" w:color="auto" w:fill="F7F7F8"/>
        </w:rPr>
        <w:t xml:space="preserve"> </w:t>
      </w:r>
      <w:r w:rsidRPr="00EC1131">
        <w:rPr>
          <w:szCs w:val="22"/>
        </w:rPr>
        <w:t xml:space="preserve">quien en lo subsecuente se le denominará </w:t>
      </w:r>
      <w:r w:rsidRPr="00EC1131">
        <w:rPr>
          <w:b/>
          <w:szCs w:val="22"/>
        </w:rPr>
        <w:t>LA PARTE RECURRENTE</w:t>
      </w:r>
      <w:r w:rsidRPr="00EC1131">
        <w:rPr>
          <w:szCs w:val="22"/>
        </w:rPr>
        <w:t xml:space="preserve">, en contra de la respuesta emitida por </w:t>
      </w:r>
      <w:r w:rsidR="00CB091A" w:rsidRPr="00EC1131">
        <w:rPr>
          <w:szCs w:val="22"/>
        </w:rPr>
        <w:t>el</w:t>
      </w:r>
      <w:r w:rsidRPr="00EC1131">
        <w:rPr>
          <w:szCs w:val="22"/>
        </w:rPr>
        <w:t xml:space="preserve"> </w:t>
      </w:r>
      <w:r w:rsidR="00ED75F4" w:rsidRPr="00EC1131">
        <w:rPr>
          <w:b/>
          <w:szCs w:val="22"/>
        </w:rPr>
        <w:t>Poder Judicial</w:t>
      </w:r>
      <w:r w:rsidRPr="00EC1131">
        <w:rPr>
          <w:b/>
          <w:szCs w:val="22"/>
        </w:rPr>
        <w:t xml:space="preserve">, </w:t>
      </w:r>
      <w:r w:rsidRPr="00EC1131">
        <w:rPr>
          <w:szCs w:val="22"/>
        </w:rPr>
        <w:t xml:space="preserve">en adelante </w:t>
      </w:r>
      <w:r w:rsidRPr="00EC1131">
        <w:rPr>
          <w:b/>
          <w:szCs w:val="22"/>
        </w:rPr>
        <w:t>EL SUJETO OBLIGADO</w:t>
      </w:r>
      <w:r w:rsidRPr="00EC1131">
        <w:rPr>
          <w:szCs w:val="22"/>
        </w:rPr>
        <w:t>, se emite la presente Resolución con base en los Antecedentes y Considerandos que se exponen a continuación:</w:t>
      </w:r>
    </w:p>
    <w:p w14:paraId="1DE5BFFC" w14:textId="77777777" w:rsidR="002B11D9" w:rsidRPr="00EC1131" w:rsidRDefault="002B11D9" w:rsidP="00EC1131">
      <w:pPr>
        <w:rPr>
          <w:szCs w:val="22"/>
        </w:rPr>
      </w:pPr>
    </w:p>
    <w:p w14:paraId="1202FAEB" w14:textId="77777777" w:rsidR="002B11D9" w:rsidRPr="00EC1131" w:rsidRDefault="00E43858" w:rsidP="00EC1131">
      <w:pPr>
        <w:pStyle w:val="Ttulo1"/>
        <w:rPr>
          <w:szCs w:val="22"/>
        </w:rPr>
      </w:pPr>
      <w:bookmarkStart w:id="2" w:name="_Toc198750461"/>
      <w:r w:rsidRPr="00EC1131">
        <w:rPr>
          <w:szCs w:val="22"/>
        </w:rPr>
        <w:t>ANTECEDENTES</w:t>
      </w:r>
      <w:bookmarkEnd w:id="2"/>
    </w:p>
    <w:p w14:paraId="1760D115" w14:textId="77777777" w:rsidR="002B11D9" w:rsidRPr="00EC1131" w:rsidRDefault="002B11D9" w:rsidP="00EC1131">
      <w:pPr>
        <w:rPr>
          <w:szCs w:val="22"/>
        </w:rPr>
      </w:pPr>
    </w:p>
    <w:p w14:paraId="7841BF95" w14:textId="77777777" w:rsidR="002B11D9" w:rsidRPr="00EC1131" w:rsidRDefault="00E43858" w:rsidP="00EC1131">
      <w:pPr>
        <w:pStyle w:val="Ttulo2"/>
        <w:jc w:val="left"/>
        <w:rPr>
          <w:szCs w:val="22"/>
        </w:rPr>
      </w:pPr>
      <w:bookmarkStart w:id="3" w:name="_Toc198750462"/>
      <w:r w:rsidRPr="00EC1131">
        <w:rPr>
          <w:szCs w:val="22"/>
        </w:rPr>
        <w:t>DE LA SOLICITUD DE INFORMACIÓN</w:t>
      </w:r>
      <w:bookmarkEnd w:id="3"/>
    </w:p>
    <w:p w14:paraId="2BF20AA9" w14:textId="77777777" w:rsidR="002B11D9" w:rsidRPr="00EC1131" w:rsidRDefault="00E43858" w:rsidP="00EC1131">
      <w:pPr>
        <w:pStyle w:val="Ttulo3"/>
        <w:rPr>
          <w:szCs w:val="22"/>
        </w:rPr>
      </w:pPr>
      <w:bookmarkStart w:id="4" w:name="_Toc198750463"/>
      <w:r w:rsidRPr="00EC1131">
        <w:rPr>
          <w:szCs w:val="22"/>
        </w:rPr>
        <w:t>a) Solicitud de información.</w:t>
      </w:r>
      <w:bookmarkEnd w:id="4"/>
    </w:p>
    <w:p w14:paraId="7F8FD05B" w14:textId="3DF6F967" w:rsidR="002B11D9" w:rsidRPr="00EC1131" w:rsidRDefault="00E43858" w:rsidP="00EC1131">
      <w:pPr>
        <w:pBdr>
          <w:top w:val="nil"/>
          <w:left w:val="nil"/>
          <w:bottom w:val="nil"/>
          <w:right w:val="nil"/>
          <w:between w:val="nil"/>
        </w:pBdr>
        <w:tabs>
          <w:tab w:val="left" w:pos="0"/>
        </w:tabs>
        <w:rPr>
          <w:rFonts w:eastAsia="Palatino Linotype" w:cs="Palatino Linotype"/>
          <w:szCs w:val="22"/>
        </w:rPr>
      </w:pPr>
      <w:r w:rsidRPr="00EC1131">
        <w:rPr>
          <w:rFonts w:eastAsia="Palatino Linotype" w:cs="Palatino Linotype"/>
          <w:szCs w:val="22"/>
        </w:rPr>
        <w:t xml:space="preserve">El </w:t>
      </w:r>
      <w:r w:rsidR="00ED75F4" w:rsidRPr="00EC1131">
        <w:rPr>
          <w:rFonts w:eastAsia="Palatino Linotype" w:cs="Palatino Linotype"/>
          <w:b/>
          <w:szCs w:val="22"/>
        </w:rPr>
        <w:t>cuatro de marzo</w:t>
      </w:r>
      <w:r w:rsidRPr="00EC1131">
        <w:rPr>
          <w:rFonts w:eastAsia="Palatino Linotype" w:cs="Palatino Linotype"/>
          <w:b/>
          <w:szCs w:val="22"/>
        </w:rPr>
        <w:t xml:space="preserve"> de dos mil </w:t>
      </w:r>
      <w:r w:rsidR="001C0893" w:rsidRPr="00EC1131">
        <w:rPr>
          <w:rFonts w:eastAsia="Palatino Linotype" w:cs="Palatino Linotype"/>
          <w:b/>
          <w:szCs w:val="22"/>
        </w:rPr>
        <w:t>veinticinco</w:t>
      </w:r>
      <w:r w:rsidRPr="00EC1131">
        <w:rPr>
          <w:rFonts w:eastAsia="Palatino Linotype" w:cs="Palatino Linotype"/>
          <w:szCs w:val="22"/>
        </w:rPr>
        <w:t xml:space="preserve"> </w:t>
      </w:r>
      <w:r w:rsidRPr="00EC1131">
        <w:rPr>
          <w:rFonts w:eastAsia="Palatino Linotype" w:cs="Palatino Linotype"/>
          <w:b/>
          <w:szCs w:val="22"/>
        </w:rPr>
        <w:t>LA PARTE RECURRENTE</w:t>
      </w:r>
      <w:r w:rsidRPr="00EC1131">
        <w:rPr>
          <w:rFonts w:eastAsia="Palatino Linotype" w:cs="Palatino Linotype"/>
          <w:szCs w:val="22"/>
        </w:rPr>
        <w:t xml:space="preserve"> presentó una solicitud de acceso a la información pública ante el </w:t>
      </w:r>
      <w:r w:rsidRPr="00EC1131">
        <w:rPr>
          <w:rFonts w:eastAsia="Palatino Linotype" w:cs="Palatino Linotype"/>
          <w:b/>
          <w:szCs w:val="22"/>
        </w:rPr>
        <w:t>SUJETO OBLIGADO</w:t>
      </w:r>
      <w:r w:rsidRPr="00EC1131">
        <w:rPr>
          <w:rFonts w:eastAsia="Palatino Linotype" w:cs="Palatino Linotype"/>
          <w:szCs w:val="22"/>
        </w:rPr>
        <w:t>, a través de</w:t>
      </w:r>
      <w:r w:rsidR="004A1070" w:rsidRPr="00EC1131">
        <w:rPr>
          <w:rFonts w:eastAsia="Palatino Linotype" w:cs="Palatino Linotype"/>
          <w:szCs w:val="22"/>
        </w:rPr>
        <w:t xml:space="preserve">l </w:t>
      </w:r>
      <w:r w:rsidRPr="00EC1131">
        <w:rPr>
          <w:rFonts w:eastAsia="Palatino Linotype" w:cs="Palatino Linotype"/>
          <w:szCs w:val="22"/>
        </w:rPr>
        <w:t>Sistema de Acceso a la Información Mexiquense (SAIMEX). Dicha solicitud quedó registrada con el número de folio</w:t>
      </w:r>
      <w:r w:rsidR="00602E1E" w:rsidRPr="00EC1131">
        <w:rPr>
          <w:rFonts w:eastAsia="Palatino Linotype" w:cs="Palatino Linotype"/>
          <w:b/>
          <w:szCs w:val="22"/>
        </w:rPr>
        <w:t xml:space="preserve"> </w:t>
      </w:r>
      <w:r w:rsidR="00ED75F4" w:rsidRPr="00EC1131">
        <w:rPr>
          <w:rFonts w:eastAsia="Palatino Linotype" w:cs="Palatino Linotype"/>
          <w:b/>
          <w:szCs w:val="22"/>
        </w:rPr>
        <w:t>00191/PJUDICI/IP/2025</w:t>
      </w:r>
      <w:r w:rsidR="00CB091A" w:rsidRPr="00EC1131">
        <w:rPr>
          <w:rFonts w:eastAsia="Palatino Linotype" w:cs="Palatino Linotype"/>
          <w:b/>
          <w:szCs w:val="22"/>
        </w:rPr>
        <w:t xml:space="preserve"> </w:t>
      </w:r>
      <w:r w:rsidRPr="00EC1131">
        <w:rPr>
          <w:rFonts w:eastAsia="Palatino Linotype" w:cs="Palatino Linotype"/>
          <w:szCs w:val="22"/>
        </w:rPr>
        <w:t>y en ella se requirió la siguiente información:</w:t>
      </w:r>
    </w:p>
    <w:p w14:paraId="4B392087" w14:textId="77777777" w:rsidR="002B11D9" w:rsidRPr="00EC1131" w:rsidRDefault="002B11D9" w:rsidP="00EC1131">
      <w:pPr>
        <w:tabs>
          <w:tab w:val="left" w:pos="4667"/>
        </w:tabs>
        <w:ind w:left="567" w:right="567"/>
        <w:rPr>
          <w:b/>
          <w:szCs w:val="22"/>
        </w:rPr>
      </w:pPr>
    </w:p>
    <w:p w14:paraId="69A1C36A" w14:textId="78F0B5A1" w:rsidR="002B11D9" w:rsidRPr="00EC1131" w:rsidRDefault="00E43858" w:rsidP="00EC1131">
      <w:pPr>
        <w:pStyle w:val="Puesto"/>
      </w:pPr>
      <w:r w:rsidRPr="00EC1131">
        <w:t>“</w:t>
      </w:r>
      <w:r w:rsidR="00ED75F4" w:rsidRPr="00EC1131">
        <w:t>Solicito el horario laboral de los servidores públicos adscritos a los Juzgados de Control Especializado en Cateos, Órdenes de Aprehensión y Medidas de Protección en Línea del Estado de México</w:t>
      </w:r>
      <w:r w:rsidRPr="00EC1131">
        <w:t>” (sic).</w:t>
      </w:r>
    </w:p>
    <w:p w14:paraId="7DD2BAAE" w14:textId="63A89CDC" w:rsidR="002B11D9" w:rsidRPr="00EC1131" w:rsidRDefault="002B11D9" w:rsidP="00EC1131">
      <w:pPr>
        <w:tabs>
          <w:tab w:val="left" w:pos="5743"/>
        </w:tabs>
        <w:ind w:left="567" w:right="567"/>
        <w:rPr>
          <w:i/>
          <w:szCs w:val="22"/>
        </w:rPr>
      </w:pPr>
    </w:p>
    <w:p w14:paraId="1850AB1C" w14:textId="77777777" w:rsidR="002B11D9" w:rsidRPr="00EC1131" w:rsidRDefault="00E43858" w:rsidP="00EC1131">
      <w:pPr>
        <w:tabs>
          <w:tab w:val="left" w:pos="4667"/>
        </w:tabs>
        <w:ind w:right="567"/>
        <w:rPr>
          <w:szCs w:val="22"/>
        </w:rPr>
      </w:pPr>
      <w:r w:rsidRPr="00EC1131">
        <w:rPr>
          <w:b/>
          <w:szCs w:val="22"/>
        </w:rPr>
        <w:t>Modalidad de entrega</w:t>
      </w:r>
      <w:r w:rsidRPr="00EC1131">
        <w:rPr>
          <w:szCs w:val="22"/>
        </w:rPr>
        <w:t>: a</w:t>
      </w:r>
      <w:r w:rsidRPr="00EC1131">
        <w:rPr>
          <w:i/>
          <w:szCs w:val="22"/>
        </w:rPr>
        <w:t xml:space="preserve"> </w:t>
      </w:r>
      <w:r w:rsidRPr="00EC1131">
        <w:rPr>
          <w:szCs w:val="22"/>
        </w:rPr>
        <w:t xml:space="preserve">través del </w:t>
      </w:r>
      <w:r w:rsidRPr="00EC1131">
        <w:rPr>
          <w:b/>
          <w:szCs w:val="22"/>
        </w:rPr>
        <w:t>SAIMEX</w:t>
      </w:r>
      <w:r w:rsidRPr="00EC1131">
        <w:rPr>
          <w:szCs w:val="22"/>
        </w:rPr>
        <w:t>.</w:t>
      </w:r>
    </w:p>
    <w:p w14:paraId="36510F90" w14:textId="77777777" w:rsidR="00D96A09" w:rsidRPr="00EC1131" w:rsidRDefault="00D96A09" w:rsidP="00EC1131">
      <w:pPr>
        <w:rPr>
          <w:szCs w:val="22"/>
        </w:rPr>
      </w:pPr>
    </w:p>
    <w:p w14:paraId="53C684AE" w14:textId="4452A199" w:rsidR="002B11D9" w:rsidRPr="00EC1131" w:rsidRDefault="00CF12D7" w:rsidP="00EC1131">
      <w:pPr>
        <w:pStyle w:val="Ttulo3"/>
        <w:rPr>
          <w:szCs w:val="22"/>
        </w:rPr>
      </w:pPr>
      <w:bookmarkStart w:id="5" w:name="_Toc190333697"/>
      <w:bookmarkStart w:id="6" w:name="_Toc191412504"/>
      <w:bookmarkStart w:id="7" w:name="_Toc192702507"/>
      <w:bookmarkStart w:id="8" w:name="_Toc198750464"/>
      <w:r w:rsidRPr="00EC1131">
        <w:lastRenderedPageBreak/>
        <w:t xml:space="preserve">b) </w:t>
      </w:r>
      <w:bookmarkEnd w:id="5"/>
      <w:bookmarkEnd w:id="6"/>
      <w:bookmarkEnd w:id="7"/>
      <w:r w:rsidR="00E43858" w:rsidRPr="00EC1131">
        <w:rPr>
          <w:szCs w:val="22"/>
        </w:rPr>
        <w:t>Respuesta del Sujeto Obligado.</w:t>
      </w:r>
      <w:bookmarkEnd w:id="8"/>
    </w:p>
    <w:p w14:paraId="01DCF07D" w14:textId="099A6DC2" w:rsidR="002B11D9" w:rsidRPr="00EC1131" w:rsidRDefault="00E43858" w:rsidP="00EC1131">
      <w:pPr>
        <w:pBdr>
          <w:top w:val="nil"/>
          <w:left w:val="nil"/>
          <w:bottom w:val="nil"/>
          <w:right w:val="nil"/>
          <w:between w:val="nil"/>
        </w:pBdr>
        <w:rPr>
          <w:rFonts w:eastAsia="Palatino Linotype" w:cs="Palatino Linotype"/>
          <w:szCs w:val="22"/>
        </w:rPr>
      </w:pPr>
      <w:r w:rsidRPr="00EC1131">
        <w:rPr>
          <w:rFonts w:eastAsia="Palatino Linotype" w:cs="Palatino Linotype"/>
          <w:szCs w:val="22"/>
        </w:rPr>
        <w:t xml:space="preserve">El </w:t>
      </w:r>
      <w:r w:rsidR="00ED75F4" w:rsidRPr="00EC1131">
        <w:rPr>
          <w:rFonts w:eastAsia="Palatino Linotype" w:cs="Palatino Linotype"/>
          <w:b/>
          <w:szCs w:val="22"/>
        </w:rPr>
        <w:t>veintiséis de marzo</w:t>
      </w:r>
      <w:r w:rsidRPr="00EC1131">
        <w:rPr>
          <w:rFonts w:eastAsia="Palatino Linotype" w:cs="Palatino Linotype"/>
          <w:b/>
          <w:szCs w:val="22"/>
        </w:rPr>
        <w:t xml:space="preserve"> de dos mil </w:t>
      </w:r>
      <w:r w:rsidR="00732DB5" w:rsidRPr="00EC1131">
        <w:rPr>
          <w:rFonts w:eastAsia="Palatino Linotype" w:cs="Palatino Linotype"/>
          <w:b/>
          <w:szCs w:val="22"/>
        </w:rPr>
        <w:t>veinticinco</w:t>
      </w:r>
      <w:r w:rsidRPr="00EC1131">
        <w:rPr>
          <w:rFonts w:eastAsia="Palatino Linotype" w:cs="Palatino Linotype"/>
          <w:szCs w:val="22"/>
        </w:rPr>
        <w:t xml:space="preserve"> el Titular de la Unidad de Transparencia del </w:t>
      </w:r>
      <w:r w:rsidRPr="00EC1131">
        <w:rPr>
          <w:rFonts w:eastAsia="Palatino Linotype" w:cs="Palatino Linotype"/>
          <w:b/>
          <w:szCs w:val="22"/>
        </w:rPr>
        <w:t>SUJETO OBLIGADO</w:t>
      </w:r>
      <w:r w:rsidRPr="00EC1131">
        <w:rPr>
          <w:rFonts w:eastAsia="Palatino Linotype" w:cs="Palatino Linotype"/>
          <w:szCs w:val="22"/>
        </w:rPr>
        <w:t xml:space="preserve"> notificó la siguiente respuesta a través del </w:t>
      </w:r>
      <w:r w:rsidRPr="00EC1131">
        <w:rPr>
          <w:rFonts w:eastAsia="Palatino Linotype" w:cs="Palatino Linotype"/>
          <w:b/>
          <w:szCs w:val="22"/>
        </w:rPr>
        <w:t>SAIMEX</w:t>
      </w:r>
      <w:r w:rsidRPr="00EC1131">
        <w:rPr>
          <w:rFonts w:eastAsia="Palatino Linotype" w:cs="Palatino Linotype"/>
          <w:szCs w:val="22"/>
        </w:rPr>
        <w:t>:</w:t>
      </w:r>
    </w:p>
    <w:p w14:paraId="1402A6C2" w14:textId="77777777" w:rsidR="002B11D9" w:rsidRPr="00EC1131" w:rsidRDefault="002B11D9" w:rsidP="00EC1131">
      <w:pPr>
        <w:tabs>
          <w:tab w:val="left" w:pos="4667"/>
        </w:tabs>
        <w:ind w:left="567" w:right="567"/>
        <w:rPr>
          <w:b/>
          <w:szCs w:val="22"/>
        </w:rPr>
      </w:pPr>
    </w:p>
    <w:p w14:paraId="2B1AAD82" w14:textId="77777777" w:rsidR="00ED75F4" w:rsidRPr="00EC1131" w:rsidRDefault="00E43858" w:rsidP="00EC1131">
      <w:pPr>
        <w:pStyle w:val="Puesto"/>
      </w:pPr>
      <w:r w:rsidRPr="00EC1131">
        <w:t>“</w:t>
      </w:r>
      <w:r w:rsidR="00ED75F4" w:rsidRPr="00EC1131">
        <w:t>Folio de la solicitud: 00191/PJUDICI/IP/2025</w:t>
      </w:r>
    </w:p>
    <w:p w14:paraId="29E171C7" w14:textId="77777777" w:rsidR="00B7236D" w:rsidRPr="00EC1131" w:rsidRDefault="00B7236D" w:rsidP="00EC1131"/>
    <w:p w14:paraId="397F2D21" w14:textId="77777777" w:rsidR="00ED75F4" w:rsidRPr="00EC1131" w:rsidRDefault="00ED75F4" w:rsidP="00EC1131">
      <w:pPr>
        <w:pStyle w:val="Puesto"/>
      </w:pPr>
      <w:r w:rsidRPr="00EC1131">
        <w:t>Se anexa documento.</w:t>
      </w:r>
    </w:p>
    <w:p w14:paraId="6FE54664" w14:textId="77777777" w:rsidR="00B7236D" w:rsidRPr="00EC1131" w:rsidRDefault="00B7236D" w:rsidP="00EC1131"/>
    <w:p w14:paraId="5EF32576" w14:textId="77777777" w:rsidR="00ED75F4" w:rsidRPr="00EC1131" w:rsidRDefault="00ED75F4" w:rsidP="00EC1131">
      <w:pPr>
        <w:pStyle w:val="Puesto"/>
      </w:pPr>
      <w:r w:rsidRPr="00EC1131">
        <w:t>ATENTAMENTE</w:t>
      </w:r>
    </w:p>
    <w:p w14:paraId="1EFE3452" w14:textId="77777777" w:rsidR="00B7236D" w:rsidRPr="00EC1131" w:rsidRDefault="00B7236D" w:rsidP="00EC1131"/>
    <w:p w14:paraId="306F69A1" w14:textId="356F0756" w:rsidR="002B11D9" w:rsidRPr="00EC1131" w:rsidRDefault="00ED75F4" w:rsidP="00EC1131">
      <w:pPr>
        <w:pStyle w:val="Puesto"/>
      </w:pPr>
      <w:r w:rsidRPr="00EC1131">
        <w:t>L. EN D. PEDRO J. ISAAC GONZÁLEZ</w:t>
      </w:r>
      <w:r w:rsidR="00E43858" w:rsidRPr="00EC1131">
        <w:t>”</w:t>
      </w:r>
      <w:r w:rsidRPr="00EC1131">
        <w:t xml:space="preserve"> (Sic)</w:t>
      </w:r>
    </w:p>
    <w:p w14:paraId="73AEC8AE" w14:textId="77777777" w:rsidR="00E43858" w:rsidRPr="00EC1131" w:rsidRDefault="00E43858" w:rsidP="00EC1131">
      <w:pPr>
        <w:pBdr>
          <w:top w:val="nil"/>
          <w:left w:val="nil"/>
          <w:bottom w:val="nil"/>
          <w:right w:val="nil"/>
          <w:between w:val="nil"/>
        </w:pBdr>
        <w:ind w:right="-28"/>
        <w:rPr>
          <w:szCs w:val="22"/>
        </w:rPr>
      </w:pPr>
    </w:p>
    <w:p w14:paraId="1991595A" w14:textId="76D53C67" w:rsidR="005220F0" w:rsidRPr="00EC1131" w:rsidRDefault="00CB091A" w:rsidP="00EC1131">
      <w:pPr>
        <w:pBdr>
          <w:top w:val="nil"/>
          <w:left w:val="nil"/>
          <w:bottom w:val="nil"/>
          <w:right w:val="nil"/>
          <w:between w:val="nil"/>
        </w:pBdr>
        <w:ind w:right="-28"/>
        <w:rPr>
          <w:szCs w:val="22"/>
        </w:rPr>
      </w:pPr>
      <w:r w:rsidRPr="00EC1131">
        <w:rPr>
          <w:szCs w:val="22"/>
        </w:rPr>
        <w:t xml:space="preserve">A la respuesta, </w:t>
      </w:r>
      <w:r w:rsidRPr="00EC1131">
        <w:rPr>
          <w:b/>
          <w:szCs w:val="22"/>
        </w:rPr>
        <w:t xml:space="preserve">EL SUJETO OBLIGADO </w:t>
      </w:r>
      <w:r w:rsidRPr="00EC1131">
        <w:rPr>
          <w:szCs w:val="22"/>
        </w:rPr>
        <w:t xml:space="preserve">adjuntó </w:t>
      </w:r>
      <w:r w:rsidR="00ED75F4" w:rsidRPr="00EC1131">
        <w:rPr>
          <w:szCs w:val="22"/>
        </w:rPr>
        <w:t>los siguientes archivos electrónicos</w:t>
      </w:r>
      <w:r w:rsidR="005220F0" w:rsidRPr="00EC1131">
        <w:rPr>
          <w:szCs w:val="22"/>
        </w:rPr>
        <w:t xml:space="preserve">: </w:t>
      </w:r>
    </w:p>
    <w:p w14:paraId="2EA39470" w14:textId="77777777" w:rsidR="005220F0" w:rsidRPr="00EC1131" w:rsidRDefault="005220F0" w:rsidP="00EC1131">
      <w:pPr>
        <w:pBdr>
          <w:top w:val="nil"/>
          <w:left w:val="nil"/>
          <w:bottom w:val="nil"/>
          <w:right w:val="nil"/>
          <w:between w:val="nil"/>
        </w:pBdr>
        <w:ind w:right="-28"/>
        <w:rPr>
          <w:szCs w:val="22"/>
        </w:rPr>
      </w:pPr>
    </w:p>
    <w:p w14:paraId="09244FA1" w14:textId="141C7C36" w:rsidR="005220F0" w:rsidRPr="00EC1131" w:rsidRDefault="00ED75F4" w:rsidP="00EC1131">
      <w:pPr>
        <w:pStyle w:val="Prrafodelista"/>
        <w:numPr>
          <w:ilvl w:val="0"/>
          <w:numId w:val="42"/>
        </w:numPr>
        <w:pBdr>
          <w:top w:val="nil"/>
          <w:left w:val="nil"/>
          <w:bottom w:val="nil"/>
          <w:right w:val="nil"/>
          <w:between w:val="nil"/>
        </w:pBdr>
        <w:ind w:right="-28"/>
        <w:rPr>
          <w:szCs w:val="22"/>
        </w:rPr>
      </w:pPr>
      <w:r w:rsidRPr="00EC1131">
        <w:rPr>
          <w:b/>
          <w:i/>
          <w:szCs w:val="22"/>
        </w:rPr>
        <w:t>“RESPUESTA 191-2025.pdf “</w:t>
      </w:r>
      <w:r w:rsidRPr="00EC1131">
        <w:rPr>
          <w:szCs w:val="22"/>
        </w:rPr>
        <w:t>, de la que se advierte el o</w:t>
      </w:r>
      <w:r w:rsidR="005220F0" w:rsidRPr="00EC1131">
        <w:rPr>
          <w:szCs w:val="22"/>
        </w:rPr>
        <w:t xml:space="preserve">ficio </w:t>
      </w:r>
      <w:r w:rsidRPr="00EC1131">
        <w:rPr>
          <w:szCs w:val="22"/>
        </w:rPr>
        <w:t xml:space="preserve">sin </w:t>
      </w:r>
      <w:r w:rsidR="005220F0" w:rsidRPr="00EC1131">
        <w:rPr>
          <w:szCs w:val="22"/>
        </w:rPr>
        <w:t xml:space="preserve">número </w:t>
      </w:r>
      <w:r w:rsidRPr="00EC1131">
        <w:rPr>
          <w:szCs w:val="22"/>
        </w:rPr>
        <w:t xml:space="preserve">del veinte de marzo de dos mil veinticinco dirigido al solicitante y mediante el cual el Titular de la Unidad de Transparencia mediante el cual de manera sustancial refiere lo siguiente: </w:t>
      </w:r>
      <w:r w:rsidRPr="00EC1131">
        <w:rPr>
          <w:i/>
          <w:szCs w:val="22"/>
        </w:rPr>
        <w:t>“Al respecto, refiero a usted que el horario oficial de labores del personal adscrito a dicho órgano jurisdiccional, se establece con base a la Circular No. 115/2024 que comunica el Acuerdo del Pleno del Consejo de la Judicatura del Poder Judicial del Estado de México, de fecha nueve de diciembre de dos mil veinticuatro, por el que se autoriza el horario oficial de labores del Poder Judicial del Estado de México, para el año 2025 (se adjunta copia simple)” (Sic).</w:t>
      </w:r>
    </w:p>
    <w:p w14:paraId="5B7BFE63" w14:textId="566A5014" w:rsidR="005220F0" w:rsidRPr="00EC1131" w:rsidRDefault="00ED75F4" w:rsidP="00EC1131">
      <w:pPr>
        <w:pStyle w:val="Prrafodelista"/>
        <w:numPr>
          <w:ilvl w:val="0"/>
          <w:numId w:val="42"/>
        </w:numPr>
        <w:pBdr>
          <w:top w:val="nil"/>
          <w:left w:val="nil"/>
          <w:bottom w:val="nil"/>
          <w:right w:val="nil"/>
          <w:between w:val="nil"/>
        </w:pBdr>
        <w:ind w:right="-28"/>
        <w:rPr>
          <w:szCs w:val="22"/>
        </w:rPr>
      </w:pPr>
      <w:r w:rsidRPr="00EC1131">
        <w:rPr>
          <w:b/>
          <w:szCs w:val="22"/>
        </w:rPr>
        <w:t>“ANEXO DE ENTREGA CIRCULAR 115-2024.pdf“</w:t>
      </w:r>
      <w:r w:rsidR="00756A2C" w:rsidRPr="00EC1131">
        <w:rPr>
          <w:b/>
          <w:szCs w:val="22"/>
        </w:rPr>
        <w:t>,</w:t>
      </w:r>
      <w:r w:rsidRPr="00EC1131">
        <w:rPr>
          <w:szCs w:val="22"/>
        </w:rPr>
        <w:t xml:space="preserve"> de cuyo contenido se advierte la Circular No. 115/2024</w:t>
      </w:r>
      <w:r w:rsidR="005220F0" w:rsidRPr="00EC1131">
        <w:rPr>
          <w:szCs w:val="22"/>
        </w:rPr>
        <w:t xml:space="preserve">. </w:t>
      </w:r>
    </w:p>
    <w:p w14:paraId="3EDB14E6" w14:textId="77777777" w:rsidR="005220F0" w:rsidRPr="00EC1131" w:rsidRDefault="005220F0" w:rsidP="00EC1131">
      <w:pPr>
        <w:pStyle w:val="Prrafodelista"/>
        <w:pBdr>
          <w:top w:val="nil"/>
          <w:left w:val="nil"/>
          <w:bottom w:val="nil"/>
          <w:right w:val="nil"/>
          <w:between w:val="nil"/>
        </w:pBdr>
        <w:ind w:right="-28"/>
        <w:rPr>
          <w:szCs w:val="22"/>
        </w:rPr>
      </w:pPr>
    </w:p>
    <w:p w14:paraId="1355A11E" w14:textId="77777777" w:rsidR="002B11D9" w:rsidRPr="00EC1131" w:rsidRDefault="00E43858" w:rsidP="00EC1131">
      <w:pPr>
        <w:pStyle w:val="Ttulo2"/>
        <w:jc w:val="left"/>
        <w:rPr>
          <w:szCs w:val="22"/>
        </w:rPr>
      </w:pPr>
      <w:bookmarkStart w:id="9" w:name="_Toc198750465"/>
      <w:r w:rsidRPr="00EC1131">
        <w:rPr>
          <w:szCs w:val="22"/>
        </w:rPr>
        <w:lastRenderedPageBreak/>
        <w:t>DEL RECURSO DE REVISIÓN</w:t>
      </w:r>
      <w:bookmarkEnd w:id="9"/>
    </w:p>
    <w:p w14:paraId="030CC57B" w14:textId="77777777" w:rsidR="002B11D9" w:rsidRPr="00EC1131" w:rsidRDefault="00E43858" w:rsidP="00EC1131">
      <w:pPr>
        <w:pStyle w:val="Ttulo3"/>
        <w:rPr>
          <w:szCs w:val="22"/>
        </w:rPr>
      </w:pPr>
      <w:bookmarkStart w:id="10" w:name="_Toc198750466"/>
      <w:r w:rsidRPr="00EC1131">
        <w:rPr>
          <w:szCs w:val="22"/>
        </w:rPr>
        <w:t>a) Interposición del Recurso de Revisión.</w:t>
      </w:r>
      <w:bookmarkEnd w:id="10"/>
    </w:p>
    <w:p w14:paraId="1C00BD81" w14:textId="086F9E93" w:rsidR="002B11D9" w:rsidRPr="00EC1131" w:rsidRDefault="00E43858" w:rsidP="00EC1131">
      <w:pPr>
        <w:ind w:right="-28"/>
        <w:rPr>
          <w:szCs w:val="22"/>
        </w:rPr>
      </w:pPr>
      <w:r w:rsidRPr="00EC1131">
        <w:rPr>
          <w:szCs w:val="22"/>
        </w:rPr>
        <w:t xml:space="preserve">El </w:t>
      </w:r>
      <w:r w:rsidR="00FE0C2E" w:rsidRPr="00EC1131">
        <w:rPr>
          <w:b/>
          <w:szCs w:val="22"/>
        </w:rPr>
        <w:t>ocho de abril</w:t>
      </w:r>
      <w:r w:rsidRPr="00EC1131">
        <w:rPr>
          <w:b/>
          <w:szCs w:val="22"/>
        </w:rPr>
        <w:t xml:space="preserve"> de dos mil </w:t>
      </w:r>
      <w:r w:rsidR="00732DB5" w:rsidRPr="00EC1131">
        <w:rPr>
          <w:b/>
          <w:szCs w:val="22"/>
        </w:rPr>
        <w:t>veinticinco</w:t>
      </w:r>
      <w:r w:rsidRPr="00EC1131">
        <w:rPr>
          <w:szCs w:val="22"/>
        </w:rPr>
        <w:t xml:space="preserve"> </w:t>
      </w:r>
      <w:r w:rsidRPr="00EC1131">
        <w:rPr>
          <w:b/>
          <w:szCs w:val="22"/>
        </w:rPr>
        <w:t>LA PARTE RECURRENTE</w:t>
      </w:r>
      <w:r w:rsidRPr="00EC1131">
        <w:rPr>
          <w:szCs w:val="22"/>
        </w:rPr>
        <w:t xml:space="preserve"> interpuso el recurso de revisión en contra de la respuesta emitida por el </w:t>
      </w:r>
      <w:r w:rsidRPr="00EC1131">
        <w:rPr>
          <w:b/>
          <w:szCs w:val="22"/>
        </w:rPr>
        <w:t>SUJETO OBLIGADO</w:t>
      </w:r>
      <w:r w:rsidRPr="00EC1131">
        <w:rPr>
          <w:szCs w:val="22"/>
        </w:rPr>
        <w:t xml:space="preserve">, mismo que fue registrado en </w:t>
      </w:r>
      <w:r w:rsidR="00680595" w:rsidRPr="00EC1131">
        <w:rPr>
          <w:b/>
          <w:szCs w:val="22"/>
        </w:rPr>
        <w:t>EL SAIMEX</w:t>
      </w:r>
      <w:r w:rsidR="00680595" w:rsidRPr="00EC1131">
        <w:rPr>
          <w:szCs w:val="22"/>
        </w:rPr>
        <w:t xml:space="preserve"> </w:t>
      </w:r>
      <w:r w:rsidRPr="00EC1131">
        <w:rPr>
          <w:szCs w:val="22"/>
        </w:rPr>
        <w:t xml:space="preserve">con el número de expediente </w:t>
      </w:r>
      <w:r w:rsidR="00706BBF" w:rsidRPr="00EC1131">
        <w:rPr>
          <w:b/>
          <w:szCs w:val="22"/>
        </w:rPr>
        <w:t>0</w:t>
      </w:r>
      <w:r w:rsidR="00FE0C2E" w:rsidRPr="00EC1131">
        <w:rPr>
          <w:b/>
          <w:szCs w:val="22"/>
        </w:rPr>
        <w:t>4142</w:t>
      </w:r>
      <w:r w:rsidRPr="00EC1131">
        <w:rPr>
          <w:b/>
          <w:szCs w:val="22"/>
        </w:rPr>
        <w:t>/INFOEM/IP/RR/202</w:t>
      </w:r>
      <w:r w:rsidR="00732DB5" w:rsidRPr="00EC1131">
        <w:rPr>
          <w:b/>
          <w:szCs w:val="22"/>
        </w:rPr>
        <w:t>5</w:t>
      </w:r>
      <w:r w:rsidRPr="00EC1131">
        <w:rPr>
          <w:szCs w:val="22"/>
        </w:rPr>
        <w:t xml:space="preserve"> y en el cual manifiesta lo siguiente</w:t>
      </w:r>
      <w:r w:rsidR="00FE0C2E" w:rsidRPr="00EC1131">
        <w:rPr>
          <w:szCs w:val="22"/>
        </w:rPr>
        <w:t xml:space="preserve"> como</w:t>
      </w:r>
      <w:r w:rsidRPr="00EC1131">
        <w:rPr>
          <w:szCs w:val="22"/>
        </w:rPr>
        <w:t>:</w:t>
      </w:r>
    </w:p>
    <w:p w14:paraId="4BD314D7" w14:textId="77777777" w:rsidR="009123BE" w:rsidRPr="00EC1131" w:rsidRDefault="009123BE" w:rsidP="00EC1131">
      <w:pPr>
        <w:tabs>
          <w:tab w:val="left" w:pos="4667"/>
        </w:tabs>
        <w:ind w:right="539"/>
        <w:rPr>
          <w:szCs w:val="22"/>
        </w:rPr>
      </w:pPr>
    </w:p>
    <w:p w14:paraId="012F8056" w14:textId="77777777" w:rsidR="00FE0C2E" w:rsidRPr="00EC1131" w:rsidRDefault="00E43858" w:rsidP="00EC1131">
      <w:pPr>
        <w:ind w:right="-28"/>
        <w:rPr>
          <w:b/>
          <w:szCs w:val="22"/>
        </w:rPr>
      </w:pPr>
      <w:r w:rsidRPr="00EC1131">
        <w:rPr>
          <w:b/>
          <w:szCs w:val="22"/>
        </w:rPr>
        <w:t>ACTO IMPUGNADO</w:t>
      </w:r>
      <w:r w:rsidR="00575FA4" w:rsidRPr="00EC1131">
        <w:rPr>
          <w:b/>
          <w:szCs w:val="22"/>
        </w:rPr>
        <w:t xml:space="preserve"> </w:t>
      </w:r>
    </w:p>
    <w:p w14:paraId="41FBC611" w14:textId="77777777" w:rsidR="00FE0C2E" w:rsidRPr="00EC1131" w:rsidRDefault="00FE0C2E" w:rsidP="00EC1131">
      <w:pPr>
        <w:ind w:right="-28"/>
        <w:rPr>
          <w:b/>
          <w:szCs w:val="22"/>
        </w:rPr>
      </w:pPr>
    </w:p>
    <w:p w14:paraId="4B48E63F" w14:textId="13FAB8EB" w:rsidR="00FE0C2E" w:rsidRPr="00EC1131" w:rsidRDefault="00FE0C2E" w:rsidP="00EC1131">
      <w:pPr>
        <w:pStyle w:val="Puesto"/>
      </w:pPr>
      <w:r w:rsidRPr="00EC1131">
        <w:t xml:space="preserve">“La respuesta del Sujeto </w:t>
      </w:r>
      <w:proofErr w:type="spellStart"/>
      <w:r w:rsidRPr="00EC1131">
        <w:t>Obigado</w:t>
      </w:r>
      <w:proofErr w:type="spellEnd"/>
      <w:r w:rsidRPr="00EC1131">
        <w:t xml:space="preserve">.” (Sic). </w:t>
      </w:r>
    </w:p>
    <w:p w14:paraId="72EA46CA" w14:textId="77777777" w:rsidR="00FE0C2E" w:rsidRPr="00EC1131" w:rsidRDefault="00FE0C2E" w:rsidP="00EC1131">
      <w:pPr>
        <w:ind w:right="-28"/>
        <w:rPr>
          <w:b/>
          <w:szCs w:val="22"/>
        </w:rPr>
      </w:pPr>
    </w:p>
    <w:p w14:paraId="2F36828A" w14:textId="165B2734" w:rsidR="001B5316" w:rsidRPr="00EC1131" w:rsidRDefault="00575FA4" w:rsidP="00EC1131">
      <w:pPr>
        <w:ind w:right="-28"/>
        <w:rPr>
          <w:b/>
          <w:szCs w:val="22"/>
        </w:rPr>
      </w:pPr>
      <w:r w:rsidRPr="00EC1131">
        <w:rPr>
          <w:b/>
          <w:szCs w:val="22"/>
        </w:rPr>
        <w:t>RAZONES O MOTIVOS DE INCONFORMIDAD;</w:t>
      </w:r>
    </w:p>
    <w:p w14:paraId="4132A8FB" w14:textId="3B6F3B3B" w:rsidR="002B11D9" w:rsidRPr="00EC1131" w:rsidRDefault="002B11D9" w:rsidP="00EC1131">
      <w:pPr>
        <w:tabs>
          <w:tab w:val="left" w:pos="4667"/>
        </w:tabs>
        <w:ind w:left="567" w:right="539" w:hanging="567"/>
        <w:rPr>
          <w:b/>
          <w:szCs w:val="22"/>
        </w:rPr>
      </w:pPr>
    </w:p>
    <w:p w14:paraId="2132426C" w14:textId="52C27201" w:rsidR="001B5316" w:rsidRPr="00EC1131" w:rsidRDefault="00E43858" w:rsidP="00EC1131">
      <w:pPr>
        <w:pStyle w:val="Puesto"/>
      </w:pPr>
      <w:bookmarkStart w:id="11" w:name="_Hlk188528269"/>
      <w:r w:rsidRPr="00EC1131">
        <w:t>“</w:t>
      </w:r>
      <w:r w:rsidR="00FE0C2E" w:rsidRPr="00EC1131">
        <w:t>Aunque clasifican la información como reservada la misma debe entregarse en versión pública.</w:t>
      </w:r>
      <w:r w:rsidRPr="00EC1131">
        <w:t xml:space="preserve">” </w:t>
      </w:r>
      <w:r w:rsidR="00B95674" w:rsidRPr="00EC1131">
        <w:t>(S</w:t>
      </w:r>
      <w:r w:rsidRPr="00EC1131">
        <w:t>ic).</w:t>
      </w:r>
      <w:r w:rsidR="00B95674" w:rsidRPr="00EC1131">
        <w:t xml:space="preserve"> </w:t>
      </w:r>
    </w:p>
    <w:p w14:paraId="060C6657" w14:textId="1862342D" w:rsidR="001B5316" w:rsidRPr="00EC1131" w:rsidRDefault="001B5316" w:rsidP="00EC1131">
      <w:pPr>
        <w:tabs>
          <w:tab w:val="left" w:pos="4667"/>
        </w:tabs>
        <w:ind w:left="567" w:right="539"/>
        <w:rPr>
          <w:szCs w:val="22"/>
        </w:rPr>
      </w:pPr>
    </w:p>
    <w:p w14:paraId="1DE31879" w14:textId="77777777" w:rsidR="002B11D9" w:rsidRPr="00EC1131" w:rsidRDefault="00E43858" w:rsidP="00EC1131">
      <w:pPr>
        <w:pStyle w:val="Ttulo3"/>
        <w:rPr>
          <w:szCs w:val="22"/>
        </w:rPr>
      </w:pPr>
      <w:bookmarkStart w:id="12" w:name="_Toc198750467"/>
      <w:bookmarkEnd w:id="11"/>
      <w:r w:rsidRPr="00EC1131">
        <w:rPr>
          <w:szCs w:val="22"/>
        </w:rPr>
        <w:t>b) Turno del Recurso de Revisión.</w:t>
      </w:r>
      <w:bookmarkEnd w:id="12"/>
    </w:p>
    <w:p w14:paraId="2C2E947A" w14:textId="66737888" w:rsidR="002B11D9" w:rsidRPr="00EC1131" w:rsidRDefault="00E43858" w:rsidP="00EC1131">
      <w:pPr>
        <w:rPr>
          <w:szCs w:val="22"/>
        </w:rPr>
      </w:pPr>
      <w:r w:rsidRPr="00EC1131">
        <w:rPr>
          <w:szCs w:val="22"/>
        </w:rPr>
        <w:t>Con fundamento en el artículo 185, fracción I de la Ley de Transparencia y Acceso a la Información Pública del Estado de México y Municipios, el</w:t>
      </w:r>
      <w:r w:rsidRPr="00EC1131">
        <w:rPr>
          <w:b/>
          <w:szCs w:val="22"/>
        </w:rPr>
        <w:t xml:space="preserve"> </w:t>
      </w:r>
      <w:r w:rsidR="00FE0C2E" w:rsidRPr="00EC1131">
        <w:rPr>
          <w:b/>
          <w:szCs w:val="22"/>
        </w:rPr>
        <w:t>ocho de abril</w:t>
      </w:r>
      <w:r w:rsidRPr="00EC1131">
        <w:rPr>
          <w:b/>
          <w:szCs w:val="22"/>
        </w:rPr>
        <w:t xml:space="preserve"> de dos mil </w:t>
      </w:r>
      <w:r w:rsidR="00732DB5" w:rsidRPr="00EC1131">
        <w:rPr>
          <w:b/>
          <w:szCs w:val="22"/>
        </w:rPr>
        <w:t>veinticinco</w:t>
      </w:r>
      <w:r w:rsidRPr="00EC1131">
        <w:rPr>
          <w:szCs w:val="22"/>
        </w:rPr>
        <w:t xml:space="preserve"> se turnó el recurso de revisión a través del SAIMEX a la </w:t>
      </w:r>
      <w:r w:rsidRPr="00EC1131">
        <w:rPr>
          <w:b/>
          <w:szCs w:val="22"/>
        </w:rPr>
        <w:t>Comisionada Sharon Cristina Morales Martínez</w:t>
      </w:r>
      <w:r w:rsidRPr="00EC1131">
        <w:rPr>
          <w:szCs w:val="22"/>
        </w:rPr>
        <w:t>, a efecto de decret</w:t>
      </w:r>
      <w:r w:rsidR="00B95674" w:rsidRPr="00EC1131">
        <w:rPr>
          <w:szCs w:val="22"/>
        </w:rPr>
        <w:t xml:space="preserve">ar su admisión o </w:t>
      </w:r>
      <w:proofErr w:type="spellStart"/>
      <w:r w:rsidR="00B95674" w:rsidRPr="00EC1131">
        <w:rPr>
          <w:szCs w:val="22"/>
        </w:rPr>
        <w:t>desechamiento</w:t>
      </w:r>
      <w:proofErr w:type="spellEnd"/>
      <w:r w:rsidR="00B95674" w:rsidRPr="00EC1131">
        <w:rPr>
          <w:szCs w:val="22"/>
        </w:rPr>
        <w:t>.</w:t>
      </w:r>
    </w:p>
    <w:p w14:paraId="1202E0D8" w14:textId="77777777" w:rsidR="002B11D9" w:rsidRPr="00EC1131" w:rsidRDefault="002B11D9" w:rsidP="00EC1131">
      <w:pPr>
        <w:rPr>
          <w:szCs w:val="22"/>
        </w:rPr>
      </w:pPr>
    </w:p>
    <w:p w14:paraId="13786DC0" w14:textId="77777777" w:rsidR="002B11D9" w:rsidRPr="00EC1131" w:rsidRDefault="00E43858" w:rsidP="00EC1131">
      <w:pPr>
        <w:pStyle w:val="Ttulo3"/>
        <w:rPr>
          <w:szCs w:val="22"/>
        </w:rPr>
      </w:pPr>
      <w:bookmarkStart w:id="13" w:name="_Toc198750468"/>
      <w:r w:rsidRPr="00EC1131">
        <w:rPr>
          <w:szCs w:val="22"/>
        </w:rPr>
        <w:t>c) Admisión del Recurso de Revisión.</w:t>
      </w:r>
      <w:bookmarkEnd w:id="13"/>
    </w:p>
    <w:p w14:paraId="0E1729D5" w14:textId="2CF7F3F4" w:rsidR="002B11D9" w:rsidRPr="00EC1131" w:rsidRDefault="00E43858" w:rsidP="00EC1131">
      <w:pPr>
        <w:rPr>
          <w:szCs w:val="22"/>
        </w:rPr>
      </w:pPr>
      <w:r w:rsidRPr="00EC1131">
        <w:rPr>
          <w:szCs w:val="22"/>
        </w:rPr>
        <w:t xml:space="preserve">El </w:t>
      </w:r>
      <w:r w:rsidR="00FE0C2E" w:rsidRPr="00EC1131">
        <w:rPr>
          <w:b/>
          <w:szCs w:val="22"/>
        </w:rPr>
        <w:t>nueve de abril</w:t>
      </w:r>
      <w:r w:rsidR="005220F0" w:rsidRPr="00EC1131">
        <w:rPr>
          <w:b/>
          <w:szCs w:val="22"/>
        </w:rPr>
        <w:t xml:space="preserve"> </w:t>
      </w:r>
      <w:r w:rsidRPr="00EC1131">
        <w:rPr>
          <w:b/>
          <w:szCs w:val="22"/>
        </w:rPr>
        <w:t xml:space="preserve">de dos mil </w:t>
      </w:r>
      <w:r w:rsidR="00732DB5" w:rsidRPr="00EC1131">
        <w:rPr>
          <w:b/>
          <w:szCs w:val="22"/>
        </w:rPr>
        <w:t>veinticinco</w:t>
      </w:r>
      <w:r w:rsidRPr="00EC1131">
        <w:rPr>
          <w:szCs w:val="22"/>
        </w:rPr>
        <w:t xml:space="preserve"> se acordó la admisión a trámite del Recurso de Revisión y se integró el expediente respectivo, mismo que se puso a disposición de las partes para que, en un plazo de siete días hábiles, manifestaran lo que a su derecho conviniera, </w:t>
      </w:r>
      <w:r w:rsidRPr="00EC1131">
        <w:rPr>
          <w:szCs w:val="22"/>
        </w:rPr>
        <w:lastRenderedPageBreak/>
        <w:t>conforme a lo dispuesto por el artículo 185, fracción II de la Ley de Transparencia y Acceso a la Información Pública del Estado de México y Municipios.</w:t>
      </w:r>
    </w:p>
    <w:p w14:paraId="29AC8402" w14:textId="77777777" w:rsidR="002B11D9" w:rsidRPr="00EC1131" w:rsidRDefault="002B11D9" w:rsidP="00EC1131">
      <w:pPr>
        <w:rPr>
          <w:b/>
          <w:szCs w:val="22"/>
        </w:rPr>
      </w:pPr>
    </w:p>
    <w:p w14:paraId="5A50F9F8" w14:textId="52382EE2" w:rsidR="002B11D9" w:rsidRPr="00EC1131" w:rsidRDefault="00E43858" w:rsidP="00EC1131">
      <w:pPr>
        <w:pStyle w:val="Ttulo3"/>
        <w:rPr>
          <w:szCs w:val="22"/>
        </w:rPr>
      </w:pPr>
      <w:bookmarkStart w:id="14" w:name="_Toc198750469"/>
      <w:r w:rsidRPr="00EC1131">
        <w:rPr>
          <w:szCs w:val="22"/>
        </w:rPr>
        <w:t xml:space="preserve">d) </w:t>
      </w:r>
      <w:r w:rsidR="00F023FC" w:rsidRPr="00EC1131">
        <w:rPr>
          <w:szCs w:val="22"/>
        </w:rPr>
        <w:t>Informe Justificado</w:t>
      </w:r>
      <w:r w:rsidRPr="00EC1131">
        <w:rPr>
          <w:szCs w:val="22"/>
        </w:rPr>
        <w:t xml:space="preserve"> del Sujeto Obligado.</w:t>
      </w:r>
      <w:bookmarkEnd w:id="14"/>
    </w:p>
    <w:p w14:paraId="449BC676" w14:textId="682A913F" w:rsidR="00B7236D" w:rsidRPr="00EC1131" w:rsidRDefault="00633FBD" w:rsidP="00EC1131">
      <w:pPr>
        <w:rPr>
          <w:szCs w:val="22"/>
        </w:rPr>
      </w:pPr>
      <w:r w:rsidRPr="00EC1131">
        <w:rPr>
          <w:szCs w:val="22"/>
        </w:rPr>
        <w:t xml:space="preserve">El </w:t>
      </w:r>
      <w:r w:rsidR="00FE0C2E" w:rsidRPr="00EC1131">
        <w:rPr>
          <w:b/>
          <w:szCs w:val="22"/>
        </w:rPr>
        <w:t>veinticinco de abril</w:t>
      </w:r>
      <w:r w:rsidRPr="00EC1131">
        <w:rPr>
          <w:b/>
          <w:szCs w:val="22"/>
        </w:rPr>
        <w:t xml:space="preserve"> de dos mil veinticinco, EL SUJETO OBLIGADO</w:t>
      </w:r>
      <w:r w:rsidRPr="00EC1131">
        <w:rPr>
          <w:szCs w:val="22"/>
        </w:rPr>
        <w:t xml:space="preserve"> remitió </w:t>
      </w:r>
      <w:r w:rsidR="00B7236D" w:rsidRPr="00EC1131">
        <w:rPr>
          <w:szCs w:val="22"/>
        </w:rPr>
        <w:t xml:space="preserve">los archivos que a continuación se describen </w:t>
      </w:r>
    </w:p>
    <w:p w14:paraId="726EE593" w14:textId="093DEC3C" w:rsidR="000F5CB6" w:rsidRPr="00EC1131" w:rsidRDefault="00FE0C2E" w:rsidP="00EC1131">
      <w:pPr>
        <w:pStyle w:val="Prrafodelista"/>
        <w:numPr>
          <w:ilvl w:val="0"/>
          <w:numId w:val="44"/>
        </w:numPr>
        <w:rPr>
          <w:szCs w:val="22"/>
        </w:rPr>
      </w:pPr>
      <w:r w:rsidRPr="00EC1131">
        <w:rPr>
          <w:b/>
          <w:i/>
          <w:szCs w:val="22"/>
        </w:rPr>
        <w:t>INFORME FIRMADO 4142 25.pdf</w:t>
      </w:r>
      <w:r w:rsidR="000F5CB6" w:rsidRPr="00EC1131">
        <w:rPr>
          <w:b/>
          <w:i/>
          <w:szCs w:val="22"/>
        </w:rPr>
        <w:t xml:space="preserve"> </w:t>
      </w:r>
      <w:r w:rsidRPr="00EC1131">
        <w:rPr>
          <w:szCs w:val="22"/>
        </w:rPr>
        <w:t xml:space="preserve">mediante el cual de manera sustancial refiere que ante las manifestaciones realizadas por </w:t>
      </w:r>
      <w:r w:rsidRPr="00EC1131">
        <w:rPr>
          <w:b/>
          <w:szCs w:val="22"/>
        </w:rPr>
        <w:t xml:space="preserve">LA PARTE RECURRENTE </w:t>
      </w:r>
      <w:r w:rsidRPr="00EC1131">
        <w:rPr>
          <w:szCs w:val="22"/>
        </w:rPr>
        <w:t>no</w:t>
      </w:r>
      <w:r w:rsidRPr="00EC1131">
        <w:rPr>
          <w:b/>
          <w:szCs w:val="22"/>
        </w:rPr>
        <w:t xml:space="preserve"> </w:t>
      </w:r>
      <w:r w:rsidRPr="00EC1131">
        <w:rPr>
          <w:szCs w:val="22"/>
        </w:rPr>
        <w:t>se clasifica la información peticionada como reservada, solicitando se confirme su respuesta y se sobresea el presente asunto.</w:t>
      </w:r>
    </w:p>
    <w:p w14:paraId="2A820088" w14:textId="6591F657" w:rsidR="00B7236D" w:rsidRPr="00EC1131" w:rsidRDefault="00B7236D" w:rsidP="00EC1131">
      <w:pPr>
        <w:pStyle w:val="Prrafodelista"/>
        <w:numPr>
          <w:ilvl w:val="0"/>
          <w:numId w:val="44"/>
        </w:numPr>
        <w:rPr>
          <w:b/>
          <w:bCs/>
          <w:i/>
          <w:szCs w:val="22"/>
        </w:rPr>
      </w:pPr>
      <w:r w:rsidRPr="00EC1131">
        <w:rPr>
          <w:b/>
          <w:bCs/>
          <w:i/>
        </w:rPr>
        <w:t xml:space="preserve">Sesión Extraordinaria 03 25.pdf, </w:t>
      </w:r>
      <w:r w:rsidRPr="00EC1131">
        <w:rPr>
          <w:iCs/>
        </w:rPr>
        <w:t xml:space="preserve">el cual contiene Acta de Sesión Extraordinaria del Comité de Transparencia número 03, en la cual se trataron diversos puntos ajenos a la solicitud materia del presente estudio, motivo por el cual este Órgano Garante determinó no poner a la viste de </w:t>
      </w:r>
      <w:r w:rsidRPr="00EC1131">
        <w:rPr>
          <w:b/>
          <w:bCs/>
          <w:iCs/>
        </w:rPr>
        <w:t xml:space="preserve">LA PARTE RECURRENTE. </w:t>
      </w:r>
    </w:p>
    <w:p w14:paraId="6A09A953" w14:textId="6A9E811D" w:rsidR="000D7B24" w:rsidRPr="00EC1131" w:rsidRDefault="000D7B24" w:rsidP="00EC1131">
      <w:pPr>
        <w:pBdr>
          <w:top w:val="nil"/>
          <w:left w:val="nil"/>
          <w:bottom w:val="nil"/>
          <w:right w:val="nil"/>
          <w:between w:val="nil"/>
        </w:pBdr>
        <w:ind w:right="-28"/>
        <w:rPr>
          <w:szCs w:val="22"/>
        </w:rPr>
      </w:pPr>
    </w:p>
    <w:p w14:paraId="26CB579B" w14:textId="7CC439FB" w:rsidR="00F465D2" w:rsidRPr="00EC1131" w:rsidRDefault="00B7236D" w:rsidP="00EC1131">
      <w:pPr>
        <w:rPr>
          <w:rFonts w:cs="Tahoma"/>
          <w:bCs/>
          <w:szCs w:val="22"/>
        </w:rPr>
      </w:pPr>
      <w:r w:rsidRPr="00EC1131">
        <w:rPr>
          <w:rFonts w:cs="Tahoma"/>
          <w:bCs/>
          <w:szCs w:val="22"/>
        </w:rPr>
        <w:t xml:space="preserve">El primer archivo </w:t>
      </w:r>
      <w:r w:rsidR="00F465D2" w:rsidRPr="00EC1131">
        <w:rPr>
          <w:rFonts w:cs="Tahoma"/>
          <w:bCs/>
          <w:szCs w:val="22"/>
        </w:rPr>
        <w:t xml:space="preserve">fue puesta a la vista de </w:t>
      </w:r>
      <w:r w:rsidR="00F465D2" w:rsidRPr="00EC1131">
        <w:rPr>
          <w:rFonts w:cs="Tahoma"/>
          <w:b/>
          <w:szCs w:val="22"/>
        </w:rPr>
        <w:t xml:space="preserve">LA PARTE RECURRENTE </w:t>
      </w:r>
      <w:r w:rsidR="00F465D2" w:rsidRPr="00EC1131">
        <w:rPr>
          <w:rFonts w:cs="Tahoma"/>
          <w:bCs/>
          <w:szCs w:val="22"/>
        </w:rPr>
        <w:t xml:space="preserve">el </w:t>
      </w:r>
      <w:r w:rsidR="00C969A0" w:rsidRPr="00EC1131">
        <w:rPr>
          <w:rFonts w:cs="Tahoma"/>
          <w:b/>
          <w:szCs w:val="22"/>
        </w:rPr>
        <w:t xml:space="preserve">ocho </w:t>
      </w:r>
      <w:r w:rsidR="00FE0C2E" w:rsidRPr="00EC1131">
        <w:rPr>
          <w:rFonts w:cs="Tahoma"/>
          <w:b/>
          <w:szCs w:val="22"/>
        </w:rPr>
        <w:t xml:space="preserve">de </w:t>
      </w:r>
      <w:r w:rsidR="00C969A0" w:rsidRPr="00EC1131">
        <w:rPr>
          <w:rFonts w:cs="Tahoma"/>
          <w:b/>
          <w:szCs w:val="22"/>
        </w:rPr>
        <w:t>mayo</w:t>
      </w:r>
      <w:r w:rsidR="00FE0C2E" w:rsidRPr="00EC1131">
        <w:rPr>
          <w:rFonts w:cs="Tahoma"/>
          <w:b/>
          <w:szCs w:val="22"/>
        </w:rPr>
        <w:t xml:space="preserve"> </w:t>
      </w:r>
      <w:r w:rsidR="00F465D2" w:rsidRPr="00EC1131">
        <w:rPr>
          <w:rFonts w:cs="Tahoma"/>
          <w:b/>
          <w:szCs w:val="22"/>
        </w:rPr>
        <w:t>de dos mil veinticinco</w:t>
      </w:r>
      <w:r w:rsidR="00F465D2" w:rsidRPr="00EC1131">
        <w:rPr>
          <w:rFonts w:cs="Tahoma"/>
          <w:bCs/>
          <w:szCs w:val="22"/>
        </w:rPr>
        <w:t xml:space="preserve"> para que, en un plazo de tres días hábiles, manifestara lo que a su derecho conviniera, de conformidad con lo establecido en el </w:t>
      </w:r>
      <w:r w:rsidR="00F465D2" w:rsidRPr="00EC1131">
        <w:rPr>
          <w:rFonts w:cs="Arial"/>
          <w:szCs w:val="22"/>
        </w:rPr>
        <w:t>artículo 185, fracción III de la Ley de Transparencia y Acceso a la Información Pública del Estado de México y Municipios</w:t>
      </w:r>
      <w:r w:rsidR="00F465D2" w:rsidRPr="00EC1131">
        <w:rPr>
          <w:rFonts w:cs="Tahoma"/>
          <w:bCs/>
          <w:szCs w:val="22"/>
        </w:rPr>
        <w:t>.</w:t>
      </w:r>
    </w:p>
    <w:p w14:paraId="61ECA6FB" w14:textId="77777777" w:rsidR="00F465D2" w:rsidRPr="00EC1131" w:rsidRDefault="00F465D2" w:rsidP="00EC1131">
      <w:pPr>
        <w:ind w:right="539"/>
        <w:rPr>
          <w:szCs w:val="22"/>
        </w:rPr>
      </w:pPr>
    </w:p>
    <w:p w14:paraId="0D5AC062" w14:textId="77777777" w:rsidR="002B11D9" w:rsidRPr="00EC1131" w:rsidRDefault="00E43858" w:rsidP="00EC1131">
      <w:pPr>
        <w:pStyle w:val="Ttulo3"/>
        <w:rPr>
          <w:szCs w:val="22"/>
        </w:rPr>
      </w:pPr>
      <w:bookmarkStart w:id="15" w:name="_Toc198750470"/>
      <w:r w:rsidRPr="00EC1131">
        <w:rPr>
          <w:szCs w:val="22"/>
        </w:rPr>
        <w:t>e) Manifestaciones de la Parte Recurrente.</w:t>
      </w:r>
      <w:bookmarkEnd w:id="15"/>
    </w:p>
    <w:p w14:paraId="6D93204D" w14:textId="77777777" w:rsidR="002B11D9" w:rsidRPr="00EC1131" w:rsidRDefault="00E43858" w:rsidP="00EC1131">
      <w:pPr>
        <w:rPr>
          <w:szCs w:val="22"/>
        </w:rPr>
      </w:pPr>
      <w:r w:rsidRPr="00EC1131">
        <w:rPr>
          <w:b/>
          <w:szCs w:val="22"/>
        </w:rPr>
        <w:t xml:space="preserve">LA PARTE RECURRENTE </w:t>
      </w:r>
      <w:r w:rsidRPr="00EC1131">
        <w:rPr>
          <w:szCs w:val="22"/>
        </w:rPr>
        <w:t>no realizó manifestación alguna dentro del término legalmente concedido para tal efecto, ni presentó pruebas o alegatos.</w:t>
      </w:r>
    </w:p>
    <w:p w14:paraId="5EEFF756" w14:textId="77777777" w:rsidR="002B11D9" w:rsidRPr="00EC1131" w:rsidRDefault="002B11D9" w:rsidP="00EC1131">
      <w:pPr>
        <w:rPr>
          <w:szCs w:val="22"/>
        </w:rPr>
      </w:pPr>
      <w:bookmarkStart w:id="16" w:name="_heading=h.26in1rg" w:colFirst="0" w:colLast="0"/>
      <w:bookmarkEnd w:id="16"/>
    </w:p>
    <w:p w14:paraId="36F09980" w14:textId="6C347413" w:rsidR="002B11D9" w:rsidRPr="00EC1131" w:rsidRDefault="0038711B" w:rsidP="00EC1131">
      <w:pPr>
        <w:pStyle w:val="Ttulo3"/>
        <w:rPr>
          <w:szCs w:val="22"/>
        </w:rPr>
      </w:pPr>
      <w:bookmarkStart w:id="17" w:name="_Toc198750471"/>
      <w:r w:rsidRPr="00EC1131">
        <w:rPr>
          <w:szCs w:val="22"/>
        </w:rPr>
        <w:lastRenderedPageBreak/>
        <w:t>f</w:t>
      </w:r>
      <w:r w:rsidR="00E43858" w:rsidRPr="00EC1131">
        <w:rPr>
          <w:szCs w:val="22"/>
        </w:rPr>
        <w:t>) Cierre de instrucción.</w:t>
      </w:r>
      <w:bookmarkEnd w:id="17"/>
    </w:p>
    <w:p w14:paraId="473D959F" w14:textId="64167C28" w:rsidR="002B11D9" w:rsidRPr="00EC1131" w:rsidRDefault="00E43858" w:rsidP="00EC1131">
      <w:pPr>
        <w:rPr>
          <w:szCs w:val="22"/>
        </w:rPr>
      </w:pPr>
      <w:bookmarkStart w:id="18" w:name="_heading=h.35nkun2" w:colFirst="0" w:colLast="0"/>
      <w:bookmarkEnd w:id="18"/>
      <w:r w:rsidRPr="00EC1131">
        <w:rPr>
          <w:szCs w:val="22"/>
        </w:rPr>
        <w:t xml:space="preserve">Al no existir diligencias pendientes por desahogar, el </w:t>
      </w:r>
      <w:r w:rsidR="00B7236D" w:rsidRPr="00EC1131">
        <w:rPr>
          <w:b/>
          <w:szCs w:val="22"/>
        </w:rPr>
        <w:t xml:space="preserve">catorce </w:t>
      </w:r>
      <w:r w:rsidR="00FE0C2E" w:rsidRPr="00EC1131">
        <w:rPr>
          <w:b/>
          <w:szCs w:val="22"/>
        </w:rPr>
        <w:t>de mayo</w:t>
      </w:r>
      <w:r w:rsidR="00176DA1" w:rsidRPr="00EC1131">
        <w:rPr>
          <w:b/>
          <w:szCs w:val="22"/>
        </w:rPr>
        <w:t xml:space="preserve"> </w:t>
      </w:r>
      <w:r w:rsidR="00680595" w:rsidRPr="00EC1131">
        <w:rPr>
          <w:b/>
          <w:szCs w:val="22"/>
        </w:rPr>
        <w:t>d</w:t>
      </w:r>
      <w:r w:rsidRPr="00EC1131">
        <w:rPr>
          <w:b/>
          <w:szCs w:val="22"/>
        </w:rPr>
        <w:t xml:space="preserve">e dos mil </w:t>
      </w:r>
      <w:r w:rsidR="00743588" w:rsidRPr="00EC1131">
        <w:rPr>
          <w:b/>
          <w:szCs w:val="22"/>
        </w:rPr>
        <w:t>veinticinco</w:t>
      </w:r>
      <w:r w:rsidRPr="00EC1131">
        <w:rPr>
          <w:szCs w:val="22"/>
        </w:rPr>
        <w:t xml:space="preserve"> la </w:t>
      </w:r>
      <w:r w:rsidRPr="00EC1131">
        <w:rPr>
          <w:b/>
          <w:szCs w:val="22"/>
        </w:rPr>
        <w:t xml:space="preserve">Comisionada Sharon Cristina Morales Martínez </w:t>
      </w:r>
      <w:r w:rsidRPr="00EC1131">
        <w:rPr>
          <w:szCs w:val="22"/>
        </w:rPr>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EC1131">
        <w:rPr>
          <w:b/>
          <w:szCs w:val="22"/>
        </w:rPr>
        <w:t>SAIMEX</w:t>
      </w:r>
      <w:r w:rsidRPr="00EC1131">
        <w:rPr>
          <w:szCs w:val="22"/>
        </w:rPr>
        <w:t>.</w:t>
      </w:r>
    </w:p>
    <w:p w14:paraId="20A1D19A" w14:textId="77777777" w:rsidR="002B11D9" w:rsidRPr="00EC1131" w:rsidRDefault="002B11D9" w:rsidP="00EC1131">
      <w:pPr>
        <w:rPr>
          <w:szCs w:val="22"/>
        </w:rPr>
      </w:pPr>
    </w:p>
    <w:p w14:paraId="7AF2B671" w14:textId="77777777" w:rsidR="002B11D9" w:rsidRPr="00EC1131" w:rsidRDefault="00E43858" w:rsidP="00EC1131">
      <w:pPr>
        <w:pStyle w:val="Ttulo1"/>
        <w:rPr>
          <w:szCs w:val="22"/>
        </w:rPr>
      </w:pPr>
      <w:bookmarkStart w:id="19" w:name="_Toc198750472"/>
      <w:r w:rsidRPr="00EC1131">
        <w:rPr>
          <w:szCs w:val="22"/>
        </w:rPr>
        <w:t>CONSIDERANDOS</w:t>
      </w:r>
      <w:bookmarkEnd w:id="19"/>
    </w:p>
    <w:p w14:paraId="4C4E016A" w14:textId="77777777" w:rsidR="002B11D9" w:rsidRPr="00EC1131" w:rsidRDefault="002B11D9" w:rsidP="00EC1131">
      <w:pPr>
        <w:jc w:val="center"/>
        <w:rPr>
          <w:b/>
          <w:szCs w:val="22"/>
        </w:rPr>
      </w:pPr>
    </w:p>
    <w:p w14:paraId="67991CCB" w14:textId="77777777" w:rsidR="002B11D9" w:rsidRPr="00EC1131" w:rsidRDefault="00E43858" w:rsidP="00EC1131">
      <w:pPr>
        <w:pStyle w:val="Ttulo2"/>
        <w:rPr>
          <w:szCs w:val="22"/>
        </w:rPr>
      </w:pPr>
      <w:bookmarkStart w:id="20" w:name="_Toc198750473"/>
      <w:r w:rsidRPr="00EC1131">
        <w:rPr>
          <w:szCs w:val="22"/>
        </w:rPr>
        <w:t xml:space="preserve">PRIMERO. </w:t>
      </w:r>
      <w:proofErr w:type="spellStart"/>
      <w:r w:rsidRPr="00EC1131">
        <w:rPr>
          <w:szCs w:val="22"/>
        </w:rPr>
        <w:t>Procedibilidad</w:t>
      </w:r>
      <w:bookmarkEnd w:id="20"/>
      <w:proofErr w:type="spellEnd"/>
    </w:p>
    <w:p w14:paraId="77F2770D" w14:textId="77777777" w:rsidR="002B11D9" w:rsidRPr="00EC1131" w:rsidRDefault="00E43858" w:rsidP="00EC1131">
      <w:pPr>
        <w:pStyle w:val="Ttulo3"/>
        <w:rPr>
          <w:szCs w:val="22"/>
        </w:rPr>
      </w:pPr>
      <w:bookmarkStart w:id="21" w:name="_Toc198750474"/>
      <w:r w:rsidRPr="00EC1131">
        <w:rPr>
          <w:szCs w:val="22"/>
        </w:rPr>
        <w:t>a) Competencia del Instituto.</w:t>
      </w:r>
      <w:bookmarkEnd w:id="21"/>
    </w:p>
    <w:p w14:paraId="2BCE2FBA" w14:textId="597A9CAF" w:rsidR="002B11D9" w:rsidRPr="00EC1131" w:rsidRDefault="00E43858" w:rsidP="00EC1131">
      <w:pPr>
        <w:rPr>
          <w:szCs w:val="22"/>
        </w:rPr>
      </w:pPr>
      <w:r w:rsidRPr="00EC1131">
        <w:rPr>
          <w:szCs w:val="22"/>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00FE0C2E" w:rsidRPr="00EC1131">
        <w:rPr>
          <w:szCs w:val="22"/>
        </w:rPr>
        <w:t>párrafos trigésimo séptimo, trigésimo octavo y trigésimo noveno</w:t>
      </w:r>
      <w:r w:rsidRPr="00EC1131">
        <w:rPr>
          <w:szCs w:val="22"/>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009ABBE" w14:textId="77777777" w:rsidR="002B11D9" w:rsidRPr="00EC1131" w:rsidRDefault="002B11D9" w:rsidP="00EC1131">
      <w:pPr>
        <w:rPr>
          <w:szCs w:val="22"/>
        </w:rPr>
      </w:pPr>
    </w:p>
    <w:p w14:paraId="2E0E6234" w14:textId="77777777" w:rsidR="002B11D9" w:rsidRPr="00EC1131" w:rsidRDefault="00E43858" w:rsidP="00EC1131">
      <w:pPr>
        <w:pStyle w:val="Ttulo3"/>
        <w:rPr>
          <w:szCs w:val="22"/>
        </w:rPr>
      </w:pPr>
      <w:bookmarkStart w:id="22" w:name="_Toc198750475"/>
      <w:r w:rsidRPr="00EC1131">
        <w:rPr>
          <w:szCs w:val="22"/>
        </w:rPr>
        <w:lastRenderedPageBreak/>
        <w:t>b) Legitimidad de la parte recurrente.</w:t>
      </w:r>
      <w:bookmarkEnd w:id="22"/>
    </w:p>
    <w:p w14:paraId="78DA37FC" w14:textId="77777777" w:rsidR="002B11D9" w:rsidRPr="00EC1131" w:rsidRDefault="00E43858" w:rsidP="00EC1131">
      <w:pPr>
        <w:rPr>
          <w:szCs w:val="22"/>
        </w:rPr>
      </w:pPr>
      <w:r w:rsidRPr="00EC1131">
        <w:rPr>
          <w:szCs w:val="22"/>
        </w:rPr>
        <w:t>El recurso de revisión fue interpuesto por parte legítima, ya que se presentó por la misma persona que formuló la solicitud de acceso a la Información Pública,</w:t>
      </w:r>
      <w:r w:rsidRPr="00EC1131">
        <w:rPr>
          <w:b/>
          <w:szCs w:val="22"/>
        </w:rPr>
        <w:t xml:space="preserve"> </w:t>
      </w:r>
      <w:r w:rsidRPr="00EC1131">
        <w:rPr>
          <w:szCs w:val="22"/>
        </w:rPr>
        <w:t>debido a que los datos de acceso</w:t>
      </w:r>
      <w:r w:rsidRPr="00EC1131">
        <w:rPr>
          <w:b/>
          <w:szCs w:val="22"/>
        </w:rPr>
        <w:t xml:space="preserve"> SAIMEX</w:t>
      </w:r>
      <w:r w:rsidRPr="00EC1131">
        <w:rPr>
          <w:szCs w:val="22"/>
        </w:rPr>
        <w:t xml:space="preserve"> son personales e irrepetibles.</w:t>
      </w:r>
    </w:p>
    <w:p w14:paraId="66A2A93E" w14:textId="77777777" w:rsidR="002B11D9" w:rsidRPr="00EC1131" w:rsidRDefault="002B11D9" w:rsidP="00EC1131">
      <w:pPr>
        <w:rPr>
          <w:szCs w:val="22"/>
        </w:rPr>
      </w:pPr>
    </w:p>
    <w:p w14:paraId="0943A28B" w14:textId="77777777" w:rsidR="002B11D9" w:rsidRPr="00EC1131" w:rsidRDefault="00E43858" w:rsidP="00EC1131">
      <w:pPr>
        <w:pStyle w:val="Ttulo3"/>
        <w:rPr>
          <w:szCs w:val="22"/>
        </w:rPr>
      </w:pPr>
      <w:bookmarkStart w:id="23" w:name="_Toc198750476"/>
      <w:r w:rsidRPr="00EC1131">
        <w:rPr>
          <w:szCs w:val="22"/>
        </w:rPr>
        <w:t>c) Plazo para interponer el recurso.</w:t>
      </w:r>
      <w:bookmarkEnd w:id="23"/>
    </w:p>
    <w:p w14:paraId="0FBEBD6E" w14:textId="2BBA0FB9" w:rsidR="00FE0C2E" w:rsidRPr="00EC1131" w:rsidRDefault="00FE0C2E" w:rsidP="00EC1131">
      <w:bookmarkStart w:id="24" w:name="_heading=h.1y810tw" w:colFirst="0" w:colLast="0"/>
      <w:bookmarkEnd w:id="24"/>
      <w:r w:rsidRPr="00EC1131">
        <w:rPr>
          <w:b/>
        </w:rPr>
        <w:t>EL SUJETO OBLIGADO</w:t>
      </w:r>
      <w:r w:rsidRPr="00EC1131">
        <w:t xml:space="preserve"> notificó la respuesta a la solicitud de acceso a la Información Pública el </w:t>
      </w:r>
      <w:r w:rsidRPr="00EC1131">
        <w:rPr>
          <w:b/>
        </w:rPr>
        <w:t xml:space="preserve">veintiséis de marzo de dos mil veinticinco </w:t>
      </w:r>
      <w:r w:rsidRPr="00EC1131">
        <w:t xml:space="preserve">y el recurso que nos ocupa se interpuso el </w:t>
      </w:r>
      <w:r w:rsidRPr="00EC1131">
        <w:rPr>
          <w:b/>
        </w:rPr>
        <w:t>ocho de abril</w:t>
      </w:r>
      <w:r w:rsidRPr="00EC1131">
        <w:t xml:space="preserve"> </w:t>
      </w:r>
      <w:r w:rsidRPr="00EC1131">
        <w:rPr>
          <w:b/>
        </w:rPr>
        <w:t>de dos mil veinticinco</w:t>
      </w:r>
      <w:r w:rsidRPr="00EC1131">
        <w:t>; por lo tanto, éste se encuentra dentro del margen temporal previsto en el artículo 178 de la Ley de Transparencia y Acceso a la Información Pública del Estado de México y Municipios.</w:t>
      </w:r>
    </w:p>
    <w:p w14:paraId="0DA286F6" w14:textId="77777777" w:rsidR="002B11D9" w:rsidRPr="00EC1131" w:rsidRDefault="002B11D9" w:rsidP="00EC1131">
      <w:pPr>
        <w:rPr>
          <w:szCs w:val="22"/>
        </w:rPr>
      </w:pPr>
    </w:p>
    <w:p w14:paraId="50ED1995" w14:textId="77777777" w:rsidR="00B7236D" w:rsidRPr="00EC1131" w:rsidRDefault="00B7236D" w:rsidP="00EC1131">
      <w:pPr>
        <w:rPr>
          <w:b/>
          <w:szCs w:val="22"/>
        </w:rPr>
      </w:pPr>
      <w:bookmarkStart w:id="25" w:name="_Toc192070928"/>
      <w:r w:rsidRPr="00EC1131">
        <w:rPr>
          <w:b/>
          <w:szCs w:val="22"/>
        </w:rPr>
        <w:t>d) Causal de procedencia</w:t>
      </w:r>
      <w:bookmarkEnd w:id="25"/>
      <w:r w:rsidRPr="00EC1131">
        <w:rPr>
          <w:b/>
          <w:szCs w:val="22"/>
        </w:rPr>
        <w:t xml:space="preserve"> </w:t>
      </w:r>
    </w:p>
    <w:p w14:paraId="32FB3D20" w14:textId="65619C7D" w:rsidR="00B7236D" w:rsidRPr="00EC1131" w:rsidRDefault="00B7236D" w:rsidP="00EC1131">
      <w:pPr>
        <w:rPr>
          <w:szCs w:val="22"/>
        </w:rPr>
      </w:pPr>
      <w:r w:rsidRPr="00EC1131">
        <w:rPr>
          <w:szCs w:val="22"/>
        </w:rPr>
        <w:t>Resulta procedente la interposición del recurso de revisión, ya que se actualiza la causal de procedencia señalada en el artículo 179, fracción II de la Ley de Transparencia y Acceso a la Información Pública del Estado de México y Municipios.</w:t>
      </w:r>
    </w:p>
    <w:p w14:paraId="04168F7D" w14:textId="77777777" w:rsidR="00B7236D" w:rsidRPr="00EC1131" w:rsidRDefault="00B7236D" w:rsidP="00EC1131">
      <w:pPr>
        <w:rPr>
          <w:szCs w:val="22"/>
        </w:rPr>
      </w:pPr>
    </w:p>
    <w:p w14:paraId="2F204211" w14:textId="3FE87ED5" w:rsidR="002B11D9" w:rsidRPr="00EC1131" w:rsidRDefault="008755F9" w:rsidP="00EC1131">
      <w:pPr>
        <w:pStyle w:val="Ttulo3"/>
        <w:rPr>
          <w:szCs w:val="22"/>
        </w:rPr>
      </w:pPr>
      <w:bookmarkStart w:id="26" w:name="_Toc198750477"/>
      <w:r w:rsidRPr="00EC1131">
        <w:rPr>
          <w:szCs w:val="22"/>
        </w:rPr>
        <w:t>d</w:t>
      </w:r>
      <w:r w:rsidR="00E43858" w:rsidRPr="00EC1131">
        <w:rPr>
          <w:szCs w:val="22"/>
        </w:rPr>
        <w:t>) Requisitos formales para la interposición del recurso.</w:t>
      </w:r>
      <w:bookmarkEnd w:id="26"/>
    </w:p>
    <w:p w14:paraId="1B169E75" w14:textId="77777777" w:rsidR="00FE0C2E" w:rsidRPr="00EC1131" w:rsidRDefault="00FE0C2E" w:rsidP="00EC1131">
      <w:pPr>
        <w:rPr>
          <w:rFonts w:cs="Arial"/>
          <w:szCs w:val="22"/>
          <w:lang w:val="es-ES"/>
        </w:rPr>
      </w:pPr>
      <w:r w:rsidRPr="00EC1131">
        <w:rPr>
          <w:szCs w:val="22"/>
          <w:lang w:val="es-ES"/>
        </w:rPr>
        <w:t xml:space="preserve">Es importante mencionar que, de la revisión del expediente electrónico del </w:t>
      </w:r>
      <w:r w:rsidRPr="00EC1131">
        <w:rPr>
          <w:b/>
          <w:szCs w:val="22"/>
          <w:lang w:val="es-ES"/>
        </w:rPr>
        <w:t>SAIMEX</w:t>
      </w:r>
      <w:r w:rsidRPr="00EC1131">
        <w:rPr>
          <w:bCs/>
          <w:szCs w:val="22"/>
          <w:lang w:val="es-ES"/>
        </w:rPr>
        <w:t>,</w:t>
      </w:r>
      <w:r w:rsidRPr="00EC1131">
        <w:rPr>
          <w:szCs w:val="22"/>
          <w:lang w:val="es-ES"/>
        </w:rPr>
        <w:t xml:space="preserve"> se observa que </w:t>
      </w:r>
      <w:r w:rsidRPr="00EC1131">
        <w:rPr>
          <w:b/>
          <w:bCs/>
          <w:szCs w:val="22"/>
          <w:lang w:val="es-ES"/>
        </w:rPr>
        <w:t>LA PARTE RECURRENTE</w:t>
      </w:r>
      <w:r w:rsidRPr="00EC1131">
        <w:rPr>
          <w:szCs w:val="22"/>
          <w:lang w:val="es-ES"/>
        </w:rPr>
        <w:t xml:space="preserve"> no proporcionó su nombre para ser identificado, lo que en estricto sentido provoca que </w:t>
      </w:r>
      <w:r w:rsidRPr="00EC1131">
        <w:rPr>
          <w:rFonts w:cs="Arial"/>
          <w:szCs w:val="22"/>
          <w:lang w:val="es-ES"/>
        </w:rPr>
        <w:t>no</w:t>
      </w:r>
      <w:r w:rsidRPr="00EC1131">
        <w:rPr>
          <w:szCs w:val="22"/>
          <w:lang w:val="es-ES"/>
        </w:rPr>
        <w:t xml:space="preserve"> se colmen los requisitos establecidos en el artículo 180 de la Ley de Transparencia; sin embargo, el artículo 15 de </w:t>
      </w:r>
      <w:r w:rsidRPr="00EC1131">
        <w:rPr>
          <w:rFonts w:cs="Arial"/>
          <w:szCs w:val="22"/>
          <w:lang w:val="es-ES" w:eastAsia="es-MX"/>
        </w:rPr>
        <w:t xml:space="preserve">Ley de Transparencia y Acceso a la </w:t>
      </w:r>
      <w:r w:rsidRPr="00EC1131">
        <w:rPr>
          <w:rFonts w:cs="Arial"/>
          <w:szCs w:val="22"/>
          <w:lang w:val="es-ES"/>
        </w:rPr>
        <w:t>Información</w:t>
      </w:r>
      <w:r w:rsidRPr="00EC1131">
        <w:rPr>
          <w:rFonts w:cs="Arial"/>
          <w:szCs w:val="22"/>
          <w:lang w:val="es-ES" w:eastAsia="es-MX"/>
        </w:rPr>
        <w:t xml:space="preserve"> Pública del Estado de México y Municipios </w:t>
      </w:r>
      <w:r w:rsidRPr="00EC1131">
        <w:rPr>
          <w:rFonts w:cs="Arial"/>
          <w:iCs/>
          <w:szCs w:val="22"/>
          <w:lang w:val="es-ES"/>
        </w:rPr>
        <w:t xml:space="preserve">prevé que </w:t>
      </w:r>
      <w:r w:rsidRPr="00EC1131">
        <w:rPr>
          <w:szCs w:val="22"/>
          <w:lang w:val="es-ES"/>
        </w:rPr>
        <w:t xml:space="preserve">toda persona tendrá acceso a la información </w:t>
      </w:r>
      <w:r w:rsidRPr="00EC1131">
        <w:rPr>
          <w:rFonts w:cs="Arial"/>
          <w:szCs w:val="22"/>
          <w:lang w:val="es-ES"/>
        </w:rPr>
        <w:t xml:space="preserve">sin necesidad de acreditar interés alguno o justificar su utilización, de lo que </w:t>
      </w:r>
      <w:r w:rsidRPr="00EC1131">
        <w:rPr>
          <w:rFonts w:cs="Arial"/>
          <w:szCs w:val="22"/>
          <w:lang w:val="es-ES"/>
        </w:rPr>
        <w:lastRenderedPageBreak/>
        <w:t xml:space="preserve">se infiere que </w:t>
      </w:r>
      <w:r w:rsidRPr="00EC1131">
        <w:rPr>
          <w:rFonts w:cs="Arial"/>
          <w:b/>
          <w:szCs w:val="22"/>
          <w:u w:val="single"/>
          <w:lang w:val="es-ES"/>
        </w:rPr>
        <w:t xml:space="preserve">el nombre no es un requisito </w:t>
      </w:r>
      <w:r w:rsidRPr="00EC1131">
        <w:rPr>
          <w:rFonts w:cs="Arial"/>
          <w:b/>
          <w:iCs/>
          <w:szCs w:val="22"/>
          <w:u w:val="single"/>
          <w:lang w:val="es-ES"/>
        </w:rPr>
        <w:t>indispensable</w:t>
      </w:r>
      <w:r w:rsidRPr="00EC1131">
        <w:rPr>
          <w:rFonts w:cs="Arial"/>
          <w:szCs w:val="22"/>
          <w:lang w:val="es-ES"/>
        </w:rPr>
        <w:t xml:space="preserve"> para que las y los ciudadanos ejerzan el derecho de acceso a la información pública. </w:t>
      </w:r>
    </w:p>
    <w:p w14:paraId="4DC9B10A" w14:textId="77777777" w:rsidR="00FE0C2E" w:rsidRPr="00EC1131" w:rsidRDefault="00FE0C2E" w:rsidP="00EC1131">
      <w:pPr>
        <w:rPr>
          <w:rFonts w:cs="Arial"/>
          <w:szCs w:val="22"/>
          <w:lang w:val="es-ES"/>
        </w:rPr>
      </w:pPr>
    </w:p>
    <w:p w14:paraId="4D99B1DC" w14:textId="77777777" w:rsidR="00FE0C2E" w:rsidRPr="00EC1131" w:rsidRDefault="00FE0C2E" w:rsidP="00EC1131">
      <w:pPr>
        <w:rPr>
          <w:szCs w:val="22"/>
          <w:lang w:val="es-ES"/>
        </w:rPr>
      </w:pPr>
      <w:r w:rsidRPr="00EC1131">
        <w:rPr>
          <w:rFonts w:cs="Arial"/>
          <w:szCs w:val="22"/>
          <w:lang w:val="es-ES"/>
        </w:rPr>
        <w:t>Asimismo, la Ley de la materia prevé en su artículo 155, párrafo segundo la posibilidad de que las solicitudes de información sean anónimas, al utilizar un nombre incompleto o, inclusive un seudónimo.</w:t>
      </w:r>
      <w:r w:rsidRPr="00EC1131">
        <w:rPr>
          <w:szCs w:val="22"/>
          <w:lang w:val="es-ES"/>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EC1131">
        <w:rPr>
          <w:b/>
          <w:bCs/>
          <w:szCs w:val="22"/>
          <w:lang w:val="es-ES"/>
        </w:rPr>
        <w:t>LA PARTE RECURRENTE</w:t>
      </w:r>
      <w:r w:rsidRPr="00EC1131">
        <w:rPr>
          <w:rFonts w:cs="Arial"/>
          <w:b/>
          <w:szCs w:val="22"/>
          <w:lang w:val="es-ES"/>
        </w:rPr>
        <w:t>;</w:t>
      </w:r>
      <w:r w:rsidRPr="00EC1131">
        <w:rPr>
          <w:szCs w:val="22"/>
          <w:lang w:val="es-ES"/>
        </w:rPr>
        <w:t xml:space="preserve"> por lo que, en el presente caso, al haber sido presentado el recurso de revisión vía </w:t>
      </w:r>
      <w:r w:rsidRPr="00EC1131">
        <w:rPr>
          <w:b/>
          <w:bCs/>
          <w:szCs w:val="22"/>
          <w:lang w:val="es-ES"/>
        </w:rPr>
        <w:t>SAIMEX</w:t>
      </w:r>
      <w:r w:rsidRPr="00EC1131">
        <w:rPr>
          <w:szCs w:val="22"/>
          <w:lang w:val="es-ES"/>
        </w:rPr>
        <w:t>, dicho requisito resulta innecesario.</w:t>
      </w:r>
    </w:p>
    <w:p w14:paraId="458725C4" w14:textId="77777777" w:rsidR="002B11D9" w:rsidRPr="00EC1131" w:rsidRDefault="002B11D9" w:rsidP="00EC1131">
      <w:pPr>
        <w:rPr>
          <w:szCs w:val="22"/>
        </w:rPr>
      </w:pPr>
    </w:p>
    <w:p w14:paraId="6CC0AE89" w14:textId="142E352E" w:rsidR="002B11D9" w:rsidRPr="00EC1131" w:rsidRDefault="00E43858" w:rsidP="00EC1131">
      <w:pPr>
        <w:pStyle w:val="Ttulo2"/>
        <w:rPr>
          <w:szCs w:val="22"/>
        </w:rPr>
      </w:pPr>
      <w:bookmarkStart w:id="27" w:name="_Toc198750478"/>
      <w:r w:rsidRPr="00EC1131">
        <w:rPr>
          <w:szCs w:val="22"/>
        </w:rPr>
        <w:t xml:space="preserve">SEGUNDO. </w:t>
      </w:r>
      <w:r w:rsidR="005201C8" w:rsidRPr="00EC1131">
        <w:rPr>
          <w:szCs w:val="22"/>
        </w:rPr>
        <w:t>Estudio de Fondo</w:t>
      </w:r>
      <w:r w:rsidRPr="00EC1131">
        <w:rPr>
          <w:szCs w:val="22"/>
        </w:rPr>
        <w:t>.</w:t>
      </w:r>
      <w:bookmarkEnd w:id="27"/>
    </w:p>
    <w:p w14:paraId="36F4B1E9" w14:textId="77777777" w:rsidR="002B11D9" w:rsidRPr="00EC1131" w:rsidRDefault="00E43858" w:rsidP="00EC1131">
      <w:pPr>
        <w:pStyle w:val="Ttulo3"/>
        <w:rPr>
          <w:szCs w:val="22"/>
        </w:rPr>
      </w:pPr>
      <w:bookmarkStart w:id="28" w:name="_Toc198750479"/>
      <w:r w:rsidRPr="00EC1131">
        <w:rPr>
          <w:szCs w:val="22"/>
        </w:rPr>
        <w:t>a) Mandato de transparencia y responsabilidad del Sujeto Obligado.</w:t>
      </w:r>
      <w:bookmarkEnd w:id="28"/>
    </w:p>
    <w:p w14:paraId="645A0019" w14:textId="77777777" w:rsidR="002B11D9" w:rsidRPr="00EC1131" w:rsidRDefault="00E43858" w:rsidP="00EC1131">
      <w:pPr>
        <w:rPr>
          <w:szCs w:val="22"/>
        </w:rPr>
      </w:pPr>
      <w:r w:rsidRPr="00EC1131">
        <w:rPr>
          <w:szCs w:val="22"/>
        </w:rPr>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BC2B1B8" w14:textId="77777777" w:rsidR="002B11D9" w:rsidRPr="00EC1131" w:rsidRDefault="002B11D9" w:rsidP="00EC1131">
      <w:pPr>
        <w:rPr>
          <w:szCs w:val="22"/>
        </w:rPr>
      </w:pPr>
    </w:p>
    <w:p w14:paraId="2728DC9A" w14:textId="77777777" w:rsidR="002B11D9" w:rsidRPr="00EC1131" w:rsidRDefault="00E43858" w:rsidP="00EC1131">
      <w:pPr>
        <w:spacing w:line="240" w:lineRule="auto"/>
        <w:ind w:left="567" w:right="539"/>
        <w:rPr>
          <w:b/>
          <w:i/>
          <w:szCs w:val="22"/>
        </w:rPr>
      </w:pPr>
      <w:r w:rsidRPr="00EC1131">
        <w:rPr>
          <w:b/>
          <w:i/>
          <w:szCs w:val="22"/>
        </w:rPr>
        <w:t>Constitución Política de los Estados Unidos Mexicanos</w:t>
      </w:r>
    </w:p>
    <w:p w14:paraId="65A3C40E" w14:textId="77777777" w:rsidR="002B11D9" w:rsidRPr="00EC1131" w:rsidRDefault="00E43858" w:rsidP="00EC1131">
      <w:pPr>
        <w:spacing w:line="240" w:lineRule="auto"/>
        <w:ind w:left="567" w:right="539"/>
        <w:rPr>
          <w:b/>
          <w:i/>
          <w:szCs w:val="22"/>
        </w:rPr>
      </w:pPr>
      <w:r w:rsidRPr="00EC1131">
        <w:rPr>
          <w:b/>
          <w:i/>
          <w:szCs w:val="22"/>
        </w:rPr>
        <w:t>“Artículo 6.</w:t>
      </w:r>
    </w:p>
    <w:p w14:paraId="56A52B32" w14:textId="77777777" w:rsidR="002B11D9" w:rsidRPr="00EC1131" w:rsidRDefault="00E43858" w:rsidP="00EC1131">
      <w:pPr>
        <w:spacing w:line="240" w:lineRule="auto"/>
        <w:ind w:left="567" w:right="539"/>
        <w:rPr>
          <w:i/>
          <w:szCs w:val="22"/>
        </w:rPr>
      </w:pPr>
      <w:r w:rsidRPr="00EC1131">
        <w:rPr>
          <w:i/>
          <w:szCs w:val="22"/>
        </w:rPr>
        <w:t>(…)</w:t>
      </w:r>
    </w:p>
    <w:p w14:paraId="1976FC67" w14:textId="77777777" w:rsidR="002B11D9" w:rsidRPr="00EC1131" w:rsidRDefault="00E43858" w:rsidP="00EC1131">
      <w:pPr>
        <w:spacing w:line="240" w:lineRule="auto"/>
        <w:ind w:left="567" w:right="539"/>
        <w:rPr>
          <w:i/>
          <w:szCs w:val="22"/>
        </w:rPr>
      </w:pPr>
      <w:r w:rsidRPr="00EC1131">
        <w:rPr>
          <w:i/>
          <w:szCs w:val="22"/>
        </w:rPr>
        <w:t>Para efectos de lo dispuesto en el presente artículo se observará lo siguiente:</w:t>
      </w:r>
    </w:p>
    <w:p w14:paraId="04BDA9BA" w14:textId="77777777" w:rsidR="002B11D9" w:rsidRPr="00EC1131" w:rsidRDefault="00E43858" w:rsidP="00EC1131">
      <w:pPr>
        <w:spacing w:line="240" w:lineRule="auto"/>
        <w:ind w:left="567" w:right="539"/>
        <w:rPr>
          <w:b/>
          <w:i/>
          <w:szCs w:val="22"/>
        </w:rPr>
      </w:pPr>
      <w:r w:rsidRPr="00EC1131">
        <w:rPr>
          <w:b/>
          <w:i/>
          <w:szCs w:val="22"/>
        </w:rPr>
        <w:t>A</w:t>
      </w:r>
      <w:r w:rsidRPr="00EC1131">
        <w:rPr>
          <w:i/>
          <w:szCs w:val="22"/>
        </w:rPr>
        <w:t xml:space="preserve">. </w:t>
      </w:r>
      <w:r w:rsidRPr="00EC1131">
        <w:rPr>
          <w:b/>
          <w:i/>
          <w:szCs w:val="22"/>
        </w:rPr>
        <w:t>Para el ejercicio del derecho de acceso a la información</w:t>
      </w:r>
      <w:r w:rsidRPr="00EC1131">
        <w:rPr>
          <w:i/>
          <w:szCs w:val="22"/>
        </w:rPr>
        <w:t xml:space="preserve">, la Federación y </w:t>
      </w:r>
      <w:r w:rsidRPr="00EC1131">
        <w:rPr>
          <w:b/>
          <w:i/>
          <w:szCs w:val="22"/>
        </w:rPr>
        <w:t>las entidades federativas, en el ámbito de sus respectivas competencias, se regirán por los siguientes principios y bases:</w:t>
      </w:r>
    </w:p>
    <w:p w14:paraId="7B2501C9" w14:textId="77777777" w:rsidR="002B11D9" w:rsidRPr="00EC1131" w:rsidRDefault="00E43858" w:rsidP="00EC1131">
      <w:pPr>
        <w:spacing w:line="240" w:lineRule="auto"/>
        <w:ind w:left="567" w:right="539"/>
        <w:rPr>
          <w:i/>
          <w:szCs w:val="22"/>
        </w:rPr>
      </w:pPr>
      <w:r w:rsidRPr="00EC1131">
        <w:rPr>
          <w:b/>
          <w:i/>
          <w:szCs w:val="22"/>
        </w:rPr>
        <w:t xml:space="preserve">I. </w:t>
      </w:r>
      <w:r w:rsidRPr="00EC1131">
        <w:rPr>
          <w:b/>
          <w:i/>
          <w:szCs w:val="22"/>
        </w:rPr>
        <w:tab/>
        <w:t>Toda la información en posesión de cualquier</w:t>
      </w:r>
      <w:r w:rsidRPr="00EC1131">
        <w:rPr>
          <w:i/>
          <w:szCs w:val="22"/>
        </w:rPr>
        <w:t xml:space="preserve"> </w:t>
      </w:r>
      <w:r w:rsidRPr="00EC1131">
        <w:rPr>
          <w:b/>
          <w:i/>
          <w:szCs w:val="22"/>
        </w:rPr>
        <w:t>autoridad</w:t>
      </w:r>
      <w:r w:rsidRPr="00EC1131">
        <w:rPr>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C1131">
        <w:rPr>
          <w:b/>
          <w:i/>
          <w:szCs w:val="22"/>
        </w:rPr>
        <w:t>municipal</w:t>
      </w:r>
      <w:r w:rsidRPr="00EC1131">
        <w:rPr>
          <w:i/>
          <w:szCs w:val="22"/>
        </w:rPr>
        <w:t xml:space="preserve">, </w:t>
      </w:r>
      <w:r w:rsidRPr="00EC1131">
        <w:rPr>
          <w:b/>
          <w:i/>
          <w:szCs w:val="22"/>
        </w:rPr>
        <w:t>es pública</w:t>
      </w:r>
      <w:r w:rsidRPr="00EC1131">
        <w:rPr>
          <w:i/>
          <w:szCs w:val="22"/>
        </w:rPr>
        <w:t xml:space="preserve"> y sólo podrá ser reservada temporalmente por razones de interés público y seguridad nacional, en los términos que fijen las leyes. </w:t>
      </w:r>
      <w:r w:rsidRPr="00EC1131">
        <w:rPr>
          <w:b/>
          <w:i/>
          <w:szCs w:val="22"/>
        </w:rPr>
        <w:t xml:space="preserve">En la </w:t>
      </w:r>
      <w:r w:rsidRPr="00EC1131">
        <w:rPr>
          <w:b/>
          <w:i/>
          <w:szCs w:val="22"/>
        </w:rPr>
        <w:lastRenderedPageBreak/>
        <w:t>interpretación de este derecho deberá prevalecer el principio de máxima publicidad. Los sujetos obligados deberán documentar todo acto que derive del ejercicio de sus facultades, competencias o funciones</w:t>
      </w:r>
      <w:r w:rsidRPr="00EC1131">
        <w:rPr>
          <w:i/>
          <w:szCs w:val="22"/>
        </w:rPr>
        <w:t>, la ley determinará los supuestos específicos bajo los cuales procederá la declaración de inexistencia de la información.”</w:t>
      </w:r>
    </w:p>
    <w:p w14:paraId="55C26538" w14:textId="77777777" w:rsidR="002B11D9" w:rsidRPr="00EC1131" w:rsidRDefault="002B11D9" w:rsidP="00EC1131">
      <w:pPr>
        <w:spacing w:line="240" w:lineRule="auto"/>
        <w:ind w:left="567" w:right="539"/>
        <w:rPr>
          <w:b/>
          <w:i/>
          <w:szCs w:val="22"/>
        </w:rPr>
      </w:pPr>
    </w:p>
    <w:p w14:paraId="1DB1F016" w14:textId="77777777" w:rsidR="002B11D9" w:rsidRPr="00EC1131" w:rsidRDefault="00E43858" w:rsidP="00EC1131">
      <w:pPr>
        <w:spacing w:line="240" w:lineRule="auto"/>
        <w:ind w:left="567" w:right="539"/>
        <w:rPr>
          <w:b/>
          <w:i/>
          <w:szCs w:val="22"/>
        </w:rPr>
      </w:pPr>
      <w:r w:rsidRPr="00EC1131">
        <w:rPr>
          <w:b/>
          <w:i/>
          <w:szCs w:val="22"/>
        </w:rPr>
        <w:t>Constitución Política del Estado Libre y Soberano de México</w:t>
      </w:r>
    </w:p>
    <w:p w14:paraId="4E542E32" w14:textId="77777777" w:rsidR="002B11D9" w:rsidRPr="00EC1131" w:rsidRDefault="00E43858" w:rsidP="00EC1131">
      <w:pPr>
        <w:spacing w:line="240" w:lineRule="auto"/>
        <w:ind w:left="567" w:right="539"/>
        <w:rPr>
          <w:i/>
          <w:szCs w:val="22"/>
        </w:rPr>
      </w:pPr>
      <w:r w:rsidRPr="00EC1131">
        <w:rPr>
          <w:b/>
          <w:i/>
          <w:szCs w:val="22"/>
        </w:rPr>
        <w:t>“Artículo 5</w:t>
      </w:r>
      <w:r w:rsidRPr="00EC1131">
        <w:rPr>
          <w:i/>
          <w:szCs w:val="22"/>
        </w:rPr>
        <w:t xml:space="preserve">.- </w:t>
      </w:r>
    </w:p>
    <w:p w14:paraId="0E7D0278" w14:textId="77777777" w:rsidR="002B11D9" w:rsidRPr="00EC1131" w:rsidRDefault="00E43858" w:rsidP="00EC1131">
      <w:pPr>
        <w:spacing w:line="240" w:lineRule="auto"/>
        <w:ind w:left="567" w:right="539"/>
        <w:rPr>
          <w:i/>
          <w:szCs w:val="22"/>
        </w:rPr>
      </w:pPr>
      <w:r w:rsidRPr="00EC1131">
        <w:rPr>
          <w:i/>
          <w:szCs w:val="22"/>
        </w:rPr>
        <w:t>(…)</w:t>
      </w:r>
    </w:p>
    <w:p w14:paraId="6CD461F3" w14:textId="77777777" w:rsidR="002B11D9" w:rsidRPr="00EC1131" w:rsidRDefault="00E43858" w:rsidP="00EC1131">
      <w:pPr>
        <w:spacing w:line="240" w:lineRule="auto"/>
        <w:ind w:left="567" w:right="539"/>
        <w:rPr>
          <w:i/>
          <w:szCs w:val="22"/>
        </w:rPr>
      </w:pPr>
      <w:r w:rsidRPr="00EC1131">
        <w:rPr>
          <w:b/>
          <w:i/>
          <w:szCs w:val="22"/>
        </w:rPr>
        <w:t>El derecho a la información será garantizado por el Estado. La ley establecerá las previsiones que permitan asegurar la protección, el respeto y la difusión de este derecho</w:t>
      </w:r>
      <w:r w:rsidRPr="00EC1131">
        <w:rPr>
          <w:i/>
          <w:szCs w:val="22"/>
        </w:rPr>
        <w:t>.</w:t>
      </w:r>
    </w:p>
    <w:p w14:paraId="2ABE9580" w14:textId="77777777" w:rsidR="002B11D9" w:rsidRPr="00EC1131" w:rsidRDefault="00E43858" w:rsidP="00EC1131">
      <w:pPr>
        <w:spacing w:line="240" w:lineRule="auto"/>
        <w:ind w:left="567" w:right="539"/>
        <w:rPr>
          <w:i/>
          <w:szCs w:val="22"/>
        </w:rPr>
      </w:pPr>
      <w:r w:rsidRPr="00EC1131">
        <w:rPr>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C7A0A77" w14:textId="77777777" w:rsidR="002B11D9" w:rsidRPr="00EC1131" w:rsidRDefault="00E43858" w:rsidP="00EC1131">
      <w:pPr>
        <w:spacing w:line="240" w:lineRule="auto"/>
        <w:ind w:left="567" w:right="539"/>
        <w:rPr>
          <w:i/>
          <w:szCs w:val="22"/>
        </w:rPr>
      </w:pPr>
      <w:r w:rsidRPr="00EC1131">
        <w:rPr>
          <w:b/>
          <w:i/>
          <w:szCs w:val="22"/>
        </w:rPr>
        <w:t>Este derecho se regirá por los principios y bases siguientes</w:t>
      </w:r>
      <w:r w:rsidRPr="00EC1131">
        <w:rPr>
          <w:i/>
          <w:szCs w:val="22"/>
        </w:rPr>
        <w:t>:</w:t>
      </w:r>
    </w:p>
    <w:p w14:paraId="20F07590" w14:textId="77777777" w:rsidR="002B11D9" w:rsidRPr="00EC1131" w:rsidRDefault="00E43858" w:rsidP="00EC1131">
      <w:pPr>
        <w:spacing w:line="240" w:lineRule="auto"/>
        <w:ind w:left="567" w:right="539"/>
        <w:rPr>
          <w:i/>
          <w:szCs w:val="22"/>
        </w:rPr>
      </w:pPr>
      <w:r w:rsidRPr="00EC1131">
        <w:rPr>
          <w:b/>
          <w:i/>
          <w:szCs w:val="22"/>
        </w:rPr>
        <w:t>I. Toda la información en posesión de cualquier autoridad, entidad, órgano y organismos de los</w:t>
      </w:r>
      <w:r w:rsidRPr="00EC1131">
        <w:rPr>
          <w:i/>
          <w:szCs w:val="22"/>
        </w:rPr>
        <w:t xml:space="preserve"> Poderes Ejecutivo, Legislativo y Judicial, órganos autónomos, partidos políticos, fideicomisos y fondos públicos estatales y </w:t>
      </w:r>
      <w:r w:rsidRPr="00EC1131">
        <w:rPr>
          <w:b/>
          <w:i/>
          <w:szCs w:val="22"/>
        </w:rPr>
        <w:t>municipales</w:t>
      </w:r>
      <w:r w:rsidRPr="00EC1131">
        <w:rPr>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C1131">
        <w:rPr>
          <w:b/>
          <w:i/>
          <w:szCs w:val="22"/>
        </w:rPr>
        <w:t>es pública</w:t>
      </w:r>
      <w:r w:rsidRPr="00EC1131">
        <w:rPr>
          <w:i/>
          <w:szCs w:val="22"/>
        </w:rPr>
        <w:t xml:space="preserve"> y sólo podrá ser reservada temporalmente por razones previstas en la Constitución Política de los Estados Unidos Mexicanos de interés público y seguridad, en los términos que fijen las leyes. </w:t>
      </w:r>
      <w:r w:rsidRPr="00EC1131">
        <w:rPr>
          <w:b/>
          <w:i/>
          <w:szCs w:val="22"/>
        </w:rPr>
        <w:t>En la interpretación de este derecho deberá prevalecer el principio de máxima publicidad</w:t>
      </w:r>
      <w:r w:rsidRPr="00EC1131">
        <w:rPr>
          <w:i/>
          <w:szCs w:val="22"/>
        </w:rPr>
        <w:t xml:space="preserve">. </w:t>
      </w:r>
      <w:r w:rsidRPr="00EC1131">
        <w:rPr>
          <w:b/>
          <w:i/>
          <w:szCs w:val="22"/>
        </w:rPr>
        <w:t>Los sujetos obligados deberán documentar todo acto que derive del ejercicio de sus facultades, competencias o funciones</w:t>
      </w:r>
      <w:r w:rsidRPr="00EC1131">
        <w:rPr>
          <w:i/>
          <w:szCs w:val="22"/>
        </w:rPr>
        <w:t>, la ley determinará los supuestos específicos bajo los cuales procederá la declaración de inexistencia de la información.”</w:t>
      </w:r>
    </w:p>
    <w:p w14:paraId="43DAD261" w14:textId="77777777" w:rsidR="002B11D9" w:rsidRPr="00EC1131" w:rsidRDefault="002B11D9" w:rsidP="00EC1131">
      <w:pPr>
        <w:rPr>
          <w:b/>
          <w:i/>
          <w:szCs w:val="22"/>
        </w:rPr>
      </w:pPr>
    </w:p>
    <w:p w14:paraId="3CC5AE80" w14:textId="77777777" w:rsidR="002B11D9" w:rsidRPr="00EC1131" w:rsidRDefault="00E43858" w:rsidP="00EC1131">
      <w:pPr>
        <w:rPr>
          <w:i/>
          <w:szCs w:val="22"/>
        </w:rPr>
      </w:pPr>
      <w:r w:rsidRPr="00EC1131">
        <w:rPr>
          <w:szCs w:val="22"/>
        </w:rPr>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EC1131">
        <w:rPr>
          <w:i/>
          <w:szCs w:val="22"/>
        </w:rPr>
        <w:t>por los principios de simplicidad, rapidez, gratuidad del procedimiento, auxilio y orientación a los particulares.</w:t>
      </w:r>
    </w:p>
    <w:p w14:paraId="06C4477C" w14:textId="77777777" w:rsidR="002B11D9" w:rsidRPr="00EC1131" w:rsidRDefault="002B11D9" w:rsidP="00EC1131">
      <w:pPr>
        <w:rPr>
          <w:i/>
          <w:szCs w:val="22"/>
        </w:rPr>
      </w:pPr>
    </w:p>
    <w:p w14:paraId="32F71180" w14:textId="77777777" w:rsidR="002B11D9" w:rsidRPr="00EC1131" w:rsidRDefault="00E43858" w:rsidP="00EC1131">
      <w:pPr>
        <w:rPr>
          <w:i/>
          <w:szCs w:val="22"/>
        </w:rPr>
      </w:pPr>
      <w:r w:rsidRPr="00EC1131">
        <w:rPr>
          <w:szCs w:val="22"/>
        </w:rPr>
        <w:lastRenderedPageBreak/>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4B6730D8" w14:textId="77777777" w:rsidR="002B11D9" w:rsidRPr="00EC1131" w:rsidRDefault="002B11D9" w:rsidP="00EC1131">
      <w:pPr>
        <w:rPr>
          <w:szCs w:val="22"/>
        </w:rPr>
      </w:pPr>
    </w:p>
    <w:p w14:paraId="50C9A409" w14:textId="77777777" w:rsidR="002B11D9" w:rsidRPr="00EC1131" w:rsidRDefault="00E43858" w:rsidP="00EC1131">
      <w:pPr>
        <w:rPr>
          <w:szCs w:val="22"/>
        </w:rPr>
      </w:pPr>
      <w:r w:rsidRPr="00EC1131">
        <w:rPr>
          <w:szCs w:val="22"/>
        </w:rPr>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2A6D7BE" w14:textId="77777777" w:rsidR="002B11D9" w:rsidRPr="00EC1131" w:rsidRDefault="002B11D9" w:rsidP="00EC1131">
      <w:pPr>
        <w:rPr>
          <w:szCs w:val="22"/>
        </w:rPr>
      </w:pPr>
    </w:p>
    <w:p w14:paraId="35AF7222" w14:textId="77777777" w:rsidR="002B11D9" w:rsidRPr="00EC1131" w:rsidRDefault="00E43858" w:rsidP="00EC1131">
      <w:pPr>
        <w:rPr>
          <w:szCs w:val="22"/>
        </w:rPr>
      </w:pPr>
      <w:r w:rsidRPr="00EC1131">
        <w:rPr>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6BA6196" w14:textId="77777777" w:rsidR="002B11D9" w:rsidRPr="00EC1131" w:rsidRDefault="002B11D9" w:rsidP="00EC1131">
      <w:pPr>
        <w:rPr>
          <w:szCs w:val="22"/>
        </w:rPr>
      </w:pPr>
    </w:p>
    <w:p w14:paraId="573E8C29" w14:textId="77777777" w:rsidR="002B11D9" w:rsidRPr="00EC1131" w:rsidRDefault="00E43858" w:rsidP="00EC1131">
      <w:pPr>
        <w:rPr>
          <w:szCs w:val="22"/>
        </w:rPr>
      </w:pPr>
      <w:r w:rsidRPr="00EC1131">
        <w:rPr>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1593E47A" w14:textId="77777777" w:rsidR="002B11D9" w:rsidRPr="00EC1131" w:rsidRDefault="002B11D9" w:rsidP="00EC1131">
      <w:pPr>
        <w:rPr>
          <w:szCs w:val="22"/>
        </w:rPr>
      </w:pPr>
    </w:p>
    <w:p w14:paraId="65B0DF28" w14:textId="77777777" w:rsidR="002B11D9" w:rsidRPr="00EC1131" w:rsidRDefault="00E43858" w:rsidP="00EC1131">
      <w:pPr>
        <w:rPr>
          <w:szCs w:val="22"/>
        </w:rPr>
      </w:pPr>
      <w:bookmarkStart w:id="29" w:name="_heading=h.2bn6wsx" w:colFirst="0" w:colLast="0"/>
      <w:bookmarkEnd w:id="29"/>
      <w:r w:rsidRPr="00EC1131">
        <w:rPr>
          <w:szCs w:val="22"/>
        </w:rPr>
        <w:lastRenderedPageBreak/>
        <w:t xml:space="preserve">Con base en lo anterior, se considera que </w:t>
      </w:r>
      <w:r w:rsidRPr="00EC1131">
        <w:rPr>
          <w:b/>
          <w:szCs w:val="22"/>
        </w:rPr>
        <w:t>EL</w:t>
      </w:r>
      <w:r w:rsidRPr="00EC1131">
        <w:rPr>
          <w:szCs w:val="22"/>
        </w:rPr>
        <w:t xml:space="preserve"> </w:t>
      </w:r>
      <w:r w:rsidRPr="00EC1131">
        <w:rPr>
          <w:b/>
          <w:szCs w:val="22"/>
        </w:rPr>
        <w:t>SUJETO OBLIGADO</w:t>
      </w:r>
      <w:r w:rsidRPr="00EC1131">
        <w:rPr>
          <w:szCs w:val="22"/>
        </w:rPr>
        <w:t xml:space="preserve"> se encontraba compelido a atender la solicitud de acceso a la información realizada por </w:t>
      </w:r>
      <w:r w:rsidRPr="00EC1131">
        <w:rPr>
          <w:b/>
          <w:szCs w:val="22"/>
        </w:rPr>
        <w:t>LA PARTE RECURRENTE</w:t>
      </w:r>
      <w:r w:rsidRPr="00EC1131">
        <w:rPr>
          <w:szCs w:val="22"/>
        </w:rPr>
        <w:t>.</w:t>
      </w:r>
    </w:p>
    <w:p w14:paraId="4D6DDC45" w14:textId="77777777" w:rsidR="002B11D9" w:rsidRPr="00EC1131" w:rsidRDefault="002B11D9" w:rsidP="00EC1131">
      <w:pPr>
        <w:rPr>
          <w:szCs w:val="22"/>
        </w:rPr>
      </w:pPr>
    </w:p>
    <w:p w14:paraId="0AA81BA3" w14:textId="7A07553B" w:rsidR="002B11D9" w:rsidRPr="00EC1131" w:rsidRDefault="00E43858" w:rsidP="00EC1131">
      <w:pPr>
        <w:pStyle w:val="Ttulo3"/>
        <w:rPr>
          <w:szCs w:val="22"/>
        </w:rPr>
      </w:pPr>
      <w:bookmarkStart w:id="30" w:name="_Toc198750480"/>
      <w:r w:rsidRPr="00EC1131">
        <w:rPr>
          <w:szCs w:val="22"/>
        </w:rPr>
        <w:t>b) Controversia a resolver</w:t>
      </w:r>
      <w:r w:rsidR="0043233B" w:rsidRPr="00EC1131">
        <w:rPr>
          <w:szCs w:val="22"/>
        </w:rPr>
        <w:t>.</w:t>
      </w:r>
      <w:bookmarkEnd w:id="30"/>
    </w:p>
    <w:p w14:paraId="381B91C9" w14:textId="11473CE1" w:rsidR="00352A5B" w:rsidRPr="00EC1131" w:rsidRDefault="00FD79D8" w:rsidP="00EC1131">
      <w:pPr>
        <w:rPr>
          <w:rFonts w:eastAsia="Calibri"/>
          <w:szCs w:val="22"/>
          <w:lang w:eastAsia="es-ES_tradnl"/>
        </w:rPr>
      </w:pPr>
      <w:r w:rsidRPr="00EC1131">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EC1131">
        <w:rPr>
          <w:rFonts w:eastAsia="Calibri"/>
          <w:b/>
          <w:bCs/>
          <w:szCs w:val="22"/>
          <w:lang w:eastAsia="es-ES_tradnl"/>
        </w:rPr>
        <w:t>LA PARTE RECURRENTE</w:t>
      </w:r>
      <w:r w:rsidRPr="00EC1131">
        <w:rPr>
          <w:rFonts w:eastAsia="Calibri"/>
          <w:szCs w:val="22"/>
          <w:lang w:eastAsia="es-ES_tradnl"/>
        </w:rPr>
        <w:t xml:space="preserve"> solicitó</w:t>
      </w:r>
      <w:r w:rsidR="006A6B1A" w:rsidRPr="00EC1131">
        <w:rPr>
          <w:rFonts w:eastAsia="Calibri"/>
          <w:szCs w:val="22"/>
          <w:lang w:eastAsia="es-ES_tradnl"/>
        </w:rPr>
        <w:t xml:space="preserve"> </w:t>
      </w:r>
      <w:r w:rsidR="00530657" w:rsidRPr="00EC1131">
        <w:rPr>
          <w:rFonts w:eastAsia="Calibri"/>
          <w:szCs w:val="22"/>
          <w:lang w:eastAsia="es-ES_tradnl"/>
        </w:rPr>
        <w:t>el horario laboral de los servidores públicos adscritos a los Juzgados de Control Especializado en Cateos, Órdenes de Aprehensión y Medidas de Protección en Línea del Estado de México</w:t>
      </w:r>
      <w:r w:rsidR="00352A5B" w:rsidRPr="00EC1131">
        <w:rPr>
          <w:rFonts w:eastAsia="Calibri"/>
          <w:szCs w:val="22"/>
          <w:lang w:eastAsia="es-ES_tradnl"/>
        </w:rPr>
        <w:t xml:space="preserve">. </w:t>
      </w:r>
    </w:p>
    <w:p w14:paraId="14B48E8F" w14:textId="77777777" w:rsidR="00352A5B" w:rsidRPr="00EC1131" w:rsidRDefault="00352A5B" w:rsidP="00EC1131">
      <w:pPr>
        <w:rPr>
          <w:rFonts w:eastAsia="Calibri"/>
          <w:szCs w:val="22"/>
          <w:lang w:eastAsia="es-ES_tradnl"/>
        </w:rPr>
      </w:pPr>
    </w:p>
    <w:p w14:paraId="4473A7D2" w14:textId="2F38327F" w:rsidR="00352A5B" w:rsidRPr="00EC1131" w:rsidRDefault="00D96DE4" w:rsidP="00EC1131">
      <w:pPr>
        <w:pBdr>
          <w:top w:val="nil"/>
          <w:left w:val="nil"/>
          <w:bottom w:val="nil"/>
          <w:right w:val="nil"/>
          <w:between w:val="nil"/>
        </w:pBdr>
        <w:ind w:right="-28"/>
        <w:rPr>
          <w:szCs w:val="22"/>
        </w:rPr>
      </w:pPr>
      <w:r w:rsidRPr="00EC1131">
        <w:rPr>
          <w:szCs w:val="22"/>
        </w:rPr>
        <w:t xml:space="preserve">En respuesta, </w:t>
      </w:r>
      <w:r w:rsidRPr="00EC1131">
        <w:rPr>
          <w:b/>
          <w:szCs w:val="22"/>
        </w:rPr>
        <w:t>EL SUJETO OBLIGADO</w:t>
      </w:r>
      <w:r w:rsidR="000B7D6E" w:rsidRPr="00EC1131">
        <w:rPr>
          <w:b/>
          <w:szCs w:val="22"/>
        </w:rPr>
        <w:t xml:space="preserve"> </w:t>
      </w:r>
      <w:r w:rsidR="00352A5B" w:rsidRPr="00EC1131">
        <w:rPr>
          <w:rFonts w:eastAsia="Calibri"/>
          <w:szCs w:val="22"/>
          <w:lang w:eastAsia="es-ES_tradnl"/>
        </w:rPr>
        <w:t xml:space="preserve">adjuntó </w:t>
      </w:r>
      <w:r w:rsidR="00D465AF" w:rsidRPr="00EC1131">
        <w:rPr>
          <w:szCs w:val="22"/>
        </w:rPr>
        <w:t>la Circular No. 115/2024 que comunica el Acuerdo del Pleno del Consejo de la Judicatura del Poder Judicial del Estado de México, de fecha nueve de diciembre de dos mil veinticuatro, por el que se autoriza el horario oficial de labores del Poder Judicial del Estado de México, para el año 2025.</w:t>
      </w:r>
    </w:p>
    <w:p w14:paraId="754A74E7" w14:textId="77777777" w:rsidR="00352A5B" w:rsidRPr="00EC1131" w:rsidRDefault="00352A5B" w:rsidP="00EC1131">
      <w:pPr>
        <w:pBdr>
          <w:top w:val="nil"/>
          <w:left w:val="nil"/>
          <w:bottom w:val="nil"/>
          <w:right w:val="nil"/>
          <w:between w:val="nil"/>
        </w:pBdr>
        <w:ind w:right="-28"/>
        <w:rPr>
          <w:b/>
          <w:szCs w:val="22"/>
        </w:rPr>
      </w:pPr>
    </w:p>
    <w:p w14:paraId="3A9BA8BF" w14:textId="5EAA4D03" w:rsidR="002B11D9" w:rsidRPr="00EC1131" w:rsidRDefault="00E43858" w:rsidP="00EC1131">
      <w:pPr>
        <w:tabs>
          <w:tab w:val="left" w:pos="4962"/>
        </w:tabs>
        <w:rPr>
          <w:szCs w:val="22"/>
        </w:rPr>
      </w:pPr>
      <w:r w:rsidRPr="00EC1131">
        <w:rPr>
          <w:szCs w:val="22"/>
        </w:rPr>
        <w:t xml:space="preserve">Ahora bien, en la interposición del presente recurso </w:t>
      </w:r>
      <w:r w:rsidRPr="00EC1131">
        <w:rPr>
          <w:b/>
          <w:szCs w:val="22"/>
        </w:rPr>
        <w:t>LA PARTE RECURRENTE</w:t>
      </w:r>
      <w:r w:rsidRPr="00EC1131">
        <w:rPr>
          <w:szCs w:val="22"/>
        </w:rPr>
        <w:t xml:space="preserve"> se inconformó </w:t>
      </w:r>
      <w:r w:rsidR="00D465AF" w:rsidRPr="00EC1131">
        <w:rPr>
          <w:szCs w:val="22"/>
        </w:rPr>
        <w:t>respecto a que se clasifica la información como reservada, refiriendo que la misma debe entregarse en versión pública</w:t>
      </w:r>
      <w:r w:rsidR="000521AB" w:rsidRPr="00EC1131">
        <w:rPr>
          <w:szCs w:val="22"/>
        </w:rPr>
        <w:t>.</w:t>
      </w:r>
    </w:p>
    <w:p w14:paraId="3213D847" w14:textId="77777777" w:rsidR="00F10C1B" w:rsidRPr="00EC1131" w:rsidRDefault="00F10C1B" w:rsidP="00EC1131">
      <w:pPr>
        <w:rPr>
          <w:szCs w:val="22"/>
        </w:rPr>
      </w:pPr>
    </w:p>
    <w:p w14:paraId="7E535975" w14:textId="233DFC7F" w:rsidR="000B4924" w:rsidRPr="00EC1131" w:rsidRDefault="00D707EC" w:rsidP="00EC1131">
      <w:pPr>
        <w:rPr>
          <w:szCs w:val="22"/>
        </w:rPr>
      </w:pPr>
      <w:r w:rsidRPr="00EC1131">
        <w:rPr>
          <w:szCs w:val="22"/>
        </w:rPr>
        <w:t>Por otra parte, en el apartado de manifestaciones</w:t>
      </w:r>
      <w:r w:rsidR="005F7177" w:rsidRPr="00EC1131">
        <w:rPr>
          <w:szCs w:val="22"/>
        </w:rPr>
        <w:t xml:space="preserve"> </w:t>
      </w:r>
      <w:r w:rsidRPr="00EC1131">
        <w:rPr>
          <w:b/>
          <w:szCs w:val="22"/>
        </w:rPr>
        <w:t xml:space="preserve">EL SUJETO OBLIGADO </w:t>
      </w:r>
      <w:r w:rsidR="00F465D2" w:rsidRPr="00EC1131">
        <w:rPr>
          <w:szCs w:val="22"/>
        </w:rPr>
        <w:t xml:space="preserve">mediante su </w:t>
      </w:r>
      <w:r w:rsidR="00DC66A5" w:rsidRPr="00EC1131">
        <w:rPr>
          <w:szCs w:val="22"/>
        </w:rPr>
        <w:t xml:space="preserve">informe justificado </w:t>
      </w:r>
      <w:r w:rsidR="00F465D2" w:rsidRPr="00EC1131">
        <w:rPr>
          <w:szCs w:val="22"/>
        </w:rPr>
        <w:t>ratificó la respuesta primigenia</w:t>
      </w:r>
      <w:r w:rsidR="00D465AF" w:rsidRPr="00EC1131">
        <w:rPr>
          <w:szCs w:val="22"/>
        </w:rPr>
        <w:t xml:space="preserve"> refiriendo que</w:t>
      </w:r>
      <w:r w:rsidR="00D465AF" w:rsidRPr="00EC1131">
        <w:t xml:space="preserve"> </w:t>
      </w:r>
      <w:r w:rsidR="00D465AF" w:rsidRPr="00EC1131">
        <w:rPr>
          <w:szCs w:val="22"/>
        </w:rPr>
        <w:t>no se clasifica la información peticionada y solicitando se sobresea el presente asunto,</w:t>
      </w:r>
      <w:r w:rsidR="00DC66A5" w:rsidRPr="00EC1131">
        <w:rPr>
          <w:szCs w:val="22"/>
        </w:rPr>
        <w:t xml:space="preserve"> por su parte, el solicitante no proporcionó pruebas o alegatos.</w:t>
      </w:r>
    </w:p>
    <w:p w14:paraId="348631A2" w14:textId="77777777" w:rsidR="004A4AA5" w:rsidRPr="00EC1131" w:rsidRDefault="004A4AA5" w:rsidP="00EC1131">
      <w:pPr>
        <w:rPr>
          <w:b/>
          <w:szCs w:val="22"/>
        </w:rPr>
      </w:pPr>
    </w:p>
    <w:p w14:paraId="7D151D0D" w14:textId="72E4130C" w:rsidR="005F7177" w:rsidRPr="00EC1131" w:rsidRDefault="00D707EC" w:rsidP="00EC1131">
      <w:pPr>
        <w:tabs>
          <w:tab w:val="left" w:pos="4962"/>
        </w:tabs>
        <w:rPr>
          <w:bCs/>
          <w:szCs w:val="22"/>
        </w:rPr>
      </w:pPr>
      <w:r w:rsidRPr="00EC1131">
        <w:rPr>
          <w:szCs w:val="22"/>
        </w:rPr>
        <w:t xml:space="preserve">En razón de lo anterior, el estudio se centrará en determinar </w:t>
      </w:r>
      <w:r w:rsidR="00E54A54" w:rsidRPr="00EC1131">
        <w:rPr>
          <w:szCs w:val="22"/>
        </w:rPr>
        <w:t xml:space="preserve">si </w:t>
      </w:r>
      <w:r w:rsidR="00ED16CA" w:rsidRPr="00EC1131">
        <w:rPr>
          <w:szCs w:val="22"/>
        </w:rPr>
        <w:t xml:space="preserve">la información remitida por </w:t>
      </w:r>
      <w:r w:rsidR="005F7177" w:rsidRPr="00EC1131">
        <w:rPr>
          <w:b/>
          <w:szCs w:val="22"/>
        </w:rPr>
        <w:t xml:space="preserve">EL SUJETO OBLIGADO </w:t>
      </w:r>
      <w:r w:rsidR="00D465AF" w:rsidRPr="00EC1131">
        <w:rPr>
          <w:szCs w:val="22"/>
        </w:rPr>
        <w:t>fue clasificada como reservada o no</w:t>
      </w:r>
      <w:r w:rsidR="005F7177" w:rsidRPr="00EC1131">
        <w:rPr>
          <w:bCs/>
          <w:szCs w:val="22"/>
        </w:rPr>
        <w:t>.</w:t>
      </w:r>
    </w:p>
    <w:p w14:paraId="6371A379" w14:textId="77777777" w:rsidR="00193492" w:rsidRPr="00EC1131" w:rsidRDefault="00193492" w:rsidP="00EC1131">
      <w:pPr>
        <w:rPr>
          <w:szCs w:val="22"/>
        </w:rPr>
      </w:pPr>
    </w:p>
    <w:p w14:paraId="19995242" w14:textId="77777777" w:rsidR="002B11D9" w:rsidRPr="00EC1131" w:rsidRDefault="00E43858" w:rsidP="00EC1131">
      <w:pPr>
        <w:pStyle w:val="Ttulo3"/>
        <w:tabs>
          <w:tab w:val="left" w:pos="6015"/>
        </w:tabs>
        <w:rPr>
          <w:szCs w:val="22"/>
        </w:rPr>
      </w:pPr>
      <w:bookmarkStart w:id="31" w:name="_Toc198750481"/>
      <w:r w:rsidRPr="00EC1131">
        <w:rPr>
          <w:szCs w:val="22"/>
        </w:rPr>
        <w:t>c) Estudio de la controversia.</w:t>
      </w:r>
      <w:bookmarkEnd w:id="31"/>
    </w:p>
    <w:p w14:paraId="6ECFE4F0" w14:textId="77777777" w:rsidR="008755F9" w:rsidRPr="00EC1131" w:rsidRDefault="008755F9" w:rsidP="00EC1131">
      <w:pPr>
        <w:rPr>
          <w:rFonts w:eastAsia="Arial Unicode MS" w:cs="Arial"/>
        </w:rPr>
      </w:pPr>
      <w:r w:rsidRPr="00EC1131">
        <w:rPr>
          <w:rFonts w:eastAsia="Arial Unicode MS" w:cs="Arial"/>
        </w:rPr>
        <w:t xml:space="preserve">Es así que, del análisis realizado a las razones o motivos de inconformidad planteadas por </w:t>
      </w:r>
      <w:r w:rsidRPr="00EC1131">
        <w:rPr>
          <w:rFonts w:eastAsia="Arial Unicode MS" w:cs="Arial"/>
          <w:b/>
        </w:rPr>
        <w:t xml:space="preserve">LA PARTE RECURRENTE </w:t>
      </w:r>
      <w:r w:rsidRPr="00EC1131">
        <w:rPr>
          <w:rFonts w:eastAsia="Arial Unicode MS" w:cs="Arial"/>
        </w:rPr>
        <w:t>se determina que son improcedentes en atención a los siguientes argumentos:</w:t>
      </w:r>
    </w:p>
    <w:p w14:paraId="388EC59F" w14:textId="77777777" w:rsidR="008755F9" w:rsidRPr="00EC1131" w:rsidRDefault="008755F9" w:rsidP="00EC1131">
      <w:pPr>
        <w:rPr>
          <w:rFonts w:eastAsia="Arial Unicode MS" w:cs="Arial"/>
        </w:rPr>
      </w:pPr>
    </w:p>
    <w:p w14:paraId="5840371B" w14:textId="77777777" w:rsidR="008755F9" w:rsidRPr="00EC1131" w:rsidRDefault="008755F9" w:rsidP="00EC1131">
      <w:pPr>
        <w:rPr>
          <w:rFonts w:eastAsia="Arial Unicode MS" w:cs="Arial"/>
        </w:rPr>
      </w:pPr>
      <w:r w:rsidRPr="00EC1131">
        <w:rPr>
          <w:rFonts w:eastAsia="Arial Unicode MS" w:cs="Arial"/>
        </w:rPr>
        <w:t>En nuestra materia, los motivos de la inconformidad deben versar sobre la respuesta de información proporcionada por los Sujetos Obligados o la negativa de entrega de la misma, derivada de la solicitud de información pública. De este modo, en los motivos de inconformidad los recurrentes deben manifestar en forma general y llana la causa de pedir.</w:t>
      </w:r>
    </w:p>
    <w:p w14:paraId="31E208B9" w14:textId="77777777" w:rsidR="008755F9" w:rsidRPr="00EC1131" w:rsidRDefault="008755F9" w:rsidP="00EC1131">
      <w:pPr>
        <w:rPr>
          <w:rFonts w:eastAsia="Arial Unicode MS" w:cs="Arial"/>
        </w:rPr>
      </w:pPr>
      <w:r w:rsidRPr="00EC1131">
        <w:rPr>
          <w:rFonts w:eastAsia="Arial Unicode MS" w:cs="Arial"/>
        </w:rPr>
        <w:t xml:space="preserve">Es decir, para que este Órgano </w:t>
      </w:r>
      <w:proofErr w:type="spellStart"/>
      <w:r w:rsidRPr="00EC1131">
        <w:rPr>
          <w:rFonts w:eastAsia="Arial Unicode MS" w:cs="Arial"/>
        </w:rPr>
        <w:t>Resolutor</w:t>
      </w:r>
      <w:proofErr w:type="spellEnd"/>
      <w:r w:rsidRPr="00EC1131">
        <w:rPr>
          <w:rFonts w:eastAsia="Arial Unicode MS" w:cs="Arial"/>
        </w:rPr>
        <w:t xml:space="preserv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recurrente pueden constar en cualquier parte del formato diseñado para tal fin o en cualquier parte del escrito libre que se presente y no necesariamente en el apartado de “RAZONES O MOTIVOS DE LA INCONFORMIDAD”, con las únicas condiciones de que lo manifestado tengan relación con el acto de autoridad y que no se introduzcan planteamientos que rebasen lo solicitado.</w:t>
      </w:r>
    </w:p>
    <w:p w14:paraId="47757055" w14:textId="77777777" w:rsidR="008755F9" w:rsidRPr="00EC1131" w:rsidRDefault="008755F9" w:rsidP="00EC1131">
      <w:pPr>
        <w:rPr>
          <w:rFonts w:cs="Arial"/>
          <w:lang w:val="es-CO"/>
        </w:rPr>
      </w:pPr>
    </w:p>
    <w:p w14:paraId="7F633F85" w14:textId="6163C0FE" w:rsidR="008755F9" w:rsidRPr="00EC1131" w:rsidRDefault="008755F9" w:rsidP="00EC1131">
      <w:pPr>
        <w:rPr>
          <w:rFonts w:cs="Arial"/>
        </w:rPr>
      </w:pPr>
      <w:r w:rsidRPr="00EC1131">
        <w:rPr>
          <w:rFonts w:cs="Arial"/>
        </w:rPr>
        <w:t xml:space="preserve">Luego entonces, para que este Pleno pueda válidamente resolver sobre la modificación o revocación del acto impugnado se requiere que en el Recurso de Revisión el particular manifieste, así sea en forma mínima, general o sencilla, los argumentos de oposición a la respuesta otorgada por </w:t>
      </w:r>
      <w:r w:rsidR="00D465AF" w:rsidRPr="00EC1131">
        <w:rPr>
          <w:rFonts w:cs="Arial"/>
          <w:b/>
        </w:rPr>
        <w:t>EL SUJETO OBLIGADO</w:t>
      </w:r>
      <w:r w:rsidRPr="00EC1131">
        <w:rPr>
          <w:rFonts w:cs="Arial"/>
        </w:rPr>
        <w:t>.</w:t>
      </w:r>
    </w:p>
    <w:p w14:paraId="1D88DEEF" w14:textId="77777777" w:rsidR="008755F9" w:rsidRPr="00EC1131" w:rsidRDefault="008755F9" w:rsidP="00EC1131">
      <w:pPr>
        <w:rPr>
          <w:rFonts w:cs="Arial"/>
        </w:rPr>
      </w:pPr>
    </w:p>
    <w:p w14:paraId="26DD35FE" w14:textId="77777777" w:rsidR="008755F9" w:rsidRPr="00EC1131" w:rsidRDefault="008755F9" w:rsidP="00EC1131">
      <w:pPr>
        <w:rPr>
          <w:rFonts w:cs="Arial"/>
        </w:rPr>
      </w:pPr>
      <w:r w:rsidRPr="00EC1131">
        <w:rPr>
          <w:rFonts w:cs="Arial"/>
        </w:rPr>
        <w:t xml:space="preserve">Por todo lo anterior, la manifestación por parte de los particulares en los recursos de revisión interpuestos ante este Instituto del acto impugnado y los motivos de inconformidad son </w:t>
      </w:r>
      <w:r w:rsidRPr="00EC1131">
        <w:rPr>
          <w:rFonts w:cs="Arial"/>
        </w:rPr>
        <w:lastRenderedPageBreak/>
        <w:t>requisitos esenciales como presupuestos procesales para la procedencia del citado recurso; sin la existencia de estos presupuestos el recurso que al respecto se presentare deberá declararse improcedente y desecharse en consecuencia.</w:t>
      </w:r>
    </w:p>
    <w:p w14:paraId="0F6D0979" w14:textId="77777777" w:rsidR="008755F9" w:rsidRPr="00EC1131" w:rsidRDefault="008755F9" w:rsidP="00EC1131">
      <w:pPr>
        <w:rPr>
          <w:rFonts w:eastAsia="Arial Unicode MS" w:cs="Arial"/>
        </w:rPr>
      </w:pPr>
    </w:p>
    <w:p w14:paraId="65112346" w14:textId="77777777" w:rsidR="008755F9" w:rsidRPr="00EC1131" w:rsidRDefault="008755F9" w:rsidP="00EC1131">
      <w:pPr>
        <w:rPr>
          <w:rFonts w:eastAsia="Arial Unicode MS" w:cs="Arial"/>
        </w:rPr>
      </w:pPr>
      <w:r w:rsidRPr="00EC1131">
        <w:rPr>
          <w:rFonts w:eastAsia="Arial Unicode MS" w:cs="Arial"/>
        </w:rPr>
        <w:t>Así pues, 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14:paraId="5D8316BC" w14:textId="77777777" w:rsidR="008755F9" w:rsidRPr="00EC1131" w:rsidRDefault="008755F9" w:rsidP="00EC1131">
      <w:pPr>
        <w:rPr>
          <w:rFonts w:eastAsia="Arial Unicode MS" w:cs="Arial"/>
        </w:rPr>
      </w:pPr>
    </w:p>
    <w:p w14:paraId="090C1021" w14:textId="77777777" w:rsidR="008755F9" w:rsidRPr="00EC1131" w:rsidRDefault="008755F9" w:rsidP="00EC1131">
      <w:pPr>
        <w:autoSpaceDE w:val="0"/>
        <w:autoSpaceDN w:val="0"/>
        <w:adjustRightInd w:val="0"/>
        <w:ind w:right="49"/>
        <w:rPr>
          <w:rFonts w:eastAsia="Arial Unicode MS" w:cs="Arial"/>
        </w:rPr>
      </w:pPr>
      <w:r w:rsidRPr="00EC1131">
        <w:rPr>
          <w:rFonts w:eastAsia="Arial Unicode MS" w:cs="Arial"/>
        </w:rPr>
        <w:t>También es necesario precisar que los medios de impugnación constituyen recursos legales a través de los cuales se corrigen los errores cometidos tanto en el curso del procedimiento, como en el dictado de la resolución.</w:t>
      </w:r>
    </w:p>
    <w:p w14:paraId="2ED36FB2" w14:textId="77777777" w:rsidR="008755F9" w:rsidRPr="00EC1131" w:rsidRDefault="008755F9" w:rsidP="00EC1131">
      <w:pPr>
        <w:autoSpaceDE w:val="0"/>
        <w:autoSpaceDN w:val="0"/>
        <w:adjustRightInd w:val="0"/>
        <w:ind w:right="49" w:firstLine="567"/>
        <w:rPr>
          <w:rFonts w:eastAsia="Arial Unicode MS" w:cs="Arial"/>
        </w:rPr>
      </w:pPr>
    </w:p>
    <w:p w14:paraId="0070D1DD" w14:textId="77777777" w:rsidR="008755F9" w:rsidRPr="00EC1131" w:rsidRDefault="008755F9" w:rsidP="00EC1131">
      <w:pPr>
        <w:autoSpaceDE w:val="0"/>
        <w:autoSpaceDN w:val="0"/>
        <w:adjustRightInd w:val="0"/>
        <w:ind w:right="49"/>
        <w:rPr>
          <w:rFonts w:eastAsia="Arial Unicode MS" w:cs="Arial"/>
        </w:rPr>
      </w:pPr>
      <w:r w:rsidRPr="00EC1131">
        <w:rPr>
          <w:rFonts w:eastAsia="Arial Unicode MS" w:cs="Arial"/>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EC1131">
        <w:rPr>
          <w:rFonts w:eastAsia="Arial Unicode MS" w:cs="Arial"/>
          <w:b/>
        </w:rPr>
        <w:t>LA PARTE RECURRENTE</w:t>
      </w:r>
      <w:r w:rsidRPr="00EC1131">
        <w:rPr>
          <w:rFonts w:eastAsia="Arial Unicode MS" w:cs="Arial"/>
        </w:rPr>
        <w:t>, señale la causa, motivo o circunstancia por la que considera que el acto que impugna le causa perjuicio o lesión a sus intereses.</w:t>
      </w:r>
    </w:p>
    <w:p w14:paraId="032FC8BB" w14:textId="6F781CB2" w:rsidR="008755F9" w:rsidRPr="00EC1131" w:rsidRDefault="008755F9" w:rsidP="00EC1131">
      <w:pPr>
        <w:autoSpaceDE w:val="0"/>
        <w:autoSpaceDN w:val="0"/>
        <w:adjustRightInd w:val="0"/>
        <w:ind w:right="49"/>
        <w:rPr>
          <w:rFonts w:eastAsia="Arial Unicode MS" w:cs="Arial"/>
        </w:rPr>
      </w:pPr>
    </w:p>
    <w:p w14:paraId="5B345F50" w14:textId="77777777" w:rsidR="008755F9" w:rsidRPr="00EC1131" w:rsidRDefault="008755F9" w:rsidP="00EC1131">
      <w:pPr>
        <w:autoSpaceDE w:val="0"/>
        <w:autoSpaceDN w:val="0"/>
        <w:adjustRightInd w:val="0"/>
        <w:ind w:right="49"/>
        <w:rPr>
          <w:rFonts w:eastAsia="Arial Unicode MS" w:cs="Arial"/>
        </w:rPr>
      </w:pPr>
      <w:r w:rsidRPr="00EC1131">
        <w:rPr>
          <w:rFonts w:eastAsia="Arial Unicode MS" w:cs="Arial"/>
        </w:rPr>
        <w:t xml:space="preserve">En este contexto, se concluye que la materia de los conceptos de inconformidad de un recurso, es precisamente la lesión o afectación que afirma </w:t>
      </w:r>
      <w:r w:rsidRPr="00EC1131">
        <w:rPr>
          <w:rFonts w:eastAsia="Arial Unicode MS" w:cs="Arial"/>
          <w:b/>
        </w:rPr>
        <w:t>LA PARTE RECURRENTE</w:t>
      </w:r>
      <w:r w:rsidRPr="00EC1131">
        <w:rPr>
          <w:rFonts w:eastAsia="Arial Unicode MS" w:cs="Arial"/>
        </w:rPr>
        <w:t xml:space="preserve"> le causa el acto que impugna; pero, esa lesión o perjuicio se ha de relacionar y derivar necesariamente del acto de donde deriva la resolución combatida.</w:t>
      </w:r>
    </w:p>
    <w:p w14:paraId="033959F1" w14:textId="77777777" w:rsidR="008755F9" w:rsidRPr="00EC1131" w:rsidRDefault="008755F9" w:rsidP="00EC1131">
      <w:pPr>
        <w:autoSpaceDE w:val="0"/>
        <w:autoSpaceDN w:val="0"/>
        <w:adjustRightInd w:val="0"/>
        <w:ind w:right="49" w:firstLine="567"/>
        <w:rPr>
          <w:rFonts w:eastAsia="Arial Unicode MS" w:cs="Arial"/>
        </w:rPr>
      </w:pPr>
    </w:p>
    <w:p w14:paraId="4A3C1D8F" w14:textId="77777777" w:rsidR="008755F9" w:rsidRPr="00EC1131" w:rsidRDefault="008755F9" w:rsidP="00EC1131">
      <w:pPr>
        <w:autoSpaceDE w:val="0"/>
        <w:autoSpaceDN w:val="0"/>
        <w:adjustRightInd w:val="0"/>
        <w:ind w:right="49"/>
        <w:rPr>
          <w:rFonts w:eastAsia="Arial Unicode MS" w:cs="Arial"/>
        </w:rPr>
      </w:pPr>
      <w:r w:rsidRPr="00EC1131">
        <w:rPr>
          <w:rFonts w:eastAsia="Arial Unicode MS" w:cs="Arial"/>
        </w:rPr>
        <w:lastRenderedPageBreak/>
        <w:t xml:space="preserve">En otras palabras, al presentar un Recurso de Revisión </w:t>
      </w:r>
      <w:r w:rsidRPr="00EC1131">
        <w:rPr>
          <w:rFonts w:eastAsia="Arial Unicode MS" w:cs="Arial"/>
          <w:b/>
        </w:rPr>
        <w:t>LA PARTE RECURRENTE</w:t>
      </w:r>
      <w:r w:rsidRPr="00EC1131">
        <w:rPr>
          <w:rFonts w:eastAsia="Arial Unicode MS" w:cs="Arial"/>
        </w:rPr>
        <w:t xml:space="preserve"> tiene la obligación de señalar además del acto impugnado, el concepto de inconformidad; sin embargo, se insiste, éste tiene que estar relacionado o bien derivar de manera directa y mediata de la solicitud de información; por lo tanto, el motivo de inconformidad sólo se debe ceñir a la solicitud inicial y a la respuesta entregada. </w:t>
      </w:r>
    </w:p>
    <w:p w14:paraId="7F46DAD4" w14:textId="77777777" w:rsidR="008755F9" w:rsidRPr="00EC1131" w:rsidRDefault="008755F9" w:rsidP="00EC1131">
      <w:pPr>
        <w:autoSpaceDE w:val="0"/>
        <w:autoSpaceDN w:val="0"/>
        <w:adjustRightInd w:val="0"/>
        <w:ind w:right="49" w:firstLine="567"/>
        <w:rPr>
          <w:rFonts w:eastAsia="Arial Unicode MS" w:cs="Arial"/>
        </w:rPr>
      </w:pPr>
    </w:p>
    <w:p w14:paraId="5C45ECBA" w14:textId="77777777" w:rsidR="008755F9" w:rsidRPr="00EC1131" w:rsidRDefault="008755F9" w:rsidP="00EC1131">
      <w:pPr>
        <w:autoSpaceDE w:val="0"/>
        <w:autoSpaceDN w:val="0"/>
        <w:adjustRightInd w:val="0"/>
        <w:ind w:right="49"/>
        <w:rPr>
          <w:rFonts w:eastAsia="Arial Unicode MS" w:cs="Arial"/>
        </w:rPr>
      </w:pPr>
      <w:r w:rsidRPr="00EC1131">
        <w:rPr>
          <w:rFonts w:eastAsia="Arial Unicode MS" w:cs="Arial"/>
        </w:rPr>
        <w:t>También es conveniente destacar que los motivos de inconformidad o agravios expresados en un Recurso de Revisión deben tener por objeto combatir los argumentos sustentados en el acto impugnado, lo que implica que el límite de un recurso es el estudio efectuado, los motivos de inconformidad que deben necesariamente tener relación directa y mediante con la materia del acto combatido.</w:t>
      </w:r>
    </w:p>
    <w:p w14:paraId="01978333" w14:textId="77777777" w:rsidR="008755F9" w:rsidRPr="00EC1131" w:rsidRDefault="008755F9" w:rsidP="00EC1131">
      <w:pPr>
        <w:autoSpaceDE w:val="0"/>
        <w:autoSpaceDN w:val="0"/>
        <w:adjustRightInd w:val="0"/>
        <w:ind w:right="49" w:firstLine="567"/>
        <w:rPr>
          <w:rFonts w:eastAsia="Arial Unicode MS" w:cs="Arial"/>
        </w:rPr>
      </w:pPr>
    </w:p>
    <w:p w14:paraId="2C90F706" w14:textId="77777777" w:rsidR="008755F9" w:rsidRPr="00EC1131" w:rsidRDefault="008755F9" w:rsidP="00EC1131">
      <w:pPr>
        <w:autoSpaceDE w:val="0"/>
        <w:autoSpaceDN w:val="0"/>
        <w:adjustRightInd w:val="0"/>
        <w:ind w:right="49"/>
        <w:rPr>
          <w:rFonts w:eastAsia="Arial Unicode MS" w:cs="Arial"/>
        </w:rPr>
      </w:pPr>
      <w:r w:rsidRPr="00EC1131">
        <w:rPr>
          <w:rFonts w:eastAsia="Arial Unicode MS" w:cs="Arial"/>
        </w:rPr>
        <w:t xml:space="preserve">Lo anterior es así, en atención a que como se ha expuesto un perjuicio o motivo de inconformidad constituye la lesión, menoscabo o afectación que una persona sufre en sus derechos en virtud de la emisión de un acto de autoridad. </w:t>
      </w:r>
    </w:p>
    <w:p w14:paraId="50615D33" w14:textId="77777777" w:rsidR="008755F9" w:rsidRPr="00EC1131" w:rsidRDefault="008755F9" w:rsidP="00EC1131">
      <w:pPr>
        <w:autoSpaceDE w:val="0"/>
        <w:autoSpaceDN w:val="0"/>
        <w:adjustRightInd w:val="0"/>
        <w:ind w:right="49" w:firstLine="567"/>
        <w:rPr>
          <w:rFonts w:eastAsia="Arial Unicode MS" w:cs="Arial"/>
        </w:rPr>
      </w:pPr>
    </w:p>
    <w:p w14:paraId="42413F76" w14:textId="77777777" w:rsidR="008755F9" w:rsidRPr="00EC1131" w:rsidRDefault="008755F9" w:rsidP="00EC1131">
      <w:pPr>
        <w:autoSpaceDE w:val="0"/>
        <w:autoSpaceDN w:val="0"/>
        <w:adjustRightInd w:val="0"/>
        <w:ind w:right="49"/>
        <w:rPr>
          <w:rFonts w:eastAsia="Arial Unicode MS" w:cs="Arial"/>
        </w:rPr>
      </w:pPr>
      <w:r w:rsidRPr="00EC1131">
        <w:rPr>
          <w:rFonts w:eastAsia="Arial Unicode MS" w:cs="Arial"/>
        </w:rPr>
        <w:t xml:space="preserve">En consecuencia, en el caso se concluye que los motivos de inconformidad o lesión que considera </w:t>
      </w:r>
      <w:r w:rsidRPr="00EC1131">
        <w:rPr>
          <w:rFonts w:eastAsia="Arial Unicode MS" w:cs="Arial"/>
          <w:b/>
        </w:rPr>
        <w:t>LA PARTE RECURRENTE</w:t>
      </w:r>
      <w:r w:rsidRPr="00EC1131">
        <w:rPr>
          <w:rFonts w:eastAsia="Arial Unicode MS" w:cs="Arial"/>
        </w:rPr>
        <w:t xml:space="preserve"> le causa el acto que se impugna obligatoriamente deben derivar de la solicitud de información pública, en relación con la respuesta entregada por </w:t>
      </w:r>
      <w:r w:rsidRPr="00EC1131">
        <w:rPr>
          <w:rFonts w:eastAsia="Arial Unicode MS" w:cs="Arial"/>
          <w:b/>
        </w:rPr>
        <w:t>EL SUJETO OBLIGADO</w:t>
      </w:r>
      <w:r w:rsidRPr="00EC1131">
        <w:rPr>
          <w:rFonts w:eastAsia="Arial Unicode MS" w:cs="Arial"/>
        </w:rPr>
        <w:t>, toda vez que el Órgano Revisor carece de facultades para analizar de oficio el acto impugnado, sino que se insiste necesariamente el estudio se limita a los motivos de inconformidad.</w:t>
      </w:r>
    </w:p>
    <w:p w14:paraId="5C2C706D" w14:textId="77777777" w:rsidR="008755F9" w:rsidRPr="00EC1131" w:rsidRDefault="008755F9" w:rsidP="00EC1131">
      <w:pPr>
        <w:autoSpaceDE w:val="0"/>
        <w:autoSpaceDN w:val="0"/>
        <w:adjustRightInd w:val="0"/>
        <w:ind w:right="49" w:firstLine="567"/>
        <w:rPr>
          <w:rFonts w:eastAsia="Arial Unicode MS" w:cs="Arial"/>
        </w:rPr>
      </w:pPr>
    </w:p>
    <w:p w14:paraId="2FE1E848" w14:textId="3D8CD837" w:rsidR="008755F9" w:rsidRPr="00EC1131" w:rsidRDefault="008755F9" w:rsidP="00EC1131">
      <w:pPr>
        <w:rPr>
          <w:rFonts w:eastAsia="Arial Unicode MS" w:cs="Arial"/>
        </w:rPr>
      </w:pPr>
      <w:r w:rsidRPr="00EC1131">
        <w:rPr>
          <w:rFonts w:eastAsia="Arial Unicode MS" w:cs="Arial"/>
        </w:rPr>
        <w:t xml:space="preserve">Ahora bien, en el caso concreto y como se ha expresado el motivo de inconformidad vertido por </w:t>
      </w:r>
      <w:r w:rsidRPr="00EC1131">
        <w:rPr>
          <w:rFonts w:eastAsia="Arial Unicode MS" w:cs="Arial"/>
          <w:b/>
        </w:rPr>
        <w:t>LA PARTE RECURRENTE</w:t>
      </w:r>
      <w:r w:rsidRPr="00EC1131">
        <w:rPr>
          <w:rFonts w:eastAsia="Arial Unicode MS" w:cs="Arial"/>
        </w:rPr>
        <w:t xml:space="preserve"> es improcedente, en atención a que lo manifestado en el Recurso de Revisión que nos ocupa, las razones o motivos de inconformidad, no se encuentran </w:t>
      </w:r>
      <w:r w:rsidRPr="00EC1131">
        <w:rPr>
          <w:rFonts w:eastAsia="Arial Unicode MS" w:cs="Arial"/>
        </w:rPr>
        <w:lastRenderedPageBreak/>
        <w:t xml:space="preserve">relacionados con la solicitud realizada por </w:t>
      </w:r>
      <w:r w:rsidRPr="00EC1131">
        <w:rPr>
          <w:rFonts w:eastAsia="Arial Unicode MS" w:cs="Arial"/>
          <w:b/>
        </w:rPr>
        <w:t xml:space="preserve">LA PARTE RECURRENTE </w:t>
      </w:r>
      <w:r w:rsidRPr="00EC1131">
        <w:rPr>
          <w:rFonts w:eastAsia="Arial Unicode MS" w:cs="Arial"/>
        </w:rPr>
        <w:t xml:space="preserve">y respuesta otorgada por </w:t>
      </w:r>
      <w:r w:rsidRPr="00EC1131">
        <w:rPr>
          <w:rFonts w:eastAsia="Arial Unicode MS" w:cs="Arial"/>
          <w:b/>
        </w:rPr>
        <w:t xml:space="preserve">EL SUJETO OBLIGADO; </w:t>
      </w:r>
      <w:r w:rsidRPr="00EC1131">
        <w:rPr>
          <w:rFonts w:eastAsia="Arial Unicode MS" w:cs="Arial"/>
        </w:rPr>
        <w:t xml:space="preserve">esto es así, toda vez que </w:t>
      </w:r>
      <w:r w:rsidRPr="00EC1131">
        <w:rPr>
          <w:rFonts w:eastAsia="Arial Unicode MS" w:cs="Arial"/>
          <w:b/>
        </w:rPr>
        <w:t xml:space="preserve">LA PARTE  RECURRENTE </w:t>
      </w:r>
      <w:r w:rsidRPr="00EC1131">
        <w:rPr>
          <w:rFonts w:eastAsia="Arial Unicode MS" w:cs="Arial"/>
        </w:rPr>
        <w:t>se inconforma por</w:t>
      </w:r>
      <w:r w:rsidR="009E0C99" w:rsidRPr="00EC1131">
        <w:rPr>
          <w:rFonts w:eastAsia="Arial Unicode MS" w:cs="Arial"/>
        </w:rPr>
        <w:t xml:space="preserve">que se </w:t>
      </w:r>
      <w:r w:rsidR="00D465AF" w:rsidRPr="00EC1131">
        <w:rPr>
          <w:rFonts w:eastAsia="Arial Unicode MS" w:cs="Arial"/>
        </w:rPr>
        <w:t>clasifican la información como reservada la misma debe entregarse en versión pública</w:t>
      </w:r>
      <w:r w:rsidRPr="00EC1131">
        <w:rPr>
          <w:rFonts w:eastAsiaTheme="minorHAnsi" w:cs="Tahoma"/>
          <w:bCs/>
          <w:iCs/>
          <w:szCs w:val="22"/>
          <w:lang w:eastAsia="en-US"/>
        </w:rPr>
        <w:t xml:space="preserve">; sin embargo, debemos recordar que el particular solicitó </w:t>
      </w:r>
      <w:r w:rsidR="00D465AF" w:rsidRPr="00EC1131">
        <w:rPr>
          <w:rFonts w:eastAsiaTheme="minorHAnsi" w:cs="Tahoma"/>
          <w:bCs/>
          <w:iCs/>
          <w:szCs w:val="22"/>
          <w:lang w:eastAsia="en-US"/>
        </w:rPr>
        <w:t>el horario laboral de los servidores públicos adscritos a los Juzgados de Control Especializado en Cateos, Órdenes de Aprehensión y Medidas de Protección en Línea del Estado de México</w:t>
      </w:r>
      <w:r w:rsidRPr="00EC1131">
        <w:rPr>
          <w:rFonts w:eastAsia="Arial Unicode MS" w:cs="Arial"/>
        </w:rPr>
        <w:t xml:space="preserve">, a lo que </w:t>
      </w:r>
      <w:r w:rsidRPr="00EC1131">
        <w:rPr>
          <w:rFonts w:eastAsia="Arial Unicode MS" w:cs="Arial"/>
          <w:b/>
        </w:rPr>
        <w:t xml:space="preserve">EL SUJETO OBLIGADO </w:t>
      </w:r>
      <w:r w:rsidRPr="00EC1131">
        <w:rPr>
          <w:rFonts w:eastAsia="Arial Unicode MS" w:cs="Arial"/>
        </w:rPr>
        <w:t xml:space="preserve">adjuntó </w:t>
      </w:r>
      <w:r w:rsidR="00D465AF" w:rsidRPr="00EC1131">
        <w:rPr>
          <w:rFonts w:eastAsia="Arial Unicode MS" w:cs="Arial"/>
        </w:rPr>
        <w:t>la Circular No. 115/2024 por la que se autoriza el horario oficial de labores del Poder Judicial del Estado de México, para el año 2025</w:t>
      </w:r>
      <w:r w:rsidR="009E0C99" w:rsidRPr="00EC1131">
        <w:rPr>
          <w:rFonts w:eastAsia="Arial Unicode MS" w:cs="Arial"/>
        </w:rPr>
        <w:t xml:space="preserve">. </w:t>
      </w:r>
    </w:p>
    <w:p w14:paraId="0898CE1A" w14:textId="77777777" w:rsidR="008755F9" w:rsidRPr="00EC1131" w:rsidRDefault="008755F9" w:rsidP="00EC1131">
      <w:pPr>
        <w:rPr>
          <w:rFonts w:eastAsia="Arial Unicode MS" w:cs="Arial"/>
        </w:rPr>
      </w:pPr>
    </w:p>
    <w:p w14:paraId="136158E2" w14:textId="21FCDC61" w:rsidR="009E0C99" w:rsidRPr="00EC1131" w:rsidRDefault="009E0C99" w:rsidP="00EC1131">
      <w:r w:rsidRPr="00EC1131">
        <w:t xml:space="preserve">En ese orden de ideas y de las constancias que obran en el expediente, se colige que, </w:t>
      </w:r>
      <w:r w:rsidR="008C7CD0" w:rsidRPr="00EC1131">
        <w:rPr>
          <w:rFonts w:eastAsia="Arial Unicode MS" w:cs="Arial"/>
          <w:b/>
        </w:rPr>
        <w:t>EL SUJETO OBLIGADO</w:t>
      </w:r>
      <w:r w:rsidR="008C7CD0" w:rsidRPr="00EC1131">
        <w:t xml:space="preserve"> en ningún momento emitió un pronunciamiento respecto a que se </w:t>
      </w:r>
      <w:r w:rsidR="008C7CD0" w:rsidRPr="00EC1131">
        <w:rPr>
          <w:rFonts w:eastAsia="Arial Unicode MS" w:cs="Arial"/>
        </w:rPr>
        <w:t>reservaba la información peticionada</w:t>
      </w:r>
      <w:r w:rsidRPr="00EC1131">
        <w:t xml:space="preserve">. </w:t>
      </w:r>
    </w:p>
    <w:p w14:paraId="221C42E3" w14:textId="77777777" w:rsidR="009E0C99" w:rsidRPr="00EC1131" w:rsidRDefault="009E0C99" w:rsidP="00EC1131"/>
    <w:p w14:paraId="5760DC51" w14:textId="77777777" w:rsidR="00460C45" w:rsidRPr="00EC1131" w:rsidRDefault="00460C45" w:rsidP="00EC1131">
      <w:pPr>
        <w:rPr>
          <w:szCs w:val="24"/>
          <w:lang w:val="es-ES"/>
        </w:rPr>
      </w:pPr>
      <w:r w:rsidRPr="00EC1131">
        <w:rPr>
          <w:rFonts w:eastAsia="Calibri"/>
          <w:bCs/>
          <w:iCs/>
          <w:lang w:val="es-ES"/>
        </w:rPr>
        <w:t xml:space="preserve">En consecuencia, </w:t>
      </w:r>
      <w:r w:rsidRPr="00EC1131">
        <w:rPr>
          <w:szCs w:val="24"/>
          <w:lang w:val="es-ES"/>
        </w:rPr>
        <w:t xml:space="preserve">el Pleno de este Instituto considera que </w:t>
      </w:r>
      <w:r w:rsidRPr="00EC1131">
        <w:t xml:space="preserve">atentos a la inconformidad planteada en </w:t>
      </w:r>
      <w:r w:rsidRPr="00EC1131">
        <w:rPr>
          <w:szCs w:val="24"/>
          <w:lang w:val="es-ES"/>
        </w:rPr>
        <w:t>el presente recurso de revisión no se actualiza ninguna causal de procedencia, al acreditarse con las constancias que integran el expediente, que las razones o motivos de inconformidad no guardan relación con la solicitud inicial, es por ello que se actualiza la causal de improcedencia prevista en la fracción IV del artículo 192 de la Ley en la materia, en relación con la fracción III del artículo 191 del mismo ordenamiento, disposiciones normativas que señalan:</w:t>
      </w:r>
    </w:p>
    <w:p w14:paraId="39F0E478" w14:textId="77777777" w:rsidR="00460C45" w:rsidRPr="00EC1131" w:rsidRDefault="00460C45" w:rsidP="00EC1131">
      <w:pPr>
        <w:rPr>
          <w:szCs w:val="24"/>
          <w:lang w:val="es-ES"/>
        </w:rPr>
      </w:pPr>
    </w:p>
    <w:p w14:paraId="6979AFA6" w14:textId="77777777" w:rsidR="00460C45" w:rsidRPr="00EC1131" w:rsidRDefault="00460C45" w:rsidP="00EC1131">
      <w:pPr>
        <w:tabs>
          <w:tab w:val="left" w:pos="7938"/>
        </w:tabs>
        <w:spacing w:line="240" w:lineRule="auto"/>
        <w:ind w:left="851" w:right="620"/>
        <w:rPr>
          <w:i/>
        </w:rPr>
      </w:pPr>
      <w:r w:rsidRPr="00EC1131">
        <w:rPr>
          <w:b/>
          <w:i/>
        </w:rPr>
        <w:t xml:space="preserve">“Artículo 191. </w:t>
      </w:r>
      <w:r w:rsidRPr="00EC1131">
        <w:rPr>
          <w:i/>
        </w:rPr>
        <w:t xml:space="preserve">El recurso será desechado por improcedente cuando: </w:t>
      </w:r>
    </w:p>
    <w:p w14:paraId="7C546E42" w14:textId="77777777" w:rsidR="00460C45" w:rsidRPr="00EC1131" w:rsidRDefault="00460C45" w:rsidP="00EC1131">
      <w:pPr>
        <w:tabs>
          <w:tab w:val="left" w:pos="7938"/>
        </w:tabs>
        <w:spacing w:line="240" w:lineRule="auto"/>
        <w:ind w:left="851" w:right="620"/>
        <w:rPr>
          <w:b/>
          <w:i/>
        </w:rPr>
      </w:pPr>
      <w:r w:rsidRPr="00EC1131">
        <w:rPr>
          <w:b/>
          <w:i/>
        </w:rPr>
        <w:t>III. No se actualice alguno de los supuestos previstos en la Ley.</w:t>
      </w:r>
    </w:p>
    <w:p w14:paraId="4E16DCF3" w14:textId="77777777" w:rsidR="00460C45" w:rsidRPr="00EC1131" w:rsidRDefault="00460C45" w:rsidP="00EC1131">
      <w:pPr>
        <w:tabs>
          <w:tab w:val="left" w:pos="7938"/>
        </w:tabs>
        <w:spacing w:line="240" w:lineRule="auto"/>
        <w:ind w:left="851" w:right="620"/>
        <w:rPr>
          <w:b/>
          <w:i/>
        </w:rPr>
      </w:pPr>
      <w:r w:rsidRPr="00EC1131">
        <w:rPr>
          <w:b/>
          <w:i/>
        </w:rPr>
        <w:t>…</w:t>
      </w:r>
    </w:p>
    <w:p w14:paraId="5E274399" w14:textId="77777777" w:rsidR="00460C45" w:rsidRPr="00EC1131" w:rsidRDefault="00460C45" w:rsidP="00EC1131">
      <w:pPr>
        <w:tabs>
          <w:tab w:val="left" w:pos="7938"/>
        </w:tabs>
        <w:spacing w:line="240" w:lineRule="auto"/>
        <w:ind w:left="851" w:right="620"/>
        <w:rPr>
          <w:i/>
        </w:rPr>
      </w:pPr>
      <w:r w:rsidRPr="00EC1131">
        <w:rPr>
          <w:b/>
          <w:i/>
        </w:rPr>
        <w:t xml:space="preserve">Artículo 192. </w:t>
      </w:r>
      <w:r w:rsidRPr="00EC1131">
        <w:rPr>
          <w:i/>
        </w:rPr>
        <w:t xml:space="preserve">El recurso será </w:t>
      </w:r>
      <w:r w:rsidRPr="00EC1131">
        <w:rPr>
          <w:i/>
          <w:u w:val="single"/>
        </w:rPr>
        <w:t>sobreseído</w:t>
      </w:r>
      <w:r w:rsidRPr="00EC1131">
        <w:rPr>
          <w:i/>
        </w:rPr>
        <w:t>, en todo o en parte, cuando una vez admitido, se actualicen alguno de los siguientes supuestos:</w:t>
      </w:r>
    </w:p>
    <w:p w14:paraId="23591EF3" w14:textId="77777777" w:rsidR="00460C45" w:rsidRPr="00EC1131" w:rsidRDefault="00460C45" w:rsidP="00EC1131">
      <w:pPr>
        <w:tabs>
          <w:tab w:val="left" w:pos="7938"/>
        </w:tabs>
        <w:spacing w:line="240" w:lineRule="auto"/>
        <w:ind w:left="851" w:right="620"/>
        <w:rPr>
          <w:b/>
          <w:i/>
        </w:rPr>
      </w:pPr>
      <w:r w:rsidRPr="00EC1131">
        <w:rPr>
          <w:b/>
          <w:i/>
        </w:rPr>
        <w:t>(…)</w:t>
      </w:r>
    </w:p>
    <w:p w14:paraId="2D050601" w14:textId="77777777" w:rsidR="00460C45" w:rsidRPr="00EC1131" w:rsidRDefault="00460C45" w:rsidP="00EC1131">
      <w:pPr>
        <w:tabs>
          <w:tab w:val="left" w:pos="7938"/>
        </w:tabs>
        <w:spacing w:line="240" w:lineRule="auto"/>
        <w:ind w:left="851" w:right="620"/>
        <w:rPr>
          <w:b/>
          <w:i/>
        </w:rPr>
      </w:pPr>
      <w:r w:rsidRPr="00EC1131">
        <w:rPr>
          <w:b/>
          <w:i/>
        </w:rPr>
        <w:lastRenderedPageBreak/>
        <w:t>IV. Admitido el recurso de revisión aparezca alguna causal de improcedencia en términos de la presente Ley… (Sic)”</w:t>
      </w:r>
    </w:p>
    <w:p w14:paraId="59D968FD" w14:textId="77777777" w:rsidR="00E374BA" w:rsidRPr="00EC1131" w:rsidRDefault="00E374BA" w:rsidP="00EC1131">
      <w:pPr>
        <w:pStyle w:val="NormalWeb"/>
        <w:spacing w:before="240" w:beforeAutospacing="0" w:after="240" w:afterAutospacing="0" w:line="360" w:lineRule="auto"/>
        <w:jc w:val="both"/>
        <w:rPr>
          <w:rFonts w:ascii="Palatino Linotype" w:hAnsi="Palatino Linotype"/>
          <w:sz w:val="22"/>
          <w:szCs w:val="22"/>
        </w:rPr>
      </w:pPr>
      <w:r w:rsidRPr="00EC1131">
        <w:rPr>
          <w:rFonts w:ascii="Palatino Linotype" w:hAnsi="Palatino Linotype"/>
          <w:sz w:val="22"/>
          <w:szCs w:val="22"/>
        </w:rPr>
        <w:t xml:space="preserve">Siendo el </w:t>
      </w:r>
      <w:r w:rsidRPr="00EC1131">
        <w:rPr>
          <w:rFonts w:ascii="Palatino Linotype" w:hAnsi="Palatino Linotype"/>
          <w:iCs/>
          <w:sz w:val="22"/>
          <w:szCs w:val="22"/>
        </w:rPr>
        <w:t>sobreseimiento</w:t>
      </w:r>
      <w:r w:rsidRPr="00EC1131">
        <w:rPr>
          <w:rFonts w:ascii="Palatino Linotype" w:hAnsi="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2D8259D8" w14:textId="77777777" w:rsidR="00E374BA" w:rsidRPr="00EC1131" w:rsidRDefault="00E374BA" w:rsidP="00EC1131">
      <w:pPr>
        <w:pStyle w:val="NormalWeb"/>
        <w:spacing w:before="0" w:beforeAutospacing="0" w:after="120" w:afterAutospacing="0"/>
        <w:ind w:left="851" w:right="822"/>
        <w:jc w:val="both"/>
        <w:rPr>
          <w:rFonts w:ascii="Palatino Linotype" w:hAnsi="Palatino Linotype"/>
          <w:sz w:val="22"/>
          <w:szCs w:val="22"/>
        </w:rPr>
      </w:pPr>
      <w:r w:rsidRPr="00EC1131">
        <w:rPr>
          <w:rFonts w:ascii="Palatino Linotype" w:hAnsi="Palatino Linotype"/>
          <w:i/>
          <w:iCs/>
          <w:sz w:val="22"/>
          <w:szCs w:val="22"/>
        </w:rPr>
        <w:t>“</w:t>
      </w:r>
      <w:r w:rsidRPr="00EC1131">
        <w:rPr>
          <w:rFonts w:ascii="Palatino Linotype" w:hAnsi="Palatino Linotype"/>
          <w:b/>
          <w:bCs/>
          <w:i/>
          <w:iCs/>
          <w:sz w:val="22"/>
          <w:szCs w:val="22"/>
        </w:rPr>
        <w:t>SOBRESEIMIENTO, NO PERMITE ENTRAR AL ESTUDIO DE LAS CUESTIONES DE FONDO</w:t>
      </w:r>
    </w:p>
    <w:p w14:paraId="7CBD7075" w14:textId="77777777" w:rsidR="00E374BA" w:rsidRPr="00EC1131" w:rsidRDefault="00E374BA" w:rsidP="00EC1131">
      <w:pPr>
        <w:pStyle w:val="NormalWeb"/>
        <w:spacing w:before="120" w:beforeAutospacing="0" w:after="120" w:afterAutospacing="0"/>
        <w:ind w:left="851" w:right="822"/>
        <w:jc w:val="both"/>
        <w:rPr>
          <w:rFonts w:ascii="Palatino Linotype" w:hAnsi="Palatino Linotype"/>
          <w:sz w:val="22"/>
          <w:szCs w:val="22"/>
        </w:rPr>
      </w:pPr>
      <w:r w:rsidRPr="00EC1131">
        <w:rPr>
          <w:rFonts w:ascii="Palatino Linotype" w:hAnsi="Palatino Linotype"/>
          <w:i/>
          <w:iCs/>
          <w:sz w:val="22"/>
          <w:szCs w:val="22"/>
        </w:rPr>
        <w:t>Localización: 213609. II.2o.183 K. Tribunales Colegiados de Circuito. Octava Época. Semanario Judicial de la Federación. Tomo XIII, Febrero de 1994, Pág. 420</w:t>
      </w:r>
    </w:p>
    <w:p w14:paraId="0A90332A" w14:textId="77777777" w:rsidR="00E374BA" w:rsidRPr="00EC1131" w:rsidRDefault="00E374BA" w:rsidP="00EC1131">
      <w:pPr>
        <w:pStyle w:val="NormalWeb"/>
        <w:spacing w:before="120" w:beforeAutospacing="0" w:after="120" w:afterAutospacing="0"/>
        <w:ind w:left="851" w:right="822"/>
        <w:jc w:val="both"/>
        <w:rPr>
          <w:rFonts w:ascii="Palatino Linotype" w:hAnsi="Palatino Linotype"/>
          <w:sz w:val="22"/>
          <w:szCs w:val="22"/>
        </w:rPr>
      </w:pPr>
      <w:r w:rsidRPr="00EC1131">
        <w:rPr>
          <w:rFonts w:ascii="Palatino Linotype" w:hAnsi="Palatino Linotype"/>
          <w:i/>
          <w:iCs/>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59079312" w14:textId="77777777" w:rsidR="00E374BA" w:rsidRPr="00EC1131" w:rsidRDefault="00E374BA" w:rsidP="00EC1131">
      <w:pPr>
        <w:pStyle w:val="NormalWeb"/>
        <w:spacing w:before="240" w:beforeAutospacing="0" w:after="240" w:afterAutospacing="0" w:line="360" w:lineRule="auto"/>
        <w:jc w:val="both"/>
        <w:rPr>
          <w:rFonts w:ascii="Palatino Linotype" w:hAnsi="Palatino Linotype"/>
          <w:sz w:val="22"/>
          <w:szCs w:val="22"/>
        </w:rPr>
      </w:pPr>
      <w:r w:rsidRPr="00EC1131">
        <w:rPr>
          <w:rFonts w:ascii="Palatino Linotype" w:hAnsi="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12A1F7F4" w14:textId="77777777" w:rsidR="00E374BA" w:rsidRPr="00EC1131" w:rsidRDefault="00E374BA" w:rsidP="00EC1131">
      <w:pPr>
        <w:pStyle w:val="NormalWeb"/>
        <w:spacing w:before="120" w:beforeAutospacing="0" w:after="120" w:afterAutospacing="0"/>
        <w:ind w:left="851" w:right="822"/>
        <w:jc w:val="both"/>
        <w:rPr>
          <w:rFonts w:ascii="Palatino Linotype" w:hAnsi="Palatino Linotype"/>
          <w:sz w:val="22"/>
          <w:szCs w:val="22"/>
        </w:rPr>
      </w:pPr>
      <w:r w:rsidRPr="00EC1131">
        <w:rPr>
          <w:rFonts w:ascii="Palatino Linotype" w:hAnsi="Palatino Linotype"/>
          <w:b/>
          <w:bCs/>
          <w:i/>
          <w:iCs/>
          <w:sz w:val="22"/>
          <w:szCs w:val="22"/>
        </w:rPr>
        <w:t>“DESECHAMIENTO O SOBRESEIMIENTO EN EL JUICIO DE AMPARO. NO IMPLICA DENEGACIÓN DE JUSTICIA NI GENERA INSEGURIDAD JURÍDICA”</w:t>
      </w:r>
    </w:p>
    <w:p w14:paraId="27CF616D" w14:textId="6AB1FA05" w:rsidR="00E374BA" w:rsidRPr="00EC1131" w:rsidRDefault="00E374BA" w:rsidP="00EC1131">
      <w:pPr>
        <w:spacing w:line="240" w:lineRule="auto"/>
        <w:ind w:left="851" w:right="822"/>
        <w:rPr>
          <w:rFonts w:cs="Arial"/>
          <w:lang w:val="es-ES"/>
        </w:rPr>
      </w:pPr>
      <w:r w:rsidRPr="00EC1131">
        <w:rPr>
          <w:i/>
          <w:iCs/>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w:t>
      </w:r>
      <w:r w:rsidRPr="00EC1131">
        <w:rPr>
          <w:i/>
          <w:iCs/>
          <w:szCs w:val="22"/>
        </w:rPr>
        <w:lastRenderedPageBreak/>
        <w:t xml:space="preserve">juzgador o tribunal de amparo se funda en una de ellas para desechar o sobreseer en un juicio, imparte justicia, puesto que el acceso a ella no se ve menoscabado, sino que es efectivo, ni se deja en estado de indefensión al </w:t>
      </w:r>
      <w:proofErr w:type="spellStart"/>
      <w:r w:rsidRPr="00EC1131">
        <w:rPr>
          <w:i/>
          <w:iCs/>
          <w:szCs w:val="22"/>
        </w:rPr>
        <w:t>promovente</w:t>
      </w:r>
      <w:proofErr w:type="spellEnd"/>
      <w:r w:rsidRPr="00EC1131">
        <w:rPr>
          <w:i/>
          <w:iCs/>
          <w:szCs w:val="22"/>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19608B5E" w14:textId="77777777" w:rsidR="00E374BA" w:rsidRPr="00EC1131" w:rsidRDefault="00E374BA" w:rsidP="00EC1131">
      <w:pPr>
        <w:rPr>
          <w:rFonts w:cs="Arial"/>
          <w:lang w:val="es-ES"/>
        </w:rPr>
      </w:pPr>
    </w:p>
    <w:p w14:paraId="3D53E155" w14:textId="5BF3848A" w:rsidR="008C7CD0" w:rsidRPr="00EC1131" w:rsidRDefault="008C7CD0" w:rsidP="00EC1131">
      <w:r w:rsidRPr="00EC1131">
        <w:rPr>
          <w:rFonts w:cs="Arial"/>
          <w:lang w:val="es-ES"/>
        </w:rPr>
        <w:t xml:space="preserve">Finalmente, </w:t>
      </w:r>
      <w:r w:rsidRPr="00EC1131">
        <w:t xml:space="preserve">es dable referir que respecto de las documentales remitidas por parte del </w:t>
      </w:r>
      <w:r w:rsidRPr="00EC1131">
        <w:rPr>
          <w:b/>
        </w:rPr>
        <w:t>SUJETO OBLIGADO</w:t>
      </w:r>
      <w:r w:rsidRPr="00EC1131">
        <w:t>, a fin de dar respuesta a la solicitud planteada, este Instituto no está facultado para manifestarse sobre la veracidad de la información proporcionada.</w:t>
      </w:r>
    </w:p>
    <w:p w14:paraId="3D9EA590" w14:textId="77777777" w:rsidR="008C7CD0" w:rsidRPr="00EC1131" w:rsidRDefault="008C7CD0" w:rsidP="00EC1131">
      <w:pPr>
        <w:ind w:right="757"/>
        <w:rPr>
          <w:rFonts w:cs="Arial"/>
          <w:i/>
          <w:szCs w:val="22"/>
        </w:rPr>
      </w:pPr>
    </w:p>
    <w:p w14:paraId="04EE81BC" w14:textId="77777777" w:rsidR="008755F9" w:rsidRPr="00EC1131" w:rsidRDefault="008755F9" w:rsidP="00EC1131">
      <w:pPr>
        <w:pStyle w:val="Ttulo3"/>
      </w:pPr>
      <w:bookmarkStart w:id="32" w:name="_Toc170978721"/>
      <w:bookmarkStart w:id="33" w:name="_Toc192611904"/>
      <w:bookmarkStart w:id="34" w:name="_Toc198750482"/>
      <w:r w:rsidRPr="00EC1131">
        <w:t>d) Conclusión</w:t>
      </w:r>
      <w:bookmarkEnd w:id="32"/>
      <w:bookmarkEnd w:id="33"/>
      <w:bookmarkEnd w:id="34"/>
    </w:p>
    <w:p w14:paraId="4CF3AC23" w14:textId="7F79FDC0" w:rsidR="008755F9" w:rsidRPr="00EC1131" w:rsidRDefault="008755F9" w:rsidP="00EC1131">
      <w:pPr>
        <w:rPr>
          <w:rFonts w:cs="Arial"/>
          <w:b/>
          <w:lang w:val="es-ES"/>
        </w:rPr>
      </w:pPr>
      <w:r w:rsidRPr="00EC1131">
        <w:rPr>
          <w:rFonts w:cs="Arial"/>
        </w:rPr>
        <w:t xml:space="preserve">En tal virtud, al no actualizarse ninguno de los supuestos de procedencia, este Órgano Garante determina de </w:t>
      </w:r>
      <w:r w:rsidRPr="00EC1131">
        <w:rPr>
          <w:rFonts w:cs="Arial"/>
          <w:lang w:val="es-ES"/>
        </w:rPr>
        <w:t>conformidad con los artículos 1</w:t>
      </w:r>
      <w:r w:rsidR="00574616" w:rsidRPr="00EC1131">
        <w:rPr>
          <w:rFonts w:cs="Arial"/>
          <w:lang w:val="es-ES"/>
        </w:rPr>
        <w:t xml:space="preserve">86, fracción I y 192, fracción </w:t>
      </w:r>
      <w:r w:rsidR="00460C45" w:rsidRPr="00EC1131">
        <w:rPr>
          <w:rFonts w:cs="Arial"/>
          <w:lang w:val="es-ES"/>
        </w:rPr>
        <w:t>I</w:t>
      </w:r>
      <w:r w:rsidRPr="00EC1131">
        <w:rPr>
          <w:rFonts w:cs="Arial"/>
          <w:lang w:val="es-ES"/>
        </w:rPr>
        <w:t xml:space="preserve">V de la Ley de Transparencia y Acceso a la Información Pública del Estado de México y Municipios, </w:t>
      </w:r>
      <w:r w:rsidRPr="00EC1131">
        <w:rPr>
          <w:rFonts w:cs="Arial"/>
          <w:b/>
          <w:lang w:val="es-ES"/>
        </w:rPr>
        <w:t xml:space="preserve">SOBRESEER </w:t>
      </w:r>
      <w:r w:rsidRPr="00EC1131">
        <w:rPr>
          <w:rFonts w:cs="Arial"/>
          <w:lang w:val="es-ES"/>
        </w:rPr>
        <w:t xml:space="preserve">el presente Recurso de Revisión pues del mismo se advierte que no es procedente, toda vez que, las razones o motivos de inconformidad no guardan relación con lo solicitado por </w:t>
      </w:r>
      <w:r w:rsidRPr="00EC1131">
        <w:rPr>
          <w:rFonts w:cs="Arial"/>
          <w:b/>
          <w:lang w:val="es-ES"/>
        </w:rPr>
        <w:t>LA PARTE RECURRETE</w:t>
      </w:r>
      <w:r w:rsidRPr="00EC1131">
        <w:rPr>
          <w:rFonts w:cs="Arial"/>
          <w:lang w:val="es-ES"/>
        </w:rPr>
        <w:t xml:space="preserve"> y respuesta otorgada por </w:t>
      </w:r>
      <w:r w:rsidRPr="00EC1131">
        <w:rPr>
          <w:rFonts w:cs="Arial"/>
          <w:b/>
          <w:lang w:val="es-ES"/>
        </w:rPr>
        <w:t xml:space="preserve">EL SUJETO OBLIGADO. </w:t>
      </w:r>
    </w:p>
    <w:p w14:paraId="3B1FA650" w14:textId="77777777" w:rsidR="008755F9" w:rsidRPr="00EC1131" w:rsidRDefault="008755F9" w:rsidP="00EC1131"/>
    <w:p w14:paraId="483C1E9B" w14:textId="770E7F8F" w:rsidR="008755F9" w:rsidRPr="00EC1131" w:rsidRDefault="008C7CD0" w:rsidP="00EC1131">
      <w:r w:rsidRPr="00EC1131">
        <w:t>N</w:t>
      </w:r>
      <w:r w:rsidR="008755F9" w:rsidRPr="00EC1131">
        <w:t xml:space="preserve">o se omite comentar </w:t>
      </w:r>
      <w:r w:rsidR="005E5FEE" w:rsidRPr="00EC1131">
        <w:t>que,</w:t>
      </w:r>
      <w:r w:rsidR="008755F9" w:rsidRPr="00EC1131">
        <w:t xml:space="preserve"> si bien en materia de Acceso a la Información Pública es aplicable la suplencia, no se desprende argumento alguno a contravenir la respuesta otorgada por </w:t>
      </w:r>
      <w:r w:rsidR="008755F9" w:rsidRPr="00EC1131">
        <w:rPr>
          <w:b/>
        </w:rPr>
        <w:t>EL SUJETO OBLIGADO</w:t>
      </w:r>
      <w:r w:rsidR="008755F9" w:rsidRPr="00EC1131">
        <w:t>.</w:t>
      </w:r>
    </w:p>
    <w:p w14:paraId="456F0E74" w14:textId="77777777" w:rsidR="008755F9" w:rsidRPr="00EC1131" w:rsidRDefault="008755F9" w:rsidP="00EC1131"/>
    <w:p w14:paraId="508A526E" w14:textId="77777777" w:rsidR="008755F9" w:rsidRPr="00EC1131" w:rsidRDefault="008755F9" w:rsidP="00EC1131">
      <w:r w:rsidRPr="00EC1131">
        <w:t xml:space="preserve">Sirve de apoyo el siguiente criterio jurisprudencial, emitido por el Cuarto Tribunal Colegiado en materia Administrativa del Primer Circuito, encontrado en el Libro 64, marzo de 2019, Tomo III, página 2799, en el </w:t>
      </w:r>
      <w:r w:rsidRPr="00EC1131">
        <w:rPr>
          <w:shd w:val="clear" w:color="auto" w:fill="FFFFFF"/>
        </w:rPr>
        <w:t>Semanario Judicial de la Federación y su Gaceta, Decima Época, que en su texto literal nos refiere lo siguiente:</w:t>
      </w:r>
    </w:p>
    <w:p w14:paraId="57E0B54A" w14:textId="6034BAED" w:rsidR="008755F9" w:rsidRPr="00EC1131" w:rsidRDefault="008755F9" w:rsidP="00EC1131">
      <w:pPr>
        <w:pStyle w:val="Puesto"/>
      </w:pPr>
      <w:r w:rsidRPr="00EC1131">
        <w:lastRenderedPageBreak/>
        <w:t>“</w:t>
      </w:r>
      <w:r w:rsidRPr="00EC1131">
        <w:rPr>
          <w:b/>
        </w:rPr>
        <w:t>SUPLENCIA DE LA QUEJA DEFICIENTE EN EL AMPARO. NO TIENE EL ALCANCE DE QUE EL JUZGADOR CONSIDERE COMO ACTOS RECLAMADOS, AQUELLOS QUE EL QUEJOSO NO SEÑALÓ</w:t>
      </w:r>
      <w:r w:rsidRPr="00EC1131">
        <w:t>. De conformidad con el artículo 79 de la Ley de Amparo y la jurisprudencia P</w:t>
      </w:r>
      <w:proofErr w:type="gramStart"/>
      <w:r w:rsidRPr="00EC1131">
        <w:t>./</w:t>
      </w:r>
      <w:proofErr w:type="gramEnd"/>
      <w:r w:rsidRPr="00EC1131">
        <w:t xml:space="preserve">J. 7/2017 (10a.), sustentada por el Pleno de la Suprema Corte de Justicia de la Nación, de título y subtítulo: "SUPLENCIA DE LA DEFICIENCIA DE LOS CONCEPTOS DE VIOLACIÓN O AGRAVIOS PREVISTA EN EL ARTÍCULO 79, FRACCIÓN V, DE LA LEY DE AMPARO. OPERA EN FAVOR DE LOS MIEMBROS DE LOS CUERPOS DE SEGURIDAD PÚBLICA, EN LOS PROCEDIMIENTOS ADMINISTRATIVOS DE SEPARACIÓN POR INCUMPLIMIENTO DE LOS REQUISITOS DE INGRESO Y PERMANENCIA.", la suplencia de la queja deficiente en el juicio constitucional se limita a mejorar, subsanar e invocar los conceptos de violación o agravios, entendidos como las lesiones que irroguen los actos reclamados o la sentencia. Por tanto, esa institución no tiene el alcance de que el juzgador considere como actos reclamados, aquellos que el quejoso no señaló, pues incluso el artículo 114, fracción II, en relación con el diverso 108, fracción IV, ambos de la propia ley, dispone que el órgano jurisdiccional debe requerir al </w:t>
      </w:r>
      <w:proofErr w:type="spellStart"/>
      <w:r w:rsidRPr="00EC1131">
        <w:t>promovente</w:t>
      </w:r>
      <w:proofErr w:type="spellEnd"/>
      <w:r w:rsidRPr="00EC1131">
        <w:t xml:space="preserve"> para que aclare su demanda cuando omita expresar los actos que de cada autoridad reclame y, si no cumple la prevención, no puede subsanarse esa deficiencia.”</w:t>
      </w:r>
    </w:p>
    <w:p w14:paraId="6865038B" w14:textId="77777777" w:rsidR="004F079E" w:rsidRPr="00EC1131" w:rsidRDefault="004F079E" w:rsidP="00EC1131"/>
    <w:p w14:paraId="74E245D4" w14:textId="61F3FE05" w:rsidR="008755F9" w:rsidRPr="00EC1131" w:rsidRDefault="008755F9" w:rsidP="00EC1131">
      <w:r w:rsidRPr="00EC1131">
        <w:t xml:space="preserve">Por lo tanto, bajo los principios de certeza, eficacia y objetividad, establecidos en el artículo 9 de la Ley de Transparencia y Acceso a la Información Pública del Estado de México y Municipios, y derivado de que la inconformidad no guarda relación con la respuesta del </w:t>
      </w:r>
      <w:r w:rsidRPr="00EC1131">
        <w:rPr>
          <w:b/>
          <w:bCs/>
        </w:rPr>
        <w:t>SUJETO OBLIGADO</w:t>
      </w:r>
      <w:r w:rsidRPr="00EC1131">
        <w:t xml:space="preserve">, y a fin de no dilatar el derecho de acceso a la información, como ya fue establecido, se dejan a salvo los derechos de </w:t>
      </w:r>
      <w:r w:rsidRPr="00EC1131">
        <w:rPr>
          <w:rFonts w:eastAsia="Arial Unicode MS" w:cs="Arial"/>
          <w:b/>
        </w:rPr>
        <w:t>LA PARTE RECURRENTE</w:t>
      </w:r>
      <w:r w:rsidRPr="00EC1131">
        <w:rPr>
          <w:rFonts w:eastAsia="Arial Unicode MS" w:cs="Arial"/>
        </w:rPr>
        <w:t xml:space="preserve"> </w:t>
      </w:r>
      <w:r w:rsidRPr="00EC1131">
        <w:t>para que pueda realizar nueva</w:t>
      </w:r>
      <w:r w:rsidR="005E5FEE" w:rsidRPr="00EC1131">
        <w:t>s</w:t>
      </w:r>
      <w:r w:rsidRPr="00EC1131">
        <w:t xml:space="preserve"> solicitudes de información.</w:t>
      </w:r>
    </w:p>
    <w:p w14:paraId="17736989" w14:textId="77777777" w:rsidR="008755F9" w:rsidRPr="00EC1131" w:rsidRDefault="008755F9" w:rsidP="00EC1131">
      <w:pPr>
        <w:rPr>
          <w:rFonts w:cs="Arial"/>
          <w:sz w:val="20"/>
        </w:rPr>
      </w:pPr>
    </w:p>
    <w:p w14:paraId="5205582B" w14:textId="7543DAAB" w:rsidR="008755F9" w:rsidRPr="00EC1131" w:rsidRDefault="008755F9" w:rsidP="00EC1131">
      <w:pPr>
        <w:widowControl w:val="0"/>
        <w:autoSpaceDE w:val="0"/>
        <w:autoSpaceDN w:val="0"/>
        <w:adjustRightInd w:val="0"/>
        <w:rPr>
          <w:rFonts w:eastAsia="Calibri" w:cs="Arial"/>
        </w:rPr>
      </w:pPr>
      <w:r w:rsidRPr="00EC1131">
        <w:rPr>
          <w:rFonts w:eastAsia="Calibri" w:cs="Arial"/>
        </w:rPr>
        <w:t xml:space="preserve">Así, con </w:t>
      </w:r>
      <w:r w:rsidRPr="00EC1131">
        <w:rPr>
          <w:rFonts w:cs="Arial"/>
        </w:rPr>
        <w:t>fundamento</w:t>
      </w:r>
      <w:r w:rsidRPr="00EC1131">
        <w:rPr>
          <w:rFonts w:eastAsia="Calibri" w:cs="Arial"/>
        </w:rPr>
        <w:t xml:space="preserve"> en lo prescrito en los artículos 5, </w:t>
      </w:r>
      <w:r w:rsidRPr="00EC1131">
        <w:t>párrafos</w:t>
      </w:r>
      <w:r w:rsidR="00574616" w:rsidRPr="00EC1131">
        <w:t xml:space="preserve"> trigésimo séptimo, trigésimo octavo y trigésimo noveno</w:t>
      </w:r>
      <w:r w:rsidRPr="00EC1131">
        <w:rPr>
          <w:rFonts w:cs="Arial"/>
        </w:rPr>
        <w:t>,</w:t>
      </w:r>
      <w:r w:rsidRPr="00EC1131">
        <w:t xml:space="preserve"> fracciones IV y V,</w:t>
      </w:r>
      <w:r w:rsidRPr="00EC1131">
        <w:rPr>
          <w:rFonts w:eastAsia="Calibri" w:cs="Arial"/>
        </w:rPr>
        <w:t xml:space="preserve"> de la Constitución Política del Estado Libre y Soberano de </w:t>
      </w:r>
      <w:r w:rsidRPr="00EC1131">
        <w:rPr>
          <w:rFonts w:cs="Arial"/>
          <w:lang w:val="es-ES_tradnl"/>
        </w:rPr>
        <w:t>México</w:t>
      </w:r>
      <w:r w:rsidRPr="00EC1131">
        <w:rPr>
          <w:rFonts w:eastAsia="Calibri" w:cs="Arial"/>
        </w:rPr>
        <w:t xml:space="preserve">, y los artículos </w:t>
      </w:r>
      <w:r w:rsidRPr="00EC1131">
        <w:t xml:space="preserve">2, </w:t>
      </w:r>
      <w:r w:rsidRPr="00EC1131">
        <w:rPr>
          <w:rFonts w:cs="Arial"/>
        </w:rPr>
        <w:t>fracción</w:t>
      </w:r>
      <w:r w:rsidRPr="00EC1131">
        <w:t xml:space="preserve"> II, 9, </w:t>
      </w:r>
      <w:r w:rsidRPr="00EC1131">
        <w:rPr>
          <w:rFonts w:cs="Arial"/>
          <w:lang w:val="es-ES_tradnl"/>
        </w:rPr>
        <w:t>29</w:t>
      </w:r>
      <w:r w:rsidRPr="00EC1131">
        <w:t>, 36, fracciones I y II, 176, 178, 179, 181, 185, fracción I, 186 y 188,</w:t>
      </w:r>
      <w:r w:rsidRPr="00EC1131">
        <w:rPr>
          <w:rFonts w:eastAsia="Calibri" w:cs="Arial"/>
        </w:rPr>
        <w:t xml:space="preserve"> de la Ley de Transparencia y Acceso a la Información Pública del Estado de México y </w:t>
      </w:r>
      <w:r w:rsidRPr="00EC1131">
        <w:rPr>
          <w:rFonts w:cs="Arial"/>
        </w:rPr>
        <w:t>Municipios</w:t>
      </w:r>
      <w:r w:rsidRPr="00EC1131">
        <w:rPr>
          <w:rFonts w:eastAsia="Calibri" w:cs="Arial"/>
        </w:rPr>
        <w:t xml:space="preserve">, </w:t>
      </w:r>
      <w:r w:rsidRPr="00EC1131">
        <w:t>este</w:t>
      </w:r>
      <w:r w:rsidRPr="00EC1131">
        <w:rPr>
          <w:rFonts w:eastAsia="Calibri" w:cs="Arial"/>
        </w:rPr>
        <w:t xml:space="preserve"> Pleno:</w:t>
      </w:r>
    </w:p>
    <w:p w14:paraId="77997CE8" w14:textId="0CA51BEE" w:rsidR="005E5FEE" w:rsidRPr="00EC1131" w:rsidRDefault="005E5FEE" w:rsidP="00EC1131">
      <w:pPr>
        <w:rPr>
          <w:rFonts w:cs="Arial"/>
        </w:rPr>
      </w:pPr>
    </w:p>
    <w:p w14:paraId="4D44C4DC" w14:textId="77777777" w:rsidR="008755F9" w:rsidRPr="00EC1131" w:rsidRDefault="008755F9" w:rsidP="00EC1131">
      <w:pPr>
        <w:pStyle w:val="Ttulo1"/>
      </w:pPr>
      <w:bookmarkStart w:id="35" w:name="_Toc192611905"/>
      <w:bookmarkStart w:id="36" w:name="_Toc198750483"/>
      <w:r w:rsidRPr="00EC1131">
        <w:lastRenderedPageBreak/>
        <w:t>RESUELVE</w:t>
      </w:r>
      <w:bookmarkEnd w:id="35"/>
      <w:bookmarkEnd w:id="36"/>
    </w:p>
    <w:p w14:paraId="624107C8" w14:textId="77777777" w:rsidR="008755F9" w:rsidRPr="00EC1131" w:rsidRDefault="008755F9" w:rsidP="00EC1131">
      <w:pPr>
        <w:ind w:right="113"/>
        <w:rPr>
          <w:rFonts w:cs="Arial"/>
          <w:b/>
          <w:szCs w:val="22"/>
        </w:rPr>
      </w:pPr>
    </w:p>
    <w:p w14:paraId="57637D49" w14:textId="29F278A6" w:rsidR="00B11A81" w:rsidRPr="00EC1131" w:rsidRDefault="00B11A81" w:rsidP="00EC1131">
      <w:pPr>
        <w:rPr>
          <w:lang w:val="es-ES"/>
        </w:rPr>
      </w:pPr>
      <w:r w:rsidRPr="00EC1131">
        <w:rPr>
          <w:b/>
          <w:sz w:val="24"/>
        </w:rPr>
        <w:t>PRIMERO</w:t>
      </w:r>
      <w:r w:rsidRPr="00EC1131">
        <w:rPr>
          <w:b/>
          <w:sz w:val="28"/>
        </w:rPr>
        <w:t xml:space="preserve">. </w:t>
      </w:r>
      <w:r w:rsidRPr="00EC1131">
        <w:t xml:space="preserve">Se </w:t>
      </w:r>
      <w:r w:rsidRPr="00EC1131">
        <w:rPr>
          <w:b/>
        </w:rPr>
        <w:t>SOBRESEE</w:t>
      </w:r>
      <w:r w:rsidRPr="00EC1131">
        <w:t xml:space="preserve"> el Recurso de Revisión número </w:t>
      </w:r>
      <w:r w:rsidRPr="00EC1131">
        <w:rPr>
          <w:rFonts w:eastAsia="Palatino Linotype" w:cs="Palatino Linotype"/>
          <w:b/>
        </w:rPr>
        <w:t xml:space="preserve">04142/INFOEM/IP/RR/2025 </w:t>
      </w:r>
      <w:r w:rsidRPr="00EC1131">
        <w:rPr>
          <w:lang w:val="es-ES"/>
        </w:rPr>
        <w:t xml:space="preserve">porque una vez admitido se actualizó la causal establecida en el artículo 192 fracción IV, </w:t>
      </w:r>
      <w:r w:rsidRPr="00EC1131">
        <w:t>por</w:t>
      </w:r>
      <w:r w:rsidRPr="00EC1131">
        <w:rPr>
          <w:lang w:val="es-ES"/>
        </w:rPr>
        <w:t xml:space="preserve"> ser improcedente en términos de la </w:t>
      </w:r>
      <w:r w:rsidRPr="00EC1131">
        <w:rPr>
          <w:lang w:eastAsia="es-ES_tradnl"/>
        </w:rPr>
        <w:t>Ley de Transparencia y Acceso a la Información Pública del Estado de México y Municipios</w:t>
      </w:r>
      <w:r w:rsidRPr="00EC1131">
        <w:rPr>
          <w:lang w:val="es-ES"/>
        </w:rPr>
        <w:t xml:space="preserve">, en términos del Considerando </w:t>
      </w:r>
      <w:r w:rsidRPr="00EC1131">
        <w:rPr>
          <w:b/>
          <w:lang w:val="es-ES"/>
        </w:rPr>
        <w:t>SEGUNDO</w:t>
      </w:r>
      <w:r w:rsidRPr="00EC1131">
        <w:rPr>
          <w:lang w:val="es-ES"/>
        </w:rPr>
        <w:t xml:space="preserve"> de la presente resolución.</w:t>
      </w:r>
    </w:p>
    <w:p w14:paraId="2F9DE4E9" w14:textId="77777777" w:rsidR="00B11A81" w:rsidRPr="00EC1131" w:rsidRDefault="00B11A81" w:rsidP="00EC1131">
      <w:pPr>
        <w:ind w:right="-93"/>
        <w:rPr>
          <w:b/>
          <w:bCs/>
        </w:rPr>
      </w:pPr>
    </w:p>
    <w:p w14:paraId="4AB825E2" w14:textId="77777777" w:rsidR="008755F9" w:rsidRPr="00EC1131" w:rsidRDefault="008755F9" w:rsidP="00EC1131">
      <w:pPr>
        <w:ind w:right="-93"/>
      </w:pPr>
      <w:r w:rsidRPr="00EC1131">
        <w:rPr>
          <w:rFonts w:eastAsia="Calibri" w:cs="Tahoma"/>
          <w:b/>
          <w:bCs/>
          <w:szCs w:val="22"/>
          <w:lang w:eastAsia="en-US"/>
        </w:rPr>
        <w:t>SEGUNDO.</w:t>
      </w:r>
      <w:r w:rsidRPr="00EC1131">
        <w:rPr>
          <w:rFonts w:eastAsia="Calibri" w:cs="Tahoma"/>
          <w:szCs w:val="22"/>
          <w:lang w:eastAsia="es-MX"/>
        </w:rPr>
        <w:t xml:space="preserve"> </w:t>
      </w:r>
      <w:r w:rsidRPr="00EC1131">
        <w:t>Notifíquese la presente resolución mediante Sistema de Acceso a la Información Mexiquense (</w:t>
      </w:r>
      <w:r w:rsidRPr="00EC1131">
        <w:rPr>
          <w:b/>
        </w:rPr>
        <w:t>SAIMEX</w:t>
      </w:r>
      <w:r w:rsidRPr="00EC1131">
        <w:t xml:space="preserve">), al Titular de la Unidad de Transparencia del </w:t>
      </w:r>
      <w:r w:rsidRPr="00EC1131">
        <w:rPr>
          <w:b/>
          <w:bCs/>
        </w:rPr>
        <w:t>SUJETO OBLIGADO</w:t>
      </w:r>
      <w:r w:rsidRPr="00EC1131">
        <w:t>, para su conocimiento.</w:t>
      </w:r>
    </w:p>
    <w:p w14:paraId="15922EDD" w14:textId="77777777" w:rsidR="008755F9" w:rsidRPr="00EC1131" w:rsidRDefault="008755F9" w:rsidP="00EC1131">
      <w:pPr>
        <w:ind w:right="-93"/>
      </w:pPr>
    </w:p>
    <w:p w14:paraId="241C8D02" w14:textId="77777777" w:rsidR="008755F9" w:rsidRPr="00EC1131" w:rsidRDefault="008755F9" w:rsidP="00EC1131">
      <w:r w:rsidRPr="00EC1131">
        <w:rPr>
          <w:b/>
          <w:bCs/>
        </w:rPr>
        <w:t>TERCERO.</w:t>
      </w:r>
      <w:r w:rsidRPr="00EC1131">
        <w:t xml:space="preserve"> Notifíquese a </w:t>
      </w:r>
      <w:r w:rsidRPr="00EC1131">
        <w:rPr>
          <w:b/>
          <w:bCs/>
        </w:rPr>
        <w:t>LA PARTE RECURRENTE</w:t>
      </w:r>
      <w:r w:rsidRPr="00EC1131">
        <w:t xml:space="preserve"> la presente resolución vía Sistema de Acceso a la Información Mexiquense (</w:t>
      </w:r>
      <w:r w:rsidRPr="00EC1131">
        <w:rPr>
          <w:b/>
        </w:rPr>
        <w:t>SAIMEX</w:t>
      </w:r>
      <w:r w:rsidRPr="00EC1131">
        <w:t>).</w:t>
      </w:r>
    </w:p>
    <w:p w14:paraId="765A4C75" w14:textId="77777777" w:rsidR="008755F9" w:rsidRPr="00EC1131" w:rsidRDefault="008755F9" w:rsidP="00EC1131"/>
    <w:p w14:paraId="01341054" w14:textId="18094755" w:rsidR="008755F9" w:rsidRDefault="008755F9" w:rsidP="00EC1131">
      <w:r w:rsidRPr="00EC1131">
        <w:rPr>
          <w:b/>
          <w:bCs/>
        </w:rPr>
        <w:t>CUARTO</w:t>
      </w:r>
      <w:r w:rsidRPr="00EC1131">
        <w:t xml:space="preserve">. Hágase del conocimiento a </w:t>
      </w:r>
      <w:r w:rsidRPr="00EC1131">
        <w:rPr>
          <w:b/>
          <w:bCs/>
        </w:rPr>
        <w:t>LA PARTE RECURRENTE</w:t>
      </w:r>
      <w:r w:rsidRPr="00EC1131">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1339EEB" w14:textId="77777777" w:rsidR="00CB4949" w:rsidRDefault="00CB4949" w:rsidP="00EC1131"/>
    <w:p w14:paraId="74647CE7" w14:textId="77777777" w:rsidR="00CB4949" w:rsidRDefault="00CB4949" w:rsidP="00EC1131"/>
    <w:p w14:paraId="4E189A76" w14:textId="77777777" w:rsidR="00CB4949" w:rsidRDefault="00CB4949" w:rsidP="00EC1131"/>
    <w:p w14:paraId="20EA741D" w14:textId="77777777" w:rsidR="00CB4949" w:rsidRDefault="00CB4949" w:rsidP="00EC1131"/>
    <w:p w14:paraId="785D1F9B" w14:textId="77777777" w:rsidR="00CB4949" w:rsidRDefault="00CB4949" w:rsidP="00EC1131">
      <w:bookmarkStart w:id="37" w:name="_GoBack"/>
      <w:bookmarkEnd w:id="37"/>
    </w:p>
    <w:p w14:paraId="64792ABC" w14:textId="77777777" w:rsidR="00460C45" w:rsidRPr="00EC1131" w:rsidRDefault="00460C45" w:rsidP="00EC1131"/>
    <w:p w14:paraId="6B3BFD10" w14:textId="1537C03B" w:rsidR="004F079E" w:rsidRPr="00EC1131" w:rsidRDefault="004F079E" w:rsidP="00EC1131">
      <w:pPr>
        <w:ind w:right="-93"/>
        <w:rPr>
          <w:rFonts w:eastAsia="Palatino Linotype" w:cs="Palatino Linotype"/>
          <w:szCs w:val="22"/>
        </w:rPr>
      </w:pPr>
      <w:r w:rsidRPr="00EC1131">
        <w:rPr>
          <w:rFonts w:eastAsia="Palatino Linotype" w:cs="Palatino Linotype"/>
          <w:szCs w:val="22"/>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GUADALUPE RAMÍREZ PEÑA, EN LA DÉCIMA OCTAVA SESIÓN ORDINARIA, CELEBRADA EL VEINTIUNO DE MAYO DE DOS MIL VEINTICINCO ANTE EL SECRETARIO TÉCNICO DEL PLENO, ALEXIS TAPIA RAMÍREZ.</w:t>
      </w:r>
    </w:p>
    <w:p w14:paraId="1000FAFD" w14:textId="062F0526" w:rsidR="0053716F" w:rsidRPr="00EC1131" w:rsidRDefault="00ED75F4" w:rsidP="00EC1131">
      <w:pPr>
        <w:ind w:right="-93"/>
        <w:rPr>
          <w:rFonts w:eastAsia="Palatino Linotype" w:cs="Palatino Linotype"/>
          <w:sz w:val="20"/>
        </w:rPr>
      </w:pPr>
      <w:r w:rsidRPr="00EC1131">
        <w:rPr>
          <w:rFonts w:eastAsia="Palatino Linotype" w:cs="Palatino Linotype"/>
          <w:sz w:val="20"/>
        </w:rPr>
        <w:t>SCMM/AGZ/DEMF/CMP</w:t>
      </w:r>
    </w:p>
    <w:p w14:paraId="7D79E151" w14:textId="77777777" w:rsidR="002B11D9" w:rsidRPr="00EC1131" w:rsidRDefault="002B11D9" w:rsidP="00EC1131">
      <w:pPr>
        <w:ind w:right="-93"/>
        <w:rPr>
          <w:szCs w:val="22"/>
        </w:rPr>
      </w:pPr>
    </w:p>
    <w:p w14:paraId="47C5DE74" w14:textId="77777777" w:rsidR="002B11D9" w:rsidRPr="00EC1131" w:rsidRDefault="002B11D9" w:rsidP="00EC1131">
      <w:pPr>
        <w:ind w:right="-93"/>
        <w:rPr>
          <w:szCs w:val="22"/>
        </w:rPr>
      </w:pPr>
    </w:p>
    <w:p w14:paraId="0CF3F610" w14:textId="77777777" w:rsidR="002B11D9" w:rsidRPr="00EC1131" w:rsidRDefault="002B11D9" w:rsidP="00EC1131">
      <w:pPr>
        <w:ind w:right="-93"/>
        <w:rPr>
          <w:szCs w:val="22"/>
        </w:rPr>
      </w:pPr>
    </w:p>
    <w:p w14:paraId="06338933" w14:textId="77777777" w:rsidR="002B11D9" w:rsidRPr="00EC1131" w:rsidRDefault="002B11D9" w:rsidP="00EC1131">
      <w:pPr>
        <w:ind w:right="-93"/>
        <w:rPr>
          <w:szCs w:val="22"/>
        </w:rPr>
      </w:pPr>
    </w:p>
    <w:p w14:paraId="022324A6" w14:textId="77777777" w:rsidR="002B11D9" w:rsidRPr="00EC1131" w:rsidRDefault="002B11D9" w:rsidP="00EC1131">
      <w:pPr>
        <w:ind w:right="-93"/>
        <w:rPr>
          <w:szCs w:val="22"/>
        </w:rPr>
      </w:pPr>
    </w:p>
    <w:p w14:paraId="1941B3D9" w14:textId="77777777" w:rsidR="002B11D9" w:rsidRPr="00EC1131" w:rsidRDefault="002B11D9" w:rsidP="00EC1131">
      <w:pPr>
        <w:ind w:right="-93"/>
        <w:rPr>
          <w:szCs w:val="22"/>
        </w:rPr>
      </w:pPr>
    </w:p>
    <w:p w14:paraId="089D4083" w14:textId="77777777" w:rsidR="002B11D9" w:rsidRPr="00EC1131" w:rsidRDefault="002B11D9" w:rsidP="00EC1131">
      <w:pPr>
        <w:ind w:right="-93"/>
        <w:rPr>
          <w:szCs w:val="22"/>
        </w:rPr>
      </w:pPr>
    </w:p>
    <w:p w14:paraId="13C0A04F" w14:textId="77777777" w:rsidR="002B11D9" w:rsidRPr="00EC1131" w:rsidRDefault="002B11D9" w:rsidP="00EC1131">
      <w:pPr>
        <w:tabs>
          <w:tab w:val="center" w:pos="4568"/>
        </w:tabs>
        <w:ind w:right="-93"/>
        <w:rPr>
          <w:szCs w:val="22"/>
        </w:rPr>
      </w:pPr>
    </w:p>
    <w:p w14:paraId="5FD2AB72" w14:textId="77777777" w:rsidR="002B11D9" w:rsidRPr="00EC1131" w:rsidRDefault="002B11D9" w:rsidP="00EC1131">
      <w:pPr>
        <w:tabs>
          <w:tab w:val="center" w:pos="4568"/>
        </w:tabs>
        <w:ind w:right="-93"/>
        <w:rPr>
          <w:szCs w:val="22"/>
        </w:rPr>
      </w:pPr>
    </w:p>
    <w:p w14:paraId="30082FD2" w14:textId="77777777" w:rsidR="002B11D9" w:rsidRPr="00EC1131" w:rsidRDefault="002B11D9" w:rsidP="00EC1131">
      <w:pPr>
        <w:tabs>
          <w:tab w:val="center" w:pos="4568"/>
        </w:tabs>
        <w:ind w:right="-93"/>
        <w:rPr>
          <w:szCs w:val="22"/>
        </w:rPr>
      </w:pPr>
    </w:p>
    <w:p w14:paraId="451F6B59" w14:textId="77777777" w:rsidR="002B11D9" w:rsidRPr="00EC1131" w:rsidRDefault="002B11D9" w:rsidP="00EC1131">
      <w:pPr>
        <w:tabs>
          <w:tab w:val="center" w:pos="4568"/>
        </w:tabs>
        <w:ind w:right="-93"/>
        <w:rPr>
          <w:szCs w:val="22"/>
        </w:rPr>
      </w:pPr>
    </w:p>
    <w:p w14:paraId="616609ED" w14:textId="77777777" w:rsidR="002B11D9" w:rsidRPr="00EC1131" w:rsidRDefault="002B11D9" w:rsidP="00EC1131">
      <w:pPr>
        <w:tabs>
          <w:tab w:val="center" w:pos="4568"/>
        </w:tabs>
        <w:ind w:right="-93"/>
        <w:rPr>
          <w:szCs w:val="22"/>
        </w:rPr>
      </w:pPr>
    </w:p>
    <w:p w14:paraId="2297A5B6" w14:textId="77777777" w:rsidR="002B11D9" w:rsidRPr="00EC1131" w:rsidRDefault="002B11D9" w:rsidP="00EC1131">
      <w:pPr>
        <w:tabs>
          <w:tab w:val="center" w:pos="4568"/>
        </w:tabs>
        <w:ind w:right="-93"/>
        <w:rPr>
          <w:szCs w:val="22"/>
        </w:rPr>
      </w:pPr>
    </w:p>
    <w:p w14:paraId="2EBCFE13" w14:textId="77777777" w:rsidR="002B11D9" w:rsidRPr="00EC1131" w:rsidRDefault="002B11D9" w:rsidP="00EC1131">
      <w:pPr>
        <w:tabs>
          <w:tab w:val="center" w:pos="4568"/>
        </w:tabs>
        <w:ind w:right="-93"/>
        <w:rPr>
          <w:szCs w:val="22"/>
        </w:rPr>
      </w:pPr>
    </w:p>
    <w:p w14:paraId="236BF945" w14:textId="77777777" w:rsidR="002B11D9" w:rsidRPr="00EC1131" w:rsidRDefault="002B11D9" w:rsidP="00EC1131">
      <w:pPr>
        <w:tabs>
          <w:tab w:val="center" w:pos="4568"/>
        </w:tabs>
        <w:ind w:right="-93"/>
        <w:rPr>
          <w:szCs w:val="22"/>
        </w:rPr>
      </w:pPr>
    </w:p>
    <w:p w14:paraId="004681CB" w14:textId="77777777" w:rsidR="002B11D9" w:rsidRPr="00EC1131" w:rsidRDefault="002B11D9" w:rsidP="00EC1131">
      <w:pPr>
        <w:tabs>
          <w:tab w:val="center" w:pos="4568"/>
        </w:tabs>
        <w:ind w:right="-93"/>
        <w:rPr>
          <w:szCs w:val="22"/>
        </w:rPr>
      </w:pPr>
    </w:p>
    <w:p w14:paraId="2BEE054A" w14:textId="77777777" w:rsidR="002B11D9" w:rsidRPr="00EC1131" w:rsidRDefault="002B11D9" w:rsidP="00EC1131">
      <w:pPr>
        <w:tabs>
          <w:tab w:val="center" w:pos="4568"/>
        </w:tabs>
        <w:ind w:right="-93"/>
        <w:rPr>
          <w:szCs w:val="22"/>
        </w:rPr>
      </w:pPr>
    </w:p>
    <w:p w14:paraId="654DB8BB" w14:textId="77777777" w:rsidR="002B11D9" w:rsidRPr="00EC1131" w:rsidRDefault="002B11D9" w:rsidP="00EC1131">
      <w:pPr>
        <w:tabs>
          <w:tab w:val="center" w:pos="4568"/>
        </w:tabs>
        <w:ind w:right="-93"/>
        <w:rPr>
          <w:szCs w:val="22"/>
        </w:rPr>
      </w:pPr>
    </w:p>
    <w:p w14:paraId="71B4C5C8" w14:textId="77777777" w:rsidR="002B11D9" w:rsidRPr="00EC1131" w:rsidRDefault="002B11D9" w:rsidP="00EC1131">
      <w:pPr>
        <w:tabs>
          <w:tab w:val="center" w:pos="4568"/>
        </w:tabs>
        <w:ind w:right="-93"/>
        <w:rPr>
          <w:szCs w:val="22"/>
        </w:rPr>
      </w:pPr>
    </w:p>
    <w:p w14:paraId="3F14806B" w14:textId="77777777" w:rsidR="002B11D9" w:rsidRPr="00EC1131" w:rsidRDefault="002B11D9" w:rsidP="00EC1131">
      <w:pPr>
        <w:tabs>
          <w:tab w:val="center" w:pos="4568"/>
        </w:tabs>
        <w:ind w:right="-93"/>
        <w:rPr>
          <w:szCs w:val="22"/>
        </w:rPr>
      </w:pPr>
    </w:p>
    <w:p w14:paraId="108F5EF8" w14:textId="77777777" w:rsidR="002B11D9" w:rsidRPr="00EC1131" w:rsidRDefault="002B11D9" w:rsidP="00EC1131">
      <w:pPr>
        <w:tabs>
          <w:tab w:val="center" w:pos="4568"/>
        </w:tabs>
        <w:ind w:right="-93"/>
        <w:rPr>
          <w:szCs w:val="22"/>
        </w:rPr>
      </w:pPr>
    </w:p>
    <w:p w14:paraId="673AF841" w14:textId="77777777" w:rsidR="002B11D9" w:rsidRPr="00EC1131" w:rsidRDefault="002B11D9" w:rsidP="00EC1131">
      <w:pPr>
        <w:tabs>
          <w:tab w:val="center" w:pos="4568"/>
        </w:tabs>
        <w:ind w:right="-93"/>
        <w:rPr>
          <w:szCs w:val="22"/>
        </w:rPr>
      </w:pPr>
    </w:p>
    <w:p w14:paraId="5C52BD3D" w14:textId="77777777" w:rsidR="002B11D9" w:rsidRPr="00EC1131" w:rsidRDefault="002B11D9" w:rsidP="00EC1131">
      <w:pPr>
        <w:tabs>
          <w:tab w:val="center" w:pos="4568"/>
        </w:tabs>
        <w:ind w:right="-93"/>
        <w:rPr>
          <w:szCs w:val="22"/>
        </w:rPr>
      </w:pPr>
    </w:p>
    <w:p w14:paraId="6D32AF04" w14:textId="77777777" w:rsidR="002B11D9" w:rsidRPr="00EC1131" w:rsidRDefault="002B11D9" w:rsidP="00EC1131">
      <w:pPr>
        <w:rPr>
          <w:szCs w:val="22"/>
        </w:rPr>
      </w:pPr>
    </w:p>
    <w:sectPr w:rsidR="002B11D9" w:rsidRPr="00EC1131">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53B37" w14:textId="77777777" w:rsidR="002625BD" w:rsidRDefault="002625BD">
      <w:pPr>
        <w:spacing w:line="240" w:lineRule="auto"/>
      </w:pPr>
      <w:r>
        <w:separator/>
      </w:r>
    </w:p>
  </w:endnote>
  <w:endnote w:type="continuationSeparator" w:id="0">
    <w:p w14:paraId="5338E8A6" w14:textId="77777777" w:rsidR="002625BD" w:rsidRDefault="00262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ptos Display">
    <w:altName w:val="Times New Roman"/>
    <w:charset w:val="00"/>
    <w:family w:val="swiss"/>
    <w:pitch w:val="variable"/>
    <w:sig w:usb0="20000287" w:usb1="00000003" w:usb2="00000000" w:usb3="00000000" w:csb0="0000019F" w:csb1="00000000"/>
  </w:font>
  <w:font w:name="Aptos">
    <w:altName w:val="Times New Roman"/>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5FC25" w14:textId="77777777" w:rsidR="00ED75F4" w:rsidRDefault="00ED75F4">
    <w:pPr>
      <w:tabs>
        <w:tab w:val="center" w:pos="4550"/>
        <w:tab w:val="left" w:pos="5818"/>
      </w:tabs>
      <w:ind w:right="260"/>
      <w:jc w:val="right"/>
      <w:rPr>
        <w:color w:val="071320"/>
        <w:sz w:val="24"/>
        <w:szCs w:val="24"/>
      </w:rPr>
    </w:pPr>
  </w:p>
  <w:p w14:paraId="6956D721" w14:textId="77777777" w:rsidR="00ED75F4" w:rsidRDefault="00ED75F4">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C1145" w14:textId="5A7C069A" w:rsidR="00ED75F4" w:rsidRDefault="00ED75F4">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CB4949">
      <w:rPr>
        <w:noProof/>
        <w:color w:val="0A1D30"/>
        <w:sz w:val="24"/>
        <w:szCs w:val="24"/>
      </w:rPr>
      <w:t>20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CB4949">
      <w:rPr>
        <w:noProof/>
        <w:color w:val="0A1D30"/>
        <w:sz w:val="24"/>
        <w:szCs w:val="24"/>
      </w:rPr>
      <w:t>21</w:t>
    </w:r>
    <w:r>
      <w:rPr>
        <w:color w:val="0A1D30"/>
        <w:sz w:val="24"/>
        <w:szCs w:val="24"/>
      </w:rPr>
      <w:fldChar w:fldCharType="end"/>
    </w:r>
  </w:p>
  <w:p w14:paraId="6E3F5C8E" w14:textId="77777777" w:rsidR="00ED75F4" w:rsidRDefault="00ED75F4">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CABDD" w14:textId="77777777" w:rsidR="002625BD" w:rsidRDefault="002625BD">
      <w:pPr>
        <w:spacing w:line="240" w:lineRule="auto"/>
      </w:pPr>
      <w:r>
        <w:separator/>
      </w:r>
    </w:p>
  </w:footnote>
  <w:footnote w:type="continuationSeparator" w:id="0">
    <w:p w14:paraId="11BF0E37" w14:textId="77777777" w:rsidR="002625BD" w:rsidRDefault="002625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DEF45" w14:textId="77777777" w:rsidR="00ED75F4" w:rsidRDefault="00ED75F4">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ED75F4" w14:paraId="0D9B3EDA" w14:textId="77777777">
      <w:trPr>
        <w:trHeight w:val="144"/>
        <w:jc w:val="right"/>
      </w:trPr>
      <w:tc>
        <w:tcPr>
          <w:tcW w:w="2727" w:type="dxa"/>
        </w:tcPr>
        <w:p w14:paraId="27E11930" w14:textId="77777777" w:rsidR="00ED75F4" w:rsidRDefault="00ED75F4">
          <w:pPr>
            <w:tabs>
              <w:tab w:val="right" w:pos="8838"/>
            </w:tabs>
            <w:ind w:left="-74" w:right="-105"/>
            <w:rPr>
              <w:b/>
            </w:rPr>
          </w:pPr>
          <w:r>
            <w:rPr>
              <w:b/>
            </w:rPr>
            <w:t>Recurso de Revisión:</w:t>
          </w:r>
        </w:p>
      </w:tc>
      <w:tc>
        <w:tcPr>
          <w:tcW w:w="3402" w:type="dxa"/>
        </w:tcPr>
        <w:p w14:paraId="0190084E" w14:textId="02B588F7" w:rsidR="00ED75F4" w:rsidRPr="00E43858" w:rsidRDefault="00ED75F4" w:rsidP="005220F0">
          <w:pPr>
            <w:tabs>
              <w:tab w:val="right" w:pos="8838"/>
            </w:tabs>
            <w:ind w:left="-74" w:right="-105"/>
          </w:pPr>
          <w:r w:rsidRPr="00ED75F4">
            <w:t>04142/INFOEM/IP/RR/2025</w:t>
          </w:r>
        </w:p>
      </w:tc>
    </w:tr>
    <w:tr w:rsidR="00ED75F4" w14:paraId="71073FBB" w14:textId="77777777">
      <w:trPr>
        <w:trHeight w:val="283"/>
        <w:jc w:val="right"/>
      </w:trPr>
      <w:tc>
        <w:tcPr>
          <w:tcW w:w="2727" w:type="dxa"/>
        </w:tcPr>
        <w:p w14:paraId="17C6F29D" w14:textId="77777777" w:rsidR="00ED75F4" w:rsidRDefault="00ED75F4">
          <w:pPr>
            <w:tabs>
              <w:tab w:val="right" w:pos="8838"/>
            </w:tabs>
            <w:ind w:left="-74" w:right="-105"/>
            <w:rPr>
              <w:b/>
            </w:rPr>
          </w:pPr>
          <w:r>
            <w:rPr>
              <w:b/>
            </w:rPr>
            <w:t>Sujeto Obligado:</w:t>
          </w:r>
        </w:p>
      </w:tc>
      <w:tc>
        <w:tcPr>
          <w:tcW w:w="3402" w:type="dxa"/>
        </w:tcPr>
        <w:p w14:paraId="46561F9A" w14:textId="505C8614" w:rsidR="00ED75F4" w:rsidRPr="005220F0" w:rsidRDefault="00ED75F4">
          <w:pPr>
            <w:tabs>
              <w:tab w:val="left" w:pos="2834"/>
              <w:tab w:val="right" w:pos="8838"/>
            </w:tabs>
            <w:ind w:left="-108" w:right="-105"/>
          </w:pPr>
          <w:r w:rsidRPr="00ED75F4">
            <w:t>Poder Judicial</w:t>
          </w:r>
        </w:p>
      </w:tc>
    </w:tr>
    <w:tr w:rsidR="00ED75F4" w14:paraId="5434ECEC" w14:textId="77777777">
      <w:trPr>
        <w:trHeight w:val="283"/>
        <w:jc w:val="right"/>
      </w:trPr>
      <w:tc>
        <w:tcPr>
          <w:tcW w:w="2727" w:type="dxa"/>
        </w:tcPr>
        <w:p w14:paraId="3E24D6EE" w14:textId="77777777" w:rsidR="00ED75F4" w:rsidRDefault="00ED75F4">
          <w:pPr>
            <w:tabs>
              <w:tab w:val="right" w:pos="8838"/>
            </w:tabs>
            <w:ind w:left="-74" w:right="-105"/>
            <w:rPr>
              <w:b/>
            </w:rPr>
          </w:pPr>
          <w:r>
            <w:rPr>
              <w:b/>
            </w:rPr>
            <w:t>Comisionada Ponente:</w:t>
          </w:r>
        </w:p>
      </w:tc>
      <w:tc>
        <w:tcPr>
          <w:tcW w:w="3402" w:type="dxa"/>
        </w:tcPr>
        <w:p w14:paraId="265634D1" w14:textId="77777777" w:rsidR="00ED75F4" w:rsidRDefault="00ED75F4">
          <w:pPr>
            <w:tabs>
              <w:tab w:val="right" w:pos="8838"/>
            </w:tabs>
            <w:ind w:left="-108" w:right="-105"/>
          </w:pPr>
          <w:r>
            <w:t>Sharon Cristina Morales Martínez</w:t>
          </w:r>
        </w:p>
      </w:tc>
    </w:tr>
  </w:tbl>
  <w:p w14:paraId="0D720004" w14:textId="77777777" w:rsidR="00ED75F4" w:rsidRDefault="00ED75F4">
    <w:pPr>
      <w:pBdr>
        <w:top w:val="nil"/>
        <w:left w:val="nil"/>
        <w:bottom w:val="nil"/>
        <w:right w:val="nil"/>
        <w:between w:val="nil"/>
      </w:pBdr>
      <w:tabs>
        <w:tab w:val="center" w:pos="4419"/>
        <w:tab w:val="right" w:pos="8838"/>
        <w:tab w:val="center" w:pos="4522"/>
        <w:tab w:val="left" w:pos="6203"/>
      </w:tabs>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9A1AD7C" wp14:editId="1A892C77">
          <wp:simplePos x="0" y="0"/>
          <wp:positionH relativeFrom="margin">
            <wp:posOffset>-995043</wp:posOffset>
          </wp:positionH>
          <wp:positionV relativeFrom="margin">
            <wp:posOffset>-1782444</wp:posOffset>
          </wp:positionV>
          <wp:extent cx="8426450" cy="1097280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3CA90" w14:textId="77777777" w:rsidR="00ED75F4" w:rsidRDefault="00ED75F4">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ED75F4" w14:paraId="07D4DC48" w14:textId="77777777">
      <w:trPr>
        <w:trHeight w:val="1435"/>
      </w:trPr>
      <w:tc>
        <w:tcPr>
          <w:tcW w:w="283" w:type="dxa"/>
          <w:shd w:val="clear" w:color="auto" w:fill="auto"/>
        </w:tcPr>
        <w:p w14:paraId="10AEDB3E" w14:textId="77777777" w:rsidR="00ED75F4" w:rsidRDefault="00ED75F4">
          <w:pPr>
            <w:tabs>
              <w:tab w:val="right" w:pos="4273"/>
            </w:tabs>
            <w:rPr>
              <w:rFonts w:ascii="Garamond" w:eastAsia="Garamond" w:hAnsi="Garamond" w:cs="Garamond"/>
            </w:rPr>
          </w:pPr>
        </w:p>
      </w:tc>
      <w:tc>
        <w:tcPr>
          <w:tcW w:w="6379" w:type="dxa"/>
          <w:shd w:val="clear" w:color="auto" w:fill="auto"/>
        </w:tcPr>
        <w:p w14:paraId="1F1DA6B4" w14:textId="77777777" w:rsidR="00ED75F4" w:rsidRDefault="00ED75F4">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ED75F4" w14:paraId="6CAFFB43" w14:textId="77777777">
            <w:trPr>
              <w:trHeight w:val="144"/>
            </w:trPr>
            <w:tc>
              <w:tcPr>
                <w:tcW w:w="2790" w:type="dxa"/>
              </w:tcPr>
              <w:p w14:paraId="4F90FE50" w14:textId="77777777" w:rsidR="00ED75F4" w:rsidRDefault="00ED75F4">
                <w:pPr>
                  <w:tabs>
                    <w:tab w:val="right" w:pos="8838"/>
                  </w:tabs>
                  <w:ind w:left="-74" w:right="-105"/>
                  <w:rPr>
                    <w:b/>
                  </w:rPr>
                </w:pPr>
                <w:bookmarkStart w:id="0" w:name="_heading=h.147n2zr" w:colFirst="0" w:colLast="0"/>
                <w:bookmarkEnd w:id="0"/>
                <w:r>
                  <w:rPr>
                    <w:b/>
                  </w:rPr>
                  <w:t>Recurso de Revisión:</w:t>
                </w:r>
              </w:p>
            </w:tc>
            <w:tc>
              <w:tcPr>
                <w:tcW w:w="3345" w:type="dxa"/>
              </w:tcPr>
              <w:p w14:paraId="08792260" w14:textId="338733B0" w:rsidR="00ED75F4" w:rsidRPr="00E43858" w:rsidRDefault="00ED75F4" w:rsidP="005220F0">
                <w:pPr>
                  <w:tabs>
                    <w:tab w:val="right" w:pos="8838"/>
                  </w:tabs>
                  <w:ind w:left="-74" w:right="-105"/>
                </w:pPr>
                <w:r w:rsidRPr="00ED75F4">
                  <w:t>04142/INFOEM/IP/RR/2025</w:t>
                </w:r>
              </w:p>
            </w:tc>
            <w:tc>
              <w:tcPr>
                <w:tcW w:w="3405" w:type="dxa"/>
              </w:tcPr>
              <w:p w14:paraId="2A287227" w14:textId="77777777" w:rsidR="00ED75F4" w:rsidRDefault="00ED75F4">
                <w:pPr>
                  <w:tabs>
                    <w:tab w:val="right" w:pos="8838"/>
                  </w:tabs>
                  <w:ind w:left="-74" w:right="-105"/>
                </w:pPr>
              </w:p>
            </w:tc>
          </w:tr>
          <w:tr w:rsidR="00ED75F4" w14:paraId="0656BFF9" w14:textId="77777777">
            <w:trPr>
              <w:trHeight w:val="144"/>
            </w:trPr>
            <w:tc>
              <w:tcPr>
                <w:tcW w:w="2790" w:type="dxa"/>
              </w:tcPr>
              <w:p w14:paraId="364722EA" w14:textId="77777777" w:rsidR="00ED75F4" w:rsidRDefault="00ED75F4">
                <w:pPr>
                  <w:tabs>
                    <w:tab w:val="right" w:pos="8838"/>
                  </w:tabs>
                  <w:ind w:left="-74" w:right="-105"/>
                  <w:rPr>
                    <w:b/>
                  </w:rPr>
                </w:pPr>
                <w:bookmarkStart w:id="1" w:name="_heading=h.3o7alnk" w:colFirst="0" w:colLast="0"/>
                <w:bookmarkEnd w:id="1"/>
                <w:r>
                  <w:rPr>
                    <w:b/>
                  </w:rPr>
                  <w:t>Recurrente:</w:t>
                </w:r>
              </w:p>
            </w:tc>
            <w:tc>
              <w:tcPr>
                <w:tcW w:w="3345" w:type="dxa"/>
              </w:tcPr>
              <w:p w14:paraId="6213424C" w14:textId="644D2F09" w:rsidR="00ED75F4" w:rsidRDefault="00ED75F4" w:rsidP="005220F0">
                <w:pPr>
                  <w:tabs>
                    <w:tab w:val="right" w:pos="8838"/>
                  </w:tabs>
                  <w:ind w:left="-74" w:right="-105"/>
                </w:pPr>
              </w:p>
            </w:tc>
            <w:tc>
              <w:tcPr>
                <w:tcW w:w="3405" w:type="dxa"/>
              </w:tcPr>
              <w:p w14:paraId="17E34EE7" w14:textId="77777777" w:rsidR="00ED75F4" w:rsidRDefault="00ED75F4">
                <w:pPr>
                  <w:tabs>
                    <w:tab w:val="left" w:pos="3122"/>
                    <w:tab w:val="right" w:pos="8838"/>
                  </w:tabs>
                  <w:ind w:left="-105" w:right="-105"/>
                </w:pPr>
              </w:p>
            </w:tc>
          </w:tr>
          <w:tr w:rsidR="00ED75F4" w14:paraId="3FA08C30" w14:textId="77777777">
            <w:trPr>
              <w:trHeight w:val="283"/>
            </w:trPr>
            <w:tc>
              <w:tcPr>
                <w:tcW w:w="2790" w:type="dxa"/>
              </w:tcPr>
              <w:p w14:paraId="490F74F2" w14:textId="77777777" w:rsidR="00ED75F4" w:rsidRDefault="00ED75F4">
                <w:pPr>
                  <w:tabs>
                    <w:tab w:val="right" w:pos="8838"/>
                  </w:tabs>
                  <w:ind w:left="-74" w:right="-105"/>
                  <w:rPr>
                    <w:b/>
                  </w:rPr>
                </w:pPr>
                <w:r>
                  <w:rPr>
                    <w:b/>
                  </w:rPr>
                  <w:t>Sujeto Obligado:</w:t>
                </w:r>
              </w:p>
            </w:tc>
            <w:tc>
              <w:tcPr>
                <w:tcW w:w="3345" w:type="dxa"/>
              </w:tcPr>
              <w:p w14:paraId="7106384F" w14:textId="3979B706" w:rsidR="00ED75F4" w:rsidRPr="00737DE3" w:rsidRDefault="00ED75F4">
                <w:pPr>
                  <w:tabs>
                    <w:tab w:val="left" w:pos="2834"/>
                    <w:tab w:val="right" w:pos="8838"/>
                  </w:tabs>
                  <w:ind w:left="-108" w:right="-105"/>
                  <w:rPr>
                    <w:highlight w:val="yellow"/>
                  </w:rPr>
                </w:pPr>
                <w:r w:rsidRPr="00ED75F4">
                  <w:t>Poder Judicial</w:t>
                </w:r>
              </w:p>
            </w:tc>
            <w:tc>
              <w:tcPr>
                <w:tcW w:w="3405" w:type="dxa"/>
              </w:tcPr>
              <w:p w14:paraId="16AB2B15" w14:textId="77777777" w:rsidR="00ED75F4" w:rsidRDefault="00ED75F4">
                <w:pPr>
                  <w:tabs>
                    <w:tab w:val="left" w:pos="2834"/>
                    <w:tab w:val="right" w:pos="8838"/>
                  </w:tabs>
                  <w:ind w:left="-108" w:right="-105"/>
                </w:pPr>
              </w:p>
            </w:tc>
          </w:tr>
          <w:tr w:rsidR="00ED75F4" w14:paraId="2BEAB0A2" w14:textId="77777777">
            <w:trPr>
              <w:trHeight w:val="283"/>
            </w:trPr>
            <w:tc>
              <w:tcPr>
                <w:tcW w:w="2790" w:type="dxa"/>
              </w:tcPr>
              <w:p w14:paraId="0D2ED2D3" w14:textId="77777777" w:rsidR="00ED75F4" w:rsidRDefault="00ED75F4">
                <w:pPr>
                  <w:tabs>
                    <w:tab w:val="right" w:pos="8838"/>
                  </w:tabs>
                  <w:ind w:left="-74" w:right="-105"/>
                  <w:rPr>
                    <w:b/>
                  </w:rPr>
                </w:pPr>
                <w:r>
                  <w:rPr>
                    <w:b/>
                  </w:rPr>
                  <w:t>Comisionada Ponente:</w:t>
                </w:r>
              </w:p>
            </w:tc>
            <w:tc>
              <w:tcPr>
                <w:tcW w:w="3345" w:type="dxa"/>
              </w:tcPr>
              <w:p w14:paraId="585AA3C5" w14:textId="77777777" w:rsidR="00ED75F4" w:rsidRDefault="00ED75F4">
                <w:pPr>
                  <w:tabs>
                    <w:tab w:val="right" w:pos="8838"/>
                  </w:tabs>
                  <w:ind w:left="-108" w:right="-105"/>
                </w:pPr>
                <w:r>
                  <w:t>Sharon Cristina Morales Martínez</w:t>
                </w:r>
              </w:p>
            </w:tc>
            <w:tc>
              <w:tcPr>
                <w:tcW w:w="3405" w:type="dxa"/>
              </w:tcPr>
              <w:p w14:paraId="2849A278" w14:textId="77777777" w:rsidR="00ED75F4" w:rsidRDefault="00ED75F4">
                <w:pPr>
                  <w:tabs>
                    <w:tab w:val="right" w:pos="8838"/>
                  </w:tabs>
                  <w:ind w:left="-108" w:right="-105"/>
                </w:pPr>
              </w:p>
            </w:tc>
          </w:tr>
        </w:tbl>
        <w:p w14:paraId="658704ED" w14:textId="77777777" w:rsidR="00ED75F4" w:rsidRDefault="00ED75F4">
          <w:pPr>
            <w:tabs>
              <w:tab w:val="right" w:pos="8838"/>
            </w:tabs>
            <w:ind w:left="-28"/>
            <w:rPr>
              <w:rFonts w:ascii="Arial" w:eastAsia="Arial" w:hAnsi="Arial" w:cs="Arial"/>
              <w:b/>
            </w:rPr>
          </w:pPr>
        </w:p>
      </w:tc>
    </w:tr>
  </w:tbl>
  <w:p w14:paraId="0C136404" w14:textId="77777777" w:rsidR="00ED75F4" w:rsidRDefault="00CB4949">
    <w:pPr>
      <w:pBdr>
        <w:top w:val="nil"/>
        <w:left w:val="nil"/>
        <w:bottom w:val="nil"/>
        <w:right w:val="nil"/>
        <w:between w:val="nil"/>
      </w:pBdr>
      <w:tabs>
        <w:tab w:val="center" w:pos="4419"/>
        <w:tab w:val="right" w:pos="8838"/>
        <w:tab w:val="left" w:pos="2957"/>
      </w:tabs>
      <w:rPr>
        <w:rFonts w:eastAsia="Palatino Linotype" w:cs="Palatino Linotype"/>
        <w:color w:val="000000"/>
        <w:szCs w:val="22"/>
      </w:rPr>
    </w:pPr>
    <w:r>
      <w:rPr>
        <w:rFonts w:eastAsia="Palatino Linotype" w:cs="Palatino Linotype"/>
        <w:color w:val="000000"/>
        <w:sz w:val="36"/>
        <w:szCs w:val="36"/>
      </w:rPr>
      <w:pict w14:anchorId="1B7B9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17754"/>
    <w:multiLevelType w:val="hybridMultilevel"/>
    <w:tmpl w:val="6616D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5677C2"/>
    <w:multiLevelType w:val="hybridMultilevel"/>
    <w:tmpl w:val="5B72985A"/>
    <w:lvl w:ilvl="0" w:tplc="CEC86D94">
      <w:start w:val="1"/>
      <w:numFmt w:val="decimal"/>
      <w:lvlText w:val="%1."/>
      <w:lvlJc w:val="left"/>
      <w:pPr>
        <w:ind w:left="720" w:hanging="360"/>
      </w:pPr>
      <w:rPr>
        <w:rFonts w:hint="default"/>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DB4280"/>
    <w:multiLevelType w:val="hybridMultilevel"/>
    <w:tmpl w:val="ED1834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352AA4"/>
    <w:multiLevelType w:val="hybridMultilevel"/>
    <w:tmpl w:val="6DC6BF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B847A8"/>
    <w:multiLevelType w:val="hybridMultilevel"/>
    <w:tmpl w:val="8004B7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8E79D3"/>
    <w:multiLevelType w:val="hybridMultilevel"/>
    <w:tmpl w:val="E97CD4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0065F7"/>
    <w:multiLevelType w:val="hybridMultilevel"/>
    <w:tmpl w:val="75CA36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2A213C"/>
    <w:multiLevelType w:val="hybridMultilevel"/>
    <w:tmpl w:val="83EC9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124A0F"/>
    <w:multiLevelType w:val="hybridMultilevel"/>
    <w:tmpl w:val="E76CBE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430B51"/>
    <w:multiLevelType w:val="hybridMultilevel"/>
    <w:tmpl w:val="F244E042"/>
    <w:lvl w:ilvl="0" w:tplc="8BC22258">
      <w:start w:val="3"/>
      <w:numFmt w:val="bullet"/>
      <w:lvlText w:val="-"/>
      <w:lvlJc w:val="left"/>
      <w:pPr>
        <w:ind w:left="1080" w:hanging="360"/>
      </w:pPr>
      <w:rPr>
        <w:rFonts w:ascii="Palatino Linotype" w:eastAsia="Times New Roman" w:hAnsi="Palatino Linotype" w:cs="Times New Roman" w:hint="default"/>
        <w:b/>
        <w:i/>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2FF5260"/>
    <w:multiLevelType w:val="hybridMultilevel"/>
    <w:tmpl w:val="CAB2BA4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1C1E3E"/>
    <w:multiLevelType w:val="hybridMultilevel"/>
    <w:tmpl w:val="D346B3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333EA7"/>
    <w:multiLevelType w:val="hybridMultilevel"/>
    <w:tmpl w:val="410013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BC4FA6"/>
    <w:multiLevelType w:val="multilevel"/>
    <w:tmpl w:val="D17E5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E6225C"/>
    <w:multiLevelType w:val="hybridMultilevel"/>
    <w:tmpl w:val="E97CD4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797B74"/>
    <w:multiLevelType w:val="multilevel"/>
    <w:tmpl w:val="C46E662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CCA7C55"/>
    <w:multiLevelType w:val="hybridMultilevel"/>
    <w:tmpl w:val="E8C2F2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965779"/>
    <w:multiLevelType w:val="hybridMultilevel"/>
    <w:tmpl w:val="47AE41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506AE6"/>
    <w:multiLevelType w:val="multilevel"/>
    <w:tmpl w:val="75C22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CE6397"/>
    <w:multiLevelType w:val="hybridMultilevel"/>
    <w:tmpl w:val="75CA36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896AA9"/>
    <w:multiLevelType w:val="hybridMultilevel"/>
    <w:tmpl w:val="9F3AFF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631445"/>
    <w:multiLevelType w:val="hybridMultilevel"/>
    <w:tmpl w:val="6D1AD6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992F65"/>
    <w:multiLevelType w:val="hybridMultilevel"/>
    <w:tmpl w:val="C35890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88144B6"/>
    <w:multiLevelType w:val="hybridMultilevel"/>
    <w:tmpl w:val="760885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27391A"/>
    <w:multiLevelType w:val="hybridMultilevel"/>
    <w:tmpl w:val="B17E9E66"/>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D476E1B"/>
    <w:multiLevelType w:val="hybridMultilevel"/>
    <w:tmpl w:val="DC148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352662"/>
    <w:multiLevelType w:val="hybridMultilevel"/>
    <w:tmpl w:val="AD5E91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E359CC"/>
    <w:multiLevelType w:val="hybridMultilevel"/>
    <w:tmpl w:val="082E05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6C62006"/>
    <w:multiLevelType w:val="hybridMultilevel"/>
    <w:tmpl w:val="6786E378"/>
    <w:lvl w:ilvl="0" w:tplc="8F449F0E">
      <w:start w:val="1"/>
      <w:numFmt w:val="decimal"/>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BE461C"/>
    <w:multiLevelType w:val="hybridMultilevel"/>
    <w:tmpl w:val="E97CD4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E23799"/>
    <w:multiLevelType w:val="hybridMultilevel"/>
    <w:tmpl w:val="FD2C4932"/>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F15717"/>
    <w:multiLevelType w:val="hybridMultilevel"/>
    <w:tmpl w:val="5C1E3E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DB6EE6"/>
    <w:multiLevelType w:val="hybridMultilevel"/>
    <w:tmpl w:val="59743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E95081A"/>
    <w:multiLevelType w:val="hybridMultilevel"/>
    <w:tmpl w:val="C5D063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431CAC"/>
    <w:multiLevelType w:val="multilevel"/>
    <w:tmpl w:val="3690B24A"/>
    <w:lvl w:ilvl="0">
      <w:start w:val="1"/>
      <w:numFmt w:val="bullet"/>
      <w:lvlText w:val="●"/>
      <w:lvlJc w:val="left"/>
      <w:pPr>
        <w:ind w:left="1287" w:hanging="360"/>
      </w:pPr>
      <w:rPr>
        <w:u w:val="none"/>
      </w:rPr>
    </w:lvl>
    <w:lvl w:ilvl="1">
      <w:start w:val="1"/>
      <w:numFmt w:val="bullet"/>
      <w:lvlText w:val="o"/>
      <w:lvlJc w:val="left"/>
      <w:pPr>
        <w:ind w:left="2007" w:hanging="360"/>
      </w:pPr>
      <w:rPr>
        <w:u w:val="none"/>
      </w:rPr>
    </w:lvl>
    <w:lvl w:ilvl="2">
      <w:start w:val="1"/>
      <w:numFmt w:val="bullet"/>
      <w:lvlText w:val="▪"/>
      <w:lvlJc w:val="left"/>
      <w:pPr>
        <w:ind w:left="2727" w:hanging="360"/>
      </w:pPr>
      <w:rPr>
        <w:u w:val="none"/>
      </w:rPr>
    </w:lvl>
    <w:lvl w:ilvl="3">
      <w:start w:val="1"/>
      <w:numFmt w:val="bullet"/>
      <w:lvlText w:val="●"/>
      <w:lvlJc w:val="left"/>
      <w:pPr>
        <w:ind w:left="3447" w:hanging="360"/>
      </w:pPr>
      <w:rPr>
        <w:u w:val="none"/>
      </w:rPr>
    </w:lvl>
    <w:lvl w:ilvl="4">
      <w:start w:val="1"/>
      <w:numFmt w:val="bullet"/>
      <w:lvlText w:val="o"/>
      <w:lvlJc w:val="left"/>
      <w:pPr>
        <w:ind w:left="4167" w:hanging="360"/>
      </w:pPr>
      <w:rPr>
        <w:u w:val="none"/>
      </w:rPr>
    </w:lvl>
    <w:lvl w:ilvl="5">
      <w:start w:val="1"/>
      <w:numFmt w:val="bullet"/>
      <w:lvlText w:val="▪"/>
      <w:lvlJc w:val="left"/>
      <w:pPr>
        <w:ind w:left="4887" w:hanging="360"/>
      </w:pPr>
      <w:rPr>
        <w:u w:val="none"/>
      </w:rPr>
    </w:lvl>
    <w:lvl w:ilvl="6">
      <w:start w:val="1"/>
      <w:numFmt w:val="bullet"/>
      <w:lvlText w:val="●"/>
      <w:lvlJc w:val="left"/>
      <w:pPr>
        <w:ind w:left="5607" w:hanging="360"/>
      </w:pPr>
      <w:rPr>
        <w:u w:val="none"/>
      </w:rPr>
    </w:lvl>
    <w:lvl w:ilvl="7">
      <w:start w:val="1"/>
      <w:numFmt w:val="bullet"/>
      <w:lvlText w:val="o"/>
      <w:lvlJc w:val="left"/>
      <w:pPr>
        <w:ind w:left="6327" w:hanging="360"/>
      </w:pPr>
      <w:rPr>
        <w:u w:val="none"/>
      </w:rPr>
    </w:lvl>
    <w:lvl w:ilvl="8">
      <w:start w:val="1"/>
      <w:numFmt w:val="bullet"/>
      <w:lvlText w:val="▪"/>
      <w:lvlJc w:val="left"/>
      <w:pPr>
        <w:ind w:left="7047" w:hanging="360"/>
      </w:pPr>
      <w:rPr>
        <w:u w:val="none"/>
      </w:rPr>
    </w:lvl>
  </w:abstractNum>
  <w:abstractNum w:abstractNumId="36" w15:restartNumberingAfterBreak="0">
    <w:nsid w:val="71121255"/>
    <w:multiLevelType w:val="hybridMultilevel"/>
    <w:tmpl w:val="E97CD4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80197E"/>
    <w:multiLevelType w:val="hybridMultilevel"/>
    <w:tmpl w:val="15769826"/>
    <w:lvl w:ilvl="0" w:tplc="970C490E">
      <w:start w:val="1"/>
      <w:numFmt w:val="decimal"/>
      <w:lvlText w:val="%1."/>
      <w:lvlJc w:val="left"/>
      <w:pPr>
        <w:ind w:left="252" w:hanging="360"/>
      </w:pPr>
      <w:rPr>
        <w:rFonts w:hint="default"/>
        <w:sz w:val="20"/>
      </w:rPr>
    </w:lvl>
    <w:lvl w:ilvl="1" w:tplc="080A0019" w:tentative="1">
      <w:start w:val="1"/>
      <w:numFmt w:val="lowerLetter"/>
      <w:lvlText w:val="%2."/>
      <w:lvlJc w:val="left"/>
      <w:pPr>
        <w:ind w:left="972" w:hanging="360"/>
      </w:pPr>
    </w:lvl>
    <w:lvl w:ilvl="2" w:tplc="080A001B" w:tentative="1">
      <w:start w:val="1"/>
      <w:numFmt w:val="lowerRoman"/>
      <w:lvlText w:val="%3."/>
      <w:lvlJc w:val="right"/>
      <w:pPr>
        <w:ind w:left="1692" w:hanging="180"/>
      </w:pPr>
    </w:lvl>
    <w:lvl w:ilvl="3" w:tplc="080A000F" w:tentative="1">
      <w:start w:val="1"/>
      <w:numFmt w:val="decimal"/>
      <w:lvlText w:val="%4."/>
      <w:lvlJc w:val="left"/>
      <w:pPr>
        <w:ind w:left="2412" w:hanging="360"/>
      </w:pPr>
    </w:lvl>
    <w:lvl w:ilvl="4" w:tplc="080A0019" w:tentative="1">
      <w:start w:val="1"/>
      <w:numFmt w:val="lowerLetter"/>
      <w:lvlText w:val="%5."/>
      <w:lvlJc w:val="left"/>
      <w:pPr>
        <w:ind w:left="3132" w:hanging="360"/>
      </w:pPr>
    </w:lvl>
    <w:lvl w:ilvl="5" w:tplc="080A001B" w:tentative="1">
      <w:start w:val="1"/>
      <w:numFmt w:val="lowerRoman"/>
      <w:lvlText w:val="%6."/>
      <w:lvlJc w:val="right"/>
      <w:pPr>
        <w:ind w:left="3852" w:hanging="180"/>
      </w:pPr>
    </w:lvl>
    <w:lvl w:ilvl="6" w:tplc="080A000F" w:tentative="1">
      <w:start w:val="1"/>
      <w:numFmt w:val="decimal"/>
      <w:lvlText w:val="%7."/>
      <w:lvlJc w:val="left"/>
      <w:pPr>
        <w:ind w:left="4572" w:hanging="360"/>
      </w:pPr>
    </w:lvl>
    <w:lvl w:ilvl="7" w:tplc="080A0019" w:tentative="1">
      <w:start w:val="1"/>
      <w:numFmt w:val="lowerLetter"/>
      <w:lvlText w:val="%8."/>
      <w:lvlJc w:val="left"/>
      <w:pPr>
        <w:ind w:left="5292" w:hanging="360"/>
      </w:pPr>
    </w:lvl>
    <w:lvl w:ilvl="8" w:tplc="080A001B" w:tentative="1">
      <w:start w:val="1"/>
      <w:numFmt w:val="lowerRoman"/>
      <w:lvlText w:val="%9."/>
      <w:lvlJc w:val="right"/>
      <w:pPr>
        <w:ind w:left="6012" w:hanging="180"/>
      </w:pPr>
    </w:lvl>
  </w:abstractNum>
  <w:abstractNum w:abstractNumId="38" w15:restartNumberingAfterBreak="0">
    <w:nsid w:val="76323E37"/>
    <w:multiLevelType w:val="hybridMultilevel"/>
    <w:tmpl w:val="824645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8D6789A"/>
    <w:multiLevelType w:val="hybridMultilevel"/>
    <w:tmpl w:val="F94EF0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9C96F74"/>
    <w:multiLevelType w:val="hybridMultilevel"/>
    <w:tmpl w:val="E97CD4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910DE0"/>
    <w:multiLevelType w:val="hybridMultilevel"/>
    <w:tmpl w:val="DC148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DD602D"/>
    <w:multiLevelType w:val="hybridMultilevel"/>
    <w:tmpl w:val="7CF2D99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E3D2B16"/>
    <w:multiLevelType w:val="hybridMultilevel"/>
    <w:tmpl w:val="DC148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2"/>
  </w:num>
  <w:num w:numId="3">
    <w:abstractNumId w:val="24"/>
  </w:num>
  <w:num w:numId="4">
    <w:abstractNumId w:val="33"/>
  </w:num>
  <w:num w:numId="5">
    <w:abstractNumId w:val="0"/>
  </w:num>
  <w:num w:numId="6">
    <w:abstractNumId w:val="30"/>
  </w:num>
  <w:num w:numId="7">
    <w:abstractNumId w:val="40"/>
  </w:num>
  <w:num w:numId="8">
    <w:abstractNumId w:val="36"/>
  </w:num>
  <w:num w:numId="9">
    <w:abstractNumId w:val="14"/>
  </w:num>
  <w:num w:numId="10">
    <w:abstractNumId w:val="20"/>
  </w:num>
  <w:num w:numId="11">
    <w:abstractNumId w:val="5"/>
  </w:num>
  <w:num w:numId="12">
    <w:abstractNumId w:val="2"/>
  </w:num>
  <w:num w:numId="13">
    <w:abstractNumId w:val="27"/>
  </w:num>
  <w:num w:numId="14">
    <w:abstractNumId w:val="8"/>
  </w:num>
  <w:num w:numId="15">
    <w:abstractNumId w:val="12"/>
  </w:num>
  <w:num w:numId="16">
    <w:abstractNumId w:val="32"/>
  </w:num>
  <w:num w:numId="17">
    <w:abstractNumId w:val="34"/>
  </w:num>
  <w:num w:numId="18">
    <w:abstractNumId w:val="3"/>
  </w:num>
  <w:num w:numId="19">
    <w:abstractNumId w:val="39"/>
  </w:num>
  <w:num w:numId="20">
    <w:abstractNumId w:val="41"/>
  </w:num>
  <w:num w:numId="21">
    <w:abstractNumId w:val="26"/>
  </w:num>
  <w:num w:numId="22">
    <w:abstractNumId w:val="38"/>
  </w:num>
  <w:num w:numId="23">
    <w:abstractNumId w:val="16"/>
  </w:num>
  <w:num w:numId="24">
    <w:abstractNumId w:val="43"/>
  </w:num>
  <w:num w:numId="25">
    <w:abstractNumId w:val="29"/>
  </w:num>
  <w:num w:numId="26">
    <w:abstractNumId w:val="37"/>
  </w:num>
  <w:num w:numId="27">
    <w:abstractNumId w:val="21"/>
  </w:num>
  <w:num w:numId="28">
    <w:abstractNumId w:val="1"/>
  </w:num>
  <w:num w:numId="29">
    <w:abstractNumId w:val="35"/>
  </w:num>
  <w:num w:numId="30">
    <w:abstractNumId w:val="23"/>
  </w:num>
  <w:num w:numId="31">
    <w:abstractNumId w:val="17"/>
  </w:num>
  <w:num w:numId="32">
    <w:abstractNumId w:val="28"/>
  </w:num>
  <w:num w:numId="33">
    <w:abstractNumId w:val="19"/>
  </w:num>
  <w:num w:numId="34">
    <w:abstractNumId w:val="6"/>
  </w:num>
  <w:num w:numId="35">
    <w:abstractNumId w:val="31"/>
  </w:num>
  <w:num w:numId="36">
    <w:abstractNumId w:val="4"/>
  </w:num>
  <w:num w:numId="37">
    <w:abstractNumId w:val="25"/>
  </w:num>
  <w:num w:numId="38">
    <w:abstractNumId w:val="15"/>
  </w:num>
  <w:num w:numId="39">
    <w:abstractNumId w:val="9"/>
  </w:num>
  <w:num w:numId="40">
    <w:abstractNumId w:val="13"/>
  </w:num>
  <w:num w:numId="41">
    <w:abstractNumId w:val="10"/>
  </w:num>
  <w:num w:numId="42">
    <w:abstractNumId w:val="42"/>
  </w:num>
  <w:num w:numId="43">
    <w:abstractNumId w:val="7"/>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1D9"/>
    <w:rsid w:val="000007C1"/>
    <w:rsid w:val="000021B4"/>
    <w:rsid w:val="000122E9"/>
    <w:rsid w:val="00012BCD"/>
    <w:rsid w:val="0001436B"/>
    <w:rsid w:val="00016B51"/>
    <w:rsid w:val="00034C5C"/>
    <w:rsid w:val="00036E41"/>
    <w:rsid w:val="000470DF"/>
    <w:rsid w:val="000509E2"/>
    <w:rsid w:val="00050E16"/>
    <w:rsid w:val="00051331"/>
    <w:rsid w:val="0005205B"/>
    <w:rsid w:val="000521AB"/>
    <w:rsid w:val="00060361"/>
    <w:rsid w:val="0006761C"/>
    <w:rsid w:val="000828F4"/>
    <w:rsid w:val="00084868"/>
    <w:rsid w:val="00090FAC"/>
    <w:rsid w:val="000955A6"/>
    <w:rsid w:val="000B4924"/>
    <w:rsid w:val="000B7111"/>
    <w:rsid w:val="000B7D6E"/>
    <w:rsid w:val="000C270A"/>
    <w:rsid w:val="000D2848"/>
    <w:rsid w:val="000D33B0"/>
    <w:rsid w:val="000D5826"/>
    <w:rsid w:val="000D600D"/>
    <w:rsid w:val="000D7B24"/>
    <w:rsid w:val="000E3DF1"/>
    <w:rsid w:val="000E42CA"/>
    <w:rsid w:val="000E5873"/>
    <w:rsid w:val="000E5967"/>
    <w:rsid w:val="000F553A"/>
    <w:rsid w:val="000F5CB6"/>
    <w:rsid w:val="0010000B"/>
    <w:rsid w:val="00105487"/>
    <w:rsid w:val="001126E3"/>
    <w:rsid w:val="00114C81"/>
    <w:rsid w:val="00131BE1"/>
    <w:rsid w:val="00134FA1"/>
    <w:rsid w:val="00135023"/>
    <w:rsid w:val="00155E4A"/>
    <w:rsid w:val="0016145D"/>
    <w:rsid w:val="001621AE"/>
    <w:rsid w:val="00167E06"/>
    <w:rsid w:val="0017354D"/>
    <w:rsid w:val="00176DA1"/>
    <w:rsid w:val="00191CF7"/>
    <w:rsid w:val="00193492"/>
    <w:rsid w:val="001A6D05"/>
    <w:rsid w:val="001B5316"/>
    <w:rsid w:val="001B7238"/>
    <w:rsid w:val="001C0893"/>
    <w:rsid w:val="001C12D6"/>
    <w:rsid w:val="001C1369"/>
    <w:rsid w:val="001C428F"/>
    <w:rsid w:val="001C660F"/>
    <w:rsid w:val="001C77EC"/>
    <w:rsid w:val="001D3D68"/>
    <w:rsid w:val="001E3743"/>
    <w:rsid w:val="001F3976"/>
    <w:rsid w:val="001F4F40"/>
    <w:rsid w:val="001F5FC3"/>
    <w:rsid w:val="00210D17"/>
    <w:rsid w:val="00217A55"/>
    <w:rsid w:val="002205B7"/>
    <w:rsid w:val="002363EB"/>
    <w:rsid w:val="002366E5"/>
    <w:rsid w:val="00240BB6"/>
    <w:rsid w:val="00247497"/>
    <w:rsid w:val="00251076"/>
    <w:rsid w:val="00254951"/>
    <w:rsid w:val="002625BD"/>
    <w:rsid w:val="00283837"/>
    <w:rsid w:val="00290706"/>
    <w:rsid w:val="00290F13"/>
    <w:rsid w:val="0029317E"/>
    <w:rsid w:val="002A28CE"/>
    <w:rsid w:val="002A3FDC"/>
    <w:rsid w:val="002A72FE"/>
    <w:rsid w:val="002B11D9"/>
    <w:rsid w:val="002B24B6"/>
    <w:rsid w:val="002B599D"/>
    <w:rsid w:val="002C26FC"/>
    <w:rsid w:val="002D1F4F"/>
    <w:rsid w:val="00300DA3"/>
    <w:rsid w:val="00317E05"/>
    <w:rsid w:val="00322DE3"/>
    <w:rsid w:val="003248B8"/>
    <w:rsid w:val="00324E04"/>
    <w:rsid w:val="00325427"/>
    <w:rsid w:val="003263B2"/>
    <w:rsid w:val="0032654E"/>
    <w:rsid w:val="00326E22"/>
    <w:rsid w:val="0032750C"/>
    <w:rsid w:val="003278EC"/>
    <w:rsid w:val="0033679A"/>
    <w:rsid w:val="00352A5B"/>
    <w:rsid w:val="00353A30"/>
    <w:rsid w:val="00365E5D"/>
    <w:rsid w:val="00382FEF"/>
    <w:rsid w:val="0038711B"/>
    <w:rsid w:val="00387BDF"/>
    <w:rsid w:val="00387F2D"/>
    <w:rsid w:val="003D41EA"/>
    <w:rsid w:val="003E4336"/>
    <w:rsid w:val="003E4487"/>
    <w:rsid w:val="003F521F"/>
    <w:rsid w:val="00400B8C"/>
    <w:rsid w:val="00404087"/>
    <w:rsid w:val="00407396"/>
    <w:rsid w:val="00421000"/>
    <w:rsid w:val="00421C6E"/>
    <w:rsid w:val="0043233B"/>
    <w:rsid w:val="00432402"/>
    <w:rsid w:val="00437BFC"/>
    <w:rsid w:val="0044614C"/>
    <w:rsid w:val="00453556"/>
    <w:rsid w:val="00460C45"/>
    <w:rsid w:val="00466868"/>
    <w:rsid w:val="004757B0"/>
    <w:rsid w:val="00476551"/>
    <w:rsid w:val="0047718C"/>
    <w:rsid w:val="00483D29"/>
    <w:rsid w:val="00492EA4"/>
    <w:rsid w:val="00497546"/>
    <w:rsid w:val="004A011D"/>
    <w:rsid w:val="004A1070"/>
    <w:rsid w:val="004A3433"/>
    <w:rsid w:val="004A4AA5"/>
    <w:rsid w:val="004D4360"/>
    <w:rsid w:val="004E4285"/>
    <w:rsid w:val="004E7127"/>
    <w:rsid w:val="004F079E"/>
    <w:rsid w:val="004F59D6"/>
    <w:rsid w:val="00502F3C"/>
    <w:rsid w:val="00506730"/>
    <w:rsid w:val="005201C8"/>
    <w:rsid w:val="005202C2"/>
    <w:rsid w:val="00520C66"/>
    <w:rsid w:val="005220F0"/>
    <w:rsid w:val="00530657"/>
    <w:rsid w:val="005315C2"/>
    <w:rsid w:val="0053716F"/>
    <w:rsid w:val="00572C31"/>
    <w:rsid w:val="00574616"/>
    <w:rsid w:val="00575FA4"/>
    <w:rsid w:val="00583B5F"/>
    <w:rsid w:val="0059020D"/>
    <w:rsid w:val="005A1DCB"/>
    <w:rsid w:val="005A7A29"/>
    <w:rsid w:val="005D1356"/>
    <w:rsid w:val="005E5FEE"/>
    <w:rsid w:val="005F6CC7"/>
    <w:rsid w:val="005F7177"/>
    <w:rsid w:val="0060153D"/>
    <w:rsid w:val="006027DF"/>
    <w:rsid w:val="00602ACA"/>
    <w:rsid w:val="00602E1E"/>
    <w:rsid w:val="0060676F"/>
    <w:rsid w:val="00633FBD"/>
    <w:rsid w:val="006426A9"/>
    <w:rsid w:val="00670C38"/>
    <w:rsid w:val="00680595"/>
    <w:rsid w:val="00686164"/>
    <w:rsid w:val="00692AAF"/>
    <w:rsid w:val="00697C96"/>
    <w:rsid w:val="006A5807"/>
    <w:rsid w:val="006A6B1A"/>
    <w:rsid w:val="006D0732"/>
    <w:rsid w:val="006D169C"/>
    <w:rsid w:val="006F2AC9"/>
    <w:rsid w:val="00706BBF"/>
    <w:rsid w:val="00712E23"/>
    <w:rsid w:val="00716C11"/>
    <w:rsid w:val="007176B5"/>
    <w:rsid w:val="007262EE"/>
    <w:rsid w:val="00727552"/>
    <w:rsid w:val="00732DB5"/>
    <w:rsid w:val="00737DE3"/>
    <w:rsid w:val="00743588"/>
    <w:rsid w:val="00751776"/>
    <w:rsid w:val="0075459A"/>
    <w:rsid w:val="00756A2C"/>
    <w:rsid w:val="0076015C"/>
    <w:rsid w:val="00775026"/>
    <w:rsid w:val="007860D6"/>
    <w:rsid w:val="0078667E"/>
    <w:rsid w:val="00795D20"/>
    <w:rsid w:val="007B2DF6"/>
    <w:rsid w:val="007E00DB"/>
    <w:rsid w:val="007F2745"/>
    <w:rsid w:val="0080475F"/>
    <w:rsid w:val="008063A5"/>
    <w:rsid w:val="00812D8B"/>
    <w:rsid w:val="00815E38"/>
    <w:rsid w:val="008225E9"/>
    <w:rsid w:val="00864FB7"/>
    <w:rsid w:val="00875119"/>
    <w:rsid w:val="008755F9"/>
    <w:rsid w:val="00895DB5"/>
    <w:rsid w:val="008C4CBE"/>
    <w:rsid w:val="008C7CD0"/>
    <w:rsid w:val="008E0413"/>
    <w:rsid w:val="008F496E"/>
    <w:rsid w:val="00900821"/>
    <w:rsid w:val="009047DE"/>
    <w:rsid w:val="00904CC0"/>
    <w:rsid w:val="00911794"/>
    <w:rsid w:val="009123BE"/>
    <w:rsid w:val="009224ED"/>
    <w:rsid w:val="00945355"/>
    <w:rsid w:val="009459E1"/>
    <w:rsid w:val="00946782"/>
    <w:rsid w:val="009539DF"/>
    <w:rsid w:val="00964083"/>
    <w:rsid w:val="009773B7"/>
    <w:rsid w:val="009921EE"/>
    <w:rsid w:val="00996FCF"/>
    <w:rsid w:val="009B4DA5"/>
    <w:rsid w:val="009C6FFB"/>
    <w:rsid w:val="009D656C"/>
    <w:rsid w:val="009E0C99"/>
    <w:rsid w:val="009E18B2"/>
    <w:rsid w:val="009E5A62"/>
    <w:rsid w:val="00A027DE"/>
    <w:rsid w:val="00A11BCA"/>
    <w:rsid w:val="00A174AD"/>
    <w:rsid w:val="00A2512A"/>
    <w:rsid w:val="00A31783"/>
    <w:rsid w:val="00A379DD"/>
    <w:rsid w:val="00A40AE4"/>
    <w:rsid w:val="00A44643"/>
    <w:rsid w:val="00A50B3F"/>
    <w:rsid w:val="00A7186C"/>
    <w:rsid w:val="00A77AB3"/>
    <w:rsid w:val="00A8009F"/>
    <w:rsid w:val="00A84851"/>
    <w:rsid w:val="00A84F9D"/>
    <w:rsid w:val="00A91718"/>
    <w:rsid w:val="00A9674B"/>
    <w:rsid w:val="00AC6B4A"/>
    <w:rsid w:val="00AD418B"/>
    <w:rsid w:val="00B05724"/>
    <w:rsid w:val="00B11A81"/>
    <w:rsid w:val="00B1246E"/>
    <w:rsid w:val="00B2633D"/>
    <w:rsid w:val="00B33781"/>
    <w:rsid w:val="00B35406"/>
    <w:rsid w:val="00B42E7B"/>
    <w:rsid w:val="00B47A84"/>
    <w:rsid w:val="00B55678"/>
    <w:rsid w:val="00B637B4"/>
    <w:rsid w:val="00B7236D"/>
    <w:rsid w:val="00B73983"/>
    <w:rsid w:val="00B95674"/>
    <w:rsid w:val="00B96B00"/>
    <w:rsid w:val="00BA6B9F"/>
    <w:rsid w:val="00BC1D2B"/>
    <w:rsid w:val="00BC1E0C"/>
    <w:rsid w:val="00BD06D1"/>
    <w:rsid w:val="00BD2B5E"/>
    <w:rsid w:val="00BD59B1"/>
    <w:rsid w:val="00BD6B68"/>
    <w:rsid w:val="00BF779F"/>
    <w:rsid w:val="00C11483"/>
    <w:rsid w:val="00C15ABB"/>
    <w:rsid w:val="00C30C03"/>
    <w:rsid w:val="00C32CB5"/>
    <w:rsid w:val="00C65269"/>
    <w:rsid w:val="00C969A0"/>
    <w:rsid w:val="00CA33C7"/>
    <w:rsid w:val="00CB091A"/>
    <w:rsid w:val="00CB4949"/>
    <w:rsid w:val="00CB4E1B"/>
    <w:rsid w:val="00CC6C3B"/>
    <w:rsid w:val="00CE6A7F"/>
    <w:rsid w:val="00CF0519"/>
    <w:rsid w:val="00CF12D7"/>
    <w:rsid w:val="00CF6D5B"/>
    <w:rsid w:val="00D03F32"/>
    <w:rsid w:val="00D04833"/>
    <w:rsid w:val="00D0620A"/>
    <w:rsid w:val="00D12525"/>
    <w:rsid w:val="00D2797F"/>
    <w:rsid w:val="00D34440"/>
    <w:rsid w:val="00D35494"/>
    <w:rsid w:val="00D45240"/>
    <w:rsid w:val="00D465AF"/>
    <w:rsid w:val="00D47FDB"/>
    <w:rsid w:val="00D707EC"/>
    <w:rsid w:val="00D72F5D"/>
    <w:rsid w:val="00D76749"/>
    <w:rsid w:val="00D858BC"/>
    <w:rsid w:val="00D870AB"/>
    <w:rsid w:val="00D92D40"/>
    <w:rsid w:val="00D93A0D"/>
    <w:rsid w:val="00D96A09"/>
    <w:rsid w:val="00D96DE4"/>
    <w:rsid w:val="00DA1852"/>
    <w:rsid w:val="00DA57F8"/>
    <w:rsid w:val="00DA71D0"/>
    <w:rsid w:val="00DC4D39"/>
    <w:rsid w:val="00DC66A5"/>
    <w:rsid w:val="00DE4BA1"/>
    <w:rsid w:val="00E105B0"/>
    <w:rsid w:val="00E27DD5"/>
    <w:rsid w:val="00E374BA"/>
    <w:rsid w:val="00E424B0"/>
    <w:rsid w:val="00E43858"/>
    <w:rsid w:val="00E44EBA"/>
    <w:rsid w:val="00E46E50"/>
    <w:rsid w:val="00E50421"/>
    <w:rsid w:val="00E51E50"/>
    <w:rsid w:val="00E54A54"/>
    <w:rsid w:val="00E56A27"/>
    <w:rsid w:val="00E61AC3"/>
    <w:rsid w:val="00E61C36"/>
    <w:rsid w:val="00E71D62"/>
    <w:rsid w:val="00EA0D99"/>
    <w:rsid w:val="00EA2905"/>
    <w:rsid w:val="00EB0438"/>
    <w:rsid w:val="00EC1131"/>
    <w:rsid w:val="00EC13AD"/>
    <w:rsid w:val="00EC3D52"/>
    <w:rsid w:val="00ED0C1D"/>
    <w:rsid w:val="00ED16CA"/>
    <w:rsid w:val="00ED4973"/>
    <w:rsid w:val="00ED75F4"/>
    <w:rsid w:val="00EF2D8D"/>
    <w:rsid w:val="00EF53D2"/>
    <w:rsid w:val="00EF7B58"/>
    <w:rsid w:val="00F01BEA"/>
    <w:rsid w:val="00F023FC"/>
    <w:rsid w:val="00F067ED"/>
    <w:rsid w:val="00F10C1B"/>
    <w:rsid w:val="00F1249A"/>
    <w:rsid w:val="00F16E3A"/>
    <w:rsid w:val="00F3381B"/>
    <w:rsid w:val="00F36219"/>
    <w:rsid w:val="00F465D2"/>
    <w:rsid w:val="00F53262"/>
    <w:rsid w:val="00F64803"/>
    <w:rsid w:val="00F82DB2"/>
    <w:rsid w:val="00F86BF3"/>
    <w:rsid w:val="00F9328E"/>
    <w:rsid w:val="00F94C2B"/>
    <w:rsid w:val="00F97DF9"/>
    <w:rsid w:val="00FA569C"/>
    <w:rsid w:val="00FA6B94"/>
    <w:rsid w:val="00FB5184"/>
    <w:rsid w:val="00FD0059"/>
    <w:rsid w:val="00FD79D8"/>
    <w:rsid w:val="00FE0C2E"/>
    <w:rsid w:val="00FF3389"/>
    <w:rsid w:val="00FF56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498A9"/>
  <w15:docId w15:val="{8A06B529-6FD3-4970-971B-FA39AC0F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unhideWhenUsed/>
    <w:rsid w:val="00CF0519"/>
    <w:pPr>
      <w:spacing w:before="100" w:beforeAutospacing="1" w:after="100" w:afterAutospacing="1" w:line="240" w:lineRule="auto"/>
      <w:jc w:val="left"/>
    </w:pPr>
    <w:rPr>
      <w:rFonts w:ascii="Times New Roman" w:hAnsi="Times New Roman"/>
      <w:sz w:val="24"/>
      <w:szCs w:val="24"/>
      <w:lang w:eastAsia="es-MX"/>
    </w:rPr>
  </w:style>
  <w:style w:type="character" w:customStyle="1" w:styleId="Mencinsinresolver1">
    <w:name w:val="Mención sin resolver1"/>
    <w:basedOn w:val="Fuentedeprrafopredeter"/>
    <w:uiPriority w:val="99"/>
    <w:semiHidden/>
    <w:unhideWhenUsed/>
    <w:rsid w:val="00B72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10768">
      <w:bodyDiv w:val="1"/>
      <w:marLeft w:val="0"/>
      <w:marRight w:val="0"/>
      <w:marTop w:val="0"/>
      <w:marBottom w:val="0"/>
      <w:divBdr>
        <w:top w:val="none" w:sz="0" w:space="0" w:color="auto"/>
        <w:left w:val="none" w:sz="0" w:space="0" w:color="auto"/>
        <w:bottom w:val="none" w:sz="0" w:space="0" w:color="auto"/>
        <w:right w:val="none" w:sz="0" w:space="0" w:color="auto"/>
      </w:divBdr>
    </w:div>
    <w:div w:id="304242846">
      <w:bodyDiv w:val="1"/>
      <w:marLeft w:val="0"/>
      <w:marRight w:val="0"/>
      <w:marTop w:val="0"/>
      <w:marBottom w:val="0"/>
      <w:divBdr>
        <w:top w:val="none" w:sz="0" w:space="0" w:color="auto"/>
        <w:left w:val="none" w:sz="0" w:space="0" w:color="auto"/>
        <w:bottom w:val="none" w:sz="0" w:space="0" w:color="auto"/>
        <w:right w:val="none" w:sz="0" w:space="0" w:color="auto"/>
      </w:divBdr>
    </w:div>
    <w:div w:id="319043347">
      <w:bodyDiv w:val="1"/>
      <w:marLeft w:val="0"/>
      <w:marRight w:val="0"/>
      <w:marTop w:val="0"/>
      <w:marBottom w:val="0"/>
      <w:divBdr>
        <w:top w:val="none" w:sz="0" w:space="0" w:color="auto"/>
        <w:left w:val="none" w:sz="0" w:space="0" w:color="auto"/>
        <w:bottom w:val="none" w:sz="0" w:space="0" w:color="auto"/>
        <w:right w:val="none" w:sz="0" w:space="0" w:color="auto"/>
      </w:divBdr>
    </w:div>
    <w:div w:id="540049016">
      <w:bodyDiv w:val="1"/>
      <w:marLeft w:val="0"/>
      <w:marRight w:val="0"/>
      <w:marTop w:val="0"/>
      <w:marBottom w:val="0"/>
      <w:divBdr>
        <w:top w:val="none" w:sz="0" w:space="0" w:color="auto"/>
        <w:left w:val="none" w:sz="0" w:space="0" w:color="auto"/>
        <w:bottom w:val="none" w:sz="0" w:space="0" w:color="auto"/>
        <w:right w:val="none" w:sz="0" w:space="0" w:color="auto"/>
      </w:divBdr>
    </w:div>
    <w:div w:id="768501968">
      <w:bodyDiv w:val="1"/>
      <w:marLeft w:val="0"/>
      <w:marRight w:val="0"/>
      <w:marTop w:val="0"/>
      <w:marBottom w:val="0"/>
      <w:divBdr>
        <w:top w:val="none" w:sz="0" w:space="0" w:color="auto"/>
        <w:left w:val="none" w:sz="0" w:space="0" w:color="auto"/>
        <w:bottom w:val="none" w:sz="0" w:space="0" w:color="auto"/>
        <w:right w:val="none" w:sz="0" w:space="0" w:color="auto"/>
      </w:divBdr>
    </w:div>
    <w:div w:id="852305405">
      <w:bodyDiv w:val="1"/>
      <w:marLeft w:val="0"/>
      <w:marRight w:val="0"/>
      <w:marTop w:val="0"/>
      <w:marBottom w:val="0"/>
      <w:divBdr>
        <w:top w:val="none" w:sz="0" w:space="0" w:color="auto"/>
        <w:left w:val="none" w:sz="0" w:space="0" w:color="auto"/>
        <w:bottom w:val="none" w:sz="0" w:space="0" w:color="auto"/>
        <w:right w:val="none" w:sz="0" w:space="0" w:color="auto"/>
      </w:divBdr>
    </w:div>
    <w:div w:id="1015888329">
      <w:bodyDiv w:val="1"/>
      <w:marLeft w:val="0"/>
      <w:marRight w:val="0"/>
      <w:marTop w:val="0"/>
      <w:marBottom w:val="0"/>
      <w:divBdr>
        <w:top w:val="none" w:sz="0" w:space="0" w:color="auto"/>
        <w:left w:val="none" w:sz="0" w:space="0" w:color="auto"/>
        <w:bottom w:val="none" w:sz="0" w:space="0" w:color="auto"/>
        <w:right w:val="none" w:sz="0" w:space="0" w:color="auto"/>
      </w:divBdr>
    </w:div>
    <w:div w:id="1103912614">
      <w:bodyDiv w:val="1"/>
      <w:marLeft w:val="0"/>
      <w:marRight w:val="0"/>
      <w:marTop w:val="0"/>
      <w:marBottom w:val="0"/>
      <w:divBdr>
        <w:top w:val="none" w:sz="0" w:space="0" w:color="auto"/>
        <w:left w:val="none" w:sz="0" w:space="0" w:color="auto"/>
        <w:bottom w:val="none" w:sz="0" w:space="0" w:color="auto"/>
        <w:right w:val="none" w:sz="0" w:space="0" w:color="auto"/>
      </w:divBdr>
    </w:div>
    <w:div w:id="1128475832">
      <w:bodyDiv w:val="1"/>
      <w:marLeft w:val="0"/>
      <w:marRight w:val="0"/>
      <w:marTop w:val="0"/>
      <w:marBottom w:val="0"/>
      <w:divBdr>
        <w:top w:val="none" w:sz="0" w:space="0" w:color="auto"/>
        <w:left w:val="none" w:sz="0" w:space="0" w:color="auto"/>
        <w:bottom w:val="none" w:sz="0" w:space="0" w:color="auto"/>
        <w:right w:val="none" w:sz="0" w:space="0" w:color="auto"/>
      </w:divBdr>
    </w:div>
    <w:div w:id="1226331636">
      <w:bodyDiv w:val="1"/>
      <w:marLeft w:val="0"/>
      <w:marRight w:val="0"/>
      <w:marTop w:val="0"/>
      <w:marBottom w:val="0"/>
      <w:divBdr>
        <w:top w:val="none" w:sz="0" w:space="0" w:color="auto"/>
        <w:left w:val="none" w:sz="0" w:space="0" w:color="auto"/>
        <w:bottom w:val="none" w:sz="0" w:space="0" w:color="auto"/>
        <w:right w:val="none" w:sz="0" w:space="0" w:color="auto"/>
      </w:divBdr>
    </w:div>
    <w:div w:id="1300766515">
      <w:bodyDiv w:val="1"/>
      <w:marLeft w:val="0"/>
      <w:marRight w:val="0"/>
      <w:marTop w:val="0"/>
      <w:marBottom w:val="0"/>
      <w:divBdr>
        <w:top w:val="none" w:sz="0" w:space="0" w:color="auto"/>
        <w:left w:val="none" w:sz="0" w:space="0" w:color="auto"/>
        <w:bottom w:val="none" w:sz="0" w:space="0" w:color="auto"/>
        <w:right w:val="none" w:sz="0" w:space="0" w:color="auto"/>
      </w:divBdr>
    </w:div>
    <w:div w:id="1328632759">
      <w:bodyDiv w:val="1"/>
      <w:marLeft w:val="0"/>
      <w:marRight w:val="0"/>
      <w:marTop w:val="0"/>
      <w:marBottom w:val="0"/>
      <w:divBdr>
        <w:top w:val="none" w:sz="0" w:space="0" w:color="auto"/>
        <w:left w:val="none" w:sz="0" w:space="0" w:color="auto"/>
        <w:bottom w:val="none" w:sz="0" w:space="0" w:color="auto"/>
        <w:right w:val="none" w:sz="0" w:space="0" w:color="auto"/>
      </w:divBdr>
    </w:div>
    <w:div w:id="1401293831">
      <w:bodyDiv w:val="1"/>
      <w:marLeft w:val="0"/>
      <w:marRight w:val="0"/>
      <w:marTop w:val="0"/>
      <w:marBottom w:val="0"/>
      <w:divBdr>
        <w:top w:val="none" w:sz="0" w:space="0" w:color="auto"/>
        <w:left w:val="none" w:sz="0" w:space="0" w:color="auto"/>
        <w:bottom w:val="none" w:sz="0" w:space="0" w:color="auto"/>
        <w:right w:val="none" w:sz="0" w:space="0" w:color="auto"/>
      </w:divBdr>
    </w:div>
    <w:div w:id="1438940549">
      <w:bodyDiv w:val="1"/>
      <w:marLeft w:val="0"/>
      <w:marRight w:val="0"/>
      <w:marTop w:val="0"/>
      <w:marBottom w:val="0"/>
      <w:divBdr>
        <w:top w:val="none" w:sz="0" w:space="0" w:color="auto"/>
        <w:left w:val="none" w:sz="0" w:space="0" w:color="auto"/>
        <w:bottom w:val="none" w:sz="0" w:space="0" w:color="auto"/>
        <w:right w:val="none" w:sz="0" w:space="0" w:color="auto"/>
      </w:divBdr>
    </w:div>
    <w:div w:id="1636645342">
      <w:bodyDiv w:val="1"/>
      <w:marLeft w:val="0"/>
      <w:marRight w:val="0"/>
      <w:marTop w:val="0"/>
      <w:marBottom w:val="0"/>
      <w:divBdr>
        <w:top w:val="none" w:sz="0" w:space="0" w:color="auto"/>
        <w:left w:val="none" w:sz="0" w:space="0" w:color="auto"/>
        <w:bottom w:val="none" w:sz="0" w:space="0" w:color="auto"/>
        <w:right w:val="none" w:sz="0" w:space="0" w:color="auto"/>
      </w:divBdr>
    </w:div>
    <w:div w:id="1697729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YmVfl7Bw/ZeHNAn8gMk68Xz8V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OAByITFqanZ4ZmJUTFU0TC1BR0dfZzBmTFRJYm5qWU8wcmpPc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2BD2DF-78B9-40F0-AF93-31F4B89F6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5091</Words>
  <Characters>28001</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infoem607b</cp:lastModifiedBy>
  <cp:revision>7</cp:revision>
  <cp:lastPrinted>2025-05-22T20:10:00Z</cp:lastPrinted>
  <dcterms:created xsi:type="dcterms:W3CDTF">2025-05-20T00:32:00Z</dcterms:created>
  <dcterms:modified xsi:type="dcterms:W3CDTF">2025-05-22T20:10:00Z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